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D3663" w14:textId="5BCAFA2B" w:rsidR="00C8494D" w:rsidRDefault="00C8494D" w:rsidP="00441478">
      <w:pPr>
        <w:spacing w:before="240" w:after="0" w:line="520" w:lineRule="exact"/>
        <w:contextualSpacing/>
        <w:jc w:val="center"/>
        <w:rPr>
          <w:rFonts w:ascii="Times New Roman" w:eastAsia="標楷體" w:hAnsi="Times New Roman" w:cs="Times New Roman"/>
          <w:b/>
          <w:sz w:val="32"/>
          <w:szCs w:val="26"/>
          <w:lang w:val="en-US" w:eastAsia="zh-TW"/>
        </w:rPr>
      </w:pPr>
      <w:r w:rsidRPr="00441478">
        <w:rPr>
          <w:rFonts w:ascii="Times New Roman" w:eastAsia="標楷體" w:hAnsi="Times New Roman" w:cs="Times New Roman"/>
          <w:b/>
          <w:sz w:val="32"/>
          <w:szCs w:val="26"/>
          <w:lang w:val="en-US" w:eastAsia="zh-TW"/>
        </w:rPr>
        <w:t>Earnings Quality</w:t>
      </w:r>
      <w:r w:rsidR="00341B1C" w:rsidRPr="00441478">
        <w:rPr>
          <w:rFonts w:ascii="Times New Roman" w:eastAsia="標楷體" w:hAnsi="Times New Roman" w:cs="Times New Roman"/>
          <w:b/>
          <w:sz w:val="32"/>
          <w:szCs w:val="26"/>
          <w:lang w:val="en-US" w:eastAsia="zh-TW"/>
        </w:rPr>
        <w:t xml:space="preserve"> and Foreign Investors</w:t>
      </w:r>
      <w:r w:rsidRPr="00441478">
        <w:rPr>
          <w:rFonts w:ascii="Times New Roman" w:eastAsia="標楷體" w:hAnsi="Times New Roman" w:cs="Times New Roman"/>
          <w:b/>
          <w:sz w:val="32"/>
          <w:szCs w:val="26"/>
          <w:lang w:val="en-US" w:eastAsia="zh-TW"/>
        </w:rPr>
        <w:t xml:space="preserve"> </w:t>
      </w:r>
      <w:r w:rsidR="00F01CAB" w:rsidRPr="00441478">
        <w:rPr>
          <w:rFonts w:ascii="Times New Roman" w:eastAsia="標楷體" w:hAnsi="Times New Roman" w:cs="Times New Roman"/>
          <w:b/>
          <w:sz w:val="32"/>
          <w:szCs w:val="26"/>
          <w:lang w:val="en-US" w:eastAsia="zh-TW"/>
        </w:rPr>
        <w:t>in Gulf Cooperation Council Countries</w:t>
      </w:r>
      <w:r w:rsidR="007F15D8" w:rsidRPr="00441478">
        <w:rPr>
          <w:rFonts w:ascii="Times New Roman" w:eastAsia="標楷體" w:hAnsi="Times New Roman" w:cs="Times New Roman"/>
          <w:b/>
          <w:sz w:val="32"/>
          <w:szCs w:val="26"/>
          <w:lang w:val="en-US" w:eastAsia="zh-TW"/>
        </w:rPr>
        <w:t xml:space="preserve"> </w:t>
      </w:r>
    </w:p>
    <w:p w14:paraId="14EC331E" w14:textId="77777777" w:rsidR="00441478" w:rsidRPr="00441478" w:rsidRDefault="00441478" w:rsidP="00441478">
      <w:pPr>
        <w:snapToGrid w:val="0"/>
        <w:spacing w:after="0" w:line="360" w:lineRule="exact"/>
        <w:jc w:val="center"/>
        <w:rPr>
          <w:rFonts w:ascii="Times New Roman" w:eastAsia="標楷體" w:hAnsi="Times New Roman" w:cs="Times New Roman"/>
          <w:b/>
          <w:sz w:val="26"/>
          <w:szCs w:val="26"/>
          <w:lang w:val="en-US" w:eastAsia="zh-TW"/>
        </w:rPr>
      </w:pPr>
    </w:p>
    <w:p w14:paraId="039638A9" w14:textId="1C29AE53" w:rsidR="008B33A3" w:rsidRPr="00441478" w:rsidRDefault="008B33A3" w:rsidP="00441478">
      <w:pPr>
        <w:snapToGrid w:val="0"/>
        <w:spacing w:after="0" w:line="360" w:lineRule="exact"/>
        <w:jc w:val="center"/>
        <w:rPr>
          <w:rFonts w:asciiTheme="majorBidi" w:hAnsiTheme="majorBidi"/>
          <w:bCs/>
          <w:sz w:val="26"/>
          <w:szCs w:val="26"/>
        </w:rPr>
      </w:pPr>
      <w:proofErr w:type="spellStart"/>
      <w:r w:rsidRPr="00441478">
        <w:rPr>
          <w:rFonts w:asciiTheme="majorBidi" w:hAnsiTheme="majorBidi"/>
          <w:bCs/>
          <w:sz w:val="26"/>
          <w:szCs w:val="26"/>
        </w:rPr>
        <w:t>Mawih</w:t>
      </w:r>
      <w:proofErr w:type="spellEnd"/>
      <w:r w:rsidRPr="00441478">
        <w:rPr>
          <w:rFonts w:asciiTheme="majorBidi" w:hAnsiTheme="majorBidi"/>
          <w:bCs/>
          <w:sz w:val="26"/>
          <w:szCs w:val="26"/>
        </w:rPr>
        <w:t xml:space="preserve"> Kareem Al Ani</w:t>
      </w:r>
    </w:p>
    <w:p w14:paraId="6765EAC1" w14:textId="001EB269" w:rsidR="008B33A3" w:rsidRPr="00441478" w:rsidRDefault="008B33A3" w:rsidP="00441478">
      <w:pPr>
        <w:snapToGrid w:val="0"/>
        <w:spacing w:after="0" w:line="360" w:lineRule="exact"/>
        <w:jc w:val="center"/>
        <w:rPr>
          <w:rFonts w:asciiTheme="majorBidi" w:hAnsiTheme="majorBidi"/>
          <w:bCs/>
          <w:sz w:val="26"/>
          <w:szCs w:val="26"/>
          <w:lang w:val="en-US"/>
        </w:rPr>
      </w:pPr>
      <w:r w:rsidRPr="00441478">
        <w:rPr>
          <w:rFonts w:asciiTheme="majorBidi" w:hAnsiTheme="majorBidi"/>
          <w:bCs/>
          <w:sz w:val="26"/>
          <w:szCs w:val="26"/>
          <w:lang w:val="en-US"/>
        </w:rPr>
        <w:t>Dhofar University</w:t>
      </w:r>
      <w:r w:rsidR="00371C80" w:rsidRPr="00441478">
        <w:rPr>
          <w:rFonts w:asciiTheme="majorBidi" w:hAnsiTheme="majorBidi"/>
          <w:bCs/>
          <w:sz w:val="26"/>
          <w:szCs w:val="26"/>
          <w:lang w:val="en-US"/>
        </w:rPr>
        <w:t>, Accounting Department</w:t>
      </w:r>
      <w:r w:rsidRPr="00441478">
        <w:rPr>
          <w:rFonts w:asciiTheme="majorBidi" w:hAnsiTheme="majorBidi"/>
          <w:bCs/>
          <w:sz w:val="26"/>
          <w:szCs w:val="26"/>
          <w:lang w:val="en-US"/>
        </w:rPr>
        <w:t xml:space="preserve">, </w:t>
      </w:r>
      <w:r w:rsidR="005763A5" w:rsidRPr="00441478">
        <w:rPr>
          <w:rFonts w:asciiTheme="majorBidi" w:hAnsiTheme="majorBidi"/>
          <w:bCs/>
          <w:sz w:val="26"/>
          <w:szCs w:val="26"/>
          <w:lang w:val="en-US"/>
        </w:rPr>
        <w:t xml:space="preserve">Salalah City, </w:t>
      </w:r>
      <w:r w:rsidRPr="00441478">
        <w:rPr>
          <w:rFonts w:asciiTheme="majorBidi" w:hAnsiTheme="majorBidi"/>
          <w:bCs/>
          <w:sz w:val="26"/>
          <w:szCs w:val="26"/>
          <w:lang w:val="en-US"/>
        </w:rPr>
        <w:t>Oman</w:t>
      </w:r>
    </w:p>
    <w:p w14:paraId="35085821" w14:textId="0B7984BD" w:rsidR="008B33A3" w:rsidRPr="00441478" w:rsidRDefault="008B33A3" w:rsidP="00441478">
      <w:pPr>
        <w:snapToGrid w:val="0"/>
        <w:spacing w:after="0" w:line="360" w:lineRule="exact"/>
        <w:jc w:val="center"/>
        <w:rPr>
          <w:rFonts w:asciiTheme="majorBidi" w:hAnsiTheme="majorBidi"/>
          <w:bCs/>
          <w:sz w:val="26"/>
          <w:szCs w:val="26"/>
          <w:lang w:val="en-US"/>
        </w:rPr>
      </w:pPr>
      <w:r w:rsidRPr="00441478">
        <w:rPr>
          <w:rFonts w:asciiTheme="majorBidi" w:hAnsiTheme="majorBidi"/>
          <w:bCs/>
          <w:sz w:val="26"/>
          <w:szCs w:val="26"/>
          <w:lang w:val="en-US"/>
        </w:rPr>
        <w:t>E-Mail:</w:t>
      </w:r>
      <w:r w:rsidR="002A2457" w:rsidRPr="00441478">
        <w:rPr>
          <w:rFonts w:asciiTheme="majorBidi" w:hAnsiTheme="majorBidi"/>
          <w:bCs/>
          <w:sz w:val="26"/>
          <w:szCs w:val="26"/>
          <w:lang w:val="en-US"/>
        </w:rPr>
        <w:t xml:space="preserve"> </w:t>
      </w:r>
      <w:hyperlink r:id="rId8" w:history="1">
        <w:r w:rsidR="00371C80" w:rsidRPr="00441478">
          <w:rPr>
            <w:rStyle w:val="ac"/>
            <w:rFonts w:asciiTheme="majorBidi" w:hAnsiTheme="majorBidi"/>
            <w:bCs/>
            <w:sz w:val="26"/>
            <w:szCs w:val="26"/>
            <w:lang w:val="en-US"/>
          </w:rPr>
          <w:t>mawih@du.edu.om</w:t>
        </w:r>
      </w:hyperlink>
    </w:p>
    <w:p w14:paraId="4FAC340F" w14:textId="60DD21E3" w:rsidR="00371C80" w:rsidRDefault="00371C80" w:rsidP="00441478">
      <w:pPr>
        <w:snapToGrid w:val="0"/>
        <w:spacing w:after="0" w:line="360" w:lineRule="exact"/>
        <w:jc w:val="center"/>
        <w:rPr>
          <w:rFonts w:asciiTheme="majorBidi" w:hAnsiTheme="majorBidi"/>
          <w:bCs/>
          <w:sz w:val="26"/>
          <w:szCs w:val="26"/>
          <w:lang w:val="en-US"/>
        </w:rPr>
      </w:pPr>
    </w:p>
    <w:p w14:paraId="1E69E2B9" w14:textId="77777777" w:rsidR="003B7DC7" w:rsidRPr="00441478" w:rsidRDefault="003B7DC7" w:rsidP="00441478">
      <w:pPr>
        <w:snapToGrid w:val="0"/>
        <w:spacing w:after="0" w:line="360" w:lineRule="exact"/>
        <w:jc w:val="center"/>
        <w:rPr>
          <w:rFonts w:asciiTheme="majorBidi" w:hAnsiTheme="majorBidi"/>
          <w:bCs/>
          <w:sz w:val="26"/>
          <w:szCs w:val="26"/>
          <w:lang w:val="en-US"/>
        </w:rPr>
      </w:pPr>
    </w:p>
    <w:p w14:paraId="646D0C6E" w14:textId="472A8054" w:rsidR="00E52DCB" w:rsidRPr="00441478" w:rsidRDefault="00E52DCB" w:rsidP="00441478">
      <w:pPr>
        <w:snapToGrid w:val="0"/>
        <w:spacing w:after="0" w:line="360" w:lineRule="exact"/>
        <w:jc w:val="center"/>
        <w:rPr>
          <w:rFonts w:asciiTheme="majorBidi" w:hAnsiTheme="majorBidi" w:cstheme="majorBidi"/>
          <w:caps/>
          <w:sz w:val="26"/>
          <w:szCs w:val="26"/>
        </w:rPr>
      </w:pPr>
      <w:r w:rsidRPr="00441478">
        <w:rPr>
          <w:rFonts w:asciiTheme="majorBidi" w:hAnsiTheme="majorBidi" w:cstheme="majorBidi"/>
          <w:b/>
          <w:bCs/>
          <w:caps/>
          <w:sz w:val="26"/>
          <w:szCs w:val="26"/>
        </w:rPr>
        <w:t>Abstract</w:t>
      </w:r>
    </w:p>
    <w:p w14:paraId="675C3FDD" w14:textId="070BACCF" w:rsidR="000C7FE3" w:rsidRPr="00441478" w:rsidRDefault="003C4AB2" w:rsidP="00441478">
      <w:pPr>
        <w:snapToGrid w:val="0"/>
        <w:spacing w:after="0" w:line="360" w:lineRule="exact"/>
        <w:ind w:firstLine="510"/>
        <w:jc w:val="both"/>
        <w:rPr>
          <w:rFonts w:asciiTheme="majorBidi" w:hAnsiTheme="majorBidi"/>
          <w:sz w:val="26"/>
          <w:szCs w:val="26"/>
        </w:rPr>
      </w:pPr>
      <w:r w:rsidRPr="00441478">
        <w:rPr>
          <w:rFonts w:asciiTheme="majorBidi" w:hAnsiTheme="majorBidi"/>
          <w:sz w:val="26"/>
          <w:szCs w:val="26"/>
        </w:rPr>
        <w:t>This study aims</w:t>
      </w:r>
      <w:r w:rsidR="00C8494D" w:rsidRPr="00441478">
        <w:rPr>
          <w:rFonts w:asciiTheme="majorBidi" w:hAnsiTheme="majorBidi"/>
          <w:sz w:val="26"/>
          <w:szCs w:val="26"/>
        </w:rPr>
        <w:t xml:space="preserve"> to measure the </w:t>
      </w:r>
      <w:r w:rsidR="006B1C85" w:rsidRPr="00441478">
        <w:rPr>
          <w:rFonts w:asciiTheme="majorBidi" w:hAnsiTheme="majorBidi"/>
          <w:sz w:val="26"/>
          <w:szCs w:val="26"/>
        </w:rPr>
        <w:t>earnings quality</w:t>
      </w:r>
      <w:r w:rsidR="00C8494D" w:rsidRPr="00441478">
        <w:rPr>
          <w:rFonts w:asciiTheme="majorBidi" w:hAnsiTheme="majorBidi"/>
          <w:sz w:val="26"/>
          <w:szCs w:val="26"/>
        </w:rPr>
        <w:t xml:space="preserve"> </w:t>
      </w:r>
      <w:r w:rsidR="006B1C85" w:rsidRPr="00441478">
        <w:rPr>
          <w:rFonts w:asciiTheme="majorBidi" w:hAnsiTheme="majorBidi"/>
          <w:sz w:val="26"/>
          <w:szCs w:val="26"/>
        </w:rPr>
        <w:t xml:space="preserve">(EQ) </w:t>
      </w:r>
      <w:r w:rsidR="00C64021" w:rsidRPr="00441478">
        <w:rPr>
          <w:rFonts w:asciiTheme="majorBidi" w:hAnsiTheme="majorBidi"/>
          <w:sz w:val="26"/>
          <w:szCs w:val="26"/>
        </w:rPr>
        <w:t>in</w:t>
      </w:r>
      <w:r w:rsidR="00C8494D" w:rsidRPr="00441478">
        <w:rPr>
          <w:rFonts w:asciiTheme="majorBidi" w:hAnsiTheme="majorBidi"/>
          <w:sz w:val="26"/>
          <w:szCs w:val="26"/>
        </w:rPr>
        <w:t xml:space="preserve"> the </w:t>
      </w:r>
      <w:r w:rsidRPr="00441478">
        <w:rPr>
          <w:rFonts w:asciiTheme="majorBidi" w:hAnsiTheme="majorBidi"/>
          <w:sz w:val="26"/>
          <w:szCs w:val="26"/>
        </w:rPr>
        <w:t>Gulf Cooperation Council (GCC)</w:t>
      </w:r>
      <w:r w:rsidR="00872068" w:rsidRPr="00441478">
        <w:rPr>
          <w:rFonts w:asciiTheme="majorBidi" w:hAnsiTheme="majorBidi"/>
          <w:sz w:val="26"/>
          <w:szCs w:val="26"/>
        </w:rPr>
        <w:t xml:space="preserve"> countries</w:t>
      </w:r>
      <w:r w:rsidR="00C8494D" w:rsidRPr="00441478">
        <w:rPr>
          <w:rFonts w:asciiTheme="majorBidi" w:hAnsiTheme="majorBidi"/>
          <w:sz w:val="26"/>
          <w:szCs w:val="26"/>
        </w:rPr>
        <w:t xml:space="preserve"> using a sample of </w:t>
      </w:r>
      <w:r w:rsidRPr="00441478">
        <w:rPr>
          <w:rFonts w:asciiTheme="majorBidi" w:hAnsiTheme="majorBidi"/>
          <w:sz w:val="26"/>
          <w:szCs w:val="26"/>
        </w:rPr>
        <w:t>1827</w:t>
      </w:r>
      <w:r w:rsidR="00C8494D" w:rsidRPr="00441478">
        <w:rPr>
          <w:rFonts w:asciiTheme="majorBidi" w:hAnsiTheme="majorBidi"/>
          <w:sz w:val="26"/>
          <w:szCs w:val="26"/>
        </w:rPr>
        <w:t xml:space="preserve"> firm-year observations from </w:t>
      </w:r>
      <w:r w:rsidRPr="00441478">
        <w:rPr>
          <w:rFonts w:asciiTheme="majorBidi" w:hAnsiTheme="majorBidi"/>
          <w:sz w:val="26"/>
          <w:szCs w:val="26"/>
        </w:rPr>
        <w:t>2008</w:t>
      </w:r>
      <w:r w:rsidR="00C64021" w:rsidRPr="00441478">
        <w:rPr>
          <w:rFonts w:asciiTheme="majorBidi" w:hAnsiTheme="majorBidi"/>
          <w:sz w:val="26"/>
          <w:szCs w:val="26"/>
        </w:rPr>
        <w:t xml:space="preserve"> to </w:t>
      </w:r>
      <w:r w:rsidRPr="00441478">
        <w:rPr>
          <w:rFonts w:asciiTheme="majorBidi" w:hAnsiTheme="majorBidi"/>
          <w:sz w:val="26"/>
          <w:szCs w:val="26"/>
        </w:rPr>
        <w:t xml:space="preserve">2016 by using nine </w:t>
      </w:r>
      <w:r w:rsidR="006B1C85" w:rsidRPr="00441478">
        <w:rPr>
          <w:rFonts w:asciiTheme="majorBidi" w:hAnsiTheme="majorBidi"/>
          <w:sz w:val="26"/>
          <w:szCs w:val="26"/>
        </w:rPr>
        <w:t>EQ</w:t>
      </w:r>
      <w:r w:rsidRPr="00441478">
        <w:rPr>
          <w:rFonts w:asciiTheme="majorBidi" w:hAnsiTheme="majorBidi"/>
          <w:sz w:val="26"/>
          <w:szCs w:val="26"/>
        </w:rPr>
        <w:t xml:space="preserve"> measures</w:t>
      </w:r>
      <w:r w:rsidR="00C64021" w:rsidRPr="00441478">
        <w:rPr>
          <w:rFonts w:asciiTheme="majorBidi" w:hAnsiTheme="majorBidi"/>
          <w:sz w:val="26"/>
          <w:szCs w:val="26"/>
        </w:rPr>
        <w:t>.</w:t>
      </w:r>
      <w:r w:rsidRPr="00441478">
        <w:rPr>
          <w:rFonts w:asciiTheme="majorBidi" w:hAnsiTheme="majorBidi"/>
          <w:sz w:val="26"/>
          <w:szCs w:val="26"/>
        </w:rPr>
        <w:t xml:space="preserve"> </w:t>
      </w:r>
      <w:r w:rsidR="00C64021" w:rsidRPr="00441478">
        <w:rPr>
          <w:rFonts w:asciiTheme="majorBidi" w:hAnsiTheme="majorBidi"/>
          <w:sz w:val="26"/>
          <w:szCs w:val="26"/>
        </w:rPr>
        <w:t>These measures are</w:t>
      </w:r>
      <w:r w:rsidRPr="00441478">
        <w:rPr>
          <w:rFonts w:asciiTheme="majorBidi" w:hAnsiTheme="majorBidi"/>
          <w:sz w:val="26"/>
          <w:szCs w:val="26"/>
        </w:rPr>
        <w:t xml:space="preserve"> persistence, predictability, value relevance, earnings response coefficient</w:t>
      </w:r>
      <w:r w:rsidR="001602EF" w:rsidRPr="00441478">
        <w:rPr>
          <w:rFonts w:asciiTheme="majorBidi" w:hAnsiTheme="majorBidi"/>
          <w:sz w:val="26"/>
          <w:szCs w:val="26"/>
        </w:rPr>
        <w:t xml:space="preserve"> </w:t>
      </w:r>
      <w:r w:rsidR="00050EB7" w:rsidRPr="00441478">
        <w:rPr>
          <w:rFonts w:asciiTheme="majorBidi" w:hAnsiTheme="majorBidi"/>
          <w:sz w:val="26"/>
          <w:szCs w:val="26"/>
        </w:rPr>
        <w:t>(ERC)</w:t>
      </w:r>
      <w:r w:rsidRPr="00441478">
        <w:rPr>
          <w:rFonts w:asciiTheme="majorBidi" w:hAnsiTheme="majorBidi"/>
          <w:sz w:val="26"/>
          <w:szCs w:val="26"/>
        </w:rPr>
        <w:t xml:space="preserve">, smoothness, earnings surprise, accrual quality, </w:t>
      </w:r>
      <w:r w:rsidR="00050EB7" w:rsidRPr="00441478">
        <w:rPr>
          <w:rFonts w:asciiTheme="majorBidi" w:hAnsiTheme="majorBidi"/>
          <w:sz w:val="26"/>
          <w:szCs w:val="26"/>
        </w:rPr>
        <w:t>loss recognition timeliness</w:t>
      </w:r>
      <w:r w:rsidRPr="00441478">
        <w:rPr>
          <w:rFonts w:asciiTheme="majorBidi" w:hAnsiTheme="majorBidi"/>
          <w:sz w:val="26"/>
          <w:szCs w:val="26"/>
        </w:rPr>
        <w:t xml:space="preserve"> and conservatism</w:t>
      </w:r>
      <w:r w:rsidR="00C8494D" w:rsidRPr="00441478">
        <w:rPr>
          <w:rFonts w:asciiTheme="majorBidi" w:hAnsiTheme="majorBidi"/>
          <w:sz w:val="26"/>
          <w:szCs w:val="26"/>
        </w:rPr>
        <w:t xml:space="preserve">. </w:t>
      </w:r>
      <w:r w:rsidR="00FD70E0" w:rsidRPr="00441478">
        <w:rPr>
          <w:rFonts w:asciiTheme="majorBidi" w:hAnsiTheme="majorBidi"/>
          <w:sz w:val="26"/>
          <w:szCs w:val="26"/>
        </w:rPr>
        <w:t>T</w:t>
      </w:r>
      <w:r w:rsidRPr="00441478">
        <w:rPr>
          <w:rFonts w:asciiTheme="majorBidi" w:hAnsiTheme="majorBidi"/>
          <w:sz w:val="26"/>
          <w:szCs w:val="26"/>
        </w:rPr>
        <w:t xml:space="preserve">he study </w:t>
      </w:r>
      <w:r w:rsidR="00FD70E0" w:rsidRPr="00441478">
        <w:rPr>
          <w:rFonts w:asciiTheme="majorBidi" w:hAnsiTheme="majorBidi"/>
          <w:sz w:val="26"/>
          <w:szCs w:val="26"/>
        </w:rPr>
        <w:t xml:space="preserve">also </w:t>
      </w:r>
      <w:r w:rsidRPr="00441478">
        <w:rPr>
          <w:rFonts w:asciiTheme="majorBidi" w:hAnsiTheme="majorBidi"/>
          <w:sz w:val="26"/>
          <w:szCs w:val="26"/>
        </w:rPr>
        <w:t xml:space="preserve">examines the effect of these nine </w:t>
      </w:r>
      <w:r w:rsidR="006B1C85" w:rsidRPr="00441478">
        <w:rPr>
          <w:rFonts w:asciiTheme="majorBidi" w:hAnsiTheme="majorBidi"/>
          <w:sz w:val="26"/>
          <w:szCs w:val="26"/>
        </w:rPr>
        <w:t>EQ</w:t>
      </w:r>
      <w:r w:rsidRPr="00441478">
        <w:rPr>
          <w:rFonts w:asciiTheme="majorBidi" w:hAnsiTheme="majorBidi"/>
          <w:sz w:val="26"/>
          <w:szCs w:val="26"/>
        </w:rPr>
        <w:t xml:space="preserve"> measures on attracting foreign investors.</w:t>
      </w:r>
      <w:r w:rsidR="00095634" w:rsidRPr="00441478">
        <w:rPr>
          <w:rFonts w:asciiTheme="majorBidi" w:hAnsiTheme="majorBidi"/>
          <w:sz w:val="26"/>
          <w:szCs w:val="26"/>
        </w:rPr>
        <w:t xml:space="preserve"> </w:t>
      </w:r>
      <w:r w:rsidR="00A309C9" w:rsidRPr="00441478">
        <w:rPr>
          <w:rFonts w:asciiTheme="majorBidi" w:hAnsiTheme="majorBidi" w:cstheme="majorBidi"/>
          <w:sz w:val="26"/>
          <w:szCs w:val="26"/>
        </w:rPr>
        <w:t xml:space="preserve">Data </w:t>
      </w:r>
      <w:r w:rsidR="006E17DF" w:rsidRPr="00441478">
        <w:rPr>
          <w:rFonts w:asciiTheme="majorBidi" w:hAnsiTheme="majorBidi" w:cstheme="majorBidi"/>
          <w:sz w:val="26"/>
          <w:szCs w:val="26"/>
        </w:rPr>
        <w:t xml:space="preserve">are </w:t>
      </w:r>
      <w:r w:rsidR="00A309C9" w:rsidRPr="00441478">
        <w:rPr>
          <w:rFonts w:asciiTheme="majorBidi" w:hAnsiTheme="majorBidi" w:cstheme="majorBidi"/>
          <w:sz w:val="26"/>
          <w:szCs w:val="26"/>
        </w:rPr>
        <w:t>collected from Capital IQ database</w:t>
      </w:r>
      <w:r w:rsidR="006F15D5">
        <w:rPr>
          <w:rFonts w:asciiTheme="majorBidi" w:hAnsiTheme="majorBidi" w:cstheme="majorBidi"/>
          <w:sz w:val="26"/>
          <w:szCs w:val="26"/>
        </w:rPr>
        <w:t>,</w:t>
      </w:r>
      <w:r w:rsidR="00A309C9" w:rsidRPr="00441478">
        <w:rPr>
          <w:rFonts w:asciiTheme="majorBidi" w:hAnsiTheme="majorBidi" w:cstheme="majorBidi"/>
          <w:sz w:val="26"/>
          <w:szCs w:val="26"/>
        </w:rPr>
        <w:t xml:space="preserve"> and some other data </w:t>
      </w:r>
      <w:r w:rsidR="006E17DF" w:rsidRPr="00441478">
        <w:rPr>
          <w:rFonts w:asciiTheme="majorBidi" w:hAnsiTheme="majorBidi" w:cstheme="majorBidi"/>
          <w:sz w:val="26"/>
          <w:szCs w:val="26"/>
        </w:rPr>
        <w:t xml:space="preserve">are </w:t>
      </w:r>
      <w:r w:rsidR="00A309C9" w:rsidRPr="00441478">
        <w:rPr>
          <w:rFonts w:asciiTheme="majorBidi" w:hAnsiTheme="majorBidi" w:cstheme="majorBidi"/>
          <w:sz w:val="26"/>
          <w:szCs w:val="26"/>
        </w:rPr>
        <w:t xml:space="preserve">calculated manually from the capital markets and firms in each country. In this quantitative research, the sample </w:t>
      </w:r>
      <w:r w:rsidR="006E17DF" w:rsidRPr="00441478">
        <w:rPr>
          <w:rFonts w:asciiTheme="majorBidi" w:hAnsiTheme="majorBidi" w:cstheme="majorBidi"/>
          <w:sz w:val="26"/>
          <w:szCs w:val="26"/>
        </w:rPr>
        <w:t xml:space="preserve">is </w:t>
      </w:r>
      <w:r w:rsidR="002D349B" w:rsidRPr="00441478">
        <w:rPr>
          <w:rFonts w:asciiTheme="majorBidi" w:hAnsiTheme="majorBidi" w:cstheme="majorBidi"/>
          <w:sz w:val="26"/>
          <w:szCs w:val="26"/>
        </w:rPr>
        <w:t>analysed</w:t>
      </w:r>
      <w:r w:rsidR="00A309C9" w:rsidRPr="00441478">
        <w:rPr>
          <w:rFonts w:asciiTheme="majorBidi" w:hAnsiTheme="majorBidi" w:cstheme="majorBidi"/>
          <w:sz w:val="26"/>
          <w:szCs w:val="26"/>
        </w:rPr>
        <w:t xml:space="preserve"> by using descriptive statistics, correlation, </w:t>
      </w:r>
      <w:r w:rsidR="006E17DF" w:rsidRPr="00441478">
        <w:rPr>
          <w:rFonts w:asciiTheme="majorBidi" w:hAnsiTheme="majorBidi" w:cstheme="majorBidi"/>
          <w:sz w:val="26"/>
          <w:szCs w:val="26"/>
        </w:rPr>
        <w:t xml:space="preserve">and </w:t>
      </w:r>
      <w:r w:rsidR="00A309C9" w:rsidRPr="00441478">
        <w:rPr>
          <w:rFonts w:asciiTheme="majorBidi" w:hAnsiTheme="majorBidi" w:cstheme="majorBidi"/>
          <w:sz w:val="26"/>
          <w:szCs w:val="26"/>
        </w:rPr>
        <w:t>generalized least squares</w:t>
      </w:r>
      <w:r w:rsidR="003B7DC7">
        <w:rPr>
          <w:rFonts w:ascii="新細明體" w:eastAsia="新細明體" w:hAnsi="新細明體" w:cstheme="majorBidi" w:hint="eastAsia"/>
          <w:sz w:val="26"/>
          <w:szCs w:val="26"/>
          <w:lang w:eastAsia="zh-TW"/>
        </w:rPr>
        <w:t xml:space="preserve"> </w:t>
      </w:r>
      <w:r w:rsidR="00A309C9" w:rsidRPr="00441478">
        <w:rPr>
          <w:rFonts w:asciiTheme="majorBidi" w:hAnsiTheme="majorBidi" w:cstheme="majorBidi"/>
          <w:sz w:val="26"/>
          <w:szCs w:val="26"/>
        </w:rPr>
        <w:t xml:space="preserve">(GLS) regression to verify the hypotheses and analyse the effect of </w:t>
      </w:r>
      <w:r w:rsidR="00133183" w:rsidRPr="00441478">
        <w:rPr>
          <w:rFonts w:asciiTheme="majorBidi" w:hAnsiTheme="majorBidi" w:cstheme="majorBidi"/>
          <w:sz w:val="26"/>
          <w:szCs w:val="26"/>
        </w:rPr>
        <w:t>EQ</w:t>
      </w:r>
      <w:r w:rsidR="00A309C9" w:rsidRPr="00441478">
        <w:rPr>
          <w:rFonts w:asciiTheme="majorBidi" w:hAnsiTheme="majorBidi" w:cstheme="majorBidi"/>
          <w:sz w:val="26"/>
          <w:szCs w:val="26"/>
        </w:rPr>
        <w:t xml:space="preserve"> measures on attracting foreign investors. </w:t>
      </w:r>
      <w:r w:rsidR="00A27D70" w:rsidRPr="00441478">
        <w:rPr>
          <w:rFonts w:asciiTheme="majorBidi" w:hAnsiTheme="majorBidi"/>
          <w:sz w:val="26"/>
          <w:szCs w:val="26"/>
        </w:rPr>
        <w:t>F</w:t>
      </w:r>
      <w:r w:rsidRPr="00441478">
        <w:rPr>
          <w:rFonts w:asciiTheme="majorBidi" w:hAnsiTheme="majorBidi"/>
          <w:sz w:val="26"/>
          <w:szCs w:val="26"/>
        </w:rPr>
        <w:t>indings</w:t>
      </w:r>
      <w:r w:rsidR="00095634" w:rsidRPr="00441478">
        <w:rPr>
          <w:rFonts w:asciiTheme="majorBidi" w:hAnsiTheme="majorBidi"/>
          <w:sz w:val="26"/>
          <w:szCs w:val="26"/>
        </w:rPr>
        <w:t xml:space="preserve"> </w:t>
      </w:r>
      <w:r w:rsidRPr="00441478">
        <w:rPr>
          <w:rFonts w:asciiTheme="majorBidi" w:hAnsiTheme="majorBidi"/>
          <w:sz w:val="26"/>
          <w:szCs w:val="26"/>
        </w:rPr>
        <w:t>show</w:t>
      </w:r>
      <w:r w:rsidR="00095634" w:rsidRPr="00441478">
        <w:rPr>
          <w:rFonts w:asciiTheme="majorBidi" w:hAnsiTheme="majorBidi"/>
          <w:sz w:val="26"/>
          <w:szCs w:val="26"/>
        </w:rPr>
        <w:t xml:space="preserve"> </w:t>
      </w:r>
      <w:r w:rsidR="00A27D70" w:rsidRPr="00441478">
        <w:rPr>
          <w:rFonts w:asciiTheme="majorBidi" w:hAnsiTheme="majorBidi"/>
          <w:sz w:val="26"/>
          <w:szCs w:val="26"/>
        </w:rPr>
        <w:t xml:space="preserve">distinct </w:t>
      </w:r>
      <w:r w:rsidR="00095634" w:rsidRPr="00441478">
        <w:rPr>
          <w:rFonts w:asciiTheme="majorBidi" w:hAnsiTheme="majorBidi"/>
          <w:sz w:val="26"/>
          <w:szCs w:val="26"/>
        </w:rPr>
        <w:t>effects on attracting foreign investors in different countries</w:t>
      </w:r>
      <w:r w:rsidR="00A63169" w:rsidRPr="00441478">
        <w:rPr>
          <w:rFonts w:asciiTheme="majorBidi" w:hAnsiTheme="majorBidi"/>
          <w:sz w:val="26"/>
          <w:szCs w:val="26"/>
        </w:rPr>
        <w:t>. Persistence</w:t>
      </w:r>
      <w:r w:rsidR="00F309AE" w:rsidRPr="00441478">
        <w:rPr>
          <w:rFonts w:asciiTheme="majorBidi" w:hAnsiTheme="majorBidi"/>
          <w:sz w:val="26"/>
          <w:szCs w:val="26"/>
        </w:rPr>
        <w:t xml:space="preserve">, </w:t>
      </w:r>
      <w:r w:rsidR="00095634" w:rsidRPr="00441478">
        <w:rPr>
          <w:rFonts w:asciiTheme="majorBidi" w:hAnsiTheme="majorBidi"/>
          <w:sz w:val="26"/>
          <w:szCs w:val="26"/>
        </w:rPr>
        <w:t>predictability</w:t>
      </w:r>
      <w:r w:rsidR="00F309AE" w:rsidRPr="00441478">
        <w:rPr>
          <w:rFonts w:asciiTheme="majorBidi" w:hAnsiTheme="majorBidi"/>
          <w:sz w:val="26"/>
          <w:szCs w:val="26"/>
        </w:rPr>
        <w:t xml:space="preserve">, </w:t>
      </w:r>
      <w:r w:rsidR="00050EB7" w:rsidRPr="00441478">
        <w:rPr>
          <w:rFonts w:asciiTheme="majorBidi" w:hAnsiTheme="majorBidi"/>
          <w:sz w:val="26"/>
          <w:szCs w:val="26"/>
        </w:rPr>
        <w:t>ERC</w:t>
      </w:r>
      <w:r w:rsidR="007D3C6D">
        <w:rPr>
          <w:rFonts w:asciiTheme="majorBidi" w:hAnsiTheme="majorBidi"/>
          <w:sz w:val="26"/>
          <w:szCs w:val="26"/>
        </w:rPr>
        <w:t>,</w:t>
      </w:r>
      <w:r w:rsidR="00F309AE" w:rsidRPr="00441478">
        <w:rPr>
          <w:rFonts w:asciiTheme="majorBidi" w:hAnsiTheme="majorBidi"/>
          <w:sz w:val="26"/>
          <w:szCs w:val="26"/>
        </w:rPr>
        <w:t xml:space="preserve"> and accrual quality</w:t>
      </w:r>
      <w:r w:rsidR="00095634" w:rsidRPr="00441478">
        <w:rPr>
          <w:rFonts w:asciiTheme="majorBidi" w:hAnsiTheme="majorBidi"/>
          <w:sz w:val="26"/>
          <w:szCs w:val="26"/>
        </w:rPr>
        <w:t xml:space="preserve"> </w:t>
      </w:r>
      <w:r w:rsidR="00F309AE" w:rsidRPr="00441478">
        <w:rPr>
          <w:rFonts w:asciiTheme="majorBidi" w:hAnsiTheme="majorBidi"/>
          <w:sz w:val="26"/>
          <w:szCs w:val="26"/>
        </w:rPr>
        <w:t xml:space="preserve">have </w:t>
      </w:r>
      <w:r w:rsidR="007D3C6D">
        <w:rPr>
          <w:rFonts w:asciiTheme="majorBidi" w:hAnsiTheme="majorBidi"/>
          <w:sz w:val="26"/>
          <w:szCs w:val="26"/>
        </w:rPr>
        <w:t xml:space="preserve">a </w:t>
      </w:r>
      <w:r w:rsidR="00F309AE" w:rsidRPr="00441478">
        <w:rPr>
          <w:rFonts w:asciiTheme="majorBidi" w:hAnsiTheme="majorBidi"/>
          <w:sz w:val="26"/>
          <w:szCs w:val="26"/>
        </w:rPr>
        <w:t>positive</w:t>
      </w:r>
      <w:r w:rsidR="00095634" w:rsidRPr="00441478">
        <w:rPr>
          <w:rFonts w:asciiTheme="majorBidi" w:hAnsiTheme="majorBidi"/>
          <w:sz w:val="26"/>
          <w:szCs w:val="26"/>
        </w:rPr>
        <w:t xml:space="preserve"> </w:t>
      </w:r>
      <w:r w:rsidR="00F309AE" w:rsidRPr="00441478">
        <w:rPr>
          <w:rFonts w:asciiTheme="majorBidi" w:hAnsiTheme="majorBidi"/>
          <w:sz w:val="26"/>
          <w:szCs w:val="26"/>
        </w:rPr>
        <w:t>effec</w:t>
      </w:r>
      <w:r w:rsidR="00095634" w:rsidRPr="00441478">
        <w:rPr>
          <w:rFonts w:asciiTheme="majorBidi" w:hAnsiTheme="majorBidi"/>
          <w:sz w:val="26"/>
          <w:szCs w:val="26"/>
        </w:rPr>
        <w:t>t in Oman</w:t>
      </w:r>
      <w:r w:rsidR="00A63169" w:rsidRPr="00441478">
        <w:rPr>
          <w:rFonts w:asciiTheme="majorBidi" w:hAnsiTheme="majorBidi"/>
          <w:sz w:val="26"/>
          <w:szCs w:val="26"/>
        </w:rPr>
        <w:t>,</w:t>
      </w:r>
      <w:r w:rsidR="00F309AE" w:rsidRPr="00441478">
        <w:rPr>
          <w:rFonts w:asciiTheme="majorBidi" w:hAnsiTheme="majorBidi"/>
          <w:sz w:val="26"/>
          <w:szCs w:val="26"/>
        </w:rPr>
        <w:t xml:space="preserve"> </w:t>
      </w:r>
      <w:r w:rsidR="00A63169" w:rsidRPr="00441478">
        <w:rPr>
          <w:rFonts w:asciiTheme="majorBidi" w:hAnsiTheme="majorBidi"/>
          <w:sz w:val="26"/>
          <w:szCs w:val="26"/>
        </w:rPr>
        <w:t xml:space="preserve">whereas </w:t>
      </w:r>
      <w:r w:rsidR="00F309AE" w:rsidRPr="00441478">
        <w:rPr>
          <w:rFonts w:asciiTheme="majorBidi" w:hAnsiTheme="majorBidi"/>
          <w:sz w:val="26"/>
          <w:szCs w:val="26"/>
        </w:rPr>
        <w:t xml:space="preserve">value relevance and </w:t>
      </w:r>
      <w:r w:rsidR="00050EB7" w:rsidRPr="00441478">
        <w:rPr>
          <w:rFonts w:asciiTheme="majorBidi" w:hAnsiTheme="majorBidi"/>
          <w:sz w:val="26"/>
          <w:szCs w:val="26"/>
        </w:rPr>
        <w:t>ERC</w:t>
      </w:r>
      <w:r w:rsidR="00F309AE" w:rsidRPr="00441478">
        <w:rPr>
          <w:rFonts w:asciiTheme="majorBidi" w:hAnsiTheme="majorBidi"/>
          <w:sz w:val="26"/>
          <w:szCs w:val="26"/>
        </w:rPr>
        <w:t xml:space="preserve"> have </w:t>
      </w:r>
      <w:r w:rsidR="007D3C6D">
        <w:rPr>
          <w:rFonts w:asciiTheme="majorBidi" w:hAnsiTheme="majorBidi"/>
          <w:sz w:val="26"/>
          <w:szCs w:val="26"/>
        </w:rPr>
        <w:t xml:space="preserve">a </w:t>
      </w:r>
      <w:r w:rsidR="00F309AE" w:rsidRPr="00441478">
        <w:rPr>
          <w:rFonts w:asciiTheme="majorBidi" w:hAnsiTheme="majorBidi"/>
          <w:sz w:val="26"/>
          <w:szCs w:val="26"/>
        </w:rPr>
        <w:t xml:space="preserve">positive effect in Kuwait. Predictability, accrual quality, </w:t>
      </w:r>
      <w:r w:rsidR="00050EB7" w:rsidRPr="00441478">
        <w:rPr>
          <w:rFonts w:asciiTheme="majorBidi" w:hAnsiTheme="majorBidi"/>
          <w:sz w:val="26"/>
          <w:szCs w:val="26"/>
        </w:rPr>
        <w:t>ERC</w:t>
      </w:r>
      <w:r w:rsidR="007D3C6D">
        <w:rPr>
          <w:rFonts w:asciiTheme="majorBidi" w:hAnsiTheme="majorBidi"/>
          <w:sz w:val="26"/>
          <w:szCs w:val="26"/>
        </w:rPr>
        <w:t>,</w:t>
      </w:r>
      <w:r w:rsidR="00F309AE" w:rsidRPr="00441478">
        <w:rPr>
          <w:rFonts w:asciiTheme="majorBidi" w:hAnsiTheme="majorBidi"/>
          <w:sz w:val="26"/>
          <w:szCs w:val="26"/>
        </w:rPr>
        <w:t xml:space="preserve"> and conservatism </w:t>
      </w:r>
      <w:r w:rsidR="007D3C6D">
        <w:rPr>
          <w:rFonts w:asciiTheme="majorBidi" w:hAnsiTheme="majorBidi"/>
          <w:sz w:val="26"/>
          <w:szCs w:val="26"/>
        </w:rPr>
        <w:t>negatively affect</w:t>
      </w:r>
      <w:r w:rsidR="00F309AE" w:rsidRPr="00441478">
        <w:rPr>
          <w:rFonts w:asciiTheme="majorBidi" w:hAnsiTheme="majorBidi"/>
          <w:sz w:val="26"/>
          <w:szCs w:val="26"/>
        </w:rPr>
        <w:t xml:space="preserve"> </w:t>
      </w:r>
      <w:r w:rsidR="006E17DF" w:rsidRPr="00441478">
        <w:rPr>
          <w:rFonts w:asciiTheme="majorBidi" w:hAnsiTheme="majorBidi"/>
          <w:sz w:val="26"/>
          <w:szCs w:val="26"/>
        </w:rPr>
        <w:t xml:space="preserve">the </w:t>
      </w:r>
      <w:r w:rsidR="009C59F2" w:rsidRPr="00441478">
        <w:rPr>
          <w:rFonts w:asciiTheme="majorBidi" w:hAnsiTheme="majorBidi" w:cstheme="majorBidi"/>
          <w:sz w:val="26"/>
          <w:szCs w:val="26"/>
        </w:rPr>
        <w:t>Kingdom of Saudi Arabia</w:t>
      </w:r>
      <w:r w:rsidR="00F309AE" w:rsidRPr="00441478">
        <w:rPr>
          <w:rFonts w:asciiTheme="majorBidi" w:hAnsiTheme="majorBidi" w:cstheme="majorBidi"/>
          <w:sz w:val="26"/>
          <w:szCs w:val="26"/>
        </w:rPr>
        <w:t>.</w:t>
      </w:r>
      <w:r w:rsidR="00F309AE" w:rsidRPr="00441478">
        <w:rPr>
          <w:rFonts w:asciiTheme="majorBidi" w:hAnsiTheme="majorBidi"/>
          <w:sz w:val="26"/>
          <w:szCs w:val="26"/>
        </w:rPr>
        <w:t xml:space="preserve"> Finally, </w:t>
      </w:r>
      <w:r w:rsidR="00050EB7" w:rsidRPr="00441478">
        <w:rPr>
          <w:rFonts w:asciiTheme="majorBidi" w:hAnsiTheme="majorBidi"/>
          <w:sz w:val="26"/>
          <w:szCs w:val="26"/>
        </w:rPr>
        <w:t>loss recognition timeliness</w:t>
      </w:r>
      <w:r w:rsidR="00F309AE" w:rsidRPr="00441478">
        <w:rPr>
          <w:rFonts w:asciiTheme="majorBidi" w:hAnsiTheme="majorBidi"/>
          <w:sz w:val="26"/>
          <w:szCs w:val="26"/>
        </w:rPr>
        <w:t>, smoothness</w:t>
      </w:r>
      <w:r w:rsidR="007D3C6D">
        <w:rPr>
          <w:rFonts w:asciiTheme="majorBidi" w:hAnsiTheme="majorBidi"/>
          <w:sz w:val="26"/>
          <w:szCs w:val="26"/>
        </w:rPr>
        <w:t>,</w:t>
      </w:r>
      <w:r w:rsidR="00F309AE" w:rsidRPr="00441478">
        <w:rPr>
          <w:rFonts w:asciiTheme="majorBidi" w:hAnsiTheme="majorBidi"/>
          <w:sz w:val="26"/>
          <w:szCs w:val="26"/>
        </w:rPr>
        <w:t xml:space="preserve"> and earnings surprise </w:t>
      </w:r>
      <w:r w:rsidR="00B72F21" w:rsidRPr="00441478">
        <w:rPr>
          <w:rFonts w:asciiTheme="majorBidi" w:hAnsiTheme="majorBidi"/>
          <w:sz w:val="26"/>
          <w:szCs w:val="26"/>
        </w:rPr>
        <w:t xml:space="preserve">do </w:t>
      </w:r>
      <w:r w:rsidR="00F309AE" w:rsidRPr="00441478">
        <w:rPr>
          <w:rFonts w:asciiTheme="majorBidi" w:hAnsiTheme="majorBidi"/>
          <w:sz w:val="26"/>
          <w:szCs w:val="26"/>
        </w:rPr>
        <w:t xml:space="preserve">not have any effect in all GCC countries. </w:t>
      </w:r>
    </w:p>
    <w:p w14:paraId="479115BA" w14:textId="77777777" w:rsidR="00DD790D" w:rsidRPr="00441478" w:rsidRDefault="00DD790D" w:rsidP="00441478">
      <w:pPr>
        <w:snapToGrid w:val="0"/>
        <w:spacing w:after="0" w:line="360" w:lineRule="exact"/>
        <w:ind w:firstLine="720"/>
        <w:jc w:val="both"/>
        <w:rPr>
          <w:rFonts w:asciiTheme="majorBidi" w:hAnsiTheme="majorBidi"/>
          <w:sz w:val="26"/>
          <w:szCs w:val="26"/>
        </w:rPr>
      </w:pPr>
    </w:p>
    <w:p w14:paraId="590B0190" w14:textId="2A1AC202" w:rsidR="00FB2448" w:rsidRDefault="008B12CB" w:rsidP="00AC0907">
      <w:pPr>
        <w:snapToGrid w:val="0"/>
        <w:spacing w:after="0" w:line="360" w:lineRule="exact"/>
        <w:ind w:left="1305" w:hangingChars="500" w:hanging="1305"/>
        <w:jc w:val="both"/>
        <w:rPr>
          <w:rFonts w:asciiTheme="majorBidi" w:hAnsiTheme="majorBidi"/>
          <w:sz w:val="26"/>
          <w:szCs w:val="26"/>
        </w:rPr>
      </w:pPr>
      <w:r w:rsidRPr="00441478">
        <w:rPr>
          <w:rFonts w:asciiTheme="majorBidi" w:hAnsiTheme="majorBidi"/>
          <w:b/>
          <w:sz w:val="26"/>
          <w:szCs w:val="26"/>
        </w:rPr>
        <w:t>Keywords:</w:t>
      </w:r>
      <w:r w:rsidRPr="00441478">
        <w:rPr>
          <w:rFonts w:asciiTheme="majorBidi" w:hAnsiTheme="majorBidi"/>
          <w:sz w:val="26"/>
          <w:szCs w:val="26"/>
        </w:rPr>
        <w:t xml:space="preserve"> </w:t>
      </w:r>
      <w:r w:rsidR="0035550B" w:rsidRPr="00441478">
        <w:rPr>
          <w:rFonts w:asciiTheme="majorBidi" w:hAnsiTheme="majorBidi" w:cstheme="majorBidi"/>
          <w:sz w:val="26"/>
          <w:szCs w:val="26"/>
        </w:rPr>
        <w:t>E</w:t>
      </w:r>
      <w:r w:rsidRPr="00441478">
        <w:rPr>
          <w:rFonts w:asciiTheme="majorBidi" w:hAnsiTheme="majorBidi" w:cstheme="majorBidi"/>
          <w:sz w:val="26"/>
          <w:szCs w:val="26"/>
        </w:rPr>
        <w:t>arnings</w:t>
      </w:r>
      <w:r w:rsidRPr="00441478">
        <w:rPr>
          <w:rFonts w:asciiTheme="majorBidi" w:hAnsiTheme="majorBidi"/>
          <w:sz w:val="26"/>
          <w:szCs w:val="26"/>
        </w:rPr>
        <w:t xml:space="preserve"> qu</w:t>
      </w:r>
      <w:r w:rsidR="00BE7FF5" w:rsidRPr="00441478">
        <w:rPr>
          <w:rFonts w:asciiTheme="majorBidi" w:hAnsiTheme="majorBidi"/>
          <w:sz w:val="26"/>
          <w:szCs w:val="26"/>
        </w:rPr>
        <w:t xml:space="preserve">ality, </w:t>
      </w:r>
      <w:r w:rsidR="009935EE" w:rsidRPr="00441478">
        <w:rPr>
          <w:rFonts w:asciiTheme="majorBidi" w:hAnsiTheme="majorBidi" w:cstheme="majorBidi"/>
          <w:sz w:val="26"/>
          <w:szCs w:val="26"/>
        </w:rPr>
        <w:t>Earnings</w:t>
      </w:r>
      <w:r w:rsidR="009935EE" w:rsidRPr="00441478">
        <w:rPr>
          <w:rFonts w:asciiTheme="majorBidi" w:hAnsiTheme="majorBidi"/>
          <w:sz w:val="26"/>
          <w:szCs w:val="26"/>
        </w:rPr>
        <w:t xml:space="preserve"> quality</w:t>
      </w:r>
      <w:r w:rsidR="009935EE" w:rsidRPr="009935EE">
        <w:rPr>
          <w:rFonts w:asciiTheme="majorBidi" w:hAnsiTheme="majorBidi"/>
          <w:sz w:val="26"/>
          <w:szCs w:val="26"/>
        </w:rPr>
        <w:t xml:space="preserve"> </w:t>
      </w:r>
      <w:r w:rsidR="009935EE" w:rsidRPr="009935EE">
        <w:rPr>
          <w:rFonts w:asciiTheme="majorBidi" w:hAnsiTheme="majorBidi" w:cstheme="majorBidi"/>
          <w:sz w:val="26"/>
          <w:szCs w:val="26"/>
        </w:rPr>
        <w:t>proxies</w:t>
      </w:r>
      <w:r w:rsidR="00096489">
        <w:rPr>
          <w:rFonts w:asciiTheme="majorBidi" w:hAnsiTheme="majorBidi" w:cstheme="majorBidi"/>
          <w:sz w:val="26"/>
          <w:szCs w:val="26"/>
        </w:rPr>
        <w:t>,</w:t>
      </w:r>
      <w:r w:rsidR="009935EE" w:rsidRPr="009935EE">
        <w:rPr>
          <w:rFonts w:asciiTheme="majorBidi" w:hAnsiTheme="majorBidi" w:cstheme="majorBidi"/>
          <w:sz w:val="26"/>
          <w:szCs w:val="26"/>
        </w:rPr>
        <w:t xml:space="preserve"> </w:t>
      </w:r>
      <w:r w:rsidR="00A95E4E" w:rsidRPr="00441478">
        <w:rPr>
          <w:rFonts w:asciiTheme="majorBidi" w:hAnsiTheme="majorBidi" w:cstheme="majorBidi"/>
          <w:sz w:val="26"/>
          <w:szCs w:val="26"/>
        </w:rPr>
        <w:t xml:space="preserve">Foreign </w:t>
      </w:r>
      <w:r w:rsidR="00BE7FF5" w:rsidRPr="00441478">
        <w:rPr>
          <w:rFonts w:asciiTheme="majorBidi" w:hAnsiTheme="majorBidi" w:cstheme="majorBidi"/>
          <w:sz w:val="26"/>
          <w:szCs w:val="26"/>
        </w:rPr>
        <w:t>investor</w:t>
      </w:r>
      <w:r w:rsidR="0035550B" w:rsidRPr="00441478">
        <w:rPr>
          <w:rFonts w:asciiTheme="majorBidi" w:hAnsiTheme="majorBidi" w:cstheme="majorBidi"/>
          <w:sz w:val="26"/>
          <w:szCs w:val="26"/>
        </w:rPr>
        <w:t>, E</w:t>
      </w:r>
      <w:r w:rsidR="00BE7FF5" w:rsidRPr="00441478">
        <w:rPr>
          <w:rFonts w:asciiTheme="majorBidi" w:hAnsiTheme="majorBidi" w:cstheme="majorBidi"/>
          <w:sz w:val="26"/>
          <w:szCs w:val="26"/>
        </w:rPr>
        <w:t>merging market</w:t>
      </w:r>
      <w:r w:rsidR="009935EE">
        <w:rPr>
          <w:rFonts w:asciiTheme="majorBidi" w:hAnsiTheme="majorBidi" w:cstheme="majorBidi"/>
          <w:sz w:val="26"/>
          <w:szCs w:val="26"/>
        </w:rPr>
        <w:t xml:space="preserve">, </w:t>
      </w:r>
      <w:r w:rsidR="009935EE" w:rsidRPr="00441478">
        <w:rPr>
          <w:rFonts w:asciiTheme="majorBidi" w:hAnsiTheme="majorBidi"/>
          <w:sz w:val="26"/>
          <w:szCs w:val="26"/>
        </w:rPr>
        <w:t>Gulf Cooperation Council</w:t>
      </w:r>
    </w:p>
    <w:p w14:paraId="6E17ED9C" w14:textId="77777777" w:rsidR="00541754" w:rsidRPr="00441478" w:rsidRDefault="00541754" w:rsidP="00441478">
      <w:pPr>
        <w:snapToGrid w:val="0"/>
        <w:spacing w:after="0" w:line="360" w:lineRule="exact"/>
        <w:jc w:val="both"/>
        <w:rPr>
          <w:rFonts w:asciiTheme="majorBidi" w:hAnsiTheme="majorBidi"/>
          <w:sz w:val="26"/>
          <w:szCs w:val="26"/>
        </w:rPr>
      </w:pPr>
      <w:bookmarkStart w:id="0" w:name="_GoBack"/>
      <w:bookmarkEnd w:id="0"/>
    </w:p>
    <w:p w14:paraId="1647C9F5" w14:textId="77777777" w:rsidR="00FC2CCA" w:rsidRPr="00441478" w:rsidRDefault="00F309AE" w:rsidP="00441478">
      <w:pPr>
        <w:autoSpaceDE w:val="0"/>
        <w:autoSpaceDN w:val="0"/>
        <w:adjustRightInd w:val="0"/>
        <w:snapToGrid w:val="0"/>
        <w:spacing w:after="0" w:line="360" w:lineRule="exact"/>
        <w:jc w:val="center"/>
        <w:rPr>
          <w:rFonts w:asciiTheme="majorBidi" w:hAnsiTheme="majorBidi"/>
          <w:b/>
          <w:sz w:val="26"/>
          <w:szCs w:val="26"/>
        </w:rPr>
      </w:pPr>
      <w:r w:rsidRPr="00441478">
        <w:rPr>
          <w:rFonts w:asciiTheme="majorBidi" w:hAnsiTheme="majorBidi"/>
          <w:b/>
          <w:sz w:val="26"/>
          <w:szCs w:val="26"/>
        </w:rPr>
        <w:t>I</w:t>
      </w:r>
      <w:r w:rsidR="000C7FE3" w:rsidRPr="00441478">
        <w:rPr>
          <w:rFonts w:asciiTheme="majorBidi" w:hAnsiTheme="majorBidi"/>
          <w:b/>
          <w:sz w:val="26"/>
          <w:szCs w:val="26"/>
        </w:rPr>
        <w:t>NTRODUCTION</w:t>
      </w:r>
    </w:p>
    <w:p w14:paraId="5B1B6AE8" w14:textId="7D3DD993" w:rsidR="00321100" w:rsidRPr="00441478" w:rsidRDefault="00321100" w:rsidP="00C8366C">
      <w:pPr>
        <w:tabs>
          <w:tab w:val="left" w:pos="284"/>
          <w:tab w:val="left" w:pos="567"/>
        </w:tabs>
        <w:snapToGrid w:val="0"/>
        <w:spacing w:after="0" w:line="360" w:lineRule="exact"/>
        <w:ind w:firstLine="510"/>
        <w:jc w:val="both"/>
        <w:rPr>
          <w:rFonts w:asciiTheme="majorBidi" w:hAnsiTheme="majorBidi"/>
          <w:sz w:val="26"/>
          <w:szCs w:val="26"/>
        </w:rPr>
      </w:pPr>
      <w:r w:rsidRPr="00441478">
        <w:rPr>
          <w:rFonts w:asciiTheme="majorBidi" w:hAnsiTheme="majorBidi"/>
          <w:sz w:val="26"/>
          <w:szCs w:val="26"/>
        </w:rPr>
        <w:t xml:space="preserve">In recent years, </w:t>
      </w:r>
      <w:r w:rsidR="006B1C85" w:rsidRPr="00441478">
        <w:rPr>
          <w:rFonts w:asciiTheme="majorBidi" w:hAnsiTheme="majorBidi"/>
          <w:sz w:val="26"/>
          <w:szCs w:val="26"/>
        </w:rPr>
        <w:t>earnings quality</w:t>
      </w:r>
      <w:r w:rsidRPr="00441478">
        <w:rPr>
          <w:rFonts w:asciiTheme="majorBidi" w:hAnsiTheme="majorBidi"/>
          <w:sz w:val="26"/>
          <w:szCs w:val="26"/>
        </w:rPr>
        <w:t xml:space="preserve"> </w:t>
      </w:r>
      <w:r w:rsidR="006B1C85" w:rsidRPr="00441478">
        <w:rPr>
          <w:rFonts w:asciiTheme="majorBidi" w:hAnsiTheme="majorBidi"/>
          <w:sz w:val="26"/>
          <w:szCs w:val="26"/>
        </w:rPr>
        <w:t xml:space="preserve">(EQ) </w:t>
      </w:r>
      <w:r w:rsidRPr="00441478">
        <w:rPr>
          <w:rFonts w:asciiTheme="majorBidi" w:hAnsiTheme="majorBidi"/>
          <w:sz w:val="26"/>
          <w:szCs w:val="26"/>
        </w:rPr>
        <w:t>has become a topic of concern to analysts, creditors, managers</w:t>
      </w:r>
      <w:r w:rsidR="007D3C6D">
        <w:rPr>
          <w:rFonts w:asciiTheme="majorBidi" w:hAnsiTheme="majorBidi"/>
          <w:sz w:val="26"/>
          <w:szCs w:val="26"/>
        </w:rPr>
        <w:t>,</w:t>
      </w:r>
      <w:r w:rsidRPr="00441478">
        <w:rPr>
          <w:rFonts w:asciiTheme="majorBidi" w:hAnsiTheme="majorBidi"/>
          <w:sz w:val="26"/>
          <w:szCs w:val="26"/>
        </w:rPr>
        <w:t xml:space="preserve"> and other market participants</w:t>
      </w:r>
      <w:r w:rsidR="002A5D03" w:rsidRPr="00441478">
        <w:rPr>
          <w:rFonts w:asciiTheme="majorBidi" w:hAnsiTheme="majorBidi"/>
          <w:sz w:val="26"/>
          <w:szCs w:val="26"/>
        </w:rPr>
        <w:t xml:space="preserve"> </w:t>
      </w:r>
      <w:r w:rsidR="00B72F21" w:rsidRPr="00441478">
        <w:rPr>
          <w:rFonts w:asciiTheme="majorBidi" w:hAnsiTheme="majorBidi"/>
          <w:sz w:val="26"/>
          <w:szCs w:val="26"/>
        </w:rPr>
        <w:t xml:space="preserve">owing </w:t>
      </w:r>
      <w:r w:rsidR="002A5D03" w:rsidRPr="00441478">
        <w:rPr>
          <w:rFonts w:asciiTheme="majorBidi" w:hAnsiTheme="majorBidi"/>
          <w:sz w:val="26"/>
          <w:szCs w:val="26"/>
        </w:rPr>
        <w:t xml:space="preserve">to considerable interest in measuring the quality of financial reporting in developed and developing markets. </w:t>
      </w:r>
      <w:r w:rsidR="006B1C85" w:rsidRPr="00441478">
        <w:rPr>
          <w:rFonts w:asciiTheme="majorBidi" w:hAnsiTheme="majorBidi"/>
          <w:sz w:val="26"/>
          <w:szCs w:val="26"/>
        </w:rPr>
        <w:t>EQ</w:t>
      </w:r>
      <w:r w:rsidR="00B71A71" w:rsidRPr="00441478">
        <w:rPr>
          <w:rFonts w:asciiTheme="majorBidi" w:hAnsiTheme="majorBidi"/>
          <w:sz w:val="26"/>
          <w:szCs w:val="26"/>
        </w:rPr>
        <w:t xml:space="preserve"> is an elusive construct</w:t>
      </w:r>
      <w:r w:rsidR="007D3C6D">
        <w:rPr>
          <w:rFonts w:asciiTheme="majorBidi" w:hAnsiTheme="majorBidi"/>
          <w:sz w:val="26"/>
          <w:szCs w:val="26"/>
        </w:rPr>
        <w:t>,</w:t>
      </w:r>
      <w:r w:rsidR="00B71A71" w:rsidRPr="00441478">
        <w:rPr>
          <w:rFonts w:asciiTheme="majorBidi" w:hAnsiTheme="majorBidi"/>
          <w:sz w:val="26"/>
          <w:szCs w:val="26"/>
        </w:rPr>
        <w:t xml:space="preserve"> </w:t>
      </w:r>
      <w:r w:rsidR="00B72F21" w:rsidRPr="00441478">
        <w:rPr>
          <w:rFonts w:asciiTheme="majorBidi" w:hAnsiTheme="majorBidi"/>
          <w:sz w:val="26"/>
          <w:szCs w:val="26"/>
        </w:rPr>
        <w:t xml:space="preserve">though, </w:t>
      </w:r>
      <w:r w:rsidR="00B71A71" w:rsidRPr="00441478">
        <w:rPr>
          <w:rFonts w:asciiTheme="majorBidi" w:hAnsiTheme="majorBidi"/>
          <w:sz w:val="26"/>
          <w:szCs w:val="26"/>
        </w:rPr>
        <w:t xml:space="preserve">and people tend to understand it </w:t>
      </w:r>
      <w:r w:rsidR="00B72F21" w:rsidRPr="00441478">
        <w:rPr>
          <w:rFonts w:asciiTheme="majorBidi" w:hAnsiTheme="majorBidi"/>
          <w:sz w:val="26"/>
          <w:szCs w:val="26"/>
        </w:rPr>
        <w:t>differently</w:t>
      </w:r>
      <w:r w:rsidR="00B71A71" w:rsidRPr="00441478">
        <w:rPr>
          <w:rFonts w:asciiTheme="majorBidi" w:hAnsiTheme="majorBidi"/>
          <w:sz w:val="26"/>
          <w:szCs w:val="26"/>
        </w:rPr>
        <w:t xml:space="preserve">. </w:t>
      </w:r>
      <w:r w:rsidR="00E62AA3" w:rsidRPr="00441478">
        <w:rPr>
          <w:rFonts w:asciiTheme="majorBidi" w:hAnsiTheme="majorBidi"/>
          <w:sz w:val="26"/>
          <w:szCs w:val="26"/>
        </w:rPr>
        <w:t xml:space="preserve">Entwistle </w:t>
      </w:r>
      <w:r w:rsidR="00523653">
        <w:rPr>
          <w:rFonts w:asciiTheme="majorBidi" w:hAnsiTheme="majorBidi"/>
          <w:sz w:val="26"/>
          <w:szCs w:val="26"/>
        </w:rPr>
        <w:t>and</w:t>
      </w:r>
      <w:r w:rsidR="00E62AA3" w:rsidRPr="00441478">
        <w:rPr>
          <w:rFonts w:asciiTheme="majorBidi" w:hAnsiTheme="majorBidi"/>
          <w:sz w:val="26"/>
          <w:szCs w:val="26"/>
        </w:rPr>
        <w:t xml:space="preserve"> Phillips (200</w:t>
      </w:r>
      <w:r w:rsidR="0071726D" w:rsidRPr="00441478">
        <w:rPr>
          <w:rFonts w:asciiTheme="majorBidi" w:hAnsiTheme="majorBidi"/>
          <w:sz w:val="26"/>
          <w:szCs w:val="26"/>
        </w:rPr>
        <w:t>3) define</w:t>
      </w:r>
      <w:r w:rsidR="005742BC" w:rsidRPr="00441478">
        <w:rPr>
          <w:rFonts w:asciiTheme="majorBidi" w:hAnsiTheme="majorBidi"/>
          <w:sz w:val="26"/>
          <w:szCs w:val="26"/>
        </w:rPr>
        <w:t>d</w:t>
      </w:r>
      <w:r w:rsidR="00E62AA3" w:rsidRPr="00441478">
        <w:rPr>
          <w:rFonts w:asciiTheme="majorBidi" w:hAnsiTheme="majorBidi"/>
          <w:sz w:val="26"/>
          <w:szCs w:val="26"/>
        </w:rPr>
        <w:t xml:space="preserve"> </w:t>
      </w:r>
      <w:r w:rsidR="006B1C85" w:rsidRPr="00441478">
        <w:rPr>
          <w:rFonts w:asciiTheme="majorBidi" w:hAnsiTheme="majorBidi"/>
          <w:sz w:val="26"/>
          <w:szCs w:val="26"/>
        </w:rPr>
        <w:t>EQ</w:t>
      </w:r>
      <w:r w:rsidR="00E62AA3" w:rsidRPr="00441478">
        <w:rPr>
          <w:rFonts w:asciiTheme="majorBidi" w:hAnsiTheme="majorBidi"/>
          <w:sz w:val="26"/>
          <w:szCs w:val="26"/>
        </w:rPr>
        <w:t xml:space="preserve"> in terms of relevance and reliability of financial </w:t>
      </w:r>
      <w:r w:rsidR="00E62AA3" w:rsidRPr="00441478">
        <w:rPr>
          <w:rFonts w:asciiTheme="majorBidi" w:hAnsiTheme="majorBidi"/>
          <w:sz w:val="26"/>
          <w:szCs w:val="26"/>
        </w:rPr>
        <w:lastRenderedPageBreak/>
        <w:t>reporting</w:t>
      </w:r>
      <w:r w:rsidR="00B72F21" w:rsidRPr="00441478">
        <w:rPr>
          <w:rFonts w:asciiTheme="majorBidi" w:hAnsiTheme="majorBidi"/>
          <w:sz w:val="26"/>
          <w:szCs w:val="26"/>
        </w:rPr>
        <w:t xml:space="preserve">, whereas </w:t>
      </w:r>
      <w:proofErr w:type="spellStart"/>
      <w:r w:rsidRPr="00441478">
        <w:rPr>
          <w:rFonts w:asciiTheme="majorBidi" w:hAnsiTheme="majorBidi"/>
          <w:sz w:val="26"/>
          <w:szCs w:val="26"/>
        </w:rPr>
        <w:t>Dechow</w:t>
      </w:r>
      <w:proofErr w:type="spellEnd"/>
      <w:r w:rsidRPr="00441478">
        <w:rPr>
          <w:rFonts w:asciiTheme="majorBidi" w:hAnsiTheme="majorBidi"/>
          <w:sz w:val="26"/>
          <w:szCs w:val="26"/>
        </w:rPr>
        <w:t xml:space="preserve"> et al. (2010) </w:t>
      </w:r>
      <w:r w:rsidR="005742BC" w:rsidRPr="00441478">
        <w:rPr>
          <w:rFonts w:asciiTheme="majorBidi" w:hAnsiTheme="majorBidi"/>
          <w:sz w:val="26"/>
          <w:szCs w:val="26"/>
        </w:rPr>
        <w:t xml:space="preserve">portrayed </w:t>
      </w:r>
      <w:r w:rsidR="00B72F21" w:rsidRPr="00441478">
        <w:rPr>
          <w:rFonts w:asciiTheme="majorBidi" w:hAnsiTheme="majorBidi"/>
          <w:sz w:val="26"/>
          <w:szCs w:val="26"/>
        </w:rPr>
        <w:t>it</w:t>
      </w:r>
      <w:r w:rsidR="0034743F" w:rsidRPr="00441478">
        <w:rPr>
          <w:rFonts w:asciiTheme="majorBidi" w:hAnsiTheme="majorBidi"/>
          <w:sz w:val="26"/>
          <w:szCs w:val="26"/>
        </w:rPr>
        <w:t xml:space="preserve"> as an indicator of the future of financial performance. </w:t>
      </w:r>
      <w:proofErr w:type="spellStart"/>
      <w:r w:rsidR="00DD1847" w:rsidRPr="00441478">
        <w:rPr>
          <w:rFonts w:asciiTheme="majorBidi" w:hAnsiTheme="majorBidi"/>
          <w:sz w:val="26"/>
          <w:szCs w:val="26"/>
        </w:rPr>
        <w:t>Menicucci</w:t>
      </w:r>
      <w:proofErr w:type="spellEnd"/>
      <w:r w:rsidR="00DD1847" w:rsidRPr="00441478">
        <w:rPr>
          <w:rFonts w:asciiTheme="majorBidi" w:hAnsiTheme="majorBidi"/>
          <w:sz w:val="26"/>
          <w:szCs w:val="26"/>
        </w:rPr>
        <w:t xml:space="preserve"> (</w:t>
      </w:r>
      <w:r w:rsidR="00DD1847" w:rsidRPr="00441478">
        <w:rPr>
          <w:rFonts w:asciiTheme="majorBidi" w:hAnsiTheme="majorBidi" w:cstheme="majorBidi"/>
          <w:sz w:val="26"/>
          <w:szCs w:val="26"/>
        </w:rPr>
        <w:t>2020</w:t>
      </w:r>
      <w:r w:rsidR="00DB2A03" w:rsidRPr="00441478">
        <w:rPr>
          <w:rFonts w:asciiTheme="majorBidi" w:hAnsiTheme="majorBidi"/>
          <w:sz w:val="26"/>
          <w:szCs w:val="26"/>
        </w:rPr>
        <w:t xml:space="preserve">) </w:t>
      </w:r>
      <w:r w:rsidR="005742BC" w:rsidRPr="00441478">
        <w:rPr>
          <w:rFonts w:asciiTheme="majorBidi" w:hAnsiTheme="majorBidi"/>
          <w:sz w:val="26"/>
          <w:szCs w:val="26"/>
        </w:rPr>
        <w:t>described</w:t>
      </w:r>
      <w:r w:rsidR="00DB2A03" w:rsidRPr="00441478">
        <w:rPr>
          <w:rFonts w:asciiTheme="majorBidi" w:hAnsiTheme="majorBidi"/>
          <w:sz w:val="26"/>
          <w:szCs w:val="26"/>
        </w:rPr>
        <w:t xml:space="preserve"> </w:t>
      </w:r>
      <w:r w:rsidR="006B1C85" w:rsidRPr="00441478">
        <w:rPr>
          <w:rFonts w:asciiTheme="majorBidi" w:hAnsiTheme="majorBidi"/>
          <w:sz w:val="26"/>
          <w:szCs w:val="26"/>
        </w:rPr>
        <w:t>EQ</w:t>
      </w:r>
      <w:r w:rsidR="00DB2A03" w:rsidRPr="00441478">
        <w:rPr>
          <w:rFonts w:asciiTheme="majorBidi" w:hAnsiTheme="majorBidi"/>
          <w:sz w:val="26"/>
          <w:szCs w:val="26"/>
        </w:rPr>
        <w:t xml:space="preserve"> in the context of a specific decision model</w:t>
      </w:r>
      <w:r w:rsidR="007D3C6D">
        <w:rPr>
          <w:rFonts w:asciiTheme="majorBidi" w:hAnsiTheme="majorBidi"/>
          <w:sz w:val="26"/>
          <w:szCs w:val="26"/>
        </w:rPr>
        <w:t xml:space="preserve"> which means its meaning varies</w:t>
      </w:r>
      <w:r w:rsidR="00DB2A03" w:rsidRPr="00441478">
        <w:rPr>
          <w:rFonts w:asciiTheme="majorBidi" w:hAnsiTheme="majorBidi"/>
          <w:sz w:val="26"/>
          <w:szCs w:val="26"/>
        </w:rPr>
        <w:t xml:space="preserve"> to different financial statement users</w:t>
      </w:r>
      <w:r w:rsidR="00761D15" w:rsidRPr="00441478">
        <w:rPr>
          <w:rFonts w:asciiTheme="majorBidi" w:hAnsiTheme="majorBidi"/>
          <w:sz w:val="26"/>
          <w:szCs w:val="26"/>
        </w:rPr>
        <w:t xml:space="preserve">. </w:t>
      </w:r>
      <w:r w:rsidR="00B72F21" w:rsidRPr="00441478">
        <w:rPr>
          <w:rFonts w:asciiTheme="majorBidi" w:hAnsiTheme="majorBidi"/>
          <w:sz w:val="26"/>
          <w:szCs w:val="26"/>
        </w:rPr>
        <w:t>The various definitions are</w:t>
      </w:r>
      <w:r w:rsidR="00761D15" w:rsidRPr="00441478">
        <w:rPr>
          <w:rFonts w:asciiTheme="majorBidi" w:hAnsiTheme="majorBidi"/>
          <w:sz w:val="26"/>
          <w:szCs w:val="26"/>
        </w:rPr>
        <w:t xml:space="preserve"> accepted by many researchers (</w:t>
      </w:r>
      <w:r w:rsidR="008E286E" w:rsidRPr="00441478">
        <w:rPr>
          <w:rFonts w:asciiTheme="majorBidi" w:hAnsiTheme="majorBidi"/>
          <w:sz w:val="26"/>
          <w:szCs w:val="26"/>
        </w:rPr>
        <w:t>An, 2017</w:t>
      </w:r>
      <w:r w:rsidR="008E286E">
        <w:rPr>
          <w:rFonts w:asciiTheme="majorBidi" w:hAnsiTheme="majorBidi"/>
          <w:sz w:val="26"/>
          <w:szCs w:val="26"/>
        </w:rPr>
        <w:t xml:space="preserve">; </w:t>
      </w:r>
      <w:proofErr w:type="spellStart"/>
      <w:r w:rsidR="00761D15" w:rsidRPr="00441478">
        <w:rPr>
          <w:rFonts w:asciiTheme="majorBidi" w:hAnsiTheme="majorBidi"/>
          <w:sz w:val="26"/>
          <w:szCs w:val="26"/>
        </w:rPr>
        <w:t>Dechow</w:t>
      </w:r>
      <w:proofErr w:type="spellEnd"/>
      <w:r w:rsidR="00761D15" w:rsidRPr="00441478">
        <w:rPr>
          <w:rFonts w:asciiTheme="majorBidi" w:hAnsiTheme="majorBidi"/>
          <w:sz w:val="26"/>
          <w:szCs w:val="26"/>
        </w:rPr>
        <w:t xml:space="preserve"> et al., 2010;</w:t>
      </w:r>
      <w:r w:rsidR="00A15E39" w:rsidRPr="00441478">
        <w:rPr>
          <w:rFonts w:asciiTheme="majorBidi" w:hAnsiTheme="majorBidi"/>
          <w:sz w:val="26"/>
          <w:szCs w:val="26"/>
        </w:rPr>
        <w:t xml:space="preserve"> </w:t>
      </w:r>
      <w:proofErr w:type="spellStart"/>
      <w:r w:rsidR="00E221EB" w:rsidRPr="00441478">
        <w:rPr>
          <w:rFonts w:asciiTheme="majorBidi" w:hAnsiTheme="majorBidi"/>
          <w:sz w:val="26"/>
          <w:szCs w:val="26"/>
        </w:rPr>
        <w:t>Dichev</w:t>
      </w:r>
      <w:proofErr w:type="spellEnd"/>
      <w:r w:rsidR="00E221EB" w:rsidRPr="00441478">
        <w:rPr>
          <w:rFonts w:asciiTheme="majorBidi" w:hAnsiTheme="majorBidi"/>
          <w:sz w:val="26"/>
          <w:szCs w:val="26"/>
        </w:rPr>
        <w:t xml:space="preserve"> et al., </w:t>
      </w:r>
      <w:r w:rsidR="00E221EB" w:rsidRPr="00441478">
        <w:rPr>
          <w:rFonts w:asciiTheme="majorBidi" w:hAnsiTheme="majorBidi" w:cstheme="majorBidi"/>
          <w:sz w:val="26"/>
          <w:szCs w:val="26"/>
        </w:rPr>
        <w:t>2013</w:t>
      </w:r>
      <w:r w:rsidR="002A5D03" w:rsidRPr="00441478">
        <w:rPr>
          <w:rFonts w:asciiTheme="majorBidi" w:hAnsiTheme="majorBidi"/>
          <w:sz w:val="26"/>
          <w:szCs w:val="26"/>
        </w:rPr>
        <w:t xml:space="preserve">; </w:t>
      </w:r>
      <w:proofErr w:type="spellStart"/>
      <w:r w:rsidR="00A15E39" w:rsidRPr="00441478">
        <w:rPr>
          <w:rFonts w:asciiTheme="majorBidi" w:hAnsiTheme="majorBidi"/>
          <w:sz w:val="26"/>
          <w:szCs w:val="26"/>
        </w:rPr>
        <w:t>Lyimo</w:t>
      </w:r>
      <w:proofErr w:type="spellEnd"/>
      <w:r w:rsidR="00A15E39" w:rsidRPr="00441478">
        <w:rPr>
          <w:rFonts w:asciiTheme="majorBidi" w:hAnsiTheme="majorBidi"/>
          <w:sz w:val="26"/>
          <w:szCs w:val="26"/>
        </w:rPr>
        <w:t>, 2014;</w:t>
      </w:r>
      <w:r w:rsidR="002A5D03" w:rsidRPr="00441478">
        <w:rPr>
          <w:rFonts w:asciiTheme="majorBidi" w:hAnsiTheme="majorBidi"/>
          <w:sz w:val="26"/>
          <w:szCs w:val="26"/>
        </w:rPr>
        <w:t xml:space="preserve"> </w:t>
      </w:r>
      <w:proofErr w:type="spellStart"/>
      <w:r w:rsidR="00761D15" w:rsidRPr="00441478">
        <w:rPr>
          <w:rFonts w:asciiTheme="majorBidi" w:hAnsiTheme="majorBidi"/>
          <w:sz w:val="26"/>
          <w:szCs w:val="26"/>
        </w:rPr>
        <w:t>Menicucci</w:t>
      </w:r>
      <w:proofErr w:type="spellEnd"/>
      <w:r w:rsidR="00DD1847" w:rsidRPr="00441478">
        <w:rPr>
          <w:rFonts w:asciiTheme="majorBidi" w:hAnsiTheme="majorBidi"/>
          <w:sz w:val="26"/>
          <w:szCs w:val="26"/>
        </w:rPr>
        <w:t xml:space="preserve">, </w:t>
      </w:r>
      <w:r w:rsidR="00DD1847" w:rsidRPr="00441478">
        <w:rPr>
          <w:rFonts w:asciiTheme="majorBidi" w:hAnsiTheme="majorBidi" w:cstheme="majorBidi"/>
          <w:sz w:val="26"/>
          <w:szCs w:val="26"/>
        </w:rPr>
        <w:t>2020</w:t>
      </w:r>
      <w:r w:rsidR="00E62AA3" w:rsidRPr="00441478">
        <w:rPr>
          <w:rFonts w:asciiTheme="majorBidi" w:hAnsiTheme="majorBidi"/>
          <w:sz w:val="26"/>
          <w:szCs w:val="26"/>
        </w:rPr>
        <w:t>)</w:t>
      </w:r>
      <w:r w:rsidR="00B71A71" w:rsidRPr="00441478">
        <w:rPr>
          <w:rFonts w:asciiTheme="majorBidi" w:hAnsiTheme="majorBidi"/>
          <w:sz w:val="26"/>
          <w:szCs w:val="26"/>
        </w:rPr>
        <w:t xml:space="preserve">. </w:t>
      </w:r>
      <w:r w:rsidR="00B72F21" w:rsidRPr="00441478">
        <w:rPr>
          <w:rFonts w:asciiTheme="majorBidi" w:hAnsiTheme="majorBidi"/>
          <w:sz w:val="26"/>
          <w:szCs w:val="26"/>
        </w:rPr>
        <w:t>T</w:t>
      </w:r>
      <w:r w:rsidR="002A1F4C" w:rsidRPr="00441478">
        <w:rPr>
          <w:rFonts w:asciiTheme="majorBidi" w:hAnsiTheme="majorBidi"/>
          <w:sz w:val="26"/>
          <w:szCs w:val="26"/>
        </w:rPr>
        <w:t xml:space="preserve">he literature </w:t>
      </w:r>
      <w:r w:rsidR="00B72F21" w:rsidRPr="00441478">
        <w:rPr>
          <w:rFonts w:asciiTheme="majorBidi" w:hAnsiTheme="majorBidi"/>
          <w:sz w:val="26"/>
          <w:szCs w:val="26"/>
        </w:rPr>
        <w:t xml:space="preserve">also has yet to reach a consensus </w:t>
      </w:r>
      <w:r w:rsidR="002A1F4C" w:rsidRPr="00441478">
        <w:rPr>
          <w:rFonts w:asciiTheme="majorBidi" w:hAnsiTheme="majorBidi"/>
          <w:sz w:val="26"/>
          <w:szCs w:val="26"/>
        </w:rPr>
        <w:t xml:space="preserve">about </w:t>
      </w:r>
      <w:r w:rsidR="006B1C85" w:rsidRPr="00441478">
        <w:rPr>
          <w:rFonts w:asciiTheme="majorBidi" w:hAnsiTheme="majorBidi"/>
          <w:sz w:val="26"/>
          <w:szCs w:val="26"/>
        </w:rPr>
        <w:t>EQ</w:t>
      </w:r>
      <w:r w:rsidR="00B72F21" w:rsidRPr="00441478">
        <w:rPr>
          <w:rFonts w:asciiTheme="majorBidi" w:hAnsiTheme="majorBidi"/>
          <w:sz w:val="26"/>
          <w:szCs w:val="26"/>
        </w:rPr>
        <w:t xml:space="preserve"> measures</w:t>
      </w:r>
      <w:r w:rsidR="00ED5B65" w:rsidRPr="00441478">
        <w:rPr>
          <w:rFonts w:asciiTheme="majorBidi" w:hAnsiTheme="majorBidi"/>
          <w:sz w:val="26"/>
          <w:szCs w:val="26"/>
        </w:rPr>
        <w:t>. D</w:t>
      </w:r>
      <w:r w:rsidR="002A1F4C" w:rsidRPr="00441478">
        <w:rPr>
          <w:rFonts w:asciiTheme="majorBidi" w:hAnsiTheme="majorBidi"/>
          <w:sz w:val="26"/>
          <w:szCs w:val="26"/>
        </w:rPr>
        <w:t>espite t</w:t>
      </w:r>
      <w:r w:rsidR="00787534" w:rsidRPr="00441478">
        <w:rPr>
          <w:rFonts w:asciiTheme="majorBidi" w:hAnsiTheme="majorBidi"/>
          <w:sz w:val="26"/>
          <w:szCs w:val="26"/>
        </w:rPr>
        <w:t xml:space="preserve">he </w:t>
      </w:r>
      <w:r w:rsidR="005742BC" w:rsidRPr="00441478">
        <w:rPr>
          <w:rFonts w:asciiTheme="majorBidi" w:hAnsiTheme="majorBidi"/>
          <w:sz w:val="26"/>
          <w:szCs w:val="26"/>
        </w:rPr>
        <w:t>lack of</w:t>
      </w:r>
      <w:r w:rsidR="00B71A71" w:rsidRPr="00441478">
        <w:rPr>
          <w:rFonts w:asciiTheme="majorBidi" w:hAnsiTheme="majorBidi"/>
          <w:sz w:val="26"/>
          <w:szCs w:val="26"/>
        </w:rPr>
        <w:t xml:space="preserve"> widely accepted measures, the literature has established a number of </w:t>
      </w:r>
      <w:r w:rsidR="006B1C85" w:rsidRPr="00441478">
        <w:rPr>
          <w:rFonts w:asciiTheme="majorBidi" w:hAnsiTheme="majorBidi"/>
          <w:sz w:val="26"/>
          <w:szCs w:val="26"/>
        </w:rPr>
        <w:t>EQ</w:t>
      </w:r>
      <w:r w:rsidR="00B71A71" w:rsidRPr="00441478">
        <w:rPr>
          <w:rFonts w:asciiTheme="majorBidi" w:hAnsiTheme="majorBidi"/>
          <w:sz w:val="26"/>
          <w:szCs w:val="26"/>
        </w:rPr>
        <w:t xml:space="preserve"> measures that concentrate on the specific qualities of what </w:t>
      </w:r>
      <w:r w:rsidR="006B1C85" w:rsidRPr="00441478">
        <w:rPr>
          <w:rFonts w:asciiTheme="majorBidi" w:hAnsiTheme="majorBidi"/>
          <w:sz w:val="26"/>
          <w:szCs w:val="26"/>
        </w:rPr>
        <w:t>EQ</w:t>
      </w:r>
      <w:r w:rsidR="00B71A71" w:rsidRPr="00441478">
        <w:rPr>
          <w:rFonts w:asciiTheme="majorBidi" w:hAnsiTheme="majorBidi"/>
          <w:sz w:val="26"/>
          <w:szCs w:val="26"/>
        </w:rPr>
        <w:t xml:space="preserve"> is perceived to be. </w:t>
      </w:r>
    </w:p>
    <w:p w14:paraId="6CAAA81D" w14:textId="50F0A9D0" w:rsidR="00940F40" w:rsidRPr="00441478" w:rsidRDefault="002A1F4C" w:rsidP="001C79FD">
      <w:pPr>
        <w:pStyle w:val="Default"/>
        <w:snapToGrid w:val="0"/>
        <w:spacing w:line="360" w:lineRule="exact"/>
        <w:ind w:firstLine="510"/>
        <w:jc w:val="both"/>
        <w:rPr>
          <w:rFonts w:asciiTheme="majorBidi" w:hAnsiTheme="majorBidi"/>
          <w:color w:val="auto"/>
          <w:sz w:val="26"/>
          <w:szCs w:val="26"/>
          <w:lang w:val="en-GB"/>
        </w:rPr>
      </w:pPr>
      <w:r w:rsidRPr="00441478">
        <w:rPr>
          <w:rFonts w:asciiTheme="majorBidi" w:hAnsiTheme="majorBidi"/>
          <w:color w:val="auto"/>
          <w:sz w:val="26"/>
          <w:szCs w:val="26"/>
          <w:lang w:val="en-GB"/>
        </w:rPr>
        <w:t xml:space="preserve">In this regard, two streams of studies about </w:t>
      </w:r>
      <w:r w:rsidR="006B1C85" w:rsidRPr="00441478">
        <w:rPr>
          <w:rFonts w:asciiTheme="majorBidi" w:hAnsiTheme="majorBidi"/>
          <w:color w:val="auto"/>
          <w:sz w:val="26"/>
          <w:szCs w:val="26"/>
          <w:lang w:val="en-GB"/>
        </w:rPr>
        <w:t>EQ</w:t>
      </w:r>
      <w:r w:rsidR="005742BC" w:rsidRPr="00441478">
        <w:rPr>
          <w:rFonts w:asciiTheme="majorBidi" w:hAnsiTheme="majorBidi"/>
          <w:color w:val="auto"/>
          <w:sz w:val="26"/>
          <w:szCs w:val="26"/>
          <w:lang w:val="en-GB"/>
        </w:rPr>
        <w:t xml:space="preserve"> emerge</w:t>
      </w:r>
      <w:r w:rsidRPr="00441478">
        <w:rPr>
          <w:rFonts w:asciiTheme="majorBidi" w:hAnsiTheme="majorBidi"/>
          <w:color w:val="auto"/>
          <w:sz w:val="26"/>
          <w:szCs w:val="26"/>
          <w:lang w:val="en-GB"/>
        </w:rPr>
        <w:t xml:space="preserve">. </w:t>
      </w:r>
      <w:r w:rsidR="006B1C85" w:rsidRPr="00441478">
        <w:rPr>
          <w:rFonts w:asciiTheme="majorBidi" w:hAnsiTheme="majorBidi"/>
          <w:color w:val="auto"/>
          <w:sz w:val="26"/>
          <w:szCs w:val="26"/>
          <w:lang w:val="en-GB"/>
        </w:rPr>
        <w:t>In the first stream</w:t>
      </w:r>
      <w:r w:rsidR="00634D87" w:rsidRPr="00441478">
        <w:rPr>
          <w:rFonts w:asciiTheme="majorBidi" w:hAnsiTheme="majorBidi"/>
          <w:color w:val="auto"/>
          <w:sz w:val="26"/>
          <w:szCs w:val="26"/>
          <w:lang w:val="en-GB"/>
        </w:rPr>
        <w:t xml:space="preserve">, </w:t>
      </w:r>
      <w:r w:rsidR="005742BC" w:rsidRPr="00441478">
        <w:rPr>
          <w:rFonts w:asciiTheme="majorBidi" w:hAnsiTheme="majorBidi"/>
          <w:color w:val="auto"/>
          <w:sz w:val="26"/>
          <w:szCs w:val="26"/>
          <w:lang w:val="en-GB"/>
        </w:rPr>
        <w:t>a</w:t>
      </w:r>
      <w:r w:rsidR="00634D87" w:rsidRPr="00441478">
        <w:rPr>
          <w:rFonts w:asciiTheme="majorBidi" w:hAnsiTheme="majorBidi"/>
          <w:color w:val="auto"/>
          <w:sz w:val="26"/>
          <w:szCs w:val="26"/>
          <w:lang w:val="en-GB"/>
        </w:rPr>
        <w:t xml:space="preserve"> considerable number of studies focus on measuring </w:t>
      </w:r>
      <w:r w:rsidR="006B1C85" w:rsidRPr="00441478">
        <w:rPr>
          <w:rFonts w:asciiTheme="majorBidi" w:hAnsiTheme="majorBidi"/>
          <w:color w:val="auto"/>
          <w:sz w:val="26"/>
          <w:szCs w:val="26"/>
          <w:lang w:val="en-GB"/>
        </w:rPr>
        <w:t>EQ</w:t>
      </w:r>
      <w:r w:rsidR="00634D87" w:rsidRPr="00441478">
        <w:rPr>
          <w:rFonts w:asciiTheme="majorBidi" w:hAnsiTheme="majorBidi"/>
          <w:color w:val="auto"/>
          <w:sz w:val="26"/>
          <w:szCs w:val="26"/>
          <w:lang w:val="en-GB"/>
        </w:rPr>
        <w:t xml:space="preserve"> (e.g.</w:t>
      </w:r>
      <w:r w:rsidR="007D3C6D">
        <w:rPr>
          <w:rFonts w:asciiTheme="majorBidi" w:hAnsiTheme="majorBidi"/>
          <w:color w:val="auto"/>
          <w:sz w:val="26"/>
          <w:szCs w:val="26"/>
          <w:lang w:val="en-GB"/>
        </w:rPr>
        <w:t>,</w:t>
      </w:r>
      <w:r w:rsidR="00634D87" w:rsidRPr="00441478">
        <w:rPr>
          <w:rFonts w:asciiTheme="majorBidi" w:hAnsiTheme="majorBidi"/>
          <w:color w:val="auto"/>
          <w:sz w:val="26"/>
          <w:szCs w:val="26"/>
          <w:lang w:val="en-GB"/>
        </w:rPr>
        <w:t xml:space="preserve"> </w:t>
      </w:r>
      <w:r w:rsidR="007B380A" w:rsidRPr="00441478">
        <w:rPr>
          <w:rFonts w:asciiTheme="majorBidi" w:hAnsiTheme="majorBidi"/>
          <w:color w:val="auto"/>
          <w:sz w:val="26"/>
          <w:szCs w:val="26"/>
          <w:lang w:val="en-GB"/>
        </w:rPr>
        <w:t>An, 2017;</w:t>
      </w:r>
      <w:r w:rsidR="007B380A">
        <w:rPr>
          <w:rFonts w:asciiTheme="majorBidi" w:hAnsiTheme="majorBidi"/>
          <w:color w:val="auto"/>
          <w:sz w:val="26"/>
          <w:szCs w:val="26"/>
          <w:lang w:val="en-GB"/>
        </w:rPr>
        <w:t xml:space="preserve"> </w:t>
      </w:r>
      <w:proofErr w:type="spellStart"/>
      <w:r w:rsidR="007B380A" w:rsidRPr="00441478">
        <w:rPr>
          <w:rFonts w:asciiTheme="majorBidi" w:hAnsiTheme="majorBidi"/>
          <w:color w:val="auto"/>
          <w:sz w:val="26"/>
          <w:szCs w:val="26"/>
          <w:lang w:val="en-GB"/>
        </w:rPr>
        <w:t>Dechow</w:t>
      </w:r>
      <w:proofErr w:type="spellEnd"/>
      <w:r w:rsidR="007B380A" w:rsidRPr="00441478">
        <w:rPr>
          <w:rFonts w:asciiTheme="majorBidi" w:hAnsiTheme="majorBidi"/>
          <w:color w:val="auto"/>
          <w:sz w:val="26"/>
          <w:szCs w:val="26"/>
          <w:lang w:val="en-GB"/>
        </w:rPr>
        <w:t xml:space="preserve"> </w:t>
      </w:r>
      <w:r w:rsidR="007B380A">
        <w:rPr>
          <w:rFonts w:asciiTheme="majorBidi" w:hAnsiTheme="majorBidi"/>
          <w:color w:val="auto"/>
          <w:sz w:val="26"/>
          <w:szCs w:val="26"/>
          <w:lang w:val="en-GB"/>
        </w:rPr>
        <w:t xml:space="preserve">&amp; </w:t>
      </w:r>
      <w:proofErr w:type="spellStart"/>
      <w:r w:rsidR="007B380A" w:rsidRPr="00441478">
        <w:rPr>
          <w:rFonts w:asciiTheme="majorBidi" w:hAnsiTheme="majorBidi"/>
          <w:color w:val="auto"/>
          <w:sz w:val="26"/>
          <w:szCs w:val="26"/>
          <w:lang w:val="en-GB"/>
        </w:rPr>
        <w:t>Dichev</w:t>
      </w:r>
      <w:proofErr w:type="spellEnd"/>
      <w:r w:rsidR="007B380A" w:rsidRPr="00441478">
        <w:rPr>
          <w:rFonts w:asciiTheme="majorBidi" w:hAnsiTheme="majorBidi"/>
          <w:color w:val="auto"/>
          <w:sz w:val="26"/>
          <w:szCs w:val="26"/>
          <w:lang w:val="en-GB"/>
        </w:rPr>
        <w:t xml:space="preserve">, 2002; </w:t>
      </w:r>
      <w:proofErr w:type="spellStart"/>
      <w:r w:rsidR="007B380A" w:rsidRPr="00441478">
        <w:rPr>
          <w:rFonts w:asciiTheme="majorBidi" w:hAnsiTheme="majorBidi"/>
          <w:color w:val="auto"/>
          <w:sz w:val="26"/>
          <w:szCs w:val="26"/>
          <w:lang w:val="en-GB"/>
        </w:rPr>
        <w:t>Dichev</w:t>
      </w:r>
      <w:proofErr w:type="spellEnd"/>
      <w:r w:rsidR="007B380A" w:rsidRPr="00441478">
        <w:rPr>
          <w:rFonts w:asciiTheme="majorBidi" w:hAnsiTheme="majorBidi"/>
          <w:color w:val="auto"/>
          <w:sz w:val="26"/>
          <w:szCs w:val="26"/>
          <w:lang w:val="en-GB"/>
        </w:rPr>
        <w:t xml:space="preserve"> et al., </w:t>
      </w:r>
      <w:r w:rsidR="007B380A" w:rsidRPr="00441478">
        <w:rPr>
          <w:rFonts w:asciiTheme="majorBidi" w:hAnsiTheme="majorBidi" w:cstheme="majorBidi"/>
          <w:color w:val="auto"/>
          <w:sz w:val="26"/>
          <w:szCs w:val="26"/>
          <w:lang w:val="en-GB"/>
        </w:rPr>
        <w:t>2013</w:t>
      </w:r>
      <w:r w:rsidR="007B380A" w:rsidRPr="00441478">
        <w:rPr>
          <w:rFonts w:asciiTheme="majorBidi" w:hAnsiTheme="majorBidi"/>
          <w:color w:val="auto"/>
          <w:sz w:val="26"/>
          <w:szCs w:val="26"/>
          <w:lang w:val="en-GB"/>
        </w:rPr>
        <w:t xml:space="preserve">; </w:t>
      </w:r>
      <w:r w:rsidR="00D26FCE">
        <w:rPr>
          <w:rFonts w:asciiTheme="majorBidi" w:hAnsiTheme="majorBidi"/>
          <w:color w:val="auto"/>
          <w:sz w:val="26"/>
          <w:szCs w:val="26"/>
          <w:lang w:val="en-GB"/>
        </w:rPr>
        <w:t>Holt</w:t>
      </w:r>
      <w:r w:rsidR="004E1CC3" w:rsidRPr="00441478">
        <w:rPr>
          <w:rFonts w:asciiTheme="majorBidi" w:hAnsiTheme="majorBidi"/>
          <w:color w:val="auto"/>
          <w:sz w:val="26"/>
          <w:szCs w:val="26"/>
          <w:lang w:val="en-GB"/>
        </w:rPr>
        <w:t xml:space="preserve">, 2013; </w:t>
      </w:r>
      <w:r w:rsidR="007B380A" w:rsidRPr="00441478">
        <w:rPr>
          <w:rFonts w:asciiTheme="majorBidi" w:hAnsiTheme="majorBidi"/>
          <w:color w:val="auto"/>
          <w:sz w:val="26"/>
          <w:szCs w:val="26"/>
          <w:lang w:val="en-GB"/>
        </w:rPr>
        <w:t xml:space="preserve">Leal et al., 2017; </w:t>
      </w:r>
      <w:proofErr w:type="spellStart"/>
      <w:r w:rsidR="00634D87" w:rsidRPr="00441478">
        <w:rPr>
          <w:rFonts w:asciiTheme="majorBidi" w:hAnsiTheme="majorBidi"/>
          <w:color w:val="auto"/>
          <w:sz w:val="26"/>
          <w:szCs w:val="26"/>
          <w:lang w:val="en-GB"/>
        </w:rPr>
        <w:t>Lyimo</w:t>
      </w:r>
      <w:proofErr w:type="spellEnd"/>
      <w:r w:rsidR="00634D87" w:rsidRPr="00441478">
        <w:rPr>
          <w:rFonts w:asciiTheme="majorBidi" w:hAnsiTheme="majorBidi"/>
          <w:color w:val="auto"/>
          <w:sz w:val="26"/>
          <w:szCs w:val="26"/>
          <w:lang w:val="en-GB"/>
        </w:rPr>
        <w:t>, 2014</w:t>
      </w:r>
      <w:r w:rsidR="00E221EB" w:rsidRPr="00441478">
        <w:rPr>
          <w:rFonts w:asciiTheme="majorBidi" w:hAnsiTheme="majorBidi"/>
          <w:color w:val="auto"/>
          <w:sz w:val="26"/>
          <w:szCs w:val="26"/>
          <w:lang w:val="en-GB"/>
        </w:rPr>
        <w:t xml:space="preserve">; </w:t>
      </w:r>
      <w:proofErr w:type="spellStart"/>
      <w:r w:rsidR="003208ED">
        <w:rPr>
          <w:rFonts w:asciiTheme="majorBidi" w:hAnsiTheme="majorBidi"/>
          <w:color w:val="auto"/>
          <w:sz w:val="26"/>
          <w:szCs w:val="26"/>
          <w:lang w:val="en-GB"/>
        </w:rPr>
        <w:t>Ne</w:t>
      </w:r>
      <w:r w:rsidR="007B380A" w:rsidRPr="00441478">
        <w:rPr>
          <w:rFonts w:asciiTheme="majorBidi" w:hAnsiTheme="majorBidi"/>
          <w:color w:val="auto"/>
          <w:sz w:val="26"/>
          <w:szCs w:val="26"/>
          <w:lang w:val="en-GB"/>
        </w:rPr>
        <w:t>zlobin</w:t>
      </w:r>
      <w:proofErr w:type="spellEnd"/>
      <w:r w:rsidR="007B380A" w:rsidRPr="00441478">
        <w:rPr>
          <w:rFonts w:asciiTheme="majorBidi" w:hAnsiTheme="majorBidi"/>
          <w:color w:val="auto"/>
          <w:sz w:val="26"/>
          <w:szCs w:val="26"/>
          <w:lang w:val="en-GB"/>
        </w:rPr>
        <w:t xml:space="preserve"> et al., 2019;</w:t>
      </w:r>
      <w:r w:rsidR="007B380A">
        <w:rPr>
          <w:rFonts w:asciiTheme="majorBidi" w:hAnsiTheme="majorBidi"/>
          <w:color w:val="auto"/>
          <w:sz w:val="26"/>
          <w:szCs w:val="26"/>
          <w:lang w:val="en-GB"/>
        </w:rPr>
        <w:t xml:space="preserve"> </w:t>
      </w:r>
      <w:proofErr w:type="spellStart"/>
      <w:r w:rsidR="00634D87" w:rsidRPr="00441478">
        <w:rPr>
          <w:rFonts w:asciiTheme="majorBidi" w:hAnsiTheme="majorBidi"/>
          <w:color w:val="auto"/>
          <w:sz w:val="26"/>
          <w:szCs w:val="26"/>
          <w:lang w:val="en-GB"/>
        </w:rPr>
        <w:t>Radzi</w:t>
      </w:r>
      <w:proofErr w:type="spellEnd"/>
      <w:r w:rsidR="00634D87" w:rsidRPr="00441478">
        <w:rPr>
          <w:rFonts w:asciiTheme="majorBidi" w:hAnsiTheme="majorBidi"/>
          <w:color w:val="auto"/>
          <w:sz w:val="26"/>
          <w:szCs w:val="26"/>
          <w:lang w:val="en-GB"/>
        </w:rPr>
        <w:t xml:space="preserve"> et al., 2011). </w:t>
      </w:r>
      <w:r w:rsidR="00E56E4E" w:rsidRPr="00441478">
        <w:rPr>
          <w:rFonts w:asciiTheme="majorBidi" w:hAnsiTheme="majorBidi"/>
          <w:color w:val="auto"/>
          <w:sz w:val="26"/>
          <w:szCs w:val="26"/>
          <w:lang w:val="en-GB"/>
        </w:rPr>
        <w:t>In t</w:t>
      </w:r>
      <w:r w:rsidR="00634D87" w:rsidRPr="00441478">
        <w:rPr>
          <w:rFonts w:asciiTheme="majorBidi" w:hAnsiTheme="majorBidi"/>
          <w:color w:val="auto"/>
          <w:sz w:val="26"/>
          <w:szCs w:val="26"/>
          <w:lang w:val="en-GB"/>
        </w:rPr>
        <w:t>he second</w:t>
      </w:r>
      <w:r w:rsidR="00E56E4E" w:rsidRPr="00441478">
        <w:rPr>
          <w:rFonts w:asciiTheme="majorBidi" w:hAnsiTheme="majorBidi"/>
          <w:color w:val="auto"/>
          <w:sz w:val="26"/>
          <w:szCs w:val="26"/>
          <w:lang w:val="en-GB"/>
        </w:rPr>
        <w:t xml:space="preserve"> stream, </w:t>
      </w:r>
      <w:r w:rsidR="005742BC" w:rsidRPr="00441478">
        <w:rPr>
          <w:rFonts w:asciiTheme="majorBidi" w:hAnsiTheme="majorBidi"/>
          <w:color w:val="auto"/>
          <w:sz w:val="26"/>
          <w:szCs w:val="26"/>
          <w:lang w:val="en-GB"/>
        </w:rPr>
        <w:t>numerous</w:t>
      </w:r>
      <w:r w:rsidR="00E56E4E" w:rsidRPr="00441478">
        <w:rPr>
          <w:rFonts w:asciiTheme="majorBidi" w:hAnsiTheme="majorBidi"/>
          <w:color w:val="auto"/>
          <w:sz w:val="26"/>
          <w:szCs w:val="26"/>
          <w:lang w:val="en-GB"/>
        </w:rPr>
        <w:t xml:space="preserve"> studies </w:t>
      </w:r>
      <w:r w:rsidR="005742BC" w:rsidRPr="00441478">
        <w:rPr>
          <w:rFonts w:asciiTheme="majorBidi" w:hAnsiTheme="majorBidi"/>
          <w:color w:val="auto"/>
          <w:sz w:val="26"/>
          <w:szCs w:val="26"/>
          <w:lang w:val="en-GB"/>
        </w:rPr>
        <w:t xml:space="preserve">provide </w:t>
      </w:r>
      <w:r w:rsidR="00E56E4E" w:rsidRPr="00441478">
        <w:rPr>
          <w:rFonts w:asciiTheme="majorBidi" w:hAnsiTheme="majorBidi"/>
          <w:color w:val="auto"/>
          <w:sz w:val="26"/>
          <w:szCs w:val="26"/>
          <w:lang w:val="en-GB"/>
        </w:rPr>
        <w:t xml:space="preserve">evidence that </w:t>
      </w:r>
      <w:r w:rsidR="006B1C85" w:rsidRPr="00441478">
        <w:rPr>
          <w:rFonts w:asciiTheme="majorBidi" w:hAnsiTheme="majorBidi"/>
          <w:color w:val="auto"/>
          <w:sz w:val="26"/>
          <w:szCs w:val="26"/>
          <w:lang w:val="en-GB"/>
        </w:rPr>
        <w:t>EQ</w:t>
      </w:r>
      <w:r w:rsidR="00E56E4E" w:rsidRPr="00441478">
        <w:rPr>
          <w:rFonts w:asciiTheme="majorBidi" w:hAnsiTheme="majorBidi"/>
          <w:color w:val="auto"/>
          <w:sz w:val="26"/>
          <w:szCs w:val="26"/>
          <w:lang w:val="en-GB"/>
        </w:rPr>
        <w:t xml:space="preserve"> is an important common factor in many decision models </w:t>
      </w:r>
      <w:r w:rsidR="00E85DDB" w:rsidRPr="00441478">
        <w:rPr>
          <w:rFonts w:asciiTheme="majorBidi" w:hAnsiTheme="majorBidi"/>
          <w:color w:val="auto"/>
          <w:sz w:val="26"/>
          <w:szCs w:val="26"/>
          <w:lang w:val="en-GB"/>
        </w:rPr>
        <w:t>such as foreign direct investment (An, 2019)</w:t>
      </w:r>
      <w:r w:rsidR="005742BC" w:rsidRPr="00441478">
        <w:rPr>
          <w:rFonts w:asciiTheme="majorBidi" w:hAnsiTheme="majorBidi"/>
          <w:color w:val="auto"/>
          <w:sz w:val="26"/>
          <w:szCs w:val="26"/>
          <w:lang w:val="en-GB"/>
        </w:rPr>
        <w:t>,</w:t>
      </w:r>
      <w:r w:rsidR="00E85DDB" w:rsidRPr="00441478">
        <w:rPr>
          <w:rFonts w:asciiTheme="majorBidi" w:hAnsiTheme="majorBidi"/>
          <w:color w:val="auto"/>
          <w:sz w:val="26"/>
          <w:szCs w:val="26"/>
          <w:lang w:val="en-GB"/>
        </w:rPr>
        <w:t xml:space="preserve"> excess returns (</w:t>
      </w:r>
      <w:proofErr w:type="spellStart"/>
      <w:r w:rsidR="00E85DDB" w:rsidRPr="00441478">
        <w:rPr>
          <w:rFonts w:asciiTheme="majorBidi" w:hAnsiTheme="majorBidi"/>
          <w:color w:val="auto"/>
          <w:sz w:val="26"/>
          <w:szCs w:val="26"/>
          <w:lang w:val="en-GB"/>
        </w:rPr>
        <w:t>Perotti</w:t>
      </w:r>
      <w:proofErr w:type="spellEnd"/>
      <w:r w:rsidR="00E85DDB" w:rsidRPr="00441478">
        <w:rPr>
          <w:rFonts w:asciiTheme="majorBidi" w:hAnsiTheme="majorBidi"/>
          <w:color w:val="auto"/>
          <w:sz w:val="26"/>
          <w:szCs w:val="26"/>
          <w:lang w:val="en-GB"/>
        </w:rPr>
        <w:t xml:space="preserve"> </w:t>
      </w:r>
      <w:r w:rsidR="007875AD">
        <w:rPr>
          <w:rFonts w:asciiTheme="majorBidi" w:hAnsiTheme="majorBidi"/>
          <w:color w:val="auto"/>
          <w:sz w:val="26"/>
          <w:szCs w:val="26"/>
          <w:lang w:val="en-GB"/>
        </w:rPr>
        <w:t xml:space="preserve">&amp; </w:t>
      </w:r>
      <w:proofErr w:type="spellStart"/>
      <w:r w:rsidR="001C79FD">
        <w:rPr>
          <w:rFonts w:asciiTheme="majorBidi" w:hAnsiTheme="majorBidi"/>
          <w:color w:val="auto"/>
          <w:sz w:val="26"/>
          <w:szCs w:val="26"/>
          <w:lang w:val="en-GB"/>
        </w:rPr>
        <w:t>Wage</w:t>
      </w:r>
      <w:r w:rsidR="00A962D9">
        <w:rPr>
          <w:rFonts w:asciiTheme="majorBidi" w:hAnsiTheme="majorBidi"/>
          <w:color w:val="auto"/>
          <w:sz w:val="26"/>
          <w:szCs w:val="26"/>
          <w:lang w:val="en-GB"/>
        </w:rPr>
        <w:t>n</w:t>
      </w:r>
      <w:r w:rsidR="001C79FD">
        <w:rPr>
          <w:rFonts w:asciiTheme="majorBidi" w:hAnsiTheme="majorBidi"/>
          <w:color w:val="auto"/>
          <w:sz w:val="26"/>
          <w:szCs w:val="26"/>
          <w:lang w:val="en-GB"/>
        </w:rPr>
        <w:t>hofer</w:t>
      </w:r>
      <w:proofErr w:type="spellEnd"/>
      <w:r w:rsidR="00E85DDB" w:rsidRPr="00441478">
        <w:rPr>
          <w:rFonts w:asciiTheme="majorBidi" w:hAnsiTheme="majorBidi"/>
          <w:color w:val="auto"/>
          <w:sz w:val="26"/>
          <w:szCs w:val="26"/>
          <w:lang w:val="en-GB"/>
        </w:rPr>
        <w:t>, 2014)</w:t>
      </w:r>
      <w:r w:rsidR="005742BC" w:rsidRPr="00441478">
        <w:rPr>
          <w:rFonts w:asciiTheme="majorBidi" w:hAnsiTheme="majorBidi"/>
          <w:color w:val="auto"/>
          <w:sz w:val="26"/>
          <w:szCs w:val="26"/>
          <w:lang w:val="en-GB"/>
        </w:rPr>
        <w:t>,</w:t>
      </w:r>
      <w:r w:rsidR="00E85DDB" w:rsidRPr="00441478">
        <w:rPr>
          <w:rFonts w:asciiTheme="majorBidi" w:hAnsiTheme="majorBidi"/>
          <w:color w:val="auto"/>
          <w:sz w:val="26"/>
          <w:szCs w:val="26"/>
          <w:lang w:val="en-GB"/>
        </w:rPr>
        <w:t xml:space="preserve"> foreign investors (</w:t>
      </w:r>
      <w:r w:rsidR="001C79FD" w:rsidRPr="00441478">
        <w:rPr>
          <w:rFonts w:asciiTheme="majorBidi" w:hAnsiTheme="majorBidi"/>
          <w:color w:val="auto"/>
          <w:sz w:val="26"/>
          <w:szCs w:val="26"/>
          <w:lang w:val="en-GB"/>
        </w:rPr>
        <w:t xml:space="preserve">Khalil et al., </w:t>
      </w:r>
      <w:r w:rsidR="001C79FD" w:rsidRPr="00441478">
        <w:rPr>
          <w:rFonts w:asciiTheme="majorBidi" w:hAnsiTheme="majorBidi" w:cstheme="majorBidi"/>
          <w:color w:val="auto"/>
          <w:sz w:val="26"/>
          <w:szCs w:val="26"/>
          <w:lang w:val="en-GB"/>
        </w:rPr>
        <w:t>2020</w:t>
      </w:r>
      <w:r w:rsidR="001C79FD">
        <w:rPr>
          <w:rFonts w:asciiTheme="majorBidi" w:hAnsiTheme="majorBidi" w:cstheme="majorBidi"/>
          <w:color w:val="auto"/>
          <w:sz w:val="26"/>
          <w:szCs w:val="26"/>
          <w:lang w:val="en-GB"/>
        </w:rPr>
        <w:t xml:space="preserve">; </w:t>
      </w:r>
      <w:r w:rsidR="00E85DDB" w:rsidRPr="00441478">
        <w:rPr>
          <w:rFonts w:asciiTheme="majorBidi" w:hAnsiTheme="majorBidi"/>
          <w:color w:val="auto"/>
          <w:sz w:val="26"/>
          <w:szCs w:val="26"/>
          <w:lang w:val="en-GB"/>
        </w:rPr>
        <w:t xml:space="preserve">Vo </w:t>
      </w:r>
      <w:r w:rsidR="007875AD">
        <w:rPr>
          <w:rFonts w:asciiTheme="majorBidi" w:hAnsiTheme="majorBidi"/>
          <w:color w:val="auto"/>
          <w:sz w:val="26"/>
          <w:szCs w:val="26"/>
          <w:lang w:val="en-GB"/>
        </w:rPr>
        <w:t xml:space="preserve">&amp; </w:t>
      </w:r>
      <w:r w:rsidR="00E85DDB" w:rsidRPr="00441478">
        <w:rPr>
          <w:rFonts w:asciiTheme="majorBidi" w:hAnsiTheme="majorBidi"/>
          <w:color w:val="auto"/>
          <w:sz w:val="26"/>
          <w:szCs w:val="26"/>
          <w:lang w:val="en-GB"/>
        </w:rPr>
        <w:t>Chu, 2019</w:t>
      </w:r>
      <w:r w:rsidR="004E1CC3" w:rsidRPr="00441478">
        <w:rPr>
          <w:rFonts w:asciiTheme="majorBidi" w:hAnsiTheme="majorBidi"/>
          <w:color w:val="auto"/>
          <w:sz w:val="26"/>
          <w:szCs w:val="26"/>
          <w:lang w:val="en-GB"/>
        </w:rPr>
        <w:t>)</w:t>
      </w:r>
      <w:r w:rsidR="005742BC" w:rsidRPr="00441478">
        <w:rPr>
          <w:rFonts w:asciiTheme="majorBidi" w:hAnsiTheme="majorBidi"/>
          <w:color w:val="auto"/>
          <w:sz w:val="26"/>
          <w:szCs w:val="26"/>
          <w:lang w:val="en-GB"/>
        </w:rPr>
        <w:t>,</w:t>
      </w:r>
      <w:r w:rsidR="004E1CC3" w:rsidRPr="00441478">
        <w:rPr>
          <w:rFonts w:asciiTheme="majorBidi" w:hAnsiTheme="majorBidi"/>
          <w:color w:val="auto"/>
          <w:sz w:val="26"/>
          <w:szCs w:val="26"/>
          <w:lang w:val="en-GB"/>
        </w:rPr>
        <w:t xml:space="preserve"> ownership structure (Ben-Nasr et al.,</w:t>
      </w:r>
      <w:r w:rsidR="003711D2" w:rsidRPr="00441478">
        <w:rPr>
          <w:rFonts w:asciiTheme="majorBidi" w:hAnsiTheme="majorBidi"/>
          <w:color w:val="auto"/>
          <w:sz w:val="26"/>
          <w:szCs w:val="26"/>
          <w:lang w:val="en-GB"/>
        </w:rPr>
        <w:t xml:space="preserve"> </w:t>
      </w:r>
      <w:r w:rsidR="00386616" w:rsidRPr="00441478">
        <w:rPr>
          <w:rFonts w:asciiTheme="majorBidi" w:hAnsiTheme="majorBidi" w:cstheme="majorBidi"/>
          <w:color w:val="auto"/>
          <w:sz w:val="26"/>
          <w:szCs w:val="26"/>
          <w:lang w:val="en-GB"/>
        </w:rPr>
        <w:t>2015</w:t>
      </w:r>
      <w:r w:rsidR="004E1CC3" w:rsidRPr="00441478">
        <w:rPr>
          <w:rFonts w:asciiTheme="majorBidi" w:hAnsiTheme="majorBidi"/>
          <w:color w:val="auto"/>
          <w:sz w:val="26"/>
          <w:szCs w:val="26"/>
          <w:lang w:val="en-GB"/>
        </w:rPr>
        <w:t>)</w:t>
      </w:r>
      <w:r w:rsidR="005742BC" w:rsidRPr="00441478">
        <w:rPr>
          <w:rFonts w:asciiTheme="majorBidi" w:hAnsiTheme="majorBidi"/>
          <w:color w:val="auto"/>
          <w:sz w:val="26"/>
          <w:szCs w:val="26"/>
          <w:lang w:val="en-GB"/>
        </w:rPr>
        <w:t>,</w:t>
      </w:r>
      <w:r w:rsidR="004E1CC3" w:rsidRPr="00441478">
        <w:rPr>
          <w:rFonts w:asciiTheme="majorBidi" w:hAnsiTheme="majorBidi"/>
          <w:color w:val="auto"/>
          <w:sz w:val="26"/>
          <w:szCs w:val="26"/>
          <w:lang w:val="en-GB"/>
        </w:rPr>
        <w:t xml:space="preserve"> market reaction (</w:t>
      </w:r>
      <w:proofErr w:type="spellStart"/>
      <w:r w:rsidR="004E1CC3" w:rsidRPr="00441478">
        <w:rPr>
          <w:rFonts w:asciiTheme="majorBidi" w:hAnsiTheme="majorBidi"/>
          <w:color w:val="auto"/>
          <w:sz w:val="26"/>
          <w:szCs w:val="26"/>
          <w:lang w:val="en-GB"/>
        </w:rPr>
        <w:t>Ahn</w:t>
      </w:r>
      <w:proofErr w:type="spellEnd"/>
      <w:r w:rsidR="004E1CC3" w:rsidRPr="00441478">
        <w:rPr>
          <w:rFonts w:asciiTheme="majorBidi" w:hAnsiTheme="majorBidi"/>
          <w:color w:val="auto"/>
          <w:sz w:val="26"/>
          <w:szCs w:val="26"/>
          <w:lang w:val="en-GB"/>
        </w:rPr>
        <w:t xml:space="preserve"> </w:t>
      </w:r>
      <w:r w:rsidR="007875AD">
        <w:rPr>
          <w:rFonts w:asciiTheme="majorBidi" w:hAnsiTheme="majorBidi"/>
          <w:color w:val="auto"/>
          <w:sz w:val="26"/>
          <w:szCs w:val="26"/>
          <w:lang w:val="en-GB"/>
        </w:rPr>
        <w:t xml:space="preserve">&amp; </w:t>
      </w:r>
      <w:r w:rsidR="004E1CC3" w:rsidRPr="00441478">
        <w:rPr>
          <w:rFonts w:asciiTheme="majorBidi" w:hAnsiTheme="majorBidi"/>
          <w:color w:val="auto"/>
          <w:sz w:val="26"/>
          <w:szCs w:val="26"/>
          <w:lang w:val="en-GB"/>
        </w:rPr>
        <w:t>Kwon,</w:t>
      </w:r>
      <w:r w:rsidR="00940F40" w:rsidRPr="00441478">
        <w:rPr>
          <w:rFonts w:asciiTheme="majorBidi" w:hAnsiTheme="majorBidi"/>
          <w:color w:val="auto"/>
          <w:sz w:val="26"/>
          <w:szCs w:val="26"/>
          <w:lang w:val="en-GB"/>
        </w:rPr>
        <w:t xml:space="preserve"> </w:t>
      </w:r>
      <w:r w:rsidR="004E1CC3" w:rsidRPr="00441478">
        <w:rPr>
          <w:rFonts w:asciiTheme="majorBidi" w:hAnsiTheme="majorBidi"/>
          <w:color w:val="auto"/>
          <w:sz w:val="26"/>
          <w:szCs w:val="26"/>
          <w:lang w:val="en-GB"/>
        </w:rPr>
        <w:t>2010)</w:t>
      </w:r>
      <w:r w:rsidR="005742BC" w:rsidRPr="00441478">
        <w:rPr>
          <w:rFonts w:asciiTheme="majorBidi" w:hAnsiTheme="majorBidi"/>
          <w:color w:val="auto"/>
          <w:sz w:val="26"/>
          <w:szCs w:val="26"/>
          <w:lang w:val="en-GB"/>
        </w:rPr>
        <w:t>,</w:t>
      </w:r>
      <w:r w:rsidR="004E1CC3" w:rsidRPr="00441478">
        <w:rPr>
          <w:rFonts w:asciiTheme="majorBidi" w:hAnsiTheme="majorBidi"/>
          <w:color w:val="auto"/>
          <w:sz w:val="26"/>
          <w:szCs w:val="26"/>
          <w:lang w:val="en-GB"/>
        </w:rPr>
        <w:t xml:space="preserve"> cost of equit</w:t>
      </w:r>
      <w:r w:rsidR="00940F40" w:rsidRPr="00441478">
        <w:rPr>
          <w:rFonts w:asciiTheme="majorBidi" w:hAnsiTheme="majorBidi"/>
          <w:color w:val="auto"/>
          <w:sz w:val="26"/>
          <w:szCs w:val="26"/>
          <w:lang w:val="en-GB"/>
        </w:rPr>
        <w:t>y capital (Francis et al.</w:t>
      </w:r>
      <w:r w:rsidR="005742BC" w:rsidRPr="00441478">
        <w:rPr>
          <w:rFonts w:asciiTheme="majorBidi" w:hAnsiTheme="majorBidi"/>
          <w:color w:val="auto"/>
          <w:sz w:val="26"/>
          <w:szCs w:val="26"/>
          <w:lang w:val="en-GB"/>
        </w:rPr>
        <w:t>,</w:t>
      </w:r>
      <w:r w:rsidR="00940F40" w:rsidRPr="00441478">
        <w:rPr>
          <w:rFonts w:asciiTheme="majorBidi" w:hAnsiTheme="majorBidi"/>
          <w:color w:val="auto"/>
          <w:sz w:val="26"/>
          <w:szCs w:val="26"/>
          <w:lang w:val="en-GB"/>
        </w:rPr>
        <w:t xml:space="preserve"> 2004) </w:t>
      </w:r>
      <w:r w:rsidR="00A52CAA" w:rsidRPr="00441478">
        <w:rPr>
          <w:rFonts w:asciiTheme="majorBidi" w:hAnsiTheme="majorBidi"/>
          <w:color w:val="auto"/>
          <w:sz w:val="26"/>
          <w:szCs w:val="26"/>
          <w:lang w:val="en-GB"/>
        </w:rPr>
        <w:t>and firm</w:t>
      </w:r>
      <w:r w:rsidR="005742BC" w:rsidRPr="00441478">
        <w:rPr>
          <w:rFonts w:asciiTheme="majorBidi" w:hAnsiTheme="majorBidi"/>
          <w:color w:val="auto"/>
          <w:sz w:val="26"/>
          <w:szCs w:val="26"/>
          <w:lang w:val="en-GB"/>
        </w:rPr>
        <w:t xml:space="preserve"> </w:t>
      </w:r>
      <w:r w:rsidR="00940F40" w:rsidRPr="00441478">
        <w:rPr>
          <w:rFonts w:asciiTheme="majorBidi" w:hAnsiTheme="majorBidi"/>
          <w:color w:val="auto"/>
          <w:sz w:val="26"/>
          <w:szCs w:val="26"/>
          <w:lang w:val="en-GB"/>
        </w:rPr>
        <w:t>value (</w:t>
      </w:r>
      <w:proofErr w:type="spellStart"/>
      <w:r w:rsidR="00940F40" w:rsidRPr="00441478">
        <w:rPr>
          <w:rFonts w:asciiTheme="majorBidi" w:hAnsiTheme="majorBidi"/>
          <w:color w:val="auto"/>
          <w:sz w:val="26"/>
          <w:szCs w:val="26"/>
          <w:lang w:val="en-GB"/>
        </w:rPr>
        <w:t>Allayannis</w:t>
      </w:r>
      <w:proofErr w:type="spellEnd"/>
      <w:r w:rsidR="00940F40" w:rsidRPr="00441478">
        <w:rPr>
          <w:rFonts w:asciiTheme="majorBidi" w:hAnsiTheme="majorBidi"/>
          <w:color w:val="auto"/>
          <w:sz w:val="26"/>
          <w:szCs w:val="26"/>
          <w:lang w:val="en-GB"/>
        </w:rPr>
        <w:t xml:space="preserve"> </w:t>
      </w:r>
      <w:r w:rsidR="007875AD">
        <w:rPr>
          <w:rFonts w:asciiTheme="majorBidi" w:hAnsiTheme="majorBidi"/>
          <w:color w:val="auto"/>
          <w:sz w:val="26"/>
          <w:szCs w:val="26"/>
          <w:lang w:val="en-GB"/>
        </w:rPr>
        <w:t xml:space="preserve">&amp; </w:t>
      </w:r>
      <w:proofErr w:type="spellStart"/>
      <w:r w:rsidR="00940F40" w:rsidRPr="00441478">
        <w:rPr>
          <w:rFonts w:asciiTheme="majorBidi" w:hAnsiTheme="majorBidi"/>
          <w:color w:val="auto"/>
          <w:sz w:val="26"/>
          <w:szCs w:val="26"/>
          <w:lang w:val="en-GB"/>
        </w:rPr>
        <w:t>Simko</w:t>
      </w:r>
      <w:proofErr w:type="spellEnd"/>
      <w:r w:rsidR="00940F40" w:rsidRPr="00441478">
        <w:rPr>
          <w:rFonts w:asciiTheme="majorBidi" w:hAnsiTheme="majorBidi"/>
          <w:color w:val="auto"/>
          <w:sz w:val="26"/>
          <w:szCs w:val="26"/>
          <w:lang w:val="en-GB"/>
        </w:rPr>
        <w:t xml:space="preserve">, 2009). </w:t>
      </w:r>
    </w:p>
    <w:p w14:paraId="6A0064A2" w14:textId="10AEAC6B" w:rsidR="002A1F4C" w:rsidRPr="00441478" w:rsidRDefault="004E1CC3" w:rsidP="00C95783">
      <w:pPr>
        <w:pStyle w:val="Default"/>
        <w:snapToGrid w:val="0"/>
        <w:spacing w:line="360" w:lineRule="exact"/>
        <w:ind w:firstLine="510"/>
        <w:jc w:val="both"/>
        <w:rPr>
          <w:rFonts w:asciiTheme="majorBidi" w:hAnsiTheme="majorBidi"/>
          <w:color w:val="auto"/>
          <w:sz w:val="26"/>
          <w:szCs w:val="26"/>
          <w:lang w:val="en-GB"/>
        </w:rPr>
      </w:pPr>
      <w:r w:rsidRPr="00441478">
        <w:rPr>
          <w:rFonts w:asciiTheme="majorBidi" w:hAnsiTheme="majorBidi"/>
          <w:color w:val="auto"/>
          <w:sz w:val="26"/>
          <w:szCs w:val="26"/>
          <w:lang w:val="en-GB"/>
        </w:rPr>
        <w:t xml:space="preserve">In both streams, the studies use many common </w:t>
      </w:r>
      <w:r w:rsidR="006B1C85" w:rsidRPr="00441478">
        <w:rPr>
          <w:rFonts w:asciiTheme="majorBidi" w:hAnsiTheme="majorBidi"/>
          <w:color w:val="auto"/>
          <w:sz w:val="26"/>
          <w:szCs w:val="26"/>
          <w:lang w:val="en-GB"/>
        </w:rPr>
        <w:t>EQ</w:t>
      </w:r>
      <w:r w:rsidRPr="00441478">
        <w:rPr>
          <w:rFonts w:asciiTheme="majorBidi" w:hAnsiTheme="majorBidi"/>
          <w:color w:val="auto"/>
          <w:sz w:val="26"/>
          <w:szCs w:val="26"/>
          <w:lang w:val="en-GB"/>
        </w:rPr>
        <w:t xml:space="preserve"> </w:t>
      </w:r>
      <w:r w:rsidR="003711D2" w:rsidRPr="00441478">
        <w:rPr>
          <w:rFonts w:asciiTheme="majorBidi" w:hAnsiTheme="majorBidi"/>
          <w:color w:val="auto"/>
          <w:sz w:val="26"/>
          <w:szCs w:val="26"/>
          <w:lang w:val="en-GB"/>
        </w:rPr>
        <w:t xml:space="preserve">proxies to measure the quality of financial reporting to provide useful information for various </w:t>
      </w:r>
      <w:r w:rsidR="005742BC" w:rsidRPr="00441478">
        <w:rPr>
          <w:rFonts w:asciiTheme="majorBidi" w:hAnsiTheme="majorBidi"/>
          <w:color w:val="auto"/>
          <w:sz w:val="26"/>
          <w:szCs w:val="26"/>
          <w:lang w:val="en-GB"/>
        </w:rPr>
        <w:t>decision-</w:t>
      </w:r>
      <w:r w:rsidR="003711D2" w:rsidRPr="00441478">
        <w:rPr>
          <w:rFonts w:asciiTheme="majorBidi" w:hAnsiTheme="majorBidi"/>
          <w:color w:val="auto"/>
          <w:sz w:val="26"/>
          <w:szCs w:val="26"/>
          <w:lang w:val="en-GB"/>
        </w:rPr>
        <w:t>ma</w:t>
      </w:r>
      <w:r w:rsidR="00083E14" w:rsidRPr="00441478">
        <w:rPr>
          <w:rFonts w:asciiTheme="majorBidi" w:hAnsiTheme="majorBidi"/>
          <w:color w:val="auto"/>
          <w:sz w:val="26"/>
          <w:szCs w:val="26"/>
          <w:lang w:val="en-GB"/>
        </w:rPr>
        <w:t xml:space="preserve">king models. </w:t>
      </w:r>
      <w:proofErr w:type="spellStart"/>
      <w:r w:rsidR="00083E14" w:rsidRPr="00441478">
        <w:rPr>
          <w:rFonts w:asciiTheme="majorBidi" w:hAnsiTheme="majorBidi"/>
          <w:color w:val="auto"/>
          <w:sz w:val="26"/>
          <w:szCs w:val="26"/>
          <w:lang w:val="en-GB"/>
        </w:rPr>
        <w:t>Dichev</w:t>
      </w:r>
      <w:proofErr w:type="spellEnd"/>
      <w:r w:rsidR="00083E14" w:rsidRPr="00441478">
        <w:rPr>
          <w:rFonts w:asciiTheme="majorBidi" w:hAnsiTheme="majorBidi"/>
          <w:color w:val="auto"/>
          <w:sz w:val="26"/>
          <w:szCs w:val="26"/>
          <w:lang w:val="en-GB"/>
        </w:rPr>
        <w:t xml:space="preserve"> et al. (</w:t>
      </w:r>
      <w:r w:rsidR="00083E14" w:rsidRPr="00441478">
        <w:rPr>
          <w:rFonts w:asciiTheme="majorBidi" w:hAnsiTheme="majorBidi" w:cstheme="majorBidi"/>
          <w:color w:val="auto"/>
          <w:sz w:val="26"/>
          <w:szCs w:val="26"/>
          <w:lang w:val="en-GB"/>
        </w:rPr>
        <w:t>2013</w:t>
      </w:r>
      <w:r w:rsidR="003711D2" w:rsidRPr="00441478">
        <w:rPr>
          <w:rFonts w:asciiTheme="majorBidi" w:hAnsiTheme="majorBidi"/>
          <w:color w:val="auto"/>
          <w:sz w:val="26"/>
          <w:szCs w:val="26"/>
          <w:lang w:val="en-GB"/>
        </w:rPr>
        <w:t xml:space="preserve">) </w:t>
      </w:r>
      <w:r w:rsidR="005742BC" w:rsidRPr="00441478">
        <w:rPr>
          <w:rFonts w:asciiTheme="majorBidi" w:hAnsiTheme="majorBidi"/>
          <w:color w:val="auto"/>
          <w:sz w:val="26"/>
          <w:szCs w:val="26"/>
          <w:lang w:val="en-GB"/>
        </w:rPr>
        <w:t xml:space="preserve">reported </w:t>
      </w:r>
      <w:r w:rsidR="003711D2" w:rsidRPr="00441478">
        <w:rPr>
          <w:rFonts w:asciiTheme="majorBidi" w:hAnsiTheme="majorBidi"/>
          <w:color w:val="auto"/>
          <w:sz w:val="26"/>
          <w:szCs w:val="26"/>
          <w:lang w:val="en-GB"/>
        </w:rPr>
        <w:t>a long li</w:t>
      </w:r>
      <w:r w:rsidR="00C44EF6" w:rsidRPr="00441478">
        <w:rPr>
          <w:rFonts w:asciiTheme="majorBidi" w:hAnsiTheme="majorBidi"/>
          <w:color w:val="auto"/>
          <w:sz w:val="26"/>
          <w:szCs w:val="26"/>
          <w:lang w:val="en-GB"/>
        </w:rPr>
        <w:t xml:space="preserve">st of </w:t>
      </w:r>
      <w:r w:rsidR="006B1C85" w:rsidRPr="00441478">
        <w:rPr>
          <w:rFonts w:asciiTheme="majorBidi" w:hAnsiTheme="majorBidi"/>
          <w:color w:val="auto"/>
          <w:sz w:val="26"/>
          <w:szCs w:val="26"/>
          <w:lang w:val="en-GB"/>
        </w:rPr>
        <w:t>EQ</w:t>
      </w:r>
      <w:r w:rsidR="00C44EF6" w:rsidRPr="00441478">
        <w:rPr>
          <w:rFonts w:asciiTheme="majorBidi" w:hAnsiTheme="majorBidi"/>
          <w:color w:val="auto"/>
          <w:sz w:val="26"/>
          <w:szCs w:val="26"/>
          <w:lang w:val="en-GB"/>
        </w:rPr>
        <w:t xml:space="preserve"> measures used for different purposes.</w:t>
      </w:r>
      <w:r w:rsidR="00940F40" w:rsidRPr="00441478">
        <w:rPr>
          <w:rFonts w:asciiTheme="majorBidi" w:hAnsiTheme="majorBidi"/>
          <w:color w:val="auto"/>
          <w:sz w:val="26"/>
          <w:szCs w:val="26"/>
          <w:lang w:val="en-GB"/>
        </w:rPr>
        <w:t xml:space="preserve"> </w:t>
      </w:r>
      <w:proofErr w:type="spellStart"/>
      <w:r w:rsidR="00940F40" w:rsidRPr="00441478">
        <w:rPr>
          <w:rFonts w:asciiTheme="majorBidi" w:hAnsiTheme="majorBidi"/>
          <w:color w:val="auto"/>
          <w:sz w:val="26"/>
          <w:szCs w:val="26"/>
          <w:lang w:val="en-GB"/>
        </w:rPr>
        <w:t>Dechow</w:t>
      </w:r>
      <w:proofErr w:type="spellEnd"/>
      <w:r w:rsidR="00940F40" w:rsidRPr="00441478">
        <w:rPr>
          <w:rFonts w:asciiTheme="majorBidi" w:hAnsiTheme="majorBidi"/>
          <w:color w:val="auto"/>
          <w:sz w:val="26"/>
          <w:szCs w:val="26"/>
          <w:lang w:val="en-GB"/>
        </w:rPr>
        <w:t xml:space="preserve"> et al. </w:t>
      </w:r>
      <w:r w:rsidR="00C44EF6" w:rsidRPr="00441478">
        <w:rPr>
          <w:rFonts w:asciiTheme="majorBidi" w:hAnsiTheme="majorBidi"/>
          <w:color w:val="auto"/>
          <w:sz w:val="26"/>
          <w:szCs w:val="26"/>
          <w:lang w:val="en-GB"/>
        </w:rPr>
        <w:t>(</w:t>
      </w:r>
      <w:r w:rsidR="00940F40" w:rsidRPr="00441478">
        <w:rPr>
          <w:rFonts w:asciiTheme="majorBidi" w:hAnsiTheme="majorBidi"/>
          <w:color w:val="auto"/>
          <w:sz w:val="26"/>
          <w:szCs w:val="26"/>
          <w:lang w:val="en-GB"/>
        </w:rPr>
        <w:t>2010</w:t>
      </w:r>
      <w:r w:rsidR="00FE4F7E" w:rsidRPr="00441478">
        <w:rPr>
          <w:rFonts w:asciiTheme="majorBidi" w:hAnsiTheme="majorBidi"/>
          <w:color w:val="auto"/>
          <w:sz w:val="26"/>
          <w:szCs w:val="26"/>
          <w:lang w:val="en-GB"/>
        </w:rPr>
        <w:t xml:space="preserve">, </w:t>
      </w:r>
      <w:r w:rsidR="00944F99" w:rsidRPr="00441478">
        <w:rPr>
          <w:rFonts w:asciiTheme="majorBidi" w:hAnsiTheme="majorBidi"/>
          <w:color w:val="auto"/>
          <w:sz w:val="26"/>
          <w:szCs w:val="26"/>
          <w:lang w:val="en-GB"/>
        </w:rPr>
        <w:t xml:space="preserve">p. </w:t>
      </w:r>
      <w:r w:rsidR="005742BC" w:rsidRPr="00441478">
        <w:rPr>
          <w:rFonts w:asciiTheme="majorBidi" w:hAnsiTheme="majorBidi"/>
          <w:color w:val="auto"/>
          <w:sz w:val="26"/>
          <w:szCs w:val="26"/>
          <w:lang w:val="en-GB"/>
        </w:rPr>
        <w:t xml:space="preserve"> </w:t>
      </w:r>
      <w:r w:rsidR="00FE4F7E" w:rsidRPr="00441478">
        <w:rPr>
          <w:rFonts w:asciiTheme="majorBidi" w:hAnsiTheme="majorBidi"/>
          <w:color w:val="auto"/>
          <w:sz w:val="26"/>
          <w:szCs w:val="26"/>
          <w:lang w:val="en-GB"/>
        </w:rPr>
        <w:t>346</w:t>
      </w:r>
      <w:r w:rsidR="00C44EF6" w:rsidRPr="00441478">
        <w:rPr>
          <w:rFonts w:asciiTheme="majorBidi" w:hAnsiTheme="majorBidi"/>
          <w:color w:val="auto"/>
          <w:sz w:val="26"/>
          <w:szCs w:val="26"/>
          <w:lang w:val="en-GB"/>
        </w:rPr>
        <w:t>) conclude</w:t>
      </w:r>
      <w:r w:rsidR="005742BC" w:rsidRPr="00441478">
        <w:rPr>
          <w:rFonts w:asciiTheme="majorBidi" w:hAnsiTheme="majorBidi"/>
          <w:color w:val="auto"/>
          <w:sz w:val="26"/>
          <w:szCs w:val="26"/>
          <w:lang w:val="en-GB"/>
        </w:rPr>
        <w:t>d that</w:t>
      </w:r>
      <w:r w:rsidR="00FE4F7E" w:rsidRPr="00441478">
        <w:rPr>
          <w:rFonts w:asciiTheme="majorBidi" w:hAnsiTheme="majorBidi"/>
          <w:color w:val="auto"/>
          <w:sz w:val="26"/>
          <w:szCs w:val="26"/>
          <w:lang w:val="en-GB"/>
        </w:rPr>
        <w:t xml:space="preserve"> </w:t>
      </w:r>
      <w:r w:rsidR="005742BC" w:rsidRPr="00441478">
        <w:rPr>
          <w:rFonts w:asciiTheme="majorBidi" w:hAnsiTheme="majorBidi"/>
          <w:color w:val="auto"/>
          <w:sz w:val="26"/>
          <w:szCs w:val="26"/>
          <w:lang w:val="en-GB"/>
        </w:rPr>
        <w:t>‘</w:t>
      </w:r>
      <w:r w:rsidR="00FE4F7E" w:rsidRPr="00441478">
        <w:rPr>
          <w:rFonts w:asciiTheme="majorBidi" w:hAnsiTheme="majorBidi"/>
          <w:color w:val="auto"/>
          <w:sz w:val="26"/>
          <w:szCs w:val="26"/>
          <w:lang w:val="en-GB"/>
        </w:rPr>
        <w:t xml:space="preserve">no single conclusion on what </w:t>
      </w:r>
      <w:r w:rsidR="006B1C85" w:rsidRPr="00441478">
        <w:rPr>
          <w:rFonts w:asciiTheme="majorBidi" w:hAnsiTheme="majorBidi"/>
          <w:color w:val="auto"/>
          <w:sz w:val="26"/>
          <w:szCs w:val="26"/>
          <w:lang w:val="en-GB"/>
        </w:rPr>
        <w:t>EQ</w:t>
      </w:r>
      <w:r w:rsidR="00FE4F7E" w:rsidRPr="00441478">
        <w:rPr>
          <w:rFonts w:asciiTheme="majorBidi" w:hAnsiTheme="majorBidi"/>
          <w:color w:val="auto"/>
          <w:sz w:val="26"/>
          <w:szCs w:val="26"/>
          <w:lang w:val="en-GB"/>
        </w:rPr>
        <w:t xml:space="preserve"> is because </w:t>
      </w:r>
      <w:r w:rsidR="005742BC" w:rsidRPr="00441478">
        <w:rPr>
          <w:rFonts w:asciiTheme="majorBidi" w:hAnsiTheme="majorBidi"/>
          <w:color w:val="auto"/>
          <w:sz w:val="26"/>
          <w:szCs w:val="26"/>
          <w:lang w:val="en-GB"/>
        </w:rPr>
        <w:t>“</w:t>
      </w:r>
      <w:r w:rsidR="00FE4F7E" w:rsidRPr="00441478">
        <w:rPr>
          <w:rFonts w:asciiTheme="majorBidi" w:hAnsiTheme="majorBidi"/>
          <w:color w:val="auto"/>
          <w:sz w:val="26"/>
          <w:szCs w:val="26"/>
          <w:lang w:val="en-GB"/>
        </w:rPr>
        <w:t>quality</w:t>
      </w:r>
      <w:r w:rsidR="005742BC" w:rsidRPr="00441478">
        <w:rPr>
          <w:rFonts w:asciiTheme="majorBidi" w:hAnsiTheme="majorBidi"/>
          <w:color w:val="auto"/>
          <w:sz w:val="26"/>
          <w:szCs w:val="26"/>
          <w:lang w:val="en-GB"/>
        </w:rPr>
        <w:t>”</w:t>
      </w:r>
      <w:r w:rsidR="00FE4F7E" w:rsidRPr="00441478">
        <w:rPr>
          <w:rFonts w:asciiTheme="majorBidi" w:hAnsiTheme="majorBidi"/>
          <w:color w:val="auto"/>
          <w:sz w:val="26"/>
          <w:szCs w:val="26"/>
          <w:lang w:val="en-GB"/>
        </w:rPr>
        <w:t xml:space="preserve"> is contingent on the decision context</w:t>
      </w:r>
      <w:r w:rsidR="005742BC" w:rsidRPr="00441478">
        <w:rPr>
          <w:rFonts w:asciiTheme="majorBidi" w:hAnsiTheme="majorBidi"/>
          <w:color w:val="auto"/>
          <w:sz w:val="26"/>
          <w:szCs w:val="26"/>
          <w:lang w:val="en-GB"/>
        </w:rPr>
        <w:t>’</w:t>
      </w:r>
      <w:r w:rsidR="00FE4F7E" w:rsidRPr="00441478">
        <w:rPr>
          <w:rFonts w:asciiTheme="majorBidi" w:hAnsiTheme="majorBidi"/>
          <w:color w:val="auto"/>
          <w:sz w:val="26"/>
          <w:szCs w:val="26"/>
          <w:lang w:val="en-GB"/>
        </w:rPr>
        <w:t xml:space="preserve">. </w:t>
      </w:r>
      <w:proofErr w:type="spellStart"/>
      <w:r w:rsidR="00A77212" w:rsidRPr="00441478">
        <w:rPr>
          <w:rFonts w:asciiTheme="majorBidi" w:hAnsiTheme="majorBidi"/>
          <w:color w:val="auto"/>
          <w:sz w:val="26"/>
          <w:szCs w:val="26"/>
          <w:lang w:val="en-GB"/>
        </w:rPr>
        <w:t>Licerán</w:t>
      </w:r>
      <w:proofErr w:type="spellEnd"/>
      <w:r w:rsidR="00A77212" w:rsidRPr="00441478">
        <w:rPr>
          <w:rFonts w:asciiTheme="majorBidi" w:hAnsiTheme="majorBidi"/>
          <w:color w:val="auto"/>
          <w:sz w:val="26"/>
          <w:szCs w:val="26"/>
          <w:lang w:val="en-GB"/>
        </w:rPr>
        <w:t xml:space="preserve">-Gutiérrez </w:t>
      </w:r>
      <w:r w:rsidR="00523653">
        <w:rPr>
          <w:rFonts w:asciiTheme="majorBidi" w:hAnsiTheme="majorBidi"/>
          <w:color w:val="auto"/>
          <w:sz w:val="26"/>
          <w:szCs w:val="26"/>
          <w:lang w:val="en-GB"/>
        </w:rPr>
        <w:t>and</w:t>
      </w:r>
      <w:r w:rsidR="00C95783">
        <w:rPr>
          <w:rFonts w:asciiTheme="majorBidi" w:hAnsiTheme="majorBidi"/>
          <w:color w:val="auto"/>
          <w:sz w:val="26"/>
          <w:szCs w:val="26"/>
          <w:lang w:val="en-GB"/>
        </w:rPr>
        <w:t xml:space="preserve"> Cano-Rodríguez (2020</w:t>
      </w:r>
      <w:r w:rsidR="00A77212" w:rsidRPr="00441478">
        <w:rPr>
          <w:rFonts w:asciiTheme="majorBidi" w:hAnsiTheme="majorBidi"/>
          <w:color w:val="auto"/>
          <w:sz w:val="26"/>
          <w:szCs w:val="26"/>
          <w:lang w:val="en-GB"/>
        </w:rPr>
        <w:t xml:space="preserve">) pointed out that the </w:t>
      </w:r>
      <w:r w:rsidR="006B1C85" w:rsidRPr="00441478">
        <w:rPr>
          <w:rFonts w:asciiTheme="majorBidi" w:hAnsiTheme="majorBidi"/>
          <w:color w:val="auto"/>
          <w:sz w:val="26"/>
          <w:szCs w:val="26"/>
          <w:lang w:val="en-GB"/>
        </w:rPr>
        <w:t>EQ</w:t>
      </w:r>
      <w:r w:rsidR="00A77212" w:rsidRPr="00441478">
        <w:rPr>
          <w:rFonts w:asciiTheme="majorBidi" w:hAnsiTheme="majorBidi"/>
          <w:color w:val="auto"/>
          <w:sz w:val="26"/>
          <w:szCs w:val="26"/>
          <w:lang w:val="en-GB"/>
        </w:rPr>
        <w:t xml:space="preserve"> measures are not homogeneous</w:t>
      </w:r>
      <w:r w:rsidR="00385CAE" w:rsidRPr="00441478">
        <w:rPr>
          <w:rFonts w:asciiTheme="majorBidi" w:hAnsiTheme="majorBidi"/>
          <w:color w:val="auto"/>
          <w:sz w:val="26"/>
          <w:szCs w:val="26"/>
          <w:lang w:val="en-GB"/>
        </w:rPr>
        <w:t xml:space="preserve"> </w:t>
      </w:r>
      <w:r w:rsidR="005742BC" w:rsidRPr="00441478">
        <w:rPr>
          <w:rFonts w:asciiTheme="majorBidi" w:hAnsiTheme="majorBidi"/>
          <w:color w:val="auto"/>
          <w:sz w:val="26"/>
          <w:szCs w:val="26"/>
          <w:lang w:val="en-GB"/>
        </w:rPr>
        <w:t xml:space="preserve">Owing </w:t>
      </w:r>
      <w:r w:rsidR="00385CAE" w:rsidRPr="00441478">
        <w:rPr>
          <w:rFonts w:asciiTheme="majorBidi" w:hAnsiTheme="majorBidi"/>
          <w:color w:val="auto"/>
          <w:sz w:val="26"/>
          <w:szCs w:val="26"/>
          <w:lang w:val="en-GB"/>
        </w:rPr>
        <w:t xml:space="preserve">to </w:t>
      </w:r>
      <w:r w:rsidR="007D3C6D">
        <w:rPr>
          <w:rFonts w:asciiTheme="majorBidi" w:hAnsiTheme="majorBidi"/>
          <w:color w:val="auto"/>
          <w:sz w:val="26"/>
          <w:szCs w:val="26"/>
          <w:lang w:val="en-GB"/>
        </w:rPr>
        <w:t xml:space="preserve">the </w:t>
      </w:r>
      <w:r w:rsidR="00385CAE" w:rsidRPr="00441478">
        <w:rPr>
          <w:rFonts w:asciiTheme="majorBidi" w:hAnsiTheme="majorBidi"/>
          <w:color w:val="auto"/>
          <w:sz w:val="26"/>
          <w:szCs w:val="26"/>
          <w:lang w:val="en-GB"/>
        </w:rPr>
        <w:t xml:space="preserve">lack of theoretical bases of </w:t>
      </w:r>
      <w:r w:rsidR="006B1C85" w:rsidRPr="00441478">
        <w:rPr>
          <w:rFonts w:asciiTheme="majorBidi" w:hAnsiTheme="majorBidi"/>
          <w:color w:val="auto"/>
          <w:sz w:val="26"/>
          <w:szCs w:val="26"/>
          <w:lang w:val="en-GB"/>
        </w:rPr>
        <w:t>EQ</w:t>
      </w:r>
      <w:r w:rsidR="00385CAE" w:rsidRPr="00441478">
        <w:rPr>
          <w:rFonts w:asciiTheme="majorBidi" w:hAnsiTheme="majorBidi"/>
          <w:color w:val="auto"/>
          <w:sz w:val="26"/>
          <w:szCs w:val="26"/>
          <w:lang w:val="en-GB"/>
        </w:rPr>
        <w:t xml:space="preserve">, researchers tested various measures and </w:t>
      </w:r>
      <w:r w:rsidR="005742BC" w:rsidRPr="00441478">
        <w:rPr>
          <w:rFonts w:asciiTheme="majorBidi" w:hAnsiTheme="majorBidi"/>
          <w:color w:val="auto"/>
          <w:sz w:val="26"/>
          <w:szCs w:val="26"/>
          <w:lang w:val="en-GB"/>
        </w:rPr>
        <w:t xml:space="preserve">came up with distinct </w:t>
      </w:r>
      <w:r w:rsidR="00385CAE" w:rsidRPr="00441478">
        <w:rPr>
          <w:rFonts w:asciiTheme="majorBidi" w:hAnsiTheme="majorBidi"/>
          <w:color w:val="auto"/>
          <w:sz w:val="26"/>
          <w:szCs w:val="26"/>
          <w:lang w:val="en-GB"/>
        </w:rPr>
        <w:t>empirical results.</w:t>
      </w:r>
      <w:r w:rsidR="001F48F8" w:rsidRPr="00441478">
        <w:rPr>
          <w:rFonts w:asciiTheme="majorBidi" w:hAnsiTheme="majorBidi"/>
          <w:color w:val="auto"/>
          <w:sz w:val="26"/>
          <w:szCs w:val="26"/>
          <w:lang w:val="en-GB"/>
        </w:rPr>
        <w:t xml:space="preserve">  </w:t>
      </w:r>
    </w:p>
    <w:p w14:paraId="2C217DAF" w14:textId="32EC6C04" w:rsidR="00385CAE" w:rsidRPr="00441478" w:rsidRDefault="00EE6726" w:rsidP="00C8366C">
      <w:pPr>
        <w:pStyle w:val="Default"/>
        <w:snapToGrid w:val="0"/>
        <w:spacing w:line="360" w:lineRule="exact"/>
        <w:ind w:firstLine="510"/>
        <w:jc w:val="both"/>
        <w:rPr>
          <w:rFonts w:asciiTheme="majorBidi" w:hAnsiTheme="majorBidi"/>
          <w:color w:val="auto"/>
          <w:sz w:val="26"/>
          <w:szCs w:val="26"/>
          <w:lang w:val="en-GB"/>
        </w:rPr>
      </w:pPr>
      <w:r w:rsidRPr="00441478">
        <w:rPr>
          <w:rFonts w:asciiTheme="majorBidi" w:hAnsiTheme="majorBidi"/>
          <w:color w:val="auto"/>
          <w:sz w:val="26"/>
          <w:szCs w:val="26"/>
          <w:lang w:val="en-GB"/>
        </w:rPr>
        <w:t>The second stream is more prominent</w:t>
      </w:r>
      <w:r w:rsidR="007D3C6D">
        <w:rPr>
          <w:rFonts w:asciiTheme="majorBidi" w:hAnsiTheme="majorBidi"/>
          <w:color w:val="auto"/>
          <w:sz w:val="26"/>
          <w:szCs w:val="26"/>
          <w:lang w:val="en-GB"/>
        </w:rPr>
        <w:t xml:space="preserve"> than above</w:t>
      </w:r>
      <w:r w:rsidR="005742BC" w:rsidRPr="00441478">
        <w:rPr>
          <w:rFonts w:asciiTheme="majorBidi" w:hAnsiTheme="majorBidi"/>
          <w:color w:val="auto"/>
          <w:sz w:val="26"/>
          <w:szCs w:val="26"/>
          <w:lang w:val="en-GB"/>
        </w:rPr>
        <w:t>,</w:t>
      </w:r>
      <w:r w:rsidRPr="00441478">
        <w:rPr>
          <w:rFonts w:asciiTheme="majorBidi" w:hAnsiTheme="majorBidi"/>
          <w:color w:val="auto"/>
          <w:sz w:val="26"/>
          <w:szCs w:val="26"/>
          <w:lang w:val="en-GB"/>
        </w:rPr>
        <w:t xml:space="preserve"> and many studies </w:t>
      </w:r>
      <w:r w:rsidR="006B1C85" w:rsidRPr="00441478">
        <w:rPr>
          <w:rFonts w:asciiTheme="majorBidi" w:hAnsiTheme="majorBidi"/>
          <w:color w:val="auto"/>
          <w:sz w:val="26"/>
          <w:szCs w:val="26"/>
          <w:lang w:val="en-GB"/>
        </w:rPr>
        <w:t xml:space="preserve">follow </w:t>
      </w:r>
      <w:r w:rsidRPr="00441478">
        <w:rPr>
          <w:rFonts w:asciiTheme="majorBidi" w:hAnsiTheme="majorBidi"/>
          <w:color w:val="auto"/>
          <w:sz w:val="26"/>
          <w:szCs w:val="26"/>
          <w:lang w:val="en-GB"/>
        </w:rPr>
        <w:t xml:space="preserve">this approach. For example, </w:t>
      </w:r>
      <w:proofErr w:type="gramStart"/>
      <w:r w:rsidRPr="00441478">
        <w:rPr>
          <w:rFonts w:asciiTheme="majorBidi" w:hAnsiTheme="majorBidi"/>
          <w:color w:val="auto"/>
          <w:sz w:val="26"/>
          <w:szCs w:val="26"/>
          <w:lang w:val="en-GB"/>
        </w:rPr>
        <w:t>An</w:t>
      </w:r>
      <w:proofErr w:type="gramEnd"/>
      <w:r w:rsidRPr="00441478">
        <w:rPr>
          <w:rFonts w:asciiTheme="majorBidi" w:hAnsiTheme="majorBidi"/>
          <w:color w:val="auto"/>
          <w:sz w:val="26"/>
          <w:szCs w:val="26"/>
          <w:lang w:val="en-GB"/>
        </w:rPr>
        <w:t xml:space="preserve"> (2019) used four measures</w:t>
      </w:r>
      <w:r w:rsidR="006B1C85" w:rsidRPr="00441478">
        <w:rPr>
          <w:rFonts w:asciiTheme="majorBidi" w:hAnsiTheme="majorBidi"/>
          <w:color w:val="auto"/>
          <w:sz w:val="26"/>
          <w:szCs w:val="26"/>
          <w:lang w:val="en-GB"/>
        </w:rPr>
        <w:t xml:space="preserve">, </w:t>
      </w:r>
      <w:r w:rsidRPr="00441478">
        <w:rPr>
          <w:rFonts w:asciiTheme="majorBidi" w:hAnsiTheme="majorBidi"/>
          <w:color w:val="auto"/>
          <w:sz w:val="26"/>
          <w:szCs w:val="26"/>
          <w:lang w:val="en-GB"/>
        </w:rPr>
        <w:t>Francis et al. (2004) used seven measures</w:t>
      </w:r>
      <w:r w:rsidR="007D3C6D">
        <w:rPr>
          <w:rFonts w:asciiTheme="majorBidi" w:hAnsiTheme="majorBidi"/>
          <w:color w:val="auto"/>
          <w:sz w:val="26"/>
          <w:szCs w:val="26"/>
          <w:lang w:val="en-GB"/>
        </w:rPr>
        <w:t>,</w:t>
      </w:r>
      <w:r w:rsidRPr="00441478">
        <w:rPr>
          <w:rFonts w:asciiTheme="majorBidi" w:hAnsiTheme="majorBidi"/>
          <w:color w:val="auto"/>
          <w:sz w:val="26"/>
          <w:szCs w:val="26"/>
          <w:lang w:val="en-GB"/>
        </w:rPr>
        <w:t xml:space="preserve"> and </w:t>
      </w:r>
      <w:proofErr w:type="spellStart"/>
      <w:r w:rsidRPr="00441478">
        <w:rPr>
          <w:rFonts w:asciiTheme="majorBidi" w:hAnsiTheme="majorBidi"/>
          <w:color w:val="auto"/>
          <w:sz w:val="26"/>
          <w:szCs w:val="26"/>
          <w:lang w:val="en-GB"/>
        </w:rPr>
        <w:t>Perotti</w:t>
      </w:r>
      <w:proofErr w:type="spellEnd"/>
      <w:r w:rsidRPr="00441478">
        <w:rPr>
          <w:rFonts w:asciiTheme="majorBidi" w:hAnsiTheme="majorBidi"/>
          <w:color w:val="auto"/>
          <w:sz w:val="26"/>
          <w:szCs w:val="26"/>
          <w:lang w:val="en-GB"/>
        </w:rPr>
        <w:t xml:space="preserve"> </w:t>
      </w:r>
      <w:r w:rsidR="00523653">
        <w:rPr>
          <w:rFonts w:asciiTheme="majorBidi" w:hAnsiTheme="majorBidi"/>
          <w:color w:val="auto"/>
          <w:sz w:val="26"/>
          <w:szCs w:val="26"/>
          <w:lang w:val="en-GB"/>
        </w:rPr>
        <w:t>and</w:t>
      </w:r>
      <w:r w:rsidRPr="00441478">
        <w:rPr>
          <w:rFonts w:asciiTheme="majorBidi" w:hAnsiTheme="majorBidi"/>
          <w:color w:val="auto"/>
          <w:sz w:val="26"/>
          <w:szCs w:val="26"/>
          <w:lang w:val="en-GB"/>
        </w:rPr>
        <w:t xml:space="preserve"> </w:t>
      </w:r>
      <w:proofErr w:type="spellStart"/>
      <w:r w:rsidR="001C79FD">
        <w:rPr>
          <w:rFonts w:asciiTheme="majorBidi" w:hAnsiTheme="majorBidi"/>
          <w:color w:val="auto"/>
          <w:sz w:val="26"/>
          <w:szCs w:val="26"/>
          <w:lang w:val="en-GB"/>
        </w:rPr>
        <w:t>Wage</w:t>
      </w:r>
      <w:r w:rsidR="00A962D9">
        <w:rPr>
          <w:rFonts w:asciiTheme="majorBidi" w:hAnsiTheme="majorBidi"/>
          <w:color w:val="auto"/>
          <w:sz w:val="26"/>
          <w:szCs w:val="26"/>
          <w:lang w:val="en-GB"/>
        </w:rPr>
        <w:t>n</w:t>
      </w:r>
      <w:r w:rsidR="001C79FD">
        <w:rPr>
          <w:rFonts w:asciiTheme="majorBidi" w:hAnsiTheme="majorBidi"/>
          <w:color w:val="auto"/>
          <w:sz w:val="26"/>
          <w:szCs w:val="26"/>
          <w:lang w:val="en-GB"/>
        </w:rPr>
        <w:t>hofer</w:t>
      </w:r>
      <w:proofErr w:type="spellEnd"/>
      <w:r w:rsidRPr="00441478">
        <w:rPr>
          <w:rFonts w:asciiTheme="majorBidi" w:hAnsiTheme="majorBidi"/>
          <w:color w:val="auto"/>
          <w:sz w:val="26"/>
          <w:szCs w:val="26"/>
          <w:lang w:val="en-GB"/>
        </w:rPr>
        <w:t xml:space="preserve"> (2014) used eight</w:t>
      </w:r>
      <w:r w:rsidR="00387F04" w:rsidRPr="00441478">
        <w:rPr>
          <w:rFonts w:asciiTheme="majorBidi" w:hAnsiTheme="majorBidi"/>
          <w:color w:val="auto"/>
          <w:sz w:val="26"/>
          <w:szCs w:val="26"/>
          <w:lang w:val="en-GB"/>
        </w:rPr>
        <w:t xml:space="preserve"> measures</w:t>
      </w:r>
      <w:r w:rsidRPr="00441478">
        <w:rPr>
          <w:rFonts w:asciiTheme="majorBidi" w:hAnsiTheme="majorBidi"/>
          <w:color w:val="auto"/>
          <w:sz w:val="26"/>
          <w:szCs w:val="26"/>
          <w:lang w:val="en-GB"/>
        </w:rPr>
        <w:t xml:space="preserve">. </w:t>
      </w:r>
      <w:r w:rsidR="006B1C85" w:rsidRPr="00441478">
        <w:rPr>
          <w:rFonts w:asciiTheme="majorBidi" w:hAnsiTheme="majorBidi"/>
          <w:color w:val="auto"/>
          <w:sz w:val="26"/>
          <w:szCs w:val="26"/>
          <w:lang w:val="en-GB"/>
        </w:rPr>
        <w:t xml:space="preserve">The present </w:t>
      </w:r>
      <w:r w:rsidR="00385CAE" w:rsidRPr="00441478">
        <w:rPr>
          <w:rFonts w:asciiTheme="majorBidi" w:hAnsiTheme="majorBidi"/>
          <w:color w:val="auto"/>
          <w:sz w:val="26"/>
          <w:szCs w:val="26"/>
          <w:lang w:val="en-GB"/>
        </w:rPr>
        <w:t xml:space="preserve">study </w:t>
      </w:r>
      <w:r w:rsidR="006B1C85" w:rsidRPr="00441478">
        <w:rPr>
          <w:rFonts w:asciiTheme="majorBidi" w:hAnsiTheme="majorBidi"/>
          <w:color w:val="auto"/>
          <w:sz w:val="26"/>
          <w:szCs w:val="26"/>
          <w:lang w:val="en-GB"/>
        </w:rPr>
        <w:t xml:space="preserve">belongs </w:t>
      </w:r>
      <w:r w:rsidR="00385CAE" w:rsidRPr="00441478">
        <w:rPr>
          <w:rFonts w:asciiTheme="majorBidi" w:hAnsiTheme="majorBidi"/>
          <w:color w:val="auto"/>
          <w:sz w:val="26"/>
          <w:szCs w:val="26"/>
          <w:lang w:val="en-GB"/>
        </w:rPr>
        <w:t>to the second stream as it</w:t>
      </w:r>
      <w:r w:rsidR="00787534" w:rsidRPr="00441478">
        <w:rPr>
          <w:rFonts w:asciiTheme="majorBidi" w:hAnsiTheme="majorBidi"/>
          <w:color w:val="auto"/>
          <w:sz w:val="26"/>
          <w:szCs w:val="26"/>
          <w:lang w:val="en-GB"/>
        </w:rPr>
        <w:t xml:space="preserve"> select</w:t>
      </w:r>
      <w:r w:rsidR="00385CAE" w:rsidRPr="00441478">
        <w:rPr>
          <w:rFonts w:asciiTheme="majorBidi" w:hAnsiTheme="majorBidi"/>
          <w:color w:val="auto"/>
          <w:sz w:val="26"/>
          <w:szCs w:val="26"/>
          <w:lang w:val="en-GB"/>
        </w:rPr>
        <w:t>s</w:t>
      </w:r>
      <w:r w:rsidR="00787534" w:rsidRPr="00441478">
        <w:rPr>
          <w:rFonts w:asciiTheme="majorBidi" w:hAnsiTheme="majorBidi"/>
          <w:color w:val="auto"/>
          <w:sz w:val="26"/>
          <w:szCs w:val="26"/>
          <w:lang w:val="en-GB"/>
        </w:rPr>
        <w:t xml:space="preserve"> </w:t>
      </w:r>
      <w:r w:rsidR="005C1820" w:rsidRPr="00441478">
        <w:rPr>
          <w:rFonts w:asciiTheme="majorBidi" w:hAnsiTheme="majorBidi"/>
          <w:color w:val="auto"/>
          <w:sz w:val="26"/>
          <w:szCs w:val="26"/>
          <w:lang w:val="en-GB"/>
        </w:rPr>
        <w:t>nine</w:t>
      </w:r>
      <w:r w:rsidR="00787534" w:rsidRPr="00441478">
        <w:rPr>
          <w:rFonts w:asciiTheme="majorBidi" w:hAnsiTheme="majorBidi"/>
          <w:color w:val="auto"/>
          <w:sz w:val="26"/>
          <w:szCs w:val="26"/>
          <w:lang w:val="en-GB"/>
        </w:rPr>
        <w:t xml:space="preserve"> EQ </w:t>
      </w:r>
      <w:r w:rsidR="006B1C85" w:rsidRPr="00441478">
        <w:rPr>
          <w:rFonts w:asciiTheme="majorBidi" w:hAnsiTheme="majorBidi"/>
          <w:color w:val="auto"/>
          <w:sz w:val="26"/>
          <w:szCs w:val="26"/>
          <w:lang w:val="en-GB"/>
        </w:rPr>
        <w:t xml:space="preserve">measures </w:t>
      </w:r>
      <w:r w:rsidR="00787534" w:rsidRPr="00441478">
        <w:rPr>
          <w:rFonts w:asciiTheme="majorBidi" w:hAnsiTheme="majorBidi"/>
          <w:color w:val="auto"/>
          <w:sz w:val="26"/>
          <w:szCs w:val="26"/>
          <w:lang w:val="en-GB"/>
        </w:rPr>
        <w:t>that are commonly used as reported by empirical</w:t>
      </w:r>
      <w:r w:rsidR="00387F04" w:rsidRPr="00441478">
        <w:rPr>
          <w:rFonts w:asciiTheme="majorBidi" w:hAnsiTheme="majorBidi"/>
          <w:color w:val="auto"/>
          <w:sz w:val="26"/>
          <w:szCs w:val="26"/>
          <w:lang w:val="en-GB"/>
        </w:rPr>
        <w:t xml:space="preserve"> literature </w:t>
      </w:r>
      <w:r w:rsidR="006B1C85" w:rsidRPr="00441478">
        <w:rPr>
          <w:rFonts w:asciiTheme="majorBidi" w:hAnsiTheme="majorBidi"/>
          <w:color w:val="auto"/>
          <w:sz w:val="26"/>
          <w:szCs w:val="26"/>
          <w:lang w:val="en-GB"/>
        </w:rPr>
        <w:t xml:space="preserve">and </w:t>
      </w:r>
      <w:r w:rsidR="00387F04" w:rsidRPr="00441478">
        <w:rPr>
          <w:rFonts w:asciiTheme="majorBidi" w:hAnsiTheme="majorBidi"/>
          <w:color w:val="auto"/>
          <w:sz w:val="26"/>
          <w:szCs w:val="26"/>
          <w:lang w:val="en-GB"/>
        </w:rPr>
        <w:t>then examine</w:t>
      </w:r>
      <w:r w:rsidR="006B1C85" w:rsidRPr="00441478">
        <w:rPr>
          <w:rFonts w:asciiTheme="majorBidi" w:hAnsiTheme="majorBidi"/>
          <w:color w:val="auto"/>
          <w:sz w:val="26"/>
          <w:szCs w:val="26"/>
          <w:lang w:val="en-GB"/>
        </w:rPr>
        <w:t>s</w:t>
      </w:r>
      <w:r w:rsidR="00387F04" w:rsidRPr="00441478">
        <w:rPr>
          <w:rFonts w:asciiTheme="majorBidi" w:hAnsiTheme="majorBidi"/>
          <w:color w:val="auto"/>
          <w:sz w:val="26"/>
          <w:szCs w:val="26"/>
          <w:lang w:val="en-GB"/>
        </w:rPr>
        <w:t xml:space="preserve"> the </w:t>
      </w:r>
      <w:r w:rsidR="006B1C85" w:rsidRPr="00441478">
        <w:rPr>
          <w:rFonts w:asciiTheme="majorBidi" w:hAnsiTheme="majorBidi"/>
          <w:color w:val="auto"/>
          <w:sz w:val="26"/>
          <w:szCs w:val="26"/>
          <w:lang w:val="en-GB"/>
        </w:rPr>
        <w:t xml:space="preserve">effect </w:t>
      </w:r>
      <w:r w:rsidR="00387F04" w:rsidRPr="00441478">
        <w:rPr>
          <w:rFonts w:asciiTheme="majorBidi" w:hAnsiTheme="majorBidi"/>
          <w:color w:val="auto"/>
          <w:sz w:val="26"/>
          <w:szCs w:val="26"/>
          <w:lang w:val="en-GB"/>
        </w:rPr>
        <w:t xml:space="preserve">of </w:t>
      </w:r>
      <w:r w:rsidR="006B1C85" w:rsidRPr="00441478">
        <w:rPr>
          <w:rFonts w:asciiTheme="majorBidi" w:hAnsiTheme="majorBidi"/>
          <w:color w:val="auto"/>
          <w:sz w:val="26"/>
          <w:szCs w:val="26"/>
          <w:lang w:val="en-GB"/>
        </w:rPr>
        <w:t>EQ</w:t>
      </w:r>
      <w:r w:rsidR="00387F04" w:rsidRPr="00441478">
        <w:rPr>
          <w:rFonts w:asciiTheme="majorBidi" w:hAnsiTheme="majorBidi"/>
          <w:color w:val="auto"/>
          <w:sz w:val="26"/>
          <w:szCs w:val="26"/>
          <w:lang w:val="en-GB"/>
        </w:rPr>
        <w:t xml:space="preserve"> on foreign investors.</w:t>
      </w:r>
      <w:r w:rsidR="00787534" w:rsidRPr="00441478">
        <w:rPr>
          <w:rFonts w:asciiTheme="majorBidi" w:hAnsiTheme="majorBidi"/>
          <w:color w:val="auto"/>
          <w:sz w:val="26"/>
          <w:szCs w:val="26"/>
          <w:lang w:val="en-GB"/>
        </w:rPr>
        <w:t xml:space="preserve"> </w:t>
      </w:r>
    </w:p>
    <w:p w14:paraId="1BDF6C75" w14:textId="463DA65B" w:rsidR="00EE6726" w:rsidRPr="00441478" w:rsidRDefault="000243B0" w:rsidP="00C8366C">
      <w:pPr>
        <w:autoSpaceDE w:val="0"/>
        <w:autoSpaceDN w:val="0"/>
        <w:adjustRightInd w:val="0"/>
        <w:snapToGrid w:val="0"/>
        <w:spacing w:after="0" w:line="360" w:lineRule="exact"/>
        <w:ind w:firstLine="510"/>
        <w:jc w:val="both"/>
        <w:rPr>
          <w:rFonts w:asciiTheme="majorBidi" w:hAnsiTheme="majorBidi"/>
          <w:sz w:val="26"/>
          <w:szCs w:val="26"/>
        </w:rPr>
      </w:pPr>
      <w:r w:rsidRPr="00441478">
        <w:rPr>
          <w:rFonts w:asciiTheme="majorBidi" w:hAnsiTheme="majorBidi"/>
          <w:sz w:val="26"/>
          <w:szCs w:val="26"/>
        </w:rPr>
        <w:t>This study</w:t>
      </w:r>
      <w:r w:rsidR="00EE6726" w:rsidRPr="00441478">
        <w:rPr>
          <w:rFonts w:asciiTheme="majorBidi" w:hAnsiTheme="majorBidi"/>
          <w:sz w:val="26"/>
          <w:szCs w:val="26"/>
        </w:rPr>
        <w:t xml:space="preserve"> used nine measures </w:t>
      </w:r>
      <w:r w:rsidR="006B1C85" w:rsidRPr="00441478">
        <w:rPr>
          <w:rFonts w:asciiTheme="majorBidi" w:hAnsiTheme="majorBidi"/>
          <w:sz w:val="26"/>
          <w:szCs w:val="26"/>
        </w:rPr>
        <w:t>for t</w:t>
      </w:r>
      <w:r w:rsidR="00944F99" w:rsidRPr="00441478">
        <w:rPr>
          <w:rFonts w:asciiTheme="majorBidi" w:hAnsiTheme="majorBidi"/>
          <w:sz w:val="26"/>
          <w:szCs w:val="26"/>
        </w:rPr>
        <w:t>hree</w:t>
      </w:r>
      <w:r w:rsidR="00EE6726" w:rsidRPr="00441478">
        <w:rPr>
          <w:rFonts w:asciiTheme="majorBidi" w:hAnsiTheme="majorBidi"/>
          <w:sz w:val="26"/>
          <w:szCs w:val="26"/>
        </w:rPr>
        <w:t xml:space="preserve"> reasons. First</w:t>
      </w:r>
      <w:r w:rsidR="006B1C85" w:rsidRPr="00441478">
        <w:rPr>
          <w:rFonts w:asciiTheme="majorBidi" w:hAnsiTheme="majorBidi"/>
          <w:sz w:val="26"/>
          <w:szCs w:val="26"/>
        </w:rPr>
        <w:t>ly</w:t>
      </w:r>
      <w:r w:rsidR="00EE6726" w:rsidRPr="00441478">
        <w:rPr>
          <w:rFonts w:asciiTheme="majorBidi" w:hAnsiTheme="majorBidi"/>
          <w:sz w:val="26"/>
          <w:szCs w:val="26"/>
        </w:rPr>
        <w:t>,</w:t>
      </w:r>
      <w:r w:rsidR="0099670F" w:rsidRPr="00441478">
        <w:rPr>
          <w:rFonts w:asciiTheme="majorBidi" w:hAnsiTheme="majorBidi"/>
          <w:sz w:val="26"/>
          <w:szCs w:val="26"/>
        </w:rPr>
        <w:t xml:space="preserve"> no study </w:t>
      </w:r>
      <w:r w:rsidR="00944F99" w:rsidRPr="00441478">
        <w:rPr>
          <w:rFonts w:asciiTheme="majorBidi" w:hAnsiTheme="majorBidi"/>
          <w:sz w:val="26"/>
          <w:szCs w:val="26"/>
        </w:rPr>
        <w:t xml:space="preserve">uses </w:t>
      </w:r>
      <w:r w:rsidR="0099670F" w:rsidRPr="00441478">
        <w:rPr>
          <w:rFonts w:asciiTheme="majorBidi" w:hAnsiTheme="majorBidi"/>
          <w:sz w:val="26"/>
          <w:szCs w:val="26"/>
        </w:rPr>
        <w:t xml:space="preserve">various proxies to measure </w:t>
      </w:r>
      <w:r w:rsidR="006B1C85" w:rsidRPr="00441478">
        <w:rPr>
          <w:rFonts w:asciiTheme="majorBidi" w:hAnsiTheme="majorBidi"/>
          <w:sz w:val="26"/>
          <w:szCs w:val="26"/>
        </w:rPr>
        <w:t>EQ</w:t>
      </w:r>
      <w:r w:rsidR="00872068" w:rsidRPr="00441478">
        <w:rPr>
          <w:rFonts w:asciiTheme="majorBidi" w:hAnsiTheme="majorBidi"/>
          <w:sz w:val="26"/>
          <w:szCs w:val="26"/>
        </w:rPr>
        <w:t xml:space="preserve"> in Gulf Cooperation Council (GCC) countries</w:t>
      </w:r>
      <w:r w:rsidR="0099670F" w:rsidRPr="00441478">
        <w:rPr>
          <w:rFonts w:asciiTheme="majorBidi" w:hAnsiTheme="majorBidi"/>
          <w:sz w:val="26"/>
          <w:szCs w:val="26"/>
        </w:rPr>
        <w:t xml:space="preserve">. </w:t>
      </w:r>
      <w:r w:rsidR="00B107DB" w:rsidRPr="00441478">
        <w:rPr>
          <w:rFonts w:asciiTheme="majorBidi" w:hAnsiTheme="majorBidi"/>
          <w:sz w:val="26"/>
          <w:szCs w:val="26"/>
        </w:rPr>
        <w:t xml:space="preserve">For example, Assad </w:t>
      </w:r>
      <w:r w:rsidR="00523653">
        <w:rPr>
          <w:rFonts w:asciiTheme="majorBidi" w:hAnsiTheme="majorBidi"/>
          <w:sz w:val="26"/>
          <w:szCs w:val="26"/>
        </w:rPr>
        <w:t>and</w:t>
      </w:r>
      <w:r w:rsidR="00B107DB" w:rsidRPr="00441478">
        <w:rPr>
          <w:rFonts w:asciiTheme="majorBidi" w:hAnsiTheme="majorBidi"/>
          <w:sz w:val="26"/>
          <w:szCs w:val="26"/>
        </w:rPr>
        <w:t xml:space="preserve"> </w:t>
      </w:r>
      <w:proofErr w:type="spellStart"/>
      <w:r w:rsidR="00B107DB" w:rsidRPr="00441478">
        <w:rPr>
          <w:rFonts w:asciiTheme="majorBidi" w:hAnsiTheme="majorBidi"/>
          <w:sz w:val="26"/>
          <w:szCs w:val="26"/>
        </w:rPr>
        <w:t>Alshurideh</w:t>
      </w:r>
      <w:proofErr w:type="spellEnd"/>
      <w:r w:rsidR="00B107DB" w:rsidRPr="00441478">
        <w:rPr>
          <w:rFonts w:asciiTheme="majorBidi" w:hAnsiTheme="majorBidi"/>
          <w:sz w:val="26"/>
          <w:szCs w:val="26"/>
        </w:rPr>
        <w:t xml:space="preserve"> (2020) examined three proxies </w:t>
      </w:r>
      <w:r w:rsidR="00077B43" w:rsidRPr="00441478">
        <w:rPr>
          <w:rFonts w:asciiTheme="majorBidi" w:hAnsiTheme="majorBidi"/>
          <w:sz w:val="26"/>
          <w:szCs w:val="26"/>
        </w:rPr>
        <w:t xml:space="preserve">(accruals) </w:t>
      </w:r>
      <w:r w:rsidR="00B107DB" w:rsidRPr="00441478">
        <w:rPr>
          <w:rFonts w:asciiTheme="majorBidi" w:hAnsiTheme="majorBidi"/>
          <w:sz w:val="26"/>
          <w:szCs w:val="26"/>
        </w:rPr>
        <w:t xml:space="preserve">to measure </w:t>
      </w:r>
      <w:r w:rsidR="006B1C85" w:rsidRPr="00441478">
        <w:rPr>
          <w:rFonts w:asciiTheme="majorBidi" w:hAnsiTheme="majorBidi"/>
          <w:sz w:val="26"/>
          <w:szCs w:val="26"/>
        </w:rPr>
        <w:t>EQ</w:t>
      </w:r>
      <w:r w:rsidR="00B107DB" w:rsidRPr="00441478">
        <w:rPr>
          <w:rFonts w:asciiTheme="majorBidi" w:hAnsiTheme="majorBidi"/>
          <w:sz w:val="26"/>
          <w:szCs w:val="26"/>
        </w:rPr>
        <w:t xml:space="preserve"> as mediator variables </w:t>
      </w:r>
      <w:r w:rsidR="00077B43" w:rsidRPr="00441478">
        <w:rPr>
          <w:rFonts w:asciiTheme="majorBidi" w:hAnsiTheme="majorBidi"/>
          <w:sz w:val="26"/>
          <w:szCs w:val="26"/>
        </w:rPr>
        <w:t>between</w:t>
      </w:r>
      <w:r w:rsidR="00B107DB" w:rsidRPr="00441478">
        <w:rPr>
          <w:rFonts w:asciiTheme="majorBidi" w:hAnsiTheme="majorBidi"/>
          <w:sz w:val="26"/>
          <w:szCs w:val="26"/>
        </w:rPr>
        <w:t xml:space="preserve"> audit quality and investment efficiency</w:t>
      </w:r>
      <w:r w:rsidR="00077B43" w:rsidRPr="00441478">
        <w:rPr>
          <w:rFonts w:asciiTheme="majorBidi" w:hAnsiTheme="majorBidi"/>
          <w:sz w:val="26"/>
          <w:szCs w:val="26"/>
        </w:rPr>
        <w:t xml:space="preserve"> in GCC countries</w:t>
      </w:r>
      <w:r w:rsidR="00B107DB" w:rsidRPr="00441478">
        <w:rPr>
          <w:rFonts w:asciiTheme="majorBidi" w:hAnsiTheme="majorBidi"/>
          <w:sz w:val="26"/>
          <w:szCs w:val="26"/>
        </w:rPr>
        <w:t xml:space="preserve">. </w:t>
      </w:r>
      <w:proofErr w:type="spellStart"/>
      <w:r w:rsidR="00306580" w:rsidRPr="00441478">
        <w:rPr>
          <w:rFonts w:asciiTheme="majorBidi" w:hAnsiTheme="majorBidi"/>
          <w:sz w:val="26"/>
          <w:szCs w:val="26"/>
        </w:rPr>
        <w:t>Ezat</w:t>
      </w:r>
      <w:proofErr w:type="spellEnd"/>
      <w:r w:rsidR="00306580" w:rsidRPr="00441478">
        <w:rPr>
          <w:rFonts w:asciiTheme="majorBidi" w:hAnsiTheme="majorBidi"/>
          <w:sz w:val="26"/>
          <w:szCs w:val="26"/>
        </w:rPr>
        <w:t xml:space="preserve"> </w:t>
      </w:r>
      <w:r w:rsidR="00B107DB" w:rsidRPr="00441478">
        <w:rPr>
          <w:rFonts w:asciiTheme="majorBidi" w:hAnsiTheme="majorBidi"/>
          <w:sz w:val="26"/>
          <w:szCs w:val="26"/>
        </w:rPr>
        <w:t xml:space="preserve">et al. (2019) used </w:t>
      </w:r>
      <w:r w:rsidR="00077B43" w:rsidRPr="00441478">
        <w:rPr>
          <w:rFonts w:asciiTheme="majorBidi" w:hAnsiTheme="majorBidi"/>
          <w:sz w:val="26"/>
          <w:szCs w:val="26"/>
        </w:rPr>
        <w:t>three proxies</w:t>
      </w:r>
      <w:r w:rsidR="00944F99" w:rsidRPr="00441478">
        <w:rPr>
          <w:rFonts w:asciiTheme="majorBidi" w:hAnsiTheme="majorBidi"/>
          <w:sz w:val="26"/>
          <w:szCs w:val="26"/>
        </w:rPr>
        <w:t>,</w:t>
      </w:r>
      <w:r w:rsidR="00077B43" w:rsidRPr="00441478">
        <w:rPr>
          <w:rFonts w:asciiTheme="majorBidi" w:hAnsiTheme="majorBidi"/>
          <w:sz w:val="26"/>
          <w:szCs w:val="26"/>
        </w:rPr>
        <w:t xml:space="preserve"> namely</w:t>
      </w:r>
      <w:r w:rsidR="00944F99" w:rsidRPr="00441478">
        <w:rPr>
          <w:rFonts w:asciiTheme="majorBidi" w:hAnsiTheme="majorBidi"/>
          <w:sz w:val="26"/>
          <w:szCs w:val="26"/>
        </w:rPr>
        <w:t xml:space="preserve">, </w:t>
      </w:r>
      <w:r w:rsidR="00077B43" w:rsidRPr="00441478">
        <w:rPr>
          <w:rFonts w:asciiTheme="majorBidi" w:hAnsiTheme="majorBidi"/>
          <w:sz w:val="26"/>
          <w:szCs w:val="26"/>
        </w:rPr>
        <w:t>accrual, predictability</w:t>
      </w:r>
      <w:r w:rsidR="007D3C6D">
        <w:rPr>
          <w:rFonts w:asciiTheme="majorBidi" w:hAnsiTheme="majorBidi"/>
          <w:sz w:val="26"/>
          <w:szCs w:val="26"/>
        </w:rPr>
        <w:t>,</w:t>
      </w:r>
      <w:r w:rsidR="00077B43" w:rsidRPr="00441478">
        <w:rPr>
          <w:rFonts w:asciiTheme="majorBidi" w:hAnsiTheme="majorBidi"/>
          <w:sz w:val="26"/>
          <w:szCs w:val="26"/>
        </w:rPr>
        <w:t xml:space="preserve"> and persistence</w:t>
      </w:r>
      <w:r w:rsidR="00944F99" w:rsidRPr="00441478">
        <w:rPr>
          <w:rFonts w:asciiTheme="majorBidi" w:hAnsiTheme="majorBidi"/>
          <w:sz w:val="26"/>
          <w:szCs w:val="26"/>
        </w:rPr>
        <w:t xml:space="preserve">, only in </w:t>
      </w:r>
      <w:r w:rsidR="006E17DF" w:rsidRPr="00441478">
        <w:rPr>
          <w:rFonts w:asciiTheme="majorBidi" w:hAnsiTheme="majorBidi"/>
          <w:sz w:val="26"/>
          <w:szCs w:val="26"/>
        </w:rPr>
        <w:t xml:space="preserve">the </w:t>
      </w:r>
      <w:r w:rsidR="009C59F2" w:rsidRPr="00441478">
        <w:rPr>
          <w:rFonts w:asciiTheme="majorBidi" w:hAnsiTheme="majorBidi" w:cstheme="majorBidi"/>
          <w:sz w:val="26"/>
          <w:szCs w:val="26"/>
        </w:rPr>
        <w:t>Kingdom of Saudi Arabia</w:t>
      </w:r>
      <w:r w:rsidR="00077B43" w:rsidRPr="00441478">
        <w:rPr>
          <w:rFonts w:asciiTheme="majorBidi" w:hAnsiTheme="majorBidi" w:cstheme="majorBidi"/>
          <w:sz w:val="26"/>
          <w:szCs w:val="26"/>
        </w:rPr>
        <w:t>.</w:t>
      </w:r>
      <w:r w:rsidR="00077B43" w:rsidRPr="00441478">
        <w:rPr>
          <w:rFonts w:asciiTheme="majorBidi" w:hAnsiTheme="majorBidi"/>
          <w:sz w:val="26"/>
          <w:szCs w:val="26"/>
        </w:rPr>
        <w:t xml:space="preserve"> </w:t>
      </w:r>
      <w:proofErr w:type="spellStart"/>
      <w:r w:rsidR="00077B43" w:rsidRPr="00441478">
        <w:rPr>
          <w:rFonts w:asciiTheme="majorBidi" w:hAnsiTheme="majorBidi"/>
          <w:sz w:val="26"/>
          <w:szCs w:val="26"/>
        </w:rPr>
        <w:t>Shubita</w:t>
      </w:r>
      <w:proofErr w:type="spellEnd"/>
      <w:r w:rsidR="00077B43" w:rsidRPr="00441478">
        <w:rPr>
          <w:rFonts w:asciiTheme="majorBidi" w:hAnsiTheme="majorBidi"/>
          <w:sz w:val="26"/>
          <w:szCs w:val="26"/>
        </w:rPr>
        <w:t xml:space="preserve"> (2015) used income smoothing to measure </w:t>
      </w:r>
      <w:r w:rsidR="006B1C85" w:rsidRPr="00441478">
        <w:rPr>
          <w:rFonts w:asciiTheme="majorBidi" w:hAnsiTheme="majorBidi"/>
          <w:sz w:val="26"/>
          <w:szCs w:val="26"/>
        </w:rPr>
        <w:t>EQ</w:t>
      </w:r>
      <w:r w:rsidR="00306580" w:rsidRPr="00441478">
        <w:rPr>
          <w:rFonts w:asciiTheme="majorBidi" w:hAnsiTheme="majorBidi"/>
          <w:sz w:val="26"/>
          <w:szCs w:val="26"/>
        </w:rPr>
        <w:t xml:space="preserve"> in GCC countries</w:t>
      </w:r>
      <w:r w:rsidR="00944F99" w:rsidRPr="00441478">
        <w:rPr>
          <w:rFonts w:asciiTheme="majorBidi" w:hAnsiTheme="majorBidi"/>
          <w:sz w:val="26"/>
          <w:szCs w:val="26"/>
        </w:rPr>
        <w:t>,</w:t>
      </w:r>
      <w:r w:rsidR="00C97839" w:rsidRPr="00441478">
        <w:rPr>
          <w:rFonts w:asciiTheme="majorBidi" w:hAnsiTheme="majorBidi"/>
          <w:sz w:val="26"/>
          <w:szCs w:val="26"/>
        </w:rPr>
        <w:t xml:space="preserve"> and </w:t>
      </w:r>
      <w:proofErr w:type="spellStart"/>
      <w:r w:rsidR="00C97839" w:rsidRPr="00441478">
        <w:rPr>
          <w:rFonts w:asciiTheme="majorBidi" w:hAnsiTheme="majorBidi"/>
          <w:sz w:val="26"/>
          <w:szCs w:val="26"/>
        </w:rPr>
        <w:t>Alfraih</w:t>
      </w:r>
      <w:proofErr w:type="spellEnd"/>
      <w:r w:rsidR="00C97839" w:rsidRPr="00441478">
        <w:rPr>
          <w:rFonts w:asciiTheme="majorBidi" w:hAnsiTheme="majorBidi"/>
          <w:sz w:val="26"/>
          <w:szCs w:val="26"/>
        </w:rPr>
        <w:t xml:space="preserve"> </w:t>
      </w:r>
      <w:r w:rsidR="00523653">
        <w:rPr>
          <w:rFonts w:asciiTheme="majorBidi" w:hAnsiTheme="majorBidi"/>
          <w:sz w:val="26"/>
          <w:szCs w:val="26"/>
        </w:rPr>
        <w:t>and</w:t>
      </w:r>
      <w:r w:rsidR="00C97839" w:rsidRPr="00441478">
        <w:rPr>
          <w:rFonts w:asciiTheme="majorBidi" w:hAnsiTheme="majorBidi"/>
          <w:sz w:val="26"/>
          <w:szCs w:val="26"/>
        </w:rPr>
        <w:t xml:space="preserve"> </w:t>
      </w:r>
      <w:proofErr w:type="spellStart"/>
      <w:r w:rsidR="00C97839" w:rsidRPr="00441478">
        <w:rPr>
          <w:rFonts w:asciiTheme="majorBidi" w:hAnsiTheme="majorBidi"/>
          <w:sz w:val="26"/>
          <w:szCs w:val="26"/>
        </w:rPr>
        <w:t>Alanezi</w:t>
      </w:r>
      <w:proofErr w:type="spellEnd"/>
      <w:r w:rsidR="00C97839" w:rsidRPr="00441478">
        <w:rPr>
          <w:rFonts w:asciiTheme="majorBidi" w:hAnsiTheme="majorBidi"/>
          <w:sz w:val="26"/>
          <w:szCs w:val="26"/>
        </w:rPr>
        <w:t xml:space="preserve"> (2015) used value relevance only in Kuwait</w:t>
      </w:r>
      <w:r w:rsidR="00077B43" w:rsidRPr="00441478">
        <w:rPr>
          <w:rFonts w:asciiTheme="majorBidi" w:hAnsiTheme="majorBidi"/>
          <w:sz w:val="26"/>
          <w:szCs w:val="26"/>
        </w:rPr>
        <w:t>.</w:t>
      </w:r>
      <w:r w:rsidR="003C4AB2" w:rsidRPr="00441478">
        <w:rPr>
          <w:rFonts w:asciiTheme="majorBidi" w:hAnsiTheme="majorBidi"/>
          <w:sz w:val="26"/>
          <w:szCs w:val="26"/>
        </w:rPr>
        <w:t xml:space="preserve"> </w:t>
      </w:r>
      <w:r w:rsidR="00944F99" w:rsidRPr="00441478">
        <w:rPr>
          <w:rFonts w:asciiTheme="majorBidi" w:hAnsiTheme="majorBidi"/>
          <w:sz w:val="26"/>
          <w:szCs w:val="26"/>
        </w:rPr>
        <w:t>N</w:t>
      </w:r>
      <w:r w:rsidR="00306580" w:rsidRPr="00441478">
        <w:rPr>
          <w:rFonts w:asciiTheme="majorBidi" w:hAnsiTheme="majorBidi"/>
          <w:sz w:val="26"/>
          <w:szCs w:val="26"/>
        </w:rPr>
        <w:t xml:space="preserve">o comprehensive study introduces various </w:t>
      </w:r>
      <w:r w:rsidR="006B1C85" w:rsidRPr="00441478">
        <w:rPr>
          <w:rFonts w:asciiTheme="majorBidi" w:hAnsiTheme="majorBidi"/>
          <w:sz w:val="26"/>
          <w:szCs w:val="26"/>
        </w:rPr>
        <w:t>EQ</w:t>
      </w:r>
      <w:r w:rsidR="00306580" w:rsidRPr="00441478">
        <w:rPr>
          <w:rFonts w:asciiTheme="majorBidi" w:hAnsiTheme="majorBidi"/>
          <w:sz w:val="26"/>
          <w:szCs w:val="26"/>
        </w:rPr>
        <w:t xml:space="preserve"> measures to provide </w:t>
      </w:r>
      <w:r w:rsidR="00306580" w:rsidRPr="00441478">
        <w:rPr>
          <w:rFonts w:asciiTheme="majorBidi" w:hAnsiTheme="majorBidi"/>
          <w:sz w:val="26"/>
          <w:szCs w:val="26"/>
        </w:rPr>
        <w:lastRenderedPageBreak/>
        <w:t>useful information for stakeholders as many proxies are not addressed. Second</w:t>
      </w:r>
      <w:r w:rsidR="00944F99" w:rsidRPr="00441478">
        <w:rPr>
          <w:rFonts w:asciiTheme="majorBidi" w:hAnsiTheme="majorBidi"/>
          <w:sz w:val="26"/>
          <w:szCs w:val="26"/>
        </w:rPr>
        <w:t>ly</w:t>
      </w:r>
      <w:r w:rsidR="00306580" w:rsidRPr="00441478">
        <w:rPr>
          <w:rFonts w:asciiTheme="majorBidi" w:hAnsiTheme="majorBidi"/>
          <w:sz w:val="26"/>
          <w:szCs w:val="26"/>
        </w:rPr>
        <w:t>, the use of different proxies is required to generalize the findings</w:t>
      </w:r>
      <w:r w:rsidR="00944F99" w:rsidRPr="00441478">
        <w:rPr>
          <w:rFonts w:asciiTheme="majorBidi" w:hAnsiTheme="majorBidi"/>
          <w:sz w:val="26"/>
          <w:szCs w:val="26"/>
        </w:rPr>
        <w:t>.</w:t>
      </w:r>
      <w:r w:rsidR="00306580" w:rsidRPr="00441478">
        <w:rPr>
          <w:rFonts w:asciiTheme="majorBidi" w:hAnsiTheme="majorBidi"/>
          <w:sz w:val="26"/>
          <w:szCs w:val="26"/>
        </w:rPr>
        <w:t xml:space="preserve"> </w:t>
      </w:r>
      <w:r w:rsidR="00944F99" w:rsidRPr="00441478">
        <w:rPr>
          <w:rFonts w:asciiTheme="majorBidi" w:hAnsiTheme="majorBidi"/>
          <w:sz w:val="26"/>
          <w:szCs w:val="26"/>
        </w:rPr>
        <w:t>W</w:t>
      </w:r>
      <w:r w:rsidR="00306580" w:rsidRPr="00441478">
        <w:rPr>
          <w:rFonts w:asciiTheme="majorBidi" w:hAnsiTheme="majorBidi"/>
          <w:sz w:val="26"/>
          <w:szCs w:val="26"/>
        </w:rPr>
        <w:t>hen using such proxies</w:t>
      </w:r>
      <w:r w:rsidR="00944F99" w:rsidRPr="00441478">
        <w:rPr>
          <w:rFonts w:asciiTheme="majorBidi" w:hAnsiTheme="majorBidi"/>
          <w:sz w:val="26"/>
          <w:szCs w:val="26"/>
        </w:rPr>
        <w:t xml:space="preserve">, </w:t>
      </w:r>
      <w:r w:rsidR="00306580" w:rsidRPr="00441478">
        <w:rPr>
          <w:rFonts w:asciiTheme="majorBidi" w:hAnsiTheme="majorBidi"/>
          <w:sz w:val="26"/>
          <w:szCs w:val="26"/>
        </w:rPr>
        <w:t xml:space="preserve">the bias in one proxy </w:t>
      </w:r>
      <w:r w:rsidR="00944F99" w:rsidRPr="00441478">
        <w:rPr>
          <w:rFonts w:asciiTheme="majorBidi" w:hAnsiTheme="majorBidi"/>
          <w:sz w:val="26"/>
          <w:szCs w:val="26"/>
        </w:rPr>
        <w:t xml:space="preserve">is presumed to </w:t>
      </w:r>
      <w:r w:rsidR="00306580" w:rsidRPr="00441478">
        <w:rPr>
          <w:rFonts w:asciiTheme="majorBidi" w:hAnsiTheme="majorBidi"/>
          <w:sz w:val="26"/>
          <w:szCs w:val="26"/>
        </w:rPr>
        <w:t>be off</w:t>
      </w:r>
      <w:r w:rsidR="003C4AB2" w:rsidRPr="00441478">
        <w:rPr>
          <w:rFonts w:asciiTheme="majorBidi" w:hAnsiTheme="majorBidi"/>
          <w:sz w:val="26"/>
          <w:szCs w:val="26"/>
        </w:rPr>
        <w:t>set by other proxies. Third</w:t>
      </w:r>
      <w:r w:rsidR="00944F99" w:rsidRPr="00441478">
        <w:rPr>
          <w:rFonts w:asciiTheme="majorBidi" w:hAnsiTheme="majorBidi"/>
          <w:sz w:val="26"/>
          <w:szCs w:val="26"/>
        </w:rPr>
        <w:t>ly</w:t>
      </w:r>
      <w:r w:rsidR="00306580" w:rsidRPr="00441478">
        <w:rPr>
          <w:rFonts w:asciiTheme="majorBidi" w:hAnsiTheme="majorBidi"/>
          <w:sz w:val="26"/>
          <w:szCs w:val="26"/>
        </w:rPr>
        <w:t xml:space="preserve">, </w:t>
      </w:r>
      <w:r w:rsidR="009F449A" w:rsidRPr="00441478">
        <w:rPr>
          <w:rFonts w:asciiTheme="majorBidi" w:hAnsiTheme="majorBidi"/>
          <w:sz w:val="26"/>
          <w:szCs w:val="26"/>
        </w:rPr>
        <w:t xml:space="preserve">since the </w:t>
      </w:r>
      <w:r w:rsidR="00944F99" w:rsidRPr="00441478">
        <w:rPr>
          <w:rFonts w:asciiTheme="majorBidi" w:hAnsiTheme="majorBidi"/>
          <w:sz w:val="26"/>
          <w:szCs w:val="26"/>
        </w:rPr>
        <w:t xml:space="preserve">decrease </w:t>
      </w:r>
      <w:r w:rsidR="009F449A" w:rsidRPr="00441478">
        <w:rPr>
          <w:rFonts w:asciiTheme="majorBidi" w:hAnsiTheme="majorBidi"/>
          <w:sz w:val="26"/>
          <w:szCs w:val="26"/>
        </w:rPr>
        <w:t xml:space="preserve">of oil and gas prices, all GCC countries start to find other sources for revenues by diversification of </w:t>
      </w:r>
      <w:r w:rsidR="007D3C6D">
        <w:rPr>
          <w:rFonts w:asciiTheme="majorBidi" w:hAnsiTheme="majorBidi"/>
          <w:sz w:val="26"/>
          <w:szCs w:val="26"/>
        </w:rPr>
        <w:t xml:space="preserve">the </w:t>
      </w:r>
      <w:r w:rsidR="009F449A" w:rsidRPr="00441478">
        <w:rPr>
          <w:rFonts w:asciiTheme="majorBidi" w:hAnsiTheme="majorBidi"/>
          <w:sz w:val="26"/>
          <w:szCs w:val="26"/>
        </w:rPr>
        <w:t xml:space="preserve">economy. As one of the main sources is attracting more foreign investments, the quality of financial reporting </w:t>
      </w:r>
      <w:r w:rsidR="00944F99" w:rsidRPr="00441478">
        <w:rPr>
          <w:rFonts w:asciiTheme="majorBidi" w:hAnsiTheme="majorBidi"/>
          <w:sz w:val="26"/>
          <w:szCs w:val="26"/>
        </w:rPr>
        <w:t xml:space="preserve">receives much </w:t>
      </w:r>
      <w:r w:rsidR="009F449A" w:rsidRPr="00441478">
        <w:rPr>
          <w:rFonts w:asciiTheme="majorBidi" w:hAnsiTheme="majorBidi"/>
          <w:sz w:val="26"/>
          <w:szCs w:val="26"/>
        </w:rPr>
        <w:t xml:space="preserve">interest.  </w:t>
      </w:r>
    </w:p>
    <w:p w14:paraId="65507BB9" w14:textId="2E638A40" w:rsidR="00787534" w:rsidRPr="00441478" w:rsidRDefault="009F449A" w:rsidP="00C8366C">
      <w:pPr>
        <w:pStyle w:val="Default"/>
        <w:snapToGrid w:val="0"/>
        <w:spacing w:line="360" w:lineRule="exact"/>
        <w:ind w:firstLine="510"/>
        <w:jc w:val="both"/>
        <w:rPr>
          <w:rFonts w:asciiTheme="majorBidi" w:hAnsiTheme="majorBidi"/>
          <w:color w:val="auto"/>
          <w:sz w:val="26"/>
          <w:szCs w:val="26"/>
          <w:lang w:val="en-GB"/>
        </w:rPr>
      </w:pPr>
      <w:r w:rsidRPr="00441478">
        <w:rPr>
          <w:rFonts w:asciiTheme="majorBidi" w:hAnsiTheme="majorBidi"/>
          <w:color w:val="auto"/>
          <w:sz w:val="26"/>
          <w:szCs w:val="26"/>
          <w:lang w:val="en-GB"/>
        </w:rPr>
        <w:t>Accordingly, this study</w:t>
      </w:r>
      <w:r w:rsidR="004211ED" w:rsidRPr="00441478">
        <w:rPr>
          <w:rFonts w:asciiTheme="majorBidi" w:hAnsiTheme="majorBidi"/>
          <w:color w:val="auto"/>
          <w:sz w:val="26"/>
          <w:szCs w:val="26"/>
          <w:lang w:val="en-GB"/>
        </w:rPr>
        <w:t xml:space="preserve"> uses nine</w:t>
      </w:r>
      <w:r w:rsidRPr="00441478">
        <w:rPr>
          <w:rFonts w:asciiTheme="majorBidi" w:hAnsiTheme="majorBidi"/>
          <w:color w:val="auto"/>
          <w:sz w:val="26"/>
          <w:szCs w:val="26"/>
          <w:lang w:val="en-GB"/>
        </w:rPr>
        <w:t xml:space="preserve"> </w:t>
      </w:r>
      <w:r w:rsidR="006B1C85" w:rsidRPr="00441478">
        <w:rPr>
          <w:rFonts w:asciiTheme="majorBidi" w:hAnsiTheme="majorBidi"/>
          <w:color w:val="auto"/>
          <w:sz w:val="26"/>
          <w:szCs w:val="26"/>
          <w:lang w:val="en-GB"/>
        </w:rPr>
        <w:t>EQ</w:t>
      </w:r>
      <w:r w:rsidR="004211ED" w:rsidRPr="00441478">
        <w:rPr>
          <w:rFonts w:asciiTheme="majorBidi" w:hAnsiTheme="majorBidi"/>
          <w:color w:val="auto"/>
          <w:sz w:val="26"/>
          <w:szCs w:val="26"/>
          <w:lang w:val="en-GB"/>
        </w:rPr>
        <w:t xml:space="preserve"> measures from two categories</w:t>
      </w:r>
      <w:r w:rsidR="00944F99" w:rsidRPr="00441478">
        <w:rPr>
          <w:rFonts w:asciiTheme="majorBidi" w:hAnsiTheme="majorBidi"/>
          <w:color w:val="auto"/>
          <w:sz w:val="26"/>
          <w:szCs w:val="26"/>
          <w:lang w:val="en-GB"/>
        </w:rPr>
        <w:t>,</w:t>
      </w:r>
      <w:r w:rsidR="004211ED" w:rsidRPr="00441478">
        <w:rPr>
          <w:rFonts w:asciiTheme="majorBidi" w:hAnsiTheme="majorBidi"/>
          <w:color w:val="auto"/>
          <w:sz w:val="26"/>
          <w:szCs w:val="26"/>
          <w:lang w:val="en-GB"/>
        </w:rPr>
        <w:t xml:space="preserve"> namely</w:t>
      </w:r>
      <w:r w:rsidR="00944F99" w:rsidRPr="00441478">
        <w:rPr>
          <w:rFonts w:asciiTheme="majorBidi" w:hAnsiTheme="majorBidi"/>
          <w:color w:val="auto"/>
          <w:sz w:val="26"/>
          <w:szCs w:val="26"/>
          <w:lang w:val="en-GB"/>
        </w:rPr>
        <w:t xml:space="preserve">, </w:t>
      </w:r>
      <w:r w:rsidR="00787534" w:rsidRPr="00441478">
        <w:rPr>
          <w:rFonts w:asciiTheme="majorBidi" w:hAnsiTheme="majorBidi"/>
          <w:color w:val="auto"/>
          <w:sz w:val="26"/>
          <w:szCs w:val="26"/>
          <w:lang w:val="en-GB"/>
        </w:rPr>
        <w:t xml:space="preserve">accounting-based and market-based </w:t>
      </w:r>
      <w:r w:rsidR="004211ED" w:rsidRPr="00441478">
        <w:rPr>
          <w:rFonts w:asciiTheme="majorBidi" w:hAnsiTheme="majorBidi"/>
          <w:color w:val="auto"/>
          <w:sz w:val="26"/>
          <w:szCs w:val="26"/>
          <w:lang w:val="en-GB"/>
        </w:rPr>
        <w:t>measures</w:t>
      </w:r>
      <w:r w:rsidR="00787534" w:rsidRPr="00441478">
        <w:rPr>
          <w:rFonts w:asciiTheme="majorBidi" w:hAnsiTheme="majorBidi"/>
          <w:color w:val="auto"/>
          <w:sz w:val="26"/>
          <w:szCs w:val="26"/>
          <w:lang w:val="en-GB"/>
        </w:rPr>
        <w:t xml:space="preserve">. </w:t>
      </w:r>
      <w:proofErr w:type="spellStart"/>
      <w:r w:rsidR="004211ED" w:rsidRPr="00441478">
        <w:rPr>
          <w:rFonts w:asciiTheme="majorBidi" w:hAnsiTheme="majorBidi"/>
          <w:color w:val="auto"/>
          <w:sz w:val="26"/>
          <w:szCs w:val="26"/>
          <w:lang w:val="en-GB"/>
        </w:rPr>
        <w:t>Perotti</w:t>
      </w:r>
      <w:proofErr w:type="spellEnd"/>
      <w:r w:rsidR="004211ED" w:rsidRPr="00441478">
        <w:rPr>
          <w:rFonts w:asciiTheme="majorBidi" w:hAnsiTheme="majorBidi"/>
          <w:color w:val="auto"/>
          <w:sz w:val="26"/>
          <w:szCs w:val="26"/>
          <w:lang w:val="en-GB"/>
        </w:rPr>
        <w:t xml:space="preserve"> </w:t>
      </w:r>
      <w:r w:rsidR="00523653">
        <w:rPr>
          <w:rFonts w:asciiTheme="majorBidi" w:hAnsiTheme="majorBidi"/>
          <w:color w:val="auto"/>
          <w:sz w:val="26"/>
          <w:szCs w:val="26"/>
          <w:lang w:val="en-GB"/>
        </w:rPr>
        <w:t>and</w:t>
      </w:r>
      <w:r w:rsidR="004211ED" w:rsidRPr="00441478">
        <w:rPr>
          <w:rFonts w:asciiTheme="majorBidi" w:hAnsiTheme="majorBidi"/>
          <w:color w:val="auto"/>
          <w:sz w:val="26"/>
          <w:szCs w:val="26"/>
          <w:lang w:val="en-GB"/>
        </w:rPr>
        <w:t xml:space="preserve"> </w:t>
      </w:r>
      <w:proofErr w:type="spellStart"/>
      <w:r w:rsidR="00A962D9">
        <w:rPr>
          <w:rFonts w:asciiTheme="majorBidi" w:hAnsiTheme="majorBidi"/>
          <w:color w:val="auto"/>
          <w:sz w:val="26"/>
          <w:szCs w:val="26"/>
          <w:lang w:val="en-GB"/>
        </w:rPr>
        <w:t>Wagenhofer</w:t>
      </w:r>
      <w:proofErr w:type="spellEnd"/>
      <w:r w:rsidR="00944F99" w:rsidRPr="00441478">
        <w:rPr>
          <w:rFonts w:asciiTheme="majorBidi" w:hAnsiTheme="majorBidi"/>
          <w:color w:val="auto"/>
          <w:sz w:val="26"/>
          <w:szCs w:val="26"/>
          <w:lang w:val="en-GB"/>
        </w:rPr>
        <w:t xml:space="preserve"> (</w:t>
      </w:r>
      <w:r w:rsidR="004211ED" w:rsidRPr="00441478">
        <w:rPr>
          <w:rFonts w:asciiTheme="majorBidi" w:hAnsiTheme="majorBidi"/>
          <w:color w:val="auto"/>
          <w:sz w:val="26"/>
          <w:szCs w:val="26"/>
          <w:lang w:val="en-GB"/>
        </w:rPr>
        <w:t>2014) pointed out that a</w:t>
      </w:r>
      <w:r w:rsidR="00787534" w:rsidRPr="00441478">
        <w:rPr>
          <w:rFonts w:asciiTheme="majorBidi" w:hAnsiTheme="majorBidi"/>
          <w:color w:val="auto"/>
          <w:sz w:val="26"/>
          <w:szCs w:val="26"/>
          <w:lang w:val="en-GB"/>
        </w:rPr>
        <w:t xml:space="preserve">ccounting-based measures only use accounting earnings and their elements, </w:t>
      </w:r>
      <w:r w:rsidR="00050EB7" w:rsidRPr="00441478">
        <w:rPr>
          <w:rFonts w:asciiTheme="majorBidi" w:hAnsiTheme="majorBidi"/>
          <w:color w:val="auto"/>
          <w:sz w:val="26"/>
          <w:szCs w:val="26"/>
          <w:lang w:val="en-GB"/>
        </w:rPr>
        <w:t xml:space="preserve">whereas </w:t>
      </w:r>
      <w:r w:rsidR="00787534" w:rsidRPr="00441478">
        <w:rPr>
          <w:rFonts w:asciiTheme="majorBidi" w:hAnsiTheme="majorBidi"/>
          <w:color w:val="auto"/>
          <w:sz w:val="26"/>
          <w:szCs w:val="26"/>
          <w:lang w:val="en-GB"/>
        </w:rPr>
        <w:t>market-based measures are focused on accounting earnings and market returns.</w:t>
      </w:r>
    </w:p>
    <w:p w14:paraId="5BA76363" w14:textId="40AABCBB" w:rsidR="00787534" w:rsidRPr="00441478" w:rsidRDefault="004211ED" w:rsidP="00441478">
      <w:pPr>
        <w:pStyle w:val="Default"/>
        <w:snapToGrid w:val="0"/>
        <w:spacing w:line="360" w:lineRule="exact"/>
        <w:ind w:firstLine="510"/>
        <w:jc w:val="both"/>
        <w:rPr>
          <w:rFonts w:asciiTheme="majorBidi" w:hAnsiTheme="majorBidi"/>
          <w:color w:val="auto"/>
          <w:sz w:val="26"/>
          <w:szCs w:val="26"/>
          <w:lang w:val="en-GB"/>
        </w:rPr>
      </w:pPr>
      <w:r w:rsidRPr="00441478">
        <w:rPr>
          <w:rFonts w:asciiTheme="majorBidi" w:hAnsiTheme="majorBidi"/>
          <w:color w:val="auto"/>
          <w:sz w:val="26"/>
          <w:szCs w:val="26"/>
          <w:lang w:val="en-GB"/>
        </w:rPr>
        <w:t>From</w:t>
      </w:r>
      <w:r w:rsidR="007601BE" w:rsidRPr="00441478">
        <w:rPr>
          <w:rFonts w:asciiTheme="majorBidi" w:hAnsiTheme="majorBidi"/>
          <w:color w:val="auto"/>
          <w:sz w:val="26"/>
          <w:szCs w:val="26"/>
          <w:lang w:val="en-GB"/>
        </w:rPr>
        <w:t xml:space="preserve"> accounting-based measures, w</w:t>
      </w:r>
      <w:r w:rsidR="00787534" w:rsidRPr="00441478">
        <w:rPr>
          <w:rFonts w:asciiTheme="majorBidi" w:hAnsiTheme="majorBidi"/>
          <w:color w:val="auto"/>
          <w:sz w:val="26"/>
          <w:szCs w:val="26"/>
          <w:lang w:val="en-GB"/>
        </w:rPr>
        <w:t>e used persistence</w:t>
      </w:r>
      <w:r w:rsidR="00051CB6" w:rsidRPr="00441478">
        <w:rPr>
          <w:rFonts w:asciiTheme="majorBidi" w:hAnsiTheme="majorBidi"/>
          <w:color w:val="auto"/>
          <w:sz w:val="26"/>
          <w:szCs w:val="26"/>
          <w:lang w:val="en-GB"/>
        </w:rPr>
        <w:t>,</w:t>
      </w:r>
      <w:r w:rsidR="00787534" w:rsidRPr="00441478">
        <w:rPr>
          <w:rFonts w:asciiTheme="majorBidi" w:hAnsiTheme="majorBidi"/>
          <w:color w:val="auto"/>
          <w:sz w:val="26"/>
          <w:szCs w:val="26"/>
          <w:lang w:val="en-GB"/>
        </w:rPr>
        <w:t xml:space="preserve"> </w:t>
      </w:r>
      <w:r w:rsidR="007601BE" w:rsidRPr="00441478">
        <w:rPr>
          <w:rFonts w:asciiTheme="majorBidi" w:hAnsiTheme="majorBidi"/>
          <w:color w:val="auto"/>
          <w:sz w:val="26"/>
          <w:szCs w:val="26"/>
          <w:lang w:val="en-GB"/>
        </w:rPr>
        <w:t xml:space="preserve">accrual quality, predictability, </w:t>
      </w:r>
      <w:r w:rsidR="00051CB6" w:rsidRPr="00441478">
        <w:rPr>
          <w:rFonts w:asciiTheme="majorBidi" w:hAnsiTheme="majorBidi"/>
          <w:color w:val="auto"/>
          <w:sz w:val="26"/>
          <w:szCs w:val="26"/>
          <w:lang w:val="en-GB"/>
        </w:rPr>
        <w:t xml:space="preserve">earnings </w:t>
      </w:r>
      <w:r w:rsidR="00CF44C0" w:rsidRPr="00441478">
        <w:rPr>
          <w:rFonts w:asciiTheme="majorBidi" w:hAnsiTheme="majorBidi"/>
          <w:color w:val="auto"/>
          <w:sz w:val="26"/>
          <w:szCs w:val="26"/>
          <w:lang w:val="en-GB"/>
        </w:rPr>
        <w:t>smoothness</w:t>
      </w:r>
      <w:r w:rsidR="00050EB7" w:rsidRPr="00441478">
        <w:rPr>
          <w:rFonts w:asciiTheme="majorBidi" w:hAnsiTheme="majorBidi"/>
          <w:color w:val="auto"/>
          <w:sz w:val="26"/>
          <w:szCs w:val="26"/>
          <w:lang w:val="en-GB"/>
        </w:rPr>
        <w:t xml:space="preserve">, </w:t>
      </w:r>
      <w:r w:rsidR="00051CB6" w:rsidRPr="00441478">
        <w:rPr>
          <w:rFonts w:asciiTheme="majorBidi" w:hAnsiTheme="majorBidi"/>
          <w:color w:val="auto"/>
          <w:sz w:val="26"/>
          <w:szCs w:val="26"/>
          <w:lang w:val="en-GB"/>
        </w:rPr>
        <w:t>earnings surprise</w:t>
      </w:r>
      <w:r w:rsidR="007D3C6D">
        <w:rPr>
          <w:rFonts w:asciiTheme="majorBidi" w:hAnsiTheme="majorBidi"/>
          <w:color w:val="auto"/>
          <w:sz w:val="26"/>
          <w:szCs w:val="26"/>
          <w:lang w:val="en-GB"/>
        </w:rPr>
        <w:t>,</w:t>
      </w:r>
      <w:r w:rsidR="005C1820" w:rsidRPr="00441478">
        <w:rPr>
          <w:rFonts w:asciiTheme="majorBidi" w:hAnsiTheme="majorBidi"/>
          <w:color w:val="auto"/>
          <w:sz w:val="26"/>
          <w:szCs w:val="26"/>
          <w:lang w:val="en-GB"/>
        </w:rPr>
        <w:t xml:space="preserve"> and conservatism</w:t>
      </w:r>
      <w:r w:rsidR="00050EB7" w:rsidRPr="00441478">
        <w:rPr>
          <w:rFonts w:asciiTheme="majorBidi" w:hAnsiTheme="majorBidi"/>
          <w:color w:val="auto"/>
          <w:sz w:val="26"/>
          <w:szCs w:val="26"/>
          <w:lang w:val="en-GB"/>
        </w:rPr>
        <w:t>. F</w:t>
      </w:r>
      <w:r w:rsidRPr="00441478">
        <w:rPr>
          <w:rFonts w:asciiTheme="majorBidi" w:hAnsiTheme="majorBidi"/>
          <w:color w:val="auto"/>
          <w:sz w:val="26"/>
          <w:szCs w:val="26"/>
          <w:lang w:val="en-GB"/>
        </w:rPr>
        <w:t>rom</w:t>
      </w:r>
      <w:r w:rsidR="007601BE" w:rsidRPr="00441478">
        <w:rPr>
          <w:rFonts w:asciiTheme="majorBidi" w:hAnsiTheme="majorBidi"/>
          <w:color w:val="auto"/>
          <w:sz w:val="26"/>
          <w:szCs w:val="26"/>
          <w:lang w:val="en-GB"/>
        </w:rPr>
        <w:t xml:space="preserve"> market-based measures</w:t>
      </w:r>
      <w:r w:rsidR="00050EB7" w:rsidRPr="00441478">
        <w:rPr>
          <w:rFonts w:asciiTheme="majorBidi" w:hAnsiTheme="majorBidi"/>
          <w:color w:val="auto"/>
          <w:sz w:val="26"/>
          <w:szCs w:val="26"/>
          <w:lang w:val="en-GB"/>
        </w:rPr>
        <w:t>,</w:t>
      </w:r>
      <w:r w:rsidR="009F7ADB" w:rsidRPr="00441478">
        <w:rPr>
          <w:rFonts w:asciiTheme="majorBidi" w:hAnsiTheme="majorBidi"/>
          <w:color w:val="auto"/>
          <w:sz w:val="26"/>
          <w:szCs w:val="26"/>
          <w:lang w:val="en-GB"/>
        </w:rPr>
        <w:t xml:space="preserve"> we used</w:t>
      </w:r>
      <w:r w:rsidR="007601BE" w:rsidRPr="00441478">
        <w:rPr>
          <w:rFonts w:asciiTheme="majorBidi" w:hAnsiTheme="majorBidi"/>
          <w:color w:val="auto"/>
          <w:sz w:val="26"/>
          <w:szCs w:val="26"/>
          <w:lang w:val="en-GB"/>
        </w:rPr>
        <w:t xml:space="preserve"> </w:t>
      </w:r>
      <w:r w:rsidR="00051CB6" w:rsidRPr="00441478">
        <w:rPr>
          <w:rFonts w:asciiTheme="majorBidi" w:hAnsiTheme="majorBidi"/>
          <w:color w:val="auto"/>
          <w:sz w:val="26"/>
          <w:szCs w:val="26"/>
          <w:lang w:val="en-GB"/>
        </w:rPr>
        <w:t>value relevance</w:t>
      </w:r>
      <w:r w:rsidR="005C1820" w:rsidRPr="00441478">
        <w:rPr>
          <w:rFonts w:asciiTheme="majorBidi" w:hAnsiTheme="majorBidi"/>
          <w:color w:val="auto"/>
          <w:sz w:val="26"/>
          <w:szCs w:val="26"/>
          <w:lang w:val="en-GB"/>
        </w:rPr>
        <w:t xml:space="preserve">, </w:t>
      </w:r>
      <w:r w:rsidR="001602EF" w:rsidRPr="00441478">
        <w:rPr>
          <w:rFonts w:asciiTheme="majorBidi" w:hAnsiTheme="majorBidi"/>
          <w:color w:val="auto"/>
          <w:sz w:val="26"/>
          <w:szCs w:val="26"/>
        </w:rPr>
        <w:t>earnings response coefficient</w:t>
      </w:r>
      <w:r w:rsidR="00050EB7" w:rsidRPr="00441478">
        <w:rPr>
          <w:rFonts w:asciiTheme="majorBidi" w:hAnsiTheme="majorBidi"/>
          <w:color w:val="auto"/>
          <w:sz w:val="26"/>
          <w:szCs w:val="26"/>
          <w:lang w:val="en-GB"/>
        </w:rPr>
        <w:t xml:space="preserve"> (</w:t>
      </w:r>
      <w:r w:rsidR="005C1820" w:rsidRPr="00441478">
        <w:rPr>
          <w:rFonts w:asciiTheme="majorBidi" w:hAnsiTheme="majorBidi"/>
          <w:color w:val="auto"/>
          <w:sz w:val="26"/>
          <w:szCs w:val="26"/>
          <w:lang w:val="en-GB"/>
        </w:rPr>
        <w:t>ERC</w:t>
      </w:r>
      <w:r w:rsidR="00050EB7" w:rsidRPr="00441478">
        <w:rPr>
          <w:rFonts w:asciiTheme="majorBidi" w:hAnsiTheme="majorBidi"/>
          <w:color w:val="auto"/>
          <w:sz w:val="26"/>
          <w:szCs w:val="26"/>
          <w:lang w:val="en-GB"/>
        </w:rPr>
        <w:t>)</w:t>
      </w:r>
      <w:r w:rsidR="007D3C6D">
        <w:rPr>
          <w:rFonts w:asciiTheme="majorBidi" w:hAnsiTheme="majorBidi"/>
          <w:color w:val="auto"/>
          <w:sz w:val="26"/>
          <w:szCs w:val="26"/>
          <w:lang w:val="en-GB"/>
        </w:rPr>
        <w:t>,</w:t>
      </w:r>
      <w:r w:rsidR="007601BE" w:rsidRPr="00441478">
        <w:rPr>
          <w:rFonts w:asciiTheme="majorBidi" w:hAnsiTheme="majorBidi"/>
          <w:color w:val="auto"/>
          <w:sz w:val="26"/>
          <w:szCs w:val="26"/>
          <w:lang w:val="en-GB"/>
        </w:rPr>
        <w:t xml:space="preserve"> and </w:t>
      </w:r>
      <w:r w:rsidR="00050EB7" w:rsidRPr="00441478">
        <w:rPr>
          <w:rFonts w:asciiTheme="majorBidi" w:hAnsiTheme="majorBidi"/>
          <w:color w:val="auto"/>
          <w:sz w:val="26"/>
          <w:szCs w:val="26"/>
          <w:lang w:val="en-GB"/>
        </w:rPr>
        <w:t>loss recognition timeliness</w:t>
      </w:r>
      <w:r w:rsidR="007601BE" w:rsidRPr="00441478">
        <w:rPr>
          <w:rFonts w:asciiTheme="majorBidi" w:hAnsiTheme="majorBidi"/>
          <w:color w:val="auto"/>
          <w:sz w:val="26"/>
          <w:szCs w:val="26"/>
          <w:lang w:val="en-GB"/>
        </w:rPr>
        <w:t xml:space="preserve">. </w:t>
      </w:r>
    </w:p>
    <w:p w14:paraId="3F9CBE7B" w14:textId="7EB70FB3" w:rsidR="00255491" w:rsidRPr="00441478" w:rsidRDefault="00255491" w:rsidP="00441478">
      <w:pPr>
        <w:pStyle w:val="Default"/>
        <w:snapToGrid w:val="0"/>
        <w:spacing w:line="360" w:lineRule="exact"/>
        <w:ind w:firstLine="510"/>
        <w:jc w:val="both"/>
        <w:rPr>
          <w:rFonts w:asciiTheme="majorBidi" w:hAnsiTheme="majorBidi"/>
          <w:color w:val="auto"/>
          <w:sz w:val="26"/>
          <w:szCs w:val="26"/>
          <w:lang w:val="en-GB"/>
        </w:rPr>
      </w:pPr>
      <w:r w:rsidRPr="00441478">
        <w:rPr>
          <w:rFonts w:asciiTheme="majorBidi" w:hAnsiTheme="majorBidi"/>
          <w:color w:val="auto"/>
          <w:sz w:val="26"/>
          <w:szCs w:val="26"/>
          <w:lang w:val="en-GB"/>
        </w:rPr>
        <w:t xml:space="preserve">Another classification of </w:t>
      </w:r>
      <w:r w:rsidR="006B1C85" w:rsidRPr="00441478">
        <w:rPr>
          <w:rFonts w:asciiTheme="majorBidi" w:hAnsiTheme="majorBidi"/>
          <w:color w:val="auto"/>
          <w:sz w:val="26"/>
          <w:szCs w:val="26"/>
          <w:lang w:val="en-GB"/>
        </w:rPr>
        <w:t>EQ</w:t>
      </w:r>
      <w:r w:rsidRPr="00441478">
        <w:rPr>
          <w:rFonts w:asciiTheme="majorBidi" w:hAnsiTheme="majorBidi"/>
          <w:color w:val="auto"/>
          <w:sz w:val="26"/>
          <w:szCs w:val="26"/>
          <w:lang w:val="en-GB"/>
        </w:rPr>
        <w:t xml:space="preserve"> </w:t>
      </w:r>
      <w:proofErr w:type="gramStart"/>
      <w:r w:rsidRPr="00441478">
        <w:rPr>
          <w:rFonts w:asciiTheme="majorBidi" w:hAnsiTheme="majorBidi"/>
          <w:color w:val="auto"/>
          <w:sz w:val="26"/>
          <w:szCs w:val="26"/>
          <w:lang w:val="en-GB"/>
        </w:rPr>
        <w:t>measures</w:t>
      </w:r>
      <w:proofErr w:type="gramEnd"/>
      <w:r w:rsidRPr="00441478">
        <w:rPr>
          <w:rFonts w:asciiTheme="majorBidi" w:hAnsiTheme="majorBidi"/>
          <w:color w:val="auto"/>
          <w:sz w:val="26"/>
          <w:szCs w:val="26"/>
          <w:lang w:val="en-GB"/>
        </w:rPr>
        <w:t xml:space="preserve"> was used by </w:t>
      </w:r>
      <w:r w:rsidR="00065F1F" w:rsidRPr="00441478">
        <w:rPr>
          <w:rFonts w:asciiTheme="majorBidi" w:hAnsiTheme="majorBidi"/>
          <w:color w:val="auto"/>
          <w:sz w:val="26"/>
          <w:szCs w:val="26"/>
          <w:lang w:val="en-GB"/>
        </w:rPr>
        <w:t>Ball et al.</w:t>
      </w:r>
      <w:r w:rsidR="00944F99" w:rsidRPr="00441478">
        <w:rPr>
          <w:rFonts w:asciiTheme="majorBidi" w:hAnsiTheme="majorBidi"/>
          <w:color w:val="auto"/>
          <w:sz w:val="26"/>
          <w:szCs w:val="26"/>
          <w:lang w:val="en-GB"/>
        </w:rPr>
        <w:t xml:space="preserve"> (</w:t>
      </w:r>
      <w:r w:rsidR="00065F1F" w:rsidRPr="00441478">
        <w:rPr>
          <w:rFonts w:asciiTheme="majorBidi" w:hAnsiTheme="majorBidi" w:cstheme="majorBidi"/>
          <w:color w:val="auto"/>
          <w:sz w:val="26"/>
          <w:szCs w:val="26"/>
          <w:lang w:val="en-GB"/>
        </w:rPr>
        <w:t>200</w:t>
      </w:r>
      <w:r w:rsidR="00766B59" w:rsidRPr="00441478">
        <w:rPr>
          <w:rFonts w:asciiTheme="majorBidi" w:hAnsiTheme="majorBidi" w:cstheme="majorBidi"/>
          <w:color w:val="auto"/>
          <w:sz w:val="26"/>
          <w:szCs w:val="26"/>
          <w:lang w:val="en-GB"/>
        </w:rPr>
        <w:t>3</w:t>
      </w:r>
      <w:r w:rsidR="00065F1F" w:rsidRPr="00441478">
        <w:rPr>
          <w:rFonts w:asciiTheme="majorBidi" w:hAnsiTheme="majorBidi"/>
          <w:color w:val="auto"/>
          <w:sz w:val="26"/>
          <w:szCs w:val="26"/>
          <w:lang w:val="en-GB"/>
        </w:rPr>
        <w:t>) and Schipper and Vincent (200</w:t>
      </w:r>
      <w:r w:rsidR="00A962D9">
        <w:rPr>
          <w:rFonts w:asciiTheme="majorBidi" w:hAnsiTheme="majorBidi"/>
          <w:color w:val="auto"/>
          <w:sz w:val="26"/>
          <w:szCs w:val="26"/>
          <w:lang w:val="en-GB"/>
        </w:rPr>
        <w:t>4</w:t>
      </w:r>
      <w:r w:rsidR="00065F1F" w:rsidRPr="00441478">
        <w:rPr>
          <w:rFonts w:asciiTheme="majorBidi" w:hAnsiTheme="majorBidi"/>
          <w:color w:val="auto"/>
          <w:sz w:val="26"/>
          <w:szCs w:val="26"/>
          <w:lang w:val="en-GB"/>
        </w:rPr>
        <w:t>)</w:t>
      </w:r>
      <w:r w:rsidR="007D3C6D">
        <w:rPr>
          <w:rFonts w:asciiTheme="majorBidi" w:hAnsiTheme="majorBidi"/>
          <w:color w:val="auto"/>
          <w:sz w:val="26"/>
          <w:szCs w:val="26"/>
          <w:lang w:val="en-GB"/>
        </w:rPr>
        <w:t>,</w:t>
      </w:r>
      <w:r w:rsidR="00065F1F" w:rsidRPr="00441478">
        <w:rPr>
          <w:rFonts w:asciiTheme="majorBidi" w:hAnsiTheme="majorBidi"/>
          <w:color w:val="auto"/>
          <w:sz w:val="26"/>
          <w:szCs w:val="26"/>
          <w:lang w:val="en-GB"/>
        </w:rPr>
        <w:t xml:space="preserve"> as cited by An (2019). In this classification, </w:t>
      </w:r>
      <w:r w:rsidR="006B1C85" w:rsidRPr="00441478">
        <w:rPr>
          <w:rFonts w:asciiTheme="majorBidi" w:hAnsiTheme="majorBidi"/>
          <w:color w:val="auto"/>
          <w:sz w:val="26"/>
          <w:szCs w:val="26"/>
          <w:lang w:val="en-GB"/>
        </w:rPr>
        <w:t>EQ</w:t>
      </w:r>
      <w:r w:rsidR="00065F1F" w:rsidRPr="00441478">
        <w:rPr>
          <w:rFonts w:asciiTheme="majorBidi" w:hAnsiTheme="majorBidi"/>
          <w:color w:val="auto"/>
          <w:sz w:val="26"/>
          <w:szCs w:val="26"/>
          <w:lang w:val="en-GB"/>
        </w:rPr>
        <w:t xml:space="preserve"> is categorized by two </w:t>
      </w:r>
      <w:r w:rsidR="00CF44C0" w:rsidRPr="00441478">
        <w:rPr>
          <w:rFonts w:asciiTheme="majorBidi" w:hAnsiTheme="majorBidi"/>
          <w:color w:val="auto"/>
          <w:sz w:val="26"/>
          <w:szCs w:val="26"/>
          <w:lang w:val="en-GB"/>
        </w:rPr>
        <w:t>approaches</w:t>
      </w:r>
      <w:r w:rsidR="00050EB7" w:rsidRPr="00441478">
        <w:rPr>
          <w:rFonts w:asciiTheme="majorBidi" w:hAnsiTheme="majorBidi"/>
          <w:color w:val="auto"/>
          <w:sz w:val="26"/>
          <w:szCs w:val="26"/>
          <w:lang w:val="en-GB"/>
        </w:rPr>
        <w:t xml:space="preserve">: </w:t>
      </w:r>
      <w:r w:rsidR="00065F1F" w:rsidRPr="00441478">
        <w:rPr>
          <w:rFonts w:asciiTheme="majorBidi" w:hAnsiTheme="majorBidi"/>
          <w:color w:val="auto"/>
          <w:sz w:val="26"/>
          <w:szCs w:val="26"/>
          <w:lang w:val="en-GB"/>
        </w:rPr>
        <w:t xml:space="preserve">user needs and investor protection. The </w:t>
      </w:r>
      <w:r w:rsidR="009F7ADB" w:rsidRPr="00441478">
        <w:rPr>
          <w:rFonts w:asciiTheme="majorBidi" w:hAnsiTheme="majorBidi"/>
          <w:color w:val="auto"/>
          <w:sz w:val="26"/>
          <w:szCs w:val="26"/>
          <w:lang w:val="en-GB"/>
        </w:rPr>
        <w:t xml:space="preserve">concern of </w:t>
      </w:r>
      <w:r w:rsidR="007D3C6D">
        <w:rPr>
          <w:rFonts w:asciiTheme="majorBidi" w:hAnsiTheme="majorBidi"/>
          <w:color w:val="auto"/>
          <w:sz w:val="26"/>
          <w:szCs w:val="26"/>
          <w:lang w:val="en-GB"/>
        </w:rPr>
        <w:t xml:space="preserve">the </w:t>
      </w:r>
      <w:r w:rsidR="009F7ADB" w:rsidRPr="00441478">
        <w:rPr>
          <w:rFonts w:asciiTheme="majorBidi" w:hAnsiTheme="majorBidi"/>
          <w:color w:val="auto"/>
          <w:sz w:val="26"/>
          <w:szCs w:val="26"/>
          <w:lang w:val="en-GB"/>
        </w:rPr>
        <w:t xml:space="preserve">user needs approach is that </w:t>
      </w:r>
      <w:r w:rsidR="006B1C85" w:rsidRPr="00441478">
        <w:rPr>
          <w:rFonts w:asciiTheme="majorBidi" w:hAnsiTheme="majorBidi"/>
          <w:color w:val="auto"/>
          <w:sz w:val="26"/>
          <w:szCs w:val="26"/>
          <w:lang w:val="en-GB"/>
        </w:rPr>
        <w:t>EQ</w:t>
      </w:r>
      <w:r w:rsidR="009F7ADB" w:rsidRPr="00441478">
        <w:rPr>
          <w:rFonts w:asciiTheme="majorBidi" w:hAnsiTheme="majorBidi"/>
          <w:color w:val="auto"/>
          <w:sz w:val="26"/>
          <w:szCs w:val="26"/>
          <w:lang w:val="en-GB"/>
        </w:rPr>
        <w:t xml:space="preserve"> should provide useful information to assist stakeholders in building their decision models. </w:t>
      </w:r>
      <w:r w:rsidR="00050EB7" w:rsidRPr="00441478">
        <w:rPr>
          <w:rFonts w:asciiTheme="majorBidi" w:hAnsiTheme="majorBidi"/>
          <w:color w:val="auto"/>
          <w:sz w:val="26"/>
          <w:szCs w:val="26"/>
          <w:lang w:val="en-GB"/>
        </w:rPr>
        <w:t>The</w:t>
      </w:r>
      <w:r w:rsidR="009F7ADB" w:rsidRPr="00441478">
        <w:rPr>
          <w:rFonts w:asciiTheme="majorBidi" w:hAnsiTheme="majorBidi"/>
          <w:color w:val="auto"/>
          <w:sz w:val="26"/>
          <w:szCs w:val="26"/>
          <w:lang w:val="en-GB"/>
        </w:rPr>
        <w:t xml:space="preserve"> measures </w:t>
      </w:r>
      <w:r w:rsidR="00050EB7" w:rsidRPr="00441478">
        <w:rPr>
          <w:rFonts w:asciiTheme="majorBidi" w:hAnsiTheme="majorBidi"/>
          <w:color w:val="auto"/>
          <w:sz w:val="26"/>
          <w:szCs w:val="26"/>
          <w:lang w:val="en-GB"/>
        </w:rPr>
        <w:t>under this approach include</w:t>
      </w:r>
      <w:r w:rsidR="009F7ADB" w:rsidRPr="00441478">
        <w:rPr>
          <w:rFonts w:asciiTheme="majorBidi" w:hAnsiTheme="majorBidi"/>
          <w:color w:val="auto"/>
          <w:sz w:val="26"/>
          <w:szCs w:val="26"/>
          <w:lang w:val="en-GB"/>
        </w:rPr>
        <w:t xml:space="preserve"> persistence, predictability, value relevance</w:t>
      </w:r>
      <w:r w:rsidR="007D3C6D">
        <w:rPr>
          <w:rFonts w:asciiTheme="majorBidi" w:hAnsiTheme="majorBidi"/>
          <w:color w:val="auto"/>
          <w:sz w:val="26"/>
          <w:szCs w:val="26"/>
          <w:lang w:val="en-GB"/>
        </w:rPr>
        <w:t>,</w:t>
      </w:r>
      <w:r w:rsidR="009F7ADB" w:rsidRPr="00441478">
        <w:rPr>
          <w:rFonts w:asciiTheme="majorBidi" w:hAnsiTheme="majorBidi"/>
          <w:color w:val="auto"/>
          <w:sz w:val="26"/>
          <w:szCs w:val="26"/>
          <w:lang w:val="en-GB"/>
        </w:rPr>
        <w:t xml:space="preserve"> and </w:t>
      </w:r>
      <w:r w:rsidR="00050EB7" w:rsidRPr="00441478">
        <w:rPr>
          <w:rFonts w:asciiTheme="majorBidi" w:hAnsiTheme="majorBidi"/>
          <w:color w:val="auto"/>
          <w:sz w:val="26"/>
          <w:szCs w:val="26"/>
          <w:lang w:val="en-GB"/>
        </w:rPr>
        <w:t>loss recognition timeliness</w:t>
      </w:r>
      <w:r w:rsidR="009F7ADB" w:rsidRPr="00441478">
        <w:rPr>
          <w:rFonts w:asciiTheme="majorBidi" w:hAnsiTheme="majorBidi"/>
          <w:color w:val="auto"/>
          <w:sz w:val="26"/>
          <w:szCs w:val="26"/>
          <w:lang w:val="en-GB"/>
        </w:rPr>
        <w:t xml:space="preserve">. The second approach </w:t>
      </w:r>
      <w:r w:rsidR="00050EB7" w:rsidRPr="00441478">
        <w:rPr>
          <w:rFonts w:asciiTheme="majorBidi" w:hAnsiTheme="majorBidi"/>
          <w:color w:val="auto"/>
          <w:sz w:val="26"/>
          <w:szCs w:val="26"/>
          <w:lang w:val="en-GB"/>
        </w:rPr>
        <w:t xml:space="preserve">focuses </w:t>
      </w:r>
      <w:r w:rsidR="009F7ADB" w:rsidRPr="00441478">
        <w:rPr>
          <w:rFonts w:asciiTheme="majorBidi" w:hAnsiTheme="majorBidi"/>
          <w:color w:val="auto"/>
          <w:sz w:val="26"/>
          <w:szCs w:val="26"/>
          <w:lang w:val="en-GB"/>
        </w:rPr>
        <w:t xml:space="preserve">on providing faithful information and </w:t>
      </w:r>
      <w:r w:rsidR="007D3C6D">
        <w:rPr>
          <w:rFonts w:asciiTheme="majorBidi" w:hAnsiTheme="majorBidi"/>
          <w:color w:val="auto"/>
          <w:sz w:val="26"/>
          <w:szCs w:val="26"/>
          <w:lang w:val="en-GB"/>
        </w:rPr>
        <w:t xml:space="preserve">a </w:t>
      </w:r>
      <w:r w:rsidR="009F7ADB" w:rsidRPr="00441478">
        <w:rPr>
          <w:rFonts w:asciiTheme="majorBidi" w:hAnsiTheme="majorBidi"/>
          <w:color w:val="auto"/>
          <w:sz w:val="26"/>
          <w:szCs w:val="26"/>
          <w:lang w:val="en-GB"/>
        </w:rPr>
        <w:t xml:space="preserve">high level of </w:t>
      </w:r>
      <w:r w:rsidR="00CF44C0" w:rsidRPr="00441478">
        <w:rPr>
          <w:rFonts w:asciiTheme="majorBidi" w:hAnsiTheme="majorBidi"/>
          <w:color w:val="auto"/>
          <w:sz w:val="26"/>
          <w:szCs w:val="26"/>
          <w:lang w:val="en-GB"/>
        </w:rPr>
        <w:t>transparency</w:t>
      </w:r>
      <w:r w:rsidR="009F7ADB" w:rsidRPr="00441478">
        <w:rPr>
          <w:rFonts w:asciiTheme="majorBidi" w:hAnsiTheme="majorBidi"/>
          <w:color w:val="auto"/>
          <w:sz w:val="26"/>
          <w:szCs w:val="26"/>
          <w:lang w:val="en-GB"/>
        </w:rPr>
        <w:t xml:space="preserve"> to protect investors. </w:t>
      </w:r>
      <w:r w:rsidR="00050EB7" w:rsidRPr="00441478">
        <w:rPr>
          <w:rFonts w:asciiTheme="majorBidi" w:hAnsiTheme="majorBidi"/>
          <w:color w:val="auto"/>
          <w:sz w:val="26"/>
          <w:szCs w:val="26"/>
          <w:lang w:val="en-GB"/>
        </w:rPr>
        <w:t>C</w:t>
      </w:r>
      <w:r w:rsidR="009F7ADB" w:rsidRPr="00441478">
        <w:rPr>
          <w:rFonts w:asciiTheme="majorBidi" w:hAnsiTheme="majorBidi"/>
          <w:color w:val="auto"/>
          <w:sz w:val="26"/>
          <w:szCs w:val="26"/>
          <w:lang w:val="en-GB"/>
        </w:rPr>
        <w:t xml:space="preserve">onservatism, </w:t>
      </w:r>
      <w:r w:rsidR="00CF44C0" w:rsidRPr="00441478">
        <w:rPr>
          <w:rFonts w:asciiTheme="majorBidi" w:hAnsiTheme="majorBidi"/>
          <w:color w:val="auto"/>
          <w:sz w:val="26"/>
          <w:szCs w:val="26"/>
          <w:lang w:val="en-GB"/>
        </w:rPr>
        <w:t>smoothness</w:t>
      </w:r>
      <w:r w:rsidR="009F7ADB" w:rsidRPr="00441478">
        <w:rPr>
          <w:rFonts w:asciiTheme="majorBidi" w:hAnsiTheme="majorBidi"/>
          <w:color w:val="auto"/>
          <w:sz w:val="26"/>
          <w:szCs w:val="26"/>
          <w:lang w:val="en-GB"/>
        </w:rPr>
        <w:t xml:space="preserve">, </w:t>
      </w:r>
      <w:r w:rsidR="00050EB7" w:rsidRPr="00441478">
        <w:rPr>
          <w:rFonts w:asciiTheme="majorBidi" w:hAnsiTheme="majorBidi"/>
          <w:color w:val="auto"/>
          <w:sz w:val="26"/>
          <w:szCs w:val="26"/>
          <w:lang w:val="en-GB"/>
        </w:rPr>
        <w:t xml:space="preserve">and </w:t>
      </w:r>
      <w:r w:rsidR="009F7ADB" w:rsidRPr="00441478">
        <w:rPr>
          <w:rFonts w:asciiTheme="majorBidi" w:hAnsiTheme="majorBidi"/>
          <w:color w:val="auto"/>
          <w:sz w:val="26"/>
          <w:szCs w:val="26"/>
          <w:lang w:val="en-GB"/>
        </w:rPr>
        <w:t xml:space="preserve">accruals </w:t>
      </w:r>
      <w:r w:rsidR="00CF44C0" w:rsidRPr="00441478">
        <w:rPr>
          <w:rFonts w:asciiTheme="majorBidi" w:hAnsiTheme="majorBidi"/>
          <w:color w:val="auto"/>
          <w:sz w:val="26"/>
          <w:szCs w:val="26"/>
          <w:lang w:val="en-GB"/>
        </w:rPr>
        <w:t>quality are examples of this approach.</w:t>
      </w:r>
      <w:r w:rsidR="001F48F8" w:rsidRPr="00441478">
        <w:rPr>
          <w:rFonts w:asciiTheme="majorBidi" w:hAnsiTheme="majorBidi"/>
          <w:color w:val="auto"/>
          <w:sz w:val="26"/>
          <w:szCs w:val="26"/>
          <w:lang w:val="en-GB"/>
        </w:rPr>
        <w:t xml:space="preserve"> </w:t>
      </w:r>
    </w:p>
    <w:p w14:paraId="7D0BEB8B" w14:textId="5E8D6402" w:rsidR="004223AC" w:rsidRPr="00441478" w:rsidRDefault="00050EB7" w:rsidP="00C8366C">
      <w:pPr>
        <w:snapToGrid w:val="0"/>
        <w:spacing w:after="0" w:line="360" w:lineRule="exact"/>
        <w:ind w:firstLine="510"/>
        <w:jc w:val="both"/>
        <w:rPr>
          <w:rFonts w:asciiTheme="majorBidi" w:hAnsiTheme="majorBidi"/>
          <w:sz w:val="26"/>
          <w:szCs w:val="26"/>
        </w:rPr>
      </w:pPr>
      <w:r w:rsidRPr="00441478">
        <w:rPr>
          <w:rFonts w:asciiTheme="majorBidi" w:hAnsiTheme="majorBidi"/>
          <w:sz w:val="26"/>
          <w:szCs w:val="26"/>
        </w:rPr>
        <w:t>Given the</w:t>
      </w:r>
      <w:r w:rsidR="00374ACA" w:rsidRPr="00441478">
        <w:rPr>
          <w:rFonts w:asciiTheme="majorBidi" w:hAnsiTheme="majorBidi"/>
          <w:sz w:val="26"/>
          <w:szCs w:val="26"/>
        </w:rPr>
        <w:t xml:space="preserve"> many measures of </w:t>
      </w:r>
      <w:r w:rsidR="006B1C85" w:rsidRPr="00441478">
        <w:rPr>
          <w:rFonts w:asciiTheme="majorBidi" w:hAnsiTheme="majorBidi"/>
          <w:sz w:val="26"/>
          <w:szCs w:val="26"/>
        </w:rPr>
        <w:t>EQ</w:t>
      </w:r>
      <w:r w:rsidR="00374ACA" w:rsidRPr="00441478">
        <w:rPr>
          <w:rFonts w:asciiTheme="majorBidi" w:hAnsiTheme="majorBidi"/>
          <w:sz w:val="26"/>
          <w:szCs w:val="26"/>
        </w:rPr>
        <w:t xml:space="preserve">, </w:t>
      </w:r>
      <w:proofErr w:type="spellStart"/>
      <w:r w:rsidR="00374ACA" w:rsidRPr="00441478">
        <w:rPr>
          <w:rFonts w:asciiTheme="majorBidi" w:hAnsiTheme="majorBidi"/>
          <w:sz w:val="26"/>
          <w:szCs w:val="26"/>
        </w:rPr>
        <w:t>Perotti</w:t>
      </w:r>
      <w:proofErr w:type="spellEnd"/>
      <w:r w:rsidR="00374ACA" w:rsidRPr="00441478">
        <w:rPr>
          <w:rFonts w:asciiTheme="majorBidi" w:hAnsiTheme="majorBidi"/>
          <w:sz w:val="26"/>
          <w:szCs w:val="26"/>
        </w:rPr>
        <w:t xml:space="preserve"> </w:t>
      </w:r>
      <w:r w:rsidR="00523653">
        <w:rPr>
          <w:rFonts w:asciiTheme="majorBidi" w:hAnsiTheme="majorBidi"/>
          <w:sz w:val="26"/>
          <w:szCs w:val="26"/>
        </w:rPr>
        <w:t>and</w:t>
      </w:r>
      <w:r w:rsidR="00374ACA" w:rsidRPr="00441478">
        <w:rPr>
          <w:rFonts w:asciiTheme="majorBidi" w:hAnsiTheme="majorBidi"/>
          <w:sz w:val="26"/>
          <w:szCs w:val="26"/>
        </w:rPr>
        <w:t xml:space="preserve"> </w:t>
      </w:r>
      <w:proofErr w:type="spellStart"/>
      <w:r w:rsidR="00A962D9">
        <w:rPr>
          <w:rFonts w:asciiTheme="majorBidi" w:hAnsiTheme="majorBidi"/>
          <w:sz w:val="26"/>
          <w:szCs w:val="26"/>
        </w:rPr>
        <w:t>Wagenhofer</w:t>
      </w:r>
      <w:proofErr w:type="spellEnd"/>
      <w:r w:rsidR="00374ACA" w:rsidRPr="00441478">
        <w:rPr>
          <w:rFonts w:asciiTheme="majorBidi" w:hAnsiTheme="majorBidi"/>
          <w:sz w:val="26"/>
          <w:szCs w:val="26"/>
        </w:rPr>
        <w:t xml:space="preserve"> (2014, </w:t>
      </w:r>
      <w:r w:rsidR="00944F99" w:rsidRPr="00441478">
        <w:rPr>
          <w:rFonts w:asciiTheme="majorBidi" w:hAnsiTheme="majorBidi"/>
          <w:sz w:val="26"/>
          <w:szCs w:val="26"/>
        </w:rPr>
        <w:t xml:space="preserve">p. </w:t>
      </w:r>
      <w:r w:rsidR="00374ACA" w:rsidRPr="00441478">
        <w:rPr>
          <w:rFonts w:asciiTheme="majorBidi" w:hAnsiTheme="majorBidi"/>
          <w:sz w:val="26"/>
          <w:szCs w:val="26"/>
        </w:rPr>
        <w:t xml:space="preserve">546) raised a question about </w:t>
      </w:r>
      <w:r w:rsidR="005742BC" w:rsidRPr="00441478">
        <w:rPr>
          <w:rFonts w:asciiTheme="majorBidi" w:hAnsiTheme="majorBidi"/>
          <w:sz w:val="26"/>
          <w:szCs w:val="26"/>
        </w:rPr>
        <w:t>‘</w:t>
      </w:r>
      <w:r w:rsidR="00374ACA" w:rsidRPr="00441478">
        <w:rPr>
          <w:rFonts w:asciiTheme="majorBidi" w:hAnsiTheme="majorBidi"/>
          <w:sz w:val="26"/>
          <w:szCs w:val="26"/>
        </w:rPr>
        <w:t xml:space="preserve">how good the proxies for earnings quality really are and what </w:t>
      </w:r>
      <w:r w:rsidRPr="00441478">
        <w:rPr>
          <w:rFonts w:asciiTheme="majorBidi" w:hAnsiTheme="majorBidi"/>
          <w:sz w:val="26"/>
          <w:szCs w:val="26"/>
        </w:rPr>
        <w:t xml:space="preserve">the </w:t>
      </w:r>
      <w:r w:rsidR="00374ACA" w:rsidRPr="00441478">
        <w:rPr>
          <w:rFonts w:asciiTheme="majorBidi" w:hAnsiTheme="majorBidi"/>
          <w:sz w:val="26"/>
          <w:szCs w:val="26"/>
        </w:rPr>
        <w:t xml:space="preserve">best measure in any given circumstances </w:t>
      </w:r>
      <w:r w:rsidRPr="00441478">
        <w:rPr>
          <w:rFonts w:asciiTheme="majorBidi" w:hAnsiTheme="majorBidi"/>
          <w:sz w:val="26"/>
          <w:szCs w:val="26"/>
        </w:rPr>
        <w:t xml:space="preserve">may </w:t>
      </w:r>
      <w:r w:rsidR="00374ACA" w:rsidRPr="00441478">
        <w:rPr>
          <w:rFonts w:asciiTheme="majorBidi" w:hAnsiTheme="majorBidi"/>
          <w:sz w:val="26"/>
          <w:szCs w:val="26"/>
        </w:rPr>
        <w:t>be</w:t>
      </w:r>
      <w:r w:rsidR="005742BC" w:rsidRPr="00441478">
        <w:rPr>
          <w:rFonts w:asciiTheme="majorBidi" w:hAnsiTheme="majorBidi"/>
          <w:sz w:val="26"/>
          <w:szCs w:val="26"/>
        </w:rPr>
        <w:t>’</w:t>
      </w:r>
      <w:r w:rsidR="00374ACA" w:rsidRPr="00441478">
        <w:rPr>
          <w:rFonts w:asciiTheme="majorBidi" w:hAnsiTheme="majorBidi"/>
          <w:sz w:val="26"/>
          <w:szCs w:val="26"/>
        </w:rPr>
        <w:t xml:space="preserve">. </w:t>
      </w:r>
      <w:r w:rsidR="00B13545" w:rsidRPr="00441478">
        <w:rPr>
          <w:rFonts w:asciiTheme="majorBidi" w:hAnsiTheme="majorBidi"/>
          <w:sz w:val="26"/>
          <w:szCs w:val="26"/>
        </w:rPr>
        <w:t>According to this quotation, researcher</w:t>
      </w:r>
      <w:r w:rsidRPr="00441478">
        <w:rPr>
          <w:rFonts w:asciiTheme="majorBidi" w:hAnsiTheme="majorBidi"/>
          <w:sz w:val="26"/>
          <w:szCs w:val="26"/>
        </w:rPr>
        <w:t>s</w:t>
      </w:r>
      <w:r w:rsidR="00B13545" w:rsidRPr="00441478">
        <w:rPr>
          <w:rFonts w:asciiTheme="majorBidi" w:hAnsiTheme="majorBidi"/>
          <w:sz w:val="26"/>
          <w:szCs w:val="26"/>
        </w:rPr>
        <w:t xml:space="preserve"> should select the measure </w:t>
      </w:r>
      <w:r w:rsidR="007D3C6D">
        <w:rPr>
          <w:rFonts w:asciiTheme="majorBidi" w:hAnsiTheme="majorBidi"/>
          <w:sz w:val="26"/>
          <w:szCs w:val="26"/>
        </w:rPr>
        <w:t>relevant to the area of interest</w:t>
      </w:r>
      <w:r w:rsidR="00B13545" w:rsidRPr="00441478">
        <w:rPr>
          <w:rFonts w:asciiTheme="majorBidi" w:hAnsiTheme="majorBidi"/>
          <w:sz w:val="26"/>
          <w:szCs w:val="26"/>
        </w:rPr>
        <w:t xml:space="preserve"> </w:t>
      </w:r>
      <w:r w:rsidRPr="00441478">
        <w:rPr>
          <w:rFonts w:asciiTheme="majorBidi" w:hAnsiTheme="majorBidi"/>
          <w:sz w:val="26"/>
          <w:szCs w:val="26"/>
        </w:rPr>
        <w:t xml:space="preserve">they want to </w:t>
      </w:r>
      <w:r w:rsidR="00B13545" w:rsidRPr="00441478">
        <w:rPr>
          <w:rFonts w:asciiTheme="majorBidi" w:hAnsiTheme="majorBidi"/>
          <w:sz w:val="26"/>
          <w:szCs w:val="26"/>
        </w:rPr>
        <w:t xml:space="preserve">address. </w:t>
      </w:r>
      <w:r w:rsidRPr="00441478">
        <w:rPr>
          <w:rFonts w:asciiTheme="majorBidi" w:hAnsiTheme="majorBidi"/>
          <w:sz w:val="26"/>
          <w:szCs w:val="26"/>
        </w:rPr>
        <w:t>To date</w:t>
      </w:r>
      <w:r w:rsidR="00B13545" w:rsidRPr="00441478">
        <w:rPr>
          <w:rFonts w:asciiTheme="majorBidi" w:hAnsiTheme="majorBidi"/>
          <w:sz w:val="26"/>
          <w:szCs w:val="26"/>
        </w:rPr>
        <w:t xml:space="preserve">, </w:t>
      </w:r>
      <w:r w:rsidR="006B1C85" w:rsidRPr="00441478">
        <w:rPr>
          <w:rFonts w:asciiTheme="majorBidi" w:hAnsiTheme="majorBidi"/>
          <w:sz w:val="26"/>
          <w:szCs w:val="26"/>
        </w:rPr>
        <w:t>EQ</w:t>
      </w:r>
      <w:r w:rsidR="00B13545" w:rsidRPr="00441478">
        <w:rPr>
          <w:rFonts w:asciiTheme="majorBidi" w:hAnsiTheme="majorBidi"/>
          <w:sz w:val="26"/>
          <w:szCs w:val="26"/>
        </w:rPr>
        <w:t xml:space="preserve"> </w:t>
      </w:r>
      <w:r w:rsidRPr="00441478">
        <w:rPr>
          <w:rFonts w:asciiTheme="majorBidi" w:hAnsiTheme="majorBidi"/>
          <w:sz w:val="26"/>
          <w:szCs w:val="26"/>
        </w:rPr>
        <w:t xml:space="preserve">is analysed </w:t>
      </w:r>
      <w:r w:rsidR="00B13545" w:rsidRPr="00441478">
        <w:rPr>
          <w:rFonts w:asciiTheme="majorBidi" w:hAnsiTheme="majorBidi"/>
          <w:sz w:val="26"/>
          <w:szCs w:val="26"/>
        </w:rPr>
        <w:t xml:space="preserve">in relation to </w:t>
      </w:r>
      <w:r w:rsidR="00AB0CF5" w:rsidRPr="00441478">
        <w:rPr>
          <w:rFonts w:asciiTheme="majorBidi" w:hAnsiTheme="majorBidi"/>
          <w:sz w:val="26"/>
          <w:szCs w:val="26"/>
        </w:rPr>
        <w:t xml:space="preserve">many variables such as </w:t>
      </w:r>
      <w:r w:rsidR="00B13545" w:rsidRPr="00441478">
        <w:rPr>
          <w:rFonts w:asciiTheme="majorBidi" w:hAnsiTheme="majorBidi"/>
          <w:sz w:val="26"/>
          <w:szCs w:val="26"/>
        </w:rPr>
        <w:t xml:space="preserve">corporate </w:t>
      </w:r>
      <w:r w:rsidR="00AB0CF5" w:rsidRPr="00441478">
        <w:rPr>
          <w:rFonts w:asciiTheme="majorBidi" w:hAnsiTheme="majorBidi"/>
          <w:sz w:val="26"/>
          <w:szCs w:val="26"/>
        </w:rPr>
        <w:t>governance</w:t>
      </w:r>
      <w:r w:rsidRPr="00441478">
        <w:rPr>
          <w:rFonts w:asciiTheme="majorBidi" w:hAnsiTheme="majorBidi"/>
          <w:sz w:val="26"/>
          <w:szCs w:val="26"/>
        </w:rPr>
        <w:t>,</w:t>
      </w:r>
      <w:r w:rsidR="00B13545" w:rsidRPr="00441478">
        <w:rPr>
          <w:rFonts w:asciiTheme="majorBidi" w:hAnsiTheme="majorBidi"/>
          <w:sz w:val="26"/>
          <w:szCs w:val="26"/>
        </w:rPr>
        <w:t xml:space="preserve"> cost of capital, accounting conservatism, earnings management,</w:t>
      </w:r>
      <w:r w:rsidR="00AB0CF5" w:rsidRPr="00441478">
        <w:rPr>
          <w:rFonts w:asciiTheme="majorBidi" w:hAnsiTheme="majorBidi"/>
          <w:sz w:val="26"/>
          <w:szCs w:val="26"/>
        </w:rPr>
        <w:t xml:space="preserve"> stock return, excess returns</w:t>
      </w:r>
      <w:r w:rsidR="007D3C6D">
        <w:rPr>
          <w:rFonts w:asciiTheme="majorBidi" w:hAnsiTheme="majorBidi"/>
          <w:sz w:val="26"/>
          <w:szCs w:val="26"/>
        </w:rPr>
        <w:t>,</w:t>
      </w:r>
      <w:r w:rsidR="00AB0CF5" w:rsidRPr="00441478">
        <w:rPr>
          <w:rFonts w:asciiTheme="majorBidi" w:hAnsiTheme="majorBidi"/>
          <w:sz w:val="26"/>
          <w:szCs w:val="26"/>
        </w:rPr>
        <w:t xml:space="preserve"> and</w:t>
      </w:r>
      <w:r w:rsidR="00B13545" w:rsidRPr="00441478">
        <w:rPr>
          <w:rFonts w:asciiTheme="majorBidi" w:hAnsiTheme="majorBidi"/>
          <w:sz w:val="26"/>
          <w:szCs w:val="26"/>
        </w:rPr>
        <w:t xml:space="preserve"> firm value</w:t>
      </w:r>
      <w:r w:rsidR="00AB0CF5" w:rsidRPr="00441478">
        <w:rPr>
          <w:rFonts w:asciiTheme="majorBidi" w:hAnsiTheme="majorBidi"/>
          <w:sz w:val="26"/>
          <w:szCs w:val="26"/>
        </w:rPr>
        <w:t xml:space="preserve">. </w:t>
      </w:r>
      <w:r w:rsidRPr="00441478">
        <w:rPr>
          <w:rFonts w:asciiTheme="majorBidi" w:hAnsiTheme="majorBidi"/>
          <w:sz w:val="26"/>
          <w:szCs w:val="26"/>
        </w:rPr>
        <w:t>C</w:t>
      </w:r>
      <w:r w:rsidR="00AB0CF5" w:rsidRPr="00441478">
        <w:rPr>
          <w:rFonts w:asciiTheme="majorBidi" w:hAnsiTheme="majorBidi"/>
          <w:sz w:val="26"/>
          <w:szCs w:val="26"/>
        </w:rPr>
        <w:t>onstruct</w:t>
      </w:r>
      <w:r w:rsidRPr="00441478">
        <w:rPr>
          <w:rFonts w:asciiTheme="majorBidi" w:hAnsiTheme="majorBidi"/>
          <w:sz w:val="26"/>
          <w:szCs w:val="26"/>
        </w:rPr>
        <w:t>ing</w:t>
      </w:r>
      <w:r w:rsidR="00AB0CF5" w:rsidRPr="00441478">
        <w:rPr>
          <w:rFonts w:asciiTheme="majorBidi" w:hAnsiTheme="majorBidi"/>
          <w:sz w:val="26"/>
          <w:szCs w:val="26"/>
        </w:rPr>
        <w:t xml:space="preserve"> different measures is the best solution to measure the relationship between </w:t>
      </w:r>
      <w:r w:rsidR="006B1C85" w:rsidRPr="00441478">
        <w:rPr>
          <w:rFonts w:asciiTheme="majorBidi" w:hAnsiTheme="majorBidi"/>
          <w:sz w:val="26"/>
          <w:szCs w:val="26"/>
        </w:rPr>
        <w:t>EQ</w:t>
      </w:r>
      <w:r w:rsidR="00AB0CF5" w:rsidRPr="00441478">
        <w:rPr>
          <w:rFonts w:asciiTheme="majorBidi" w:hAnsiTheme="majorBidi"/>
          <w:sz w:val="26"/>
          <w:szCs w:val="26"/>
        </w:rPr>
        <w:t xml:space="preserve"> and these variables. </w:t>
      </w:r>
      <w:r w:rsidR="00374ACA" w:rsidRPr="00441478">
        <w:rPr>
          <w:rFonts w:asciiTheme="majorBidi" w:hAnsiTheme="majorBidi"/>
          <w:sz w:val="26"/>
          <w:szCs w:val="26"/>
        </w:rPr>
        <w:t xml:space="preserve">Following </w:t>
      </w:r>
      <w:proofErr w:type="spellStart"/>
      <w:r w:rsidR="00374ACA" w:rsidRPr="00441478">
        <w:rPr>
          <w:rFonts w:asciiTheme="majorBidi" w:hAnsiTheme="majorBidi"/>
          <w:sz w:val="26"/>
          <w:szCs w:val="26"/>
        </w:rPr>
        <w:t>Perotti</w:t>
      </w:r>
      <w:proofErr w:type="spellEnd"/>
      <w:r w:rsidR="00374ACA" w:rsidRPr="00441478">
        <w:rPr>
          <w:rFonts w:asciiTheme="majorBidi" w:hAnsiTheme="majorBidi"/>
          <w:sz w:val="26"/>
          <w:szCs w:val="26"/>
        </w:rPr>
        <w:t xml:space="preserve"> </w:t>
      </w:r>
      <w:r w:rsidR="00523653">
        <w:rPr>
          <w:rFonts w:asciiTheme="majorBidi" w:hAnsiTheme="majorBidi"/>
          <w:sz w:val="26"/>
          <w:szCs w:val="26"/>
        </w:rPr>
        <w:t>and</w:t>
      </w:r>
      <w:r w:rsidR="00374ACA" w:rsidRPr="00441478">
        <w:rPr>
          <w:rFonts w:asciiTheme="majorBidi" w:hAnsiTheme="majorBidi"/>
          <w:sz w:val="26"/>
          <w:szCs w:val="26"/>
        </w:rPr>
        <w:t xml:space="preserve"> </w:t>
      </w:r>
      <w:proofErr w:type="spellStart"/>
      <w:r w:rsidR="00A962D9">
        <w:rPr>
          <w:rFonts w:asciiTheme="majorBidi" w:hAnsiTheme="majorBidi"/>
          <w:sz w:val="26"/>
          <w:szCs w:val="26"/>
        </w:rPr>
        <w:t>Wagenhofer</w:t>
      </w:r>
      <w:proofErr w:type="spellEnd"/>
      <w:r w:rsidR="00374ACA" w:rsidRPr="00441478">
        <w:rPr>
          <w:rFonts w:asciiTheme="majorBidi" w:hAnsiTheme="majorBidi"/>
          <w:sz w:val="26"/>
          <w:szCs w:val="26"/>
        </w:rPr>
        <w:t xml:space="preserve"> (2014</w:t>
      </w:r>
      <w:r w:rsidR="00AB0CF5" w:rsidRPr="00441478">
        <w:rPr>
          <w:rFonts w:asciiTheme="majorBidi" w:hAnsiTheme="majorBidi"/>
          <w:sz w:val="26"/>
          <w:szCs w:val="26"/>
        </w:rPr>
        <w:t>)</w:t>
      </w:r>
      <w:r w:rsidR="00374ACA" w:rsidRPr="00441478">
        <w:rPr>
          <w:rFonts w:asciiTheme="majorBidi" w:hAnsiTheme="majorBidi"/>
          <w:sz w:val="26"/>
          <w:szCs w:val="26"/>
        </w:rPr>
        <w:t xml:space="preserve">, the main question addressed </w:t>
      </w:r>
      <w:r w:rsidRPr="00441478">
        <w:rPr>
          <w:rFonts w:asciiTheme="majorBidi" w:hAnsiTheme="majorBidi"/>
          <w:sz w:val="26"/>
          <w:szCs w:val="26"/>
        </w:rPr>
        <w:t xml:space="preserve">in the present </w:t>
      </w:r>
      <w:r w:rsidR="00374ACA" w:rsidRPr="00441478">
        <w:rPr>
          <w:rFonts w:asciiTheme="majorBidi" w:hAnsiTheme="majorBidi"/>
          <w:sz w:val="26"/>
          <w:szCs w:val="26"/>
        </w:rPr>
        <w:t xml:space="preserve">study is </w:t>
      </w:r>
      <w:r w:rsidR="000222A0" w:rsidRPr="00441478">
        <w:rPr>
          <w:rFonts w:asciiTheme="majorBidi" w:hAnsiTheme="majorBidi"/>
          <w:sz w:val="26"/>
          <w:szCs w:val="26"/>
        </w:rPr>
        <w:t>‘</w:t>
      </w:r>
      <w:r w:rsidR="00374ACA" w:rsidRPr="00441478">
        <w:rPr>
          <w:rFonts w:asciiTheme="majorBidi" w:hAnsiTheme="majorBidi"/>
          <w:sz w:val="26"/>
          <w:szCs w:val="26"/>
        </w:rPr>
        <w:t xml:space="preserve">which measure has </w:t>
      </w:r>
      <w:r w:rsidR="007D3C6D">
        <w:rPr>
          <w:rFonts w:asciiTheme="majorBidi" w:hAnsiTheme="majorBidi"/>
          <w:sz w:val="26"/>
          <w:szCs w:val="26"/>
        </w:rPr>
        <w:t xml:space="preserve">a </w:t>
      </w:r>
      <w:r w:rsidR="00374ACA" w:rsidRPr="00441478">
        <w:rPr>
          <w:rFonts w:asciiTheme="majorBidi" w:hAnsiTheme="majorBidi"/>
          <w:sz w:val="26"/>
          <w:szCs w:val="26"/>
        </w:rPr>
        <w:t>significant effect</w:t>
      </w:r>
      <w:r w:rsidR="00CF44C0" w:rsidRPr="00441478">
        <w:rPr>
          <w:rFonts w:asciiTheme="majorBidi" w:hAnsiTheme="majorBidi"/>
          <w:sz w:val="26"/>
          <w:szCs w:val="26"/>
        </w:rPr>
        <w:t>?</w:t>
      </w:r>
      <w:r w:rsidR="000222A0" w:rsidRPr="00441478">
        <w:rPr>
          <w:rFonts w:asciiTheme="majorBidi" w:hAnsiTheme="majorBidi"/>
          <w:sz w:val="26"/>
          <w:szCs w:val="26"/>
        </w:rPr>
        <w:t>’</w:t>
      </w:r>
      <w:r w:rsidR="00CF44C0" w:rsidRPr="00441478">
        <w:rPr>
          <w:rFonts w:asciiTheme="majorBidi" w:hAnsiTheme="majorBidi"/>
          <w:sz w:val="26"/>
          <w:szCs w:val="26"/>
        </w:rPr>
        <w:t xml:space="preserve"> </w:t>
      </w:r>
      <w:r w:rsidR="000222A0" w:rsidRPr="00441478">
        <w:rPr>
          <w:rFonts w:asciiTheme="majorBidi" w:hAnsiTheme="majorBidi"/>
          <w:sz w:val="26"/>
          <w:szCs w:val="26"/>
        </w:rPr>
        <w:t xml:space="preserve">Specifically, </w:t>
      </w:r>
      <w:r w:rsidR="00CF44C0" w:rsidRPr="00441478">
        <w:rPr>
          <w:rFonts w:asciiTheme="majorBidi" w:hAnsiTheme="majorBidi"/>
          <w:sz w:val="26"/>
          <w:szCs w:val="26"/>
        </w:rPr>
        <w:t xml:space="preserve">which measure has </w:t>
      </w:r>
      <w:r w:rsidR="007D3C6D">
        <w:rPr>
          <w:rFonts w:asciiTheme="majorBidi" w:hAnsiTheme="majorBidi"/>
          <w:sz w:val="26"/>
          <w:szCs w:val="26"/>
        </w:rPr>
        <w:t xml:space="preserve">a </w:t>
      </w:r>
      <w:r w:rsidR="00CF44C0" w:rsidRPr="00441478">
        <w:rPr>
          <w:rFonts w:asciiTheme="majorBidi" w:hAnsiTheme="majorBidi"/>
          <w:sz w:val="26"/>
          <w:szCs w:val="26"/>
        </w:rPr>
        <w:t xml:space="preserve">significant effect </w:t>
      </w:r>
      <w:r w:rsidR="00374ACA" w:rsidRPr="00441478">
        <w:rPr>
          <w:rFonts w:asciiTheme="majorBidi" w:hAnsiTheme="majorBidi"/>
          <w:sz w:val="26"/>
          <w:szCs w:val="26"/>
        </w:rPr>
        <w:t xml:space="preserve">on </w:t>
      </w:r>
      <w:r w:rsidR="007D3C6D">
        <w:rPr>
          <w:rFonts w:asciiTheme="majorBidi" w:hAnsiTheme="majorBidi"/>
          <w:sz w:val="26"/>
          <w:szCs w:val="26"/>
        </w:rPr>
        <w:t xml:space="preserve">the </w:t>
      </w:r>
      <w:r w:rsidR="0026569D" w:rsidRPr="00441478">
        <w:rPr>
          <w:rFonts w:asciiTheme="majorBidi" w:hAnsiTheme="majorBidi"/>
          <w:sz w:val="26"/>
          <w:szCs w:val="26"/>
        </w:rPr>
        <w:t>foreign investor</w:t>
      </w:r>
      <w:r w:rsidR="005506C1" w:rsidRPr="00441478">
        <w:rPr>
          <w:rFonts w:asciiTheme="majorBidi" w:hAnsiTheme="majorBidi"/>
          <w:sz w:val="26"/>
          <w:szCs w:val="26"/>
        </w:rPr>
        <w:t xml:space="preserve"> (FI)</w:t>
      </w:r>
      <w:r w:rsidR="00374ACA" w:rsidRPr="00441478">
        <w:rPr>
          <w:rFonts w:asciiTheme="majorBidi" w:hAnsiTheme="majorBidi"/>
          <w:sz w:val="26"/>
          <w:szCs w:val="26"/>
        </w:rPr>
        <w:t>?</w:t>
      </w:r>
      <w:r w:rsidR="004223AC" w:rsidRPr="00441478">
        <w:rPr>
          <w:rFonts w:asciiTheme="majorBidi" w:hAnsiTheme="majorBidi" w:cstheme="majorBidi"/>
          <w:sz w:val="26"/>
          <w:szCs w:val="26"/>
        </w:rPr>
        <w:t xml:space="preserve"> Accordingly, this study is designed to answer the following research questions:</w:t>
      </w:r>
    </w:p>
    <w:p w14:paraId="4D5826CF" w14:textId="77777777" w:rsidR="004223AC" w:rsidRPr="00441478" w:rsidRDefault="004223AC" w:rsidP="00541754">
      <w:pPr>
        <w:pStyle w:val="a6"/>
        <w:snapToGrid w:val="0"/>
        <w:spacing w:after="0" w:line="360" w:lineRule="exact"/>
        <w:ind w:left="520" w:hangingChars="200" w:hanging="520"/>
        <w:contextualSpacing w:val="0"/>
        <w:jc w:val="both"/>
        <w:rPr>
          <w:rFonts w:asciiTheme="majorBidi" w:hAnsiTheme="majorBidi" w:cstheme="majorBidi"/>
          <w:sz w:val="26"/>
          <w:szCs w:val="26"/>
        </w:rPr>
      </w:pPr>
      <w:r w:rsidRPr="00441478">
        <w:rPr>
          <w:rFonts w:asciiTheme="majorBidi" w:hAnsiTheme="majorBidi" w:cstheme="majorBidi"/>
          <w:sz w:val="26"/>
          <w:szCs w:val="26"/>
        </w:rPr>
        <w:t xml:space="preserve">Q1: How to use different proxies of earnings quality to measure the quality of earnings in the non-financial firms in GCC countries? </w:t>
      </w:r>
    </w:p>
    <w:p w14:paraId="7B4455A3" w14:textId="64A5E181" w:rsidR="00AB0CF5" w:rsidRDefault="004223AC" w:rsidP="00541754">
      <w:pPr>
        <w:pStyle w:val="a6"/>
        <w:snapToGrid w:val="0"/>
        <w:spacing w:after="0" w:line="360" w:lineRule="exact"/>
        <w:ind w:left="520" w:hangingChars="200" w:hanging="520"/>
        <w:contextualSpacing w:val="0"/>
        <w:jc w:val="both"/>
        <w:rPr>
          <w:rFonts w:asciiTheme="majorBidi" w:hAnsiTheme="majorBidi" w:cstheme="majorBidi"/>
          <w:sz w:val="26"/>
          <w:szCs w:val="26"/>
        </w:rPr>
      </w:pPr>
      <w:r w:rsidRPr="00441478">
        <w:rPr>
          <w:rFonts w:asciiTheme="majorBidi" w:hAnsiTheme="majorBidi" w:cstheme="majorBidi"/>
          <w:sz w:val="26"/>
          <w:szCs w:val="26"/>
        </w:rPr>
        <w:t>Q2: How to assist the foreign investors in evaluating their investment in GCC countries by using different proxies of earnings quality?</w:t>
      </w:r>
    </w:p>
    <w:p w14:paraId="4AC905B4" w14:textId="77777777" w:rsidR="00541754" w:rsidRPr="00441478" w:rsidRDefault="00541754" w:rsidP="00541754">
      <w:pPr>
        <w:pStyle w:val="a6"/>
        <w:snapToGrid w:val="0"/>
        <w:spacing w:after="0" w:line="360" w:lineRule="exact"/>
        <w:ind w:left="520" w:hangingChars="200" w:hanging="520"/>
        <w:contextualSpacing w:val="0"/>
        <w:jc w:val="both"/>
        <w:rPr>
          <w:rFonts w:asciiTheme="majorBidi" w:hAnsiTheme="majorBidi" w:cstheme="majorBidi"/>
          <w:sz w:val="26"/>
          <w:szCs w:val="26"/>
        </w:rPr>
      </w:pPr>
    </w:p>
    <w:p w14:paraId="1152F9A4" w14:textId="35C161C9" w:rsidR="00C4083E" w:rsidRDefault="000243B0" w:rsidP="000B3231">
      <w:pPr>
        <w:pStyle w:val="Default"/>
        <w:snapToGrid w:val="0"/>
        <w:spacing w:line="360" w:lineRule="exact"/>
        <w:ind w:firstLine="510"/>
        <w:jc w:val="both"/>
        <w:rPr>
          <w:rFonts w:asciiTheme="majorBidi" w:hAnsiTheme="majorBidi"/>
          <w:color w:val="auto"/>
          <w:sz w:val="26"/>
          <w:szCs w:val="26"/>
          <w:lang w:val="en-GB"/>
        </w:rPr>
      </w:pPr>
      <w:r w:rsidRPr="000B3231">
        <w:rPr>
          <w:rFonts w:asciiTheme="majorBidi" w:hAnsiTheme="majorBidi"/>
          <w:color w:val="auto"/>
          <w:sz w:val="26"/>
          <w:szCs w:val="26"/>
          <w:lang w:val="en-GB"/>
        </w:rPr>
        <w:t>This study</w:t>
      </w:r>
      <w:r w:rsidR="00AB0CF5" w:rsidRPr="000B3231">
        <w:rPr>
          <w:rFonts w:asciiTheme="majorBidi" w:hAnsiTheme="majorBidi"/>
          <w:color w:val="auto"/>
          <w:sz w:val="26"/>
          <w:szCs w:val="26"/>
          <w:lang w:val="en-GB"/>
        </w:rPr>
        <w:t xml:space="preserve"> selected </w:t>
      </w:r>
      <w:r w:rsidR="005506C1" w:rsidRPr="000B3231">
        <w:rPr>
          <w:rFonts w:asciiTheme="majorBidi" w:hAnsiTheme="majorBidi"/>
          <w:color w:val="auto"/>
          <w:sz w:val="26"/>
          <w:szCs w:val="26"/>
          <w:lang w:val="en-GB"/>
        </w:rPr>
        <w:t xml:space="preserve">FI </w:t>
      </w:r>
      <w:r w:rsidR="00C06F96" w:rsidRPr="000B3231">
        <w:rPr>
          <w:rFonts w:asciiTheme="majorBidi" w:hAnsiTheme="majorBidi"/>
          <w:color w:val="auto"/>
          <w:sz w:val="26"/>
          <w:szCs w:val="26"/>
          <w:lang w:val="en-GB"/>
        </w:rPr>
        <w:t>as a</w:t>
      </w:r>
      <w:r w:rsidR="00AB0CF5" w:rsidRPr="000B3231">
        <w:rPr>
          <w:rFonts w:asciiTheme="majorBidi" w:hAnsiTheme="majorBidi"/>
          <w:color w:val="auto"/>
          <w:sz w:val="26"/>
          <w:szCs w:val="26"/>
          <w:lang w:val="en-GB"/>
        </w:rPr>
        <w:t xml:space="preserve"> dependent variable </w:t>
      </w:r>
      <w:r w:rsidR="000222A0" w:rsidRPr="000B3231">
        <w:rPr>
          <w:rFonts w:asciiTheme="majorBidi" w:hAnsiTheme="majorBidi"/>
          <w:color w:val="auto"/>
          <w:sz w:val="26"/>
          <w:szCs w:val="26"/>
          <w:lang w:val="en-GB"/>
        </w:rPr>
        <w:t>for three</w:t>
      </w:r>
      <w:r w:rsidR="00DD22F2" w:rsidRPr="000B3231">
        <w:rPr>
          <w:rFonts w:asciiTheme="majorBidi" w:hAnsiTheme="majorBidi"/>
          <w:color w:val="auto"/>
          <w:sz w:val="26"/>
          <w:szCs w:val="26"/>
          <w:lang w:val="en-GB"/>
        </w:rPr>
        <w:t xml:space="preserve"> reasons.</w:t>
      </w:r>
      <w:r w:rsidR="00173FE4" w:rsidRPr="000B3231">
        <w:rPr>
          <w:rFonts w:asciiTheme="majorBidi" w:hAnsiTheme="majorBidi"/>
          <w:color w:val="auto"/>
          <w:sz w:val="26"/>
          <w:szCs w:val="26"/>
          <w:lang w:val="en-GB"/>
        </w:rPr>
        <w:t xml:space="preserve"> </w:t>
      </w:r>
      <w:r w:rsidR="00DD22F2" w:rsidRPr="000B3231">
        <w:rPr>
          <w:rFonts w:asciiTheme="majorBidi" w:hAnsiTheme="majorBidi"/>
          <w:color w:val="auto"/>
          <w:sz w:val="26"/>
          <w:szCs w:val="26"/>
          <w:lang w:val="en-GB"/>
        </w:rPr>
        <w:t>First</w:t>
      </w:r>
      <w:r w:rsidR="000222A0" w:rsidRPr="000B3231">
        <w:rPr>
          <w:rFonts w:asciiTheme="majorBidi" w:hAnsiTheme="majorBidi"/>
          <w:color w:val="auto"/>
          <w:sz w:val="26"/>
          <w:szCs w:val="26"/>
          <w:lang w:val="en-GB"/>
        </w:rPr>
        <w:t>ly</w:t>
      </w:r>
      <w:r w:rsidR="00DD22F2" w:rsidRPr="000B3231">
        <w:rPr>
          <w:rFonts w:asciiTheme="majorBidi" w:hAnsiTheme="majorBidi"/>
          <w:color w:val="auto"/>
          <w:sz w:val="26"/>
          <w:szCs w:val="26"/>
          <w:lang w:val="en-GB"/>
        </w:rPr>
        <w:t xml:space="preserve">, </w:t>
      </w:r>
      <w:r w:rsidR="0026569D" w:rsidRPr="000B3231">
        <w:rPr>
          <w:rFonts w:asciiTheme="majorBidi" w:hAnsiTheme="majorBidi"/>
          <w:color w:val="auto"/>
          <w:sz w:val="26"/>
          <w:szCs w:val="26"/>
          <w:lang w:val="en-GB"/>
        </w:rPr>
        <w:t xml:space="preserve">all the six GCC countries have issued new </w:t>
      </w:r>
      <w:r w:rsidR="006F15D5" w:rsidRPr="000B3231">
        <w:rPr>
          <w:rFonts w:asciiTheme="majorBidi" w:hAnsiTheme="majorBidi"/>
          <w:color w:val="auto"/>
          <w:sz w:val="26"/>
          <w:szCs w:val="26"/>
          <w:lang w:val="en-GB"/>
        </w:rPr>
        <w:t>foreign investments law</w:t>
      </w:r>
      <w:r w:rsidR="0026569D" w:rsidRPr="000B3231">
        <w:rPr>
          <w:rFonts w:asciiTheme="majorBidi" w:hAnsiTheme="majorBidi"/>
          <w:color w:val="auto"/>
          <w:sz w:val="26"/>
          <w:szCs w:val="26"/>
          <w:lang w:val="en-GB"/>
        </w:rPr>
        <w:t xml:space="preserve">s </w:t>
      </w:r>
      <w:r w:rsidR="0026569D" w:rsidRPr="00A95E4E">
        <w:rPr>
          <w:rFonts w:asciiTheme="majorBidi" w:hAnsiTheme="majorBidi"/>
          <w:color w:val="auto"/>
          <w:sz w:val="26"/>
          <w:szCs w:val="26"/>
          <w:lang w:val="en-GB"/>
        </w:rPr>
        <w:t>(Oman, 2019; Qatar, 2019; UAE, 2018; Bahrain, 2016 [amendment]; Kuwait, 2001</w:t>
      </w:r>
      <w:r w:rsidR="000222A0" w:rsidRPr="00A95E4E">
        <w:rPr>
          <w:rFonts w:asciiTheme="majorBidi" w:hAnsiTheme="majorBidi"/>
          <w:color w:val="auto"/>
          <w:sz w:val="26"/>
          <w:szCs w:val="26"/>
          <w:lang w:val="en-GB"/>
        </w:rPr>
        <w:t>;</w:t>
      </w:r>
      <w:r w:rsidR="0026569D" w:rsidRPr="00A95E4E">
        <w:rPr>
          <w:rFonts w:asciiTheme="majorBidi" w:hAnsiTheme="majorBidi"/>
          <w:color w:val="auto"/>
          <w:sz w:val="26"/>
          <w:szCs w:val="26"/>
          <w:lang w:val="en-GB"/>
        </w:rPr>
        <w:t xml:space="preserve"> the </w:t>
      </w:r>
      <w:r w:rsidR="009C59F2" w:rsidRPr="00A95E4E">
        <w:rPr>
          <w:rFonts w:asciiTheme="majorBidi" w:eastAsia="Times New Roman" w:hAnsiTheme="majorBidi" w:cstheme="majorBidi"/>
          <w:color w:val="auto"/>
          <w:sz w:val="26"/>
          <w:szCs w:val="26"/>
          <w:lang w:val="en-GB"/>
        </w:rPr>
        <w:t>Kingdom of Saudi Arabia</w:t>
      </w:r>
      <w:r w:rsidR="0026569D" w:rsidRPr="00A95E4E">
        <w:rPr>
          <w:rFonts w:asciiTheme="majorBidi" w:hAnsiTheme="majorBidi"/>
          <w:color w:val="auto"/>
          <w:sz w:val="26"/>
          <w:szCs w:val="26"/>
          <w:lang w:val="en-GB"/>
        </w:rPr>
        <w:t>, 2000)</w:t>
      </w:r>
      <w:r w:rsidR="000B3231" w:rsidRPr="00A95E4E">
        <w:rPr>
          <w:rFonts w:asciiTheme="majorBidi" w:hAnsiTheme="majorBidi"/>
          <w:color w:val="auto"/>
          <w:sz w:val="26"/>
          <w:szCs w:val="26"/>
          <w:lang w:val="en-GB"/>
        </w:rPr>
        <w:t xml:space="preserve"> (</w:t>
      </w:r>
      <w:r w:rsidR="000B3231" w:rsidRPr="00A95E4E">
        <w:t xml:space="preserve">Salman &amp; </w:t>
      </w:r>
      <w:proofErr w:type="spellStart"/>
      <w:r w:rsidR="000B3231" w:rsidRPr="00A95E4E">
        <w:t>Nobanee</w:t>
      </w:r>
      <w:proofErr w:type="spellEnd"/>
      <w:r w:rsidR="000B3231" w:rsidRPr="00A95E4E">
        <w:t>, 2019)</w:t>
      </w:r>
      <w:r w:rsidR="0026569D" w:rsidRPr="00A95E4E">
        <w:rPr>
          <w:rFonts w:asciiTheme="majorBidi" w:hAnsiTheme="majorBidi"/>
          <w:color w:val="FF0000"/>
          <w:sz w:val="26"/>
          <w:szCs w:val="26"/>
          <w:lang w:val="en-GB"/>
        </w:rPr>
        <w:t xml:space="preserve">. </w:t>
      </w:r>
      <w:r w:rsidR="0026569D" w:rsidRPr="00A95E4E">
        <w:rPr>
          <w:rFonts w:asciiTheme="majorBidi" w:hAnsiTheme="majorBidi"/>
          <w:color w:val="auto"/>
          <w:sz w:val="26"/>
          <w:szCs w:val="26"/>
          <w:lang w:val="en-GB"/>
        </w:rPr>
        <w:t>These laws provide</w:t>
      </w:r>
      <w:r w:rsidR="0026569D" w:rsidRPr="00441478">
        <w:rPr>
          <w:rFonts w:asciiTheme="majorBidi" w:hAnsiTheme="majorBidi"/>
          <w:color w:val="auto"/>
          <w:sz w:val="26"/>
          <w:szCs w:val="26"/>
          <w:lang w:val="en-GB"/>
        </w:rPr>
        <w:t xml:space="preserve"> many advantages to foreign investors, such as 100% foreign-owned enterprises, tax holidays for up to 10 years and 10-year investment visas. </w:t>
      </w:r>
      <w:r w:rsidR="00F563CB" w:rsidRPr="00441478">
        <w:rPr>
          <w:rFonts w:asciiTheme="majorBidi" w:hAnsiTheme="majorBidi" w:cstheme="majorBidi"/>
          <w:color w:val="auto"/>
          <w:sz w:val="26"/>
          <w:szCs w:val="26"/>
        </w:rPr>
        <w:t xml:space="preserve">Increasing foreign investments is at the core of </w:t>
      </w:r>
      <w:r w:rsidR="007D3C6D">
        <w:rPr>
          <w:rFonts w:asciiTheme="majorBidi" w:hAnsiTheme="majorBidi" w:cstheme="majorBidi"/>
          <w:color w:val="auto"/>
          <w:sz w:val="26"/>
          <w:szCs w:val="26"/>
        </w:rPr>
        <w:t xml:space="preserve">the </w:t>
      </w:r>
      <w:r w:rsidR="00F563CB" w:rsidRPr="00441478">
        <w:rPr>
          <w:rFonts w:asciiTheme="majorBidi" w:hAnsiTheme="majorBidi" w:cstheme="majorBidi"/>
          <w:color w:val="auto"/>
          <w:sz w:val="26"/>
          <w:szCs w:val="26"/>
        </w:rPr>
        <w:t>economic diversification of</w:t>
      </w:r>
      <w:r w:rsidR="004673C6">
        <w:rPr>
          <w:rFonts w:asciiTheme="majorBidi" w:hAnsiTheme="majorBidi" w:cstheme="majorBidi"/>
          <w:color w:val="auto"/>
          <w:sz w:val="26"/>
          <w:szCs w:val="26"/>
        </w:rPr>
        <w:t xml:space="preserve"> GCC economies. For example, </w:t>
      </w:r>
      <w:proofErr w:type="spellStart"/>
      <w:r w:rsidR="004673C6">
        <w:rPr>
          <w:rFonts w:asciiTheme="majorBidi" w:hAnsiTheme="majorBidi" w:cstheme="majorBidi"/>
          <w:color w:val="auto"/>
          <w:sz w:val="26"/>
          <w:szCs w:val="26"/>
        </w:rPr>
        <w:t>AL</w:t>
      </w:r>
      <w:r w:rsidR="00F563CB" w:rsidRPr="00441478">
        <w:rPr>
          <w:rFonts w:asciiTheme="majorBidi" w:hAnsiTheme="majorBidi" w:cstheme="majorBidi"/>
          <w:color w:val="auto"/>
          <w:sz w:val="26"/>
          <w:szCs w:val="26"/>
        </w:rPr>
        <w:t>Harithi</w:t>
      </w:r>
      <w:proofErr w:type="spellEnd"/>
      <w:r w:rsidR="00F563CB" w:rsidRPr="00441478">
        <w:rPr>
          <w:rFonts w:asciiTheme="majorBidi" w:hAnsiTheme="majorBidi" w:cstheme="majorBidi"/>
          <w:color w:val="auto"/>
          <w:sz w:val="26"/>
          <w:szCs w:val="26"/>
        </w:rPr>
        <w:t xml:space="preserve"> (2018) points out that GCC policymakers make </w:t>
      </w:r>
      <w:r w:rsidR="007D3C6D">
        <w:rPr>
          <w:rFonts w:asciiTheme="majorBidi" w:hAnsiTheme="majorBidi" w:cstheme="majorBidi"/>
          <w:color w:val="auto"/>
          <w:sz w:val="26"/>
          <w:szCs w:val="26"/>
        </w:rPr>
        <w:t xml:space="preserve">the </w:t>
      </w:r>
      <w:r w:rsidR="00F563CB" w:rsidRPr="00441478">
        <w:rPr>
          <w:rFonts w:asciiTheme="majorBidi" w:hAnsiTheme="majorBidi" w:cstheme="majorBidi"/>
          <w:color w:val="auto"/>
          <w:sz w:val="26"/>
          <w:szCs w:val="26"/>
        </w:rPr>
        <w:t xml:space="preserve">foreign direct investment as one of the main plans to diversify the economy in GCC countries and attract additional foreign portfolio investments. </w:t>
      </w:r>
      <w:r w:rsidR="0026569D" w:rsidRPr="00441478">
        <w:rPr>
          <w:rFonts w:asciiTheme="majorBidi" w:hAnsiTheme="majorBidi"/>
          <w:color w:val="auto"/>
          <w:sz w:val="26"/>
          <w:szCs w:val="26"/>
          <w:lang w:val="en-GB"/>
        </w:rPr>
        <w:t>The capital markets in GCC countries encourage foreign ownerships to invest their money in these markets through enhanced monitoring, improved corporate governance</w:t>
      </w:r>
      <w:r w:rsidR="007D3C6D">
        <w:rPr>
          <w:rFonts w:asciiTheme="majorBidi" w:hAnsiTheme="majorBidi"/>
          <w:color w:val="auto"/>
          <w:sz w:val="26"/>
          <w:szCs w:val="26"/>
          <w:lang w:val="en-GB"/>
        </w:rPr>
        <w:t>,</w:t>
      </w:r>
      <w:r w:rsidR="0026569D" w:rsidRPr="00441478">
        <w:rPr>
          <w:rFonts w:asciiTheme="majorBidi" w:hAnsiTheme="majorBidi"/>
          <w:color w:val="auto"/>
          <w:sz w:val="26"/>
          <w:szCs w:val="26"/>
          <w:lang w:val="en-GB"/>
        </w:rPr>
        <w:t xml:space="preserve"> and access to credible financial information. Second</w:t>
      </w:r>
      <w:r w:rsidR="000222A0" w:rsidRPr="00441478">
        <w:rPr>
          <w:rFonts w:asciiTheme="majorBidi" w:hAnsiTheme="majorBidi"/>
          <w:color w:val="auto"/>
          <w:sz w:val="26"/>
          <w:szCs w:val="26"/>
          <w:lang w:val="en-GB"/>
        </w:rPr>
        <w:t>ly</w:t>
      </w:r>
      <w:r w:rsidR="0026569D" w:rsidRPr="00441478">
        <w:rPr>
          <w:rFonts w:asciiTheme="majorBidi" w:hAnsiTheme="majorBidi"/>
          <w:color w:val="auto"/>
          <w:sz w:val="26"/>
          <w:szCs w:val="26"/>
          <w:lang w:val="en-GB"/>
        </w:rPr>
        <w:t xml:space="preserve">, </w:t>
      </w:r>
      <w:r w:rsidR="000222A0" w:rsidRPr="00441478">
        <w:rPr>
          <w:rFonts w:asciiTheme="majorBidi" w:hAnsiTheme="majorBidi"/>
          <w:color w:val="auto"/>
          <w:sz w:val="26"/>
          <w:szCs w:val="26"/>
          <w:lang w:val="en-GB"/>
        </w:rPr>
        <w:t>although</w:t>
      </w:r>
      <w:r w:rsidR="0026569D" w:rsidRPr="00441478">
        <w:rPr>
          <w:rFonts w:asciiTheme="majorBidi" w:hAnsiTheme="majorBidi"/>
          <w:color w:val="auto"/>
          <w:sz w:val="26"/>
          <w:szCs w:val="26"/>
          <w:lang w:val="en-GB"/>
        </w:rPr>
        <w:t xml:space="preserve"> few studies </w:t>
      </w:r>
      <w:r w:rsidR="000222A0" w:rsidRPr="00441478">
        <w:rPr>
          <w:rFonts w:asciiTheme="majorBidi" w:hAnsiTheme="majorBidi"/>
          <w:color w:val="auto"/>
          <w:sz w:val="26"/>
          <w:szCs w:val="26"/>
          <w:lang w:val="en-GB"/>
        </w:rPr>
        <w:t xml:space="preserve">investigate </w:t>
      </w:r>
      <w:r w:rsidR="0026569D" w:rsidRPr="00441478">
        <w:rPr>
          <w:rFonts w:asciiTheme="majorBidi" w:hAnsiTheme="majorBidi"/>
          <w:color w:val="auto"/>
          <w:sz w:val="26"/>
          <w:szCs w:val="26"/>
          <w:lang w:val="en-GB"/>
        </w:rPr>
        <w:t xml:space="preserve">the effect of </w:t>
      </w:r>
      <w:r w:rsidR="006B1C85" w:rsidRPr="00441478">
        <w:rPr>
          <w:rFonts w:asciiTheme="majorBidi" w:hAnsiTheme="majorBidi"/>
          <w:color w:val="auto"/>
          <w:sz w:val="26"/>
          <w:szCs w:val="26"/>
          <w:lang w:val="en-GB"/>
        </w:rPr>
        <w:t>EQ</w:t>
      </w:r>
      <w:r w:rsidR="0026569D" w:rsidRPr="00441478">
        <w:rPr>
          <w:rFonts w:asciiTheme="majorBidi" w:hAnsiTheme="majorBidi"/>
          <w:color w:val="auto"/>
          <w:sz w:val="26"/>
          <w:szCs w:val="26"/>
          <w:lang w:val="en-GB"/>
        </w:rPr>
        <w:t xml:space="preserve"> in emerging markets</w:t>
      </w:r>
      <w:r w:rsidR="000222A0" w:rsidRPr="00441478">
        <w:rPr>
          <w:rFonts w:asciiTheme="majorBidi" w:hAnsiTheme="majorBidi"/>
          <w:color w:val="auto"/>
          <w:sz w:val="26"/>
          <w:szCs w:val="26"/>
          <w:lang w:val="en-GB"/>
        </w:rPr>
        <w:t>,</w:t>
      </w:r>
      <w:r w:rsidR="0026569D" w:rsidRPr="00441478">
        <w:rPr>
          <w:rFonts w:asciiTheme="majorBidi" w:hAnsiTheme="majorBidi"/>
          <w:color w:val="auto"/>
          <w:sz w:val="26"/>
          <w:szCs w:val="26"/>
          <w:lang w:val="en-GB"/>
        </w:rPr>
        <w:t xml:space="preserve"> such as GCC markets</w:t>
      </w:r>
      <w:r w:rsidR="00E77EBC" w:rsidRPr="00441478">
        <w:rPr>
          <w:rFonts w:asciiTheme="majorBidi" w:hAnsiTheme="majorBidi"/>
          <w:color w:val="auto"/>
          <w:sz w:val="26"/>
          <w:szCs w:val="26"/>
          <w:lang w:val="en-GB"/>
        </w:rPr>
        <w:t xml:space="preserve"> (</w:t>
      </w:r>
      <w:r w:rsidR="000E74B5" w:rsidRPr="00441478">
        <w:rPr>
          <w:rFonts w:asciiTheme="majorBidi" w:hAnsiTheme="majorBidi"/>
          <w:color w:val="auto"/>
          <w:sz w:val="26"/>
          <w:szCs w:val="26"/>
          <w:lang w:val="en-GB"/>
        </w:rPr>
        <w:t>e.g.</w:t>
      </w:r>
      <w:r w:rsidR="007D3C6D">
        <w:rPr>
          <w:rFonts w:asciiTheme="majorBidi" w:hAnsiTheme="majorBidi"/>
          <w:color w:val="auto"/>
          <w:sz w:val="26"/>
          <w:szCs w:val="26"/>
          <w:lang w:val="en-GB"/>
        </w:rPr>
        <w:t>,</w:t>
      </w:r>
      <w:r w:rsidR="000E74B5" w:rsidRPr="00441478">
        <w:rPr>
          <w:rFonts w:asciiTheme="majorBidi" w:hAnsiTheme="majorBidi"/>
          <w:color w:val="auto"/>
          <w:sz w:val="26"/>
          <w:szCs w:val="26"/>
          <w:lang w:val="en-GB"/>
        </w:rPr>
        <w:t xml:space="preserve"> </w:t>
      </w:r>
      <w:r w:rsidR="007B380A" w:rsidRPr="00441478">
        <w:rPr>
          <w:rFonts w:asciiTheme="majorBidi" w:hAnsiTheme="majorBidi" w:cstheme="majorBidi"/>
          <w:color w:val="auto"/>
          <w:sz w:val="26"/>
          <w:szCs w:val="26"/>
          <w:lang w:val="en-GB"/>
        </w:rPr>
        <w:t>Al-</w:t>
      </w:r>
      <w:proofErr w:type="spellStart"/>
      <w:r w:rsidR="007B380A" w:rsidRPr="00441478">
        <w:rPr>
          <w:rFonts w:asciiTheme="majorBidi" w:hAnsiTheme="majorBidi" w:cstheme="majorBidi"/>
          <w:color w:val="auto"/>
          <w:sz w:val="26"/>
          <w:szCs w:val="26"/>
          <w:lang w:val="en-GB"/>
        </w:rPr>
        <w:t>Amri</w:t>
      </w:r>
      <w:proofErr w:type="spellEnd"/>
      <w:r w:rsidR="007B380A" w:rsidRPr="00441478">
        <w:rPr>
          <w:rFonts w:asciiTheme="majorBidi" w:hAnsiTheme="majorBidi" w:cstheme="majorBidi"/>
          <w:color w:val="auto"/>
          <w:sz w:val="26"/>
          <w:szCs w:val="26"/>
          <w:lang w:val="en-GB"/>
        </w:rPr>
        <w:t xml:space="preserve"> et al</w:t>
      </w:r>
      <w:r w:rsidR="007B380A">
        <w:rPr>
          <w:rFonts w:asciiTheme="majorBidi" w:hAnsiTheme="majorBidi" w:cstheme="majorBidi"/>
          <w:color w:val="auto"/>
          <w:sz w:val="26"/>
          <w:szCs w:val="26"/>
          <w:lang w:val="en-GB"/>
        </w:rPr>
        <w:t>.</w:t>
      </w:r>
      <w:r w:rsidR="00A962D9">
        <w:rPr>
          <w:rFonts w:asciiTheme="majorBidi" w:hAnsiTheme="majorBidi" w:cstheme="majorBidi"/>
          <w:color w:val="auto"/>
          <w:sz w:val="26"/>
          <w:szCs w:val="26"/>
          <w:lang w:val="en-GB"/>
        </w:rPr>
        <w:t>,</w:t>
      </w:r>
      <w:r w:rsidR="007B380A" w:rsidRPr="00441478">
        <w:rPr>
          <w:rFonts w:asciiTheme="majorBidi" w:hAnsiTheme="majorBidi" w:cstheme="majorBidi"/>
          <w:color w:val="auto"/>
          <w:sz w:val="26"/>
          <w:szCs w:val="26"/>
          <w:lang w:val="en-GB"/>
        </w:rPr>
        <w:t xml:space="preserve"> 2017</w:t>
      </w:r>
      <w:r w:rsidR="007B380A" w:rsidRPr="00441478">
        <w:rPr>
          <w:rFonts w:asciiTheme="majorBidi" w:hAnsiTheme="majorBidi"/>
          <w:color w:val="auto"/>
          <w:sz w:val="26"/>
          <w:szCs w:val="26"/>
          <w:lang w:val="en-GB"/>
        </w:rPr>
        <w:t xml:space="preserve">; </w:t>
      </w:r>
      <w:proofErr w:type="spellStart"/>
      <w:r w:rsidR="00E77EBC" w:rsidRPr="00441478">
        <w:rPr>
          <w:rFonts w:asciiTheme="majorBidi" w:hAnsiTheme="majorBidi"/>
          <w:color w:val="auto"/>
          <w:sz w:val="26"/>
          <w:szCs w:val="26"/>
          <w:lang w:val="en-GB"/>
        </w:rPr>
        <w:t>Alfraih</w:t>
      </w:r>
      <w:proofErr w:type="spellEnd"/>
      <w:r w:rsidR="00E77EBC" w:rsidRPr="00441478">
        <w:rPr>
          <w:rFonts w:asciiTheme="majorBidi" w:hAnsiTheme="majorBidi"/>
          <w:color w:val="auto"/>
          <w:sz w:val="26"/>
          <w:szCs w:val="26"/>
          <w:lang w:val="en-GB"/>
        </w:rPr>
        <w:t xml:space="preserve"> </w:t>
      </w:r>
      <w:r w:rsidR="007875AD">
        <w:rPr>
          <w:rFonts w:asciiTheme="majorBidi" w:hAnsiTheme="majorBidi"/>
          <w:color w:val="auto"/>
          <w:sz w:val="26"/>
          <w:szCs w:val="26"/>
          <w:lang w:val="en-GB"/>
        </w:rPr>
        <w:t xml:space="preserve">&amp; </w:t>
      </w:r>
      <w:proofErr w:type="spellStart"/>
      <w:r w:rsidR="007E1F5A" w:rsidRPr="00441478">
        <w:rPr>
          <w:rFonts w:asciiTheme="majorBidi" w:hAnsiTheme="majorBidi"/>
          <w:color w:val="auto"/>
          <w:sz w:val="26"/>
          <w:szCs w:val="26"/>
          <w:lang w:val="en-GB"/>
        </w:rPr>
        <w:t>Alanezi</w:t>
      </w:r>
      <w:proofErr w:type="spellEnd"/>
      <w:r w:rsidR="007E1F5A" w:rsidRPr="00441478">
        <w:rPr>
          <w:rFonts w:asciiTheme="majorBidi" w:hAnsiTheme="majorBidi"/>
          <w:color w:val="auto"/>
          <w:sz w:val="26"/>
          <w:szCs w:val="26"/>
          <w:lang w:val="en-GB"/>
        </w:rPr>
        <w:t>, 2015;</w:t>
      </w:r>
      <w:r w:rsidR="000222A0" w:rsidRPr="00441478">
        <w:rPr>
          <w:rFonts w:asciiTheme="majorBidi" w:hAnsiTheme="majorBidi"/>
          <w:color w:val="auto"/>
          <w:sz w:val="26"/>
          <w:szCs w:val="26"/>
          <w:lang w:val="en-GB"/>
        </w:rPr>
        <w:t xml:space="preserve"> </w:t>
      </w:r>
      <w:proofErr w:type="spellStart"/>
      <w:r w:rsidR="00E77EBC" w:rsidRPr="00441478">
        <w:rPr>
          <w:rFonts w:asciiTheme="majorBidi" w:hAnsiTheme="majorBidi"/>
          <w:color w:val="auto"/>
          <w:sz w:val="26"/>
          <w:szCs w:val="26"/>
          <w:lang w:val="en-GB"/>
        </w:rPr>
        <w:t>Eza</w:t>
      </w:r>
      <w:r w:rsidR="00E21685">
        <w:rPr>
          <w:rFonts w:asciiTheme="majorBidi" w:hAnsiTheme="majorBidi"/>
          <w:color w:val="auto"/>
          <w:sz w:val="26"/>
          <w:szCs w:val="26"/>
          <w:lang w:val="en-GB"/>
        </w:rPr>
        <w:t>t</w:t>
      </w:r>
      <w:proofErr w:type="spellEnd"/>
      <w:r w:rsidR="00E21685">
        <w:rPr>
          <w:rFonts w:asciiTheme="majorBidi" w:hAnsiTheme="majorBidi"/>
          <w:color w:val="auto"/>
          <w:sz w:val="26"/>
          <w:szCs w:val="26"/>
          <w:lang w:val="en-GB"/>
        </w:rPr>
        <w:t xml:space="preserve"> et al.</w:t>
      </w:r>
      <w:r w:rsidR="00A962D9">
        <w:rPr>
          <w:rFonts w:asciiTheme="majorBidi" w:hAnsiTheme="majorBidi"/>
          <w:color w:val="auto"/>
          <w:sz w:val="26"/>
          <w:szCs w:val="26"/>
          <w:lang w:val="en-GB"/>
        </w:rPr>
        <w:t>,</w:t>
      </w:r>
      <w:r w:rsidR="007E1F5A" w:rsidRPr="00441478">
        <w:rPr>
          <w:rFonts w:asciiTheme="majorBidi" w:hAnsiTheme="majorBidi"/>
          <w:color w:val="auto"/>
          <w:sz w:val="26"/>
          <w:szCs w:val="26"/>
          <w:lang w:val="en-GB"/>
        </w:rPr>
        <w:t xml:space="preserve"> 2019</w:t>
      </w:r>
      <w:r w:rsidR="007B380A">
        <w:rPr>
          <w:rFonts w:asciiTheme="majorBidi" w:hAnsiTheme="majorBidi"/>
          <w:color w:val="auto"/>
          <w:sz w:val="26"/>
          <w:szCs w:val="26"/>
          <w:lang w:val="en-GB"/>
        </w:rPr>
        <w:t xml:space="preserve">; </w:t>
      </w:r>
      <w:proofErr w:type="spellStart"/>
      <w:r w:rsidR="007B380A">
        <w:rPr>
          <w:rFonts w:asciiTheme="majorBidi" w:hAnsiTheme="majorBidi"/>
          <w:color w:val="auto"/>
          <w:sz w:val="26"/>
          <w:szCs w:val="26"/>
          <w:lang w:val="en-GB"/>
        </w:rPr>
        <w:t>Shubita</w:t>
      </w:r>
      <w:proofErr w:type="spellEnd"/>
      <w:r w:rsidR="007B380A">
        <w:rPr>
          <w:rFonts w:asciiTheme="majorBidi" w:hAnsiTheme="majorBidi"/>
          <w:color w:val="auto"/>
          <w:sz w:val="26"/>
          <w:szCs w:val="26"/>
          <w:lang w:val="en-GB"/>
        </w:rPr>
        <w:t>, 2015</w:t>
      </w:r>
      <w:r w:rsidR="007E1F5A" w:rsidRPr="00441478">
        <w:rPr>
          <w:rFonts w:asciiTheme="majorBidi" w:hAnsiTheme="majorBidi"/>
          <w:color w:val="auto"/>
          <w:sz w:val="26"/>
          <w:szCs w:val="26"/>
          <w:lang w:val="en-GB"/>
        </w:rPr>
        <w:t>),</w:t>
      </w:r>
      <w:r w:rsidR="0026569D" w:rsidRPr="00441478">
        <w:rPr>
          <w:rFonts w:asciiTheme="majorBidi" w:hAnsiTheme="majorBidi"/>
          <w:color w:val="auto"/>
          <w:sz w:val="26"/>
          <w:szCs w:val="26"/>
          <w:lang w:val="en-GB"/>
        </w:rPr>
        <w:t xml:space="preserve"> the role of </w:t>
      </w:r>
      <w:r w:rsidR="006B1C85" w:rsidRPr="00441478">
        <w:rPr>
          <w:rFonts w:asciiTheme="majorBidi" w:hAnsiTheme="majorBidi"/>
          <w:color w:val="auto"/>
          <w:sz w:val="26"/>
          <w:szCs w:val="26"/>
          <w:lang w:val="en-GB"/>
        </w:rPr>
        <w:t>EQ</w:t>
      </w:r>
      <w:r w:rsidR="0026569D" w:rsidRPr="00441478">
        <w:rPr>
          <w:rFonts w:asciiTheme="majorBidi" w:hAnsiTheme="majorBidi"/>
          <w:color w:val="auto"/>
          <w:sz w:val="26"/>
          <w:szCs w:val="26"/>
          <w:lang w:val="en-GB"/>
        </w:rPr>
        <w:t xml:space="preserve"> in attracting foreign investors remains unexplored in the current literature.</w:t>
      </w:r>
      <w:r w:rsidR="007E1F5A" w:rsidRPr="00441478">
        <w:rPr>
          <w:rFonts w:asciiTheme="majorBidi" w:hAnsiTheme="majorBidi"/>
          <w:color w:val="auto"/>
          <w:sz w:val="26"/>
          <w:szCs w:val="26"/>
          <w:lang w:val="en-GB"/>
        </w:rPr>
        <w:t xml:space="preserve"> Third</w:t>
      </w:r>
      <w:r w:rsidR="000222A0" w:rsidRPr="00441478">
        <w:rPr>
          <w:rFonts w:asciiTheme="majorBidi" w:hAnsiTheme="majorBidi"/>
          <w:color w:val="auto"/>
          <w:sz w:val="26"/>
          <w:szCs w:val="26"/>
          <w:lang w:val="en-GB"/>
        </w:rPr>
        <w:t>ly</w:t>
      </w:r>
      <w:r w:rsidR="007E1F5A" w:rsidRPr="00441478">
        <w:rPr>
          <w:rFonts w:asciiTheme="majorBidi" w:hAnsiTheme="majorBidi"/>
          <w:color w:val="auto"/>
          <w:sz w:val="26"/>
          <w:szCs w:val="26"/>
          <w:lang w:val="en-GB"/>
        </w:rPr>
        <w:t xml:space="preserve">, </w:t>
      </w:r>
      <w:r w:rsidR="00565D07" w:rsidRPr="00441478">
        <w:rPr>
          <w:rFonts w:asciiTheme="majorBidi" w:hAnsiTheme="majorBidi"/>
          <w:color w:val="auto"/>
          <w:sz w:val="26"/>
          <w:szCs w:val="26"/>
          <w:lang w:val="en-GB"/>
        </w:rPr>
        <w:t>International Monetary Fund classified GCC</w:t>
      </w:r>
      <w:r w:rsidR="007E1F5A" w:rsidRPr="00441478">
        <w:rPr>
          <w:rFonts w:asciiTheme="majorBidi" w:hAnsiTheme="majorBidi"/>
          <w:color w:val="auto"/>
          <w:sz w:val="26"/>
          <w:szCs w:val="26"/>
          <w:lang w:val="en-GB"/>
        </w:rPr>
        <w:t xml:space="preserve"> markets </w:t>
      </w:r>
      <w:r w:rsidR="00565D07" w:rsidRPr="00441478">
        <w:rPr>
          <w:rFonts w:asciiTheme="majorBidi" w:hAnsiTheme="majorBidi"/>
          <w:color w:val="auto"/>
          <w:sz w:val="26"/>
          <w:szCs w:val="26"/>
          <w:lang w:val="en-GB"/>
        </w:rPr>
        <w:t xml:space="preserve">as </w:t>
      </w:r>
      <w:r w:rsidR="00415992" w:rsidRPr="00441478">
        <w:rPr>
          <w:rFonts w:asciiTheme="majorBidi" w:hAnsiTheme="majorBidi"/>
          <w:color w:val="auto"/>
          <w:sz w:val="26"/>
          <w:szCs w:val="26"/>
          <w:lang w:val="en-GB"/>
        </w:rPr>
        <w:t>weak</w:t>
      </w:r>
      <w:r w:rsidR="007E1F5A" w:rsidRPr="00441478">
        <w:rPr>
          <w:rFonts w:asciiTheme="majorBidi" w:hAnsiTheme="majorBidi"/>
          <w:color w:val="auto"/>
          <w:sz w:val="26"/>
          <w:szCs w:val="26"/>
          <w:lang w:val="en-GB"/>
        </w:rPr>
        <w:t xml:space="preserve"> </w:t>
      </w:r>
      <w:r w:rsidR="00565D07" w:rsidRPr="00441478">
        <w:rPr>
          <w:rFonts w:asciiTheme="majorBidi" w:hAnsiTheme="majorBidi"/>
          <w:color w:val="auto"/>
          <w:sz w:val="26"/>
          <w:szCs w:val="26"/>
          <w:lang w:val="en-GB"/>
        </w:rPr>
        <w:t xml:space="preserve">corporate </w:t>
      </w:r>
      <w:r w:rsidR="007E3368" w:rsidRPr="00441478">
        <w:rPr>
          <w:rFonts w:asciiTheme="majorBidi" w:hAnsiTheme="majorBidi"/>
          <w:color w:val="auto"/>
          <w:sz w:val="26"/>
          <w:szCs w:val="26"/>
          <w:lang w:val="en-GB"/>
        </w:rPr>
        <w:t>governance and</w:t>
      </w:r>
      <w:r w:rsidR="00BB25BE" w:rsidRPr="00441478">
        <w:rPr>
          <w:rFonts w:asciiTheme="majorBidi" w:hAnsiTheme="majorBidi"/>
          <w:color w:val="auto"/>
          <w:sz w:val="26"/>
          <w:szCs w:val="26"/>
          <w:lang w:val="en-GB"/>
        </w:rPr>
        <w:t>, as such, they</w:t>
      </w:r>
      <w:r w:rsidR="00565D07" w:rsidRPr="00441478">
        <w:rPr>
          <w:rFonts w:asciiTheme="majorBidi" w:hAnsiTheme="majorBidi"/>
          <w:color w:val="auto"/>
          <w:sz w:val="26"/>
          <w:szCs w:val="26"/>
          <w:lang w:val="en-GB"/>
        </w:rPr>
        <w:t xml:space="preserve"> need improvement to </w:t>
      </w:r>
      <w:r w:rsidR="007E1F5A" w:rsidRPr="00441478">
        <w:rPr>
          <w:rFonts w:asciiTheme="majorBidi" w:hAnsiTheme="majorBidi"/>
          <w:color w:val="auto"/>
          <w:sz w:val="26"/>
          <w:szCs w:val="26"/>
          <w:lang w:val="en-GB"/>
        </w:rPr>
        <w:t>protect</w:t>
      </w:r>
      <w:r w:rsidR="008D2E93" w:rsidRPr="00441478">
        <w:rPr>
          <w:rFonts w:asciiTheme="majorBidi" w:hAnsiTheme="majorBidi"/>
          <w:color w:val="auto"/>
          <w:sz w:val="26"/>
          <w:szCs w:val="26"/>
          <w:lang w:val="en-GB"/>
        </w:rPr>
        <w:t xml:space="preserve"> foreign investors. </w:t>
      </w:r>
    </w:p>
    <w:p w14:paraId="07965012" w14:textId="65272D35" w:rsidR="00374ACA" w:rsidRPr="00441478" w:rsidRDefault="004673C6" w:rsidP="00441478">
      <w:pPr>
        <w:pStyle w:val="Default"/>
        <w:snapToGrid w:val="0"/>
        <w:spacing w:line="360" w:lineRule="exact"/>
        <w:ind w:firstLine="510"/>
        <w:jc w:val="both"/>
        <w:rPr>
          <w:rFonts w:asciiTheme="majorBidi" w:hAnsiTheme="majorBidi"/>
          <w:color w:val="auto"/>
          <w:sz w:val="26"/>
          <w:szCs w:val="26"/>
          <w:lang w:val="en-GB"/>
        </w:rPr>
      </w:pPr>
      <w:proofErr w:type="spellStart"/>
      <w:r>
        <w:rPr>
          <w:rFonts w:asciiTheme="majorBidi" w:hAnsiTheme="majorBidi" w:cstheme="majorBidi"/>
          <w:color w:val="auto"/>
          <w:sz w:val="26"/>
          <w:szCs w:val="26"/>
          <w:lang w:val="en-GB"/>
        </w:rPr>
        <w:t>AL</w:t>
      </w:r>
      <w:r w:rsidR="007E3368" w:rsidRPr="00441478">
        <w:rPr>
          <w:rFonts w:asciiTheme="majorBidi" w:hAnsiTheme="majorBidi"/>
          <w:color w:val="auto"/>
          <w:sz w:val="26"/>
          <w:szCs w:val="26"/>
          <w:lang w:val="en-GB"/>
        </w:rPr>
        <w:t>Harithi</w:t>
      </w:r>
      <w:proofErr w:type="spellEnd"/>
      <w:r w:rsidR="007E3368" w:rsidRPr="00441478">
        <w:rPr>
          <w:rFonts w:asciiTheme="majorBidi" w:hAnsiTheme="majorBidi"/>
          <w:color w:val="auto"/>
          <w:sz w:val="26"/>
          <w:szCs w:val="26"/>
          <w:lang w:val="en-GB"/>
        </w:rPr>
        <w:t xml:space="preserve"> (2018) </w:t>
      </w:r>
      <w:r w:rsidR="0046479E" w:rsidRPr="00441478">
        <w:rPr>
          <w:rFonts w:asciiTheme="majorBidi" w:hAnsiTheme="majorBidi"/>
          <w:color w:val="auto"/>
          <w:sz w:val="26"/>
          <w:szCs w:val="26"/>
          <w:lang w:val="en-GB"/>
        </w:rPr>
        <w:t>found determin</w:t>
      </w:r>
      <w:r w:rsidR="007E3368" w:rsidRPr="00441478">
        <w:rPr>
          <w:rFonts w:asciiTheme="majorBidi" w:hAnsiTheme="majorBidi"/>
          <w:color w:val="auto"/>
          <w:sz w:val="26"/>
          <w:szCs w:val="26"/>
          <w:lang w:val="en-GB"/>
        </w:rPr>
        <w:t>an</w:t>
      </w:r>
      <w:r w:rsidR="0046479E" w:rsidRPr="00441478">
        <w:rPr>
          <w:rFonts w:asciiTheme="majorBidi" w:hAnsiTheme="majorBidi"/>
          <w:color w:val="auto"/>
          <w:sz w:val="26"/>
          <w:szCs w:val="26"/>
          <w:lang w:val="en-GB"/>
        </w:rPr>
        <w:t xml:space="preserve">ts related to foreign investments in GCC </w:t>
      </w:r>
      <w:r w:rsidR="00BB25BE" w:rsidRPr="00441478">
        <w:rPr>
          <w:rFonts w:asciiTheme="majorBidi" w:hAnsiTheme="majorBidi"/>
          <w:color w:val="auto"/>
          <w:sz w:val="26"/>
          <w:szCs w:val="26"/>
          <w:lang w:val="en-GB"/>
        </w:rPr>
        <w:t xml:space="preserve">countries, </w:t>
      </w:r>
      <w:r w:rsidR="0046479E" w:rsidRPr="00441478">
        <w:rPr>
          <w:rFonts w:asciiTheme="majorBidi" w:hAnsiTheme="majorBidi"/>
          <w:color w:val="auto"/>
          <w:sz w:val="26"/>
          <w:szCs w:val="26"/>
          <w:lang w:val="en-GB"/>
        </w:rPr>
        <w:t>such as inflation, laws and regulations</w:t>
      </w:r>
      <w:r w:rsidR="007D3C6D">
        <w:rPr>
          <w:rFonts w:asciiTheme="majorBidi" w:hAnsiTheme="majorBidi"/>
          <w:color w:val="auto"/>
          <w:sz w:val="26"/>
          <w:szCs w:val="26"/>
          <w:lang w:val="en-GB"/>
        </w:rPr>
        <w:t>,</w:t>
      </w:r>
      <w:r w:rsidR="0046479E" w:rsidRPr="00441478">
        <w:rPr>
          <w:rFonts w:asciiTheme="majorBidi" w:hAnsiTheme="majorBidi"/>
          <w:color w:val="auto"/>
          <w:sz w:val="26"/>
          <w:szCs w:val="26"/>
          <w:lang w:val="en-GB"/>
        </w:rPr>
        <w:t xml:space="preserve"> and accountability.</w:t>
      </w:r>
      <w:r w:rsidR="007E3368" w:rsidRPr="00441478">
        <w:rPr>
          <w:rFonts w:asciiTheme="majorBidi" w:hAnsiTheme="majorBidi"/>
          <w:color w:val="auto"/>
          <w:sz w:val="26"/>
          <w:szCs w:val="26"/>
          <w:lang w:val="en-GB"/>
        </w:rPr>
        <w:t xml:space="preserve"> </w:t>
      </w:r>
      <w:proofErr w:type="spellStart"/>
      <w:r w:rsidR="007E3368" w:rsidRPr="00441478">
        <w:rPr>
          <w:rFonts w:asciiTheme="majorBidi" w:hAnsiTheme="majorBidi"/>
          <w:color w:val="auto"/>
          <w:sz w:val="26"/>
          <w:szCs w:val="26"/>
          <w:lang w:val="en-GB"/>
        </w:rPr>
        <w:t>Elheddad</w:t>
      </w:r>
      <w:proofErr w:type="spellEnd"/>
      <w:r w:rsidR="007E3368" w:rsidRPr="00441478">
        <w:rPr>
          <w:rFonts w:asciiTheme="majorBidi" w:hAnsiTheme="majorBidi"/>
          <w:color w:val="auto"/>
          <w:sz w:val="26"/>
          <w:szCs w:val="26"/>
          <w:lang w:val="en-GB"/>
        </w:rPr>
        <w:t xml:space="preserve"> (2018) </w:t>
      </w:r>
      <w:r w:rsidR="0046479E" w:rsidRPr="00441478">
        <w:rPr>
          <w:rFonts w:asciiTheme="majorBidi" w:hAnsiTheme="majorBidi"/>
          <w:color w:val="auto"/>
          <w:sz w:val="26"/>
          <w:szCs w:val="26"/>
          <w:lang w:val="en-GB"/>
        </w:rPr>
        <w:t>found that political instability</w:t>
      </w:r>
      <w:r w:rsidR="007E3368" w:rsidRPr="00441478">
        <w:rPr>
          <w:rFonts w:asciiTheme="majorBidi" w:hAnsiTheme="majorBidi"/>
          <w:color w:val="auto"/>
          <w:sz w:val="26"/>
          <w:szCs w:val="26"/>
          <w:lang w:val="en-GB"/>
        </w:rPr>
        <w:t xml:space="preserve"> </w:t>
      </w:r>
      <w:r w:rsidR="0046479E" w:rsidRPr="00441478">
        <w:rPr>
          <w:rFonts w:asciiTheme="majorBidi" w:hAnsiTheme="majorBidi"/>
          <w:color w:val="auto"/>
          <w:sz w:val="26"/>
          <w:szCs w:val="26"/>
          <w:lang w:val="en-GB"/>
        </w:rPr>
        <w:t xml:space="preserve">is the most important determinant </w:t>
      </w:r>
      <w:r w:rsidR="00BB25BE" w:rsidRPr="00441478">
        <w:rPr>
          <w:rFonts w:asciiTheme="majorBidi" w:hAnsiTheme="majorBidi"/>
          <w:color w:val="auto"/>
          <w:sz w:val="26"/>
          <w:szCs w:val="26"/>
          <w:lang w:val="en-GB"/>
        </w:rPr>
        <w:t>affecting</w:t>
      </w:r>
      <w:r w:rsidR="007C5EB5" w:rsidRPr="00441478">
        <w:rPr>
          <w:rFonts w:asciiTheme="majorBidi" w:hAnsiTheme="majorBidi"/>
          <w:color w:val="auto"/>
          <w:sz w:val="26"/>
          <w:szCs w:val="26"/>
          <w:lang w:val="en-GB"/>
        </w:rPr>
        <w:t xml:space="preserve"> foreign investments</w:t>
      </w:r>
      <w:r w:rsidR="0046479E" w:rsidRPr="00441478">
        <w:rPr>
          <w:rFonts w:asciiTheme="majorBidi" w:hAnsiTheme="majorBidi"/>
          <w:color w:val="auto"/>
          <w:sz w:val="26"/>
          <w:szCs w:val="26"/>
          <w:lang w:val="en-GB"/>
        </w:rPr>
        <w:t>.</w:t>
      </w:r>
      <w:r w:rsidR="007C5EB5" w:rsidRPr="00441478">
        <w:rPr>
          <w:rFonts w:asciiTheme="majorBidi" w:hAnsiTheme="majorBidi"/>
          <w:color w:val="auto"/>
          <w:sz w:val="26"/>
          <w:szCs w:val="26"/>
          <w:lang w:val="en-GB"/>
        </w:rPr>
        <w:t xml:space="preserve"> </w:t>
      </w:r>
      <w:r w:rsidR="0046479E" w:rsidRPr="00441478">
        <w:rPr>
          <w:rFonts w:asciiTheme="majorBidi" w:hAnsiTheme="majorBidi"/>
          <w:color w:val="auto"/>
          <w:sz w:val="26"/>
          <w:szCs w:val="26"/>
          <w:lang w:val="en-GB"/>
        </w:rPr>
        <w:t xml:space="preserve">These studies conclude </w:t>
      </w:r>
      <w:r w:rsidR="007E3368" w:rsidRPr="00441478">
        <w:rPr>
          <w:rFonts w:asciiTheme="majorBidi" w:hAnsiTheme="majorBidi"/>
          <w:color w:val="auto"/>
          <w:sz w:val="26"/>
          <w:szCs w:val="26"/>
          <w:lang w:val="en-GB"/>
        </w:rPr>
        <w:t xml:space="preserve">a good opportunity </w:t>
      </w:r>
      <w:r w:rsidR="008F558D" w:rsidRPr="00441478">
        <w:rPr>
          <w:rFonts w:asciiTheme="majorBidi" w:hAnsiTheme="majorBidi"/>
          <w:color w:val="auto"/>
          <w:sz w:val="26"/>
          <w:szCs w:val="26"/>
          <w:lang w:val="en-GB"/>
        </w:rPr>
        <w:t xml:space="preserve">for GCC markets </w:t>
      </w:r>
      <w:r w:rsidR="007E3368" w:rsidRPr="00441478">
        <w:rPr>
          <w:rFonts w:asciiTheme="majorBidi" w:hAnsiTheme="majorBidi"/>
          <w:color w:val="auto"/>
          <w:sz w:val="26"/>
          <w:szCs w:val="26"/>
          <w:lang w:val="en-GB"/>
        </w:rPr>
        <w:t>to attract foreign investments</w:t>
      </w:r>
      <w:r w:rsidR="0046479E" w:rsidRPr="00441478">
        <w:rPr>
          <w:rFonts w:asciiTheme="majorBidi" w:hAnsiTheme="majorBidi"/>
          <w:color w:val="auto"/>
          <w:sz w:val="26"/>
          <w:szCs w:val="26"/>
          <w:lang w:val="en-GB"/>
        </w:rPr>
        <w:t xml:space="preserve">. </w:t>
      </w:r>
      <w:r w:rsidR="007E1F5A" w:rsidRPr="00441478">
        <w:rPr>
          <w:rFonts w:asciiTheme="majorBidi" w:hAnsiTheme="majorBidi"/>
          <w:color w:val="auto"/>
          <w:sz w:val="26"/>
          <w:szCs w:val="26"/>
          <w:lang w:val="en-GB"/>
        </w:rPr>
        <w:t xml:space="preserve">These </w:t>
      </w:r>
      <w:r w:rsidR="007162A2" w:rsidRPr="00441478">
        <w:rPr>
          <w:rFonts w:asciiTheme="majorBidi" w:hAnsiTheme="majorBidi"/>
          <w:color w:val="auto"/>
          <w:sz w:val="26"/>
          <w:szCs w:val="26"/>
          <w:lang w:val="en-GB"/>
        </w:rPr>
        <w:t>determinants</w:t>
      </w:r>
      <w:r w:rsidR="007E1F5A" w:rsidRPr="00441478">
        <w:rPr>
          <w:rFonts w:asciiTheme="majorBidi" w:hAnsiTheme="majorBidi"/>
          <w:color w:val="auto"/>
          <w:sz w:val="26"/>
          <w:szCs w:val="26"/>
          <w:lang w:val="en-GB"/>
        </w:rPr>
        <w:t xml:space="preserve"> </w:t>
      </w:r>
      <w:r w:rsidR="008F558D" w:rsidRPr="00441478">
        <w:rPr>
          <w:rFonts w:asciiTheme="majorBidi" w:hAnsiTheme="majorBidi"/>
          <w:color w:val="auto"/>
          <w:sz w:val="26"/>
          <w:szCs w:val="26"/>
          <w:lang w:val="en-GB"/>
        </w:rPr>
        <w:t xml:space="preserve">may </w:t>
      </w:r>
      <w:r w:rsidR="007E1F5A" w:rsidRPr="00441478">
        <w:rPr>
          <w:rFonts w:asciiTheme="majorBidi" w:hAnsiTheme="majorBidi"/>
          <w:color w:val="auto"/>
          <w:sz w:val="26"/>
          <w:szCs w:val="26"/>
          <w:lang w:val="en-GB"/>
        </w:rPr>
        <w:t xml:space="preserve">equip foreign investors with stronger incentives to protect their investments. </w:t>
      </w:r>
      <w:r w:rsidR="008F558D" w:rsidRPr="00441478">
        <w:rPr>
          <w:rFonts w:asciiTheme="majorBidi" w:hAnsiTheme="majorBidi"/>
          <w:color w:val="auto"/>
          <w:sz w:val="26"/>
          <w:szCs w:val="26"/>
          <w:lang w:val="en-GB"/>
        </w:rPr>
        <w:t>In addition</w:t>
      </w:r>
      <w:r w:rsidR="00093DC3" w:rsidRPr="00441478">
        <w:rPr>
          <w:rFonts w:asciiTheme="majorBidi" w:hAnsiTheme="majorBidi"/>
          <w:color w:val="auto"/>
          <w:sz w:val="26"/>
          <w:szCs w:val="26"/>
          <w:lang w:val="en-GB"/>
        </w:rPr>
        <w:t xml:space="preserve">, these studies point out </w:t>
      </w:r>
      <w:r w:rsidR="00BC2613" w:rsidRPr="00441478">
        <w:rPr>
          <w:rFonts w:asciiTheme="majorBidi" w:hAnsiTheme="majorBidi"/>
          <w:color w:val="auto"/>
          <w:sz w:val="26"/>
          <w:szCs w:val="26"/>
          <w:lang w:val="en-GB"/>
        </w:rPr>
        <w:t xml:space="preserve">that </w:t>
      </w:r>
      <w:r w:rsidR="00BC2613" w:rsidRPr="00441478">
        <w:rPr>
          <w:rFonts w:asciiTheme="majorBidi" w:hAnsiTheme="majorBidi" w:cstheme="majorBidi"/>
          <w:color w:val="auto"/>
          <w:sz w:val="26"/>
          <w:szCs w:val="26"/>
          <w:lang w:val="en-GB"/>
        </w:rPr>
        <w:t>improvement</w:t>
      </w:r>
      <w:r w:rsidR="00093DC3" w:rsidRPr="00441478">
        <w:rPr>
          <w:rFonts w:asciiTheme="majorBidi" w:hAnsiTheme="majorBidi"/>
          <w:color w:val="auto"/>
          <w:sz w:val="26"/>
          <w:szCs w:val="26"/>
          <w:lang w:val="en-GB"/>
        </w:rPr>
        <w:t xml:space="preserve"> in corporate governance, stronger foreign investment laws, stronger accountability</w:t>
      </w:r>
      <w:r w:rsidR="007D3C6D">
        <w:rPr>
          <w:rFonts w:asciiTheme="majorBidi" w:hAnsiTheme="majorBidi"/>
          <w:color w:val="auto"/>
          <w:sz w:val="26"/>
          <w:szCs w:val="26"/>
          <w:lang w:val="en-GB"/>
        </w:rPr>
        <w:t>,</w:t>
      </w:r>
      <w:r w:rsidR="00093DC3" w:rsidRPr="00441478">
        <w:rPr>
          <w:rFonts w:asciiTheme="majorBidi" w:hAnsiTheme="majorBidi"/>
          <w:color w:val="auto"/>
          <w:sz w:val="26"/>
          <w:szCs w:val="26"/>
          <w:lang w:val="en-GB"/>
        </w:rPr>
        <w:t xml:space="preserve"> and </w:t>
      </w:r>
      <w:r w:rsidR="008F558D" w:rsidRPr="00441478">
        <w:rPr>
          <w:rFonts w:asciiTheme="majorBidi" w:hAnsiTheme="majorBidi"/>
          <w:color w:val="auto"/>
          <w:sz w:val="26"/>
          <w:szCs w:val="26"/>
          <w:lang w:val="en-GB"/>
        </w:rPr>
        <w:t xml:space="preserve">access to </w:t>
      </w:r>
      <w:r w:rsidR="00093DC3" w:rsidRPr="00441478">
        <w:rPr>
          <w:rFonts w:asciiTheme="majorBidi" w:hAnsiTheme="majorBidi"/>
          <w:color w:val="auto"/>
          <w:sz w:val="26"/>
          <w:szCs w:val="26"/>
          <w:lang w:val="en-GB"/>
        </w:rPr>
        <w:t xml:space="preserve">credible financial information have </w:t>
      </w:r>
      <w:r w:rsidR="007D3C6D">
        <w:rPr>
          <w:rFonts w:asciiTheme="majorBidi" w:hAnsiTheme="majorBidi"/>
          <w:color w:val="auto"/>
          <w:sz w:val="26"/>
          <w:szCs w:val="26"/>
          <w:lang w:val="en-GB"/>
        </w:rPr>
        <w:t xml:space="preserve">a </w:t>
      </w:r>
      <w:r w:rsidR="00093DC3" w:rsidRPr="00441478">
        <w:rPr>
          <w:rFonts w:asciiTheme="majorBidi" w:hAnsiTheme="majorBidi"/>
          <w:color w:val="auto"/>
          <w:sz w:val="26"/>
          <w:szCs w:val="26"/>
          <w:lang w:val="en-GB"/>
        </w:rPr>
        <w:t xml:space="preserve">positive effect on attracting foreign investors. To </w:t>
      </w:r>
      <w:r w:rsidR="008F558D" w:rsidRPr="00441478">
        <w:rPr>
          <w:rFonts w:asciiTheme="majorBidi" w:hAnsiTheme="majorBidi"/>
          <w:color w:val="auto"/>
          <w:sz w:val="26"/>
          <w:szCs w:val="26"/>
          <w:lang w:val="en-GB"/>
        </w:rPr>
        <w:t xml:space="preserve">the </w:t>
      </w:r>
      <w:r w:rsidR="00093DC3" w:rsidRPr="00441478">
        <w:rPr>
          <w:rFonts w:asciiTheme="majorBidi" w:hAnsiTheme="majorBidi"/>
          <w:color w:val="auto"/>
          <w:sz w:val="26"/>
          <w:szCs w:val="26"/>
          <w:lang w:val="en-GB"/>
        </w:rPr>
        <w:t xml:space="preserve">best of </w:t>
      </w:r>
      <w:r w:rsidR="008F558D" w:rsidRPr="00441478">
        <w:rPr>
          <w:rFonts w:asciiTheme="majorBidi" w:hAnsiTheme="majorBidi"/>
          <w:color w:val="auto"/>
          <w:sz w:val="26"/>
          <w:szCs w:val="26"/>
          <w:lang w:val="en-GB"/>
        </w:rPr>
        <w:t xml:space="preserve">our </w:t>
      </w:r>
      <w:r w:rsidR="00093DC3" w:rsidRPr="00441478">
        <w:rPr>
          <w:rFonts w:asciiTheme="majorBidi" w:hAnsiTheme="majorBidi"/>
          <w:color w:val="auto"/>
          <w:sz w:val="26"/>
          <w:szCs w:val="26"/>
          <w:lang w:val="en-GB"/>
        </w:rPr>
        <w:t xml:space="preserve">knowledge, no studies examine the effect of </w:t>
      </w:r>
      <w:r w:rsidR="006B1C85" w:rsidRPr="00441478">
        <w:rPr>
          <w:rFonts w:asciiTheme="majorBidi" w:hAnsiTheme="majorBidi"/>
          <w:color w:val="auto"/>
          <w:sz w:val="26"/>
          <w:szCs w:val="26"/>
          <w:lang w:val="en-GB"/>
        </w:rPr>
        <w:t>EQ</w:t>
      </w:r>
      <w:r w:rsidR="00093DC3" w:rsidRPr="00441478">
        <w:rPr>
          <w:rFonts w:asciiTheme="majorBidi" w:hAnsiTheme="majorBidi"/>
          <w:color w:val="auto"/>
          <w:sz w:val="26"/>
          <w:szCs w:val="26"/>
          <w:lang w:val="en-GB"/>
        </w:rPr>
        <w:t xml:space="preserve"> on attracting foreign investors in GCC countries. To fill this gap, this </w:t>
      </w:r>
      <w:r w:rsidR="008F558D" w:rsidRPr="00441478">
        <w:rPr>
          <w:rFonts w:asciiTheme="majorBidi" w:hAnsiTheme="majorBidi"/>
          <w:color w:val="auto"/>
          <w:sz w:val="26"/>
          <w:szCs w:val="26"/>
          <w:lang w:val="en-GB"/>
        </w:rPr>
        <w:t xml:space="preserve">study </w:t>
      </w:r>
      <w:r w:rsidR="00093DC3" w:rsidRPr="00441478">
        <w:rPr>
          <w:rFonts w:asciiTheme="majorBidi" w:hAnsiTheme="majorBidi"/>
          <w:color w:val="auto"/>
          <w:sz w:val="26"/>
          <w:szCs w:val="26"/>
          <w:lang w:val="en-GB"/>
        </w:rPr>
        <w:t xml:space="preserve">examines the relationship between </w:t>
      </w:r>
      <w:r w:rsidR="007D3C6D">
        <w:rPr>
          <w:rFonts w:asciiTheme="majorBidi" w:hAnsiTheme="majorBidi"/>
          <w:color w:val="auto"/>
          <w:sz w:val="26"/>
          <w:szCs w:val="26"/>
          <w:lang w:val="en-GB"/>
        </w:rPr>
        <w:t xml:space="preserve">a </w:t>
      </w:r>
      <w:r w:rsidR="00C97839" w:rsidRPr="00441478">
        <w:rPr>
          <w:rFonts w:asciiTheme="majorBidi" w:hAnsiTheme="majorBidi"/>
          <w:color w:val="auto"/>
          <w:sz w:val="26"/>
          <w:szCs w:val="26"/>
          <w:lang w:val="en-GB"/>
        </w:rPr>
        <w:t xml:space="preserve">firm’s </w:t>
      </w:r>
      <w:r w:rsidR="006B1C85" w:rsidRPr="00441478">
        <w:rPr>
          <w:rFonts w:asciiTheme="majorBidi" w:hAnsiTheme="majorBidi"/>
          <w:color w:val="auto"/>
          <w:sz w:val="26"/>
          <w:szCs w:val="26"/>
          <w:lang w:val="en-GB"/>
        </w:rPr>
        <w:t>EQ</w:t>
      </w:r>
      <w:r w:rsidR="00C97839" w:rsidRPr="00441478">
        <w:rPr>
          <w:rFonts w:asciiTheme="majorBidi" w:hAnsiTheme="majorBidi"/>
          <w:color w:val="auto"/>
          <w:sz w:val="26"/>
          <w:szCs w:val="26"/>
          <w:lang w:val="en-GB"/>
        </w:rPr>
        <w:t xml:space="preserve"> and </w:t>
      </w:r>
      <w:r w:rsidR="00093DC3" w:rsidRPr="00441478">
        <w:rPr>
          <w:rFonts w:asciiTheme="majorBidi" w:hAnsiTheme="majorBidi"/>
          <w:color w:val="auto"/>
          <w:sz w:val="26"/>
          <w:szCs w:val="26"/>
          <w:lang w:val="en-GB"/>
        </w:rPr>
        <w:t>foreign ownership in the context of GCC</w:t>
      </w:r>
      <w:r w:rsidR="008F558D" w:rsidRPr="00441478">
        <w:rPr>
          <w:rFonts w:asciiTheme="majorBidi" w:hAnsiTheme="majorBidi"/>
          <w:color w:val="auto"/>
          <w:sz w:val="26"/>
          <w:szCs w:val="26"/>
          <w:lang w:val="en-GB"/>
        </w:rPr>
        <w:t xml:space="preserve"> countries</w:t>
      </w:r>
      <w:r w:rsidR="00093DC3" w:rsidRPr="00441478">
        <w:rPr>
          <w:rFonts w:asciiTheme="majorBidi" w:hAnsiTheme="majorBidi"/>
          <w:color w:val="auto"/>
          <w:sz w:val="26"/>
          <w:szCs w:val="26"/>
          <w:lang w:val="en-GB"/>
        </w:rPr>
        <w:t>, an important emerging market</w:t>
      </w:r>
      <w:r w:rsidR="009B1173" w:rsidRPr="00441478">
        <w:rPr>
          <w:rFonts w:asciiTheme="majorBidi" w:hAnsiTheme="majorBidi"/>
          <w:color w:val="auto"/>
          <w:sz w:val="26"/>
          <w:szCs w:val="26"/>
          <w:lang w:val="en-GB"/>
        </w:rPr>
        <w:t>.</w:t>
      </w:r>
      <w:r w:rsidR="00093DC3" w:rsidRPr="00441478">
        <w:rPr>
          <w:rFonts w:asciiTheme="majorBidi" w:hAnsiTheme="majorBidi"/>
          <w:color w:val="auto"/>
          <w:sz w:val="26"/>
          <w:szCs w:val="26"/>
          <w:lang w:val="en-GB"/>
        </w:rPr>
        <w:t xml:space="preserve"> </w:t>
      </w:r>
      <w:r w:rsidR="008F558D" w:rsidRPr="00441478">
        <w:rPr>
          <w:rFonts w:asciiTheme="majorBidi" w:hAnsiTheme="majorBidi"/>
          <w:color w:val="auto"/>
          <w:sz w:val="26"/>
          <w:szCs w:val="26"/>
          <w:lang w:val="en-GB"/>
        </w:rPr>
        <w:t xml:space="preserve">Naturally, </w:t>
      </w:r>
      <w:r w:rsidR="007E1F5A" w:rsidRPr="00441478">
        <w:rPr>
          <w:rFonts w:asciiTheme="majorBidi" w:hAnsiTheme="majorBidi"/>
          <w:color w:val="auto"/>
          <w:sz w:val="26"/>
          <w:szCs w:val="26"/>
          <w:lang w:val="en-GB"/>
        </w:rPr>
        <w:t xml:space="preserve">whether </w:t>
      </w:r>
      <w:r w:rsidR="006B1C85" w:rsidRPr="00441478">
        <w:rPr>
          <w:rFonts w:asciiTheme="majorBidi" w:hAnsiTheme="majorBidi"/>
          <w:color w:val="auto"/>
          <w:sz w:val="26"/>
          <w:szCs w:val="26"/>
          <w:lang w:val="en-GB"/>
        </w:rPr>
        <w:t>EQ</w:t>
      </w:r>
      <w:r w:rsidR="007E1F5A" w:rsidRPr="00441478">
        <w:rPr>
          <w:rFonts w:asciiTheme="majorBidi" w:hAnsiTheme="majorBidi"/>
          <w:color w:val="auto"/>
          <w:sz w:val="26"/>
          <w:szCs w:val="26"/>
          <w:lang w:val="en-GB"/>
        </w:rPr>
        <w:t xml:space="preserve"> influence</w:t>
      </w:r>
      <w:r w:rsidR="007D3C6D">
        <w:rPr>
          <w:rFonts w:asciiTheme="majorBidi" w:hAnsiTheme="majorBidi"/>
          <w:color w:val="auto"/>
          <w:sz w:val="26"/>
          <w:szCs w:val="26"/>
          <w:lang w:val="en-GB"/>
        </w:rPr>
        <w:t>s</w:t>
      </w:r>
      <w:r w:rsidR="007E1F5A" w:rsidRPr="00441478">
        <w:rPr>
          <w:rFonts w:asciiTheme="majorBidi" w:hAnsiTheme="majorBidi"/>
          <w:color w:val="auto"/>
          <w:sz w:val="26"/>
          <w:szCs w:val="26"/>
          <w:lang w:val="en-GB"/>
        </w:rPr>
        <w:t xml:space="preserve"> </w:t>
      </w:r>
      <w:r w:rsidR="00093DC3" w:rsidRPr="00441478">
        <w:rPr>
          <w:rFonts w:asciiTheme="majorBidi" w:hAnsiTheme="majorBidi"/>
          <w:color w:val="auto"/>
          <w:sz w:val="26"/>
          <w:szCs w:val="26"/>
          <w:lang w:val="en-GB"/>
        </w:rPr>
        <w:t>foreign investors in GCC countries</w:t>
      </w:r>
      <w:r w:rsidR="008F558D" w:rsidRPr="00441478">
        <w:rPr>
          <w:rFonts w:asciiTheme="majorBidi" w:hAnsiTheme="majorBidi"/>
          <w:color w:val="auto"/>
          <w:sz w:val="26"/>
          <w:szCs w:val="26"/>
          <w:lang w:val="en-GB"/>
        </w:rPr>
        <w:t xml:space="preserve"> must be addressed.</w:t>
      </w:r>
      <w:r w:rsidR="00093DC3" w:rsidRPr="00441478">
        <w:rPr>
          <w:rFonts w:asciiTheme="majorBidi" w:hAnsiTheme="majorBidi"/>
          <w:color w:val="auto"/>
          <w:sz w:val="26"/>
          <w:szCs w:val="26"/>
          <w:lang w:val="en-GB"/>
        </w:rPr>
        <w:t xml:space="preserve"> </w:t>
      </w:r>
    </w:p>
    <w:p w14:paraId="0F224156" w14:textId="0AA814CF" w:rsidR="003F0460" w:rsidRPr="00441478" w:rsidRDefault="003F0460" w:rsidP="00441478">
      <w:pPr>
        <w:autoSpaceDE w:val="0"/>
        <w:autoSpaceDN w:val="0"/>
        <w:adjustRightInd w:val="0"/>
        <w:snapToGrid w:val="0"/>
        <w:spacing w:after="0" w:line="360" w:lineRule="exact"/>
        <w:ind w:firstLine="510"/>
        <w:jc w:val="both"/>
        <w:rPr>
          <w:rFonts w:asciiTheme="majorBidi" w:hAnsiTheme="majorBidi" w:cstheme="majorBidi"/>
          <w:sz w:val="26"/>
          <w:szCs w:val="26"/>
        </w:rPr>
      </w:pPr>
      <w:r w:rsidRPr="00441478">
        <w:rPr>
          <w:rFonts w:asciiTheme="majorBidi" w:hAnsiTheme="majorBidi" w:cstheme="majorBidi"/>
          <w:sz w:val="26"/>
          <w:szCs w:val="26"/>
        </w:rPr>
        <w:t xml:space="preserve">The Gulf Cooperation Council (GCC) countries include Bahrain, Kuwait, Oman, Qatar, Saudi Arabia, and the United Arab Emirates. The GCC countries share </w:t>
      </w:r>
      <w:r w:rsidR="007D3C6D">
        <w:rPr>
          <w:rFonts w:asciiTheme="majorBidi" w:hAnsiTheme="majorBidi" w:cstheme="majorBidi"/>
          <w:sz w:val="26"/>
          <w:szCs w:val="26"/>
        </w:rPr>
        <w:t xml:space="preserve">a </w:t>
      </w:r>
      <w:r w:rsidRPr="00441478">
        <w:rPr>
          <w:rFonts w:asciiTheme="majorBidi" w:hAnsiTheme="majorBidi" w:cstheme="majorBidi"/>
          <w:sz w:val="26"/>
          <w:szCs w:val="26"/>
        </w:rPr>
        <w:t xml:space="preserve">common </w:t>
      </w:r>
      <w:r w:rsidR="006E17DF" w:rsidRPr="00441478">
        <w:rPr>
          <w:rFonts w:asciiTheme="majorBidi" w:hAnsiTheme="majorBidi" w:cstheme="majorBidi"/>
          <w:sz w:val="26"/>
          <w:szCs w:val="26"/>
        </w:rPr>
        <w:t>economy</w:t>
      </w:r>
      <w:r w:rsidRPr="00441478">
        <w:rPr>
          <w:rFonts w:asciiTheme="majorBidi" w:hAnsiTheme="majorBidi" w:cstheme="majorBidi"/>
          <w:sz w:val="26"/>
          <w:szCs w:val="26"/>
        </w:rPr>
        <w:t xml:space="preserve">, </w:t>
      </w:r>
      <w:r w:rsidR="006E17DF" w:rsidRPr="00441478">
        <w:rPr>
          <w:rFonts w:asciiTheme="majorBidi" w:hAnsiTheme="majorBidi" w:cstheme="majorBidi"/>
          <w:sz w:val="26"/>
          <w:szCs w:val="26"/>
        </w:rPr>
        <w:t>culture</w:t>
      </w:r>
      <w:r w:rsidRPr="00441478">
        <w:rPr>
          <w:rFonts w:asciiTheme="majorBidi" w:hAnsiTheme="majorBidi" w:cstheme="majorBidi"/>
          <w:sz w:val="26"/>
          <w:szCs w:val="26"/>
        </w:rPr>
        <w:t>, social</w:t>
      </w:r>
      <w:r w:rsidR="006E17DF" w:rsidRPr="00441478">
        <w:rPr>
          <w:rFonts w:asciiTheme="majorBidi" w:hAnsiTheme="majorBidi" w:cstheme="majorBidi"/>
          <w:sz w:val="26"/>
          <w:szCs w:val="26"/>
        </w:rPr>
        <w:t xml:space="preserve"> background</w:t>
      </w:r>
      <w:r w:rsidRPr="00441478">
        <w:rPr>
          <w:rFonts w:asciiTheme="majorBidi" w:hAnsiTheme="majorBidi" w:cstheme="majorBidi"/>
          <w:sz w:val="26"/>
          <w:szCs w:val="26"/>
        </w:rPr>
        <w:t xml:space="preserve">, </w:t>
      </w:r>
      <w:r w:rsidR="006E17DF" w:rsidRPr="00441478">
        <w:rPr>
          <w:rFonts w:asciiTheme="majorBidi" w:hAnsiTheme="majorBidi" w:cstheme="majorBidi"/>
          <w:sz w:val="26"/>
          <w:szCs w:val="26"/>
        </w:rPr>
        <w:t>politics</w:t>
      </w:r>
      <w:r w:rsidRPr="00441478">
        <w:rPr>
          <w:rFonts w:asciiTheme="majorBidi" w:hAnsiTheme="majorBidi" w:cstheme="majorBidi"/>
          <w:sz w:val="26"/>
          <w:szCs w:val="26"/>
        </w:rPr>
        <w:t xml:space="preserve">, </w:t>
      </w:r>
      <w:r w:rsidR="006E17DF" w:rsidRPr="00441478">
        <w:rPr>
          <w:rFonts w:asciiTheme="majorBidi" w:hAnsiTheme="majorBidi" w:cstheme="majorBidi"/>
          <w:sz w:val="26"/>
          <w:szCs w:val="26"/>
        </w:rPr>
        <w:t>language,</w:t>
      </w:r>
      <w:r w:rsidRPr="00441478">
        <w:rPr>
          <w:rFonts w:asciiTheme="majorBidi" w:hAnsiTheme="majorBidi" w:cstheme="majorBidi"/>
          <w:sz w:val="26"/>
          <w:szCs w:val="26"/>
        </w:rPr>
        <w:t xml:space="preserve"> and religion. The economies of GCC countries are </w:t>
      </w:r>
      <w:r w:rsidR="006E17DF" w:rsidRPr="00441478">
        <w:rPr>
          <w:rFonts w:asciiTheme="majorBidi" w:hAnsiTheme="majorBidi" w:cstheme="majorBidi"/>
          <w:sz w:val="26"/>
          <w:szCs w:val="26"/>
        </w:rPr>
        <w:t xml:space="preserve">highly reliant </w:t>
      </w:r>
      <w:r w:rsidRPr="00441478">
        <w:rPr>
          <w:rFonts w:asciiTheme="majorBidi" w:hAnsiTheme="majorBidi" w:cstheme="majorBidi"/>
          <w:sz w:val="26"/>
          <w:szCs w:val="26"/>
        </w:rPr>
        <w:t xml:space="preserve">on </w:t>
      </w:r>
      <w:r w:rsidR="006E17DF" w:rsidRPr="00441478">
        <w:rPr>
          <w:rFonts w:asciiTheme="majorBidi" w:hAnsiTheme="majorBidi" w:cstheme="majorBidi"/>
          <w:sz w:val="26"/>
          <w:szCs w:val="26"/>
        </w:rPr>
        <w:t xml:space="preserve">the </w:t>
      </w:r>
      <w:r w:rsidRPr="00441478">
        <w:rPr>
          <w:rFonts w:asciiTheme="majorBidi" w:hAnsiTheme="majorBidi" w:cstheme="majorBidi"/>
          <w:sz w:val="26"/>
          <w:szCs w:val="26"/>
        </w:rPr>
        <w:t xml:space="preserve">oil sector. The GCC is a </w:t>
      </w:r>
      <w:r w:rsidR="007D3C6D" w:rsidRPr="00441478">
        <w:rPr>
          <w:rFonts w:asciiTheme="majorBidi" w:hAnsiTheme="majorBidi" w:cstheme="majorBidi"/>
          <w:sz w:val="26"/>
          <w:szCs w:val="26"/>
        </w:rPr>
        <w:t>fast</w:t>
      </w:r>
      <w:r w:rsidR="007D3C6D">
        <w:rPr>
          <w:rFonts w:asciiTheme="majorBidi" w:hAnsiTheme="majorBidi" w:cstheme="majorBidi"/>
          <w:sz w:val="26"/>
          <w:szCs w:val="26"/>
        </w:rPr>
        <w:t>-</w:t>
      </w:r>
      <w:r w:rsidRPr="00441478">
        <w:rPr>
          <w:rFonts w:asciiTheme="majorBidi" w:hAnsiTheme="majorBidi" w:cstheme="majorBidi"/>
          <w:sz w:val="26"/>
          <w:szCs w:val="26"/>
        </w:rPr>
        <w:t xml:space="preserve">growing regional </w:t>
      </w:r>
      <w:r w:rsidR="006E17DF" w:rsidRPr="00441478">
        <w:rPr>
          <w:rFonts w:asciiTheme="majorBidi" w:hAnsiTheme="majorBidi" w:cstheme="majorBidi"/>
          <w:sz w:val="26"/>
          <w:szCs w:val="26"/>
        </w:rPr>
        <w:t>union</w:t>
      </w:r>
      <w:r w:rsidR="007D3C6D">
        <w:rPr>
          <w:rFonts w:asciiTheme="majorBidi" w:hAnsiTheme="majorBidi" w:cstheme="majorBidi"/>
          <w:sz w:val="26"/>
          <w:szCs w:val="26"/>
        </w:rPr>
        <w:t>,</w:t>
      </w:r>
      <w:r w:rsidR="006E17DF" w:rsidRPr="00441478">
        <w:rPr>
          <w:rFonts w:asciiTheme="majorBidi" w:hAnsiTheme="majorBidi" w:cstheme="majorBidi"/>
          <w:sz w:val="26"/>
          <w:szCs w:val="26"/>
        </w:rPr>
        <w:t xml:space="preserve"> </w:t>
      </w:r>
      <w:r w:rsidRPr="00441478">
        <w:rPr>
          <w:rFonts w:asciiTheme="majorBidi" w:hAnsiTheme="majorBidi" w:cstheme="majorBidi"/>
          <w:sz w:val="26"/>
          <w:szCs w:val="26"/>
        </w:rPr>
        <w:t xml:space="preserve">and all </w:t>
      </w:r>
      <w:r w:rsidR="006E17DF" w:rsidRPr="00441478">
        <w:rPr>
          <w:rFonts w:asciiTheme="majorBidi" w:hAnsiTheme="majorBidi" w:cstheme="majorBidi"/>
          <w:sz w:val="26"/>
          <w:szCs w:val="26"/>
        </w:rPr>
        <w:t>its members</w:t>
      </w:r>
      <w:r w:rsidRPr="00441478">
        <w:rPr>
          <w:rFonts w:asciiTheme="majorBidi" w:hAnsiTheme="majorBidi" w:cstheme="majorBidi"/>
          <w:sz w:val="26"/>
          <w:szCs w:val="26"/>
        </w:rPr>
        <w:t xml:space="preserve"> have </w:t>
      </w:r>
      <w:r w:rsidR="007D3C6D">
        <w:rPr>
          <w:rFonts w:asciiTheme="majorBidi" w:hAnsiTheme="majorBidi" w:cstheme="majorBidi"/>
          <w:sz w:val="26"/>
          <w:szCs w:val="26"/>
        </w:rPr>
        <w:t xml:space="preserve">had </w:t>
      </w:r>
      <w:r w:rsidRPr="00441478">
        <w:rPr>
          <w:rFonts w:asciiTheme="majorBidi" w:hAnsiTheme="majorBidi" w:cstheme="majorBidi"/>
          <w:sz w:val="26"/>
          <w:szCs w:val="26"/>
        </w:rPr>
        <w:t>“vision” for twenty or thirty years</w:t>
      </w:r>
      <w:r w:rsidR="006E17DF" w:rsidRPr="00441478">
        <w:rPr>
          <w:rFonts w:asciiTheme="majorBidi" w:hAnsiTheme="majorBidi" w:cstheme="majorBidi"/>
          <w:sz w:val="26"/>
          <w:szCs w:val="26"/>
        </w:rPr>
        <w:t>.</w:t>
      </w:r>
      <w:r w:rsidRPr="00441478">
        <w:rPr>
          <w:rFonts w:asciiTheme="majorBidi" w:hAnsiTheme="majorBidi" w:cstheme="majorBidi"/>
          <w:sz w:val="26"/>
          <w:szCs w:val="26"/>
        </w:rPr>
        <w:t xml:space="preserve"> </w:t>
      </w:r>
      <w:r w:rsidR="006E17DF" w:rsidRPr="00441478">
        <w:rPr>
          <w:rFonts w:asciiTheme="majorBidi" w:hAnsiTheme="majorBidi" w:cstheme="majorBidi"/>
          <w:sz w:val="26"/>
          <w:szCs w:val="26"/>
        </w:rPr>
        <w:t xml:space="preserve">They </w:t>
      </w:r>
      <w:r w:rsidRPr="00441478">
        <w:rPr>
          <w:rFonts w:asciiTheme="majorBidi" w:hAnsiTheme="majorBidi" w:cstheme="majorBidi"/>
          <w:sz w:val="26"/>
          <w:szCs w:val="26"/>
        </w:rPr>
        <w:t>have</w:t>
      </w:r>
      <w:r w:rsidR="00460C22" w:rsidRPr="00441478">
        <w:rPr>
          <w:rFonts w:asciiTheme="majorBidi" w:hAnsiTheme="majorBidi" w:cstheme="majorBidi"/>
          <w:sz w:val="26"/>
          <w:szCs w:val="26"/>
        </w:rPr>
        <w:t xml:space="preserve"> also issued</w:t>
      </w:r>
      <w:r w:rsidRPr="00441478">
        <w:rPr>
          <w:rFonts w:asciiTheme="majorBidi" w:hAnsiTheme="majorBidi" w:cstheme="majorBidi"/>
          <w:sz w:val="26"/>
          <w:szCs w:val="26"/>
        </w:rPr>
        <w:t xml:space="preserve"> Corporate Governance Code-CGC in 2006 (except for Oman </w:t>
      </w:r>
      <w:r w:rsidR="00460C22" w:rsidRPr="00441478">
        <w:rPr>
          <w:rFonts w:asciiTheme="majorBidi" w:hAnsiTheme="majorBidi" w:cstheme="majorBidi"/>
          <w:sz w:val="26"/>
          <w:szCs w:val="26"/>
        </w:rPr>
        <w:t xml:space="preserve">which has </w:t>
      </w:r>
      <w:r w:rsidRPr="00441478">
        <w:rPr>
          <w:rFonts w:asciiTheme="majorBidi" w:hAnsiTheme="majorBidi" w:cstheme="majorBidi"/>
          <w:sz w:val="26"/>
          <w:szCs w:val="26"/>
        </w:rPr>
        <w:t xml:space="preserve">implemented the code in 2002) (Shehata, 2015). In all </w:t>
      </w:r>
      <w:r w:rsidR="00460C22" w:rsidRPr="00441478">
        <w:rPr>
          <w:rFonts w:asciiTheme="majorBidi" w:hAnsiTheme="majorBidi" w:cstheme="majorBidi"/>
          <w:sz w:val="26"/>
          <w:szCs w:val="26"/>
        </w:rPr>
        <w:t xml:space="preserve">visions of the </w:t>
      </w:r>
      <w:r w:rsidRPr="00441478">
        <w:rPr>
          <w:rFonts w:asciiTheme="majorBidi" w:hAnsiTheme="majorBidi" w:cstheme="majorBidi"/>
          <w:sz w:val="26"/>
          <w:szCs w:val="26"/>
        </w:rPr>
        <w:t xml:space="preserve">GCC countries, </w:t>
      </w:r>
      <w:r w:rsidRPr="00441478">
        <w:rPr>
          <w:rFonts w:asciiTheme="majorBidi" w:hAnsiTheme="majorBidi" w:cstheme="majorBidi"/>
          <w:sz w:val="26"/>
          <w:szCs w:val="26"/>
        </w:rPr>
        <w:lastRenderedPageBreak/>
        <w:t xml:space="preserve">the importance of economic diversification is </w:t>
      </w:r>
      <w:r w:rsidR="00460C22" w:rsidRPr="00441478">
        <w:rPr>
          <w:rFonts w:asciiTheme="majorBidi" w:hAnsiTheme="majorBidi" w:cstheme="majorBidi"/>
          <w:sz w:val="26"/>
          <w:szCs w:val="26"/>
        </w:rPr>
        <w:t>accentuated</w:t>
      </w:r>
      <w:r w:rsidR="00730711" w:rsidRPr="00441478">
        <w:rPr>
          <w:rFonts w:asciiTheme="majorBidi" w:hAnsiTheme="majorBidi" w:cstheme="majorBidi"/>
          <w:sz w:val="26"/>
          <w:szCs w:val="26"/>
        </w:rPr>
        <w:t>, which is</w:t>
      </w:r>
      <w:r w:rsidRPr="00441478">
        <w:rPr>
          <w:rFonts w:asciiTheme="majorBidi" w:hAnsiTheme="majorBidi" w:cstheme="majorBidi"/>
          <w:sz w:val="26"/>
          <w:szCs w:val="26"/>
        </w:rPr>
        <w:t xml:space="preserve"> one of the most attractive topics in these visions. Khayat (2020) </w:t>
      </w:r>
      <w:r w:rsidR="00730711" w:rsidRPr="00441478">
        <w:rPr>
          <w:rFonts w:asciiTheme="majorBidi" w:hAnsiTheme="majorBidi" w:cstheme="majorBidi"/>
          <w:sz w:val="26"/>
          <w:szCs w:val="26"/>
        </w:rPr>
        <w:t xml:space="preserve">indicates </w:t>
      </w:r>
      <w:r w:rsidRPr="00441478">
        <w:rPr>
          <w:rFonts w:asciiTheme="majorBidi" w:hAnsiTheme="majorBidi" w:cstheme="majorBidi"/>
          <w:sz w:val="26"/>
          <w:szCs w:val="26"/>
        </w:rPr>
        <w:t xml:space="preserve">that the GCC countries </w:t>
      </w:r>
      <w:r w:rsidR="00730711" w:rsidRPr="00441478">
        <w:rPr>
          <w:rFonts w:asciiTheme="majorBidi" w:hAnsiTheme="majorBidi" w:cstheme="majorBidi"/>
          <w:sz w:val="26"/>
          <w:szCs w:val="26"/>
        </w:rPr>
        <w:t xml:space="preserve">have </w:t>
      </w:r>
      <w:r w:rsidRPr="00441478">
        <w:rPr>
          <w:rFonts w:asciiTheme="majorBidi" w:hAnsiTheme="majorBidi" w:cstheme="majorBidi"/>
          <w:sz w:val="26"/>
          <w:szCs w:val="26"/>
        </w:rPr>
        <w:t xml:space="preserve">started to implement a policy of economic diversification. </w:t>
      </w:r>
    </w:p>
    <w:p w14:paraId="55A2175A" w14:textId="11231EE4" w:rsidR="00155567" w:rsidRDefault="00C97839" w:rsidP="00441478">
      <w:pPr>
        <w:snapToGrid w:val="0"/>
        <w:spacing w:after="0" w:line="360" w:lineRule="exact"/>
        <w:ind w:firstLine="510"/>
        <w:jc w:val="both"/>
        <w:rPr>
          <w:rFonts w:asciiTheme="majorBidi" w:hAnsiTheme="majorBidi"/>
          <w:sz w:val="26"/>
          <w:szCs w:val="26"/>
        </w:rPr>
      </w:pPr>
      <w:r w:rsidRPr="00441478">
        <w:rPr>
          <w:rFonts w:asciiTheme="majorBidi" w:hAnsiTheme="majorBidi"/>
          <w:sz w:val="26"/>
          <w:szCs w:val="26"/>
        </w:rPr>
        <w:t xml:space="preserve">This study has two main objectives. </w:t>
      </w:r>
      <w:r w:rsidR="00FC2CCA" w:rsidRPr="00441478">
        <w:rPr>
          <w:rFonts w:asciiTheme="majorBidi" w:hAnsiTheme="majorBidi"/>
          <w:sz w:val="26"/>
          <w:szCs w:val="26"/>
        </w:rPr>
        <w:t>The</w:t>
      </w:r>
      <w:r w:rsidRPr="00441478">
        <w:rPr>
          <w:rFonts w:asciiTheme="majorBidi" w:hAnsiTheme="majorBidi"/>
          <w:sz w:val="26"/>
          <w:szCs w:val="26"/>
        </w:rPr>
        <w:t xml:space="preserve"> first</w:t>
      </w:r>
      <w:r w:rsidR="00FC2CCA" w:rsidRPr="00441478">
        <w:rPr>
          <w:rFonts w:asciiTheme="majorBidi" w:hAnsiTheme="majorBidi"/>
          <w:sz w:val="26"/>
          <w:szCs w:val="26"/>
        </w:rPr>
        <w:t xml:space="preserve"> objective is to measure </w:t>
      </w:r>
      <w:r w:rsidR="007D3C6D">
        <w:rPr>
          <w:rFonts w:asciiTheme="majorBidi" w:hAnsiTheme="majorBidi"/>
          <w:sz w:val="26"/>
          <w:szCs w:val="26"/>
        </w:rPr>
        <w:t xml:space="preserve">the </w:t>
      </w:r>
      <w:r w:rsidR="006B1C85" w:rsidRPr="00441478">
        <w:rPr>
          <w:rFonts w:asciiTheme="majorBidi" w:hAnsiTheme="majorBidi"/>
          <w:sz w:val="26"/>
          <w:szCs w:val="26"/>
        </w:rPr>
        <w:t>EQ</w:t>
      </w:r>
      <w:r w:rsidR="00FC2CCA" w:rsidRPr="00441478">
        <w:rPr>
          <w:rFonts w:asciiTheme="majorBidi" w:hAnsiTheme="majorBidi"/>
          <w:sz w:val="26"/>
          <w:szCs w:val="26"/>
        </w:rPr>
        <w:t xml:space="preserve"> of the </w:t>
      </w:r>
      <w:r w:rsidR="006D2E96" w:rsidRPr="00441478">
        <w:rPr>
          <w:rFonts w:asciiTheme="majorBidi" w:hAnsiTheme="majorBidi"/>
          <w:sz w:val="26"/>
          <w:szCs w:val="26"/>
        </w:rPr>
        <w:t xml:space="preserve">six </w:t>
      </w:r>
      <w:r w:rsidR="00FC2CCA" w:rsidRPr="00441478">
        <w:rPr>
          <w:rFonts w:asciiTheme="majorBidi" w:hAnsiTheme="majorBidi"/>
          <w:sz w:val="26"/>
          <w:szCs w:val="26"/>
        </w:rPr>
        <w:t>GCC countries using a sample of 1</w:t>
      </w:r>
      <w:r w:rsidR="00235141" w:rsidRPr="00441478">
        <w:rPr>
          <w:rFonts w:asciiTheme="majorBidi" w:hAnsiTheme="majorBidi"/>
          <w:sz w:val="26"/>
          <w:szCs w:val="26"/>
        </w:rPr>
        <w:t>827</w:t>
      </w:r>
      <w:r w:rsidR="00FC2CCA" w:rsidRPr="00441478">
        <w:rPr>
          <w:rFonts w:asciiTheme="majorBidi" w:hAnsiTheme="majorBidi"/>
          <w:sz w:val="26"/>
          <w:szCs w:val="26"/>
        </w:rPr>
        <w:t xml:space="preserve"> firm-year observations from </w:t>
      </w:r>
      <w:r w:rsidR="00DA7715" w:rsidRPr="00441478">
        <w:rPr>
          <w:rFonts w:asciiTheme="majorBidi" w:hAnsiTheme="majorBidi"/>
          <w:sz w:val="26"/>
          <w:szCs w:val="26"/>
        </w:rPr>
        <w:t>2008</w:t>
      </w:r>
      <w:r w:rsidR="008F558D" w:rsidRPr="00441478">
        <w:rPr>
          <w:rFonts w:asciiTheme="majorBidi" w:hAnsiTheme="majorBidi"/>
          <w:sz w:val="26"/>
          <w:szCs w:val="26"/>
        </w:rPr>
        <w:t xml:space="preserve"> to </w:t>
      </w:r>
      <w:r w:rsidR="00FC2CCA" w:rsidRPr="00441478">
        <w:rPr>
          <w:rFonts w:asciiTheme="majorBidi" w:hAnsiTheme="majorBidi"/>
          <w:sz w:val="26"/>
          <w:szCs w:val="26"/>
        </w:rPr>
        <w:t xml:space="preserve">2016. </w:t>
      </w:r>
      <w:r w:rsidR="009B1173" w:rsidRPr="00441478">
        <w:rPr>
          <w:rFonts w:asciiTheme="majorBidi" w:hAnsiTheme="majorBidi"/>
          <w:sz w:val="26"/>
          <w:szCs w:val="26"/>
        </w:rPr>
        <w:t>Examining</w:t>
      </w:r>
      <w:r w:rsidR="00A06752" w:rsidRPr="00441478">
        <w:rPr>
          <w:rFonts w:asciiTheme="majorBidi" w:hAnsiTheme="majorBidi"/>
          <w:sz w:val="26"/>
          <w:szCs w:val="26"/>
        </w:rPr>
        <w:t xml:space="preserve"> </w:t>
      </w:r>
      <w:r w:rsidR="006B1C85" w:rsidRPr="00441478">
        <w:rPr>
          <w:rFonts w:asciiTheme="majorBidi" w:hAnsiTheme="majorBidi"/>
          <w:sz w:val="26"/>
          <w:szCs w:val="26"/>
        </w:rPr>
        <w:t>EQ</w:t>
      </w:r>
      <w:r w:rsidR="00A06752" w:rsidRPr="00441478">
        <w:rPr>
          <w:rFonts w:asciiTheme="majorBidi" w:hAnsiTheme="majorBidi"/>
          <w:sz w:val="26"/>
          <w:szCs w:val="26"/>
        </w:rPr>
        <w:t xml:space="preserve"> by using proxies containing one-dimensional angle</w:t>
      </w:r>
      <w:r w:rsidR="007D3C6D">
        <w:rPr>
          <w:rFonts w:asciiTheme="majorBidi" w:hAnsiTheme="majorBidi"/>
          <w:sz w:val="26"/>
          <w:szCs w:val="26"/>
        </w:rPr>
        <w:t>s</w:t>
      </w:r>
      <w:r w:rsidR="00A06752" w:rsidRPr="00441478">
        <w:rPr>
          <w:rFonts w:asciiTheme="majorBidi" w:hAnsiTheme="majorBidi"/>
          <w:sz w:val="26"/>
          <w:szCs w:val="26"/>
        </w:rPr>
        <w:t xml:space="preserve"> may </w:t>
      </w:r>
      <w:r w:rsidR="009B1173" w:rsidRPr="00441478">
        <w:rPr>
          <w:rFonts w:asciiTheme="majorBidi" w:hAnsiTheme="majorBidi"/>
          <w:sz w:val="26"/>
          <w:szCs w:val="26"/>
        </w:rPr>
        <w:t>lead to</w:t>
      </w:r>
      <w:r w:rsidR="00A06752" w:rsidRPr="00441478">
        <w:rPr>
          <w:rFonts w:asciiTheme="majorBidi" w:hAnsiTheme="majorBidi"/>
          <w:sz w:val="26"/>
          <w:szCs w:val="26"/>
        </w:rPr>
        <w:t xml:space="preserve"> </w:t>
      </w:r>
      <w:r w:rsidR="009B1173" w:rsidRPr="00441478">
        <w:rPr>
          <w:rFonts w:asciiTheme="majorBidi" w:hAnsiTheme="majorBidi"/>
          <w:sz w:val="26"/>
          <w:szCs w:val="26"/>
        </w:rPr>
        <w:t>insufficient</w:t>
      </w:r>
      <w:r w:rsidR="00A06752" w:rsidRPr="00441478">
        <w:rPr>
          <w:rFonts w:asciiTheme="majorBidi" w:hAnsiTheme="majorBidi"/>
          <w:sz w:val="26"/>
          <w:szCs w:val="26"/>
        </w:rPr>
        <w:t xml:space="preserve"> conclusions. To address this shortcoming, w</w:t>
      </w:r>
      <w:r w:rsidR="008E1552" w:rsidRPr="00441478">
        <w:rPr>
          <w:rFonts w:asciiTheme="majorBidi" w:hAnsiTheme="majorBidi"/>
          <w:sz w:val="26"/>
          <w:szCs w:val="26"/>
        </w:rPr>
        <w:t xml:space="preserve">e used </w:t>
      </w:r>
      <w:r w:rsidRPr="00441478">
        <w:rPr>
          <w:rFonts w:asciiTheme="majorBidi" w:hAnsiTheme="majorBidi"/>
          <w:sz w:val="26"/>
          <w:szCs w:val="26"/>
        </w:rPr>
        <w:t>nine</w:t>
      </w:r>
      <w:r w:rsidR="008E1552" w:rsidRPr="00441478">
        <w:rPr>
          <w:rFonts w:asciiTheme="majorBidi" w:hAnsiTheme="majorBidi"/>
          <w:sz w:val="26"/>
          <w:szCs w:val="26"/>
        </w:rPr>
        <w:t xml:space="preserve"> proxies to measure </w:t>
      </w:r>
      <w:r w:rsidR="006B1C85" w:rsidRPr="00441478">
        <w:rPr>
          <w:rFonts w:asciiTheme="majorBidi" w:hAnsiTheme="majorBidi"/>
          <w:sz w:val="26"/>
          <w:szCs w:val="26"/>
        </w:rPr>
        <w:t>EQ</w:t>
      </w:r>
      <w:r w:rsidR="006D2E96" w:rsidRPr="00441478">
        <w:rPr>
          <w:rFonts w:asciiTheme="majorBidi" w:hAnsiTheme="majorBidi"/>
          <w:sz w:val="26"/>
          <w:szCs w:val="26"/>
        </w:rPr>
        <w:t>. The second objective</w:t>
      </w:r>
      <w:r w:rsidR="008E1552" w:rsidRPr="00441478">
        <w:rPr>
          <w:rFonts w:asciiTheme="majorBidi" w:hAnsiTheme="majorBidi"/>
          <w:sz w:val="26"/>
          <w:szCs w:val="26"/>
        </w:rPr>
        <w:t xml:space="preserve"> </w:t>
      </w:r>
      <w:r w:rsidR="006D2E96" w:rsidRPr="00441478">
        <w:rPr>
          <w:rFonts w:asciiTheme="majorBidi" w:hAnsiTheme="majorBidi"/>
          <w:sz w:val="26"/>
          <w:szCs w:val="26"/>
        </w:rPr>
        <w:t xml:space="preserve">is to examine the effect of various </w:t>
      </w:r>
      <w:r w:rsidR="006B1C85" w:rsidRPr="00441478">
        <w:rPr>
          <w:rFonts w:asciiTheme="majorBidi" w:hAnsiTheme="majorBidi"/>
          <w:sz w:val="26"/>
          <w:szCs w:val="26"/>
        </w:rPr>
        <w:t>EQ</w:t>
      </w:r>
      <w:r w:rsidR="006D2E96" w:rsidRPr="00441478">
        <w:rPr>
          <w:rFonts w:asciiTheme="majorBidi" w:hAnsiTheme="majorBidi"/>
          <w:sz w:val="26"/>
          <w:szCs w:val="26"/>
        </w:rPr>
        <w:t xml:space="preserve"> measures </w:t>
      </w:r>
      <w:r w:rsidR="008F558D" w:rsidRPr="00441478">
        <w:rPr>
          <w:rFonts w:asciiTheme="majorBidi" w:hAnsiTheme="majorBidi"/>
          <w:sz w:val="26"/>
          <w:szCs w:val="26"/>
        </w:rPr>
        <w:t xml:space="preserve">so as </w:t>
      </w:r>
      <w:r w:rsidR="008E1552" w:rsidRPr="00441478">
        <w:rPr>
          <w:rFonts w:asciiTheme="majorBidi" w:hAnsiTheme="majorBidi"/>
          <w:sz w:val="26"/>
          <w:szCs w:val="26"/>
        </w:rPr>
        <w:t xml:space="preserve">to give </w:t>
      </w:r>
      <w:r w:rsidRPr="00441478">
        <w:rPr>
          <w:rFonts w:asciiTheme="majorBidi" w:hAnsiTheme="majorBidi"/>
          <w:sz w:val="26"/>
          <w:szCs w:val="26"/>
        </w:rPr>
        <w:t xml:space="preserve">current </w:t>
      </w:r>
      <w:r w:rsidR="008E1552" w:rsidRPr="00441478">
        <w:rPr>
          <w:rFonts w:asciiTheme="majorBidi" w:hAnsiTheme="majorBidi"/>
          <w:sz w:val="26"/>
          <w:szCs w:val="26"/>
        </w:rPr>
        <w:t xml:space="preserve">foreign investors a good opportunity to assess their investments and </w:t>
      </w:r>
      <w:r w:rsidR="00504F1A" w:rsidRPr="00441478">
        <w:rPr>
          <w:rFonts w:asciiTheme="majorBidi" w:hAnsiTheme="majorBidi"/>
          <w:sz w:val="26"/>
          <w:szCs w:val="26"/>
        </w:rPr>
        <w:t xml:space="preserve">build a reliable decision </w:t>
      </w:r>
      <w:r w:rsidR="004B228B" w:rsidRPr="00441478">
        <w:rPr>
          <w:rFonts w:asciiTheme="majorBidi" w:hAnsiTheme="majorBidi"/>
          <w:sz w:val="26"/>
          <w:szCs w:val="26"/>
        </w:rPr>
        <w:t xml:space="preserve">model </w:t>
      </w:r>
      <w:r w:rsidR="00504F1A" w:rsidRPr="00441478">
        <w:rPr>
          <w:rFonts w:asciiTheme="majorBidi" w:hAnsiTheme="majorBidi"/>
          <w:sz w:val="26"/>
          <w:szCs w:val="26"/>
        </w:rPr>
        <w:t xml:space="preserve">about these investments </w:t>
      </w:r>
      <w:r w:rsidRPr="00441478">
        <w:rPr>
          <w:rFonts w:asciiTheme="majorBidi" w:hAnsiTheme="majorBidi"/>
          <w:sz w:val="26"/>
          <w:szCs w:val="26"/>
        </w:rPr>
        <w:t xml:space="preserve">and attract more foreign investments </w:t>
      </w:r>
      <w:r w:rsidR="00504F1A" w:rsidRPr="00441478">
        <w:rPr>
          <w:rFonts w:asciiTheme="majorBidi" w:hAnsiTheme="majorBidi"/>
          <w:sz w:val="26"/>
          <w:szCs w:val="26"/>
        </w:rPr>
        <w:t xml:space="preserve">through </w:t>
      </w:r>
      <w:r w:rsidR="009B1173" w:rsidRPr="00441478">
        <w:rPr>
          <w:rFonts w:asciiTheme="majorBidi" w:hAnsiTheme="majorBidi"/>
          <w:sz w:val="26"/>
          <w:szCs w:val="26"/>
        </w:rPr>
        <w:t xml:space="preserve">the </w:t>
      </w:r>
      <w:r w:rsidR="006B1C85" w:rsidRPr="00441478">
        <w:rPr>
          <w:rFonts w:asciiTheme="majorBidi" w:hAnsiTheme="majorBidi"/>
          <w:sz w:val="26"/>
          <w:szCs w:val="26"/>
        </w:rPr>
        <w:t>EQ</w:t>
      </w:r>
      <w:r w:rsidR="008F558D" w:rsidRPr="00441478">
        <w:rPr>
          <w:rFonts w:asciiTheme="majorBidi" w:hAnsiTheme="majorBidi"/>
          <w:sz w:val="26"/>
          <w:szCs w:val="26"/>
        </w:rPr>
        <w:t xml:space="preserve"> measures</w:t>
      </w:r>
      <w:r w:rsidR="009B1173" w:rsidRPr="00441478">
        <w:rPr>
          <w:rFonts w:asciiTheme="majorBidi" w:hAnsiTheme="majorBidi"/>
          <w:sz w:val="26"/>
          <w:szCs w:val="26"/>
        </w:rPr>
        <w:t xml:space="preserve">. </w:t>
      </w:r>
    </w:p>
    <w:p w14:paraId="4683D2F2" w14:textId="77777777" w:rsidR="00541754" w:rsidRPr="00441478" w:rsidRDefault="00541754" w:rsidP="00441478">
      <w:pPr>
        <w:snapToGrid w:val="0"/>
        <w:spacing w:after="0" w:line="360" w:lineRule="exact"/>
        <w:ind w:firstLine="510"/>
        <w:jc w:val="both"/>
        <w:rPr>
          <w:rFonts w:asciiTheme="majorBidi" w:hAnsiTheme="majorBidi" w:cstheme="majorBidi"/>
          <w:sz w:val="26"/>
          <w:szCs w:val="26"/>
        </w:rPr>
      </w:pPr>
    </w:p>
    <w:p w14:paraId="4666AA0B" w14:textId="4717E2BC" w:rsidR="00893012" w:rsidRPr="00441478" w:rsidRDefault="00893012" w:rsidP="00441478">
      <w:pPr>
        <w:autoSpaceDE w:val="0"/>
        <w:autoSpaceDN w:val="0"/>
        <w:adjustRightInd w:val="0"/>
        <w:snapToGrid w:val="0"/>
        <w:spacing w:after="0" w:line="360" w:lineRule="exact"/>
        <w:jc w:val="center"/>
        <w:rPr>
          <w:rFonts w:asciiTheme="majorBidi" w:hAnsiTheme="majorBidi"/>
          <w:b/>
          <w:sz w:val="26"/>
          <w:szCs w:val="26"/>
        </w:rPr>
      </w:pPr>
      <w:r w:rsidRPr="00441478">
        <w:rPr>
          <w:rFonts w:asciiTheme="majorBidi" w:hAnsiTheme="majorBidi"/>
          <w:b/>
          <w:sz w:val="26"/>
          <w:szCs w:val="26"/>
        </w:rPr>
        <w:t>L</w:t>
      </w:r>
      <w:r w:rsidR="003A2A39" w:rsidRPr="00441478">
        <w:rPr>
          <w:rFonts w:asciiTheme="majorBidi" w:hAnsiTheme="majorBidi"/>
          <w:b/>
          <w:sz w:val="26"/>
          <w:szCs w:val="26"/>
        </w:rPr>
        <w:t>ITERATURE</w:t>
      </w:r>
      <w:r w:rsidRPr="00441478">
        <w:rPr>
          <w:rFonts w:asciiTheme="majorBidi" w:hAnsiTheme="majorBidi"/>
          <w:b/>
          <w:sz w:val="26"/>
          <w:szCs w:val="26"/>
        </w:rPr>
        <w:t xml:space="preserve"> R</w:t>
      </w:r>
      <w:r w:rsidR="003A2A39" w:rsidRPr="00441478">
        <w:rPr>
          <w:rFonts w:asciiTheme="majorBidi" w:hAnsiTheme="majorBidi"/>
          <w:b/>
          <w:sz w:val="26"/>
          <w:szCs w:val="26"/>
        </w:rPr>
        <w:t>EVIEW AND</w:t>
      </w:r>
      <w:r w:rsidR="00E67A4B" w:rsidRPr="00441478">
        <w:rPr>
          <w:rFonts w:asciiTheme="majorBidi" w:hAnsiTheme="majorBidi"/>
          <w:b/>
          <w:sz w:val="26"/>
          <w:szCs w:val="26"/>
        </w:rPr>
        <w:t xml:space="preserve"> </w:t>
      </w:r>
      <w:r w:rsidR="00C80074" w:rsidRPr="00441478">
        <w:rPr>
          <w:rFonts w:asciiTheme="majorBidi" w:hAnsiTheme="majorBidi"/>
          <w:b/>
          <w:sz w:val="26"/>
          <w:szCs w:val="26"/>
        </w:rPr>
        <w:t xml:space="preserve">HYPOTHESIS </w:t>
      </w:r>
      <w:r w:rsidR="003A2A39" w:rsidRPr="00441478">
        <w:rPr>
          <w:rFonts w:asciiTheme="majorBidi" w:hAnsiTheme="majorBidi"/>
          <w:b/>
          <w:sz w:val="26"/>
          <w:szCs w:val="26"/>
        </w:rPr>
        <w:t>DEVELOPMENT</w:t>
      </w:r>
    </w:p>
    <w:p w14:paraId="6B96335F" w14:textId="6D330883" w:rsidR="00F2548E" w:rsidRPr="00441478" w:rsidRDefault="00C80074" w:rsidP="00441478">
      <w:pPr>
        <w:pStyle w:val="Default"/>
        <w:snapToGrid w:val="0"/>
        <w:spacing w:line="360" w:lineRule="exact"/>
        <w:ind w:firstLine="510"/>
        <w:jc w:val="both"/>
        <w:rPr>
          <w:rFonts w:asciiTheme="majorBidi" w:hAnsiTheme="majorBidi"/>
          <w:color w:val="auto"/>
          <w:sz w:val="26"/>
          <w:szCs w:val="26"/>
          <w:lang w:val="en-GB"/>
        </w:rPr>
      </w:pPr>
      <w:r w:rsidRPr="00441478">
        <w:rPr>
          <w:rFonts w:asciiTheme="majorBidi" w:hAnsiTheme="majorBidi"/>
          <w:color w:val="auto"/>
          <w:sz w:val="26"/>
          <w:szCs w:val="26"/>
          <w:lang w:val="en-GB"/>
        </w:rPr>
        <w:t xml:space="preserve">Researchers have yet to reach a </w:t>
      </w:r>
      <w:r w:rsidR="00F2548E" w:rsidRPr="00441478">
        <w:rPr>
          <w:rFonts w:asciiTheme="majorBidi" w:hAnsiTheme="majorBidi"/>
          <w:color w:val="auto"/>
          <w:sz w:val="26"/>
          <w:szCs w:val="26"/>
          <w:lang w:val="en-GB"/>
        </w:rPr>
        <w:t>universal</w:t>
      </w:r>
      <w:r w:rsidRPr="00441478">
        <w:rPr>
          <w:rFonts w:asciiTheme="majorBidi" w:hAnsiTheme="majorBidi"/>
          <w:color w:val="auto"/>
          <w:sz w:val="26"/>
          <w:szCs w:val="26"/>
          <w:lang w:val="en-GB"/>
        </w:rPr>
        <w:t>ly</w:t>
      </w:r>
      <w:r w:rsidR="00F2548E" w:rsidRPr="00441478">
        <w:rPr>
          <w:rFonts w:asciiTheme="majorBidi" w:hAnsiTheme="majorBidi"/>
          <w:color w:val="auto"/>
          <w:sz w:val="26"/>
          <w:szCs w:val="26"/>
          <w:lang w:val="en-GB"/>
        </w:rPr>
        <w:t xml:space="preserve"> agreed definition </w:t>
      </w:r>
      <w:r w:rsidRPr="00441478">
        <w:rPr>
          <w:rFonts w:asciiTheme="majorBidi" w:hAnsiTheme="majorBidi"/>
          <w:color w:val="auto"/>
          <w:sz w:val="26"/>
          <w:szCs w:val="26"/>
          <w:lang w:val="en-GB"/>
        </w:rPr>
        <w:t xml:space="preserve">of </w:t>
      </w:r>
      <w:r w:rsidR="006B1C85" w:rsidRPr="00441478">
        <w:rPr>
          <w:rFonts w:asciiTheme="majorBidi" w:hAnsiTheme="majorBidi"/>
          <w:color w:val="auto"/>
          <w:sz w:val="26"/>
          <w:szCs w:val="26"/>
          <w:lang w:val="en-GB"/>
        </w:rPr>
        <w:t>EQ</w:t>
      </w:r>
      <w:r w:rsidR="00F2548E" w:rsidRPr="00441478">
        <w:rPr>
          <w:rFonts w:asciiTheme="majorBidi" w:hAnsiTheme="majorBidi"/>
          <w:color w:val="auto"/>
          <w:sz w:val="26"/>
          <w:szCs w:val="26"/>
          <w:lang w:val="en-GB"/>
        </w:rPr>
        <w:t xml:space="preserve">. </w:t>
      </w:r>
      <w:r w:rsidRPr="00441478">
        <w:rPr>
          <w:rFonts w:asciiTheme="majorBidi" w:hAnsiTheme="majorBidi"/>
          <w:color w:val="auto"/>
          <w:sz w:val="26"/>
          <w:szCs w:val="26"/>
          <w:lang w:val="en-GB"/>
        </w:rPr>
        <w:t>The definition varies</w:t>
      </w:r>
      <w:r w:rsidR="00F2548E" w:rsidRPr="00441478">
        <w:rPr>
          <w:rFonts w:asciiTheme="majorBidi" w:hAnsiTheme="majorBidi"/>
          <w:color w:val="auto"/>
          <w:sz w:val="26"/>
          <w:szCs w:val="26"/>
          <w:lang w:val="en-GB"/>
        </w:rPr>
        <w:t xml:space="preserve"> because </w:t>
      </w:r>
      <w:r w:rsidR="006B1C85" w:rsidRPr="00441478">
        <w:rPr>
          <w:rFonts w:asciiTheme="majorBidi" w:hAnsiTheme="majorBidi"/>
          <w:color w:val="auto"/>
          <w:sz w:val="26"/>
          <w:szCs w:val="26"/>
          <w:lang w:val="en-GB"/>
        </w:rPr>
        <w:t>EQ</w:t>
      </w:r>
      <w:r w:rsidR="00F2548E" w:rsidRPr="00441478">
        <w:rPr>
          <w:rFonts w:asciiTheme="majorBidi" w:hAnsiTheme="majorBidi"/>
          <w:color w:val="auto"/>
          <w:sz w:val="26"/>
          <w:szCs w:val="26"/>
          <w:lang w:val="en-GB"/>
        </w:rPr>
        <w:t xml:space="preserve"> is </w:t>
      </w:r>
      <w:r w:rsidR="006F15D5">
        <w:rPr>
          <w:rFonts w:asciiTheme="majorBidi" w:hAnsiTheme="majorBidi"/>
          <w:color w:val="auto"/>
          <w:sz w:val="26"/>
          <w:szCs w:val="26"/>
          <w:lang w:val="en-GB"/>
        </w:rPr>
        <w:t>important</w:t>
      </w:r>
      <w:r w:rsidR="00F2548E" w:rsidRPr="00441478">
        <w:rPr>
          <w:rFonts w:asciiTheme="majorBidi" w:hAnsiTheme="majorBidi"/>
          <w:color w:val="auto"/>
          <w:sz w:val="26"/>
          <w:szCs w:val="26"/>
          <w:lang w:val="en-GB"/>
        </w:rPr>
        <w:t xml:space="preserve"> for many financial statement users</w:t>
      </w:r>
      <w:r w:rsidRPr="00441478">
        <w:rPr>
          <w:rFonts w:asciiTheme="majorBidi" w:hAnsiTheme="majorBidi"/>
          <w:color w:val="auto"/>
          <w:sz w:val="26"/>
          <w:szCs w:val="26"/>
          <w:lang w:val="en-GB"/>
        </w:rPr>
        <w:t>,</w:t>
      </w:r>
      <w:r w:rsidR="00F2548E" w:rsidRPr="00441478">
        <w:rPr>
          <w:rFonts w:asciiTheme="majorBidi" w:hAnsiTheme="majorBidi"/>
          <w:color w:val="auto"/>
          <w:sz w:val="26"/>
          <w:szCs w:val="26"/>
          <w:lang w:val="en-GB"/>
        </w:rPr>
        <w:t xml:space="preserve"> such as investors, analysts, managers</w:t>
      </w:r>
      <w:r w:rsidR="007D3C6D">
        <w:rPr>
          <w:rFonts w:asciiTheme="majorBidi" w:hAnsiTheme="majorBidi"/>
          <w:color w:val="auto"/>
          <w:sz w:val="26"/>
          <w:szCs w:val="26"/>
          <w:lang w:val="en-GB"/>
        </w:rPr>
        <w:t>,</w:t>
      </w:r>
      <w:r w:rsidR="00F2548E" w:rsidRPr="00441478">
        <w:rPr>
          <w:rFonts w:asciiTheme="majorBidi" w:hAnsiTheme="majorBidi"/>
          <w:color w:val="auto"/>
          <w:sz w:val="26"/>
          <w:szCs w:val="26"/>
          <w:lang w:val="en-GB"/>
        </w:rPr>
        <w:t xml:space="preserve"> and other stakeholders. </w:t>
      </w:r>
      <w:r w:rsidRPr="00441478">
        <w:rPr>
          <w:rFonts w:asciiTheme="majorBidi" w:hAnsiTheme="majorBidi"/>
          <w:color w:val="auto"/>
          <w:sz w:val="26"/>
          <w:szCs w:val="26"/>
          <w:lang w:val="en-GB"/>
        </w:rPr>
        <w:t>The</w:t>
      </w:r>
      <w:r w:rsidR="00F2548E" w:rsidRPr="00441478">
        <w:rPr>
          <w:rFonts w:asciiTheme="majorBidi" w:hAnsiTheme="majorBidi"/>
          <w:color w:val="auto"/>
          <w:sz w:val="26"/>
          <w:szCs w:val="26"/>
          <w:lang w:val="en-GB"/>
        </w:rPr>
        <w:t xml:space="preserve"> many definitions of </w:t>
      </w:r>
      <w:r w:rsidR="006B1C85" w:rsidRPr="00441478">
        <w:rPr>
          <w:rFonts w:asciiTheme="majorBidi" w:hAnsiTheme="majorBidi"/>
          <w:color w:val="auto"/>
          <w:sz w:val="26"/>
          <w:szCs w:val="26"/>
          <w:lang w:val="en-GB"/>
        </w:rPr>
        <w:t>EQ</w:t>
      </w:r>
      <w:r w:rsidR="00F2548E" w:rsidRPr="00441478">
        <w:rPr>
          <w:rFonts w:asciiTheme="majorBidi" w:hAnsiTheme="majorBidi"/>
          <w:color w:val="auto"/>
          <w:sz w:val="26"/>
          <w:szCs w:val="26"/>
          <w:lang w:val="en-GB"/>
        </w:rPr>
        <w:t xml:space="preserve"> </w:t>
      </w:r>
      <w:r w:rsidRPr="00441478">
        <w:rPr>
          <w:rFonts w:asciiTheme="majorBidi" w:hAnsiTheme="majorBidi"/>
          <w:color w:val="auto"/>
          <w:sz w:val="26"/>
          <w:szCs w:val="26"/>
          <w:lang w:val="en-GB"/>
        </w:rPr>
        <w:t xml:space="preserve">are </w:t>
      </w:r>
      <w:r w:rsidR="00F2548E" w:rsidRPr="00441478">
        <w:rPr>
          <w:rFonts w:asciiTheme="majorBidi" w:hAnsiTheme="majorBidi"/>
          <w:color w:val="auto"/>
          <w:sz w:val="26"/>
          <w:szCs w:val="26"/>
          <w:lang w:val="en-GB"/>
        </w:rPr>
        <w:t xml:space="preserve">based on the perspective of the users.  </w:t>
      </w:r>
    </w:p>
    <w:p w14:paraId="7C3DB95F" w14:textId="20A61597" w:rsidR="00F2548E" w:rsidRPr="00441478" w:rsidRDefault="006F15D5" w:rsidP="00C8366C">
      <w:pPr>
        <w:pStyle w:val="Default"/>
        <w:snapToGrid w:val="0"/>
        <w:spacing w:line="360" w:lineRule="exact"/>
        <w:ind w:firstLine="510"/>
        <w:jc w:val="both"/>
        <w:rPr>
          <w:rFonts w:asciiTheme="majorBidi" w:hAnsiTheme="majorBidi"/>
          <w:color w:val="auto"/>
          <w:sz w:val="26"/>
          <w:szCs w:val="26"/>
          <w:lang w:val="en-GB"/>
        </w:rPr>
      </w:pPr>
      <w:r>
        <w:rPr>
          <w:rFonts w:asciiTheme="majorBidi" w:hAnsiTheme="majorBidi"/>
          <w:color w:val="auto"/>
          <w:sz w:val="26"/>
          <w:szCs w:val="26"/>
          <w:lang w:val="en-GB"/>
        </w:rPr>
        <w:t xml:space="preserve">Penman </w:t>
      </w:r>
      <w:r w:rsidR="00523653">
        <w:rPr>
          <w:rFonts w:asciiTheme="majorBidi" w:hAnsiTheme="majorBidi"/>
          <w:color w:val="auto"/>
          <w:sz w:val="26"/>
          <w:szCs w:val="26"/>
          <w:lang w:val="en-GB"/>
        </w:rPr>
        <w:t>and</w:t>
      </w:r>
      <w:r>
        <w:rPr>
          <w:rFonts w:asciiTheme="majorBidi" w:hAnsiTheme="majorBidi"/>
          <w:color w:val="auto"/>
          <w:sz w:val="26"/>
          <w:szCs w:val="26"/>
          <w:lang w:val="en-GB"/>
        </w:rPr>
        <w:t xml:space="preserve"> Zhang (2002) defined EQ as a measure for future earnings in relation to</w:t>
      </w:r>
      <w:r w:rsidR="00F2548E" w:rsidRPr="00441478">
        <w:rPr>
          <w:rFonts w:asciiTheme="majorBidi" w:hAnsiTheme="majorBidi"/>
          <w:color w:val="auto"/>
          <w:sz w:val="26"/>
          <w:szCs w:val="26"/>
          <w:lang w:val="en-GB"/>
        </w:rPr>
        <w:t xml:space="preserve"> future earnings. The main issue of this definition is that </w:t>
      </w:r>
      <w:r w:rsidR="006B1C85" w:rsidRPr="00441478">
        <w:rPr>
          <w:rFonts w:asciiTheme="majorBidi" w:hAnsiTheme="majorBidi"/>
          <w:color w:val="auto"/>
          <w:sz w:val="26"/>
          <w:szCs w:val="26"/>
          <w:lang w:val="en-GB"/>
        </w:rPr>
        <w:t>EQ</w:t>
      </w:r>
      <w:r w:rsidR="00F2548E" w:rsidRPr="00441478">
        <w:rPr>
          <w:rFonts w:asciiTheme="majorBidi" w:hAnsiTheme="majorBidi"/>
          <w:color w:val="auto"/>
          <w:sz w:val="26"/>
          <w:szCs w:val="26"/>
          <w:lang w:val="en-GB"/>
        </w:rPr>
        <w:t xml:space="preserve"> is used to predict future earnings. </w:t>
      </w:r>
      <w:r w:rsidR="00C80074" w:rsidRPr="00441478">
        <w:rPr>
          <w:rFonts w:asciiTheme="majorBidi" w:hAnsiTheme="majorBidi"/>
          <w:color w:val="auto"/>
          <w:sz w:val="26"/>
          <w:szCs w:val="26"/>
          <w:lang w:val="en-GB"/>
        </w:rPr>
        <w:t>T</w:t>
      </w:r>
      <w:r w:rsidR="00F2548E" w:rsidRPr="00441478">
        <w:rPr>
          <w:rFonts w:asciiTheme="majorBidi" w:hAnsiTheme="majorBidi"/>
          <w:color w:val="auto"/>
          <w:sz w:val="26"/>
          <w:szCs w:val="26"/>
          <w:lang w:val="en-GB"/>
        </w:rPr>
        <w:t xml:space="preserve">he definition is </w:t>
      </w:r>
      <w:r w:rsidR="00C80074" w:rsidRPr="00441478">
        <w:rPr>
          <w:rFonts w:asciiTheme="majorBidi" w:hAnsiTheme="majorBidi"/>
          <w:color w:val="auto"/>
          <w:sz w:val="26"/>
          <w:szCs w:val="26"/>
          <w:lang w:val="en-GB"/>
        </w:rPr>
        <w:t xml:space="preserve">also </w:t>
      </w:r>
      <w:r w:rsidR="00F2548E" w:rsidRPr="00441478">
        <w:rPr>
          <w:rFonts w:asciiTheme="majorBidi" w:hAnsiTheme="majorBidi"/>
          <w:color w:val="auto"/>
          <w:sz w:val="26"/>
          <w:szCs w:val="26"/>
          <w:lang w:val="en-GB"/>
        </w:rPr>
        <w:t xml:space="preserve">referring to the consistency </w:t>
      </w:r>
      <w:r w:rsidR="00C80074" w:rsidRPr="00441478">
        <w:rPr>
          <w:rFonts w:asciiTheme="majorBidi" w:hAnsiTheme="majorBidi"/>
          <w:color w:val="auto"/>
          <w:sz w:val="26"/>
          <w:szCs w:val="26"/>
          <w:lang w:val="en-GB"/>
        </w:rPr>
        <w:t xml:space="preserve">of </w:t>
      </w:r>
      <w:r w:rsidR="00F2548E" w:rsidRPr="00441478">
        <w:rPr>
          <w:rFonts w:asciiTheme="majorBidi" w:hAnsiTheme="majorBidi"/>
          <w:color w:val="auto"/>
          <w:sz w:val="26"/>
          <w:szCs w:val="26"/>
          <w:lang w:val="en-GB"/>
        </w:rPr>
        <w:t>using accounting methods which lead</w:t>
      </w:r>
      <w:r w:rsidR="007D3C6D">
        <w:rPr>
          <w:rFonts w:asciiTheme="majorBidi" w:hAnsiTheme="majorBidi"/>
          <w:color w:val="auto"/>
          <w:sz w:val="26"/>
          <w:szCs w:val="26"/>
          <w:lang w:val="en-GB"/>
        </w:rPr>
        <w:t>s</w:t>
      </w:r>
      <w:r w:rsidR="00F2548E" w:rsidRPr="00441478">
        <w:rPr>
          <w:rFonts w:asciiTheme="majorBidi" w:hAnsiTheme="majorBidi"/>
          <w:color w:val="auto"/>
          <w:sz w:val="26"/>
          <w:szCs w:val="26"/>
          <w:lang w:val="en-GB"/>
        </w:rPr>
        <w:t xml:space="preserve"> to </w:t>
      </w:r>
      <w:r w:rsidR="00C80074" w:rsidRPr="00441478">
        <w:rPr>
          <w:rFonts w:asciiTheme="majorBidi" w:hAnsiTheme="majorBidi"/>
          <w:color w:val="auto"/>
          <w:sz w:val="26"/>
          <w:szCs w:val="26"/>
          <w:lang w:val="en-GB"/>
        </w:rPr>
        <w:t xml:space="preserve">improving </w:t>
      </w:r>
      <w:r w:rsidR="006B1C85" w:rsidRPr="00441478">
        <w:rPr>
          <w:rFonts w:asciiTheme="majorBidi" w:hAnsiTheme="majorBidi"/>
          <w:color w:val="auto"/>
          <w:sz w:val="26"/>
          <w:szCs w:val="26"/>
          <w:lang w:val="en-GB"/>
        </w:rPr>
        <w:t>EQ</w:t>
      </w:r>
      <w:r w:rsidR="00F2548E" w:rsidRPr="00441478">
        <w:rPr>
          <w:rFonts w:asciiTheme="majorBidi" w:hAnsiTheme="majorBidi"/>
          <w:color w:val="auto"/>
          <w:sz w:val="26"/>
          <w:szCs w:val="26"/>
          <w:lang w:val="en-GB"/>
        </w:rPr>
        <w:t>.</w:t>
      </w:r>
      <w:r w:rsidR="001F48F8" w:rsidRPr="00441478">
        <w:rPr>
          <w:rFonts w:asciiTheme="majorBidi" w:hAnsiTheme="majorBidi"/>
          <w:color w:val="auto"/>
          <w:sz w:val="26"/>
          <w:szCs w:val="26"/>
          <w:lang w:val="en-GB"/>
        </w:rPr>
        <w:t xml:space="preserve"> </w:t>
      </w:r>
    </w:p>
    <w:p w14:paraId="66FD6712" w14:textId="5533D466" w:rsidR="00F2548E" w:rsidRPr="00441478" w:rsidRDefault="006B1C85" w:rsidP="00441478">
      <w:pPr>
        <w:autoSpaceDE w:val="0"/>
        <w:autoSpaceDN w:val="0"/>
        <w:adjustRightInd w:val="0"/>
        <w:snapToGrid w:val="0"/>
        <w:spacing w:after="0" w:line="360" w:lineRule="exact"/>
        <w:ind w:firstLine="510"/>
        <w:jc w:val="both"/>
        <w:rPr>
          <w:rFonts w:asciiTheme="majorBidi" w:hAnsiTheme="majorBidi"/>
          <w:sz w:val="26"/>
          <w:szCs w:val="26"/>
        </w:rPr>
      </w:pPr>
      <w:r w:rsidRPr="00441478">
        <w:rPr>
          <w:rFonts w:asciiTheme="majorBidi" w:hAnsiTheme="majorBidi"/>
          <w:sz w:val="26"/>
          <w:szCs w:val="26"/>
        </w:rPr>
        <w:t>EQ</w:t>
      </w:r>
      <w:r w:rsidR="00F2548E" w:rsidRPr="00441478">
        <w:rPr>
          <w:rFonts w:asciiTheme="majorBidi" w:hAnsiTheme="majorBidi"/>
          <w:sz w:val="26"/>
          <w:szCs w:val="26"/>
        </w:rPr>
        <w:t xml:space="preserve"> </w:t>
      </w:r>
      <w:r w:rsidR="00C80074" w:rsidRPr="00441478">
        <w:rPr>
          <w:rFonts w:asciiTheme="majorBidi" w:hAnsiTheme="majorBidi"/>
          <w:sz w:val="26"/>
          <w:szCs w:val="26"/>
        </w:rPr>
        <w:t xml:space="preserve">is </w:t>
      </w:r>
      <w:r w:rsidR="00F2548E" w:rsidRPr="00441478">
        <w:rPr>
          <w:rFonts w:asciiTheme="majorBidi" w:hAnsiTheme="majorBidi"/>
          <w:sz w:val="26"/>
          <w:szCs w:val="26"/>
        </w:rPr>
        <w:t xml:space="preserve">discussed in the frame of firm performance as reported earnings </w:t>
      </w:r>
      <w:r w:rsidR="00ED5B65" w:rsidRPr="00441478">
        <w:rPr>
          <w:rFonts w:asciiTheme="majorBidi" w:hAnsiTheme="majorBidi"/>
          <w:sz w:val="26"/>
          <w:szCs w:val="26"/>
        </w:rPr>
        <w:t>are</w:t>
      </w:r>
      <w:r w:rsidR="00F2548E" w:rsidRPr="00441478">
        <w:rPr>
          <w:rFonts w:asciiTheme="majorBidi" w:hAnsiTheme="majorBidi"/>
          <w:sz w:val="26"/>
          <w:szCs w:val="26"/>
        </w:rPr>
        <w:t xml:space="preserve"> used to predict </w:t>
      </w:r>
      <w:r w:rsidR="007D3C6D">
        <w:rPr>
          <w:rFonts w:asciiTheme="majorBidi" w:hAnsiTheme="majorBidi"/>
          <w:sz w:val="26"/>
          <w:szCs w:val="26"/>
        </w:rPr>
        <w:t xml:space="preserve">the </w:t>
      </w:r>
      <w:r w:rsidR="00F2548E" w:rsidRPr="00441478">
        <w:rPr>
          <w:rFonts w:asciiTheme="majorBidi" w:hAnsiTheme="majorBidi"/>
          <w:sz w:val="26"/>
          <w:szCs w:val="26"/>
        </w:rPr>
        <w:t>future perfor</w:t>
      </w:r>
      <w:r w:rsidR="007C7EE2" w:rsidRPr="00441478">
        <w:rPr>
          <w:rFonts w:asciiTheme="majorBidi" w:hAnsiTheme="majorBidi"/>
          <w:sz w:val="26"/>
          <w:szCs w:val="26"/>
        </w:rPr>
        <w:t xml:space="preserve">mance of </w:t>
      </w:r>
      <w:r w:rsidR="00C80074" w:rsidRPr="00441478">
        <w:rPr>
          <w:rFonts w:asciiTheme="majorBidi" w:hAnsiTheme="majorBidi"/>
          <w:sz w:val="26"/>
          <w:szCs w:val="26"/>
        </w:rPr>
        <w:t xml:space="preserve">a </w:t>
      </w:r>
      <w:r w:rsidR="007C7EE2" w:rsidRPr="00441478">
        <w:rPr>
          <w:rFonts w:asciiTheme="majorBidi" w:hAnsiTheme="majorBidi"/>
          <w:sz w:val="26"/>
          <w:szCs w:val="26"/>
        </w:rPr>
        <w:t xml:space="preserve">firm (Chan et al., </w:t>
      </w:r>
      <w:r w:rsidR="00F2548E" w:rsidRPr="00441478">
        <w:rPr>
          <w:rFonts w:asciiTheme="majorBidi" w:hAnsiTheme="majorBidi"/>
          <w:sz w:val="26"/>
          <w:szCs w:val="26"/>
        </w:rPr>
        <w:t>2006). According to Francis et al.</w:t>
      </w:r>
      <w:r w:rsidR="00944F99" w:rsidRPr="00441478">
        <w:rPr>
          <w:rFonts w:asciiTheme="majorBidi" w:hAnsiTheme="majorBidi"/>
          <w:sz w:val="26"/>
          <w:szCs w:val="26"/>
        </w:rPr>
        <w:t xml:space="preserve"> (</w:t>
      </w:r>
      <w:r w:rsidR="00F2548E" w:rsidRPr="00441478">
        <w:rPr>
          <w:rFonts w:asciiTheme="majorBidi" w:hAnsiTheme="majorBidi"/>
          <w:sz w:val="26"/>
          <w:szCs w:val="26"/>
        </w:rPr>
        <w:t>2004)</w:t>
      </w:r>
      <w:r w:rsidR="00C80074" w:rsidRPr="00441478">
        <w:rPr>
          <w:rFonts w:asciiTheme="majorBidi" w:hAnsiTheme="majorBidi"/>
          <w:sz w:val="26"/>
          <w:szCs w:val="26"/>
        </w:rPr>
        <w:t>,</w:t>
      </w:r>
      <w:r w:rsidR="00F2548E" w:rsidRPr="00441478">
        <w:rPr>
          <w:rFonts w:asciiTheme="majorBidi" w:hAnsiTheme="majorBidi"/>
          <w:sz w:val="26"/>
          <w:szCs w:val="26"/>
        </w:rPr>
        <w:t xml:space="preserve"> </w:t>
      </w:r>
      <w:r w:rsidRPr="00441478">
        <w:rPr>
          <w:rFonts w:asciiTheme="majorBidi" w:hAnsiTheme="majorBidi"/>
          <w:sz w:val="26"/>
          <w:szCs w:val="26"/>
        </w:rPr>
        <w:t>EQ</w:t>
      </w:r>
      <w:r w:rsidR="00F2548E" w:rsidRPr="00441478">
        <w:rPr>
          <w:rFonts w:asciiTheme="majorBidi" w:hAnsiTheme="majorBidi"/>
          <w:sz w:val="26"/>
          <w:szCs w:val="26"/>
        </w:rPr>
        <w:t xml:space="preserve"> is used to extract value-relevant information from </w:t>
      </w:r>
      <w:r w:rsidR="00C80074" w:rsidRPr="00441478">
        <w:rPr>
          <w:rFonts w:asciiTheme="majorBidi" w:hAnsiTheme="majorBidi"/>
          <w:sz w:val="26"/>
          <w:szCs w:val="26"/>
        </w:rPr>
        <w:t xml:space="preserve">the </w:t>
      </w:r>
      <w:r w:rsidR="006F15D5">
        <w:rPr>
          <w:rFonts w:asciiTheme="majorBidi" w:hAnsiTheme="majorBidi"/>
          <w:sz w:val="26"/>
          <w:szCs w:val="26"/>
        </w:rPr>
        <w:t>earnings trend</w:t>
      </w:r>
      <w:r w:rsidR="00F2548E" w:rsidRPr="00441478">
        <w:rPr>
          <w:rFonts w:asciiTheme="majorBidi" w:hAnsiTheme="majorBidi"/>
          <w:sz w:val="26"/>
          <w:szCs w:val="26"/>
        </w:rPr>
        <w:t xml:space="preserve">. </w:t>
      </w:r>
      <w:proofErr w:type="spellStart"/>
      <w:r w:rsidR="00F2548E" w:rsidRPr="00441478">
        <w:rPr>
          <w:rFonts w:asciiTheme="majorBidi" w:hAnsiTheme="majorBidi"/>
          <w:sz w:val="26"/>
          <w:szCs w:val="26"/>
        </w:rPr>
        <w:t>Radzi</w:t>
      </w:r>
      <w:proofErr w:type="spellEnd"/>
      <w:r w:rsidR="00F2548E" w:rsidRPr="00441478">
        <w:rPr>
          <w:rFonts w:asciiTheme="majorBidi" w:hAnsiTheme="majorBidi"/>
          <w:sz w:val="26"/>
          <w:szCs w:val="26"/>
        </w:rPr>
        <w:t xml:space="preserve"> et al.</w:t>
      </w:r>
      <w:r w:rsidR="00944F99" w:rsidRPr="00441478">
        <w:rPr>
          <w:rFonts w:asciiTheme="majorBidi" w:hAnsiTheme="majorBidi"/>
          <w:sz w:val="26"/>
          <w:szCs w:val="26"/>
        </w:rPr>
        <w:t xml:space="preserve"> (</w:t>
      </w:r>
      <w:r w:rsidR="00F2548E" w:rsidRPr="00441478">
        <w:rPr>
          <w:rFonts w:asciiTheme="majorBidi" w:hAnsiTheme="majorBidi"/>
          <w:sz w:val="26"/>
          <w:szCs w:val="26"/>
        </w:rPr>
        <w:t xml:space="preserve">2011) </w:t>
      </w:r>
      <w:r w:rsidR="00DA60D0" w:rsidRPr="00441478">
        <w:rPr>
          <w:rFonts w:asciiTheme="majorBidi" w:hAnsiTheme="majorBidi" w:cstheme="majorBidi"/>
          <w:sz w:val="26"/>
          <w:szCs w:val="26"/>
        </w:rPr>
        <w:t>defined</w:t>
      </w:r>
      <w:r w:rsidR="00F2548E" w:rsidRPr="00441478">
        <w:rPr>
          <w:rFonts w:asciiTheme="majorBidi" w:hAnsiTheme="majorBidi" w:cstheme="majorBidi"/>
          <w:sz w:val="26"/>
          <w:szCs w:val="26"/>
        </w:rPr>
        <w:t xml:space="preserve"> </w:t>
      </w:r>
      <w:r w:rsidR="00DA60D0" w:rsidRPr="00441478">
        <w:rPr>
          <w:rFonts w:asciiTheme="majorBidi" w:hAnsiTheme="majorBidi" w:cstheme="majorBidi"/>
          <w:sz w:val="26"/>
          <w:szCs w:val="26"/>
        </w:rPr>
        <w:t>EQ in the frame of</w:t>
      </w:r>
      <w:r w:rsidR="00DA60D0" w:rsidRPr="00441478">
        <w:rPr>
          <w:rFonts w:asciiTheme="majorBidi" w:hAnsiTheme="majorBidi"/>
          <w:sz w:val="26"/>
          <w:szCs w:val="26"/>
        </w:rPr>
        <w:t xml:space="preserve"> characteristics of useful financial information</w:t>
      </w:r>
      <w:r w:rsidR="00DA60D0" w:rsidRPr="00441478">
        <w:rPr>
          <w:rFonts w:asciiTheme="majorBidi" w:hAnsiTheme="majorBidi" w:cstheme="majorBidi"/>
          <w:sz w:val="26"/>
          <w:szCs w:val="26"/>
        </w:rPr>
        <w:t xml:space="preserve">; </w:t>
      </w:r>
      <w:r w:rsidR="00F2548E" w:rsidRPr="00441478">
        <w:rPr>
          <w:rFonts w:asciiTheme="majorBidi" w:hAnsiTheme="majorBidi" w:cstheme="majorBidi"/>
          <w:sz w:val="26"/>
          <w:szCs w:val="26"/>
        </w:rPr>
        <w:t>reliability</w:t>
      </w:r>
      <w:r w:rsidR="00F2548E" w:rsidRPr="00441478">
        <w:rPr>
          <w:rFonts w:asciiTheme="majorBidi" w:hAnsiTheme="majorBidi"/>
          <w:sz w:val="26"/>
          <w:szCs w:val="26"/>
        </w:rPr>
        <w:t xml:space="preserve"> and </w:t>
      </w:r>
      <w:r w:rsidR="00F2548E" w:rsidRPr="00441478">
        <w:rPr>
          <w:rFonts w:asciiTheme="majorBidi" w:hAnsiTheme="majorBidi" w:cstheme="majorBidi"/>
          <w:sz w:val="26"/>
          <w:szCs w:val="26"/>
        </w:rPr>
        <w:t>relevance.</w:t>
      </w:r>
      <w:r w:rsidR="00F2548E" w:rsidRPr="00441478">
        <w:rPr>
          <w:rFonts w:asciiTheme="majorBidi" w:hAnsiTheme="majorBidi"/>
          <w:sz w:val="26"/>
          <w:szCs w:val="26"/>
        </w:rPr>
        <w:t xml:space="preserve"> An (2017) pointed out that </w:t>
      </w:r>
      <w:r w:rsidR="006F15D5">
        <w:rPr>
          <w:rFonts w:asciiTheme="majorBidi" w:hAnsiTheme="majorBidi"/>
          <w:sz w:val="26"/>
          <w:szCs w:val="26"/>
        </w:rPr>
        <w:t>investors use EQ</w:t>
      </w:r>
      <w:r w:rsidR="00690A69" w:rsidRPr="00441478">
        <w:rPr>
          <w:rFonts w:asciiTheme="majorBidi" w:hAnsiTheme="majorBidi"/>
          <w:sz w:val="26"/>
          <w:szCs w:val="26"/>
        </w:rPr>
        <w:t xml:space="preserve"> </w:t>
      </w:r>
      <w:r w:rsidR="00F2548E" w:rsidRPr="00441478">
        <w:rPr>
          <w:rFonts w:asciiTheme="majorBidi" w:hAnsiTheme="majorBidi"/>
          <w:sz w:val="26"/>
          <w:szCs w:val="26"/>
        </w:rPr>
        <w:t xml:space="preserve">for contracting purposes. </w:t>
      </w:r>
    </w:p>
    <w:p w14:paraId="22681D98" w14:textId="1AD3FD93" w:rsidR="009F1512" w:rsidRPr="00441478" w:rsidRDefault="009F1512" w:rsidP="00441478">
      <w:pPr>
        <w:autoSpaceDE w:val="0"/>
        <w:autoSpaceDN w:val="0"/>
        <w:adjustRightInd w:val="0"/>
        <w:snapToGrid w:val="0"/>
        <w:spacing w:after="0" w:line="360" w:lineRule="exact"/>
        <w:ind w:firstLine="510"/>
        <w:jc w:val="both"/>
        <w:rPr>
          <w:rFonts w:asciiTheme="majorBidi" w:hAnsiTheme="majorBidi"/>
          <w:sz w:val="26"/>
          <w:szCs w:val="26"/>
        </w:rPr>
      </w:pPr>
      <w:r w:rsidRPr="00441478">
        <w:rPr>
          <w:rFonts w:asciiTheme="majorBidi" w:hAnsiTheme="majorBidi"/>
          <w:sz w:val="26"/>
          <w:szCs w:val="26"/>
        </w:rPr>
        <w:t>Leal et al.</w:t>
      </w:r>
      <w:r w:rsidR="00944F99" w:rsidRPr="00441478">
        <w:rPr>
          <w:rFonts w:asciiTheme="majorBidi" w:hAnsiTheme="majorBidi"/>
          <w:sz w:val="26"/>
          <w:szCs w:val="26"/>
        </w:rPr>
        <w:t xml:space="preserve"> (</w:t>
      </w:r>
      <w:r w:rsidRPr="00441478">
        <w:rPr>
          <w:rFonts w:asciiTheme="majorBidi" w:hAnsiTheme="majorBidi"/>
          <w:sz w:val="26"/>
          <w:szCs w:val="26"/>
        </w:rPr>
        <w:t xml:space="preserve">2017) discussed that </w:t>
      </w:r>
      <w:r w:rsidR="00E47BC7" w:rsidRPr="00441478">
        <w:rPr>
          <w:rFonts w:asciiTheme="majorBidi" w:hAnsiTheme="majorBidi"/>
          <w:sz w:val="26"/>
          <w:szCs w:val="26"/>
        </w:rPr>
        <w:t xml:space="preserve">most of the studies </w:t>
      </w:r>
      <w:r w:rsidR="00690A69" w:rsidRPr="00441478">
        <w:rPr>
          <w:rFonts w:asciiTheme="majorBidi" w:hAnsiTheme="majorBidi"/>
          <w:sz w:val="26"/>
          <w:szCs w:val="26"/>
        </w:rPr>
        <w:t xml:space="preserve">on </w:t>
      </w:r>
      <w:r w:rsidR="006B1C85" w:rsidRPr="00441478">
        <w:rPr>
          <w:rFonts w:asciiTheme="majorBidi" w:hAnsiTheme="majorBidi"/>
          <w:sz w:val="26"/>
          <w:szCs w:val="26"/>
        </w:rPr>
        <w:t>EQ</w:t>
      </w:r>
      <w:r w:rsidR="00E47BC7" w:rsidRPr="00441478">
        <w:rPr>
          <w:rFonts w:asciiTheme="majorBidi" w:hAnsiTheme="majorBidi"/>
          <w:sz w:val="26"/>
          <w:szCs w:val="26"/>
        </w:rPr>
        <w:t xml:space="preserve"> seek to provide valuable information for stakeholders about </w:t>
      </w:r>
      <w:r w:rsidR="006B1C85" w:rsidRPr="00441478">
        <w:rPr>
          <w:rFonts w:asciiTheme="majorBidi" w:hAnsiTheme="majorBidi"/>
          <w:sz w:val="26"/>
          <w:szCs w:val="26"/>
        </w:rPr>
        <w:t>EQ</w:t>
      </w:r>
      <w:r w:rsidR="00E47BC7" w:rsidRPr="00441478">
        <w:rPr>
          <w:rFonts w:asciiTheme="majorBidi" w:hAnsiTheme="majorBidi"/>
          <w:sz w:val="26"/>
          <w:szCs w:val="26"/>
        </w:rPr>
        <w:t xml:space="preserve"> and reduce </w:t>
      </w:r>
      <w:r w:rsidR="006979B0" w:rsidRPr="00441478">
        <w:rPr>
          <w:rFonts w:asciiTheme="majorBidi" w:hAnsiTheme="majorBidi"/>
          <w:sz w:val="26"/>
          <w:szCs w:val="26"/>
        </w:rPr>
        <w:t xml:space="preserve">uncertainties in the capital markets. </w:t>
      </w:r>
      <w:r w:rsidR="003E249B" w:rsidRPr="00441478">
        <w:rPr>
          <w:rFonts w:asciiTheme="majorBidi" w:hAnsiTheme="majorBidi"/>
          <w:sz w:val="26"/>
          <w:szCs w:val="26"/>
        </w:rPr>
        <w:t xml:space="preserve">Therefore, the content of information presented in financial statements </w:t>
      </w:r>
      <w:r w:rsidR="00486491" w:rsidRPr="00441478">
        <w:rPr>
          <w:rFonts w:asciiTheme="majorBidi" w:hAnsiTheme="majorBidi"/>
          <w:sz w:val="26"/>
          <w:szCs w:val="26"/>
        </w:rPr>
        <w:t>is</w:t>
      </w:r>
      <w:r w:rsidR="00DA60D0" w:rsidRPr="00441478">
        <w:rPr>
          <w:rFonts w:asciiTheme="majorBidi" w:hAnsiTheme="majorBidi"/>
          <w:sz w:val="26"/>
          <w:szCs w:val="26"/>
        </w:rPr>
        <w:t xml:space="preserve"> </w:t>
      </w:r>
      <w:r w:rsidR="003E249B" w:rsidRPr="00441478">
        <w:rPr>
          <w:rFonts w:asciiTheme="majorBidi" w:hAnsiTheme="majorBidi"/>
          <w:sz w:val="26"/>
          <w:szCs w:val="26"/>
        </w:rPr>
        <w:t>an essential source of relevance and reliability.</w:t>
      </w:r>
      <w:r w:rsidR="001F48F8" w:rsidRPr="00441478">
        <w:rPr>
          <w:rFonts w:asciiTheme="majorBidi" w:hAnsiTheme="majorBidi"/>
          <w:sz w:val="26"/>
          <w:szCs w:val="26"/>
        </w:rPr>
        <w:t xml:space="preserve"> </w:t>
      </w:r>
      <w:r w:rsidRPr="00441478">
        <w:rPr>
          <w:rFonts w:asciiTheme="majorBidi" w:hAnsiTheme="majorBidi"/>
          <w:sz w:val="26"/>
          <w:szCs w:val="26"/>
        </w:rPr>
        <w:t xml:space="preserve"> </w:t>
      </w:r>
    </w:p>
    <w:p w14:paraId="0F4413F5" w14:textId="2C4F2EE3" w:rsidR="00F2548E" w:rsidRPr="00441478" w:rsidRDefault="006A31C3" w:rsidP="00C8366C">
      <w:pPr>
        <w:autoSpaceDE w:val="0"/>
        <w:autoSpaceDN w:val="0"/>
        <w:adjustRightInd w:val="0"/>
        <w:snapToGrid w:val="0"/>
        <w:spacing w:after="0" w:line="360" w:lineRule="exact"/>
        <w:ind w:firstLine="510"/>
        <w:jc w:val="both"/>
        <w:rPr>
          <w:rFonts w:asciiTheme="majorBidi" w:hAnsiTheme="majorBidi"/>
          <w:sz w:val="26"/>
          <w:szCs w:val="26"/>
        </w:rPr>
      </w:pPr>
      <w:r w:rsidRPr="00441478">
        <w:rPr>
          <w:rFonts w:asciiTheme="majorBidi" w:hAnsiTheme="majorBidi"/>
          <w:sz w:val="26"/>
          <w:szCs w:val="26"/>
        </w:rPr>
        <w:t>As per the International Financial Reporting Standards (IFRS)</w:t>
      </w:r>
      <w:r w:rsidR="006F15D5">
        <w:rPr>
          <w:rFonts w:asciiTheme="majorBidi" w:hAnsiTheme="majorBidi"/>
          <w:sz w:val="26"/>
          <w:szCs w:val="26"/>
        </w:rPr>
        <w:t xml:space="preserve"> conceptual framework</w:t>
      </w:r>
      <w:r w:rsidRPr="00441478">
        <w:rPr>
          <w:rFonts w:asciiTheme="majorBidi" w:hAnsiTheme="majorBidi"/>
          <w:sz w:val="26"/>
          <w:szCs w:val="26"/>
        </w:rPr>
        <w:t xml:space="preserve">, relevance and reliability or faithful representative are the most important qualitative characteristics of financial reporting. Relevance means that information has predictive value in the future and </w:t>
      </w:r>
      <w:r w:rsidR="00690A69" w:rsidRPr="00441478">
        <w:rPr>
          <w:rFonts w:asciiTheme="majorBidi" w:hAnsiTheme="majorBidi"/>
          <w:sz w:val="26"/>
          <w:szCs w:val="26"/>
        </w:rPr>
        <w:t xml:space="preserve">is </w:t>
      </w:r>
      <w:r w:rsidRPr="00441478">
        <w:rPr>
          <w:rFonts w:asciiTheme="majorBidi" w:hAnsiTheme="majorBidi"/>
          <w:sz w:val="26"/>
          <w:szCs w:val="26"/>
        </w:rPr>
        <w:t xml:space="preserve">related to </w:t>
      </w:r>
      <w:r w:rsidR="00F72273" w:rsidRPr="00441478">
        <w:rPr>
          <w:rFonts w:asciiTheme="majorBidi" w:hAnsiTheme="majorBidi"/>
          <w:sz w:val="26"/>
          <w:szCs w:val="26"/>
        </w:rPr>
        <w:t xml:space="preserve">decision </w:t>
      </w:r>
      <w:r w:rsidRPr="00441478">
        <w:rPr>
          <w:rFonts w:asciiTheme="majorBidi" w:hAnsiTheme="majorBidi"/>
          <w:sz w:val="26"/>
          <w:szCs w:val="26"/>
        </w:rPr>
        <w:t>usefulness</w:t>
      </w:r>
      <w:r w:rsidR="00690A69" w:rsidRPr="00441478">
        <w:rPr>
          <w:rFonts w:asciiTheme="majorBidi" w:hAnsiTheme="majorBidi"/>
          <w:sz w:val="26"/>
          <w:szCs w:val="26"/>
        </w:rPr>
        <w:t>,</w:t>
      </w:r>
      <w:r w:rsidRPr="00441478">
        <w:rPr>
          <w:rFonts w:asciiTheme="majorBidi" w:hAnsiTheme="majorBidi"/>
          <w:sz w:val="26"/>
          <w:szCs w:val="26"/>
        </w:rPr>
        <w:t xml:space="preserve"> whereas reliability means complete, neutral</w:t>
      </w:r>
      <w:r w:rsidR="007D3C6D">
        <w:rPr>
          <w:rFonts w:asciiTheme="majorBidi" w:hAnsiTheme="majorBidi"/>
          <w:sz w:val="26"/>
          <w:szCs w:val="26"/>
        </w:rPr>
        <w:t>,</w:t>
      </w:r>
      <w:r w:rsidRPr="00441478">
        <w:rPr>
          <w:rFonts w:asciiTheme="majorBidi" w:hAnsiTheme="majorBidi"/>
          <w:sz w:val="26"/>
          <w:szCs w:val="26"/>
        </w:rPr>
        <w:t xml:space="preserve"> and free from error and </w:t>
      </w:r>
      <w:r w:rsidR="00690A69" w:rsidRPr="00441478">
        <w:rPr>
          <w:rFonts w:asciiTheme="majorBidi" w:hAnsiTheme="majorBidi"/>
          <w:sz w:val="26"/>
          <w:szCs w:val="26"/>
        </w:rPr>
        <w:t xml:space="preserve">is </w:t>
      </w:r>
      <w:r w:rsidRPr="00441478">
        <w:rPr>
          <w:rFonts w:asciiTheme="majorBidi" w:hAnsiTheme="majorBidi"/>
          <w:sz w:val="26"/>
          <w:szCs w:val="26"/>
        </w:rPr>
        <w:t xml:space="preserve">related to accountability. An (2017) indicated that </w:t>
      </w:r>
      <w:r w:rsidR="006B1C85" w:rsidRPr="00441478">
        <w:rPr>
          <w:rFonts w:asciiTheme="majorBidi" w:hAnsiTheme="majorBidi"/>
          <w:sz w:val="26"/>
          <w:szCs w:val="26"/>
        </w:rPr>
        <w:t>EQ</w:t>
      </w:r>
      <w:r w:rsidRPr="00441478">
        <w:rPr>
          <w:rFonts w:asciiTheme="majorBidi" w:hAnsiTheme="majorBidi"/>
          <w:sz w:val="26"/>
          <w:szCs w:val="26"/>
        </w:rPr>
        <w:t xml:space="preserve"> is measured with these two types of approaches. The first approach focus</w:t>
      </w:r>
      <w:r w:rsidR="00690A69" w:rsidRPr="00441478">
        <w:rPr>
          <w:rFonts w:asciiTheme="majorBidi" w:hAnsiTheme="majorBidi"/>
          <w:sz w:val="26"/>
          <w:szCs w:val="26"/>
        </w:rPr>
        <w:t>es</w:t>
      </w:r>
      <w:r w:rsidRPr="00441478">
        <w:rPr>
          <w:rFonts w:asciiTheme="majorBidi" w:hAnsiTheme="majorBidi"/>
          <w:sz w:val="26"/>
          <w:szCs w:val="26"/>
        </w:rPr>
        <w:t xml:space="preserve"> on the quality of financial reporting as </w:t>
      </w:r>
      <w:r w:rsidR="006B1C85" w:rsidRPr="00441478">
        <w:rPr>
          <w:rFonts w:asciiTheme="majorBidi" w:hAnsiTheme="majorBidi"/>
          <w:sz w:val="26"/>
          <w:szCs w:val="26"/>
        </w:rPr>
        <w:t>EQ</w:t>
      </w:r>
      <w:r w:rsidRPr="00441478">
        <w:rPr>
          <w:rFonts w:asciiTheme="majorBidi" w:hAnsiTheme="majorBidi"/>
          <w:sz w:val="26"/>
          <w:szCs w:val="26"/>
        </w:rPr>
        <w:t xml:space="preserve"> is associated with the relevance of </w:t>
      </w:r>
      <w:r w:rsidRPr="00441478">
        <w:rPr>
          <w:rFonts w:asciiTheme="majorBidi" w:hAnsiTheme="majorBidi"/>
          <w:sz w:val="26"/>
          <w:szCs w:val="26"/>
        </w:rPr>
        <w:lastRenderedPageBreak/>
        <w:t>the financial information and measured by earnings persistence and value</w:t>
      </w:r>
      <w:r w:rsidR="00690A69" w:rsidRPr="00441478">
        <w:rPr>
          <w:rFonts w:asciiTheme="majorBidi" w:hAnsiTheme="majorBidi"/>
          <w:sz w:val="26"/>
          <w:szCs w:val="26"/>
        </w:rPr>
        <w:t xml:space="preserve"> </w:t>
      </w:r>
      <w:r w:rsidRPr="00441478">
        <w:rPr>
          <w:rFonts w:asciiTheme="majorBidi" w:hAnsiTheme="majorBidi"/>
          <w:sz w:val="26"/>
          <w:szCs w:val="26"/>
        </w:rPr>
        <w:t>relevance. The second approach</w:t>
      </w:r>
      <w:r w:rsidR="00690A69" w:rsidRPr="00441478">
        <w:rPr>
          <w:rFonts w:asciiTheme="majorBidi" w:hAnsiTheme="majorBidi"/>
          <w:sz w:val="26"/>
          <w:szCs w:val="26"/>
        </w:rPr>
        <w:t>, i.e.</w:t>
      </w:r>
      <w:r w:rsidR="007D3C6D">
        <w:rPr>
          <w:rFonts w:asciiTheme="majorBidi" w:hAnsiTheme="majorBidi"/>
          <w:sz w:val="26"/>
          <w:szCs w:val="26"/>
        </w:rPr>
        <w:t>,</w:t>
      </w:r>
      <w:r w:rsidR="00690A69" w:rsidRPr="00441478">
        <w:rPr>
          <w:rFonts w:asciiTheme="majorBidi" w:hAnsiTheme="majorBidi"/>
          <w:sz w:val="26"/>
          <w:szCs w:val="26"/>
        </w:rPr>
        <w:t xml:space="preserve"> </w:t>
      </w:r>
      <w:r w:rsidRPr="00441478">
        <w:rPr>
          <w:rFonts w:asciiTheme="majorBidi" w:hAnsiTheme="majorBidi"/>
          <w:sz w:val="26"/>
          <w:szCs w:val="26"/>
        </w:rPr>
        <w:t>accountability</w:t>
      </w:r>
      <w:r w:rsidR="00690A69" w:rsidRPr="00441478">
        <w:rPr>
          <w:rFonts w:asciiTheme="majorBidi" w:hAnsiTheme="majorBidi"/>
          <w:sz w:val="26"/>
          <w:szCs w:val="26"/>
        </w:rPr>
        <w:t>,</w:t>
      </w:r>
      <w:r w:rsidRPr="00441478">
        <w:rPr>
          <w:rFonts w:asciiTheme="majorBidi" w:hAnsiTheme="majorBidi"/>
          <w:sz w:val="26"/>
          <w:szCs w:val="26"/>
        </w:rPr>
        <w:t xml:space="preserve"> is related to the reliability of financial information and measured by conservatism and accruals quality. </w:t>
      </w:r>
      <w:proofErr w:type="spellStart"/>
      <w:r w:rsidRPr="00441478">
        <w:rPr>
          <w:rFonts w:asciiTheme="majorBidi" w:hAnsiTheme="majorBidi"/>
          <w:sz w:val="26"/>
          <w:szCs w:val="26"/>
        </w:rPr>
        <w:t>Perotti</w:t>
      </w:r>
      <w:proofErr w:type="spellEnd"/>
      <w:r w:rsidRPr="00441478">
        <w:rPr>
          <w:rFonts w:asciiTheme="majorBidi" w:hAnsiTheme="majorBidi"/>
          <w:sz w:val="26"/>
          <w:szCs w:val="26"/>
        </w:rPr>
        <w:t xml:space="preserve"> </w:t>
      </w:r>
      <w:r w:rsidR="00523653">
        <w:rPr>
          <w:rFonts w:asciiTheme="majorBidi" w:hAnsiTheme="majorBidi"/>
          <w:sz w:val="26"/>
          <w:szCs w:val="26"/>
        </w:rPr>
        <w:t>and</w:t>
      </w:r>
      <w:r w:rsidR="00C8366C">
        <w:rPr>
          <w:rFonts w:asciiTheme="majorBidi" w:hAnsiTheme="majorBidi"/>
          <w:sz w:val="26"/>
          <w:szCs w:val="26"/>
        </w:rPr>
        <w:t xml:space="preserve"> </w:t>
      </w:r>
      <w:proofErr w:type="spellStart"/>
      <w:r w:rsidR="00A962D9">
        <w:rPr>
          <w:rFonts w:asciiTheme="majorBidi" w:hAnsiTheme="majorBidi"/>
          <w:sz w:val="26"/>
          <w:szCs w:val="26"/>
        </w:rPr>
        <w:t>Wagenhofer</w:t>
      </w:r>
      <w:proofErr w:type="spellEnd"/>
      <w:r w:rsidRPr="00441478">
        <w:rPr>
          <w:rFonts w:asciiTheme="majorBidi" w:hAnsiTheme="majorBidi"/>
          <w:sz w:val="26"/>
          <w:szCs w:val="26"/>
        </w:rPr>
        <w:t xml:space="preserve"> (2014)</w:t>
      </w:r>
      <w:r w:rsidR="00281431" w:rsidRPr="00441478">
        <w:rPr>
          <w:rFonts w:asciiTheme="majorBidi" w:hAnsiTheme="majorBidi"/>
          <w:sz w:val="26"/>
          <w:szCs w:val="26"/>
        </w:rPr>
        <w:t xml:space="preserve"> and Vo </w:t>
      </w:r>
      <w:r w:rsidR="00523653">
        <w:rPr>
          <w:rFonts w:asciiTheme="majorBidi" w:hAnsiTheme="majorBidi"/>
          <w:sz w:val="26"/>
          <w:szCs w:val="26"/>
        </w:rPr>
        <w:t>and</w:t>
      </w:r>
      <w:r w:rsidR="00281431" w:rsidRPr="00441478">
        <w:rPr>
          <w:rFonts w:asciiTheme="majorBidi" w:hAnsiTheme="majorBidi"/>
          <w:sz w:val="26"/>
          <w:szCs w:val="26"/>
        </w:rPr>
        <w:t xml:space="preserve"> Chu (2019)</w:t>
      </w:r>
      <w:r w:rsidRPr="00441478">
        <w:rPr>
          <w:rFonts w:asciiTheme="majorBidi" w:hAnsiTheme="majorBidi"/>
          <w:sz w:val="26"/>
          <w:szCs w:val="26"/>
        </w:rPr>
        <w:t xml:space="preserve"> used two types of approaches</w:t>
      </w:r>
      <w:r w:rsidR="001602EF" w:rsidRPr="00441478">
        <w:rPr>
          <w:rFonts w:asciiTheme="majorBidi" w:hAnsiTheme="majorBidi"/>
          <w:sz w:val="26"/>
          <w:szCs w:val="26"/>
        </w:rPr>
        <w:t xml:space="preserve">: </w:t>
      </w:r>
      <w:r w:rsidRPr="00441478">
        <w:rPr>
          <w:rFonts w:asciiTheme="majorBidi" w:hAnsiTheme="majorBidi"/>
          <w:sz w:val="26"/>
          <w:szCs w:val="26"/>
        </w:rPr>
        <w:t>accounting-based and market-based measures</w:t>
      </w:r>
      <w:r w:rsidR="003936DD" w:rsidRPr="00441478">
        <w:rPr>
          <w:rFonts w:asciiTheme="majorBidi" w:hAnsiTheme="majorBidi"/>
          <w:sz w:val="26"/>
          <w:szCs w:val="26"/>
        </w:rPr>
        <w:t xml:space="preserve">. Accounting-based measures only use accounting earnings and their elements, </w:t>
      </w:r>
      <w:r w:rsidR="00050EB7" w:rsidRPr="00441478">
        <w:rPr>
          <w:rFonts w:asciiTheme="majorBidi" w:hAnsiTheme="majorBidi"/>
          <w:sz w:val="26"/>
          <w:szCs w:val="26"/>
        </w:rPr>
        <w:t>whereas</w:t>
      </w:r>
      <w:r w:rsidR="003936DD" w:rsidRPr="00441478">
        <w:rPr>
          <w:rFonts w:asciiTheme="majorBidi" w:hAnsiTheme="majorBidi"/>
          <w:sz w:val="26"/>
          <w:szCs w:val="26"/>
        </w:rPr>
        <w:t xml:space="preserve"> market-based measures focus on accounting earnings and market returns.</w:t>
      </w:r>
      <w:r w:rsidR="00281431" w:rsidRPr="00441478">
        <w:rPr>
          <w:rFonts w:asciiTheme="majorBidi" w:hAnsiTheme="majorBidi"/>
          <w:sz w:val="26"/>
          <w:szCs w:val="26"/>
        </w:rPr>
        <w:t xml:space="preserve"> </w:t>
      </w:r>
      <w:r w:rsidR="00A309C9" w:rsidRPr="00441478">
        <w:rPr>
          <w:rFonts w:asciiTheme="majorBidi" w:hAnsiTheme="majorBidi"/>
          <w:sz w:val="26"/>
          <w:szCs w:val="26"/>
        </w:rPr>
        <w:t xml:space="preserve">The study of </w:t>
      </w:r>
      <w:proofErr w:type="gramStart"/>
      <w:r w:rsidR="001C79FD" w:rsidRPr="00441478">
        <w:rPr>
          <w:rFonts w:asciiTheme="majorBidi" w:hAnsiTheme="majorBidi" w:cstheme="majorBidi"/>
          <w:sz w:val="26"/>
          <w:szCs w:val="26"/>
        </w:rPr>
        <w:t>An</w:t>
      </w:r>
      <w:proofErr w:type="gramEnd"/>
      <w:r w:rsidR="001C79FD" w:rsidRPr="00441478">
        <w:rPr>
          <w:rFonts w:asciiTheme="majorBidi" w:hAnsiTheme="majorBidi" w:cstheme="majorBidi"/>
          <w:sz w:val="26"/>
          <w:szCs w:val="26"/>
        </w:rPr>
        <w:t xml:space="preserve"> (2019)</w:t>
      </w:r>
      <w:r w:rsidR="001C79FD">
        <w:rPr>
          <w:rFonts w:asciiTheme="majorBidi" w:hAnsiTheme="majorBidi" w:cstheme="majorBidi"/>
          <w:sz w:val="26"/>
          <w:szCs w:val="26"/>
        </w:rPr>
        <w:t>,</w:t>
      </w:r>
      <w:r w:rsidR="001C79FD" w:rsidRPr="00441478">
        <w:rPr>
          <w:rFonts w:asciiTheme="majorBidi" w:hAnsiTheme="majorBidi" w:cstheme="majorBidi"/>
          <w:sz w:val="26"/>
          <w:szCs w:val="26"/>
        </w:rPr>
        <w:t xml:space="preserve"> </w:t>
      </w:r>
      <w:proofErr w:type="spellStart"/>
      <w:r w:rsidR="00A309C9" w:rsidRPr="00441478">
        <w:rPr>
          <w:rFonts w:asciiTheme="majorBidi" w:hAnsiTheme="majorBidi"/>
          <w:sz w:val="26"/>
          <w:szCs w:val="26"/>
        </w:rPr>
        <w:t>Perotti</w:t>
      </w:r>
      <w:proofErr w:type="spellEnd"/>
      <w:r w:rsidR="00A309C9" w:rsidRPr="00441478">
        <w:rPr>
          <w:rFonts w:asciiTheme="majorBidi" w:hAnsiTheme="majorBidi"/>
          <w:sz w:val="26"/>
          <w:szCs w:val="26"/>
        </w:rPr>
        <w:t xml:space="preserve"> </w:t>
      </w:r>
      <w:r w:rsidR="00523653">
        <w:rPr>
          <w:rFonts w:asciiTheme="majorBidi" w:hAnsiTheme="majorBidi"/>
          <w:sz w:val="26"/>
          <w:szCs w:val="26"/>
        </w:rPr>
        <w:t>and</w:t>
      </w:r>
      <w:r w:rsidR="00A309C9" w:rsidRPr="00441478">
        <w:rPr>
          <w:rFonts w:asciiTheme="majorBidi" w:hAnsiTheme="majorBidi"/>
          <w:sz w:val="26"/>
          <w:szCs w:val="26"/>
        </w:rPr>
        <w:t xml:space="preserve"> </w:t>
      </w:r>
      <w:proofErr w:type="spellStart"/>
      <w:r w:rsidR="00A962D9">
        <w:rPr>
          <w:rFonts w:asciiTheme="majorBidi" w:hAnsiTheme="majorBidi"/>
          <w:sz w:val="26"/>
          <w:szCs w:val="26"/>
        </w:rPr>
        <w:t>Wagenhofer</w:t>
      </w:r>
      <w:proofErr w:type="spellEnd"/>
      <w:r w:rsidR="00A309C9" w:rsidRPr="00441478">
        <w:rPr>
          <w:rFonts w:asciiTheme="majorBidi" w:hAnsiTheme="majorBidi"/>
          <w:sz w:val="26"/>
          <w:szCs w:val="26"/>
        </w:rPr>
        <w:t xml:space="preserve"> (2014</w:t>
      </w:r>
      <w:r w:rsidR="001C79FD">
        <w:rPr>
          <w:rFonts w:asciiTheme="majorBidi" w:hAnsiTheme="majorBidi" w:cstheme="majorBidi"/>
          <w:sz w:val="26"/>
          <w:szCs w:val="26"/>
        </w:rPr>
        <w:t xml:space="preserve">) and </w:t>
      </w:r>
      <w:r w:rsidR="00A309C9" w:rsidRPr="00441478">
        <w:rPr>
          <w:rFonts w:asciiTheme="majorBidi" w:hAnsiTheme="majorBidi"/>
          <w:sz w:val="26"/>
          <w:szCs w:val="26"/>
        </w:rPr>
        <w:t xml:space="preserve">Vo </w:t>
      </w:r>
      <w:r w:rsidR="00523653">
        <w:rPr>
          <w:rFonts w:asciiTheme="majorBidi" w:hAnsiTheme="majorBidi"/>
          <w:sz w:val="26"/>
          <w:szCs w:val="26"/>
        </w:rPr>
        <w:t>and</w:t>
      </w:r>
      <w:r w:rsidR="00A309C9" w:rsidRPr="00441478">
        <w:rPr>
          <w:rFonts w:asciiTheme="majorBidi" w:hAnsiTheme="majorBidi"/>
          <w:sz w:val="26"/>
          <w:szCs w:val="26"/>
        </w:rPr>
        <w:t xml:space="preserve"> Chu (2019</w:t>
      </w:r>
      <w:r w:rsidR="00A309C9" w:rsidRPr="00441478">
        <w:rPr>
          <w:rFonts w:asciiTheme="majorBidi" w:hAnsiTheme="majorBidi" w:cstheme="majorBidi"/>
          <w:sz w:val="26"/>
          <w:szCs w:val="26"/>
        </w:rPr>
        <w:t>) are useful for this study.</w:t>
      </w:r>
      <w:r w:rsidR="00A309C9" w:rsidRPr="00441478">
        <w:rPr>
          <w:rFonts w:asciiTheme="majorBidi" w:hAnsiTheme="majorBidi"/>
          <w:sz w:val="26"/>
          <w:szCs w:val="26"/>
        </w:rPr>
        <w:t xml:space="preserve"> </w:t>
      </w:r>
      <w:proofErr w:type="spellStart"/>
      <w:r w:rsidR="00A309C9" w:rsidRPr="00441478">
        <w:rPr>
          <w:rFonts w:asciiTheme="majorBidi" w:hAnsiTheme="majorBidi"/>
          <w:sz w:val="26"/>
          <w:szCs w:val="26"/>
        </w:rPr>
        <w:t>Perotti</w:t>
      </w:r>
      <w:proofErr w:type="spellEnd"/>
      <w:r w:rsidR="00A309C9" w:rsidRPr="00441478">
        <w:rPr>
          <w:rFonts w:asciiTheme="majorBidi" w:hAnsiTheme="majorBidi"/>
          <w:sz w:val="26"/>
          <w:szCs w:val="26"/>
        </w:rPr>
        <w:t xml:space="preserve"> </w:t>
      </w:r>
      <w:r w:rsidR="00523653">
        <w:rPr>
          <w:rFonts w:asciiTheme="majorBidi" w:hAnsiTheme="majorBidi"/>
          <w:sz w:val="26"/>
          <w:szCs w:val="26"/>
        </w:rPr>
        <w:t>and</w:t>
      </w:r>
      <w:r w:rsidR="00A309C9" w:rsidRPr="00441478">
        <w:rPr>
          <w:rFonts w:asciiTheme="majorBidi" w:hAnsiTheme="majorBidi"/>
          <w:sz w:val="26"/>
          <w:szCs w:val="26"/>
        </w:rPr>
        <w:t xml:space="preserve"> </w:t>
      </w:r>
      <w:proofErr w:type="spellStart"/>
      <w:r w:rsidR="00A962D9">
        <w:rPr>
          <w:rFonts w:asciiTheme="majorBidi" w:hAnsiTheme="majorBidi"/>
          <w:sz w:val="26"/>
          <w:szCs w:val="26"/>
        </w:rPr>
        <w:t>Wagenhofer</w:t>
      </w:r>
      <w:proofErr w:type="spellEnd"/>
      <w:r w:rsidR="00A309C9" w:rsidRPr="00441478">
        <w:rPr>
          <w:rFonts w:asciiTheme="majorBidi" w:hAnsiTheme="majorBidi"/>
          <w:sz w:val="26"/>
          <w:szCs w:val="26"/>
        </w:rPr>
        <w:t xml:space="preserve"> (2014) </w:t>
      </w:r>
      <w:r w:rsidR="00730711" w:rsidRPr="00441478">
        <w:rPr>
          <w:rFonts w:asciiTheme="majorBidi" w:hAnsiTheme="majorBidi"/>
          <w:sz w:val="26"/>
          <w:szCs w:val="26"/>
        </w:rPr>
        <w:t>use</w:t>
      </w:r>
      <w:r w:rsidR="006F15D5">
        <w:rPr>
          <w:rFonts w:asciiTheme="majorBidi" w:hAnsiTheme="majorBidi"/>
          <w:sz w:val="26"/>
          <w:szCs w:val="26"/>
        </w:rPr>
        <w:t>d</w:t>
      </w:r>
      <w:r w:rsidR="00730711" w:rsidRPr="00441478">
        <w:rPr>
          <w:rFonts w:asciiTheme="majorBidi" w:hAnsiTheme="majorBidi"/>
          <w:sz w:val="26"/>
          <w:szCs w:val="26"/>
        </w:rPr>
        <w:t xml:space="preserve"> </w:t>
      </w:r>
      <w:r w:rsidR="00A309C9" w:rsidRPr="00441478">
        <w:rPr>
          <w:rFonts w:asciiTheme="majorBidi" w:hAnsiTheme="majorBidi"/>
          <w:sz w:val="26"/>
          <w:szCs w:val="26"/>
        </w:rPr>
        <w:t xml:space="preserve">eight </w:t>
      </w:r>
      <w:r w:rsidR="006F15D5" w:rsidRPr="00441478">
        <w:rPr>
          <w:rFonts w:asciiTheme="majorBidi" w:hAnsiTheme="majorBidi"/>
          <w:sz w:val="26"/>
          <w:szCs w:val="26"/>
        </w:rPr>
        <w:t xml:space="preserve">EQ </w:t>
      </w:r>
      <w:r w:rsidR="00A309C9" w:rsidRPr="00441478">
        <w:rPr>
          <w:rFonts w:asciiTheme="majorBidi" w:hAnsiTheme="majorBidi"/>
          <w:sz w:val="26"/>
          <w:szCs w:val="26"/>
        </w:rPr>
        <w:t>proxies</w:t>
      </w:r>
      <w:r w:rsidR="006F15D5">
        <w:rPr>
          <w:rFonts w:asciiTheme="majorBidi" w:hAnsiTheme="majorBidi"/>
          <w:sz w:val="26"/>
          <w:szCs w:val="26"/>
        </w:rPr>
        <w:t>:</w:t>
      </w:r>
      <w:r w:rsidR="00A309C9" w:rsidRPr="00441478">
        <w:rPr>
          <w:rFonts w:asciiTheme="majorBidi" w:hAnsiTheme="majorBidi"/>
          <w:sz w:val="26"/>
          <w:szCs w:val="26"/>
        </w:rPr>
        <w:t xml:space="preserve"> persistence, predictability, smoothness (two proxies), abnormal accrual, accrual quality, ERC</w:t>
      </w:r>
      <w:r w:rsidR="00730711" w:rsidRPr="00441478">
        <w:rPr>
          <w:rFonts w:asciiTheme="majorBidi" w:hAnsiTheme="majorBidi"/>
          <w:sz w:val="26"/>
          <w:szCs w:val="26"/>
        </w:rPr>
        <w:t>,</w:t>
      </w:r>
      <w:r w:rsidR="00A309C9" w:rsidRPr="00441478">
        <w:rPr>
          <w:rFonts w:asciiTheme="majorBidi" w:hAnsiTheme="majorBidi"/>
          <w:sz w:val="26"/>
          <w:szCs w:val="26"/>
        </w:rPr>
        <w:t xml:space="preserve"> and value relevance. This study is also close to </w:t>
      </w:r>
      <w:proofErr w:type="spellStart"/>
      <w:r w:rsidR="00A309C9" w:rsidRPr="00441478">
        <w:rPr>
          <w:rFonts w:asciiTheme="majorBidi" w:hAnsiTheme="majorBidi"/>
          <w:sz w:val="26"/>
          <w:szCs w:val="26"/>
        </w:rPr>
        <w:t>Perotti</w:t>
      </w:r>
      <w:proofErr w:type="spellEnd"/>
      <w:r w:rsidR="00A309C9" w:rsidRPr="00441478">
        <w:rPr>
          <w:rFonts w:asciiTheme="majorBidi" w:hAnsiTheme="majorBidi"/>
          <w:sz w:val="26"/>
          <w:szCs w:val="26"/>
        </w:rPr>
        <w:t xml:space="preserve"> </w:t>
      </w:r>
      <w:r w:rsidR="00523653">
        <w:rPr>
          <w:rFonts w:asciiTheme="majorBidi" w:hAnsiTheme="majorBidi"/>
          <w:sz w:val="26"/>
          <w:szCs w:val="26"/>
        </w:rPr>
        <w:t>and</w:t>
      </w:r>
      <w:r w:rsidR="00A309C9" w:rsidRPr="00441478">
        <w:rPr>
          <w:rFonts w:asciiTheme="majorBidi" w:hAnsiTheme="majorBidi"/>
          <w:sz w:val="26"/>
          <w:szCs w:val="26"/>
        </w:rPr>
        <w:t xml:space="preserve"> </w:t>
      </w:r>
      <w:proofErr w:type="spellStart"/>
      <w:r w:rsidR="00A962D9">
        <w:rPr>
          <w:rFonts w:asciiTheme="majorBidi" w:hAnsiTheme="majorBidi"/>
          <w:sz w:val="26"/>
          <w:szCs w:val="26"/>
        </w:rPr>
        <w:t>Wagenhofer</w:t>
      </w:r>
      <w:proofErr w:type="spellEnd"/>
      <w:r w:rsidR="00A309C9" w:rsidRPr="00441478">
        <w:rPr>
          <w:rFonts w:asciiTheme="majorBidi" w:hAnsiTheme="majorBidi"/>
          <w:sz w:val="26"/>
          <w:szCs w:val="26"/>
        </w:rPr>
        <w:t xml:space="preserve"> (2014) in using many different </w:t>
      </w:r>
      <w:r w:rsidR="006F15D5" w:rsidRPr="00441478">
        <w:rPr>
          <w:rFonts w:asciiTheme="majorBidi" w:hAnsiTheme="majorBidi"/>
          <w:sz w:val="26"/>
          <w:szCs w:val="26"/>
        </w:rPr>
        <w:t xml:space="preserve">EQ </w:t>
      </w:r>
      <w:r w:rsidR="00A309C9" w:rsidRPr="00441478">
        <w:rPr>
          <w:rFonts w:asciiTheme="majorBidi" w:hAnsiTheme="majorBidi"/>
          <w:sz w:val="26"/>
          <w:szCs w:val="26"/>
        </w:rPr>
        <w:t>proxies.</w:t>
      </w:r>
      <w:r w:rsidR="00A309C9" w:rsidRPr="00441478">
        <w:rPr>
          <w:rFonts w:asciiTheme="majorBidi" w:hAnsiTheme="majorBidi" w:cstheme="majorBidi"/>
          <w:sz w:val="26"/>
          <w:szCs w:val="26"/>
        </w:rPr>
        <w:t xml:space="preserve"> </w:t>
      </w:r>
      <w:r w:rsidR="00A309C9" w:rsidRPr="00441478">
        <w:rPr>
          <w:rFonts w:asciiTheme="majorBidi" w:hAnsiTheme="majorBidi"/>
          <w:sz w:val="26"/>
          <w:szCs w:val="26"/>
        </w:rPr>
        <w:t xml:space="preserve">Vo </w:t>
      </w:r>
      <w:r w:rsidR="00523653">
        <w:rPr>
          <w:rFonts w:asciiTheme="majorBidi" w:hAnsiTheme="majorBidi"/>
          <w:sz w:val="26"/>
          <w:szCs w:val="26"/>
        </w:rPr>
        <w:t>and</w:t>
      </w:r>
      <w:r w:rsidR="00A309C9" w:rsidRPr="00441478">
        <w:rPr>
          <w:rFonts w:asciiTheme="majorBidi" w:hAnsiTheme="majorBidi"/>
          <w:sz w:val="26"/>
          <w:szCs w:val="26"/>
        </w:rPr>
        <w:t xml:space="preserve"> Chu (2019) </w:t>
      </w:r>
      <w:r w:rsidR="00730711" w:rsidRPr="00441478">
        <w:rPr>
          <w:rFonts w:asciiTheme="majorBidi" w:hAnsiTheme="majorBidi"/>
          <w:sz w:val="26"/>
          <w:szCs w:val="26"/>
        </w:rPr>
        <w:t xml:space="preserve">uses </w:t>
      </w:r>
      <w:r w:rsidR="00A309C9" w:rsidRPr="00441478">
        <w:rPr>
          <w:rFonts w:asciiTheme="majorBidi" w:hAnsiTheme="majorBidi"/>
          <w:sz w:val="26"/>
          <w:szCs w:val="26"/>
        </w:rPr>
        <w:t xml:space="preserve">only two measurements of EQ, namely, accounting measure (earnings management and earnings persistence) and market measure (earnings informativeness). </w:t>
      </w:r>
      <w:r w:rsidR="00A309C9" w:rsidRPr="00441478">
        <w:rPr>
          <w:rFonts w:asciiTheme="majorBidi" w:hAnsiTheme="majorBidi" w:cstheme="majorBidi"/>
          <w:sz w:val="26"/>
          <w:szCs w:val="26"/>
        </w:rPr>
        <w:t xml:space="preserve">An (2019) </w:t>
      </w:r>
      <w:r w:rsidR="00730711" w:rsidRPr="00441478">
        <w:rPr>
          <w:rFonts w:asciiTheme="majorBidi" w:hAnsiTheme="majorBidi" w:cstheme="majorBidi"/>
          <w:sz w:val="26"/>
          <w:szCs w:val="26"/>
        </w:rPr>
        <w:t xml:space="preserve">uses </w:t>
      </w:r>
      <w:r w:rsidR="00A309C9" w:rsidRPr="00441478">
        <w:rPr>
          <w:rFonts w:asciiTheme="majorBidi" w:hAnsiTheme="majorBidi" w:cstheme="majorBidi"/>
          <w:sz w:val="26"/>
          <w:szCs w:val="26"/>
        </w:rPr>
        <w:t>four proxies</w:t>
      </w:r>
      <w:r w:rsidR="006F15D5">
        <w:rPr>
          <w:rFonts w:asciiTheme="majorBidi" w:hAnsiTheme="majorBidi" w:cstheme="majorBidi"/>
          <w:sz w:val="26"/>
          <w:szCs w:val="26"/>
        </w:rPr>
        <w:t>:</w:t>
      </w:r>
      <w:r w:rsidR="00A309C9" w:rsidRPr="00441478">
        <w:rPr>
          <w:rFonts w:asciiTheme="majorBidi" w:hAnsiTheme="majorBidi" w:cstheme="majorBidi"/>
          <w:sz w:val="26"/>
          <w:szCs w:val="26"/>
        </w:rPr>
        <w:t xml:space="preserve"> persistence, conservatism, value relevance</w:t>
      </w:r>
      <w:r w:rsidR="00730711" w:rsidRPr="00441478">
        <w:rPr>
          <w:rFonts w:asciiTheme="majorBidi" w:hAnsiTheme="majorBidi" w:cstheme="majorBidi"/>
          <w:sz w:val="26"/>
          <w:szCs w:val="26"/>
        </w:rPr>
        <w:t>,</w:t>
      </w:r>
      <w:r w:rsidR="00A309C9" w:rsidRPr="00441478">
        <w:rPr>
          <w:rFonts w:asciiTheme="majorBidi" w:hAnsiTheme="majorBidi" w:cstheme="majorBidi"/>
          <w:sz w:val="26"/>
          <w:szCs w:val="26"/>
        </w:rPr>
        <w:t xml:space="preserve"> and accruals quality. On the other side, the</w:t>
      </w:r>
      <w:r w:rsidR="00A309C9" w:rsidRPr="00441478">
        <w:rPr>
          <w:rFonts w:asciiTheme="majorBidi" w:hAnsiTheme="majorBidi"/>
          <w:sz w:val="26"/>
          <w:szCs w:val="26"/>
        </w:rPr>
        <w:t xml:space="preserve"> study of </w:t>
      </w:r>
      <w:proofErr w:type="gramStart"/>
      <w:r w:rsidR="00A309C9" w:rsidRPr="00441478">
        <w:rPr>
          <w:rFonts w:asciiTheme="majorBidi" w:hAnsiTheme="majorBidi" w:cstheme="majorBidi"/>
          <w:sz w:val="26"/>
          <w:szCs w:val="26"/>
        </w:rPr>
        <w:t>An</w:t>
      </w:r>
      <w:proofErr w:type="gramEnd"/>
      <w:r w:rsidR="00A309C9" w:rsidRPr="00441478">
        <w:rPr>
          <w:rFonts w:asciiTheme="majorBidi" w:hAnsiTheme="majorBidi" w:cstheme="majorBidi"/>
          <w:sz w:val="26"/>
          <w:szCs w:val="26"/>
        </w:rPr>
        <w:t xml:space="preserve"> (2019) and </w:t>
      </w:r>
      <w:r w:rsidR="00A309C9" w:rsidRPr="00441478">
        <w:rPr>
          <w:rFonts w:asciiTheme="majorBidi" w:hAnsiTheme="majorBidi"/>
          <w:sz w:val="26"/>
          <w:szCs w:val="26"/>
        </w:rPr>
        <w:t xml:space="preserve">Vo </w:t>
      </w:r>
      <w:r w:rsidR="00523653">
        <w:rPr>
          <w:rFonts w:asciiTheme="majorBidi" w:hAnsiTheme="majorBidi"/>
          <w:sz w:val="26"/>
          <w:szCs w:val="26"/>
        </w:rPr>
        <w:t>and</w:t>
      </w:r>
      <w:r w:rsidR="00A309C9" w:rsidRPr="00441478">
        <w:rPr>
          <w:rFonts w:asciiTheme="majorBidi" w:hAnsiTheme="majorBidi"/>
          <w:sz w:val="26"/>
          <w:szCs w:val="26"/>
        </w:rPr>
        <w:t xml:space="preserve"> Chu (2019) </w:t>
      </w:r>
      <w:r w:rsidR="00A309C9" w:rsidRPr="00441478">
        <w:rPr>
          <w:rFonts w:asciiTheme="majorBidi" w:hAnsiTheme="majorBidi" w:cstheme="majorBidi"/>
          <w:sz w:val="26"/>
          <w:szCs w:val="26"/>
        </w:rPr>
        <w:t>are</w:t>
      </w:r>
      <w:r w:rsidR="00A309C9" w:rsidRPr="00441478">
        <w:rPr>
          <w:rFonts w:asciiTheme="majorBidi" w:hAnsiTheme="majorBidi"/>
          <w:sz w:val="26"/>
          <w:szCs w:val="26"/>
        </w:rPr>
        <w:t xml:space="preserve"> close to our study in terms of using the variable of foreign investors. </w:t>
      </w:r>
      <w:r w:rsidR="006925A1" w:rsidRPr="00441478">
        <w:rPr>
          <w:rFonts w:asciiTheme="majorBidi" w:hAnsiTheme="majorBidi"/>
          <w:sz w:val="26"/>
          <w:szCs w:val="26"/>
        </w:rPr>
        <w:t xml:space="preserve"> </w:t>
      </w:r>
    </w:p>
    <w:p w14:paraId="41BE5946" w14:textId="50F3DBE1" w:rsidR="003936DD" w:rsidRPr="00441478" w:rsidRDefault="000243B0" w:rsidP="00441478">
      <w:pPr>
        <w:autoSpaceDE w:val="0"/>
        <w:autoSpaceDN w:val="0"/>
        <w:adjustRightInd w:val="0"/>
        <w:snapToGrid w:val="0"/>
        <w:spacing w:after="0" w:line="360" w:lineRule="exact"/>
        <w:ind w:firstLine="510"/>
        <w:jc w:val="both"/>
        <w:rPr>
          <w:rFonts w:asciiTheme="majorBidi" w:hAnsiTheme="majorBidi"/>
          <w:sz w:val="26"/>
          <w:szCs w:val="26"/>
        </w:rPr>
      </w:pPr>
      <w:r w:rsidRPr="00441478">
        <w:rPr>
          <w:rFonts w:asciiTheme="majorBidi" w:hAnsiTheme="majorBidi"/>
          <w:sz w:val="26"/>
          <w:szCs w:val="26"/>
        </w:rPr>
        <w:t>This</w:t>
      </w:r>
      <w:r w:rsidR="00F2548E" w:rsidRPr="00441478">
        <w:rPr>
          <w:rFonts w:asciiTheme="majorBidi" w:hAnsiTheme="majorBidi"/>
          <w:sz w:val="26"/>
          <w:szCs w:val="26"/>
        </w:rPr>
        <w:t xml:space="preserve"> study uses nine measures of </w:t>
      </w:r>
      <w:r w:rsidR="006B1C85" w:rsidRPr="00441478">
        <w:rPr>
          <w:rFonts w:asciiTheme="majorBidi" w:hAnsiTheme="majorBidi"/>
          <w:sz w:val="26"/>
          <w:szCs w:val="26"/>
        </w:rPr>
        <w:t>EQ</w:t>
      </w:r>
      <w:r w:rsidR="00F2548E" w:rsidRPr="00441478">
        <w:rPr>
          <w:rFonts w:asciiTheme="majorBidi" w:hAnsiTheme="majorBidi"/>
          <w:sz w:val="26"/>
          <w:szCs w:val="26"/>
        </w:rPr>
        <w:t xml:space="preserve"> to predict the </w:t>
      </w:r>
      <w:r w:rsidR="001602EF" w:rsidRPr="00441478">
        <w:rPr>
          <w:rFonts w:asciiTheme="majorBidi" w:hAnsiTheme="majorBidi"/>
          <w:sz w:val="26"/>
          <w:szCs w:val="26"/>
        </w:rPr>
        <w:t>behaviour</w:t>
      </w:r>
      <w:r w:rsidR="00F2548E" w:rsidRPr="00441478">
        <w:rPr>
          <w:rFonts w:asciiTheme="majorBidi" w:hAnsiTheme="majorBidi"/>
          <w:sz w:val="26"/>
          <w:szCs w:val="26"/>
        </w:rPr>
        <w:t xml:space="preserve"> of foreign investor</w:t>
      </w:r>
      <w:r w:rsidR="00AE0E10" w:rsidRPr="00441478">
        <w:rPr>
          <w:rFonts w:asciiTheme="majorBidi" w:hAnsiTheme="majorBidi"/>
          <w:sz w:val="26"/>
          <w:szCs w:val="26"/>
        </w:rPr>
        <w:t>s</w:t>
      </w:r>
      <w:r w:rsidR="007D3C6D">
        <w:rPr>
          <w:rFonts w:asciiTheme="majorBidi" w:hAnsiTheme="majorBidi"/>
          <w:sz w:val="26"/>
          <w:szCs w:val="26"/>
        </w:rPr>
        <w:t>, allowing them to assess EQ using different proxies and to give a clear picture of</w:t>
      </w:r>
      <w:r w:rsidR="00F2548E" w:rsidRPr="00441478">
        <w:rPr>
          <w:rFonts w:asciiTheme="majorBidi" w:hAnsiTheme="majorBidi"/>
          <w:sz w:val="26"/>
          <w:szCs w:val="26"/>
        </w:rPr>
        <w:t xml:space="preserve"> the investment decision.</w:t>
      </w:r>
      <w:r w:rsidR="001F48F8" w:rsidRPr="00441478">
        <w:rPr>
          <w:rFonts w:asciiTheme="majorBidi" w:hAnsiTheme="majorBidi"/>
          <w:sz w:val="26"/>
          <w:szCs w:val="26"/>
        </w:rPr>
        <w:t xml:space="preserve"> </w:t>
      </w:r>
    </w:p>
    <w:p w14:paraId="3E739FE8" w14:textId="2D969CEB" w:rsidR="00515F5F" w:rsidRDefault="00764D2C" w:rsidP="003B6818">
      <w:pPr>
        <w:pStyle w:val="Default"/>
        <w:snapToGrid w:val="0"/>
        <w:spacing w:line="360" w:lineRule="exact"/>
        <w:ind w:firstLine="510"/>
        <w:jc w:val="both"/>
        <w:rPr>
          <w:rFonts w:asciiTheme="majorBidi" w:hAnsiTheme="majorBidi"/>
          <w:color w:val="auto"/>
          <w:sz w:val="26"/>
          <w:szCs w:val="26"/>
          <w:lang w:val="en-GB"/>
        </w:rPr>
      </w:pPr>
      <w:r w:rsidRPr="00441478">
        <w:rPr>
          <w:rFonts w:asciiTheme="majorBidi" w:hAnsiTheme="majorBidi"/>
          <w:color w:val="auto"/>
          <w:sz w:val="26"/>
          <w:szCs w:val="26"/>
          <w:lang w:val="en-GB"/>
        </w:rPr>
        <w:t xml:space="preserve">The main issue with </w:t>
      </w:r>
      <w:r w:rsidR="006B1C85" w:rsidRPr="00441478">
        <w:rPr>
          <w:rFonts w:asciiTheme="majorBidi" w:hAnsiTheme="majorBidi"/>
          <w:color w:val="auto"/>
          <w:sz w:val="26"/>
          <w:szCs w:val="26"/>
          <w:lang w:val="en-GB"/>
        </w:rPr>
        <w:t>EQ</w:t>
      </w:r>
      <w:r w:rsidRPr="00441478">
        <w:rPr>
          <w:rFonts w:asciiTheme="majorBidi" w:hAnsiTheme="majorBidi"/>
          <w:color w:val="auto"/>
          <w:sz w:val="26"/>
          <w:szCs w:val="26"/>
          <w:lang w:val="en-GB"/>
        </w:rPr>
        <w:t xml:space="preserve"> is how to measure it and how to interpret the result of this </w:t>
      </w:r>
      <w:r w:rsidR="00AE0E10" w:rsidRPr="00441478">
        <w:rPr>
          <w:rFonts w:asciiTheme="majorBidi" w:hAnsiTheme="majorBidi"/>
          <w:color w:val="auto"/>
          <w:sz w:val="26"/>
          <w:szCs w:val="26"/>
          <w:lang w:val="en-GB"/>
        </w:rPr>
        <w:t xml:space="preserve">measure </w:t>
      </w:r>
      <w:r w:rsidR="008438A3" w:rsidRPr="00441478">
        <w:rPr>
          <w:rFonts w:asciiTheme="majorBidi" w:hAnsiTheme="majorBidi"/>
          <w:color w:val="auto"/>
          <w:sz w:val="26"/>
          <w:szCs w:val="26"/>
          <w:lang w:val="en-GB"/>
        </w:rPr>
        <w:t xml:space="preserve">in terms of predicting the </w:t>
      </w:r>
      <w:r w:rsidR="001602EF" w:rsidRPr="00441478">
        <w:rPr>
          <w:rFonts w:asciiTheme="majorBidi" w:hAnsiTheme="majorBidi"/>
          <w:color w:val="auto"/>
          <w:sz w:val="26"/>
          <w:szCs w:val="26"/>
          <w:lang w:val="en-GB"/>
        </w:rPr>
        <w:t>behaviour</w:t>
      </w:r>
      <w:r w:rsidR="008438A3" w:rsidRPr="00441478">
        <w:rPr>
          <w:rFonts w:asciiTheme="majorBidi" w:hAnsiTheme="majorBidi"/>
          <w:color w:val="auto"/>
          <w:sz w:val="26"/>
          <w:szCs w:val="26"/>
          <w:lang w:val="en-GB"/>
        </w:rPr>
        <w:t xml:space="preserve"> of foreign investor</w:t>
      </w:r>
      <w:r w:rsidR="00AE0E10" w:rsidRPr="00441478">
        <w:rPr>
          <w:rFonts w:asciiTheme="majorBidi" w:hAnsiTheme="majorBidi"/>
          <w:color w:val="auto"/>
          <w:sz w:val="26"/>
          <w:szCs w:val="26"/>
          <w:lang w:val="en-GB"/>
        </w:rPr>
        <w:t>s</w:t>
      </w:r>
      <w:r w:rsidRPr="00441478">
        <w:rPr>
          <w:rFonts w:asciiTheme="majorBidi" w:hAnsiTheme="majorBidi"/>
          <w:color w:val="auto"/>
          <w:sz w:val="26"/>
          <w:szCs w:val="26"/>
          <w:lang w:val="en-GB"/>
        </w:rPr>
        <w:t xml:space="preserve">. </w:t>
      </w:r>
      <w:r w:rsidR="00AE0E10" w:rsidRPr="00441478">
        <w:rPr>
          <w:rFonts w:asciiTheme="majorBidi" w:hAnsiTheme="majorBidi"/>
          <w:color w:val="auto"/>
          <w:sz w:val="26"/>
          <w:szCs w:val="26"/>
          <w:lang w:val="en-GB"/>
        </w:rPr>
        <w:t>The literature</w:t>
      </w:r>
      <w:r w:rsidR="008438A3" w:rsidRPr="00441478">
        <w:rPr>
          <w:rFonts w:asciiTheme="majorBidi" w:hAnsiTheme="majorBidi"/>
          <w:color w:val="auto"/>
          <w:sz w:val="26"/>
          <w:szCs w:val="26"/>
          <w:lang w:val="en-GB"/>
        </w:rPr>
        <w:t xml:space="preserve"> </w:t>
      </w:r>
      <w:r w:rsidR="00AE0E10" w:rsidRPr="00441478">
        <w:rPr>
          <w:rFonts w:asciiTheme="majorBidi" w:hAnsiTheme="majorBidi"/>
          <w:color w:val="auto"/>
          <w:sz w:val="26"/>
          <w:szCs w:val="26"/>
          <w:lang w:val="en-GB"/>
        </w:rPr>
        <w:t xml:space="preserve">lists </w:t>
      </w:r>
      <w:r w:rsidR="008438A3" w:rsidRPr="00441478">
        <w:rPr>
          <w:rFonts w:asciiTheme="majorBidi" w:hAnsiTheme="majorBidi"/>
          <w:color w:val="auto"/>
          <w:sz w:val="26"/>
          <w:szCs w:val="26"/>
          <w:lang w:val="en-GB"/>
        </w:rPr>
        <w:t xml:space="preserve">different proxies for measuring </w:t>
      </w:r>
      <w:r w:rsidR="006B1C85" w:rsidRPr="00441478">
        <w:rPr>
          <w:rFonts w:asciiTheme="majorBidi" w:hAnsiTheme="majorBidi"/>
          <w:color w:val="auto"/>
          <w:sz w:val="26"/>
          <w:szCs w:val="26"/>
          <w:lang w:val="en-GB"/>
        </w:rPr>
        <w:t>EQ</w:t>
      </w:r>
      <w:r w:rsidR="008438A3" w:rsidRPr="00441478">
        <w:rPr>
          <w:rFonts w:asciiTheme="majorBidi" w:hAnsiTheme="majorBidi"/>
          <w:color w:val="auto"/>
          <w:sz w:val="26"/>
          <w:szCs w:val="26"/>
          <w:lang w:val="en-GB"/>
        </w:rPr>
        <w:t xml:space="preserve"> (</w:t>
      </w:r>
      <w:r w:rsidR="003B6818">
        <w:rPr>
          <w:rFonts w:asciiTheme="majorBidi" w:hAnsiTheme="majorBidi"/>
          <w:color w:val="auto"/>
          <w:sz w:val="26"/>
          <w:szCs w:val="26"/>
          <w:lang w:val="en-GB"/>
        </w:rPr>
        <w:t>An, 2017,</w:t>
      </w:r>
      <w:r w:rsidR="007B380A" w:rsidRPr="00441478">
        <w:rPr>
          <w:rFonts w:asciiTheme="majorBidi" w:hAnsiTheme="majorBidi"/>
          <w:color w:val="auto"/>
          <w:sz w:val="26"/>
          <w:szCs w:val="26"/>
          <w:lang w:val="en-GB"/>
        </w:rPr>
        <w:t xml:space="preserve"> 2019</w:t>
      </w:r>
      <w:r w:rsidR="007B380A">
        <w:rPr>
          <w:rFonts w:asciiTheme="majorBidi" w:hAnsiTheme="majorBidi"/>
          <w:color w:val="auto"/>
          <w:sz w:val="26"/>
          <w:szCs w:val="26"/>
          <w:lang w:val="en-GB"/>
        </w:rPr>
        <w:t xml:space="preserve">; </w:t>
      </w:r>
      <w:proofErr w:type="spellStart"/>
      <w:r w:rsidRPr="00441478">
        <w:rPr>
          <w:rFonts w:asciiTheme="majorBidi" w:hAnsiTheme="majorBidi"/>
          <w:color w:val="auto"/>
          <w:sz w:val="26"/>
          <w:szCs w:val="26"/>
          <w:lang w:val="en-GB"/>
        </w:rPr>
        <w:t>Dechow</w:t>
      </w:r>
      <w:proofErr w:type="spellEnd"/>
      <w:r w:rsidRPr="00441478">
        <w:rPr>
          <w:rFonts w:asciiTheme="majorBidi" w:hAnsiTheme="majorBidi"/>
          <w:color w:val="auto"/>
          <w:sz w:val="26"/>
          <w:szCs w:val="26"/>
          <w:lang w:val="en-GB"/>
        </w:rPr>
        <w:t xml:space="preserve"> et al.</w:t>
      </w:r>
      <w:r w:rsidR="00AE0E10" w:rsidRPr="00441478">
        <w:rPr>
          <w:rFonts w:asciiTheme="majorBidi" w:hAnsiTheme="majorBidi"/>
          <w:color w:val="auto"/>
          <w:sz w:val="26"/>
          <w:szCs w:val="26"/>
          <w:lang w:val="en-GB"/>
        </w:rPr>
        <w:t xml:space="preserve">, </w:t>
      </w:r>
      <w:r w:rsidRPr="00441478">
        <w:rPr>
          <w:rFonts w:asciiTheme="majorBidi" w:hAnsiTheme="majorBidi"/>
          <w:color w:val="auto"/>
          <w:sz w:val="26"/>
          <w:szCs w:val="26"/>
          <w:lang w:val="en-GB"/>
        </w:rPr>
        <w:t>2010</w:t>
      </w:r>
      <w:r w:rsidR="008438A3" w:rsidRPr="00441478">
        <w:rPr>
          <w:rFonts w:asciiTheme="majorBidi" w:hAnsiTheme="majorBidi"/>
          <w:color w:val="auto"/>
          <w:sz w:val="26"/>
          <w:szCs w:val="26"/>
          <w:lang w:val="en-GB"/>
        </w:rPr>
        <w:t xml:space="preserve">; </w:t>
      </w:r>
      <w:proofErr w:type="spellStart"/>
      <w:r w:rsidR="007B380A" w:rsidRPr="00441478">
        <w:rPr>
          <w:rFonts w:asciiTheme="majorBidi" w:hAnsiTheme="majorBidi"/>
          <w:color w:val="auto"/>
          <w:sz w:val="26"/>
          <w:szCs w:val="26"/>
          <w:lang w:val="en-GB"/>
        </w:rPr>
        <w:t>Lyimo</w:t>
      </w:r>
      <w:proofErr w:type="spellEnd"/>
      <w:r w:rsidR="007B380A" w:rsidRPr="00441478">
        <w:rPr>
          <w:rFonts w:asciiTheme="majorBidi" w:hAnsiTheme="majorBidi"/>
          <w:color w:val="auto"/>
          <w:sz w:val="26"/>
          <w:szCs w:val="26"/>
          <w:lang w:val="en-GB"/>
        </w:rPr>
        <w:t>, 2014;</w:t>
      </w:r>
      <w:r w:rsidR="007B380A">
        <w:rPr>
          <w:rFonts w:asciiTheme="majorBidi" w:hAnsiTheme="majorBidi"/>
          <w:color w:val="auto"/>
          <w:sz w:val="26"/>
          <w:szCs w:val="26"/>
          <w:lang w:val="en-GB"/>
        </w:rPr>
        <w:t xml:space="preserve"> </w:t>
      </w:r>
      <w:proofErr w:type="spellStart"/>
      <w:r w:rsidR="007B380A" w:rsidRPr="00441478">
        <w:rPr>
          <w:rFonts w:asciiTheme="majorBidi" w:hAnsiTheme="majorBidi"/>
          <w:color w:val="auto"/>
          <w:sz w:val="26"/>
          <w:szCs w:val="26"/>
          <w:lang w:val="en-GB"/>
        </w:rPr>
        <w:t>Perotti</w:t>
      </w:r>
      <w:proofErr w:type="spellEnd"/>
      <w:r w:rsidR="007B380A" w:rsidRPr="00441478">
        <w:rPr>
          <w:rFonts w:asciiTheme="majorBidi" w:hAnsiTheme="majorBidi"/>
          <w:color w:val="auto"/>
          <w:sz w:val="26"/>
          <w:szCs w:val="26"/>
          <w:lang w:val="en-GB"/>
        </w:rPr>
        <w:t xml:space="preserve"> </w:t>
      </w:r>
      <w:r w:rsidR="007B380A">
        <w:rPr>
          <w:rFonts w:asciiTheme="majorBidi" w:hAnsiTheme="majorBidi"/>
          <w:color w:val="auto"/>
          <w:sz w:val="26"/>
          <w:szCs w:val="26"/>
          <w:lang w:val="en-GB"/>
        </w:rPr>
        <w:t xml:space="preserve">&amp; </w:t>
      </w:r>
      <w:proofErr w:type="spellStart"/>
      <w:r w:rsidR="001C79FD">
        <w:rPr>
          <w:rFonts w:asciiTheme="majorBidi" w:hAnsiTheme="majorBidi"/>
          <w:color w:val="auto"/>
          <w:sz w:val="26"/>
          <w:szCs w:val="26"/>
          <w:lang w:val="en-GB"/>
        </w:rPr>
        <w:t>Wage</w:t>
      </w:r>
      <w:r w:rsidR="00A962D9">
        <w:rPr>
          <w:rFonts w:asciiTheme="majorBidi" w:hAnsiTheme="majorBidi"/>
          <w:color w:val="auto"/>
          <w:sz w:val="26"/>
          <w:szCs w:val="26"/>
          <w:lang w:val="en-GB"/>
        </w:rPr>
        <w:t>n</w:t>
      </w:r>
      <w:r w:rsidR="001C79FD">
        <w:rPr>
          <w:rFonts w:asciiTheme="majorBidi" w:hAnsiTheme="majorBidi"/>
          <w:color w:val="auto"/>
          <w:sz w:val="26"/>
          <w:szCs w:val="26"/>
          <w:lang w:val="en-GB"/>
        </w:rPr>
        <w:t>hofer</w:t>
      </w:r>
      <w:proofErr w:type="spellEnd"/>
      <w:r w:rsidR="007B380A" w:rsidRPr="00441478">
        <w:rPr>
          <w:rFonts w:asciiTheme="majorBidi" w:hAnsiTheme="majorBidi"/>
          <w:color w:val="auto"/>
          <w:sz w:val="26"/>
          <w:szCs w:val="26"/>
          <w:lang w:val="en-GB"/>
        </w:rPr>
        <w:t>, 2014;</w:t>
      </w:r>
      <w:r w:rsidR="007B380A">
        <w:rPr>
          <w:rFonts w:asciiTheme="majorBidi" w:hAnsiTheme="majorBidi"/>
          <w:color w:val="auto"/>
          <w:sz w:val="26"/>
          <w:szCs w:val="26"/>
          <w:lang w:val="en-GB"/>
        </w:rPr>
        <w:t xml:space="preserve"> </w:t>
      </w:r>
      <w:proofErr w:type="spellStart"/>
      <w:r w:rsidR="008438A3" w:rsidRPr="00441478">
        <w:rPr>
          <w:rFonts w:asciiTheme="majorBidi" w:hAnsiTheme="majorBidi"/>
          <w:color w:val="auto"/>
          <w:sz w:val="26"/>
          <w:szCs w:val="26"/>
          <w:lang w:val="en-GB"/>
        </w:rPr>
        <w:t>Radzi</w:t>
      </w:r>
      <w:proofErr w:type="spellEnd"/>
      <w:r w:rsidR="008438A3" w:rsidRPr="00441478">
        <w:rPr>
          <w:rFonts w:asciiTheme="majorBidi" w:hAnsiTheme="majorBidi"/>
          <w:color w:val="auto"/>
          <w:sz w:val="26"/>
          <w:szCs w:val="26"/>
          <w:lang w:val="en-GB"/>
        </w:rPr>
        <w:t xml:space="preserve"> et al.</w:t>
      </w:r>
      <w:r w:rsidR="00AE0E10" w:rsidRPr="00441478">
        <w:rPr>
          <w:rFonts w:asciiTheme="majorBidi" w:hAnsiTheme="majorBidi"/>
          <w:color w:val="auto"/>
          <w:sz w:val="26"/>
          <w:szCs w:val="26"/>
          <w:lang w:val="en-GB"/>
        </w:rPr>
        <w:t>,</w:t>
      </w:r>
      <w:r w:rsidR="007B380A">
        <w:rPr>
          <w:rFonts w:asciiTheme="majorBidi" w:hAnsiTheme="majorBidi"/>
          <w:color w:val="auto"/>
          <w:sz w:val="26"/>
          <w:szCs w:val="26"/>
          <w:lang w:val="en-GB"/>
        </w:rPr>
        <w:t xml:space="preserve"> 2011</w:t>
      </w:r>
      <w:r w:rsidR="003D5371" w:rsidRPr="00441478">
        <w:rPr>
          <w:rFonts w:asciiTheme="majorBidi" w:hAnsiTheme="majorBidi"/>
          <w:color w:val="auto"/>
          <w:sz w:val="26"/>
          <w:szCs w:val="26"/>
          <w:lang w:val="en-GB"/>
        </w:rPr>
        <w:t>)</w:t>
      </w:r>
      <w:r w:rsidR="00515F5F" w:rsidRPr="00441478">
        <w:rPr>
          <w:rFonts w:asciiTheme="majorBidi" w:hAnsiTheme="majorBidi"/>
          <w:color w:val="auto"/>
          <w:sz w:val="26"/>
          <w:szCs w:val="26"/>
          <w:lang w:val="en-GB"/>
        </w:rPr>
        <w:t xml:space="preserve">. </w:t>
      </w:r>
      <w:r w:rsidR="00ED5B65" w:rsidRPr="00441478">
        <w:rPr>
          <w:rFonts w:asciiTheme="majorBidi" w:hAnsiTheme="majorBidi"/>
          <w:color w:val="auto"/>
          <w:sz w:val="26"/>
          <w:szCs w:val="26"/>
          <w:lang w:val="en-GB"/>
        </w:rPr>
        <w:t>This</w:t>
      </w:r>
      <w:r w:rsidR="00515F5F" w:rsidRPr="00441478">
        <w:rPr>
          <w:rFonts w:asciiTheme="majorBidi" w:hAnsiTheme="majorBidi"/>
          <w:color w:val="auto"/>
          <w:sz w:val="26"/>
          <w:szCs w:val="26"/>
          <w:lang w:val="en-GB"/>
        </w:rPr>
        <w:t xml:space="preserve"> study uses nine proxies of </w:t>
      </w:r>
      <w:r w:rsidR="006B1C85" w:rsidRPr="00441478">
        <w:rPr>
          <w:rFonts w:asciiTheme="majorBidi" w:hAnsiTheme="majorBidi"/>
          <w:color w:val="auto"/>
          <w:sz w:val="26"/>
          <w:szCs w:val="26"/>
          <w:lang w:val="en-GB"/>
        </w:rPr>
        <w:t>EQ</w:t>
      </w:r>
      <w:r w:rsidR="00515F5F" w:rsidRPr="00441478">
        <w:rPr>
          <w:rFonts w:asciiTheme="majorBidi" w:hAnsiTheme="majorBidi"/>
          <w:color w:val="auto"/>
          <w:sz w:val="26"/>
          <w:szCs w:val="26"/>
          <w:lang w:val="en-GB"/>
        </w:rPr>
        <w:t xml:space="preserve"> due to the availability of data of our sample and useful interpretation of the relationship between </w:t>
      </w:r>
      <w:r w:rsidR="006B1C85" w:rsidRPr="00441478">
        <w:rPr>
          <w:rFonts w:asciiTheme="majorBidi" w:hAnsiTheme="majorBidi"/>
          <w:color w:val="auto"/>
          <w:sz w:val="26"/>
          <w:szCs w:val="26"/>
          <w:lang w:val="en-GB"/>
        </w:rPr>
        <w:t>EQ</w:t>
      </w:r>
      <w:r w:rsidR="00515F5F" w:rsidRPr="00441478">
        <w:rPr>
          <w:rFonts w:asciiTheme="majorBidi" w:hAnsiTheme="majorBidi"/>
          <w:color w:val="auto"/>
          <w:sz w:val="26"/>
          <w:szCs w:val="26"/>
          <w:lang w:val="en-GB"/>
        </w:rPr>
        <w:t xml:space="preserve"> and foreign investors.</w:t>
      </w:r>
      <w:r w:rsidR="00ED5B65" w:rsidRPr="00441478">
        <w:rPr>
          <w:rFonts w:asciiTheme="majorBidi" w:hAnsiTheme="majorBidi"/>
          <w:color w:val="auto"/>
          <w:sz w:val="26"/>
          <w:szCs w:val="26"/>
          <w:lang w:val="en-GB"/>
        </w:rPr>
        <w:t xml:space="preserve"> </w:t>
      </w:r>
      <w:r w:rsidR="00AE0E10" w:rsidRPr="00441478">
        <w:rPr>
          <w:rFonts w:asciiTheme="majorBidi" w:hAnsiTheme="majorBidi"/>
          <w:color w:val="auto"/>
          <w:sz w:val="26"/>
          <w:szCs w:val="26"/>
          <w:lang w:val="en-GB"/>
        </w:rPr>
        <w:t xml:space="preserve">The following </w:t>
      </w:r>
      <w:r w:rsidR="00ED5B65" w:rsidRPr="00441478">
        <w:rPr>
          <w:rFonts w:asciiTheme="majorBidi" w:hAnsiTheme="majorBidi"/>
          <w:color w:val="auto"/>
          <w:sz w:val="26"/>
          <w:szCs w:val="26"/>
          <w:lang w:val="en-GB"/>
        </w:rPr>
        <w:t xml:space="preserve">hypotheses are </w:t>
      </w:r>
      <w:r w:rsidR="00AE0E10" w:rsidRPr="00441478">
        <w:rPr>
          <w:rFonts w:asciiTheme="majorBidi" w:hAnsiTheme="majorBidi"/>
          <w:color w:val="auto"/>
          <w:sz w:val="26"/>
          <w:szCs w:val="26"/>
          <w:lang w:val="en-GB"/>
        </w:rPr>
        <w:t>based on</w:t>
      </w:r>
      <w:r w:rsidR="00ED5B65" w:rsidRPr="00441478">
        <w:rPr>
          <w:rFonts w:asciiTheme="majorBidi" w:hAnsiTheme="majorBidi"/>
          <w:color w:val="auto"/>
          <w:sz w:val="26"/>
          <w:szCs w:val="26"/>
          <w:lang w:val="en-GB"/>
        </w:rPr>
        <w:t xml:space="preserve"> each measure</w:t>
      </w:r>
      <w:r w:rsidR="00AE0E10" w:rsidRPr="00441478">
        <w:rPr>
          <w:rFonts w:asciiTheme="majorBidi" w:hAnsiTheme="majorBidi"/>
          <w:color w:val="auto"/>
          <w:sz w:val="26"/>
          <w:szCs w:val="26"/>
          <w:lang w:val="en-GB"/>
        </w:rPr>
        <w:t>.</w:t>
      </w:r>
      <w:r w:rsidR="00835D30" w:rsidRPr="00441478">
        <w:rPr>
          <w:rFonts w:asciiTheme="majorBidi" w:hAnsiTheme="majorBidi"/>
          <w:color w:val="auto"/>
          <w:sz w:val="26"/>
          <w:szCs w:val="26"/>
          <w:lang w:val="en-GB"/>
        </w:rPr>
        <w:t xml:space="preserve"> </w:t>
      </w:r>
      <w:r w:rsidR="00515F5F" w:rsidRPr="00441478">
        <w:rPr>
          <w:rFonts w:asciiTheme="majorBidi" w:hAnsiTheme="majorBidi"/>
          <w:color w:val="auto"/>
          <w:sz w:val="26"/>
          <w:szCs w:val="26"/>
          <w:lang w:val="en-GB"/>
        </w:rPr>
        <w:t xml:space="preserve"> </w:t>
      </w:r>
    </w:p>
    <w:p w14:paraId="5B42F4FF" w14:textId="77777777" w:rsidR="00541754" w:rsidRPr="00441478" w:rsidRDefault="00541754" w:rsidP="00441478">
      <w:pPr>
        <w:pStyle w:val="Default"/>
        <w:snapToGrid w:val="0"/>
        <w:spacing w:line="360" w:lineRule="exact"/>
        <w:ind w:firstLine="510"/>
        <w:jc w:val="both"/>
        <w:rPr>
          <w:rFonts w:asciiTheme="majorBidi" w:hAnsiTheme="majorBidi"/>
          <w:color w:val="auto"/>
          <w:sz w:val="26"/>
          <w:szCs w:val="26"/>
          <w:lang w:val="en-GB"/>
        </w:rPr>
      </w:pPr>
    </w:p>
    <w:p w14:paraId="74CA5A13" w14:textId="77777777" w:rsidR="00F82D55" w:rsidRPr="00541754" w:rsidRDefault="00F82D55" w:rsidP="00541754">
      <w:pPr>
        <w:snapToGrid w:val="0"/>
        <w:spacing w:after="0" w:line="360" w:lineRule="exact"/>
        <w:rPr>
          <w:rFonts w:asciiTheme="majorBidi" w:hAnsiTheme="majorBidi"/>
          <w:b/>
          <w:sz w:val="26"/>
          <w:szCs w:val="26"/>
        </w:rPr>
      </w:pPr>
      <w:r w:rsidRPr="00541754">
        <w:rPr>
          <w:rFonts w:asciiTheme="majorBidi" w:hAnsiTheme="majorBidi"/>
          <w:b/>
          <w:sz w:val="26"/>
          <w:szCs w:val="26"/>
        </w:rPr>
        <w:t>Persistence</w:t>
      </w:r>
    </w:p>
    <w:p w14:paraId="11EE8018" w14:textId="64154447" w:rsidR="00F82D55" w:rsidRPr="00441478" w:rsidRDefault="00F82D55" w:rsidP="00441478">
      <w:pPr>
        <w:snapToGrid w:val="0"/>
        <w:spacing w:after="0" w:line="360" w:lineRule="exact"/>
        <w:ind w:firstLine="510"/>
        <w:jc w:val="both"/>
        <w:rPr>
          <w:rFonts w:asciiTheme="majorBidi" w:hAnsiTheme="majorBidi"/>
          <w:sz w:val="26"/>
          <w:szCs w:val="26"/>
        </w:rPr>
      </w:pPr>
      <w:r w:rsidRPr="00441478">
        <w:rPr>
          <w:rFonts w:asciiTheme="majorBidi" w:hAnsiTheme="majorBidi"/>
          <w:sz w:val="26"/>
          <w:szCs w:val="26"/>
        </w:rPr>
        <w:t xml:space="preserve">Persistence is </w:t>
      </w:r>
      <w:r w:rsidR="00AE0E10" w:rsidRPr="00441478">
        <w:rPr>
          <w:rFonts w:asciiTheme="majorBidi" w:hAnsiTheme="majorBidi"/>
          <w:sz w:val="26"/>
          <w:szCs w:val="26"/>
        </w:rPr>
        <w:t xml:space="preserve">a </w:t>
      </w:r>
      <w:r w:rsidRPr="00441478">
        <w:rPr>
          <w:rFonts w:asciiTheme="majorBidi" w:hAnsiTheme="majorBidi"/>
          <w:sz w:val="26"/>
          <w:szCs w:val="26"/>
        </w:rPr>
        <w:t xml:space="preserve">commonly used measure of </w:t>
      </w:r>
      <w:r w:rsidR="006B1C85" w:rsidRPr="00441478">
        <w:rPr>
          <w:rFonts w:asciiTheme="majorBidi" w:hAnsiTheme="majorBidi"/>
          <w:sz w:val="26"/>
          <w:szCs w:val="26"/>
        </w:rPr>
        <w:t>EQ</w:t>
      </w:r>
      <w:r w:rsidRPr="00441478">
        <w:rPr>
          <w:rFonts w:asciiTheme="majorBidi" w:hAnsiTheme="majorBidi"/>
          <w:sz w:val="26"/>
          <w:szCs w:val="26"/>
        </w:rPr>
        <w:t>. It means how much of the present earnings can remain and continue from time to time in the future. More stable earnings are more sustainable and of high quality</w:t>
      </w:r>
      <w:r w:rsidR="00AE0E10" w:rsidRPr="00441478">
        <w:rPr>
          <w:rFonts w:asciiTheme="majorBidi" w:hAnsiTheme="majorBidi"/>
          <w:sz w:val="26"/>
          <w:szCs w:val="26"/>
        </w:rPr>
        <w:t>,</w:t>
      </w:r>
      <w:r w:rsidRPr="00441478">
        <w:rPr>
          <w:rFonts w:asciiTheme="majorBidi" w:hAnsiTheme="majorBidi"/>
          <w:sz w:val="26"/>
          <w:szCs w:val="26"/>
        </w:rPr>
        <w:t xml:space="preserve"> </w:t>
      </w:r>
      <w:r w:rsidR="00050EB7" w:rsidRPr="00441478">
        <w:rPr>
          <w:rFonts w:asciiTheme="majorBidi" w:hAnsiTheme="majorBidi"/>
          <w:sz w:val="26"/>
          <w:szCs w:val="26"/>
        </w:rPr>
        <w:t>whereas</w:t>
      </w:r>
      <w:r w:rsidRPr="00441478">
        <w:rPr>
          <w:rFonts w:asciiTheme="majorBidi" w:hAnsiTheme="majorBidi"/>
          <w:sz w:val="26"/>
          <w:szCs w:val="26"/>
        </w:rPr>
        <w:t xml:space="preserve"> earnings </w:t>
      </w:r>
      <w:r w:rsidR="007D3C6D">
        <w:rPr>
          <w:rFonts w:asciiTheme="majorBidi" w:hAnsiTheme="majorBidi"/>
          <w:sz w:val="26"/>
          <w:szCs w:val="26"/>
        </w:rPr>
        <w:t>that</w:t>
      </w:r>
      <w:r w:rsidR="007D3C6D" w:rsidRPr="00441478">
        <w:rPr>
          <w:rFonts w:asciiTheme="majorBidi" w:hAnsiTheme="majorBidi"/>
          <w:sz w:val="26"/>
          <w:szCs w:val="26"/>
        </w:rPr>
        <w:t xml:space="preserve"> </w:t>
      </w:r>
      <w:r w:rsidRPr="00441478">
        <w:rPr>
          <w:rFonts w:asciiTheme="majorBidi" w:hAnsiTheme="majorBidi"/>
          <w:sz w:val="26"/>
          <w:szCs w:val="26"/>
        </w:rPr>
        <w:t>are less stable are considered more transitory and</w:t>
      </w:r>
      <w:r w:rsidR="00AE0E10" w:rsidRPr="00441478">
        <w:rPr>
          <w:rFonts w:asciiTheme="majorBidi" w:hAnsiTheme="majorBidi"/>
          <w:sz w:val="26"/>
          <w:szCs w:val="26"/>
        </w:rPr>
        <w:t xml:space="preserve"> of</w:t>
      </w:r>
      <w:r w:rsidRPr="00441478">
        <w:rPr>
          <w:rFonts w:asciiTheme="majorBidi" w:hAnsiTheme="majorBidi"/>
          <w:sz w:val="26"/>
          <w:szCs w:val="26"/>
        </w:rPr>
        <w:t xml:space="preserve"> less quality (An, 2017). </w:t>
      </w:r>
    </w:p>
    <w:p w14:paraId="05B4CF7F" w14:textId="7CFE5680" w:rsidR="00891FF3" w:rsidRPr="00441478" w:rsidRDefault="00C47670" w:rsidP="001C79FD">
      <w:pPr>
        <w:autoSpaceDE w:val="0"/>
        <w:autoSpaceDN w:val="0"/>
        <w:adjustRightInd w:val="0"/>
        <w:snapToGrid w:val="0"/>
        <w:spacing w:after="0" w:line="360" w:lineRule="exact"/>
        <w:ind w:firstLine="510"/>
        <w:jc w:val="both"/>
        <w:rPr>
          <w:rFonts w:asciiTheme="majorBidi" w:hAnsiTheme="majorBidi"/>
          <w:sz w:val="26"/>
          <w:szCs w:val="26"/>
        </w:rPr>
      </w:pPr>
      <w:r w:rsidRPr="00441478">
        <w:rPr>
          <w:rFonts w:asciiTheme="majorBidi" w:hAnsiTheme="majorBidi"/>
          <w:sz w:val="26"/>
          <w:szCs w:val="26"/>
        </w:rPr>
        <w:t xml:space="preserve">Firms with more persistent earnings have </w:t>
      </w:r>
      <w:r w:rsidR="00FD4DB0" w:rsidRPr="00441478">
        <w:rPr>
          <w:rFonts w:asciiTheme="majorBidi" w:hAnsiTheme="majorBidi"/>
          <w:sz w:val="26"/>
          <w:szCs w:val="26"/>
        </w:rPr>
        <w:t>more ‘sustainable’</w:t>
      </w:r>
      <w:r w:rsidR="00AE0E10" w:rsidRPr="00441478">
        <w:rPr>
          <w:rFonts w:asciiTheme="majorBidi" w:hAnsiTheme="majorBidi"/>
          <w:sz w:val="26"/>
          <w:szCs w:val="26"/>
        </w:rPr>
        <w:t xml:space="preserve"> </w:t>
      </w:r>
      <w:r w:rsidR="00FD4DB0" w:rsidRPr="00441478">
        <w:rPr>
          <w:rFonts w:asciiTheme="majorBidi" w:hAnsiTheme="majorBidi"/>
          <w:sz w:val="26"/>
          <w:szCs w:val="26"/>
        </w:rPr>
        <w:t>earnings</w:t>
      </w:r>
      <w:r w:rsidR="007D3C6D">
        <w:rPr>
          <w:rFonts w:asciiTheme="majorBidi" w:hAnsiTheme="majorBidi"/>
          <w:sz w:val="26"/>
          <w:szCs w:val="26"/>
        </w:rPr>
        <w:t>,</w:t>
      </w:r>
      <w:r w:rsidR="00FD4DB0" w:rsidRPr="00441478">
        <w:rPr>
          <w:rFonts w:asciiTheme="majorBidi" w:hAnsiTheme="majorBidi"/>
          <w:sz w:val="26"/>
          <w:szCs w:val="26"/>
        </w:rPr>
        <w:t xml:space="preserve"> which</w:t>
      </w:r>
      <w:r w:rsidRPr="00441478">
        <w:rPr>
          <w:rFonts w:asciiTheme="majorBidi" w:hAnsiTheme="majorBidi"/>
          <w:sz w:val="26"/>
          <w:szCs w:val="26"/>
        </w:rPr>
        <w:t xml:space="preserve"> </w:t>
      </w:r>
      <w:r w:rsidR="00AE0E10" w:rsidRPr="00441478">
        <w:rPr>
          <w:rFonts w:asciiTheme="majorBidi" w:hAnsiTheme="majorBidi"/>
          <w:sz w:val="26"/>
          <w:szCs w:val="26"/>
        </w:rPr>
        <w:t>are</w:t>
      </w:r>
      <w:r w:rsidRPr="00441478">
        <w:rPr>
          <w:rFonts w:asciiTheme="majorBidi" w:hAnsiTheme="majorBidi"/>
          <w:sz w:val="26"/>
          <w:szCs w:val="26"/>
        </w:rPr>
        <w:t xml:space="preserve"> more useful </w:t>
      </w:r>
      <w:r w:rsidR="00FD4DB0" w:rsidRPr="00441478">
        <w:rPr>
          <w:rFonts w:asciiTheme="majorBidi" w:hAnsiTheme="majorBidi"/>
          <w:sz w:val="26"/>
          <w:szCs w:val="26"/>
        </w:rPr>
        <w:t>for predicting future earnings</w:t>
      </w:r>
      <w:r w:rsidRPr="00441478">
        <w:rPr>
          <w:rFonts w:asciiTheme="majorBidi" w:hAnsiTheme="majorBidi"/>
          <w:sz w:val="26"/>
          <w:szCs w:val="26"/>
        </w:rPr>
        <w:t>.</w:t>
      </w:r>
      <w:r w:rsidR="00F166A3" w:rsidRPr="00441478">
        <w:rPr>
          <w:rFonts w:asciiTheme="majorBidi" w:hAnsiTheme="majorBidi"/>
          <w:sz w:val="26"/>
          <w:szCs w:val="26"/>
        </w:rPr>
        <w:t xml:space="preserve"> </w:t>
      </w:r>
      <w:proofErr w:type="spellStart"/>
      <w:r w:rsidR="00D6304E" w:rsidRPr="00441478">
        <w:rPr>
          <w:rFonts w:asciiTheme="majorBidi" w:hAnsiTheme="majorBidi"/>
          <w:sz w:val="26"/>
          <w:szCs w:val="26"/>
        </w:rPr>
        <w:t>Perotti</w:t>
      </w:r>
      <w:proofErr w:type="spellEnd"/>
      <w:r w:rsidR="00D6304E" w:rsidRPr="00441478">
        <w:rPr>
          <w:rFonts w:asciiTheme="majorBidi" w:hAnsiTheme="majorBidi"/>
          <w:sz w:val="26"/>
          <w:szCs w:val="26"/>
        </w:rPr>
        <w:t xml:space="preserve"> </w:t>
      </w:r>
      <w:r w:rsidR="00523653">
        <w:rPr>
          <w:rFonts w:asciiTheme="majorBidi" w:hAnsiTheme="majorBidi"/>
          <w:sz w:val="26"/>
          <w:szCs w:val="26"/>
        </w:rPr>
        <w:t>and</w:t>
      </w:r>
      <w:r w:rsidR="00D6304E" w:rsidRPr="00441478">
        <w:rPr>
          <w:rFonts w:asciiTheme="majorBidi" w:hAnsiTheme="majorBidi"/>
          <w:sz w:val="26"/>
          <w:szCs w:val="26"/>
        </w:rPr>
        <w:t xml:space="preserve"> </w:t>
      </w:r>
      <w:proofErr w:type="spellStart"/>
      <w:r w:rsidR="00A962D9">
        <w:rPr>
          <w:rFonts w:asciiTheme="majorBidi" w:hAnsiTheme="majorBidi"/>
          <w:sz w:val="26"/>
          <w:szCs w:val="26"/>
        </w:rPr>
        <w:t>Wagenhofer</w:t>
      </w:r>
      <w:proofErr w:type="spellEnd"/>
      <w:r w:rsidR="00D6304E" w:rsidRPr="00441478">
        <w:rPr>
          <w:rFonts w:asciiTheme="majorBidi" w:hAnsiTheme="majorBidi"/>
          <w:sz w:val="26"/>
          <w:szCs w:val="26"/>
        </w:rPr>
        <w:t xml:space="preserve"> (2014</w:t>
      </w:r>
      <w:r w:rsidR="004A6FE4" w:rsidRPr="00441478">
        <w:rPr>
          <w:rFonts w:asciiTheme="majorBidi" w:hAnsiTheme="majorBidi"/>
          <w:sz w:val="26"/>
          <w:szCs w:val="26"/>
        </w:rPr>
        <w:t>)</w:t>
      </w:r>
      <w:r w:rsidR="00D6304E" w:rsidRPr="00441478">
        <w:rPr>
          <w:rFonts w:asciiTheme="majorBidi" w:hAnsiTheme="majorBidi"/>
          <w:sz w:val="26"/>
          <w:szCs w:val="26"/>
        </w:rPr>
        <w:t xml:space="preserve"> found that </w:t>
      </w:r>
      <w:r w:rsidR="00F166A3" w:rsidRPr="00441478">
        <w:rPr>
          <w:rFonts w:asciiTheme="majorBidi" w:hAnsiTheme="majorBidi"/>
          <w:sz w:val="26"/>
          <w:szCs w:val="26"/>
        </w:rPr>
        <w:t>investor</w:t>
      </w:r>
      <w:r w:rsidR="00AE0E10" w:rsidRPr="00441478">
        <w:rPr>
          <w:rFonts w:asciiTheme="majorBidi" w:hAnsiTheme="majorBidi"/>
          <w:sz w:val="26"/>
          <w:szCs w:val="26"/>
        </w:rPr>
        <w:t>s</w:t>
      </w:r>
      <w:r w:rsidR="00F166A3" w:rsidRPr="00441478">
        <w:rPr>
          <w:rFonts w:asciiTheme="majorBidi" w:hAnsiTheme="majorBidi"/>
          <w:sz w:val="26"/>
          <w:szCs w:val="26"/>
        </w:rPr>
        <w:t xml:space="preserve"> use persist</w:t>
      </w:r>
      <w:r w:rsidR="00D6304E" w:rsidRPr="00441478">
        <w:rPr>
          <w:rFonts w:asciiTheme="majorBidi" w:hAnsiTheme="majorBidi"/>
          <w:sz w:val="26"/>
          <w:szCs w:val="26"/>
        </w:rPr>
        <w:t>ence because high persistence has</w:t>
      </w:r>
      <w:r w:rsidR="00891FF3" w:rsidRPr="00441478">
        <w:rPr>
          <w:rFonts w:asciiTheme="majorBidi" w:hAnsiTheme="majorBidi"/>
          <w:sz w:val="26"/>
          <w:szCs w:val="26"/>
        </w:rPr>
        <w:t xml:space="preserve"> </w:t>
      </w:r>
      <w:r w:rsidR="007D3C6D">
        <w:rPr>
          <w:rFonts w:asciiTheme="majorBidi" w:hAnsiTheme="majorBidi"/>
          <w:sz w:val="26"/>
          <w:szCs w:val="26"/>
        </w:rPr>
        <w:t xml:space="preserve">a </w:t>
      </w:r>
      <w:r w:rsidR="00891FF3" w:rsidRPr="00441478">
        <w:rPr>
          <w:rFonts w:asciiTheme="majorBidi" w:hAnsiTheme="majorBidi"/>
          <w:sz w:val="26"/>
          <w:szCs w:val="26"/>
        </w:rPr>
        <w:t>positive</w:t>
      </w:r>
      <w:r w:rsidR="00F166A3" w:rsidRPr="00441478">
        <w:rPr>
          <w:rFonts w:asciiTheme="majorBidi" w:hAnsiTheme="majorBidi"/>
          <w:sz w:val="26"/>
          <w:szCs w:val="26"/>
        </w:rPr>
        <w:t xml:space="preserve"> </w:t>
      </w:r>
      <w:r w:rsidR="00891FF3" w:rsidRPr="00441478">
        <w:rPr>
          <w:rFonts w:asciiTheme="majorBidi" w:hAnsiTheme="majorBidi"/>
          <w:sz w:val="26"/>
          <w:szCs w:val="26"/>
        </w:rPr>
        <w:t>relationship</w:t>
      </w:r>
      <w:r w:rsidR="00F166A3" w:rsidRPr="00441478">
        <w:rPr>
          <w:rFonts w:asciiTheme="majorBidi" w:hAnsiTheme="majorBidi"/>
          <w:sz w:val="26"/>
          <w:szCs w:val="26"/>
        </w:rPr>
        <w:t xml:space="preserve"> with high </w:t>
      </w:r>
      <w:r w:rsidR="006B1C85" w:rsidRPr="00441478">
        <w:rPr>
          <w:rFonts w:asciiTheme="majorBidi" w:hAnsiTheme="majorBidi"/>
          <w:sz w:val="26"/>
          <w:szCs w:val="26"/>
        </w:rPr>
        <w:t>EQ</w:t>
      </w:r>
      <w:r w:rsidR="00F166A3" w:rsidRPr="00441478">
        <w:rPr>
          <w:rFonts w:asciiTheme="majorBidi" w:hAnsiTheme="majorBidi"/>
          <w:sz w:val="26"/>
          <w:szCs w:val="26"/>
        </w:rPr>
        <w:t xml:space="preserve"> as it implies a reliable, continuous</w:t>
      </w:r>
      <w:r w:rsidR="007D3C6D">
        <w:rPr>
          <w:rFonts w:asciiTheme="majorBidi" w:hAnsiTheme="majorBidi"/>
          <w:sz w:val="26"/>
          <w:szCs w:val="26"/>
        </w:rPr>
        <w:t>,</w:t>
      </w:r>
      <w:r w:rsidR="00F166A3" w:rsidRPr="00441478">
        <w:rPr>
          <w:rFonts w:asciiTheme="majorBidi" w:hAnsiTheme="majorBidi"/>
          <w:sz w:val="26"/>
          <w:szCs w:val="26"/>
        </w:rPr>
        <w:t xml:space="preserve"> and less volatile earnings generation mechanism that investors</w:t>
      </w:r>
      <w:r w:rsidR="007D3C6D">
        <w:rPr>
          <w:rFonts w:asciiTheme="majorBidi" w:hAnsiTheme="majorBidi"/>
          <w:sz w:val="26"/>
          <w:szCs w:val="26"/>
        </w:rPr>
        <w:t xml:space="preserve"> especially value</w:t>
      </w:r>
      <w:r w:rsidR="00F166A3" w:rsidRPr="00441478">
        <w:rPr>
          <w:rFonts w:asciiTheme="majorBidi" w:hAnsiTheme="majorBidi"/>
          <w:sz w:val="26"/>
          <w:szCs w:val="26"/>
        </w:rPr>
        <w:t>.</w:t>
      </w:r>
      <w:r w:rsidR="00AE0E10" w:rsidRPr="00441478">
        <w:rPr>
          <w:rFonts w:asciiTheme="majorBidi" w:hAnsiTheme="majorBidi"/>
          <w:sz w:val="26"/>
          <w:szCs w:val="26"/>
        </w:rPr>
        <w:t xml:space="preserve"> </w:t>
      </w:r>
      <w:r w:rsidR="00FB458F" w:rsidRPr="00441478">
        <w:rPr>
          <w:rFonts w:asciiTheme="majorBidi" w:hAnsiTheme="majorBidi"/>
          <w:sz w:val="26"/>
          <w:szCs w:val="26"/>
        </w:rPr>
        <w:t xml:space="preserve">Ben-Nasr et al. </w:t>
      </w:r>
      <w:r w:rsidR="00AE0E10" w:rsidRPr="00441478">
        <w:rPr>
          <w:rFonts w:asciiTheme="majorBidi" w:hAnsiTheme="majorBidi"/>
          <w:sz w:val="26"/>
          <w:szCs w:val="26"/>
        </w:rPr>
        <w:t>(</w:t>
      </w:r>
      <w:r w:rsidR="00FB458F" w:rsidRPr="00441478">
        <w:rPr>
          <w:rFonts w:asciiTheme="majorBidi" w:hAnsiTheme="majorBidi"/>
          <w:sz w:val="26"/>
          <w:szCs w:val="26"/>
        </w:rPr>
        <w:t>2015)</w:t>
      </w:r>
      <w:r w:rsidR="00D54C9B" w:rsidRPr="00441478">
        <w:rPr>
          <w:rFonts w:asciiTheme="majorBidi" w:hAnsiTheme="majorBidi"/>
          <w:sz w:val="26"/>
          <w:szCs w:val="26"/>
        </w:rPr>
        <w:t xml:space="preserve"> found that foreign ownership is associated with higher </w:t>
      </w:r>
      <w:r w:rsidR="006B1C85" w:rsidRPr="00441478">
        <w:rPr>
          <w:rFonts w:asciiTheme="majorBidi" w:hAnsiTheme="majorBidi"/>
          <w:sz w:val="26"/>
          <w:szCs w:val="26"/>
        </w:rPr>
        <w:t>EQ</w:t>
      </w:r>
      <w:r w:rsidR="00D54C9B" w:rsidRPr="00441478">
        <w:rPr>
          <w:rFonts w:asciiTheme="majorBidi" w:hAnsiTheme="majorBidi"/>
          <w:sz w:val="26"/>
          <w:szCs w:val="26"/>
        </w:rPr>
        <w:t xml:space="preserve"> in terms of persistence as foreign investors prefer to invest their money in firms with higher earnings in the future. </w:t>
      </w:r>
    </w:p>
    <w:p w14:paraId="0488E626" w14:textId="3FFA9722" w:rsidR="004778DA" w:rsidRPr="00441478" w:rsidRDefault="00891FF3" w:rsidP="00441478">
      <w:pPr>
        <w:autoSpaceDE w:val="0"/>
        <w:autoSpaceDN w:val="0"/>
        <w:adjustRightInd w:val="0"/>
        <w:snapToGrid w:val="0"/>
        <w:spacing w:after="0" w:line="360" w:lineRule="exact"/>
        <w:ind w:firstLine="510"/>
        <w:jc w:val="both"/>
        <w:rPr>
          <w:rFonts w:asciiTheme="majorBidi" w:hAnsiTheme="majorBidi"/>
          <w:sz w:val="26"/>
          <w:szCs w:val="26"/>
        </w:rPr>
      </w:pPr>
      <w:r w:rsidRPr="00441478">
        <w:rPr>
          <w:rFonts w:asciiTheme="majorBidi" w:hAnsiTheme="majorBidi"/>
          <w:sz w:val="26"/>
          <w:szCs w:val="26"/>
        </w:rPr>
        <w:lastRenderedPageBreak/>
        <w:t>The criterion used to i</w:t>
      </w:r>
      <w:r w:rsidR="002F1D22" w:rsidRPr="00441478">
        <w:rPr>
          <w:rFonts w:asciiTheme="majorBidi" w:hAnsiTheme="majorBidi"/>
          <w:sz w:val="26"/>
          <w:szCs w:val="26"/>
        </w:rPr>
        <w:t xml:space="preserve">nterpret </w:t>
      </w:r>
      <w:r w:rsidR="006B1C85" w:rsidRPr="00441478">
        <w:rPr>
          <w:rFonts w:asciiTheme="majorBidi" w:hAnsiTheme="majorBidi"/>
          <w:sz w:val="26"/>
          <w:szCs w:val="26"/>
        </w:rPr>
        <w:t>EQ</w:t>
      </w:r>
      <w:r w:rsidR="002F1D22" w:rsidRPr="00441478">
        <w:rPr>
          <w:rFonts w:asciiTheme="majorBidi" w:hAnsiTheme="majorBidi"/>
          <w:sz w:val="26"/>
          <w:szCs w:val="26"/>
        </w:rPr>
        <w:t xml:space="preserve"> is the</w:t>
      </w:r>
      <w:r w:rsidRPr="00441478">
        <w:rPr>
          <w:rFonts w:asciiTheme="majorBidi" w:hAnsiTheme="majorBidi"/>
          <w:sz w:val="26"/>
          <w:szCs w:val="26"/>
        </w:rPr>
        <w:t xml:space="preserve"> value of β </w:t>
      </w:r>
      <w:r w:rsidR="00F35ACC" w:rsidRPr="00441478">
        <w:rPr>
          <w:rFonts w:asciiTheme="majorBidi" w:hAnsiTheme="majorBidi"/>
          <w:sz w:val="26"/>
          <w:szCs w:val="26"/>
        </w:rPr>
        <w:t xml:space="preserve">in the regression model of persistence </w:t>
      </w:r>
      <w:r w:rsidR="002F1D22" w:rsidRPr="00441478">
        <w:rPr>
          <w:rFonts w:asciiTheme="majorBidi" w:hAnsiTheme="majorBidi"/>
          <w:sz w:val="26"/>
          <w:szCs w:val="26"/>
        </w:rPr>
        <w:t xml:space="preserve">as it is </w:t>
      </w:r>
      <w:r w:rsidRPr="00441478">
        <w:rPr>
          <w:rFonts w:asciiTheme="majorBidi" w:hAnsiTheme="majorBidi"/>
          <w:sz w:val="26"/>
          <w:szCs w:val="26"/>
        </w:rPr>
        <w:t xml:space="preserve">close to highly </w:t>
      </w:r>
      <w:r w:rsidR="00AE0E10" w:rsidRPr="00441478">
        <w:rPr>
          <w:rFonts w:asciiTheme="majorBidi" w:hAnsiTheme="majorBidi"/>
          <w:sz w:val="26"/>
          <w:szCs w:val="26"/>
        </w:rPr>
        <w:t xml:space="preserve">persistent </w:t>
      </w:r>
      <w:r w:rsidRPr="00441478">
        <w:rPr>
          <w:rFonts w:asciiTheme="majorBidi" w:hAnsiTheme="majorBidi"/>
          <w:sz w:val="26"/>
          <w:szCs w:val="26"/>
        </w:rPr>
        <w:t>earnings, whereas the value close to zero indicates highly unsustainable earnings</w:t>
      </w:r>
      <w:r w:rsidR="00515F5F" w:rsidRPr="00441478">
        <w:rPr>
          <w:rFonts w:asciiTheme="majorBidi" w:hAnsiTheme="majorBidi"/>
          <w:sz w:val="26"/>
          <w:szCs w:val="26"/>
        </w:rPr>
        <w:t xml:space="preserve">. </w:t>
      </w:r>
      <w:r w:rsidR="0090203F" w:rsidRPr="00441478">
        <w:rPr>
          <w:rFonts w:asciiTheme="majorBidi" w:hAnsiTheme="majorBidi"/>
          <w:sz w:val="26"/>
          <w:szCs w:val="26"/>
        </w:rPr>
        <w:t xml:space="preserve">In GCC </w:t>
      </w:r>
      <w:r w:rsidR="00082977" w:rsidRPr="00441478">
        <w:rPr>
          <w:rFonts w:asciiTheme="majorBidi" w:hAnsiTheme="majorBidi"/>
          <w:sz w:val="26"/>
          <w:szCs w:val="26"/>
        </w:rPr>
        <w:t xml:space="preserve">countries, </w:t>
      </w:r>
      <w:r w:rsidR="0090203F" w:rsidRPr="00441478">
        <w:rPr>
          <w:rFonts w:asciiTheme="majorBidi" w:hAnsiTheme="majorBidi"/>
          <w:sz w:val="26"/>
          <w:szCs w:val="26"/>
        </w:rPr>
        <w:t>foreign ownership is less</w:t>
      </w:r>
      <w:r w:rsidR="00173FE4">
        <w:rPr>
          <w:rFonts w:asciiTheme="majorBidi" w:hAnsiTheme="majorBidi"/>
          <w:sz w:val="26"/>
          <w:szCs w:val="26"/>
        </w:rPr>
        <w:t xml:space="preserve"> </w:t>
      </w:r>
      <w:r w:rsidR="007D3C6D">
        <w:rPr>
          <w:rFonts w:asciiTheme="majorBidi" w:hAnsiTheme="majorBidi"/>
          <w:sz w:val="26"/>
          <w:szCs w:val="26"/>
        </w:rPr>
        <w:t>than domestic ownership, but GCC markets are expected to attract more foreign ownership by</w:t>
      </w:r>
      <w:r w:rsidR="00082977" w:rsidRPr="00441478">
        <w:rPr>
          <w:rFonts w:asciiTheme="majorBidi" w:hAnsiTheme="majorBidi"/>
          <w:sz w:val="26"/>
          <w:szCs w:val="26"/>
        </w:rPr>
        <w:t xml:space="preserve"> improving </w:t>
      </w:r>
      <w:r w:rsidR="006B1C85" w:rsidRPr="00441478">
        <w:rPr>
          <w:rFonts w:asciiTheme="majorBidi" w:hAnsiTheme="majorBidi"/>
          <w:sz w:val="26"/>
          <w:szCs w:val="26"/>
        </w:rPr>
        <w:t>EQ</w:t>
      </w:r>
      <w:r w:rsidR="002F1D22" w:rsidRPr="00441478">
        <w:rPr>
          <w:rFonts w:asciiTheme="majorBidi" w:hAnsiTheme="majorBidi"/>
          <w:sz w:val="26"/>
          <w:szCs w:val="26"/>
        </w:rPr>
        <w:t xml:space="preserve"> and sowing more persistence. A</w:t>
      </w:r>
      <w:r w:rsidR="007D3C6D">
        <w:rPr>
          <w:rFonts w:asciiTheme="majorBidi" w:hAnsiTheme="majorBidi"/>
          <w:sz w:val="26"/>
          <w:szCs w:val="26"/>
        </w:rPr>
        <w:t>n (2019) stated that doing so helps foreign ownership</w:t>
      </w:r>
      <w:r w:rsidR="00082977" w:rsidRPr="00441478">
        <w:rPr>
          <w:rFonts w:asciiTheme="majorBidi" w:hAnsiTheme="majorBidi"/>
          <w:sz w:val="26"/>
          <w:szCs w:val="26"/>
        </w:rPr>
        <w:t xml:space="preserve"> invest more in firms with higher </w:t>
      </w:r>
      <w:r w:rsidR="006B1C85" w:rsidRPr="00441478">
        <w:rPr>
          <w:rFonts w:asciiTheme="majorBidi" w:hAnsiTheme="majorBidi"/>
          <w:sz w:val="26"/>
          <w:szCs w:val="26"/>
        </w:rPr>
        <w:t>EQ</w:t>
      </w:r>
      <w:r w:rsidR="00082977" w:rsidRPr="00441478">
        <w:rPr>
          <w:rFonts w:asciiTheme="majorBidi" w:hAnsiTheme="majorBidi"/>
          <w:sz w:val="26"/>
          <w:szCs w:val="26"/>
        </w:rPr>
        <w:t xml:space="preserve">. </w:t>
      </w:r>
    </w:p>
    <w:p w14:paraId="12F1FD53" w14:textId="0C84499C" w:rsidR="00DD22F2" w:rsidRPr="00441478" w:rsidRDefault="004778DA" w:rsidP="00441478">
      <w:pPr>
        <w:autoSpaceDE w:val="0"/>
        <w:autoSpaceDN w:val="0"/>
        <w:adjustRightInd w:val="0"/>
        <w:snapToGrid w:val="0"/>
        <w:spacing w:after="0" w:line="360" w:lineRule="exact"/>
        <w:jc w:val="both"/>
        <w:rPr>
          <w:rFonts w:asciiTheme="majorBidi" w:hAnsiTheme="majorBidi"/>
          <w:b/>
          <w:sz w:val="26"/>
          <w:szCs w:val="26"/>
        </w:rPr>
      </w:pPr>
      <w:r w:rsidRPr="00441478">
        <w:rPr>
          <w:rFonts w:asciiTheme="majorBidi" w:hAnsiTheme="majorBidi"/>
          <w:b/>
          <w:sz w:val="26"/>
          <w:szCs w:val="26"/>
        </w:rPr>
        <w:t xml:space="preserve">H1: </w:t>
      </w:r>
      <w:r w:rsidR="00AE0E10" w:rsidRPr="00441478">
        <w:rPr>
          <w:rFonts w:asciiTheme="majorBidi" w:hAnsiTheme="majorBidi"/>
          <w:b/>
          <w:sz w:val="26"/>
          <w:szCs w:val="26"/>
        </w:rPr>
        <w:t xml:space="preserve">Highly </w:t>
      </w:r>
      <w:r w:rsidRPr="00441478">
        <w:rPr>
          <w:rFonts w:asciiTheme="majorBidi" w:hAnsiTheme="majorBidi"/>
          <w:b/>
          <w:sz w:val="26"/>
          <w:szCs w:val="26"/>
        </w:rPr>
        <w:t xml:space="preserve">sustainable </w:t>
      </w:r>
      <w:r w:rsidR="006B1C85" w:rsidRPr="00441478">
        <w:rPr>
          <w:rFonts w:asciiTheme="majorBidi" w:hAnsiTheme="majorBidi"/>
          <w:b/>
          <w:sz w:val="26"/>
          <w:szCs w:val="26"/>
        </w:rPr>
        <w:t>EQ</w:t>
      </w:r>
      <w:r w:rsidRPr="00441478">
        <w:rPr>
          <w:rFonts w:asciiTheme="majorBidi" w:hAnsiTheme="majorBidi"/>
          <w:b/>
          <w:sz w:val="26"/>
          <w:szCs w:val="26"/>
        </w:rPr>
        <w:t xml:space="preserve"> </w:t>
      </w:r>
      <w:r w:rsidR="002F1D22" w:rsidRPr="00441478">
        <w:rPr>
          <w:rFonts w:asciiTheme="majorBidi" w:hAnsiTheme="majorBidi"/>
          <w:b/>
          <w:sz w:val="26"/>
          <w:szCs w:val="26"/>
        </w:rPr>
        <w:t>attract</w:t>
      </w:r>
      <w:r w:rsidR="005B7E23" w:rsidRPr="00441478">
        <w:rPr>
          <w:rFonts w:asciiTheme="majorBidi" w:hAnsiTheme="majorBidi"/>
          <w:b/>
          <w:sz w:val="26"/>
          <w:szCs w:val="26"/>
        </w:rPr>
        <w:t>s</w:t>
      </w:r>
      <w:r w:rsidRPr="00441478">
        <w:rPr>
          <w:rFonts w:asciiTheme="majorBidi" w:hAnsiTheme="majorBidi"/>
          <w:b/>
          <w:sz w:val="26"/>
          <w:szCs w:val="26"/>
        </w:rPr>
        <w:t xml:space="preserve"> foreign ownership. </w:t>
      </w:r>
    </w:p>
    <w:p w14:paraId="6890117F" w14:textId="77777777" w:rsidR="00F166A3" w:rsidRPr="00441478" w:rsidRDefault="00F166A3" w:rsidP="00441478">
      <w:pPr>
        <w:autoSpaceDE w:val="0"/>
        <w:autoSpaceDN w:val="0"/>
        <w:adjustRightInd w:val="0"/>
        <w:snapToGrid w:val="0"/>
        <w:spacing w:after="0" w:line="360" w:lineRule="exact"/>
        <w:jc w:val="both"/>
        <w:rPr>
          <w:rFonts w:asciiTheme="majorBidi" w:hAnsiTheme="majorBidi"/>
          <w:sz w:val="26"/>
          <w:szCs w:val="26"/>
        </w:rPr>
      </w:pPr>
    </w:p>
    <w:p w14:paraId="79FC25C0" w14:textId="77777777" w:rsidR="00A06752" w:rsidRPr="00541754" w:rsidRDefault="00DD22F2" w:rsidP="00541754">
      <w:pPr>
        <w:snapToGrid w:val="0"/>
        <w:spacing w:after="0" w:line="360" w:lineRule="exact"/>
        <w:jc w:val="both"/>
        <w:rPr>
          <w:rFonts w:asciiTheme="majorBidi" w:hAnsiTheme="majorBidi"/>
          <w:sz w:val="26"/>
          <w:szCs w:val="26"/>
        </w:rPr>
      </w:pPr>
      <w:r w:rsidRPr="00541754">
        <w:rPr>
          <w:rFonts w:asciiTheme="majorBidi" w:hAnsiTheme="majorBidi"/>
          <w:b/>
          <w:sz w:val="26"/>
          <w:szCs w:val="26"/>
        </w:rPr>
        <w:t>Predictability</w:t>
      </w:r>
      <w:r w:rsidRPr="00541754">
        <w:rPr>
          <w:rFonts w:asciiTheme="majorBidi" w:hAnsiTheme="majorBidi"/>
          <w:sz w:val="26"/>
          <w:szCs w:val="26"/>
        </w:rPr>
        <w:t xml:space="preserve"> </w:t>
      </w:r>
    </w:p>
    <w:p w14:paraId="5941372D" w14:textId="226CCADE" w:rsidR="00DD22F2" w:rsidRPr="00441478" w:rsidRDefault="00A06752" w:rsidP="00441478">
      <w:pPr>
        <w:snapToGrid w:val="0"/>
        <w:spacing w:after="0" w:line="360" w:lineRule="exact"/>
        <w:ind w:firstLine="510"/>
        <w:jc w:val="both"/>
        <w:rPr>
          <w:rFonts w:asciiTheme="majorBidi" w:hAnsiTheme="majorBidi"/>
          <w:sz w:val="26"/>
          <w:szCs w:val="26"/>
        </w:rPr>
      </w:pPr>
      <w:r w:rsidRPr="00441478">
        <w:rPr>
          <w:rFonts w:asciiTheme="majorBidi" w:hAnsiTheme="majorBidi"/>
          <w:sz w:val="26"/>
          <w:szCs w:val="26"/>
        </w:rPr>
        <w:t xml:space="preserve">Predictability </w:t>
      </w:r>
      <w:r w:rsidR="00DD22F2" w:rsidRPr="00441478">
        <w:rPr>
          <w:rFonts w:asciiTheme="majorBidi" w:hAnsiTheme="majorBidi"/>
          <w:sz w:val="26"/>
          <w:szCs w:val="26"/>
        </w:rPr>
        <w:t>tests the ability of recorded earnings to predict future earnings or o</w:t>
      </w:r>
      <w:r w:rsidR="00FB458F" w:rsidRPr="00441478">
        <w:rPr>
          <w:rFonts w:asciiTheme="majorBidi" w:hAnsiTheme="majorBidi"/>
          <w:sz w:val="26"/>
          <w:szCs w:val="26"/>
        </w:rPr>
        <w:t>perating income components (</w:t>
      </w:r>
      <w:r w:rsidR="00DD22F2" w:rsidRPr="00441478">
        <w:rPr>
          <w:rFonts w:asciiTheme="majorBidi" w:hAnsiTheme="majorBidi"/>
          <w:sz w:val="26"/>
          <w:szCs w:val="26"/>
        </w:rPr>
        <w:t xml:space="preserve">Penman </w:t>
      </w:r>
      <w:r w:rsidR="007875AD">
        <w:rPr>
          <w:rFonts w:asciiTheme="majorBidi" w:hAnsiTheme="majorBidi"/>
          <w:sz w:val="26"/>
          <w:szCs w:val="26"/>
        </w:rPr>
        <w:t xml:space="preserve">&amp; </w:t>
      </w:r>
      <w:r w:rsidR="00DD22F2" w:rsidRPr="00441478">
        <w:rPr>
          <w:rFonts w:asciiTheme="majorBidi" w:hAnsiTheme="majorBidi"/>
          <w:sz w:val="26"/>
          <w:szCs w:val="26"/>
        </w:rPr>
        <w:t>Zhang</w:t>
      </w:r>
      <w:r w:rsidR="004A6FE4" w:rsidRPr="00441478">
        <w:rPr>
          <w:rFonts w:asciiTheme="majorBidi" w:hAnsiTheme="majorBidi"/>
          <w:sz w:val="26"/>
          <w:szCs w:val="26"/>
        </w:rPr>
        <w:t>,</w:t>
      </w:r>
      <w:r w:rsidR="00DD22F2" w:rsidRPr="00441478">
        <w:rPr>
          <w:rFonts w:asciiTheme="majorBidi" w:hAnsiTheme="majorBidi"/>
          <w:sz w:val="26"/>
          <w:szCs w:val="26"/>
        </w:rPr>
        <w:t xml:space="preserve"> 2002). More predictability r</w:t>
      </w:r>
      <w:r w:rsidR="00FB458F" w:rsidRPr="00441478">
        <w:rPr>
          <w:rFonts w:asciiTheme="majorBidi" w:hAnsiTheme="majorBidi"/>
          <w:sz w:val="26"/>
          <w:szCs w:val="26"/>
        </w:rPr>
        <w:t>eflects high-quality earnings</w:t>
      </w:r>
      <w:r w:rsidR="00F941E3" w:rsidRPr="00441478">
        <w:rPr>
          <w:rFonts w:asciiTheme="majorBidi" w:hAnsiTheme="majorBidi"/>
          <w:sz w:val="26"/>
          <w:szCs w:val="26"/>
        </w:rPr>
        <w:t>,</w:t>
      </w:r>
      <w:r w:rsidR="00FB458F" w:rsidRPr="00441478">
        <w:rPr>
          <w:rFonts w:asciiTheme="majorBidi" w:hAnsiTheme="majorBidi"/>
          <w:sz w:val="26"/>
          <w:szCs w:val="26"/>
        </w:rPr>
        <w:t xml:space="preserve"> but</w:t>
      </w:r>
      <w:r w:rsidR="00DD22F2" w:rsidRPr="00441478">
        <w:rPr>
          <w:rFonts w:asciiTheme="majorBidi" w:hAnsiTheme="majorBidi"/>
          <w:sz w:val="26"/>
          <w:szCs w:val="26"/>
        </w:rPr>
        <w:t xml:space="preserve"> low predictability suggests </w:t>
      </w:r>
      <w:r w:rsidR="00F941E3" w:rsidRPr="00441478">
        <w:rPr>
          <w:rFonts w:asciiTheme="majorBidi" w:hAnsiTheme="majorBidi"/>
          <w:sz w:val="26"/>
          <w:szCs w:val="26"/>
        </w:rPr>
        <w:t>low-</w:t>
      </w:r>
      <w:r w:rsidR="00DD22F2" w:rsidRPr="00441478">
        <w:rPr>
          <w:rFonts w:asciiTheme="majorBidi" w:hAnsiTheme="majorBidi"/>
          <w:sz w:val="26"/>
          <w:szCs w:val="26"/>
        </w:rPr>
        <w:t>quality earnings</w:t>
      </w:r>
      <w:r w:rsidRPr="00441478">
        <w:rPr>
          <w:rFonts w:asciiTheme="majorBidi" w:hAnsiTheme="majorBidi"/>
          <w:sz w:val="26"/>
          <w:szCs w:val="26"/>
        </w:rPr>
        <w:t>.</w:t>
      </w:r>
      <w:r w:rsidR="007819A5" w:rsidRPr="00441478">
        <w:rPr>
          <w:rFonts w:asciiTheme="majorBidi" w:hAnsiTheme="majorBidi"/>
          <w:sz w:val="26"/>
          <w:szCs w:val="26"/>
        </w:rPr>
        <w:t xml:space="preserve"> </w:t>
      </w:r>
      <w:r w:rsidR="00173FE4">
        <w:rPr>
          <w:rFonts w:asciiTheme="majorBidi" w:hAnsiTheme="majorBidi"/>
          <w:sz w:val="26"/>
          <w:szCs w:val="26"/>
        </w:rPr>
        <w:t xml:space="preserve"> </w:t>
      </w:r>
      <w:r w:rsidR="007D3C6D">
        <w:rPr>
          <w:rFonts w:asciiTheme="majorBidi" w:hAnsiTheme="majorBidi"/>
          <w:sz w:val="26"/>
          <w:szCs w:val="26"/>
        </w:rPr>
        <w:t>F</w:t>
      </w:r>
      <w:r w:rsidR="007819A5" w:rsidRPr="00441478">
        <w:rPr>
          <w:rFonts w:asciiTheme="majorBidi" w:hAnsiTheme="majorBidi"/>
          <w:sz w:val="26"/>
          <w:szCs w:val="26"/>
        </w:rPr>
        <w:t>inancial statements are the main source of information</w:t>
      </w:r>
      <w:r w:rsidR="00F941E3" w:rsidRPr="00441478">
        <w:rPr>
          <w:rFonts w:asciiTheme="majorBidi" w:hAnsiTheme="majorBidi"/>
          <w:sz w:val="26"/>
          <w:szCs w:val="26"/>
        </w:rPr>
        <w:t>,</w:t>
      </w:r>
      <w:r w:rsidR="007819A5" w:rsidRPr="00441478">
        <w:rPr>
          <w:rFonts w:asciiTheme="majorBidi" w:hAnsiTheme="majorBidi"/>
          <w:sz w:val="26"/>
          <w:szCs w:val="26"/>
        </w:rPr>
        <w:t xml:space="preserve"> and predictability is one of the most important characteristics of financial statements</w:t>
      </w:r>
      <w:r w:rsidR="007D3C6D">
        <w:rPr>
          <w:rFonts w:asciiTheme="majorBidi" w:hAnsiTheme="majorBidi"/>
          <w:sz w:val="26"/>
          <w:szCs w:val="26"/>
        </w:rPr>
        <w:t>,</w:t>
      </w:r>
      <w:r w:rsidR="007819A5" w:rsidRPr="00441478">
        <w:rPr>
          <w:rFonts w:asciiTheme="majorBidi" w:hAnsiTheme="majorBidi"/>
          <w:sz w:val="26"/>
          <w:szCs w:val="26"/>
        </w:rPr>
        <w:t xml:space="preserve"> which help investor</w:t>
      </w:r>
      <w:r w:rsidR="00F941E3" w:rsidRPr="00441478">
        <w:rPr>
          <w:rFonts w:asciiTheme="majorBidi" w:hAnsiTheme="majorBidi"/>
          <w:sz w:val="26"/>
          <w:szCs w:val="26"/>
        </w:rPr>
        <w:t>s</w:t>
      </w:r>
      <w:r w:rsidR="007819A5" w:rsidRPr="00441478">
        <w:rPr>
          <w:rFonts w:asciiTheme="majorBidi" w:hAnsiTheme="majorBidi"/>
          <w:sz w:val="26"/>
          <w:szCs w:val="26"/>
        </w:rPr>
        <w:t xml:space="preserve"> assess the ability of firm</w:t>
      </w:r>
      <w:r w:rsidR="00F941E3" w:rsidRPr="00441478">
        <w:rPr>
          <w:rFonts w:asciiTheme="majorBidi" w:hAnsiTheme="majorBidi"/>
          <w:sz w:val="26"/>
          <w:szCs w:val="26"/>
        </w:rPr>
        <w:t>s</w:t>
      </w:r>
      <w:r w:rsidR="007819A5" w:rsidRPr="00441478">
        <w:rPr>
          <w:rFonts w:asciiTheme="majorBidi" w:hAnsiTheme="majorBidi"/>
          <w:sz w:val="26"/>
          <w:szCs w:val="26"/>
        </w:rPr>
        <w:t xml:space="preserve"> to survive and </w:t>
      </w:r>
      <w:r w:rsidR="00F941E3" w:rsidRPr="00441478">
        <w:rPr>
          <w:rFonts w:asciiTheme="majorBidi" w:hAnsiTheme="majorBidi"/>
          <w:sz w:val="26"/>
          <w:szCs w:val="26"/>
        </w:rPr>
        <w:t>succeed</w:t>
      </w:r>
      <w:r w:rsidR="00924418" w:rsidRPr="00441478">
        <w:rPr>
          <w:rFonts w:asciiTheme="majorBidi" w:hAnsiTheme="majorBidi"/>
          <w:sz w:val="26"/>
          <w:szCs w:val="26"/>
        </w:rPr>
        <w:t xml:space="preserve">. Therefore, </w:t>
      </w:r>
      <w:r w:rsidR="00F941E3" w:rsidRPr="00441478">
        <w:rPr>
          <w:rFonts w:asciiTheme="majorBidi" w:hAnsiTheme="majorBidi"/>
          <w:sz w:val="26"/>
          <w:szCs w:val="26"/>
        </w:rPr>
        <w:t xml:space="preserve">the </w:t>
      </w:r>
      <w:r w:rsidR="00924418" w:rsidRPr="00441478">
        <w:rPr>
          <w:rFonts w:asciiTheme="majorBidi" w:hAnsiTheme="majorBidi"/>
          <w:sz w:val="26"/>
          <w:szCs w:val="26"/>
        </w:rPr>
        <w:t>predictive value of information gives investor</w:t>
      </w:r>
      <w:r w:rsidR="00F941E3" w:rsidRPr="00441478">
        <w:rPr>
          <w:rFonts w:asciiTheme="majorBidi" w:hAnsiTheme="majorBidi"/>
          <w:sz w:val="26"/>
          <w:szCs w:val="26"/>
        </w:rPr>
        <w:t>s</w:t>
      </w:r>
      <w:r w:rsidR="00924418" w:rsidRPr="00441478">
        <w:rPr>
          <w:rFonts w:asciiTheme="majorBidi" w:hAnsiTheme="majorBidi"/>
          <w:sz w:val="26"/>
          <w:szCs w:val="26"/>
        </w:rPr>
        <w:t xml:space="preserve"> a good indicator </w:t>
      </w:r>
      <w:r w:rsidR="007D3C6D">
        <w:rPr>
          <w:rFonts w:asciiTheme="majorBidi" w:hAnsiTheme="majorBidi"/>
          <w:sz w:val="26"/>
          <w:szCs w:val="26"/>
        </w:rPr>
        <w:t>of</w:t>
      </w:r>
      <w:r w:rsidR="007D3C6D" w:rsidRPr="00441478">
        <w:rPr>
          <w:rFonts w:asciiTheme="majorBidi" w:hAnsiTheme="majorBidi"/>
          <w:sz w:val="26"/>
          <w:szCs w:val="26"/>
        </w:rPr>
        <w:t xml:space="preserve"> </w:t>
      </w:r>
      <w:r w:rsidR="00F941E3" w:rsidRPr="00441478">
        <w:rPr>
          <w:rFonts w:asciiTheme="majorBidi" w:hAnsiTheme="majorBidi"/>
          <w:sz w:val="26"/>
          <w:szCs w:val="26"/>
        </w:rPr>
        <w:t xml:space="preserve">the </w:t>
      </w:r>
      <w:r w:rsidR="00924418" w:rsidRPr="00441478">
        <w:rPr>
          <w:rFonts w:asciiTheme="majorBidi" w:hAnsiTheme="majorBidi"/>
          <w:sz w:val="26"/>
          <w:szCs w:val="26"/>
        </w:rPr>
        <w:t xml:space="preserve">quality of financial reporting. </w:t>
      </w:r>
    </w:p>
    <w:p w14:paraId="35EEA013" w14:textId="516E7508" w:rsidR="00A06752" w:rsidRPr="00441478" w:rsidRDefault="004A6FE4" w:rsidP="00C8366C">
      <w:pPr>
        <w:snapToGrid w:val="0"/>
        <w:spacing w:after="0" w:line="360" w:lineRule="exact"/>
        <w:ind w:firstLine="510"/>
        <w:jc w:val="both"/>
        <w:rPr>
          <w:rFonts w:asciiTheme="majorBidi" w:hAnsiTheme="majorBidi"/>
          <w:sz w:val="26"/>
          <w:szCs w:val="26"/>
        </w:rPr>
      </w:pPr>
      <w:proofErr w:type="spellStart"/>
      <w:r w:rsidRPr="00441478">
        <w:rPr>
          <w:rFonts w:asciiTheme="majorBidi" w:hAnsiTheme="majorBidi"/>
          <w:sz w:val="26"/>
          <w:szCs w:val="26"/>
        </w:rPr>
        <w:t>Perotti</w:t>
      </w:r>
      <w:proofErr w:type="spellEnd"/>
      <w:r w:rsidRPr="00441478">
        <w:rPr>
          <w:rFonts w:asciiTheme="majorBidi" w:hAnsiTheme="majorBidi"/>
          <w:sz w:val="26"/>
          <w:szCs w:val="26"/>
        </w:rPr>
        <w:t xml:space="preserve"> </w:t>
      </w:r>
      <w:r w:rsidR="00523653">
        <w:rPr>
          <w:rFonts w:asciiTheme="majorBidi" w:hAnsiTheme="majorBidi"/>
          <w:sz w:val="26"/>
          <w:szCs w:val="26"/>
        </w:rPr>
        <w:t>and</w:t>
      </w:r>
      <w:r w:rsidRPr="00441478">
        <w:rPr>
          <w:rFonts w:asciiTheme="majorBidi" w:hAnsiTheme="majorBidi"/>
          <w:sz w:val="26"/>
          <w:szCs w:val="26"/>
        </w:rPr>
        <w:t xml:space="preserve"> </w:t>
      </w:r>
      <w:proofErr w:type="spellStart"/>
      <w:r w:rsidR="00A962D9">
        <w:rPr>
          <w:rFonts w:asciiTheme="majorBidi" w:hAnsiTheme="majorBidi"/>
          <w:sz w:val="26"/>
          <w:szCs w:val="26"/>
        </w:rPr>
        <w:t>Wagenhofer</w:t>
      </w:r>
      <w:proofErr w:type="spellEnd"/>
      <w:r w:rsidRPr="00441478">
        <w:rPr>
          <w:rFonts w:asciiTheme="majorBidi" w:hAnsiTheme="majorBidi"/>
          <w:sz w:val="26"/>
          <w:szCs w:val="26"/>
        </w:rPr>
        <w:t xml:space="preserve"> (2014) found that p</w:t>
      </w:r>
      <w:r w:rsidR="00A06752" w:rsidRPr="00441478">
        <w:rPr>
          <w:rFonts w:asciiTheme="majorBidi" w:hAnsiTheme="majorBidi"/>
          <w:sz w:val="26"/>
          <w:szCs w:val="26"/>
        </w:rPr>
        <w:t xml:space="preserve">redictability </w:t>
      </w:r>
      <w:r w:rsidRPr="00441478">
        <w:rPr>
          <w:rFonts w:asciiTheme="majorBidi" w:hAnsiTheme="majorBidi"/>
          <w:sz w:val="26"/>
          <w:szCs w:val="26"/>
        </w:rPr>
        <w:t>has a</w:t>
      </w:r>
      <w:r w:rsidR="00A06752" w:rsidRPr="00441478">
        <w:rPr>
          <w:rFonts w:asciiTheme="majorBidi" w:hAnsiTheme="majorBidi"/>
          <w:sz w:val="26"/>
          <w:szCs w:val="26"/>
        </w:rPr>
        <w:t xml:space="preserve"> positive </w:t>
      </w:r>
      <w:r w:rsidR="006B1C85" w:rsidRPr="00441478">
        <w:rPr>
          <w:rFonts w:asciiTheme="majorBidi" w:hAnsiTheme="majorBidi"/>
          <w:sz w:val="26"/>
          <w:szCs w:val="26"/>
        </w:rPr>
        <w:t>EQ</w:t>
      </w:r>
      <w:r w:rsidR="00A06752" w:rsidRPr="00441478">
        <w:rPr>
          <w:rFonts w:asciiTheme="majorBidi" w:hAnsiTheme="majorBidi"/>
          <w:sz w:val="26"/>
          <w:szCs w:val="26"/>
        </w:rPr>
        <w:t xml:space="preserve"> because it improves the precision of </w:t>
      </w:r>
      <w:r w:rsidR="00F941E3" w:rsidRPr="00441478">
        <w:rPr>
          <w:rFonts w:asciiTheme="majorBidi" w:hAnsiTheme="majorBidi"/>
          <w:sz w:val="26"/>
          <w:szCs w:val="26"/>
        </w:rPr>
        <w:t xml:space="preserve">earnings </w:t>
      </w:r>
      <w:r w:rsidR="00A06752" w:rsidRPr="00441478">
        <w:rPr>
          <w:rFonts w:asciiTheme="majorBidi" w:hAnsiTheme="majorBidi"/>
          <w:sz w:val="26"/>
          <w:szCs w:val="26"/>
        </w:rPr>
        <w:t>prediction.</w:t>
      </w:r>
      <w:r w:rsidR="007819A5" w:rsidRPr="00441478">
        <w:rPr>
          <w:rFonts w:asciiTheme="majorBidi" w:hAnsiTheme="majorBidi"/>
          <w:sz w:val="26"/>
          <w:szCs w:val="26"/>
        </w:rPr>
        <w:t xml:space="preserve"> </w:t>
      </w:r>
      <w:r w:rsidR="00F941E3" w:rsidRPr="00441478">
        <w:rPr>
          <w:rFonts w:asciiTheme="majorBidi" w:hAnsiTheme="majorBidi"/>
          <w:sz w:val="26"/>
          <w:szCs w:val="26"/>
        </w:rPr>
        <w:t>In addition</w:t>
      </w:r>
      <w:r w:rsidR="007819A5" w:rsidRPr="00441478">
        <w:rPr>
          <w:rFonts w:asciiTheme="majorBidi" w:hAnsiTheme="majorBidi"/>
          <w:sz w:val="26"/>
          <w:szCs w:val="26"/>
        </w:rPr>
        <w:t xml:space="preserve">, Lee </w:t>
      </w:r>
      <w:r w:rsidR="00523653">
        <w:rPr>
          <w:rFonts w:asciiTheme="majorBidi" w:hAnsiTheme="majorBidi"/>
          <w:sz w:val="26"/>
          <w:szCs w:val="26"/>
        </w:rPr>
        <w:t>and</w:t>
      </w:r>
      <w:r w:rsidR="007819A5" w:rsidRPr="00441478">
        <w:rPr>
          <w:rFonts w:asciiTheme="majorBidi" w:hAnsiTheme="majorBidi"/>
          <w:sz w:val="26"/>
          <w:szCs w:val="26"/>
        </w:rPr>
        <w:t xml:space="preserve"> Kim (2019) found a positive association between earnings and predictability in terms of </w:t>
      </w:r>
      <w:r w:rsidR="00F941E3" w:rsidRPr="00441478">
        <w:rPr>
          <w:rFonts w:asciiTheme="majorBidi" w:hAnsiTheme="majorBidi"/>
          <w:sz w:val="26"/>
          <w:szCs w:val="26"/>
        </w:rPr>
        <w:t xml:space="preserve">generating </w:t>
      </w:r>
      <w:r w:rsidR="007819A5" w:rsidRPr="00441478">
        <w:rPr>
          <w:rFonts w:asciiTheme="majorBidi" w:hAnsiTheme="majorBidi"/>
          <w:sz w:val="26"/>
          <w:szCs w:val="26"/>
        </w:rPr>
        <w:t>positive lo</w:t>
      </w:r>
      <w:r w:rsidR="008649FD" w:rsidRPr="00441478">
        <w:rPr>
          <w:rFonts w:asciiTheme="majorBidi" w:hAnsiTheme="majorBidi"/>
          <w:sz w:val="26"/>
          <w:szCs w:val="26"/>
        </w:rPr>
        <w:t>ng-term cash flow in the future</w:t>
      </w:r>
      <w:r w:rsidR="007D3C6D">
        <w:rPr>
          <w:rFonts w:asciiTheme="majorBidi" w:hAnsiTheme="majorBidi"/>
          <w:sz w:val="26"/>
          <w:szCs w:val="26"/>
        </w:rPr>
        <w:t>,</w:t>
      </w:r>
      <w:r w:rsidR="008649FD" w:rsidRPr="00441478">
        <w:rPr>
          <w:rFonts w:asciiTheme="majorBidi" w:hAnsiTheme="majorBidi" w:cstheme="majorBidi"/>
          <w:sz w:val="26"/>
          <w:szCs w:val="26"/>
        </w:rPr>
        <w:t xml:space="preserve"> which are more useful for investors.</w:t>
      </w:r>
      <w:r w:rsidR="008649FD" w:rsidRPr="00441478">
        <w:rPr>
          <w:rFonts w:asciiTheme="majorBidi" w:hAnsiTheme="majorBidi"/>
          <w:sz w:val="26"/>
          <w:szCs w:val="26"/>
        </w:rPr>
        <w:t xml:space="preserve"> </w:t>
      </w:r>
    </w:p>
    <w:p w14:paraId="1E7FD3DE" w14:textId="60212C5B" w:rsidR="00843AD2" w:rsidRPr="00441478" w:rsidRDefault="004A6FE4" w:rsidP="00C8366C">
      <w:pPr>
        <w:snapToGrid w:val="0"/>
        <w:spacing w:after="0" w:line="360" w:lineRule="exact"/>
        <w:ind w:firstLine="510"/>
        <w:jc w:val="both"/>
        <w:rPr>
          <w:rFonts w:asciiTheme="majorBidi" w:hAnsiTheme="majorBidi"/>
          <w:sz w:val="26"/>
          <w:szCs w:val="26"/>
        </w:rPr>
      </w:pPr>
      <w:r w:rsidRPr="00441478">
        <w:rPr>
          <w:rFonts w:asciiTheme="majorBidi" w:hAnsiTheme="majorBidi"/>
          <w:sz w:val="26"/>
          <w:szCs w:val="26"/>
        </w:rPr>
        <w:t xml:space="preserve">The credibility of financial statements is one of the most important challenges </w:t>
      </w:r>
      <w:r w:rsidR="007819A5" w:rsidRPr="00441478">
        <w:rPr>
          <w:rFonts w:asciiTheme="majorBidi" w:hAnsiTheme="majorBidi"/>
          <w:sz w:val="26"/>
          <w:szCs w:val="26"/>
        </w:rPr>
        <w:t>of</w:t>
      </w:r>
      <w:r w:rsidRPr="00441478">
        <w:rPr>
          <w:rFonts w:asciiTheme="majorBidi" w:hAnsiTheme="majorBidi"/>
          <w:sz w:val="26"/>
          <w:szCs w:val="26"/>
        </w:rPr>
        <w:t xml:space="preserve"> financial r</w:t>
      </w:r>
      <w:r w:rsidR="005F710F" w:rsidRPr="00441478">
        <w:rPr>
          <w:rFonts w:asciiTheme="majorBidi" w:hAnsiTheme="majorBidi"/>
          <w:sz w:val="26"/>
          <w:szCs w:val="26"/>
        </w:rPr>
        <w:t xml:space="preserve">eporting in GCC countries. </w:t>
      </w:r>
      <w:r w:rsidR="00843AD2" w:rsidRPr="00441478">
        <w:rPr>
          <w:rFonts w:asciiTheme="majorBidi" w:hAnsiTheme="majorBidi"/>
          <w:sz w:val="26"/>
          <w:szCs w:val="26"/>
        </w:rPr>
        <w:t xml:space="preserve">Assad </w:t>
      </w:r>
      <w:r w:rsidR="00523653">
        <w:rPr>
          <w:rFonts w:asciiTheme="majorBidi" w:hAnsiTheme="majorBidi"/>
          <w:sz w:val="26"/>
          <w:szCs w:val="26"/>
        </w:rPr>
        <w:t>and</w:t>
      </w:r>
      <w:r w:rsidR="005F710F" w:rsidRPr="00441478">
        <w:rPr>
          <w:rFonts w:asciiTheme="majorBidi" w:hAnsiTheme="majorBidi"/>
          <w:sz w:val="26"/>
          <w:szCs w:val="26"/>
        </w:rPr>
        <w:t xml:space="preserve"> </w:t>
      </w:r>
      <w:proofErr w:type="spellStart"/>
      <w:r w:rsidR="005F710F" w:rsidRPr="00441478">
        <w:rPr>
          <w:rFonts w:asciiTheme="majorBidi" w:hAnsiTheme="majorBidi"/>
          <w:sz w:val="26"/>
          <w:szCs w:val="26"/>
        </w:rPr>
        <w:t>Alshurideh</w:t>
      </w:r>
      <w:proofErr w:type="spellEnd"/>
      <w:r w:rsidR="005F710F" w:rsidRPr="00441478">
        <w:rPr>
          <w:rFonts w:asciiTheme="majorBidi" w:hAnsiTheme="majorBidi"/>
          <w:sz w:val="26"/>
          <w:szCs w:val="26"/>
        </w:rPr>
        <w:t xml:space="preserve"> (2020) pointed out that the GCC markets are characterized </w:t>
      </w:r>
      <w:r w:rsidR="009076E0">
        <w:rPr>
          <w:rFonts w:asciiTheme="majorBidi" w:hAnsiTheme="majorBidi"/>
          <w:sz w:val="26"/>
          <w:szCs w:val="26"/>
        </w:rPr>
        <w:t>by</w:t>
      </w:r>
      <w:r w:rsidR="00843AD2" w:rsidRPr="00441478">
        <w:rPr>
          <w:rFonts w:asciiTheme="majorBidi" w:hAnsiTheme="majorBidi"/>
          <w:sz w:val="26"/>
          <w:szCs w:val="26"/>
        </w:rPr>
        <w:t xml:space="preserve"> </w:t>
      </w:r>
      <w:r w:rsidR="009076E0">
        <w:rPr>
          <w:rFonts w:asciiTheme="majorBidi" w:hAnsiTheme="majorBidi"/>
          <w:sz w:val="26"/>
          <w:szCs w:val="26"/>
        </w:rPr>
        <w:t>un</w:t>
      </w:r>
      <w:r w:rsidR="005F710F" w:rsidRPr="00441478">
        <w:rPr>
          <w:rFonts w:asciiTheme="majorBidi" w:hAnsiTheme="majorBidi"/>
          <w:sz w:val="26"/>
          <w:szCs w:val="26"/>
        </w:rPr>
        <w:t>reliable financial report</w:t>
      </w:r>
      <w:r w:rsidR="009076E0">
        <w:rPr>
          <w:rFonts w:asciiTheme="majorBidi" w:hAnsiTheme="majorBidi"/>
          <w:sz w:val="26"/>
          <w:szCs w:val="26"/>
        </w:rPr>
        <w:t>ing</w:t>
      </w:r>
      <w:r w:rsidR="005F710F" w:rsidRPr="00441478">
        <w:rPr>
          <w:rFonts w:asciiTheme="majorBidi" w:hAnsiTheme="majorBidi"/>
          <w:sz w:val="26"/>
          <w:szCs w:val="26"/>
        </w:rPr>
        <w:t xml:space="preserve"> and low investor </w:t>
      </w:r>
      <w:r w:rsidR="00843AD2" w:rsidRPr="00441478">
        <w:rPr>
          <w:rFonts w:asciiTheme="majorBidi" w:hAnsiTheme="majorBidi"/>
          <w:sz w:val="26"/>
          <w:szCs w:val="26"/>
        </w:rPr>
        <w:t>protection</w:t>
      </w:r>
      <w:r w:rsidR="009076E0">
        <w:rPr>
          <w:rFonts w:asciiTheme="majorBidi" w:hAnsiTheme="majorBidi"/>
          <w:sz w:val="26"/>
          <w:szCs w:val="26"/>
        </w:rPr>
        <w:t>.</w:t>
      </w:r>
      <w:r w:rsidR="005F710F" w:rsidRPr="00441478">
        <w:rPr>
          <w:rFonts w:asciiTheme="majorBidi" w:hAnsiTheme="majorBidi"/>
          <w:sz w:val="26"/>
          <w:szCs w:val="26"/>
        </w:rPr>
        <w:t xml:space="preserve"> </w:t>
      </w:r>
      <w:r w:rsidR="009076E0">
        <w:rPr>
          <w:rFonts w:asciiTheme="majorBidi" w:hAnsiTheme="majorBidi"/>
          <w:sz w:val="26"/>
          <w:szCs w:val="26"/>
        </w:rPr>
        <w:t>P</w:t>
      </w:r>
      <w:r w:rsidR="00F941E3" w:rsidRPr="00441478">
        <w:rPr>
          <w:rFonts w:asciiTheme="majorBidi" w:hAnsiTheme="majorBidi"/>
          <w:sz w:val="26"/>
          <w:szCs w:val="26"/>
        </w:rPr>
        <w:t xml:space="preserve">ositive predictability </w:t>
      </w:r>
      <w:r w:rsidR="005F710F" w:rsidRPr="00441478">
        <w:rPr>
          <w:rFonts w:asciiTheme="majorBidi" w:hAnsiTheme="majorBidi"/>
          <w:sz w:val="26"/>
          <w:szCs w:val="26"/>
        </w:rPr>
        <w:t>is the critical form of data available to investors and other participants</w:t>
      </w:r>
      <w:r w:rsidR="00843AD2" w:rsidRPr="00441478">
        <w:rPr>
          <w:rFonts w:asciiTheme="majorBidi" w:hAnsiTheme="majorBidi"/>
          <w:sz w:val="26"/>
          <w:szCs w:val="26"/>
        </w:rPr>
        <w:t xml:space="preserve"> of markets. According to this</w:t>
      </w:r>
      <w:r w:rsidR="00F941E3" w:rsidRPr="00441478">
        <w:rPr>
          <w:rFonts w:asciiTheme="majorBidi" w:hAnsiTheme="majorBidi"/>
          <w:sz w:val="26"/>
          <w:szCs w:val="26"/>
        </w:rPr>
        <w:t xml:space="preserve"> discussion</w:t>
      </w:r>
      <w:r w:rsidR="00843AD2" w:rsidRPr="00441478">
        <w:rPr>
          <w:rFonts w:asciiTheme="majorBidi" w:hAnsiTheme="majorBidi"/>
          <w:sz w:val="26"/>
          <w:szCs w:val="26"/>
        </w:rPr>
        <w:t xml:space="preserve">, we expect that improving the credibility of financial reporting and </w:t>
      </w:r>
      <w:r w:rsidR="006B1C85" w:rsidRPr="00441478">
        <w:rPr>
          <w:rFonts w:asciiTheme="majorBidi" w:hAnsiTheme="majorBidi"/>
          <w:sz w:val="26"/>
          <w:szCs w:val="26"/>
        </w:rPr>
        <w:t>EQ</w:t>
      </w:r>
      <w:r w:rsidR="00843AD2" w:rsidRPr="00441478">
        <w:rPr>
          <w:rFonts w:asciiTheme="majorBidi" w:hAnsiTheme="majorBidi"/>
          <w:sz w:val="26"/>
          <w:szCs w:val="26"/>
        </w:rPr>
        <w:t xml:space="preserve"> will attract more foreign investors. </w:t>
      </w:r>
    </w:p>
    <w:p w14:paraId="28EFB2C2" w14:textId="56765BF9" w:rsidR="00843AD2" w:rsidRPr="00441478" w:rsidRDefault="00843AD2" w:rsidP="00441478">
      <w:pPr>
        <w:autoSpaceDE w:val="0"/>
        <w:autoSpaceDN w:val="0"/>
        <w:adjustRightInd w:val="0"/>
        <w:snapToGrid w:val="0"/>
        <w:spacing w:after="0" w:line="360" w:lineRule="exact"/>
        <w:jc w:val="both"/>
        <w:rPr>
          <w:rFonts w:asciiTheme="majorBidi" w:hAnsiTheme="majorBidi"/>
          <w:b/>
          <w:sz w:val="26"/>
          <w:szCs w:val="26"/>
        </w:rPr>
      </w:pPr>
      <w:r w:rsidRPr="00441478">
        <w:rPr>
          <w:rFonts w:asciiTheme="majorBidi" w:hAnsiTheme="majorBidi"/>
          <w:b/>
          <w:sz w:val="26"/>
          <w:szCs w:val="26"/>
        </w:rPr>
        <w:t xml:space="preserve">H2: </w:t>
      </w:r>
      <w:r w:rsidR="00F941E3" w:rsidRPr="00441478">
        <w:rPr>
          <w:rFonts w:asciiTheme="majorBidi" w:hAnsiTheme="majorBidi"/>
          <w:b/>
          <w:sz w:val="26"/>
          <w:szCs w:val="26"/>
        </w:rPr>
        <w:t>H</w:t>
      </w:r>
      <w:r w:rsidRPr="00441478">
        <w:rPr>
          <w:rFonts w:asciiTheme="majorBidi" w:hAnsiTheme="majorBidi"/>
          <w:b/>
          <w:sz w:val="26"/>
          <w:szCs w:val="26"/>
        </w:rPr>
        <w:t xml:space="preserve">igh predictability of </w:t>
      </w:r>
      <w:r w:rsidR="006B1C85" w:rsidRPr="00441478">
        <w:rPr>
          <w:rFonts w:asciiTheme="majorBidi" w:hAnsiTheme="majorBidi"/>
          <w:b/>
          <w:sz w:val="26"/>
          <w:szCs w:val="26"/>
        </w:rPr>
        <w:t>EQ</w:t>
      </w:r>
      <w:r w:rsidRPr="00441478">
        <w:rPr>
          <w:rFonts w:asciiTheme="majorBidi" w:hAnsiTheme="majorBidi"/>
          <w:b/>
          <w:sz w:val="26"/>
          <w:szCs w:val="26"/>
        </w:rPr>
        <w:t xml:space="preserve"> </w:t>
      </w:r>
      <w:r w:rsidR="005B7E23" w:rsidRPr="00441478">
        <w:rPr>
          <w:rFonts w:asciiTheme="majorBidi" w:hAnsiTheme="majorBidi"/>
          <w:b/>
          <w:sz w:val="26"/>
          <w:szCs w:val="26"/>
        </w:rPr>
        <w:t>attracts</w:t>
      </w:r>
      <w:r w:rsidRPr="00441478">
        <w:rPr>
          <w:rFonts w:asciiTheme="majorBidi" w:hAnsiTheme="majorBidi"/>
          <w:b/>
          <w:sz w:val="26"/>
          <w:szCs w:val="26"/>
        </w:rPr>
        <w:t xml:space="preserve"> foreign ownership. </w:t>
      </w:r>
    </w:p>
    <w:p w14:paraId="0EA97E6B" w14:textId="77777777" w:rsidR="00843AD2" w:rsidRPr="00441478" w:rsidRDefault="00843AD2" w:rsidP="00441478">
      <w:pPr>
        <w:snapToGrid w:val="0"/>
        <w:spacing w:after="0" w:line="360" w:lineRule="exact"/>
        <w:jc w:val="both"/>
        <w:rPr>
          <w:rFonts w:asciiTheme="majorBidi" w:hAnsiTheme="majorBidi"/>
          <w:sz w:val="26"/>
          <w:szCs w:val="26"/>
        </w:rPr>
      </w:pPr>
    </w:p>
    <w:p w14:paraId="17637C5B" w14:textId="16D26AFD" w:rsidR="0007591F" w:rsidRPr="00541754" w:rsidRDefault="0007591F" w:rsidP="00541754">
      <w:pPr>
        <w:snapToGrid w:val="0"/>
        <w:spacing w:after="0" w:line="360" w:lineRule="exact"/>
        <w:jc w:val="both"/>
        <w:rPr>
          <w:rFonts w:asciiTheme="majorBidi" w:hAnsiTheme="majorBidi"/>
          <w:b/>
          <w:sz w:val="26"/>
          <w:szCs w:val="26"/>
        </w:rPr>
      </w:pPr>
      <w:r w:rsidRPr="00541754">
        <w:rPr>
          <w:rFonts w:asciiTheme="majorBidi" w:hAnsiTheme="majorBidi"/>
          <w:b/>
          <w:sz w:val="26"/>
          <w:szCs w:val="26"/>
        </w:rPr>
        <w:t xml:space="preserve">Value Relevance and </w:t>
      </w:r>
      <w:r w:rsidR="001602EF" w:rsidRPr="00541754">
        <w:rPr>
          <w:rFonts w:asciiTheme="majorBidi" w:hAnsiTheme="majorBidi"/>
          <w:b/>
          <w:sz w:val="26"/>
          <w:szCs w:val="26"/>
        </w:rPr>
        <w:t>ERC</w:t>
      </w:r>
    </w:p>
    <w:p w14:paraId="5EA66C59" w14:textId="44EB44C7" w:rsidR="0007591F" w:rsidRPr="00441478" w:rsidRDefault="009668EE" w:rsidP="009C2DC4">
      <w:pPr>
        <w:autoSpaceDE w:val="0"/>
        <w:autoSpaceDN w:val="0"/>
        <w:adjustRightInd w:val="0"/>
        <w:snapToGrid w:val="0"/>
        <w:spacing w:after="0" w:line="360" w:lineRule="exact"/>
        <w:ind w:firstLine="510"/>
        <w:jc w:val="both"/>
        <w:rPr>
          <w:rFonts w:asciiTheme="majorBidi" w:hAnsiTheme="majorBidi"/>
          <w:sz w:val="26"/>
          <w:szCs w:val="26"/>
        </w:rPr>
      </w:pPr>
      <w:proofErr w:type="spellStart"/>
      <w:r w:rsidRPr="009668EE">
        <w:rPr>
          <w:rFonts w:ascii="Times New Roman" w:hAnsi="Times New Roman" w:cs="Times New Roman"/>
          <w:sz w:val="26"/>
          <w:szCs w:val="26"/>
        </w:rPr>
        <w:t>Hellström</w:t>
      </w:r>
      <w:proofErr w:type="spellEnd"/>
      <w:r w:rsidR="0007591F" w:rsidRPr="00441478">
        <w:rPr>
          <w:rFonts w:asciiTheme="majorBidi" w:hAnsiTheme="majorBidi"/>
          <w:sz w:val="26"/>
          <w:szCs w:val="26"/>
        </w:rPr>
        <w:t xml:space="preserve"> (2006)</w:t>
      </w:r>
      <w:r w:rsidR="007D3C6D">
        <w:rPr>
          <w:rFonts w:asciiTheme="majorBidi" w:hAnsiTheme="majorBidi"/>
          <w:sz w:val="26"/>
          <w:szCs w:val="26"/>
        </w:rPr>
        <w:t>,</w:t>
      </w:r>
      <w:r w:rsidR="0007591F" w:rsidRPr="00441478">
        <w:rPr>
          <w:rFonts w:asciiTheme="majorBidi" w:hAnsiTheme="majorBidi"/>
          <w:sz w:val="26"/>
          <w:szCs w:val="26"/>
        </w:rPr>
        <w:t xml:space="preserve"> as cited by Mirza et al.</w:t>
      </w:r>
      <w:r w:rsidR="00944F99" w:rsidRPr="00441478">
        <w:rPr>
          <w:rFonts w:asciiTheme="majorBidi" w:hAnsiTheme="majorBidi"/>
          <w:sz w:val="26"/>
          <w:szCs w:val="26"/>
        </w:rPr>
        <w:t xml:space="preserve"> (</w:t>
      </w:r>
      <w:r w:rsidR="0007591F" w:rsidRPr="00441478">
        <w:rPr>
          <w:rFonts w:asciiTheme="majorBidi" w:hAnsiTheme="majorBidi"/>
          <w:sz w:val="26"/>
          <w:szCs w:val="26"/>
        </w:rPr>
        <w:t>2019)</w:t>
      </w:r>
      <w:r w:rsidR="007D3C6D">
        <w:rPr>
          <w:rFonts w:asciiTheme="majorBidi" w:hAnsiTheme="majorBidi"/>
          <w:sz w:val="26"/>
          <w:szCs w:val="26"/>
        </w:rPr>
        <w:t>,</w:t>
      </w:r>
      <w:r w:rsidR="0007591F" w:rsidRPr="00441478">
        <w:rPr>
          <w:rFonts w:asciiTheme="majorBidi" w:hAnsiTheme="majorBidi"/>
          <w:sz w:val="26"/>
          <w:szCs w:val="26"/>
        </w:rPr>
        <w:t xml:space="preserve"> defined value relevance as the relationship between firm market value and accounting information. Barth et al.</w:t>
      </w:r>
      <w:r w:rsidR="00944F99" w:rsidRPr="00441478">
        <w:rPr>
          <w:rFonts w:asciiTheme="majorBidi" w:hAnsiTheme="majorBidi"/>
          <w:sz w:val="26"/>
          <w:szCs w:val="26"/>
        </w:rPr>
        <w:t xml:space="preserve"> (</w:t>
      </w:r>
      <w:r w:rsidR="0007591F" w:rsidRPr="00441478">
        <w:rPr>
          <w:rFonts w:asciiTheme="majorBidi" w:hAnsiTheme="majorBidi"/>
          <w:sz w:val="26"/>
          <w:szCs w:val="26"/>
        </w:rPr>
        <w:t>2001) pointed out that value relevance is a practical concept of relevance determined by FASB. Most of the researchers (e.g.</w:t>
      </w:r>
      <w:r w:rsidR="009076E0">
        <w:rPr>
          <w:rFonts w:asciiTheme="majorBidi" w:hAnsiTheme="majorBidi"/>
          <w:sz w:val="26"/>
          <w:szCs w:val="26"/>
        </w:rPr>
        <w:t>,</w:t>
      </w:r>
      <w:r w:rsidR="0007591F" w:rsidRPr="00441478">
        <w:rPr>
          <w:rFonts w:asciiTheme="majorBidi" w:hAnsiTheme="majorBidi"/>
          <w:sz w:val="26"/>
          <w:szCs w:val="26"/>
        </w:rPr>
        <w:t xml:space="preserve"> </w:t>
      </w:r>
      <w:proofErr w:type="spellStart"/>
      <w:r w:rsidR="009C2DC4" w:rsidRPr="00441478">
        <w:rPr>
          <w:rFonts w:asciiTheme="majorBidi" w:hAnsiTheme="majorBidi"/>
          <w:sz w:val="26"/>
          <w:szCs w:val="26"/>
        </w:rPr>
        <w:t>Adetunji</w:t>
      </w:r>
      <w:proofErr w:type="spellEnd"/>
      <w:r w:rsidR="009C2DC4" w:rsidRPr="00441478">
        <w:rPr>
          <w:rFonts w:asciiTheme="majorBidi" w:hAnsiTheme="majorBidi"/>
          <w:sz w:val="26"/>
          <w:szCs w:val="26"/>
        </w:rPr>
        <w:t xml:space="preserve">, 2016; </w:t>
      </w:r>
      <w:r w:rsidR="0007591F" w:rsidRPr="00441478">
        <w:rPr>
          <w:rFonts w:asciiTheme="majorBidi" w:hAnsiTheme="majorBidi"/>
          <w:sz w:val="26"/>
          <w:szCs w:val="26"/>
        </w:rPr>
        <w:t xml:space="preserve">Barth et al., 2001; Mirza et al., 2019) agreed that relevant accounting information is </w:t>
      </w:r>
      <w:r w:rsidR="00F941E3" w:rsidRPr="00441478">
        <w:rPr>
          <w:rFonts w:asciiTheme="majorBidi" w:hAnsiTheme="majorBidi"/>
          <w:sz w:val="26"/>
          <w:szCs w:val="26"/>
        </w:rPr>
        <w:t xml:space="preserve">the </w:t>
      </w:r>
      <w:r w:rsidR="0007591F" w:rsidRPr="00441478">
        <w:rPr>
          <w:rFonts w:asciiTheme="majorBidi" w:hAnsiTheme="majorBidi"/>
          <w:sz w:val="26"/>
          <w:szCs w:val="26"/>
        </w:rPr>
        <w:t xml:space="preserve">information </w:t>
      </w:r>
      <w:r w:rsidR="007D3C6D">
        <w:rPr>
          <w:rFonts w:asciiTheme="majorBidi" w:hAnsiTheme="majorBidi"/>
          <w:sz w:val="26"/>
          <w:szCs w:val="26"/>
        </w:rPr>
        <w:t>that</w:t>
      </w:r>
      <w:r w:rsidR="007D3C6D" w:rsidRPr="00441478">
        <w:rPr>
          <w:rFonts w:asciiTheme="majorBidi" w:hAnsiTheme="majorBidi"/>
          <w:sz w:val="26"/>
          <w:szCs w:val="26"/>
        </w:rPr>
        <w:t xml:space="preserve"> </w:t>
      </w:r>
      <w:r w:rsidR="0007591F" w:rsidRPr="00441478">
        <w:rPr>
          <w:rFonts w:asciiTheme="majorBidi" w:hAnsiTheme="majorBidi"/>
          <w:sz w:val="26"/>
          <w:szCs w:val="26"/>
        </w:rPr>
        <w:t xml:space="preserve">has </w:t>
      </w:r>
      <w:r w:rsidR="007D3C6D">
        <w:rPr>
          <w:rFonts w:asciiTheme="majorBidi" w:hAnsiTheme="majorBidi"/>
          <w:sz w:val="26"/>
          <w:szCs w:val="26"/>
        </w:rPr>
        <w:t xml:space="preserve">the </w:t>
      </w:r>
      <w:r w:rsidR="0007591F" w:rsidRPr="00441478">
        <w:rPr>
          <w:rFonts w:asciiTheme="majorBidi" w:hAnsiTheme="majorBidi"/>
          <w:sz w:val="26"/>
          <w:szCs w:val="26"/>
        </w:rPr>
        <w:t xml:space="preserve">ability to reflect </w:t>
      </w:r>
      <w:r w:rsidR="007D3C6D">
        <w:rPr>
          <w:rFonts w:asciiTheme="majorBidi" w:hAnsiTheme="majorBidi"/>
          <w:sz w:val="26"/>
          <w:szCs w:val="26"/>
        </w:rPr>
        <w:t xml:space="preserve">the </w:t>
      </w:r>
      <w:r w:rsidR="0007591F" w:rsidRPr="00441478">
        <w:rPr>
          <w:rFonts w:asciiTheme="majorBidi" w:hAnsiTheme="majorBidi"/>
          <w:sz w:val="26"/>
          <w:szCs w:val="26"/>
        </w:rPr>
        <w:t xml:space="preserve">firm value or share price. </w:t>
      </w:r>
    </w:p>
    <w:p w14:paraId="31978280" w14:textId="65ABB3A2" w:rsidR="0007591F" w:rsidRPr="00441478" w:rsidRDefault="00DA60D0" w:rsidP="00441478">
      <w:pPr>
        <w:autoSpaceDE w:val="0"/>
        <w:autoSpaceDN w:val="0"/>
        <w:adjustRightInd w:val="0"/>
        <w:snapToGrid w:val="0"/>
        <w:spacing w:after="0" w:line="360" w:lineRule="exact"/>
        <w:ind w:firstLine="510"/>
        <w:jc w:val="both"/>
        <w:rPr>
          <w:rFonts w:asciiTheme="majorBidi" w:hAnsiTheme="majorBidi"/>
          <w:sz w:val="26"/>
          <w:szCs w:val="26"/>
        </w:rPr>
      </w:pPr>
      <w:proofErr w:type="spellStart"/>
      <w:r w:rsidRPr="00441478">
        <w:rPr>
          <w:rFonts w:asciiTheme="majorBidi" w:hAnsiTheme="majorBidi" w:cstheme="majorBidi"/>
          <w:sz w:val="26"/>
          <w:szCs w:val="26"/>
        </w:rPr>
        <w:t>Chandrapala</w:t>
      </w:r>
      <w:proofErr w:type="spellEnd"/>
      <w:r w:rsidRPr="00441478">
        <w:rPr>
          <w:rFonts w:asciiTheme="majorBidi" w:hAnsiTheme="majorBidi" w:cstheme="majorBidi"/>
          <w:sz w:val="26"/>
          <w:szCs w:val="26"/>
        </w:rPr>
        <w:t xml:space="preserve"> (2013</w:t>
      </w:r>
      <w:r w:rsidRPr="00441478">
        <w:rPr>
          <w:rFonts w:asciiTheme="majorBidi" w:hAnsiTheme="majorBidi"/>
          <w:sz w:val="26"/>
          <w:szCs w:val="26"/>
        </w:rPr>
        <w:t>)</w:t>
      </w:r>
      <w:r w:rsidR="0007591F" w:rsidRPr="00441478">
        <w:rPr>
          <w:rFonts w:asciiTheme="majorBidi" w:hAnsiTheme="majorBidi"/>
          <w:sz w:val="26"/>
          <w:szCs w:val="26"/>
        </w:rPr>
        <w:t xml:space="preserve"> examined </w:t>
      </w:r>
      <w:r w:rsidR="006B1C85" w:rsidRPr="00441478">
        <w:rPr>
          <w:rFonts w:asciiTheme="majorBidi" w:hAnsiTheme="majorBidi"/>
          <w:sz w:val="26"/>
          <w:szCs w:val="26"/>
        </w:rPr>
        <w:t>EQ</w:t>
      </w:r>
      <w:r w:rsidR="0007591F" w:rsidRPr="00441478">
        <w:rPr>
          <w:rFonts w:asciiTheme="majorBidi" w:hAnsiTheme="majorBidi"/>
          <w:sz w:val="26"/>
          <w:szCs w:val="26"/>
        </w:rPr>
        <w:t xml:space="preserve"> </w:t>
      </w:r>
      <w:r w:rsidR="005B7E23" w:rsidRPr="00441478">
        <w:rPr>
          <w:rFonts w:asciiTheme="majorBidi" w:hAnsiTheme="majorBidi"/>
          <w:sz w:val="26"/>
          <w:szCs w:val="26"/>
        </w:rPr>
        <w:t xml:space="preserve">in Colombo </w:t>
      </w:r>
      <w:r w:rsidR="0007591F" w:rsidRPr="00441478">
        <w:rPr>
          <w:rFonts w:asciiTheme="majorBidi" w:hAnsiTheme="majorBidi"/>
          <w:sz w:val="26"/>
          <w:szCs w:val="26"/>
        </w:rPr>
        <w:t>by using value relevance, book value</w:t>
      </w:r>
      <w:r w:rsidR="007D3C6D">
        <w:rPr>
          <w:rFonts w:asciiTheme="majorBidi" w:hAnsiTheme="majorBidi"/>
          <w:sz w:val="26"/>
          <w:szCs w:val="26"/>
        </w:rPr>
        <w:t>,</w:t>
      </w:r>
      <w:r w:rsidR="0007591F" w:rsidRPr="00441478">
        <w:rPr>
          <w:rFonts w:asciiTheme="majorBidi" w:hAnsiTheme="majorBidi"/>
          <w:sz w:val="26"/>
          <w:szCs w:val="26"/>
        </w:rPr>
        <w:t xml:space="preserve"> and return on share price and found a negative association between book value and earnings. An (2017) measured </w:t>
      </w:r>
      <w:r w:rsidR="006B1C85" w:rsidRPr="00441478">
        <w:rPr>
          <w:rFonts w:asciiTheme="majorBidi" w:hAnsiTheme="majorBidi"/>
          <w:sz w:val="26"/>
          <w:szCs w:val="26"/>
        </w:rPr>
        <w:t>EQ</w:t>
      </w:r>
      <w:r w:rsidR="0007591F" w:rsidRPr="00441478">
        <w:rPr>
          <w:rFonts w:asciiTheme="majorBidi" w:hAnsiTheme="majorBidi"/>
          <w:sz w:val="26"/>
          <w:szCs w:val="26"/>
        </w:rPr>
        <w:t xml:space="preserve"> in Korea by using value relevance as the </w:t>
      </w:r>
      <w:r w:rsidR="0007591F" w:rsidRPr="00441478">
        <w:rPr>
          <w:rFonts w:asciiTheme="majorBidi" w:hAnsiTheme="majorBidi"/>
          <w:sz w:val="26"/>
          <w:szCs w:val="26"/>
        </w:rPr>
        <w:lastRenderedPageBreak/>
        <w:t>explanatory power of earnings and book value</w:t>
      </w:r>
      <w:r w:rsidR="007D3C6D">
        <w:rPr>
          <w:rFonts w:asciiTheme="majorBidi" w:hAnsiTheme="majorBidi"/>
          <w:sz w:val="26"/>
          <w:szCs w:val="26"/>
        </w:rPr>
        <w:t>,</w:t>
      </w:r>
      <w:r w:rsidR="0007591F" w:rsidRPr="00441478">
        <w:rPr>
          <w:rFonts w:asciiTheme="majorBidi" w:hAnsiTheme="majorBidi"/>
          <w:sz w:val="26"/>
          <w:szCs w:val="26"/>
        </w:rPr>
        <w:t xml:space="preserve"> and share price. </w:t>
      </w:r>
      <w:proofErr w:type="spellStart"/>
      <w:r w:rsidR="0007591F" w:rsidRPr="00441478">
        <w:rPr>
          <w:rFonts w:asciiTheme="majorBidi" w:hAnsiTheme="majorBidi"/>
          <w:sz w:val="26"/>
          <w:szCs w:val="26"/>
        </w:rPr>
        <w:t>Dechow</w:t>
      </w:r>
      <w:proofErr w:type="spellEnd"/>
      <w:r w:rsidR="0007591F" w:rsidRPr="00441478">
        <w:rPr>
          <w:rFonts w:asciiTheme="majorBidi" w:hAnsiTheme="majorBidi"/>
          <w:sz w:val="26"/>
          <w:szCs w:val="26"/>
        </w:rPr>
        <w:t xml:space="preserve"> et al.</w:t>
      </w:r>
      <w:r w:rsidR="00944F99" w:rsidRPr="00441478">
        <w:rPr>
          <w:rFonts w:asciiTheme="majorBidi" w:hAnsiTheme="majorBidi"/>
          <w:sz w:val="26"/>
          <w:szCs w:val="26"/>
        </w:rPr>
        <w:t xml:space="preserve"> (</w:t>
      </w:r>
      <w:r w:rsidR="0007591F" w:rsidRPr="00441478">
        <w:rPr>
          <w:rFonts w:asciiTheme="majorBidi" w:hAnsiTheme="majorBidi"/>
          <w:sz w:val="26"/>
          <w:szCs w:val="26"/>
        </w:rPr>
        <w:t xml:space="preserve">2010) used ERC to measure </w:t>
      </w:r>
      <w:r w:rsidR="006B1C85" w:rsidRPr="00441478">
        <w:rPr>
          <w:rFonts w:asciiTheme="majorBidi" w:hAnsiTheme="majorBidi"/>
          <w:sz w:val="26"/>
          <w:szCs w:val="26"/>
        </w:rPr>
        <w:t>EQ</w:t>
      </w:r>
      <w:r w:rsidR="0007591F" w:rsidRPr="00441478">
        <w:rPr>
          <w:rFonts w:asciiTheme="majorBidi" w:hAnsiTheme="majorBidi"/>
          <w:sz w:val="26"/>
          <w:szCs w:val="26"/>
        </w:rPr>
        <w:t xml:space="preserve"> which is measured by β value</w:t>
      </w:r>
      <w:r w:rsidR="005B7E23" w:rsidRPr="00441478">
        <w:rPr>
          <w:rFonts w:asciiTheme="majorBidi" w:hAnsiTheme="majorBidi"/>
          <w:sz w:val="26"/>
          <w:szCs w:val="26"/>
        </w:rPr>
        <w:t>,</w:t>
      </w:r>
      <w:r w:rsidR="0007591F" w:rsidRPr="00441478">
        <w:rPr>
          <w:rFonts w:asciiTheme="majorBidi" w:hAnsiTheme="majorBidi"/>
          <w:sz w:val="26"/>
          <w:szCs w:val="26"/>
        </w:rPr>
        <w:t xml:space="preserve"> whereas value</w:t>
      </w:r>
      <w:r w:rsidR="005B7E23" w:rsidRPr="00441478">
        <w:rPr>
          <w:rFonts w:asciiTheme="majorBidi" w:hAnsiTheme="majorBidi"/>
          <w:sz w:val="26"/>
          <w:szCs w:val="26"/>
        </w:rPr>
        <w:t xml:space="preserve"> </w:t>
      </w:r>
      <w:r w:rsidR="0007591F" w:rsidRPr="00441478">
        <w:rPr>
          <w:rFonts w:asciiTheme="majorBidi" w:hAnsiTheme="majorBidi"/>
          <w:sz w:val="26"/>
          <w:szCs w:val="26"/>
        </w:rPr>
        <w:t>relevance is the explanatory power of coefficient of determination (R</w:t>
      </w:r>
      <w:r w:rsidR="0007591F" w:rsidRPr="00441478">
        <w:rPr>
          <w:rFonts w:asciiTheme="majorBidi" w:hAnsiTheme="majorBidi"/>
          <w:sz w:val="26"/>
          <w:szCs w:val="26"/>
          <w:vertAlign w:val="superscript"/>
        </w:rPr>
        <w:t>2</w:t>
      </w:r>
      <w:r w:rsidR="0007591F" w:rsidRPr="00441478">
        <w:rPr>
          <w:rFonts w:asciiTheme="majorBidi" w:hAnsiTheme="majorBidi"/>
          <w:sz w:val="26"/>
          <w:szCs w:val="26"/>
        </w:rPr>
        <w:t>) as large (small) R</w:t>
      </w:r>
      <w:r w:rsidR="0007591F" w:rsidRPr="00441478">
        <w:rPr>
          <w:rFonts w:asciiTheme="majorBidi" w:hAnsiTheme="majorBidi"/>
          <w:sz w:val="26"/>
          <w:szCs w:val="26"/>
          <w:vertAlign w:val="superscript"/>
        </w:rPr>
        <w:t>2</w:t>
      </w:r>
      <w:r w:rsidR="0007591F" w:rsidRPr="00441478">
        <w:rPr>
          <w:rFonts w:asciiTheme="majorBidi" w:hAnsiTheme="majorBidi"/>
          <w:sz w:val="26"/>
          <w:szCs w:val="26"/>
        </w:rPr>
        <w:t xml:space="preserve"> indicates more (less) value-relevant </w:t>
      </w:r>
      <w:r w:rsidR="006B1C85" w:rsidRPr="00441478">
        <w:rPr>
          <w:rFonts w:asciiTheme="majorBidi" w:hAnsiTheme="majorBidi"/>
          <w:sz w:val="26"/>
          <w:szCs w:val="26"/>
        </w:rPr>
        <w:t>EQ</w:t>
      </w:r>
      <w:r w:rsidR="0007591F" w:rsidRPr="00441478">
        <w:rPr>
          <w:rFonts w:asciiTheme="majorBidi" w:hAnsiTheme="majorBidi"/>
          <w:sz w:val="26"/>
          <w:szCs w:val="26"/>
        </w:rPr>
        <w:t>.</w:t>
      </w:r>
    </w:p>
    <w:p w14:paraId="1C763F1F" w14:textId="4CE74165" w:rsidR="0007591F" w:rsidRPr="00441478" w:rsidRDefault="0007591F" w:rsidP="00C8366C">
      <w:pPr>
        <w:snapToGrid w:val="0"/>
        <w:spacing w:after="0" w:line="360" w:lineRule="exact"/>
        <w:ind w:firstLine="510"/>
        <w:jc w:val="both"/>
        <w:rPr>
          <w:rFonts w:asciiTheme="majorBidi" w:hAnsiTheme="majorBidi"/>
          <w:sz w:val="26"/>
          <w:szCs w:val="26"/>
        </w:rPr>
      </w:pPr>
      <w:proofErr w:type="spellStart"/>
      <w:r w:rsidRPr="00441478">
        <w:rPr>
          <w:rFonts w:asciiTheme="majorBidi" w:hAnsiTheme="majorBidi"/>
          <w:sz w:val="26"/>
          <w:szCs w:val="26"/>
        </w:rPr>
        <w:t>Perotti</w:t>
      </w:r>
      <w:proofErr w:type="spellEnd"/>
      <w:r w:rsidRPr="00441478">
        <w:rPr>
          <w:rFonts w:asciiTheme="majorBidi" w:hAnsiTheme="majorBidi"/>
          <w:sz w:val="26"/>
          <w:szCs w:val="26"/>
        </w:rPr>
        <w:t xml:space="preserve"> </w:t>
      </w:r>
      <w:r w:rsidR="00523653">
        <w:rPr>
          <w:rFonts w:asciiTheme="majorBidi" w:hAnsiTheme="majorBidi"/>
          <w:sz w:val="26"/>
          <w:szCs w:val="26"/>
        </w:rPr>
        <w:t>and</w:t>
      </w:r>
      <w:r w:rsidRPr="00441478">
        <w:rPr>
          <w:rFonts w:asciiTheme="majorBidi" w:hAnsiTheme="majorBidi"/>
          <w:sz w:val="26"/>
          <w:szCs w:val="26"/>
        </w:rPr>
        <w:t xml:space="preserve"> </w:t>
      </w:r>
      <w:proofErr w:type="spellStart"/>
      <w:r w:rsidR="00A962D9">
        <w:rPr>
          <w:rFonts w:asciiTheme="majorBidi" w:hAnsiTheme="majorBidi"/>
          <w:sz w:val="26"/>
          <w:szCs w:val="26"/>
        </w:rPr>
        <w:t>Wagenhofer</w:t>
      </w:r>
      <w:proofErr w:type="spellEnd"/>
      <w:r w:rsidRPr="00441478">
        <w:rPr>
          <w:rFonts w:asciiTheme="majorBidi" w:hAnsiTheme="majorBidi"/>
          <w:sz w:val="26"/>
          <w:szCs w:val="26"/>
        </w:rPr>
        <w:t xml:space="preserve"> (2014) discussed that value</w:t>
      </w:r>
      <w:r w:rsidR="005B7E23" w:rsidRPr="00441478">
        <w:rPr>
          <w:rFonts w:asciiTheme="majorBidi" w:hAnsiTheme="majorBidi"/>
          <w:sz w:val="26"/>
          <w:szCs w:val="26"/>
        </w:rPr>
        <w:t xml:space="preserve"> </w:t>
      </w:r>
      <w:r w:rsidRPr="00441478">
        <w:rPr>
          <w:rFonts w:asciiTheme="majorBidi" w:hAnsiTheme="majorBidi"/>
          <w:sz w:val="26"/>
          <w:szCs w:val="26"/>
        </w:rPr>
        <w:t>relevance is a good indicator to measure the informativeness of financial reporting</w:t>
      </w:r>
      <w:r w:rsidR="007D3C6D">
        <w:rPr>
          <w:rFonts w:asciiTheme="majorBidi" w:hAnsiTheme="majorBidi"/>
          <w:sz w:val="26"/>
          <w:szCs w:val="26"/>
        </w:rPr>
        <w:t>,</w:t>
      </w:r>
      <w:r w:rsidRPr="00441478">
        <w:rPr>
          <w:rFonts w:asciiTheme="majorBidi" w:hAnsiTheme="majorBidi"/>
          <w:sz w:val="26"/>
          <w:szCs w:val="26"/>
        </w:rPr>
        <w:t xml:space="preserve"> which lead to </w:t>
      </w:r>
      <w:r w:rsidR="005B7E23" w:rsidRPr="00441478">
        <w:rPr>
          <w:rFonts w:asciiTheme="majorBidi" w:hAnsiTheme="majorBidi"/>
          <w:sz w:val="26"/>
          <w:szCs w:val="26"/>
        </w:rPr>
        <w:t xml:space="preserve">improving </w:t>
      </w:r>
      <w:r w:rsidR="006B1C85" w:rsidRPr="00441478">
        <w:rPr>
          <w:rFonts w:asciiTheme="majorBidi" w:hAnsiTheme="majorBidi"/>
          <w:sz w:val="26"/>
          <w:szCs w:val="26"/>
        </w:rPr>
        <w:t>EQ</w:t>
      </w:r>
      <w:r w:rsidRPr="00441478">
        <w:rPr>
          <w:rFonts w:asciiTheme="majorBidi" w:hAnsiTheme="majorBidi"/>
          <w:sz w:val="26"/>
          <w:szCs w:val="26"/>
        </w:rPr>
        <w:t xml:space="preserve"> as more informative components of </w:t>
      </w:r>
      <w:r w:rsidR="008649FD" w:rsidRPr="00441478">
        <w:rPr>
          <w:rFonts w:asciiTheme="majorBidi" w:hAnsiTheme="majorBidi"/>
          <w:sz w:val="26"/>
          <w:szCs w:val="26"/>
        </w:rPr>
        <w:t>earnings will have a higher ERC</w:t>
      </w:r>
      <w:r w:rsidR="007D3C6D">
        <w:rPr>
          <w:rFonts w:asciiTheme="majorBidi" w:hAnsiTheme="majorBidi"/>
          <w:sz w:val="26"/>
          <w:szCs w:val="26"/>
        </w:rPr>
        <w:t>,</w:t>
      </w:r>
      <w:r w:rsidR="008649FD" w:rsidRPr="00441478">
        <w:rPr>
          <w:rFonts w:asciiTheme="majorBidi" w:hAnsiTheme="majorBidi" w:cstheme="majorBidi"/>
          <w:sz w:val="26"/>
          <w:szCs w:val="26"/>
        </w:rPr>
        <w:t xml:space="preserve"> which means that </w:t>
      </w:r>
      <w:r w:rsidR="007D3C6D" w:rsidRPr="00441478">
        <w:rPr>
          <w:rFonts w:asciiTheme="majorBidi" w:hAnsiTheme="majorBidi" w:cstheme="majorBidi"/>
          <w:sz w:val="26"/>
          <w:szCs w:val="26"/>
        </w:rPr>
        <w:t>high</w:t>
      </w:r>
      <w:r w:rsidR="007D3C6D">
        <w:rPr>
          <w:rFonts w:asciiTheme="majorBidi" w:hAnsiTheme="majorBidi" w:cstheme="majorBidi"/>
          <w:sz w:val="26"/>
          <w:szCs w:val="26"/>
        </w:rPr>
        <w:t>-</w:t>
      </w:r>
      <w:r w:rsidR="008649FD" w:rsidRPr="00441478">
        <w:rPr>
          <w:rFonts w:asciiTheme="majorBidi" w:hAnsiTheme="majorBidi" w:cstheme="majorBidi"/>
          <w:sz w:val="26"/>
          <w:szCs w:val="26"/>
        </w:rPr>
        <w:t>value relevance has a positive relationship with the quality of financial reporting.</w:t>
      </w:r>
      <w:r w:rsidR="000873DF" w:rsidRPr="00441478">
        <w:rPr>
          <w:sz w:val="26"/>
          <w:szCs w:val="26"/>
        </w:rPr>
        <w:t xml:space="preserve"> </w:t>
      </w:r>
      <w:proofErr w:type="spellStart"/>
      <w:r w:rsidR="000873DF" w:rsidRPr="00441478">
        <w:rPr>
          <w:rFonts w:asciiTheme="majorBidi" w:hAnsiTheme="majorBidi" w:cstheme="majorBidi"/>
          <w:sz w:val="26"/>
          <w:szCs w:val="26"/>
        </w:rPr>
        <w:t>Maditinos</w:t>
      </w:r>
      <w:proofErr w:type="spellEnd"/>
      <w:r w:rsidR="000873DF" w:rsidRPr="00441478">
        <w:rPr>
          <w:rFonts w:asciiTheme="majorBidi" w:hAnsiTheme="majorBidi" w:cstheme="majorBidi"/>
          <w:sz w:val="26"/>
          <w:szCs w:val="26"/>
        </w:rPr>
        <w:t xml:space="preserve"> et al. (2013) </w:t>
      </w:r>
      <w:r w:rsidR="00730711" w:rsidRPr="00441478">
        <w:rPr>
          <w:rFonts w:asciiTheme="majorBidi" w:hAnsiTheme="majorBidi" w:cstheme="majorBidi"/>
          <w:sz w:val="26"/>
          <w:szCs w:val="26"/>
        </w:rPr>
        <w:t>point</w:t>
      </w:r>
      <w:r w:rsidR="007D3C6D">
        <w:rPr>
          <w:rFonts w:asciiTheme="majorBidi" w:hAnsiTheme="majorBidi" w:cstheme="majorBidi"/>
          <w:sz w:val="26"/>
          <w:szCs w:val="26"/>
        </w:rPr>
        <w:t>ed</w:t>
      </w:r>
      <w:r w:rsidR="00730711" w:rsidRPr="00441478">
        <w:rPr>
          <w:rFonts w:asciiTheme="majorBidi" w:hAnsiTheme="majorBidi" w:cstheme="majorBidi"/>
          <w:sz w:val="26"/>
          <w:szCs w:val="26"/>
        </w:rPr>
        <w:t xml:space="preserve"> </w:t>
      </w:r>
      <w:r w:rsidR="000873DF" w:rsidRPr="00441478">
        <w:rPr>
          <w:rFonts w:asciiTheme="majorBidi" w:hAnsiTheme="majorBidi" w:cstheme="majorBidi"/>
          <w:sz w:val="26"/>
          <w:szCs w:val="26"/>
        </w:rPr>
        <w:t>out that ERC is an important indicator from the perspective of investors as it informs them about the market reaction to the accounting data.</w:t>
      </w:r>
      <w:r w:rsidR="000873DF" w:rsidRPr="00441478">
        <w:rPr>
          <w:rFonts w:asciiTheme="majorBidi" w:hAnsiTheme="majorBidi"/>
          <w:sz w:val="26"/>
          <w:szCs w:val="26"/>
        </w:rPr>
        <w:t xml:space="preserve"> </w:t>
      </w:r>
      <w:r w:rsidRPr="00441478">
        <w:rPr>
          <w:rFonts w:asciiTheme="majorBidi" w:hAnsiTheme="majorBidi"/>
          <w:sz w:val="26"/>
          <w:szCs w:val="26"/>
        </w:rPr>
        <w:t xml:space="preserve">Jiang </w:t>
      </w:r>
      <w:r w:rsidR="00523653">
        <w:rPr>
          <w:rFonts w:asciiTheme="majorBidi" w:hAnsiTheme="majorBidi"/>
          <w:sz w:val="26"/>
          <w:szCs w:val="26"/>
        </w:rPr>
        <w:t>and</w:t>
      </w:r>
      <w:r w:rsidRPr="00441478">
        <w:rPr>
          <w:rFonts w:asciiTheme="majorBidi" w:hAnsiTheme="majorBidi"/>
          <w:sz w:val="26"/>
          <w:szCs w:val="26"/>
        </w:rPr>
        <w:t xml:space="preserve"> Kim</w:t>
      </w:r>
      <w:r w:rsidR="00944F99" w:rsidRPr="00441478">
        <w:rPr>
          <w:rFonts w:asciiTheme="majorBidi" w:hAnsiTheme="majorBidi"/>
          <w:sz w:val="26"/>
          <w:szCs w:val="26"/>
        </w:rPr>
        <w:t xml:space="preserve"> (</w:t>
      </w:r>
      <w:r w:rsidRPr="00441478">
        <w:rPr>
          <w:rFonts w:asciiTheme="majorBidi" w:hAnsiTheme="majorBidi"/>
          <w:sz w:val="26"/>
          <w:szCs w:val="26"/>
        </w:rPr>
        <w:t>2004) found that foreign investors prefer to invest in a</w:t>
      </w:r>
      <w:r w:rsidR="005B7E23" w:rsidRPr="00441478">
        <w:rPr>
          <w:rFonts w:asciiTheme="majorBidi" w:hAnsiTheme="majorBidi"/>
          <w:sz w:val="26"/>
          <w:szCs w:val="26"/>
        </w:rPr>
        <w:t>n environment with</w:t>
      </w:r>
      <w:r w:rsidRPr="00441478">
        <w:rPr>
          <w:rFonts w:asciiTheme="majorBidi" w:hAnsiTheme="majorBidi"/>
          <w:sz w:val="26"/>
          <w:szCs w:val="26"/>
        </w:rPr>
        <w:t xml:space="preserve"> high informational advantages and low information asymmetry to enhance their informational advantages about their investment. Choi et al.</w:t>
      </w:r>
      <w:r w:rsidR="00944F99" w:rsidRPr="00441478">
        <w:rPr>
          <w:rFonts w:asciiTheme="majorBidi" w:hAnsiTheme="majorBidi"/>
          <w:sz w:val="26"/>
          <w:szCs w:val="26"/>
        </w:rPr>
        <w:t xml:space="preserve"> (</w:t>
      </w:r>
      <w:r w:rsidRPr="00441478">
        <w:rPr>
          <w:rFonts w:asciiTheme="majorBidi" w:hAnsiTheme="majorBidi"/>
          <w:sz w:val="26"/>
          <w:szCs w:val="26"/>
        </w:rPr>
        <w:t xml:space="preserve">2013) pointed out that an increase in foreign ownership leads to increased demand and pressure for increased informational content by domestic firms, resulting in higher value relevance of financial reporting. </w:t>
      </w:r>
      <w:r w:rsidR="008246AA" w:rsidRPr="00441478">
        <w:rPr>
          <w:rFonts w:asciiTheme="majorBidi" w:hAnsiTheme="majorBidi" w:cstheme="majorBidi"/>
          <w:sz w:val="26"/>
          <w:szCs w:val="26"/>
        </w:rPr>
        <w:t xml:space="preserve">An (2019) </w:t>
      </w:r>
      <w:r w:rsidR="00730711" w:rsidRPr="00441478">
        <w:rPr>
          <w:rFonts w:asciiTheme="majorBidi" w:hAnsiTheme="majorBidi" w:cstheme="majorBidi"/>
          <w:sz w:val="26"/>
          <w:szCs w:val="26"/>
        </w:rPr>
        <w:t xml:space="preserve">points </w:t>
      </w:r>
      <w:r w:rsidR="008246AA" w:rsidRPr="00441478">
        <w:rPr>
          <w:rFonts w:asciiTheme="majorBidi" w:hAnsiTheme="majorBidi" w:cstheme="majorBidi"/>
          <w:sz w:val="26"/>
          <w:szCs w:val="26"/>
        </w:rPr>
        <w:t xml:space="preserve">out that </w:t>
      </w:r>
      <w:r w:rsidR="001B6F25" w:rsidRPr="00441478">
        <w:rPr>
          <w:rFonts w:asciiTheme="majorBidi" w:hAnsiTheme="majorBidi" w:cstheme="majorBidi"/>
          <w:sz w:val="26"/>
          <w:szCs w:val="26"/>
        </w:rPr>
        <w:t xml:space="preserve">the </w:t>
      </w:r>
      <w:r w:rsidR="008649FD" w:rsidRPr="00441478">
        <w:rPr>
          <w:rFonts w:asciiTheme="majorBidi" w:hAnsiTheme="majorBidi" w:cstheme="majorBidi"/>
          <w:sz w:val="26"/>
          <w:szCs w:val="26"/>
        </w:rPr>
        <w:t xml:space="preserve">value relevance in terms of </w:t>
      </w:r>
      <w:r w:rsidR="007D3C6D">
        <w:rPr>
          <w:rFonts w:asciiTheme="majorBidi" w:hAnsiTheme="majorBidi" w:cstheme="majorBidi"/>
          <w:sz w:val="26"/>
          <w:szCs w:val="26"/>
        </w:rPr>
        <w:t xml:space="preserve">the </w:t>
      </w:r>
      <w:r w:rsidR="001B6F25" w:rsidRPr="00441478">
        <w:rPr>
          <w:rFonts w:asciiTheme="majorBidi" w:hAnsiTheme="majorBidi" w:cstheme="majorBidi"/>
          <w:sz w:val="26"/>
          <w:szCs w:val="26"/>
        </w:rPr>
        <w:t xml:space="preserve">explanatory power of earnings, </w:t>
      </w:r>
      <w:r w:rsidR="008649FD" w:rsidRPr="00441478">
        <w:rPr>
          <w:rFonts w:asciiTheme="majorBidi" w:hAnsiTheme="majorBidi" w:cstheme="majorBidi"/>
          <w:sz w:val="26"/>
          <w:szCs w:val="26"/>
        </w:rPr>
        <w:t>book value</w:t>
      </w:r>
      <w:r w:rsidR="00730711" w:rsidRPr="00441478">
        <w:rPr>
          <w:rFonts w:asciiTheme="majorBidi" w:hAnsiTheme="majorBidi" w:cstheme="majorBidi"/>
          <w:sz w:val="26"/>
          <w:szCs w:val="26"/>
        </w:rPr>
        <w:t>,</w:t>
      </w:r>
      <w:r w:rsidR="008649FD" w:rsidRPr="00441478">
        <w:rPr>
          <w:rFonts w:asciiTheme="majorBidi" w:hAnsiTheme="majorBidi" w:cstheme="majorBidi"/>
          <w:sz w:val="26"/>
          <w:szCs w:val="26"/>
        </w:rPr>
        <w:t xml:space="preserve"> and </w:t>
      </w:r>
      <w:r w:rsidR="006F15D5">
        <w:rPr>
          <w:rFonts w:asciiTheme="majorBidi" w:hAnsiTheme="majorBidi" w:cstheme="majorBidi"/>
          <w:sz w:val="26"/>
          <w:szCs w:val="26"/>
        </w:rPr>
        <w:t xml:space="preserve">the </w:t>
      </w:r>
      <w:r w:rsidR="008649FD" w:rsidRPr="00441478">
        <w:rPr>
          <w:rFonts w:asciiTheme="majorBidi" w:hAnsiTheme="majorBidi" w:cstheme="majorBidi"/>
          <w:sz w:val="26"/>
          <w:szCs w:val="26"/>
        </w:rPr>
        <w:t>share price</w:t>
      </w:r>
      <w:r w:rsidR="008246AA" w:rsidRPr="00441478">
        <w:rPr>
          <w:rFonts w:asciiTheme="majorBidi" w:hAnsiTheme="majorBidi" w:cstheme="majorBidi"/>
          <w:sz w:val="26"/>
          <w:szCs w:val="26"/>
        </w:rPr>
        <w:t xml:space="preserve"> </w:t>
      </w:r>
      <w:r w:rsidR="007D3C6D" w:rsidRPr="00441478">
        <w:rPr>
          <w:rFonts w:asciiTheme="majorBidi" w:hAnsiTheme="majorBidi" w:cstheme="majorBidi"/>
          <w:sz w:val="26"/>
          <w:szCs w:val="26"/>
        </w:rPr>
        <w:t>ha</w:t>
      </w:r>
      <w:r w:rsidR="007D3C6D">
        <w:rPr>
          <w:rFonts w:asciiTheme="majorBidi" w:hAnsiTheme="majorBidi" w:cstheme="majorBidi"/>
          <w:sz w:val="26"/>
          <w:szCs w:val="26"/>
        </w:rPr>
        <w:t>s</w:t>
      </w:r>
      <w:r w:rsidR="007D3C6D" w:rsidRPr="00441478">
        <w:rPr>
          <w:rFonts w:asciiTheme="majorBidi" w:hAnsiTheme="majorBidi" w:cstheme="majorBidi"/>
          <w:sz w:val="26"/>
          <w:szCs w:val="26"/>
        </w:rPr>
        <w:t xml:space="preserve"> </w:t>
      </w:r>
      <w:r w:rsidR="007D3C6D">
        <w:rPr>
          <w:rFonts w:asciiTheme="majorBidi" w:hAnsiTheme="majorBidi" w:cstheme="majorBidi"/>
          <w:sz w:val="26"/>
          <w:szCs w:val="26"/>
        </w:rPr>
        <w:t xml:space="preserve">a </w:t>
      </w:r>
      <w:r w:rsidR="008246AA" w:rsidRPr="00441478">
        <w:rPr>
          <w:rFonts w:asciiTheme="majorBidi" w:hAnsiTheme="majorBidi" w:cstheme="majorBidi"/>
          <w:sz w:val="26"/>
          <w:szCs w:val="26"/>
        </w:rPr>
        <w:t xml:space="preserve">positive relationship with foreign investors because they </w:t>
      </w:r>
      <w:r w:rsidR="00F603A9" w:rsidRPr="00441478">
        <w:rPr>
          <w:rFonts w:asciiTheme="majorBidi" w:hAnsiTheme="majorBidi" w:cstheme="majorBidi"/>
          <w:sz w:val="26"/>
          <w:szCs w:val="26"/>
        </w:rPr>
        <w:t xml:space="preserve">want </w:t>
      </w:r>
      <w:r w:rsidR="008246AA" w:rsidRPr="00441478">
        <w:rPr>
          <w:rFonts w:asciiTheme="majorBidi" w:hAnsiTheme="majorBidi" w:cstheme="majorBidi"/>
          <w:sz w:val="26"/>
          <w:szCs w:val="26"/>
        </w:rPr>
        <w:t>to protect their wealth, reduce monitoring costs, and monitor firms. Therefore, higher foreign investor ownership induces firms to improve transparency and to decrease opportunistic choices and decisions of the managers</w:t>
      </w:r>
      <w:r w:rsidR="001B6F25" w:rsidRPr="00441478">
        <w:rPr>
          <w:rFonts w:asciiTheme="majorBidi" w:hAnsiTheme="majorBidi" w:cstheme="majorBidi"/>
          <w:sz w:val="26"/>
          <w:szCs w:val="26"/>
        </w:rPr>
        <w:t xml:space="preserve">. Accordingly, this study expects that the relationship between value relevance and foreign ownership is positive. </w:t>
      </w:r>
    </w:p>
    <w:p w14:paraId="7F603AD6" w14:textId="0FECD567" w:rsidR="0007591F" w:rsidRPr="00441478" w:rsidRDefault="00E67A4B" w:rsidP="00441478">
      <w:pPr>
        <w:autoSpaceDE w:val="0"/>
        <w:autoSpaceDN w:val="0"/>
        <w:adjustRightInd w:val="0"/>
        <w:snapToGrid w:val="0"/>
        <w:spacing w:after="0" w:line="360" w:lineRule="exact"/>
        <w:jc w:val="both"/>
        <w:rPr>
          <w:rFonts w:asciiTheme="majorBidi" w:hAnsiTheme="majorBidi"/>
          <w:b/>
          <w:sz w:val="26"/>
          <w:szCs w:val="26"/>
        </w:rPr>
      </w:pPr>
      <w:r w:rsidRPr="00441478">
        <w:rPr>
          <w:rFonts w:asciiTheme="majorBidi" w:hAnsiTheme="majorBidi"/>
          <w:b/>
          <w:sz w:val="26"/>
          <w:szCs w:val="26"/>
        </w:rPr>
        <w:t>H3</w:t>
      </w:r>
      <w:r w:rsidR="0007591F" w:rsidRPr="00441478">
        <w:rPr>
          <w:rFonts w:asciiTheme="majorBidi" w:hAnsiTheme="majorBidi"/>
          <w:b/>
          <w:sz w:val="26"/>
          <w:szCs w:val="26"/>
        </w:rPr>
        <w:t xml:space="preserve">a: </w:t>
      </w:r>
      <w:r w:rsidR="005B7E23" w:rsidRPr="00441478">
        <w:rPr>
          <w:rFonts w:asciiTheme="majorBidi" w:hAnsiTheme="majorBidi"/>
          <w:b/>
          <w:sz w:val="26"/>
          <w:szCs w:val="26"/>
        </w:rPr>
        <w:t>High</w:t>
      </w:r>
      <w:r w:rsidR="0007591F" w:rsidRPr="00441478">
        <w:rPr>
          <w:rFonts w:asciiTheme="majorBidi" w:hAnsiTheme="majorBidi"/>
          <w:b/>
          <w:sz w:val="26"/>
          <w:szCs w:val="26"/>
        </w:rPr>
        <w:t xml:space="preserve"> value relevance of </w:t>
      </w:r>
      <w:r w:rsidR="006B1C85" w:rsidRPr="00441478">
        <w:rPr>
          <w:rFonts w:asciiTheme="majorBidi" w:hAnsiTheme="majorBidi"/>
          <w:b/>
          <w:sz w:val="26"/>
          <w:szCs w:val="26"/>
        </w:rPr>
        <w:t>EQ</w:t>
      </w:r>
      <w:r w:rsidR="0007591F" w:rsidRPr="00441478">
        <w:rPr>
          <w:rFonts w:asciiTheme="majorBidi" w:hAnsiTheme="majorBidi"/>
          <w:b/>
          <w:sz w:val="26"/>
          <w:szCs w:val="26"/>
        </w:rPr>
        <w:t xml:space="preserve"> </w:t>
      </w:r>
      <w:r w:rsidR="005B7E23" w:rsidRPr="00441478">
        <w:rPr>
          <w:rFonts w:asciiTheme="majorBidi" w:hAnsiTheme="majorBidi"/>
          <w:b/>
          <w:sz w:val="26"/>
          <w:szCs w:val="26"/>
        </w:rPr>
        <w:t>attracts</w:t>
      </w:r>
      <w:r w:rsidR="0007591F" w:rsidRPr="00441478">
        <w:rPr>
          <w:rFonts w:asciiTheme="majorBidi" w:hAnsiTheme="majorBidi"/>
          <w:b/>
          <w:sz w:val="26"/>
          <w:szCs w:val="26"/>
        </w:rPr>
        <w:t xml:space="preserve"> foreign ownership. </w:t>
      </w:r>
    </w:p>
    <w:p w14:paraId="29BE14E3" w14:textId="695C7981" w:rsidR="0007591F" w:rsidRPr="00441478" w:rsidRDefault="00E67A4B" w:rsidP="00441478">
      <w:pPr>
        <w:autoSpaceDE w:val="0"/>
        <w:autoSpaceDN w:val="0"/>
        <w:adjustRightInd w:val="0"/>
        <w:snapToGrid w:val="0"/>
        <w:spacing w:after="0" w:line="360" w:lineRule="exact"/>
        <w:jc w:val="both"/>
        <w:rPr>
          <w:rFonts w:asciiTheme="majorBidi" w:hAnsiTheme="majorBidi"/>
          <w:b/>
          <w:sz w:val="26"/>
          <w:szCs w:val="26"/>
        </w:rPr>
      </w:pPr>
      <w:r w:rsidRPr="00441478">
        <w:rPr>
          <w:rFonts w:asciiTheme="majorBidi" w:hAnsiTheme="majorBidi"/>
          <w:b/>
          <w:sz w:val="26"/>
          <w:szCs w:val="26"/>
        </w:rPr>
        <w:t>H3</w:t>
      </w:r>
      <w:r w:rsidR="0007591F" w:rsidRPr="00441478">
        <w:rPr>
          <w:rFonts w:asciiTheme="majorBidi" w:hAnsiTheme="majorBidi"/>
          <w:b/>
          <w:sz w:val="26"/>
          <w:szCs w:val="26"/>
        </w:rPr>
        <w:t xml:space="preserve">b: The high ERC of </w:t>
      </w:r>
      <w:r w:rsidR="006B1C85" w:rsidRPr="00441478">
        <w:rPr>
          <w:rFonts w:asciiTheme="majorBidi" w:hAnsiTheme="majorBidi"/>
          <w:b/>
          <w:sz w:val="26"/>
          <w:szCs w:val="26"/>
        </w:rPr>
        <w:t>EQ</w:t>
      </w:r>
      <w:r w:rsidR="0007591F" w:rsidRPr="00441478">
        <w:rPr>
          <w:rFonts w:asciiTheme="majorBidi" w:hAnsiTheme="majorBidi"/>
          <w:b/>
          <w:sz w:val="26"/>
          <w:szCs w:val="26"/>
        </w:rPr>
        <w:t xml:space="preserve"> </w:t>
      </w:r>
      <w:r w:rsidR="005B7E23" w:rsidRPr="00441478">
        <w:rPr>
          <w:rFonts w:asciiTheme="majorBidi" w:hAnsiTheme="majorBidi"/>
          <w:b/>
          <w:sz w:val="26"/>
          <w:szCs w:val="26"/>
        </w:rPr>
        <w:t>attracts</w:t>
      </w:r>
      <w:r w:rsidR="0007591F" w:rsidRPr="00441478">
        <w:rPr>
          <w:rFonts w:asciiTheme="majorBidi" w:hAnsiTheme="majorBidi"/>
          <w:b/>
          <w:sz w:val="26"/>
          <w:szCs w:val="26"/>
        </w:rPr>
        <w:t xml:space="preserve"> foreign ownership.</w:t>
      </w:r>
      <w:r w:rsidR="00944F99" w:rsidRPr="00441478">
        <w:rPr>
          <w:rFonts w:asciiTheme="majorBidi" w:hAnsiTheme="majorBidi"/>
          <w:b/>
          <w:sz w:val="26"/>
          <w:szCs w:val="26"/>
        </w:rPr>
        <w:t xml:space="preserve"> </w:t>
      </w:r>
    </w:p>
    <w:p w14:paraId="7C3406BA" w14:textId="77777777" w:rsidR="0007591F" w:rsidRPr="00441478" w:rsidRDefault="0007591F" w:rsidP="00441478">
      <w:pPr>
        <w:pStyle w:val="a6"/>
        <w:snapToGrid w:val="0"/>
        <w:spacing w:after="0" w:line="360" w:lineRule="exact"/>
        <w:contextualSpacing w:val="0"/>
        <w:jc w:val="both"/>
        <w:rPr>
          <w:rFonts w:asciiTheme="majorBidi" w:hAnsiTheme="majorBidi"/>
          <w:b/>
          <w:sz w:val="26"/>
          <w:szCs w:val="26"/>
        </w:rPr>
      </w:pPr>
    </w:p>
    <w:p w14:paraId="72F30B99" w14:textId="77777777" w:rsidR="0007591F" w:rsidRPr="00541754" w:rsidRDefault="0007591F" w:rsidP="00541754">
      <w:pPr>
        <w:snapToGrid w:val="0"/>
        <w:spacing w:after="0" w:line="360" w:lineRule="exact"/>
        <w:jc w:val="both"/>
        <w:rPr>
          <w:rFonts w:asciiTheme="majorBidi" w:hAnsiTheme="majorBidi" w:cstheme="majorBidi"/>
          <w:b/>
          <w:sz w:val="26"/>
          <w:szCs w:val="26"/>
          <w:rtl/>
          <w:lang w:bidi="ar-IQ"/>
        </w:rPr>
      </w:pPr>
      <w:r w:rsidRPr="00541754">
        <w:rPr>
          <w:rFonts w:asciiTheme="majorBidi" w:hAnsiTheme="majorBidi"/>
          <w:b/>
          <w:sz w:val="26"/>
          <w:szCs w:val="26"/>
        </w:rPr>
        <w:t xml:space="preserve">Earnings Surprise Indicator </w:t>
      </w:r>
    </w:p>
    <w:p w14:paraId="7110DA80" w14:textId="4B8470A2" w:rsidR="0007591F" w:rsidRPr="00441478" w:rsidRDefault="0007591F" w:rsidP="00C8366C">
      <w:pPr>
        <w:snapToGrid w:val="0"/>
        <w:spacing w:after="0" w:line="360" w:lineRule="exact"/>
        <w:ind w:firstLine="510"/>
        <w:jc w:val="both"/>
        <w:rPr>
          <w:rFonts w:asciiTheme="majorBidi" w:hAnsiTheme="majorBidi"/>
          <w:sz w:val="26"/>
          <w:szCs w:val="26"/>
        </w:rPr>
      </w:pPr>
      <w:r w:rsidRPr="00441478">
        <w:rPr>
          <w:rFonts w:asciiTheme="majorBidi" w:hAnsiTheme="majorBidi"/>
          <w:sz w:val="26"/>
          <w:szCs w:val="26"/>
        </w:rPr>
        <w:t xml:space="preserve">Earnings </w:t>
      </w:r>
      <w:r w:rsidR="005B7E23" w:rsidRPr="00441478">
        <w:rPr>
          <w:rFonts w:asciiTheme="majorBidi" w:hAnsiTheme="majorBidi"/>
          <w:sz w:val="26"/>
          <w:szCs w:val="26"/>
        </w:rPr>
        <w:t xml:space="preserve">surprise indicator </w:t>
      </w:r>
      <w:r w:rsidRPr="00441478">
        <w:rPr>
          <w:rFonts w:asciiTheme="majorBidi" w:hAnsiTheme="majorBidi"/>
          <w:sz w:val="26"/>
          <w:szCs w:val="26"/>
        </w:rPr>
        <w:t xml:space="preserve">(ESI) is a case of reported earnings </w:t>
      </w:r>
      <w:r w:rsidR="007D3C6D">
        <w:rPr>
          <w:rFonts w:asciiTheme="majorBidi" w:hAnsiTheme="majorBidi"/>
          <w:sz w:val="26"/>
          <w:szCs w:val="26"/>
        </w:rPr>
        <w:t>that</w:t>
      </w:r>
      <w:r w:rsidR="007D3C6D" w:rsidRPr="00441478">
        <w:rPr>
          <w:rFonts w:asciiTheme="majorBidi" w:hAnsiTheme="majorBidi"/>
          <w:sz w:val="26"/>
          <w:szCs w:val="26"/>
        </w:rPr>
        <w:t xml:space="preserve"> </w:t>
      </w:r>
      <w:r w:rsidRPr="00441478">
        <w:rPr>
          <w:rFonts w:asciiTheme="majorBidi" w:hAnsiTheme="majorBidi"/>
          <w:sz w:val="26"/>
          <w:szCs w:val="26"/>
        </w:rPr>
        <w:t xml:space="preserve">are above or below the expected earnings by analysts. ESI is a good indicator to predict </w:t>
      </w:r>
      <w:r w:rsidR="005B7E23" w:rsidRPr="00441478">
        <w:rPr>
          <w:rFonts w:asciiTheme="majorBidi" w:hAnsiTheme="majorBidi"/>
          <w:sz w:val="26"/>
          <w:szCs w:val="26"/>
        </w:rPr>
        <w:t xml:space="preserve">a </w:t>
      </w:r>
      <w:r w:rsidRPr="00441478">
        <w:rPr>
          <w:rFonts w:asciiTheme="majorBidi" w:hAnsiTheme="majorBidi"/>
          <w:sz w:val="26"/>
          <w:szCs w:val="26"/>
        </w:rPr>
        <w:t xml:space="preserve">firm’s earnings </w:t>
      </w:r>
      <w:r w:rsidR="001602EF" w:rsidRPr="00441478">
        <w:rPr>
          <w:rFonts w:asciiTheme="majorBidi" w:hAnsiTheme="majorBidi"/>
          <w:sz w:val="26"/>
          <w:szCs w:val="26"/>
        </w:rPr>
        <w:t>behaviour</w:t>
      </w:r>
      <w:r w:rsidRPr="00441478">
        <w:rPr>
          <w:rFonts w:asciiTheme="majorBidi" w:hAnsiTheme="majorBidi"/>
          <w:sz w:val="26"/>
          <w:szCs w:val="26"/>
        </w:rPr>
        <w:t xml:space="preserve"> (Okoro </w:t>
      </w:r>
      <w:r w:rsidR="007D3C6D">
        <w:rPr>
          <w:rFonts w:asciiTheme="majorBidi" w:hAnsiTheme="majorBidi"/>
          <w:sz w:val="26"/>
          <w:szCs w:val="26"/>
        </w:rPr>
        <w:t>&amp;</w:t>
      </w:r>
      <w:r w:rsidR="007D3C6D" w:rsidRPr="00441478">
        <w:rPr>
          <w:rFonts w:asciiTheme="majorBidi" w:hAnsiTheme="majorBidi"/>
          <w:sz w:val="26"/>
          <w:szCs w:val="26"/>
        </w:rPr>
        <w:t xml:space="preserve"> </w:t>
      </w:r>
      <w:proofErr w:type="spellStart"/>
      <w:r w:rsidRPr="00441478">
        <w:rPr>
          <w:rFonts w:asciiTheme="majorBidi" w:hAnsiTheme="majorBidi"/>
          <w:sz w:val="26"/>
          <w:szCs w:val="26"/>
        </w:rPr>
        <w:t>Ofor</w:t>
      </w:r>
      <w:proofErr w:type="spellEnd"/>
      <w:r w:rsidRPr="00441478">
        <w:rPr>
          <w:rFonts w:asciiTheme="majorBidi" w:hAnsiTheme="majorBidi"/>
          <w:sz w:val="26"/>
          <w:szCs w:val="26"/>
        </w:rPr>
        <w:t xml:space="preserve">, 2019). The level of earnings surprise </w:t>
      </w:r>
      <w:r w:rsidR="005B7E23" w:rsidRPr="00441478">
        <w:rPr>
          <w:rFonts w:asciiTheme="majorBidi" w:hAnsiTheme="majorBidi"/>
          <w:sz w:val="26"/>
          <w:szCs w:val="26"/>
        </w:rPr>
        <w:t>works</w:t>
      </w:r>
      <w:r w:rsidRPr="00441478">
        <w:rPr>
          <w:rFonts w:asciiTheme="majorBidi" w:hAnsiTheme="majorBidi"/>
          <w:sz w:val="26"/>
          <w:szCs w:val="26"/>
        </w:rPr>
        <w:t xml:space="preserve"> as a function of managers’ previous recognition and measurement decisions of the firm. Barton </w:t>
      </w:r>
      <w:r w:rsidR="00523653">
        <w:rPr>
          <w:rFonts w:asciiTheme="majorBidi" w:hAnsiTheme="majorBidi"/>
          <w:sz w:val="26"/>
          <w:szCs w:val="26"/>
        </w:rPr>
        <w:t>and</w:t>
      </w:r>
      <w:r w:rsidRPr="00441478">
        <w:rPr>
          <w:rFonts w:asciiTheme="majorBidi" w:hAnsiTheme="majorBidi"/>
          <w:sz w:val="26"/>
          <w:szCs w:val="26"/>
        </w:rPr>
        <w:t xml:space="preserve"> </w:t>
      </w:r>
      <w:proofErr w:type="spellStart"/>
      <w:r w:rsidRPr="00441478">
        <w:rPr>
          <w:rFonts w:asciiTheme="majorBidi" w:hAnsiTheme="majorBidi"/>
          <w:sz w:val="26"/>
          <w:szCs w:val="26"/>
        </w:rPr>
        <w:t>Simko</w:t>
      </w:r>
      <w:proofErr w:type="spellEnd"/>
      <w:r w:rsidRPr="00441478">
        <w:rPr>
          <w:rFonts w:asciiTheme="majorBidi" w:hAnsiTheme="majorBidi"/>
          <w:sz w:val="26"/>
          <w:szCs w:val="26"/>
        </w:rPr>
        <w:t xml:space="preserve"> (2002) argue</w:t>
      </w:r>
      <w:r w:rsidR="005B7E23" w:rsidRPr="00441478">
        <w:rPr>
          <w:rFonts w:asciiTheme="majorBidi" w:hAnsiTheme="majorBidi"/>
          <w:sz w:val="26"/>
          <w:szCs w:val="26"/>
        </w:rPr>
        <w:t>d</w:t>
      </w:r>
      <w:r w:rsidRPr="00441478">
        <w:rPr>
          <w:rFonts w:asciiTheme="majorBidi" w:hAnsiTheme="majorBidi"/>
          <w:sz w:val="26"/>
          <w:szCs w:val="26"/>
        </w:rPr>
        <w:t xml:space="preserve"> that earnings surprise is a good indicator of </w:t>
      </w:r>
      <w:r w:rsidR="006B1C85" w:rsidRPr="00441478">
        <w:rPr>
          <w:rFonts w:asciiTheme="majorBidi" w:hAnsiTheme="majorBidi"/>
          <w:sz w:val="26"/>
          <w:szCs w:val="26"/>
        </w:rPr>
        <w:t>EQ</w:t>
      </w:r>
      <w:r w:rsidRPr="00441478">
        <w:rPr>
          <w:rFonts w:asciiTheme="majorBidi" w:hAnsiTheme="majorBidi"/>
          <w:sz w:val="26"/>
          <w:szCs w:val="26"/>
        </w:rPr>
        <w:t xml:space="preserve"> because</w:t>
      </w:r>
      <w:r w:rsidR="007D3C6D">
        <w:rPr>
          <w:rFonts w:asciiTheme="majorBidi" w:hAnsiTheme="majorBidi"/>
          <w:sz w:val="26"/>
          <w:szCs w:val="26"/>
        </w:rPr>
        <w:t xml:space="preserve"> it</w:t>
      </w:r>
      <w:r w:rsidRPr="00441478">
        <w:rPr>
          <w:rFonts w:asciiTheme="majorBidi" w:hAnsiTheme="majorBidi"/>
          <w:sz w:val="26"/>
          <w:szCs w:val="26"/>
        </w:rPr>
        <w:t xml:space="preserve"> </w:t>
      </w:r>
      <w:r w:rsidR="005B7E23" w:rsidRPr="00441478">
        <w:rPr>
          <w:rFonts w:asciiTheme="majorBidi" w:hAnsiTheme="majorBidi"/>
          <w:sz w:val="26"/>
          <w:szCs w:val="26"/>
        </w:rPr>
        <w:t>indicates</w:t>
      </w:r>
      <w:r w:rsidRPr="00441478">
        <w:rPr>
          <w:rFonts w:asciiTheme="majorBidi" w:hAnsiTheme="majorBidi"/>
          <w:sz w:val="26"/>
          <w:szCs w:val="26"/>
        </w:rPr>
        <w:t xml:space="preserve"> managers’ biased estimates and judgments about earnings and net assets. Basically, man</w:t>
      </w:r>
      <w:r w:rsidR="007D3C6D">
        <w:rPr>
          <w:rFonts w:asciiTheme="majorBidi" w:hAnsiTheme="majorBidi"/>
          <w:sz w:val="26"/>
          <w:szCs w:val="26"/>
        </w:rPr>
        <w:t>a</w:t>
      </w:r>
      <w:r w:rsidRPr="00441478">
        <w:rPr>
          <w:rFonts w:asciiTheme="majorBidi" w:hAnsiTheme="majorBidi"/>
          <w:sz w:val="26"/>
          <w:szCs w:val="26"/>
        </w:rPr>
        <w:t>gers have many incentives to bias earnings and avoid negative earnings surprises. First</w:t>
      </w:r>
      <w:r w:rsidR="005B7E23" w:rsidRPr="00441478">
        <w:rPr>
          <w:rFonts w:asciiTheme="majorBidi" w:hAnsiTheme="majorBidi"/>
          <w:sz w:val="26"/>
          <w:szCs w:val="26"/>
        </w:rPr>
        <w:t>ly</w:t>
      </w:r>
      <w:r w:rsidRPr="00441478">
        <w:rPr>
          <w:rFonts w:asciiTheme="majorBidi" w:hAnsiTheme="majorBidi"/>
          <w:sz w:val="26"/>
          <w:szCs w:val="26"/>
        </w:rPr>
        <w:t xml:space="preserve">, firms use </w:t>
      </w:r>
      <w:r w:rsidR="005742BC" w:rsidRPr="00441478">
        <w:rPr>
          <w:rFonts w:asciiTheme="majorBidi" w:hAnsiTheme="majorBidi"/>
          <w:sz w:val="26"/>
          <w:szCs w:val="26"/>
        </w:rPr>
        <w:t>‘</w:t>
      </w:r>
      <w:r w:rsidRPr="00441478">
        <w:rPr>
          <w:rFonts w:asciiTheme="majorBidi" w:hAnsiTheme="majorBidi"/>
          <w:sz w:val="26"/>
          <w:szCs w:val="26"/>
        </w:rPr>
        <w:t>meeting or beating analysts’ earnings forecasts</w:t>
      </w:r>
      <w:r w:rsidR="005742BC" w:rsidRPr="00441478">
        <w:rPr>
          <w:rFonts w:asciiTheme="majorBidi" w:hAnsiTheme="majorBidi"/>
          <w:sz w:val="26"/>
          <w:szCs w:val="26"/>
        </w:rPr>
        <w:t>’</w:t>
      </w:r>
      <w:r w:rsidRPr="00441478">
        <w:rPr>
          <w:rFonts w:asciiTheme="majorBidi" w:hAnsiTheme="majorBidi"/>
          <w:sz w:val="26"/>
          <w:szCs w:val="26"/>
        </w:rPr>
        <w:t xml:space="preserve"> as an incentive to manage earnings and avoid negative earnings surprises. Barton </w:t>
      </w:r>
      <w:r w:rsidR="00523653">
        <w:rPr>
          <w:rFonts w:asciiTheme="majorBidi" w:hAnsiTheme="majorBidi"/>
          <w:sz w:val="26"/>
          <w:szCs w:val="26"/>
        </w:rPr>
        <w:t>and</w:t>
      </w:r>
      <w:r w:rsidRPr="00441478">
        <w:rPr>
          <w:rFonts w:asciiTheme="majorBidi" w:hAnsiTheme="majorBidi"/>
          <w:sz w:val="26"/>
          <w:szCs w:val="26"/>
        </w:rPr>
        <w:t xml:space="preserve"> </w:t>
      </w:r>
      <w:proofErr w:type="spellStart"/>
      <w:r w:rsidRPr="00441478">
        <w:rPr>
          <w:rFonts w:asciiTheme="majorBidi" w:hAnsiTheme="majorBidi"/>
          <w:sz w:val="26"/>
          <w:szCs w:val="26"/>
        </w:rPr>
        <w:t>Simko</w:t>
      </w:r>
      <w:proofErr w:type="spellEnd"/>
      <w:r w:rsidRPr="00441478">
        <w:rPr>
          <w:rFonts w:asciiTheme="majorBidi" w:hAnsiTheme="majorBidi"/>
          <w:sz w:val="26"/>
          <w:szCs w:val="26"/>
        </w:rPr>
        <w:t xml:space="preserve"> (2002, </w:t>
      </w:r>
      <w:r w:rsidR="00944F99" w:rsidRPr="00441478">
        <w:rPr>
          <w:rFonts w:asciiTheme="majorBidi" w:hAnsiTheme="majorBidi"/>
          <w:sz w:val="26"/>
          <w:szCs w:val="26"/>
        </w:rPr>
        <w:t xml:space="preserve">p. </w:t>
      </w:r>
      <w:r w:rsidRPr="00441478">
        <w:rPr>
          <w:rFonts w:asciiTheme="majorBidi" w:hAnsiTheme="majorBidi"/>
          <w:sz w:val="26"/>
          <w:szCs w:val="26"/>
        </w:rPr>
        <w:t>2)</w:t>
      </w:r>
      <w:r w:rsidR="005B7E23" w:rsidRPr="00441478">
        <w:rPr>
          <w:rFonts w:asciiTheme="majorBidi" w:hAnsiTheme="majorBidi"/>
          <w:sz w:val="26"/>
          <w:szCs w:val="26"/>
        </w:rPr>
        <w:t>,</w:t>
      </w:r>
      <w:r w:rsidRPr="00441478">
        <w:rPr>
          <w:rFonts w:asciiTheme="majorBidi" w:hAnsiTheme="majorBidi"/>
          <w:sz w:val="26"/>
          <w:szCs w:val="26"/>
        </w:rPr>
        <w:t xml:space="preserve"> </w:t>
      </w:r>
      <w:r w:rsidR="005B7E23" w:rsidRPr="00441478">
        <w:rPr>
          <w:rFonts w:asciiTheme="majorBidi" w:hAnsiTheme="majorBidi"/>
          <w:sz w:val="26"/>
          <w:szCs w:val="26"/>
        </w:rPr>
        <w:t xml:space="preserve">found </w:t>
      </w:r>
      <w:r w:rsidRPr="00441478">
        <w:rPr>
          <w:rFonts w:asciiTheme="majorBidi" w:hAnsiTheme="majorBidi"/>
          <w:sz w:val="26"/>
          <w:szCs w:val="26"/>
        </w:rPr>
        <w:t>that investor</w:t>
      </w:r>
      <w:r w:rsidR="005B7E23" w:rsidRPr="00441478">
        <w:rPr>
          <w:rFonts w:asciiTheme="majorBidi" w:hAnsiTheme="majorBidi"/>
          <w:sz w:val="26"/>
          <w:szCs w:val="26"/>
        </w:rPr>
        <w:t>s</w:t>
      </w:r>
      <w:r w:rsidRPr="00441478">
        <w:rPr>
          <w:rFonts w:asciiTheme="majorBidi" w:hAnsiTheme="majorBidi"/>
          <w:sz w:val="26"/>
          <w:szCs w:val="26"/>
        </w:rPr>
        <w:t xml:space="preserve"> use earnings surprises to investigate </w:t>
      </w:r>
      <w:r w:rsidR="005742BC" w:rsidRPr="00441478">
        <w:rPr>
          <w:rFonts w:asciiTheme="majorBidi" w:hAnsiTheme="majorBidi"/>
          <w:sz w:val="26"/>
          <w:szCs w:val="26"/>
        </w:rPr>
        <w:t>‘</w:t>
      </w:r>
      <w:r w:rsidRPr="00441478">
        <w:rPr>
          <w:rFonts w:asciiTheme="majorBidi" w:hAnsiTheme="majorBidi"/>
          <w:sz w:val="26"/>
          <w:szCs w:val="26"/>
        </w:rPr>
        <w:t xml:space="preserve">the pressure imposed on management to meet analysts’ </w:t>
      </w:r>
      <w:proofErr w:type="gramStart"/>
      <w:r w:rsidRPr="00441478">
        <w:rPr>
          <w:rFonts w:asciiTheme="majorBidi" w:hAnsiTheme="majorBidi"/>
          <w:sz w:val="26"/>
          <w:szCs w:val="26"/>
        </w:rPr>
        <w:t>earnings projections</w:t>
      </w:r>
      <w:r w:rsidR="005742BC" w:rsidRPr="00441478">
        <w:rPr>
          <w:rFonts w:asciiTheme="majorBidi" w:hAnsiTheme="majorBidi"/>
          <w:sz w:val="26"/>
          <w:szCs w:val="26"/>
        </w:rPr>
        <w:t>’</w:t>
      </w:r>
      <w:proofErr w:type="gramEnd"/>
      <w:r w:rsidR="005B7E23" w:rsidRPr="00441478">
        <w:rPr>
          <w:rFonts w:asciiTheme="majorBidi" w:hAnsiTheme="majorBidi"/>
          <w:sz w:val="26"/>
          <w:szCs w:val="26"/>
        </w:rPr>
        <w:t>.</w:t>
      </w:r>
      <w:r w:rsidRPr="00441478">
        <w:rPr>
          <w:rFonts w:asciiTheme="majorBidi" w:hAnsiTheme="majorBidi"/>
          <w:sz w:val="26"/>
          <w:szCs w:val="26"/>
        </w:rPr>
        <w:t xml:space="preserve"> Second</w:t>
      </w:r>
      <w:r w:rsidR="005B7E23" w:rsidRPr="00441478">
        <w:rPr>
          <w:rFonts w:asciiTheme="majorBidi" w:hAnsiTheme="majorBidi"/>
          <w:sz w:val="26"/>
          <w:szCs w:val="26"/>
        </w:rPr>
        <w:t>ly</w:t>
      </w:r>
      <w:r w:rsidRPr="00441478">
        <w:rPr>
          <w:rFonts w:asciiTheme="majorBidi" w:hAnsiTheme="majorBidi"/>
          <w:sz w:val="26"/>
          <w:szCs w:val="26"/>
        </w:rPr>
        <w:t xml:space="preserve">, Matsumoto (2002) </w:t>
      </w:r>
      <w:r w:rsidR="005B7E23" w:rsidRPr="00441478">
        <w:rPr>
          <w:rFonts w:asciiTheme="majorBidi" w:hAnsiTheme="majorBidi"/>
          <w:sz w:val="26"/>
          <w:szCs w:val="26"/>
        </w:rPr>
        <w:t xml:space="preserve">argued </w:t>
      </w:r>
      <w:r w:rsidRPr="00441478">
        <w:rPr>
          <w:rFonts w:asciiTheme="majorBidi" w:hAnsiTheme="majorBidi"/>
          <w:sz w:val="26"/>
          <w:szCs w:val="26"/>
        </w:rPr>
        <w:t xml:space="preserve">that high institutional ownership, </w:t>
      </w:r>
      <w:r w:rsidR="007D3C6D">
        <w:rPr>
          <w:rFonts w:asciiTheme="majorBidi" w:hAnsiTheme="majorBidi"/>
          <w:sz w:val="26"/>
          <w:szCs w:val="26"/>
        </w:rPr>
        <w:t xml:space="preserve">the </w:t>
      </w:r>
      <w:r w:rsidRPr="00441478">
        <w:rPr>
          <w:rFonts w:asciiTheme="majorBidi" w:hAnsiTheme="majorBidi"/>
          <w:sz w:val="26"/>
          <w:szCs w:val="26"/>
        </w:rPr>
        <w:t>increase</w:t>
      </w:r>
      <w:r w:rsidR="005B7E23" w:rsidRPr="00441478">
        <w:rPr>
          <w:rFonts w:asciiTheme="majorBidi" w:hAnsiTheme="majorBidi"/>
          <w:sz w:val="26"/>
          <w:szCs w:val="26"/>
        </w:rPr>
        <w:t>d</w:t>
      </w:r>
      <w:r w:rsidRPr="00441478">
        <w:rPr>
          <w:rFonts w:asciiTheme="majorBidi" w:hAnsiTheme="majorBidi"/>
          <w:sz w:val="26"/>
          <w:szCs w:val="26"/>
        </w:rPr>
        <w:t xml:space="preserve"> value </w:t>
      </w:r>
      <w:r w:rsidRPr="00441478">
        <w:rPr>
          <w:rFonts w:asciiTheme="majorBidi" w:hAnsiTheme="majorBidi"/>
          <w:sz w:val="26"/>
          <w:szCs w:val="26"/>
        </w:rPr>
        <w:lastRenderedPageBreak/>
        <w:t>relevance of earnings</w:t>
      </w:r>
      <w:r w:rsidR="007D3C6D">
        <w:rPr>
          <w:rFonts w:asciiTheme="majorBidi" w:hAnsiTheme="majorBidi"/>
          <w:sz w:val="26"/>
          <w:szCs w:val="26"/>
        </w:rPr>
        <w:t>,</w:t>
      </w:r>
      <w:r w:rsidRPr="00441478">
        <w:rPr>
          <w:rFonts w:asciiTheme="majorBidi" w:hAnsiTheme="majorBidi"/>
          <w:sz w:val="26"/>
          <w:szCs w:val="26"/>
        </w:rPr>
        <w:t xml:space="preserve"> and greater reliance on implicit claims </w:t>
      </w:r>
      <w:r w:rsidR="005B7E23" w:rsidRPr="00441478">
        <w:rPr>
          <w:rFonts w:asciiTheme="majorBidi" w:hAnsiTheme="majorBidi"/>
          <w:sz w:val="26"/>
          <w:szCs w:val="26"/>
        </w:rPr>
        <w:t xml:space="preserve">by </w:t>
      </w:r>
      <w:r w:rsidRPr="00441478">
        <w:rPr>
          <w:rFonts w:asciiTheme="majorBidi" w:hAnsiTheme="majorBidi"/>
          <w:sz w:val="26"/>
          <w:szCs w:val="26"/>
        </w:rPr>
        <w:t xml:space="preserve">stakeholders are the important reasons </w:t>
      </w:r>
      <w:r w:rsidR="005B7E23" w:rsidRPr="00441478">
        <w:rPr>
          <w:rFonts w:asciiTheme="majorBidi" w:hAnsiTheme="majorBidi"/>
          <w:sz w:val="26"/>
          <w:szCs w:val="26"/>
        </w:rPr>
        <w:t>that drive</w:t>
      </w:r>
      <w:r w:rsidRPr="00441478">
        <w:rPr>
          <w:rFonts w:asciiTheme="majorBidi" w:hAnsiTheme="majorBidi"/>
          <w:sz w:val="26"/>
          <w:szCs w:val="26"/>
        </w:rPr>
        <w:t xml:space="preserve"> firms to take actions to avoid negative earnings surprises. </w:t>
      </w:r>
    </w:p>
    <w:p w14:paraId="2E9B4C53" w14:textId="0CED20D5" w:rsidR="0007591F" w:rsidRPr="00441478" w:rsidRDefault="0007591F" w:rsidP="00C8366C">
      <w:pPr>
        <w:snapToGrid w:val="0"/>
        <w:spacing w:after="0" w:line="360" w:lineRule="exact"/>
        <w:ind w:firstLine="510"/>
        <w:jc w:val="both"/>
        <w:rPr>
          <w:rFonts w:asciiTheme="majorBidi" w:hAnsiTheme="majorBidi"/>
          <w:sz w:val="26"/>
          <w:szCs w:val="26"/>
        </w:rPr>
      </w:pPr>
      <w:r w:rsidRPr="00441478">
        <w:rPr>
          <w:rFonts w:asciiTheme="majorBidi" w:hAnsiTheme="majorBidi"/>
          <w:sz w:val="26"/>
          <w:szCs w:val="26"/>
        </w:rPr>
        <w:t xml:space="preserve">Barton </w:t>
      </w:r>
      <w:r w:rsidR="00523653">
        <w:rPr>
          <w:rFonts w:asciiTheme="majorBidi" w:hAnsiTheme="majorBidi"/>
          <w:sz w:val="26"/>
          <w:szCs w:val="26"/>
        </w:rPr>
        <w:t>and</w:t>
      </w:r>
      <w:r w:rsidRPr="00441478">
        <w:rPr>
          <w:rFonts w:asciiTheme="majorBidi" w:hAnsiTheme="majorBidi"/>
          <w:sz w:val="26"/>
          <w:szCs w:val="26"/>
        </w:rPr>
        <w:t xml:space="preserve"> </w:t>
      </w:r>
      <w:proofErr w:type="spellStart"/>
      <w:r w:rsidRPr="00441478">
        <w:rPr>
          <w:rFonts w:asciiTheme="majorBidi" w:hAnsiTheme="majorBidi"/>
          <w:sz w:val="26"/>
          <w:szCs w:val="26"/>
        </w:rPr>
        <w:t>Simko</w:t>
      </w:r>
      <w:proofErr w:type="spellEnd"/>
      <w:r w:rsidRPr="00441478">
        <w:rPr>
          <w:rFonts w:asciiTheme="majorBidi" w:hAnsiTheme="majorBidi"/>
          <w:sz w:val="26"/>
          <w:szCs w:val="26"/>
        </w:rPr>
        <w:t xml:space="preserve"> </w:t>
      </w:r>
      <w:r w:rsidR="005B7E23" w:rsidRPr="00441478">
        <w:rPr>
          <w:rFonts w:asciiTheme="majorBidi" w:hAnsiTheme="majorBidi"/>
          <w:sz w:val="26"/>
          <w:szCs w:val="26"/>
        </w:rPr>
        <w:t>(</w:t>
      </w:r>
      <w:r w:rsidRPr="00441478">
        <w:rPr>
          <w:rFonts w:asciiTheme="majorBidi" w:hAnsiTheme="majorBidi"/>
          <w:sz w:val="26"/>
          <w:szCs w:val="26"/>
        </w:rPr>
        <w:t xml:space="preserve">2002) </w:t>
      </w:r>
      <w:r w:rsidR="005B7E23" w:rsidRPr="00441478">
        <w:rPr>
          <w:rFonts w:asciiTheme="majorBidi" w:hAnsiTheme="majorBidi"/>
          <w:sz w:val="26"/>
          <w:szCs w:val="26"/>
        </w:rPr>
        <w:t xml:space="preserve">reported </w:t>
      </w:r>
      <w:r w:rsidRPr="00441478">
        <w:rPr>
          <w:rFonts w:asciiTheme="majorBidi" w:hAnsiTheme="majorBidi"/>
          <w:sz w:val="26"/>
          <w:szCs w:val="26"/>
        </w:rPr>
        <w:t xml:space="preserve">that </w:t>
      </w:r>
      <w:r w:rsidR="005B7E23" w:rsidRPr="00441478">
        <w:rPr>
          <w:rFonts w:asciiTheme="majorBidi" w:hAnsiTheme="majorBidi"/>
          <w:sz w:val="26"/>
          <w:szCs w:val="26"/>
        </w:rPr>
        <w:t xml:space="preserve">a </w:t>
      </w:r>
      <w:r w:rsidRPr="00441478">
        <w:rPr>
          <w:rFonts w:asciiTheme="majorBidi" w:hAnsiTheme="majorBidi"/>
          <w:sz w:val="26"/>
          <w:szCs w:val="26"/>
        </w:rPr>
        <w:t xml:space="preserve">large ratio of earnings surprise indicates poor </w:t>
      </w:r>
      <w:r w:rsidR="006B1C85" w:rsidRPr="00441478">
        <w:rPr>
          <w:rFonts w:asciiTheme="majorBidi" w:hAnsiTheme="majorBidi"/>
          <w:sz w:val="26"/>
          <w:szCs w:val="26"/>
        </w:rPr>
        <w:t>EQ</w:t>
      </w:r>
      <w:r w:rsidR="005B7E23" w:rsidRPr="00441478">
        <w:rPr>
          <w:rFonts w:asciiTheme="majorBidi" w:hAnsiTheme="majorBidi"/>
          <w:sz w:val="26"/>
          <w:szCs w:val="26"/>
        </w:rPr>
        <w:t>,</w:t>
      </w:r>
      <w:r w:rsidRPr="00441478">
        <w:rPr>
          <w:rFonts w:asciiTheme="majorBidi" w:hAnsiTheme="majorBidi"/>
          <w:sz w:val="26"/>
          <w:szCs w:val="26"/>
        </w:rPr>
        <w:t xml:space="preserve"> </w:t>
      </w:r>
      <w:r w:rsidR="005B7E23" w:rsidRPr="00441478">
        <w:rPr>
          <w:rFonts w:asciiTheme="majorBidi" w:hAnsiTheme="majorBidi"/>
          <w:sz w:val="26"/>
          <w:szCs w:val="26"/>
        </w:rPr>
        <w:t xml:space="preserve">whereas a </w:t>
      </w:r>
      <w:r w:rsidRPr="00441478">
        <w:rPr>
          <w:rFonts w:asciiTheme="majorBidi" w:hAnsiTheme="majorBidi"/>
          <w:sz w:val="26"/>
          <w:szCs w:val="26"/>
        </w:rPr>
        <w:t xml:space="preserve">small ratio indicates high </w:t>
      </w:r>
      <w:r w:rsidR="006B1C85" w:rsidRPr="00441478">
        <w:rPr>
          <w:rFonts w:asciiTheme="majorBidi" w:hAnsiTheme="majorBidi"/>
          <w:sz w:val="26"/>
          <w:szCs w:val="26"/>
        </w:rPr>
        <w:t>EQ</w:t>
      </w:r>
      <w:r w:rsidRPr="00441478">
        <w:rPr>
          <w:rFonts w:asciiTheme="majorBidi" w:hAnsiTheme="majorBidi"/>
          <w:sz w:val="26"/>
          <w:szCs w:val="26"/>
        </w:rPr>
        <w:t xml:space="preserve">. </w:t>
      </w:r>
      <w:r w:rsidR="00C03935" w:rsidRPr="00441478">
        <w:rPr>
          <w:rFonts w:asciiTheme="majorBidi" w:hAnsiTheme="majorBidi" w:cstheme="majorBidi"/>
          <w:sz w:val="26"/>
          <w:szCs w:val="26"/>
        </w:rPr>
        <w:t xml:space="preserve">Poor EQ indicates that the investors will not show any interest </w:t>
      </w:r>
      <w:r w:rsidR="00F603A9" w:rsidRPr="00441478">
        <w:rPr>
          <w:rFonts w:asciiTheme="majorBidi" w:hAnsiTheme="majorBidi" w:cstheme="majorBidi"/>
          <w:sz w:val="26"/>
          <w:szCs w:val="26"/>
        </w:rPr>
        <w:t xml:space="preserve">in </w:t>
      </w:r>
      <w:r w:rsidR="00C03935" w:rsidRPr="00441478">
        <w:rPr>
          <w:rFonts w:asciiTheme="majorBidi" w:hAnsiTheme="majorBidi" w:cstheme="majorBidi"/>
          <w:sz w:val="26"/>
          <w:szCs w:val="26"/>
        </w:rPr>
        <w:t>the investments in such business while they focus on the investments in the business where the ESI is small</w:t>
      </w:r>
      <w:r w:rsidR="007D3C6D">
        <w:rPr>
          <w:rFonts w:asciiTheme="majorBidi" w:hAnsiTheme="majorBidi" w:cstheme="majorBidi"/>
          <w:sz w:val="26"/>
          <w:szCs w:val="26"/>
        </w:rPr>
        <w:t>,</w:t>
      </w:r>
      <w:r w:rsidR="00C03935" w:rsidRPr="00441478">
        <w:rPr>
          <w:rFonts w:asciiTheme="majorBidi" w:hAnsiTheme="majorBidi" w:cstheme="majorBidi"/>
          <w:sz w:val="26"/>
          <w:szCs w:val="26"/>
        </w:rPr>
        <w:t xml:space="preserve"> and EQ is high. </w:t>
      </w:r>
      <w:r w:rsidR="001B6F25" w:rsidRPr="00441478">
        <w:rPr>
          <w:rFonts w:asciiTheme="majorBidi" w:hAnsiTheme="majorBidi" w:cstheme="majorBidi"/>
          <w:sz w:val="26"/>
          <w:szCs w:val="26"/>
        </w:rPr>
        <w:t>This indicator gives the investors a positive signal about EQ of the firms</w:t>
      </w:r>
      <w:r w:rsidR="009076E0">
        <w:rPr>
          <w:rFonts w:asciiTheme="majorBidi" w:hAnsiTheme="majorBidi" w:cstheme="majorBidi"/>
          <w:sz w:val="26"/>
          <w:szCs w:val="26"/>
        </w:rPr>
        <w:t xml:space="preserve">, which </w:t>
      </w:r>
      <w:r w:rsidR="001B6F25" w:rsidRPr="00441478">
        <w:rPr>
          <w:rFonts w:asciiTheme="majorBidi" w:hAnsiTheme="majorBidi" w:cstheme="majorBidi"/>
          <w:sz w:val="26"/>
          <w:szCs w:val="26"/>
        </w:rPr>
        <w:t xml:space="preserve">as the investors </w:t>
      </w:r>
      <w:r w:rsidR="009076E0">
        <w:rPr>
          <w:rFonts w:asciiTheme="majorBidi" w:hAnsiTheme="majorBidi" w:cstheme="majorBidi"/>
          <w:sz w:val="26"/>
          <w:szCs w:val="26"/>
        </w:rPr>
        <w:t>tend</w:t>
      </w:r>
      <w:r w:rsidR="001B6F25" w:rsidRPr="00441478">
        <w:rPr>
          <w:rFonts w:asciiTheme="majorBidi" w:hAnsiTheme="majorBidi" w:cstheme="majorBidi"/>
          <w:sz w:val="26"/>
          <w:szCs w:val="26"/>
        </w:rPr>
        <w:t xml:space="preserve"> to decide on investments based on this indicator.  </w:t>
      </w:r>
      <w:r w:rsidRPr="00441478">
        <w:rPr>
          <w:rFonts w:asciiTheme="majorBidi" w:hAnsiTheme="majorBidi"/>
          <w:sz w:val="26"/>
          <w:szCs w:val="26"/>
        </w:rPr>
        <w:t>In GCC</w:t>
      </w:r>
      <w:r w:rsidR="005B7E23" w:rsidRPr="00441478">
        <w:rPr>
          <w:rFonts w:asciiTheme="majorBidi" w:hAnsiTheme="majorBidi"/>
          <w:sz w:val="26"/>
          <w:szCs w:val="26"/>
        </w:rPr>
        <w:t xml:space="preserve"> countries</w:t>
      </w:r>
      <w:r w:rsidRPr="00441478">
        <w:rPr>
          <w:rFonts w:asciiTheme="majorBidi" w:hAnsiTheme="majorBidi"/>
          <w:sz w:val="26"/>
          <w:szCs w:val="26"/>
        </w:rPr>
        <w:t xml:space="preserve">, many investors </w:t>
      </w:r>
      <w:r w:rsidR="005B7E23" w:rsidRPr="00441478">
        <w:rPr>
          <w:rFonts w:asciiTheme="majorBidi" w:hAnsiTheme="majorBidi"/>
          <w:sz w:val="26"/>
          <w:szCs w:val="26"/>
        </w:rPr>
        <w:t>rely</w:t>
      </w:r>
      <w:r w:rsidRPr="00441478">
        <w:rPr>
          <w:rFonts w:asciiTheme="majorBidi" w:hAnsiTheme="majorBidi"/>
          <w:sz w:val="26"/>
          <w:szCs w:val="26"/>
        </w:rPr>
        <w:t xml:space="preserve"> on analysts’ earnings forecasts to build their decision models</w:t>
      </w:r>
      <w:r w:rsidR="009076E0">
        <w:rPr>
          <w:rFonts w:asciiTheme="majorBidi" w:hAnsiTheme="majorBidi"/>
          <w:sz w:val="26"/>
          <w:szCs w:val="26"/>
        </w:rPr>
        <w:t>.</w:t>
      </w:r>
      <w:r w:rsidRPr="00441478">
        <w:rPr>
          <w:rFonts w:asciiTheme="majorBidi" w:hAnsiTheme="majorBidi"/>
          <w:sz w:val="26"/>
          <w:szCs w:val="26"/>
        </w:rPr>
        <w:t xml:space="preserve"> </w:t>
      </w:r>
      <w:r w:rsidR="002E664B">
        <w:rPr>
          <w:rFonts w:asciiTheme="majorBidi" w:hAnsiTheme="majorBidi"/>
          <w:sz w:val="26"/>
          <w:szCs w:val="26"/>
        </w:rPr>
        <w:t>The study</w:t>
      </w:r>
      <w:r w:rsidR="001E3C70" w:rsidRPr="00441478">
        <w:rPr>
          <w:rFonts w:asciiTheme="majorBidi" w:hAnsiTheme="majorBidi"/>
          <w:sz w:val="26"/>
          <w:szCs w:val="26"/>
        </w:rPr>
        <w:t xml:space="preserve"> expect</w:t>
      </w:r>
      <w:r w:rsidR="002E664B">
        <w:rPr>
          <w:rFonts w:asciiTheme="majorBidi" w:hAnsiTheme="majorBidi"/>
          <w:sz w:val="26"/>
          <w:szCs w:val="26"/>
        </w:rPr>
        <w:t>s</w:t>
      </w:r>
      <w:r w:rsidRPr="00441478">
        <w:rPr>
          <w:rFonts w:asciiTheme="majorBidi" w:hAnsiTheme="majorBidi"/>
          <w:sz w:val="26"/>
          <w:szCs w:val="26"/>
        </w:rPr>
        <w:t xml:space="preserve"> </w:t>
      </w:r>
      <w:r w:rsidR="009076E0">
        <w:rPr>
          <w:rFonts w:asciiTheme="majorBidi" w:hAnsiTheme="majorBidi"/>
          <w:sz w:val="26"/>
          <w:szCs w:val="26"/>
        </w:rPr>
        <w:t xml:space="preserve">that </w:t>
      </w:r>
      <w:r w:rsidRPr="00441478">
        <w:rPr>
          <w:rFonts w:asciiTheme="majorBidi" w:hAnsiTheme="majorBidi"/>
          <w:sz w:val="26"/>
          <w:szCs w:val="26"/>
        </w:rPr>
        <w:t>firms</w:t>
      </w:r>
      <w:r w:rsidR="001E3C70" w:rsidRPr="00441478">
        <w:rPr>
          <w:rFonts w:asciiTheme="majorBidi" w:hAnsiTheme="majorBidi"/>
          <w:sz w:val="26"/>
          <w:szCs w:val="26"/>
        </w:rPr>
        <w:t>’/</w:t>
      </w:r>
      <w:r w:rsidRPr="00441478">
        <w:rPr>
          <w:rFonts w:asciiTheme="majorBidi" w:hAnsiTheme="majorBidi"/>
          <w:sz w:val="26"/>
          <w:szCs w:val="26"/>
        </w:rPr>
        <w:t>markets</w:t>
      </w:r>
      <w:r w:rsidR="001E3C70" w:rsidRPr="00441478">
        <w:rPr>
          <w:rFonts w:asciiTheme="majorBidi" w:hAnsiTheme="majorBidi"/>
          <w:sz w:val="26"/>
          <w:szCs w:val="26"/>
        </w:rPr>
        <w:t>’</w:t>
      </w:r>
      <w:r w:rsidRPr="00441478">
        <w:rPr>
          <w:rFonts w:asciiTheme="majorBidi" w:hAnsiTheme="majorBidi"/>
          <w:sz w:val="26"/>
          <w:szCs w:val="26"/>
        </w:rPr>
        <w:t xml:space="preserve"> earnings surprise is a good indicator of </w:t>
      </w:r>
      <w:r w:rsidR="006B1C85" w:rsidRPr="00441478">
        <w:rPr>
          <w:rFonts w:asciiTheme="majorBidi" w:hAnsiTheme="majorBidi"/>
          <w:sz w:val="26"/>
          <w:szCs w:val="26"/>
        </w:rPr>
        <w:t>EQ</w:t>
      </w:r>
      <w:r w:rsidR="009076E0">
        <w:rPr>
          <w:rFonts w:asciiTheme="majorBidi" w:hAnsiTheme="majorBidi"/>
          <w:sz w:val="26"/>
          <w:szCs w:val="26"/>
        </w:rPr>
        <w:t>, giving</w:t>
      </w:r>
      <w:r w:rsidRPr="00441478">
        <w:rPr>
          <w:rFonts w:asciiTheme="majorBidi" w:hAnsiTheme="majorBidi"/>
          <w:sz w:val="26"/>
          <w:szCs w:val="26"/>
        </w:rPr>
        <w:t xml:space="preserve"> foreign investors more information. </w:t>
      </w:r>
      <w:r w:rsidR="00C03935" w:rsidRPr="00441478">
        <w:rPr>
          <w:rFonts w:asciiTheme="majorBidi" w:hAnsiTheme="majorBidi" w:cstheme="majorBidi"/>
          <w:sz w:val="26"/>
          <w:szCs w:val="26"/>
        </w:rPr>
        <w:t>Therefore, this study expects a positive relationship between small ESI and foreign ownership.</w:t>
      </w:r>
      <w:r w:rsidR="00C03935" w:rsidRPr="00441478">
        <w:rPr>
          <w:rFonts w:asciiTheme="majorBidi" w:hAnsiTheme="majorBidi" w:cstheme="majorBidi"/>
          <w:b/>
          <w:bCs/>
          <w:sz w:val="26"/>
          <w:szCs w:val="26"/>
        </w:rPr>
        <w:t xml:space="preserve"> </w:t>
      </w:r>
    </w:p>
    <w:p w14:paraId="16CBCE51" w14:textId="13417237" w:rsidR="0007591F" w:rsidRPr="00441478" w:rsidRDefault="00E67A4B" w:rsidP="00441478">
      <w:pPr>
        <w:snapToGrid w:val="0"/>
        <w:spacing w:after="0" w:line="360" w:lineRule="exact"/>
        <w:jc w:val="both"/>
        <w:rPr>
          <w:rFonts w:asciiTheme="majorBidi" w:hAnsiTheme="majorBidi"/>
          <w:b/>
          <w:sz w:val="26"/>
          <w:szCs w:val="26"/>
        </w:rPr>
      </w:pPr>
      <w:r w:rsidRPr="00441478">
        <w:rPr>
          <w:rFonts w:asciiTheme="majorBidi" w:hAnsiTheme="majorBidi"/>
          <w:b/>
          <w:sz w:val="26"/>
          <w:szCs w:val="26"/>
        </w:rPr>
        <w:t>H4</w:t>
      </w:r>
      <w:r w:rsidR="0007591F" w:rsidRPr="00441478">
        <w:rPr>
          <w:rFonts w:asciiTheme="majorBidi" w:hAnsiTheme="majorBidi"/>
          <w:b/>
          <w:sz w:val="26"/>
          <w:szCs w:val="26"/>
        </w:rPr>
        <w:t>: Small ratio of earnings surprise will attract more foreign ownershi</w:t>
      </w:r>
      <w:r w:rsidR="005B7E23" w:rsidRPr="00441478">
        <w:rPr>
          <w:rFonts w:asciiTheme="majorBidi" w:hAnsiTheme="majorBidi"/>
          <w:b/>
          <w:sz w:val="26"/>
          <w:szCs w:val="26"/>
        </w:rPr>
        <w:t>p.</w:t>
      </w:r>
      <w:r w:rsidR="00944F99" w:rsidRPr="00441478">
        <w:rPr>
          <w:rFonts w:asciiTheme="majorBidi" w:hAnsiTheme="majorBidi"/>
          <w:b/>
          <w:sz w:val="26"/>
          <w:szCs w:val="26"/>
        </w:rPr>
        <w:t xml:space="preserve"> </w:t>
      </w:r>
    </w:p>
    <w:p w14:paraId="23B6BBD0" w14:textId="77777777" w:rsidR="0007591F" w:rsidRPr="00441478" w:rsidRDefault="0007591F" w:rsidP="00441478">
      <w:pPr>
        <w:pStyle w:val="a6"/>
        <w:snapToGrid w:val="0"/>
        <w:spacing w:after="0" w:line="360" w:lineRule="exact"/>
        <w:contextualSpacing w:val="0"/>
        <w:jc w:val="both"/>
        <w:rPr>
          <w:rFonts w:asciiTheme="majorBidi" w:hAnsiTheme="majorBidi"/>
          <w:b/>
          <w:sz w:val="26"/>
          <w:szCs w:val="26"/>
        </w:rPr>
      </w:pPr>
    </w:p>
    <w:p w14:paraId="344FF1DB" w14:textId="77777777" w:rsidR="00FD480C" w:rsidRPr="00541754" w:rsidRDefault="007061FF" w:rsidP="00541754">
      <w:pPr>
        <w:snapToGrid w:val="0"/>
        <w:spacing w:after="0" w:line="360" w:lineRule="exact"/>
        <w:jc w:val="both"/>
        <w:rPr>
          <w:rFonts w:asciiTheme="majorBidi" w:hAnsiTheme="majorBidi"/>
          <w:b/>
          <w:sz w:val="26"/>
          <w:szCs w:val="26"/>
        </w:rPr>
      </w:pPr>
      <w:r w:rsidRPr="00541754">
        <w:rPr>
          <w:rFonts w:asciiTheme="majorBidi" w:hAnsiTheme="majorBidi"/>
          <w:b/>
          <w:sz w:val="26"/>
          <w:szCs w:val="26"/>
        </w:rPr>
        <w:t>Accrual Quality</w:t>
      </w:r>
    </w:p>
    <w:p w14:paraId="79FE297C" w14:textId="32B33191" w:rsidR="00440FEC" w:rsidRPr="00441478" w:rsidRDefault="00D51804" w:rsidP="00C8366C">
      <w:pPr>
        <w:snapToGrid w:val="0"/>
        <w:spacing w:after="0" w:line="360" w:lineRule="exact"/>
        <w:ind w:firstLine="510"/>
        <w:jc w:val="both"/>
        <w:rPr>
          <w:rFonts w:asciiTheme="majorBidi" w:hAnsiTheme="majorBidi"/>
          <w:sz w:val="26"/>
          <w:szCs w:val="26"/>
        </w:rPr>
      </w:pPr>
      <w:r w:rsidRPr="00441478">
        <w:rPr>
          <w:rFonts w:asciiTheme="majorBidi" w:hAnsiTheme="majorBidi"/>
          <w:sz w:val="26"/>
          <w:szCs w:val="26"/>
        </w:rPr>
        <w:t>The</w:t>
      </w:r>
      <w:r w:rsidR="0002566F" w:rsidRPr="00441478">
        <w:rPr>
          <w:rFonts w:asciiTheme="majorBidi" w:hAnsiTheme="majorBidi"/>
          <w:sz w:val="26"/>
          <w:szCs w:val="26"/>
        </w:rPr>
        <w:t xml:space="preserve"> earnings reflect future cash flows when </w:t>
      </w:r>
      <w:r w:rsidRPr="00441478">
        <w:rPr>
          <w:rFonts w:asciiTheme="majorBidi" w:hAnsiTheme="majorBidi"/>
          <w:sz w:val="26"/>
          <w:szCs w:val="26"/>
        </w:rPr>
        <w:t>accruals quickly convert into</w:t>
      </w:r>
      <w:r w:rsidR="00F35D72" w:rsidRPr="00441478">
        <w:rPr>
          <w:rFonts w:asciiTheme="majorBidi" w:hAnsiTheme="majorBidi"/>
          <w:sz w:val="26"/>
          <w:szCs w:val="26"/>
        </w:rPr>
        <w:t xml:space="preserve"> cash (</w:t>
      </w:r>
      <w:proofErr w:type="spellStart"/>
      <w:r w:rsidR="00F35D72" w:rsidRPr="00441478">
        <w:rPr>
          <w:rFonts w:asciiTheme="majorBidi" w:hAnsiTheme="majorBidi"/>
          <w:sz w:val="26"/>
          <w:szCs w:val="26"/>
        </w:rPr>
        <w:t>Dechow</w:t>
      </w:r>
      <w:proofErr w:type="spellEnd"/>
      <w:r w:rsidR="00F35D72" w:rsidRPr="00441478">
        <w:rPr>
          <w:rFonts w:asciiTheme="majorBidi" w:hAnsiTheme="majorBidi"/>
          <w:sz w:val="26"/>
          <w:szCs w:val="26"/>
        </w:rPr>
        <w:t xml:space="preserve"> </w:t>
      </w:r>
      <w:r w:rsidR="007875AD">
        <w:rPr>
          <w:rFonts w:asciiTheme="majorBidi" w:hAnsiTheme="majorBidi"/>
          <w:sz w:val="26"/>
          <w:szCs w:val="26"/>
        </w:rPr>
        <w:t xml:space="preserve">&amp; </w:t>
      </w:r>
      <w:proofErr w:type="spellStart"/>
      <w:r w:rsidR="00F35D72" w:rsidRPr="00441478">
        <w:rPr>
          <w:rFonts w:asciiTheme="majorBidi" w:hAnsiTheme="majorBidi"/>
          <w:sz w:val="26"/>
          <w:szCs w:val="26"/>
        </w:rPr>
        <w:t>Dichev</w:t>
      </w:r>
      <w:proofErr w:type="spellEnd"/>
      <w:r w:rsidR="00F35D72" w:rsidRPr="00441478">
        <w:rPr>
          <w:rFonts w:asciiTheme="majorBidi" w:hAnsiTheme="majorBidi"/>
          <w:sz w:val="26"/>
          <w:szCs w:val="26"/>
        </w:rPr>
        <w:t>, 2002)</w:t>
      </w:r>
      <w:r w:rsidR="001E3C70" w:rsidRPr="00441478">
        <w:rPr>
          <w:rFonts w:asciiTheme="majorBidi" w:hAnsiTheme="majorBidi"/>
          <w:sz w:val="26"/>
          <w:szCs w:val="26"/>
        </w:rPr>
        <w:t>.</w:t>
      </w:r>
      <w:r w:rsidR="00F35D72" w:rsidRPr="00441478">
        <w:rPr>
          <w:rFonts w:asciiTheme="majorBidi" w:hAnsiTheme="majorBidi"/>
          <w:sz w:val="26"/>
          <w:szCs w:val="26"/>
        </w:rPr>
        <w:t xml:space="preserve"> </w:t>
      </w:r>
      <w:r w:rsidR="001E3C70" w:rsidRPr="00441478">
        <w:rPr>
          <w:rFonts w:asciiTheme="majorBidi" w:hAnsiTheme="majorBidi"/>
          <w:sz w:val="26"/>
          <w:szCs w:val="26"/>
        </w:rPr>
        <w:t>T</w:t>
      </w:r>
      <w:r w:rsidR="00F35D72" w:rsidRPr="00441478">
        <w:rPr>
          <w:rFonts w:asciiTheme="majorBidi" w:hAnsiTheme="majorBidi"/>
          <w:sz w:val="26"/>
          <w:szCs w:val="26"/>
        </w:rPr>
        <w:t xml:space="preserve">he difference between accounting earnings and cash flows from </w:t>
      </w:r>
      <w:r w:rsidR="001E3C70" w:rsidRPr="00441478">
        <w:rPr>
          <w:rFonts w:asciiTheme="majorBidi" w:hAnsiTheme="majorBidi"/>
          <w:sz w:val="26"/>
          <w:szCs w:val="26"/>
        </w:rPr>
        <w:t xml:space="preserve">the </w:t>
      </w:r>
      <w:r w:rsidR="00F35D72" w:rsidRPr="00441478">
        <w:rPr>
          <w:rFonts w:asciiTheme="majorBidi" w:hAnsiTheme="majorBidi"/>
          <w:sz w:val="26"/>
          <w:szCs w:val="26"/>
        </w:rPr>
        <w:t xml:space="preserve">operating activities of </w:t>
      </w:r>
      <w:r w:rsidR="001E3C70" w:rsidRPr="00441478">
        <w:rPr>
          <w:rFonts w:asciiTheme="majorBidi" w:hAnsiTheme="majorBidi"/>
          <w:sz w:val="26"/>
          <w:szCs w:val="26"/>
        </w:rPr>
        <w:t xml:space="preserve">a </w:t>
      </w:r>
      <w:r w:rsidR="00F35D72" w:rsidRPr="00441478">
        <w:rPr>
          <w:rFonts w:asciiTheme="majorBidi" w:hAnsiTheme="majorBidi"/>
          <w:sz w:val="26"/>
          <w:szCs w:val="26"/>
        </w:rPr>
        <w:t xml:space="preserve">firm </w:t>
      </w:r>
      <w:r w:rsidR="001E3C70" w:rsidRPr="00441478">
        <w:rPr>
          <w:rFonts w:asciiTheme="majorBidi" w:hAnsiTheme="majorBidi"/>
          <w:sz w:val="26"/>
          <w:szCs w:val="26"/>
        </w:rPr>
        <w:t xml:space="preserve">is referred </w:t>
      </w:r>
      <w:r w:rsidR="00F35D72" w:rsidRPr="00441478">
        <w:rPr>
          <w:rFonts w:asciiTheme="majorBidi" w:hAnsiTheme="majorBidi"/>
          <w:sz w:val="26"/>
          <w:szCs w:val="26"/>
        </w:rPr>
        <w:t xml:space="preserve">to </w:t>
      </w:r>
      <w:r w:rsidR="001E3C70" w:rsidRPr="00441478">
        <w:rPr>
          <w:rFonts w:asciiTheme="majorBidi" w:hAnsiTheme="majorBidi"/>
          <w:sz w:val="26"/>
          <w:szCs w:val="26"/>
        </w:rPr>
        <w:t xml:space="preserve">as </w:t>
      </w:r>
      <w:r w:rsidR="00F35D72" w:rsidRPr="00441478">
        <w:rPr>
          <w:rFonts w:asciiTheme="majorBidi" w:hAnsiTheme="majorBidi"/>
          <w:sz w:val="26"/>
          <w:szCs w:val="26"/>
        </w:rPr>
        <w:t>accrual quality</w:t>
      </w:r>
      <w:r w:rsidR="00830030" w:rsidRPr="00441478">
        <w:rPr>
          <w:rFonts w:asciiTheme="majorBidi" w:hAnsiTheme="majorBidi"/>
          <w:sz w:val="26"/>
          <w:szCs w:val="26"/>
        </w:rPr>
        <w:t>.</w:t>
      </w:r>
      <w:r w:rsidR="0002566F" w:rsidRPr="00441478">
        <w:rPr>
          <w:rFonts w:asciiTheme="majorBidi" w:hAnsiTheme="majorBidi"/>
          <w:sz w:val="26"/>
          <w:szCs w:val="26"/>
        </w:rPr>
        <w:t xml:space="preserve"> </w:t>
      </w:r>
      <w:r w:rsidR="00B86602" w:rsidRPr="00441478">
        <w:rPr>
          <w:rFonts w:asciiTheme="majorBidi" w:hAnsiTheme="majorBidi"/>
          <w:sz w:val="26"/>
          <w:szCs w:val="26"/>
        </w:rPr>
        <w:t>As decided by Desai et al.</w:t>
      </w:r>
      <w:r w:rsidR="00944F99" w:rsidRPr="00441478">
        <w:rPr>
          <w:rFonts w:asciiTheme="majorBidi" w:hAnsiTheme="majorBidi"/>
          <w:sz w:val="26"/>
          <w:szCs w:val="26"/>
        </w:rPr>
        <w:t xml:space="preserve"> (</w:t>
      </w:r>
      <w:r w:rsidR="00B86602" w:rsidRPr="00441478">
        <w:rPr>
          <w:rFonts w:asciiTheme="majorBidi" w:hAnsiTheme="majorBidi"/>
          <w:sz w:val="26"/>
          <w:szCs w:val="26"/>
        </w:rPr>
        <w:t>2006)</w:t>
      </w:r>
      <w:r w:rsidR="001E3C70" w:rsidRPr="00441478">
        <w:rPr>
          <w:rFonts w:asciiTheme="majorBidi" w:hAnsiTheme="majorBidi"/>
          <w:sz w:val="26"/>
          <w:szCs w:val="26"/>
        </w:rPr>
        <w:t>,</w:t>
      </w:r>
      <w:r w:rsidR="00B86602" w:rsidRPr="00441478">
        <w:rPr>
          <w:rFonts w:asciiTheme="majorBidi" w:hAnsiTheme="majorBidi"/>
          <w:sz w:val="26"/>
          <w:szCs w:val="26"/>
        </w:rPr>
        <w:t xml:space="preserve"> the operating accrual used to measure </w:t>
      </w:r>
      <w:r w:rsidR="006B1C85" w:rsidRPr="00441478">
        <w:rPr>
          <w:rFonts w:asciiTheme="majorBidi" w:hAnsiTheme="majorBidi"/>
          <w:sz w:val="26"/>
          <w:szCs w:val="26"/>
        </w:rPr>
        <w:t>EQ</w:t>
      </w:r>
      <w:r w:rsidR="00B86602" w:rsidRPr="00441478">
        <w:rPr>
          <w:rFonts w:asciiTheme="majorBidi" w:hAnsiTheme="majorBidi"/>
          <w:sz w:val="26"/>
          <w:szCs w:val="26"/>
        </w:rPr>
        <w:t xml:space="preserve"> </w:t>
      </w:r>
      <w:r w:rsidR="001E3C70" w:rsidRPr="00441478">
        <w:rPr>
          <w:rFonts w:asciiTheme="majorBidi" w:hAnsiTheme="majorBidi"/>
          <w:sz w:val="26"/>
          <w:szCs w:val="26"/>
        </w:rPr>
        <w:t>does</w:t>
      </w:r>
      <w:r w:rsidR="00B86602" w:rsidRPr="00441478">
        <w:rPr>
          <w:rFonts w:asciiTheme="majorBidi" w:hAnsiTheme="majorBidi"/>
          <w:sz w:val="26"/>
          <w:szCs w:val="26"/>
        </w:rPr>
        <w:t xml:space="preserve"> not include accruals resulting from investing and financing activities.</w:t>
      </w:r>
      <w:r w:rsidR="00C12A9A" w:rsidRPr="00441478">
        <w:rPr>
          <w:rFonts w:asciiTheme="majorBidi" w:hAnsiTheme="majorBidi"/>
          <w:sz w:val="26"/>
          <w:szCs w:val="26"/>
        </w:rPr>
        <w:t xml:space="preserve"> </w:t>
      </w:r>
      <w:r w:rsidR="007B105E" w:rsidRPr="00441478">
        <w:rPr>
          <w:rFonts w:asciiTheme="majorBidi" w:hAnsiTheme="majorBidi"/>
          <w:sz w:val="26"/>
          <w:szCs w:val="26"/>
        </w:rPr>
        <w:t xml:space="preserve">According to </w:t>
      </w:r>
      <w:proofErr w:type="spellStart"/>
      <w:r w:rsidR="007B105E" w:rsidRPr="00441478">
        <w:rPr>
          <w:rFonts w:asciiTheme="majorBidi" w:hAnsiTheme="majorBidi"/>
          <w:sz w:val="26"/>
          <w:szCs w:val="26"/>
        </w:rPr>
        <w:t>Dechow</w:t>
      </w:r>
      <w:proofErr w:type="spellEnd"/>
      <w:r w:rsidR="007B105E" w:rsidRPr="00441478">
        <w:rPr>
          <w:rFonts w:asciiTheme="majorBidi" w:hAnsiTheme="majorBidi"/>
          <w:sz w:val="26"/>
          <w:szCs w:val="26"/>
        </w:rPr>
        <w:t xml:space="preserve"> et al.</w:t>
      </w:r>
      <w:r w:rsidR="00944F99" w:rsidRPr="00441478">
        <w:rPr>
          <w:rFonts w:asciiTheme="majorBidi" w:hAnsiTheme="majorBidi"/>
          <w:sz w:val="26"/>
          <w:szCs w:val="26"/>
        </w:rPr>
        <w:t xml:space="preserve"> (</w:t>
      </w:r>
      <w:r w:rsidR="007B105E" w:rsidRPr="00441478">
        <w:rPr>
          <w:rFonts w:asciiTheme="majorBidi" w:hAnsiTheme="majorBidi"/>
          <w:sz w:val="26"/>
          <w:szCs w:val="26"/>
        </w:rPr>
        <w:t xml:space="preserve">2010), </w:t>
      </w:r>
      <w:r w:rsidR="001E3C70" w:rsidRPr="00441478">
        <w:rPr>
          <w:rFonts w:asciiTheme="majorBidi" w:hAnsiTheme="majorBidi"/>
          <w:sz w:val="26"/>
          <w:szCs w:val="26"/>
        </w:rPr>
        <w:t>the</w:t>
      </w:r>
      <w:r w:rsidR="007B105E" w:rsidRPr="00441478">
        <w:rPr>
          <w:rFonts w:asciiTheme="majorBidi" w:hAnsiTheme="majorBidi"/>
          <w:sz w:val="26"/>
          <w:szCs w:val="26"/>
        </w:rPr>
        <w:t xml:space="preserve"> two types of measures of accruals</w:t>
      </w:r>
      <w:r w:rsidR="001E3C70" w:rsidRPr="00441478">
        <w:rPr>
          <w:rFonts w:asciiTheme="majorBidi" w:hAnsiTheme="majorBidi"/>
          <w:sz w:val="26"/>
          <w:szCs w:val="26"/>
        </w:rPr>
        <w:t xml:space="preserve"> are </w:t>
      </w:r>
      <w:r w:rsidR="00CB11BE">
        <w:rPr>
          <w:rFonts w:asciiTheme="majorBidi" w:hAnsiTheme="majorBidi"/>
          <w:sz w:val="26"/>
          <w:szCs w:val="26"/>
        </w:rPr>
        <w:t>the</w:t>
      </w:r>
      <w:r w:rsidR="007D3C6D">
        <w:rPr>
          <w:rFonts w:asciiTheme="majorBidi" w:hAnsiTheme="majorBidi"/>
          <w:sz w:val="26"/>
          <w:szCs w:val="26"/>
        </w:rPr>
        <w:t xml:space="preserve"> </w:t>
      </w:r>
      <w:r w:rsidR="007B105E" w:rsidRPr="00441478">
        <w:rPr>
          <w:rFonts w:asciiTheme="majorBidi" w:hAnsiTheme="majorBidi"/>
          <w:sz w:val="26"/>
          <w:szCs w:val="26"/>
        </w:rPr>
        <w:t xml:space="preserve">magnitude of accruals and residuals from accrual models. In </w:t>
      </w:r>
      <w:r w:rsidR="001E3C70" w:rsidRPr="00441478">
        <w:rPr>
          <w:rFonts w:asciiTheme="majorBidi" w:hAnsiTheme="majorBidi"/>
          <w:sz w:val="26"/>
          <w:szCs w:val="26"/>
        </w:rPr>
        <w:t xml:space="preserve">the </w:t>
      </w:r>
      <w:r w:rsidR="007B105E" w:rsidRPr="00441478">
        <w:rPr>
          <w:rFonts w:asciiTheme="majorBidi" w:hAnsiTheme="majorBidi"/>
          <w:sz w:val="26"/>
          <w:szCs w:val="26"/>
        </w:rPr>
        <w:t xml:space="preserve">first type, the low magnitude of </w:t>
      </w:r>
      <w:r w:rsidR="00D80F75" w:rsidRPr="00441478">
        <w:rPr>
          <w:rFonts w:asciiTheme="majorBidi" w:hAnsiTheme="majorBidi"/>
          <w:sz w:val="26"/>
          <w:szCs w:val="26"/>
        </w:rPr>
        <w:t xml:space="preserve">accruals </w:t>
      </w:r>
      <w:r w:rsidR="007B105E" w:rsidRPr="00441478">
        <w:rPr>
          <w:rFonts w:asciiTheme="majorBidi" w:hAnsiTheme="majorBidi"/>
          <w:sz w:val="26"/>
          <w:szCs w:val="26"/>
        </w:rPr>
        <w:t>should be less t</w:t>
      </w:r>
      <w:r w:rsidR="00944FAA" w:rsidRPr="00441478">
        <w:rPr>
          <w:rFonts w:asciiTheme="majorBidi" w:hAnsiTheme="majorBidi"/>
          <w:sz w:val="26"/>
          <w:szCs w:val="26"/>
        </w:rPr>
        <w:t xml:space="preserve">o convert earnings </w:t>
      </w:r>
      <w:r w:rsidR="001E3C70" w:rsidRPr="00441478">
        <w:rPr>
          <w:rFonts w:asciiTheme="majorBidi" w:hAnsiTheme="majorBidi"/>
          <w:sz w:val="26"/>
          <w:szCs w:val="26"/>
        </w:rPr>
        <w:t>in</w:t>
      </w:r>
      <w:r w:rsidR="00944FAA" w:rsidRPr="00441478">
        <w:rPr>
          <w:rFonts w:asciiTheme="majorBidi" w:hAnsiTheme="majorBidi"/>
          <w:sz w:val="26"/>
          <w:szCs w:val="26"/>
        </w:rPr>
        <w:t>to cash</w:t>
      </w:r>
      <w:r w:rsidR="009076E0" w:rsidRPr="00441478">
        <w:rPr>
          <w:rFonts w:asciiTheme="majorBidi" w:hAnsiTheme="majorBidi"/>
          <w:sz w:val="26"/>
          <w:szCs w:val="26"/>
        </w:rPr>
        <w:t xml:space="preserve"> quickly</w:t>
      </w:r>
      <w:r w:rsidR="001E3C70" w:rsidRPr="00441478">
        <w:rPr>
          <w:rFonts w:asciiTheme="majorBidi" w:hAnsiTheme="majorBidi"/>
          <w:sz w:val="26"/>
          <w:szCs w:val="26"/>
        </w:rPr>
        <w:t>.</w:t>
      </w:r>
      <w:r w:rsidR="00944FAA" w:rsidRPr="00441478">
        <w:rPr>
          <w:rFonts w:asciiTheme="majorBidi" w:hAnsiTheme="majorBidi"/>
          <w:sz w:val="26"/>
          <w:szCs w:val="26"/>
        </w:rPr>
        <w:t xml:space="preserve"> </w:t>
      </w:r>
      <w:r w:rsidR="001E3C70" w:rsidRPr="00441478">
        <w:rPr>
          <w:rFonts w:asciiTheme="majorBidi" w:hAnsiTheme="majorBidi"/>
          <w:sz w:val="26"/>
          <w:szCs w:val="26"/>
        </w:rPr>
        <w:t>I</w:t>
      </w:r>
      <w:r w:rsidR="00944FAA" w:rsidRPr="00441478">
        <w:rPr>
          <w:rFonts w:asciiTheme="majorBidi" w:hAnsiTheme="majorBidi"/>
          <w:sz w:val="26"/>
          <w:szCs w:val="26"/>
        </w:rPr>
        <w:t>n the second type</w:t>
      </w:r>
      <w:r w:rsidR="001E3C70" w:rsidRPr="00441478">
        <w:rPr>
          <w:rFonts w:asciiTheme="majorBidi" w:hAnsiTheme="majorBidi"/>
          <w:sz w:val="26"/>
          <w:szCs w:val="26"/>
        </w:rPr>
        <w:t>,</w:t>
      </w:r>
      <w:r w:rsidR="00944FAA" w:rsidRPr="00441478">
        <w:rPr>
          <w:rFonts w:asciiTheme="majorBidi" w:hAnsiTheme="majorBidi"/>
          <w:sz w:val="26"/>
          <w:szCs w:val="26"/>
        </w:rPr>
        <w:t xml:space="preserve"> </w:t>
      </w:r>
      <w:r w:rsidR="007D3C6D">
        <w:rPr>
          <w:rFonts w:asciiTheme="majorBidi" w:hAnsiTheme="majorBidi"/>
          <w:sz w:val="26"/>
          <w:szCs w:val="26"/>
        </w:rPr>
        <w:t xml:space="preserve">the </w:t>
      </w:r>
      <w:r w:rsidR="00944FAA" w:rsidRPr="00441478">
        <w:rPr>
          <w:rFonts w:asciiTheme="majorBidi" w:hAnsiTheme="majorBidi"/>
          <w:sz w:val="26"/>
          <w:szCs w:val="26"/>
        </w:rPr>
        <w:t>r</w:t>
      </w:r>
      <w:r w:rsidR="00D80F75" w:rsidRPr="00441478">
        <w:rPr>
          <w:rFonts w:asciiTheme="majorBidi" w:hAnsiTheme="majorBidi"/>
          <w:sz w:val="26"/>
          <w:szCs w:val="26"/>
        </w:rPr>
        <w:t>esidual</w:t>
      </w:r>
      <w:r w:rsidR="00944FAA" w:rsidRPr="00441478">
        <w:rPr>
          <w:rFonts w:asciiTheme="majorBidi" w:hAnsiTheme="majorBidi"/>
          <w:sz w:val="26"/>
          <w:szCs w:val="26"/>
        </w:rPr>
        <w:t xml:space="preserve"> should be also less to </w:t>
      </w:r>
      <w:r w:rsidR="001E3C70" w:rsidRPr="00441478">
        <w:rPr>
          <w:rFonts w:asciiTheme="majorBidi" w:hAnsiTheme="majorBidi"/>
          <w:sz w:val="26"/>
          <w:szCs w:val="26"/>
        </w:rPr>
        <w:t>reflect</w:t>
      </w:r>
      <w:r w:rsidR="00944FAA" w:rsidRPr="00441478">
        <w:rPr>
          <w:rFonts w:asciiTheme="majorBidi" w:hAnsiTheme="majorBidi"/>
          <w:sz w:val="26"/>
          <w:szCs w:val="26"/>
        </w:rPr>
        <w:t xml:space="preserve"> low estimation error. </w:t>
      </w:r>
      <w:r w:rsidR="00D80F75" w:rsidRPr="00441478">
        <w:rPr>
          <w:rFonts w:asciiTheme="majorBidi" w:hAnsiTheme="majorBidi"/>
          <w:sz w:val="26"/>
          <w:szCs w:val="26"/>
        </w:rPr>
        <w:t xml:space="preserve">The standard deviation of residuals is a measure of </w:t>
      </w:r>
      <w:r w:rsidR="006B1C85" w:rsidRPr="00441478">
        <w:rPr>
          <w:rFonts w:asciiTheme="majorBidi" w:hAnsiTheme="majorBidi"/>
          <w:sz w:val="26"/>
          <w:szCs w:val="26"/>
        </w:rPr>
        <w:t>EQ</w:t>
      </w:r>
      <w:r w:rsidR="00D80F75" w:rsidRPr="00441478">
        <w:rPr>
          <w:rFonts w:asciiTheme="majorBidi" w:hAnsiTheme="majorBidi"/>
          <w:sz w:val="26"/>
          <w:szCs w:val="26"/>
        </w:rPr>
        <w:t xml:space="preserve"> as </w:t>
      </w:r>
      <w:proofErr w:type="gramStart"/>
      <w:r w:rsidR="00D80F75" w:rsidRPr="00441478">
        <w:rPr>
          <w:rFonts w:asciiTheme="majorBidi" w:hAnsiTheme="majorBidi"/>
          <w:sz w:val="26"/>
          <w:szCs w:val="26"/>
        </w:rPr>
        <w:t>less</w:t>
      </w:r>
      <w:proofErr w:type="gramEnd"/>
      <w:r w:rsidR="00D80F75" w:rsidRPr="00441478">
        <w:rPr>
          <w:rFonts w:asciiTheme="majorBidi" w:hAnsiTheme="majorBidi"/>
          <w:sz w:val="26"/>
          <w:szCs w:val="26"/>
        </w:rPr>
        <w:t xml:space="preserve"> residual </w:t>
      </w:r>
      <w:r w:rsidR="001E3C70" w:rsidRPr="00441478">
        <w:rPr>
          <w:rFonts w:asciiTheme="majorBidi" w:hAnsiTheme="majorBidi"/>
          <w:sz w:val="26"/>
          <w:szCs w:val="26"/>
        </w:rPr>
        <w:t xml:space="preserve">means </w:t>
      </w:r>
      <w:r w:rsidR="00D80F75" w:rsidRPr="00441478">
        <w:rPr>
          <w:rFonts w:asciiTheme="majorBidi" w:hAnsiTheme="majorBidi"/>
          <w:sz w:val="26"/>
          <w:szCs w:val="26"/>
        </w:rPr>
        <w:t xml:space="preserve">higher quality. </w:t>
      </w:r>
      <w:r w:rsidR="00C12A9A" w:rsidRPr="00441478">
        <w:rPr>
          <w:rFonts w:asciiTheme="majorBidi" w:hAnsiTheme="majorBidi"/>
          <w:sz w:val="26"/>
          <w:szCs w:val="26"/>
        </w:rPr>
        <w:t>As the other participant in the market, foreign investor</w:t>
      </w:r>
      <w:r w:rsidR="001E3C70" w:rsidRPr="00441478">
        <w:rPr>
          <w:rFonts w:asciiTheme="majorBidi" w:hAnsiTheme="majorBidi"/>
          <w:sz w:val="26"/>
          <w:szCs w:val="26"/>
        </w:rPr>
        <w:t>s</w:t>
      </w:r>
      <w:r w:rsidR="00C12A9A" w:rsidRPr="00441478">
        <w:rPr>
          <w:rFonts w:asciiTheme="majorBidi" w:hAnsiTheme="majorBidi"/>
          <w:sz w:val="26"/>
          <w:szCs w:val="26"/>
        </w:rPr>
        <w:t xml:space="preserve"> prefer </w:t>
      </w:r>
      <w:r w:rsidR="007B105E" w:rsidRPr="00441478">
        <w:rPr>
          <w:rFonts w:asciiTheme="majorBidi" w:hAnsiTheme="majorBidi"/>
          <w:sz w:val="26"/>
          <w:szCs w:val="26"/>
        </w:rPr>
        <w:t>less</w:t>
      </w:r>
      <w:r w:rsidR="00C12A9A" w:rsidRPr="00441478">
        <w:rPr>
          <w:rFonts w:asciiTheme="majorBidi" w:hAnsiTheme="majorBidi"/>
          <w:sz w:val="26"/>
          <w:szCs w:val="26"/>
        </w:rPr>
        <w:t xml:space="preserve"> </w:t>
      </w:r>
      <w:r w:rsidR="007B105E" w:rsidRPr="00441478">
        <w:rPr>
          <w:rFonts w:asciiTheme="majorBidi" w:hAnsiTheme="majorBidi"/>
          <w:sz w:val="26"/>
          <w:szCs w:val="26"/>
        </w:rPr>
        <w:t>accrual</w:t>
      </w:r>
      <w:r w:rsidR="00440FEC" w:rsidRPr="00441478">
        <w:rPr>
          <w:rFonts w:asciiTheme="majorBidi" w:hAnsiTheme="majorBidi"/>
          <w:sz w:val="26"/>
          <w:szCs w:val="26"/>
        </w:rPr>
        <w:t xml:space="preserve"> </w:t>
      </w:r>
      <w:r w:rsidR="001E3C70" w:rsidRPr="00441478">
        <w:rPr>
          <w:rFonts w:asciiTheme="majorBidi" w:hAnsiTheme="majorBidi"/>
          <w:sz w:val="26"/>
          <w:szCs w:val="26"/>
        </w:rPr>
        <w:t>for three</w:t>
      </w:r>
      <w:r w:rsidR="00440FEC" w:rsidRPr="00441478">
        <w:rPr>
          <w:rFonts w:asciiTheme="majorBidi" w:hAnsiTheme="majorBidi"/>
          <w:sz w:val="26"/>
          <w:szCs w:val="26"/>
        </w:rPr>
        <w:t xml:space="preserve"> reasons. </w:t>
      </w:r>
      <w:r w:rsidR="001E3C70" w:rsidRPr="00441478">
        <w:rPr>
          <w:rFonts w:asciiTheme="majorBidi" w:hAnsiTheme="majorBidi"/>
          <w:sz w:val="26"/>
          <w:szCs w:val="26"/>
        </w:rPr>
        <w:t>Firstly,</w:t>
      </w:r>
      <w:r w:rsidR="00C12A9A" w:rsidRPr="00441478">
        <w:rPr>
          <w:rFonts w:asciiTheme="majorBidi" w:hAnsiTheme="majorBidi"/>
          <w:sz w:val="26"/>
          <w:szCs w:val="26"/>
        </w:rPr>
        <w:t xml:space="preserve"> </w:t>
      </w:r>
      <w:r w:rsidR="00440FEC" w:rsidRPr="00441478">
        <w:rPr>
          <w:rFonts w:asciiTheme="majorBidi" w:hAnsiTheme="majorBidi"/>
          <w:sz w:val="26"/>
          <w:szCs w:val="26"/>
        </w:rPr>
        <w:t xml:space="preserve">they prefer </w:t>
      </w:r>
      <w:r w:rsidR="007B105E" w:rsidRPr="00441478">
        <w:rPr>
          <w:rFonts w:asciiTheme="majorBidi" w:hAnsiTheme="majorBidi"/>
          <w:sz w:val="26"/>
          <w:szCs w:val="26"/>
        </w:rPr>
        <w:t>less accrual</w:t>
      </w:r>
      <w:r w:rsidR="00440FEC" w:rsidRPr="00441478">
        <w:rPr>
          <w:rFonts w:asciiTheme="majorBidi" w:hAnsiTheme="majorBidi"/>
          <w:sz w:val="26"/>
          <w:szCs w:val="26"/>
        </w:rPr>
        <w:t xml:space="preserve"> </w:t>
      </w:r>
      <w:r w:rsidR="00C12A9A" w:rsidRPr="00441478">
        <w:rPr>
          <w:rFonts w:asciiTheme="majorBidi" w:hAnsiTheme="majorBidi"/>
          <w:sz w:val="26"/>
          <w:szCs w:val="26"/>
        </w:rPr>
        <w:t xml:space="preserve">because </w:t>
      </w:r>
      <w:r w:rsidR="007B105E" w:rsidRPr="00441478">
        <w:rPr>
          <w:rFonts w:asciiTheme="majorBidi" w:hAnsiTheme="majorBidi"/>
          <w:sz w:val="26"/>
          <w:szCs w:val="26"/>
        </w:rPr>
        <w:t>less</w:t>
      </w:r>
      <w:r w:rsidR="00C12A9A" w:rsidRPr="00441478">
        <w:rPr>
          <w:rFonts w:asciiTheme="majorBidi" w:hAnsiTheme="majorBidi"/>
          <w:sz w:val="26"/>
          <w:szCs w:val="26"/>
        </w:rPr>
        <w:t xml:space="preserve"> accrual quality mitigates </w:t>
      </w:r>
      <w:r w:rsidR="007D3C6D">
        <w:rPr>
          <w:rFonts w:asciiTheme="majorBidi" w:hAnsiTheme="majorBidi"/>
          <w:sz w:val="26"/>
          <w:szCs w:val="26"/>
        </w:rPr>
        <w:t xml:space="preserve">the </w:t>
      </w:r>
      <w:r w:rsidR="00C12A9A" w:rsidRPr="00441478">
        <w:rPr>
          <w:rFonts w:asciiTheme="majorBidi" w:hAnsiTheme="majorBidi"/>
          <w:sz w:val="26"/>
          <w:szCs w:val="26"/>
        </w:rPr>
        <w:t xml:space="preserve">firm’s risks of future cash flows and earnings (Shin </w:t>
      </w:r>
      <w:r w:rsidR="007875AD">
        <w:rPr>
          <w:rFonts w:asciiTheme="majorBidi" w:hAnsiTheme="majorBidi"/>
          <w:sz w:val="26"/>
          <w:szCs w:val="26"/>
        </w:rPr>
        <w:t xml:space="preserve">&amp; </w:t>
      </w:r>
      <w:r w:rsidR="00C12A9A" w:rsidRPr="00441478">
        <w:rPr>
          <w:rFonts w:asciiTheme="majorBidi" w:hAnsiTheme="majorBidi"/>
          <w:sz w:val="26"/>
          <w:szCs w:val="26"/>
        </w:rPr>
        <w:t>Oh</w:t>
      </w:r>
      <w:r w:rsidR="00916767" w:rsidRPr="00441478">
        <w:rPr>
          <w:rFonts w:asciiTheme="majorBidi" w:hAnsiTheme="majorBidi"/>
          <w:sz w:val="26"/>
          <w:szCs w:val="26"/>
        </w:rPr>
        <w:t xml:space="preserve">, 2017). </w:t>
      </w:r>
      <w:r w:rsidR="001E3C70" w:rsidRPr="00441478">
        <w:rPr>
          <w:rFonts w:asciiTheme="majorBidi" w:hAnsiTheme="majorBidi"/>
          <w:sz w:val="26"/>
          <w:szCs w:val="26"/>
        </w:rPr>
        <w:t>Secondly,</w:t>
      </w:r>
      <w:r w:rsidR="00440FEC" w:rsidRPr="00441478">
        <w:rPr>
          <w:rFonts w:asciiTheme="majorBidi" w:hAnsiTheme="majorBidi"/>
          <w:sz w:val="26"/>
          <w:szCs w:val="26"/>
        </w:rPr>
        <w:t xml:space="preserve"> </w:t>
      </w:r>
      <w:r w:rsidR="00DC3EB3" w:rsidRPr="00441478">
        <w:rPr>
          <w:rFonts w:asciiTheme="majorBidi" w:hAnsiTheme="majorBidi"/>
          <w:sz w:val="26"/>
          <w:szCs w:val="26"/>
        </w:rPr>
        <w:t>participant</w:t>
      </w:r>
      <w:r w:rsidR="001E3C70" w:rsidRPr="00441478">
        <w:rPr>
          <w:rFonts w:asciiTheme="majorBidi" w:hAnsiTheme="majorBidi"/>
          <w:sz w:val="26"/>
          <w:szCs w:val="26"/>
        </w:rPr>
        <w:t>s</w:t>
      </w:r>
      <w:r w:rsidR="00DC3EB3" w:rsidRPr="00441478">
        <w:rPr>
          <w:rFonts w:asciiTheme="majorBidi" w:hAnsiTheme="majorBidi"/>
          <w:sz w:val="26"/>
          <w:szCs w:val="26"/>
        </w:rPr>
        <w:t xml:space="preserve"> in the market</w:t>
      </w:r>
      <w:r w:rsidR="001E3C70" w:rsidRPr="00441478">
        <w:rPr>
          <w:rFonts w:asciiTheme="majorBidi" w:hAnsiTheme="majorBidi"/>
          <w:sz w:val="26"/>
          <w:szCs w:val="26"/>
        </w:rPr>
        <w:t>,</w:t>
      </w:r>
      <w:r w:rsidR="00DC3EB3" w:rsidRPr="00441478">
        <w:rPr>
          <w:rFonts w:asciiTheme="majorBidi" w:hAnsiTheme="majorBidi"/>
          <w:sz w:val="26"/>
          <w:szCs w:val="26"/>
        </w:rPr>
        <w:t xml:space="preserve"> including foreign investor</w:t>
      </w:r>
      <w:r w:rsidR="001E3C70" w:rsidRPr="00441478">
        <w:rPr>
          <w:rFonts w:asciiTheme="majorBidi" w:hAnsiTheme="majorBidi"/>
          <w:sz w:val="26"/>
          <w:szCs w:val="26"/>
        </w:rPr>
        <w:t>s,</w:t>
      </w:r>
      <w:r w:rsidR="00DC3EB3" w:rsidRPr="00441478">
        <w:rPr>
          <w:rFonts w:asciiTheme="majorBidi" w:hAnsiTheme="majorBidi"/>
          <w:sz w:val="26"/>
          <w:szCs w:val="26"/>
        </w:rPr>
        <w:t xml:space="preserve"> prefer quick </w:t>
      </w:r>
      <w:r w:rsidR="001E3C70" w:rsidRPr="00441478">
        <w:rPr>
          <w:rFonts w:asciiTheme="majorBidi" w:hAnsiTheme="majorBidi"/>
          <w:sz w:val="26"/>
          <w:szCs w:val="26"/>
        </w:rPr>
        <w:t xml:space="preserve">conversion </w:t>
      </w:r>
      <w:r w:rsidR="00DC3EB3" w:rsidRPr="00441478">
        <w:rPr>
          <w:rFonts w:asciiTheme="majorBidi" w:hAnsiTheme="majorBidi"/>
          <w:sz w:val="26"/>
          <w:szCs w:val="26"/>
        </w:rPr>
        <w:t>of accruals into cash</w:t>
      </w:r>
      <w:r w:rsidR="007D3C6D">
        <w:rPr>
          <w:rFonts w:asciiTheme="majorBidi" w:hAnsiTheme="majorBidi"/>
          <w:sz w:val="26"/>
          <w:szCs w:val="26"/>
        </w:rPr>
        <w:t>,</w:t>
      </w:r>
      <w:r w:rsidR="00DC3EB3" w:rsidRPr="00441478">
        <w:rPr>
          <w:rFonts w:asciiTheme="majorBidi" w:hAnsiTheme="majorBidi"/>
          <w:sz w:val="26"/>
          <w:szCs w:val="26"/>
        </w:rPr>
        <w:t xml:space="preserve"> as foreign investors tend to decide on </w:t>
      </w:r>
      <w:r w:rsidR="00440FEC" w:rsidRPr="00441478">
        <w:rPr>
          <w:rFonts w:asciiTheme="majorBidi" w:hAnsiTheme="majorBidi"/>
          <w:sz w:val="26"/>
          <w:szCs w:val="26"/>
        </w:rPr>
        <w:t xml:space="preserve">their </w:t>
      </w:r>
      <w:r w:rsidR="00DC3EB3" w:rsidRPr="00441478">
        <w:rPr>
          <w:rFonts w:asciiTheme="majorBidi" w:hAnsiTheme="majorBidi"/>
          <w:sz w:val="26"/>
          <w:szCs w:val="26"/>
        </w:rPr>
        <w:t xml:space="preserve">investments based on operating cash flow </w:t>
      </w:r>
      <w:r w:rsidR="00440FEC" w:rsidRPr="00441478">
        <w:rPr>
          <w:rFonts w:asciiTheme="majorBidi" w:hAnsiTheme="majorBidi"/>
          <w:sz w:val="26"/>
          <w:szCs w:val="26"/>
        </w:rPr>
        <w:t>in</w:t>
      </w:r>
      <w:r w:rsidR="00DC3EB3" w:rsidRPr="00441478">
        <w:rPr>
          <w:rFonts w:asciiTheme="majorBidi" w:hAnsiTheme="majorBidi"/>
          <w:sz w:val="26"/>
          <w:szCs w:val="26"/>
        </w:rPr>
        <w:t xml:space="preserve"> predicting future cash flow</w:t>
      </w:r>
      <w:r w:rsidR="00440FEC" w:rsidRPr="00441478">
        <w:rPr>
          <w:rFonts w:asciiTheme="majorBidi" w:hAnsiTheme="majorBidi"/>
          <w:sz w:val="26"/>
          <w:szCs w:val="26"/>
        </w:rPr>
        <w:t xml:space="preserve"> (Lee </w:t>
      </w:r>
      <w:r w:rsidR="007875AD">
        <w:rPr>
          <w:rFonts w:asciiTheme="majorBidi" w:hAnsiTheme="majorBidi"/>
          <w:sz w:val="26"/>
          <w:szCs w:val="26"/>
        </w:rPr>
        <w:t xml:space="preserve">&amp; </w:t>
      </w:r>
      <w:r w:rsidR="00440FEC" w:rsidRPr="00441478">
        <w:rPr>
          <w:rFonts w:asciiTheme="majorBidi" w:hAnsiTheme="majorBidi"/>
          <w:sz w:val="26"/>
          <w:szCs w:val="26"/>
        </w:rPr>
        <w:t>Kim, 2019). Third</w:t>
      </w:r>
      <w:r w:rsidR="001E3C70" w:rsidRPr="00441478">
        <w:rPr>
          <w:rFonts w:asciiTheme="majorBidi" w:hAnsiTheme="majorBidi"/>
          <w:sz w:val="26"/>
          <w:szCs w:val="26"/>
        </w:rPr>
        <w:t>ly</w:t>
      </w:r>
      <w:r w:rsidR="00440FEC" w:rsidRPr="00441478">
        <w:rPr>
          <w:rFonts w:asciiTheme="majorBidi" w:hAnsiTheme="majorBidi"/>
          <w:sz w:val="26"/>
          <w:szCs w:val="26"/>
        </w:rPr>
        <w:t xml:space="preserve">, </w:t>
      </w:r>
      <w:proofErr w:type="spellStart"/>
      <w:r w:rsidR="00440FEC" w:rsidRPr="00441478">
        <w:rPr>
          <w:rFonts w:asciiTheme="majorBidi" w:hAnsiTheme="majorBidi"/>
          <w:sz w:val="26"/>
          <w:szCs w:val="26"/>
        </w:rPr>
        <w:t>Dechow</w:t>
      </w:r>
      <w:proofErr w:type="spellEnd"/>
      <w:r w:rsidR="00440FEC" w:rsidRPr="00441478">
        <w:rPr>
          <w:rFonts w:asciiTheme="majorBidi" w:hAnsiTheme="majorBidi"/>
          <w:sz w:val="26"/>
          <w:szCs w:val="26"/>
        </w:rPr>
        <w:t xml:space="preserve"> </w:t>
      </w:r>
      <w:r w:rsidR="00523653">
        <w:rPr>
          <w:rFonts w:asciiTheme="majorBidi" w:hAnsiTheme="majorBidi"/>
          <w:sz w:val="26"/>
          <w:szCs w:val="26"/>
        </w:rPr>
        <w:t>and</w:t>
      </w:r>
      <w:r w:rsidR="00440FEC" w:rsidRPr="00441478">
        <w:rPr>
          <w:rFonts w:asciiTheme="majorBidi" w:hAnsiTheme="majorBidi"/>
          <w:sz w:val="26"/>
          <w:szCs w:val="26"/>
        </w:rPr>
        <w:t xml:space="preserve"> </w:t>
      </w:r>
      <w:proofErr w:type="spellStart"/>
      <w:r w:rsidR="00440FEC" w:rsidRPr="00441478">
        <w:rPr>
          <w:rFonts w:asciiTheme="majorBidi" w:hAnsiTheme="majorBidi"/>
          <w:sz w:val="26"/>
          <w:szCs w:val="26"/>
        </w:rPr>
        <w:t>Dichev</w:t>
      </w:r>
      <w:proofErr w:type="spellEnd"/>
      <w:r w:rsidR="00440FEC" w:rsidRPr="00441478">
        <w:rPr>
          <w:rFonts w:asciiTheme="majorBidi" w:hAnsiTheme="majorBidi"/>
          <w:sz w:val="26"/>
          <w:szCs w:val="26"/>
        </w:rPr>
        <w:t xml:space="preserve"> (2002) pointed out that earnings will be more representative and informative of future cash flows when accruals contain lower estimation error. </w:t>
      </w:r>
      <w:r w:rsidR="00C03935" w:rsidRPr="00441478">
        <w:rPr>
          <w:rFonts w:asciiTheme="majorBidi" w:hAnsiTheme="majorBidi" w:cstheme="majorBidi"/>
          <w:sz w:val="26"/>
          <w:szCs w:val="26"/>
        </w:rPr>
        <w:t xml:space="preserve">Therefore, this study expects a positive relationship between </w:t>
      </w:r>
      <w:r w:rsidR="007D3C6D">
        <w:rPr>
          <w:rFonts w:asciiTheme="majorBidi" w:hAnsiTheme="majorBidi" w:cstheme="majorBidi"/>
          <w:sz w:val="26"/>
          <w:szCs w:val="26"/>
        </w:rPr>
        <w:t xml:space="preserve">the </w:t>
      </w:r>
      <w:r w:rsidR="00C03935" w:rsidRPr="00441478">
        <w:rPr>
          <w:rFonts w:asciiTheme="majorBidi" w:hAnsiTheme="majorBidi" w:cstheme="majorBidi"/>
          <w:sz w:val="26"/>
          <w:szCs w:val="26"/>
        </w:rPr>
        <w:t>quick conversion of accruals into cash (low residual) and foreign ownership.</w:t>
      </w:r>
    </w:p>
    <w:p w14:paraId="268A6C77" w14:textId="2891E476" w:rsidR="007003EF" w:rsidRPr="00441478" w:rsidRDefault="00E67A4B" w:rsidP="00441478">
      <w:pPr>
        <w:autoSpaceDE w:val="0"/>
        <w:autoSpaceDN w:val="0"/>
        <w:adjustRightInd w:val="0"/>
        <w:snapToGrid w:val="0"/>
        <w:spacing w:after="0" w:line="360" w:lineRule="exact"/>
        <w:jc w:val="both"/>
        <w:rPr>
          <w:rFonts w:asciiTheme="majorBidi" w:hAnsiTheme="majorBidi"/>
          <w:b/>
          <w:sz w:val="26"/>
          <w:szCs w:val="26"/>
        </w:rPr>
      </w:pPr>
      <w:r w:rsidRPr="00441478">
        <w:rPr>
          <w:rFonts w:asciiTheme="majorBidi" w:hAnsiTheme="majorBidi"/>
          <w:b/>
          <w:sz w:val="26"/>
          <w:szCs w:val="26"/>
        </w:rPr>
        <w:t>H5</w:t>
      </w:r>
      <w:r w:rsidR="00440FEC" w:rsidRPr="00441478">
        <w:rPr>
          <w:rFonts w:asciiTheme="majorBidi" w:hAnsiTheme="majorBidi"/>
          <w:b/>
          <w:sz w:val="26"/>
          <w:szCs w:val="26"/>
        </w:rPr>
        <w:t xml:space="preserve">: </w:t>
      </w:r>
      <w:r w:rsidR="001E3C70" w:rsidRPr="00441478">
        <w:rPr>
          <w:rFonts w:asciiTheme="majorBidi" w:hAnsiTheme="majorBidi"/>
          <w:b/>
          <w:sz w:val="26"/>
          <w:szCs w:val="26"/>
        </w:rPr>
        <w:t>L</w:t>
      </w:r>
      <w:r w:rsidR="00944FAA" w:rsidRPr="00441478">
        <w:rPr>
          <w:rFonts w:asciiTheme="majorBidi" w:hAnsiTheme="majorBidi"/>
          <w:b/>
          <w:sz w:val="26"/>
          <w:szCs w:val="26"/>
        </w:rPr>
        <w:t xml:space="preserve">ow </w:t>
      </w:r>
      <w:r w:rsidR="00924418" w:rsidRPr="00441478">
        <w:rPr>
          <w:rFonts w:asciiTheme="majorBidi" w:hAnsiTheme="majorBidi"/>
          <w:b/>
          <w:sz w:val="26"/>
          <w:szCs w:val="26"/>
        </w:rPr>
        <w:t>residual</w:t>
      </w:r>
      <w:r w:rsidR="00944FAA" w:rsidRPr="00441478">
        <w:rPr>
          <w:rFonts w:asciiTheme="majorBidi" w:hAnsiTheme="majorBidi"/>
          <w:b/>
          <w:sz w:val="26"/>
          <w:szCs w:val="26"/>
        </w:rPr>
        <w:t xml:space="preserve"> of</w:t>
      </w:r>
      <w:r w:rsidR="00440FEC" w:rsidRPr="00441478">
        <w:rPr>
          <w:rFonts w:asciiTheme="majorBidi" w:hAnsiTheme="majorBidi"/>
          <w:b/>
          <w:sz w:val="26"/>
          <w:szCs w:val="26"/>
        </w:rPr>
        <w:t xml:space="preserve"> accrual quality </w:t>
      </w:r>
      <w:r w:rsidR="00924418" w:rsidRPr="00441478">
        <w:rPr>
          <w:rFonts w:asciiTheme="majorBidi" w:hAnsiTheme="majorBidi"/>
          <w:b/>
          <w:sz w:val="26"/>
          <w:szCs w:val="26"/>
        </w:rPr>
        <w:t>attract</w:t>
      </w:r>
      <w:r w:rsidR="001E3C70" w:rsidRPr="00441478">
        <w:rPr>
          <w:rFonts w:asciiTheme="majorBidi" w:hAnsiTheme="majorBidi"/>
          <w:b/>
          <w:sz w:val="26"/>
          <w:szCs w:val="26"/>
        </w:rPr>
        <w:t>s</w:t>
      </w:r>
      <w:r w:rsidR="00440FEC" w:rsidRPr="00441478">
        <w:rPr>
          <w:rFonts w:asciiTheme="majorBidi" w:hAnsiTheme="majorBidi"/>
          <w:b/>
          <w:sz w:val="26"/>
          <w:szCs w:val="26"/>
        </w:rPr>
        <w:t xml:space="preserve"> foreign ownershi</w:t>
      </w:r>
      <w:r w:rsidR="005B7E23" w:rsidRPr="00441478">
        <w:rPr>
          <w:rFonts w:asciiTheme="majorBidi" w:hAnsiTheme="majorBidi"/>
          <w:b/>
          <w:sz w:val="26"/>
          <w:szCs w:val="26"/>
        </w:rPr>
        <w:t>p.</w:t>
      </w:r>
      <w:r w:rsidR="00944F99" w:rsidRPr="00441478">
        <w:rPr>
          <w:rFonts w:asciiTheme="majorBidi" w:hAnsiTheme="majorBidi"/>
          <w:b/>
          <w:sz w:val="26"/>
          <w:szCs w:val="26"/>
        </w:rPr>
        <w:t xml:space="preserve"> </w:t>
      </w:r>
      <w:r w:rsidR="00440FEC" w:rsidRPr="00441478">
        <w:rPr>
          <w:rFonts w:asciiTheme="majorBidi" w:hAnsiTheme="majorBidi"/>
          <w:b/>
          <w:sz w:val="26"/>
          <w:szCs w:val="26"/>
        </w:rPr>
        <w:t xml:space="preserve"> </w:t>
      </w:r>
    </w:p>
    <w:p w14:paraId="276FD2CB" w14:textId="7FF64207" w:rsidR="0081500A" w:rsidRPr="00441478" w:rsidRDefault="001F48F8" w:rsidP="00441478">
      <w:pPr>
        <w:autoSpaceDE w:val="0"/>
        <w:autoSpaceDN w:val="0"/>
        <w:adjustRightInd w:val="0"/>
        <w:snapToGrid w:val="0"/>
        <w:spacing w:after="0" w:line="360" w:lineRule="exact"/>
        <w:jc w:val="both"/>
        <w:rPr>
          <w:rFonts w:asciiTheme="majorBidi" w:hAnsiTheme="majorBidi"/>
          <w:sz w:val="26"/>
          <w:szCs w:val="26"/>
        </w:rPr>
      </w:pPr>
      <w:r w:rsidRPr="00441478">
        <w:rPr>
          <w:rFonts w:asciiTheme="majorBidi" w:hAnsiTheme="majorBidi"/>
          <w:sz w:val="26"/>
          <w:szCs w:val="26"/>
        </w:rPr>
        <w:t xml:space="preserve"> </w:t>
      </w:r>
      <w:r w:rsidR="00C12A9A" w:rsidRPr="00441478">
        <w:rPr>
          <w:rFonts w:asciiTheme="majorBidi" w:hAnsiTheme="majorBidi"/>
          <w:sz w:val="26"/>
          <w:szCs w:val="26"/>
        </w:rPr>
        <w:t xml:space="preserve"> </w:t>
      </w:r>
    </w:p>
    <w:p w14:paraId="07F68D1E" w14:textId="77777777" w:rsidR="00F35D72" w:rsidRPr="00541754" w:rsidRDefault="00F35D72" w:rsidP="00541754">
      <w:pPr>
        <w:snapToGrid w:val="0"/>
        <w:spacing w:after="0" w:line="360" w:lineRule="exact"/>
        <w:jc w:val="both"/>
        <w:rPr>
          <w:rFonts w:asciiTheme="majorBidi" w:hAnsiTheme="majorBidi"/>
          <w:b/>
          <w:sz w:val="26"/>
          <w:szCs w:val="26"/>
        </w:rPr>
      </w:pPr>
      <w:r w:rsidRPr="00541754">
        <w:rPr>
          <w:rFonts w:asciiTheme="majorBidi" w:hAnsiTheme="majorBidi"/>
          <w:b/>
          <w:sz w:val="26"/>
          <w:szCs w:val="26"/>
        </w:rPr>
        <w:t>Earnings Smoothness</w:t>
      </w:r>
    </w:p>
    <w:p w14:paraId="1890636F" w14:textId="53F65E90" w:rsidR="0092346F" w:rsidRPr="00441478" w:rsidRDefault="00A643BD" w:rsidP="009028E0">
      <w:pPr>
        <w:autoSpaceDE w:val="0"/>
        <w:autoSpaceDN w:val="0"/>
        <w:adjustRightInd w:val="0"/>
        <w:snapToGrid w:val="0"/>
        <w:spacing w:after="0" w:line="360" w:lineRule="exact"/>
        <w:ind w:firstLine="510"/>
        <w:jc w:val="both"/>
        <w:rPr>
          <w:rFonts w:asciiTheme="majorBidi" w:hAnsiTheme="majorBidi"/>
          <w:sz w:val="26"/>
          <w:szCs w:val="26"/>
        </w:rPr>
      </w:pPr>
      <w:proofErr w:type="spellStart"/>
      <w:r w:rsidRPr="00441478">
        <w:rPr>
          <w:rFonts w:asciiTheme="majorBidi" w:hAnsiTheme="majorBidi"/>
          <w:sz w:val="26"/>
          <w:szCs w:val="26"/>
        </w:rPr>
        <w:lastRenderedPageBreak/>
        <w:t>Allayannis</w:t>
      </w:r>
      <w:proofErr w:type="spellEnd"/>
      <w:r w:rsidRPr="00441478">
        <w:rPr>
          <w:rFonts w:asciiTheme="majorBidi" w:hAnsiTheme="majorBidi"/>
          <w:sz w:val="26"/>
          <w:szCs w:val="26"/>
        </w:rPr>
        <w:t xml:space="preserve"> </w:t>
      </w:r>
      <w:r w:rsidR="00523653">
        <w:rPr>
          <w:rFonts w:asciiTheme="majorBidi" w:hAnsiTheme="majorBidi"/>
          <w:sz w:val="26"/>
          <w:szCs w:val="26"/>
        </w:rPr>
        <w:t>and</w:t>
      </w:r>
      <w:r w:rsidRPr="00441478">
        <w:rPr>
          <w:rFonts w:asciiTheme="majorBidi" w:hAnsiTheme="majorBidi"/>
          <w:sz w:val="26"/>
          <w:szCs w:val="26"/>
        </w:rPr>
        <w:t xml:space="preserve"> </w:t>
      </w:r>
      <w:proofErr w:type="spellStart"/>
      <w:r w:rsidRPr="00441478">
        <w:rPr>
          <w:rFonts w:asciiTheme="majorBidi" w:hAnsiTheme="majorBidi"/>
          <w:sz w:val="26"/>
          <w:szCs w:val="26"/>
        </w:rPr>
        <w:t>Si</w:t>
      </w:r>
      <w:r w:rsidR="00F92EAE" w:rsidRPr="00441478">
        <w:rPr>
          <w:rFonts w:asciiTheme="majorBidi" w:hAnsiTheme="majorBidi"/>
          <w:sz w:val="26"/>
          <w:szCs w:val="26"/>
        </w:rPr>
        <w:t>mko</w:t>
      </w:r>
      <w:proofErr w:type="spellEnd"/>
      <w:r w:rsidR="00F92EAE" w:rsidRPr="00441478">
        <w:rPr>
          <w:rFonts w:asciiTheme="majorBidi" w:hAnsiTheme="majorBidi"/>
          <w:sz w:val="26"/>
          <w:szCs w:val="26"/>
        </w:rPr>
        <w:t xml:space="preserve"> (2009) defined earnings smoothness as a reduction of volatility in the earnings as reported in the financial statements.  </w:t>
      </w:r>
      <w:r w:rsidR="00F35D72" w:rsidRPr="00441478">
        <w:rPr>
          <w:rFonts w:asciiTheme="majorBidi" w:hAnsiTheme="majorBidi"/>
          <w:sz w:val="26"/>
          <w:szCs w:val="26"/>
        </w:rPr>
        <w:t>Earnings smoothness is measured as the ratio of the standa</w:t>
      </w:r>
      <w:r w:rsidR="00A9124D" w:rsidRPr="00441478">
        <w:rPr>
          <w:rFonts w:asciiTheme="majorBidi" w:hAnsiTheme="majorBidi"/>
          <w:sz w:val="26"/>
          <w:szCs w:val="26"/>
        </w:rPr>
        <w:t xml:space="preserve">rd deviation of earnings to the </w:t>
      </w:r>
      <w:r w:rsidR="00F35D72" w:rsidRPr="00441478">
        <w:rPr>
          <w:rFonts w:asciiTheme="majorBidi" w:hAnsiTheme="majorBidi"/>
          <w:sz w:val="26"/>
          <w:szCs w:val="26"/>
        </w:rPr>
        <w:t>standard deviation of cash flows</w:t>
      </w:r>
      <w:r w:rsidR="00A9124D" w:rsidRPr="00441478">
        <w:rPr>
          <w:rFonts w:asciiTheme="majorBidi" w:hAnsiTheme="majorBidi"/>
          <w:sz w:val="26"/>
          <w:szCs w:val="26"/>
        </w:rPr>
        <w:t xml:space="preserve">. </w:t>
      </w:r>
      <w:r w:rsidR="001E3C70" w:rsidRPr="00441478">
        <w:rPr>
          <w:rFonts w:asciiTheme="majorBidi" w:hAnsiTheme="majorBidi"/>
          <w:sz w:val="26"/>
          <w:szCs w:val="26"/>
        </w:rPr>
        <w:t>T</w:t>
      </w:r>
      <w:r w:rsidR="00A9124D" w:rsidRPr="00441478">
        <w:rPr>
          <w:rFonts w:asciiTheme="majorBidi" w:hAnsiTheme="majorBidi"/>
          <w:sz w:val="26"/>
          <w:szCs w:val="26"/>
        </w:rPr>
        <w:t>he literature</w:t>
      </w:r>
      <w:r w:rsidR="001E3C70" w:rsidRPr="00441478">
        <w:rPr>
          <w:rFonts w:asciiTheme="majorBidi" w:hAnsiTheme="majorBidi"/>
          <w:sz w:val="26"/>
          <w:szCs w:val="26"/>
        </w:rPr>
        <w:t xml:space="preserve"> presents</w:t>
      </w:r>
      <w:r w:rsidR="00A9124D" w:rsidRPr="00441478">
        <w:rPr>
          <w:rFonts w:asciiTheme="majorBidi" w:hAnsiTheme="majorBidi"/>
          <w:sz w:val="26"/>
          <w:szCs w:val="26"/>
        </w:rPr>
        <w:t xml:space="preserve"> two different points of view regarding the </w:t>
      </w:r>
      <w:r w:rsidR="00F92EAE" w:rsidRPr="00441478">
        <w:rPr>
          <w:rFonts w:asciiTheme="majorBidi" w:hAnsiTheme="majorBidi"/>
          <w:sz w:val="26"/>
          <w:szCs w:val="26"/>
        </w:rPr>
        <w:t xml:space="preserve">desirability and </w:t>
      </w:r>
      <w:r w:rsidR="00A9124D" w:rsidRPr="00441478">
        <w:rPr>
          <w:rFonts w:asciiTheme="majorBidi" w:hAnsiTheme="majorBidi"/>
          <w:sz w:val="26"/>
          <w:szCs w:val="26"/>
        </w:rPr>
        <w:t xml:space="preserve">interpretation of earnings smoothness. The first </w:t>
      </w:r>
      <w:r w:rsidR="001E3C70" w:rsidRPr="00441478">
        <w:rPr>
          <w:rFonts w:asciiTheme="majorBidi" w:hAnsiTheme="majorBidi"/>
          <w:sz w:val="26"/>
          <w:szCs w:val="26"/>
        </w:rPr>
        <w:t>view is</w:t>
      </w:r>
      <w:r w:rsidR="00A9124D" w:rsidRPr="00441478">
        <w:rPr>
          <w:rFonts w:asciiTheme="majorBidi" w:hAnsiTheme="majorBidi"/>
          <w:sz w:val="26"/>
          <w:szCs w:val="26"/>
        </w:rPr>
        <w:t xml:space="preserve"> that lower smoothness indicates good </w:t>
      </w:r>
      <w:r w:rsidR="006B1C85" w:rsidRPr="00441478">
        <w:rPr>
          <w:rFonts w:asciiTheme="majorBidi" w:hAnsiTheme="majorBidi"/>
          <w:sz w:val="26"/>
          <w:szCs w:val="26"/>
        </w:rPr>
        <w:t>EQ</w:t>
      </w:r>
      <w:r w:rsidR="00204AD3" w:rsidRPr="00441478">
        <w:rPr>
          <w:rFonts w:asciiTheme="majorBidi" w:hAnsiTheme="majorBidi"/>
          <w:sz w:val="26"/>
          <w:szCs w:val="26"/>
        </w:rPr>
        <w:t xml:space="preserve"> (Francis et al., 2004)</w:t>
      </w:r>
      <w:r w:rsidR="001E3C70" w:rsidRPr="00441478">
        <w:rPr>
          <w:rFonts w:asciiTheme="majorBidi" w:hAnsiTheme="majorBidi"/>
          <w:sz w:val="26"/>
          <w:szCs w:val="26"/>
        </w:rPr>
        <w:t>,</w:t>
      </w:r>
      <w:r w:rsidR="00204AD3" w:rsidRPr="00441478">
        <w:rPr>
          <w:rFonts w:asciiTheme="majorBidi" w:hAnsiTheme="majorBidi"/>
          <w:sz w:val="26"/>
          <w:szCs w:val="26"/>
        </w:rPr>
        <w:t xml:space="preserve"> </w:t>
      </w:r>
      <w:r w:rsidR="00F92EAE" w:rsidRPr="00441478">
        <w:rPr>
          <w:rFonts w:asciiTheme="majorBidi" w:hAnsiTheme="majorBidi"/>
          <w:sz w:val="26"/>
          <w:szCs w:val="26"/>
        </w:rPr>
        <w:t xml:space="preserve">and it is a desirable practice because the smoothness of earnings </w:t>
      </w:r>
      <w:r w:rsidR="001E3C70" w:rsidRPr="00441478">
        <w:rPr>
          <w:rFonts w:asciiTheme="majorBidi" w:hAnsiTheme="majorBidi"/>
          <w:sz w:val="26"/>
          <w:szCs w:val="26"/>
        </w:rPr>
        <w:t xml:space="preserve">narrows down </w:t>
      </w:r>
      <w:r w:rsidR="00F92EAE" w:rsidRPr="00441478">
        <w:rPr>
          <w:rFonts w:asciiTheme="majorBidi" w:hAnsiTheme="majorBidi"/>
          <w:sz w:val="26"/>
          <w:szCs w:val="26"/>
        </w:rPr>
        <w:t xml:space="preserve">the gap between earnings and cash flow and provides good forecasting information. In </w:t>
      </w:r>
      <w:r w:rsidR="00204AD3" w:rsidRPr="00441478">
        <w:rPr>
          <w:rFonts w:asciiTheme="majorBidi" w:hAnsiTheme="majorBidi"/>
          <w:sz w:val="26"/>
          <w:szCs w:val="26"/>
        </w:rPr>
        <w:t>the second point of view</w:t>
      </w:r>
      <w:r w:rsidR="001E3C70" w:rsidRPr="00441478">
        <w:rPr>
          <w:rFonts w:asciiTheme="majorBidi" w:hAnsiTheme="majorBidi"/>
          <w:sz w:val="26"/>
          <w:szCs w:val="26"/>
        </w:rPr>
        <w:t>,</w:t>
      </w:r>
      <w:r w:rsidR="00204AD3" w:rsidRPr="00441478">
        <w:rPr>
          <w:rFonts w:asciiTheme="majorBidi" w:hAnsiTheme="majorBidi"/>
          <w:sz w:val="26"/>
          <w:szCs w:val="26"/>
        </w:rPr>
        <w:t xml:space="preserve"> lower smoothness refer</w:t>
      </w:r>
      <w:r w:rsidR="007D3C6D">
        <w:rPr>
          <w:rFonts w:asciiTheme="majorBidi" w:hAnsiTheme="majorBidi"/>
          <w:sz w:val="26"/>
          <w:szCs w:val="26"/>
        </w:rPr>
        <w:t>s</w:t>
      </w:r>
      <w:r w:rsidR="00204AD3" w:rsidRPr="00441478">
        <w:rPr>
          <w:rFonts w:asciiTheme="majorBidi" w:hAnsiTheme="majorBidi"/>
          <w:sz w:val="26"/>
          <w:szCs w:val="26"/>
        </w:rPr>
        <w:t xml:space="preserve"> to lower </w:t>
      </w:r>
      <w:r w:rsidR="006B1C85" w:rsidRPr="00441478">
        <w:rPr>
          <w:rFonts w:asciiTheme="majorBidi" w:hAnsiTheme="majorBidi"/>
          <w:sz w:val="26"/>
          <w:szCs w:val="26"/>
        </w:rPr>
        <w:t>EQ</w:t>
      </w:r>
      <w:r w:rsidR="006D5105" w:rsidRPr="00441478">
        <w:rPr>
          <w:rFonts w:asciiTheme="majorBidi" w:hAnsiTheme="majorBidi"/>
          <w:sz w:val="26"/>
          <w:szCs w:val="26"/>
        </w:rPr>
        <w:t xml:space="preserve"> </w:t>
      </w:r>
      <w:r w:rsidR="00F92EAE" w:rsidRPr="00441478">
        <w:rPr>
          <w:rFonts w:asciiTheme="majorBidi" w:hAnsiTheme="majorBidi"/>
          <w:sz w:val="26"/>
          <w:szCs w:val="26"/>
        </w:rPr>
        <w:t>(</w:t>
      </w:r>
      <w:proofErr w:type="spellStart"/>
      <w:r w:rsidR="006D5105" w:rsidRPr="00441478">
        <w:rPr>
          <w:rFonts w:asciiTheme="majorBidi" w:hAnsiTheme="majorBidi"/>
          <w:sz w:val="26"/>
          <w:szCs w:val="26"/>
        </w:rPr>
        <w:t>Leuz</w:t>
      </w:r>
      <w:proofErr w:type="spellEnd"/>
      <w:r w:rsidR="006D5105" w:rsidRPr="00441478">
        <w:rPr>
          <w:rFonts w:asciiTheme="majorBidi" w:hAnsiTheme="majorBidi"/>
          <w:sz w:val="26"/>
          <w:szCs w:val="26"/>
        </w:rPr>
        <w:t xml:space="preserve"> et al.</w:t>
      </w:r>
      <w:r w:rsidR="00CD4B19">
        <w:rPr>
          <w:rFonts w:asciiTheme="majorBidi" w:hAnsiTheme="majorBidi"/>
          <w:sz w:val="26"/>
          <w:szCs w:val="26"/>
        </w:rPr>
        <w:t>,</w:t>
      </w:r>
      <w:r w:rsidR="00F92EAE" w:rsidRPr="00441478">
        <w:rPr>
          <w:rFonts w:asciiTheme="majorBidi" w:hAnsiTheme="majorBidi"/>
          <w:sz w:val="26"/>
          <w:szCs w:val="26"/>
        </w:rPr>
        <w:t xml:space="preserve"> 2003)</w:t>
      </w:r>
      <w:r w:rsidR="001E3C70" w:rsidRPr="00441478">
        <w:rPr>
          <w:rFonts w:asciiTheme="majorBidi" w:hAnsiTheme="majorBidi"/>
          <w:sz w:val="26"/>
          <w:szCs w:val="26"/>
        </w:rPr>
        <w:t>,</w:t>
      </w:r>
      <w:r w:rsidR="00F92EAE" w:rsidRPr="00441478">
        <w:rPr>
          <w:rFonts w:asciiTheme="majorBidi" w:hAnsiTheme="majorBidi"/>
          <w:sz w:val="26"/>
          <w:szCs w:val="26"/>
        </w:rPr>
        <w:t xml:space="preserve"> and it is not a desirable practice because </w:t>
      </w:r>
      <w:r w:rsidR="001E3C70" w:rsidRPr="00441478">
        <w:rPr>
          <w:rFonts w:asciiTheme="majorBidi" w:hAnsiTheme="majorBidi"/>
          <w:sz w:val="26"/>
          <w:szCs w:val="26"/>
        </w:rPr>
        <w:t xml:space="preserve">earnings </w:t>
      </w:r>
      <w:r w:rsidR="00F92EAE" w:rsidRPr="00441478">
        <w:rPr>
          <w:rFonts w:asciiTheme="majorBidi" w:hAnsiTheme="majorBidi"/>
          <w:sz w:val="26"/>
          <w:szCs w:val="26"/>
        </w:rPr>
        <w:t>smoothness is considered a consequence of earnings management (</w:t>
      </w:r>
      <w:proofErr w:type="spellStart"/>
      <w:r w:rsidR="00F92EAE" w:rsidRPr="00441478">
        <w:rPr>
          <w:rFonts w:asciiTheme="majorBidi" w:hAnsiTheme="majorBidi"/>
          <w:sz w:val="26"/>
          <w:szCs w:val="26"/>
        </w:rPr>
        <w:t>Perotti</w:t>
      </w:r>
      <w:proofErr w:type="spellEnd"/>
      <w:r w:rsidR="00F92EAE" w:rsidRPr="00441478">
        <w:rPr>
          <w:rFonts w:asciiTheme="majorBidi" w:hAnsiTheme="majorBidi"/>
          <w:sz w:val="26"/>
          <w:szCs w:val="26"/>
        </w:rPr>
        <w:t xml:space="preserve"> </w:t>
      </w:r>
      <w:r w:rsidR="007875AD">
        <w:rPr>
          <w:rFonts w:asciiTheme="majorBidi" w:hAnsiTheme="majorBidi"/>
          <w:sz w:val="26"/>
          <w:szCs w:val="26"/>
        </w:rPr>
        <w:t xml:space="preserve">&amp; </w:t>
      </w:r>
      <w:proofErr w:type="spellStart"/>
      <w:r w:rsidR="00F92EAE" w:rsidRPr="00441478">
        <w:rPr>
          <w:rFonts w:asciiTheme="majorBidi" w:hAnsiTheme="majorBidi"/>
          <w:sz w:val="26"/>
          <w:szCs w:val="26"/>
        </w:rPr>
        <w:t>Wage</w:t>
      </w:r>
      <w:r w:rsidR="00A962D9">
        <w:rPr>
          <w:rFonts w:asciiTheme="majorBidi" w:hAnsiTheme="majorBidi"/>
          <w:sz w:val="26"/>
          <w:szCs w:val="26"/>
        </w:rPr>
        <w:t>n</w:t>
      </w:r>
      <w:r w:rsidR="00F92EAE" w:rsidRPr="00441478">
        <w:rPr>
          <w:rFonts w:asciiTheme="majorBidi" w:hAnsiTheme="majorBidi"/>
          <w:sz w:val="26"/>
          <w:szCs w:val="26"/>
        </w:rPr>
        <w:t>h</w:t>
      </w:r>
      <w:r w:rsidR="003208ED">
        <w:rPr>
          <w:rFonts w:asciiTheme="majorBidi" w:hAnsiTheme="majorBidi"/>
          <w:sz w:val="26"/>
          <w:szCs w:val="26"/>
        </w:rPr>
        <w:t>o</w:t>
      </w:r>
      <w:r w:rsidR="00F92EAE" w:rsidRPr="00441478">
        <w:rPr>
          <w:rFonts w:asciiTheme="majorBidi" w:hAnsiTheme="majorBidi"/>
          <w:sz w:val="26"/>
          <w:szCs w:val="26"/>
        </w:rPr>
        <w:t>fer</w:t>
      </w:r>
      <w:proofErr w:type="spellEnd"/>
      <w:r w:rsidR="00F92EAE" w:rsidRPr="00441478">
        <w:rPr>
          <w:rFonts w:asciiTheme="majorBidi" w:hAnsiTheme="majorBidi"/>
          <w:sz w:val="26"/>
          <w:szCs w:val="26"/>
        </w:rPr>
        <w:t xml:space="preserve">, 2014). </w:t>
      </w:r>
      <w:proofErr w:type="spellStart"/>
      <w:r w:rsidR="00204AD3" w:rsidRPr="00441478">
        <w:rPr>
          <w:rFonts w:asciiTheme="majorBidi" w:hAnsiTheme="majorBidi"/>
          <w:sz w:val="26"/>
          <w:szCs w:val="26"/>
        </w:rPr>
        <w:t>Nezlobin</w:t>
      </w:r>
      <w:proofErr w:type="spellEnd"/>
      <w:r w:rsidR="00204AD3" w:rsidRPr="00441478">
        <w:rPr>
          <w:rFonts w:asciiTheme="majorBidi" w:hAnsiTheme="majorBidi"/>
          <w:sz w:val="26"/>
          <w:szCs w:val="26"/>
        </w:rPr>
        <w:t xml:space="preserve"> et al.</w:t>
      </w:r>
      <w:r w:rsidR="00944F99" w:rsidRPr="00441478">
        <w:rPr>
          <w:rFonts w:asciiTheme="majorBidi" w:hAnsiTheme="majorBidi"/>
          <w:sz w:val="26"/>
          <w:szCs w:val="26"/>
        </w:rPr>
        <w:t xml:space="preserve"> (</w:t>
      </w:r>
      <w:r w:rsidR="00204AD3" w:rsidRPr="00441478">
        <w:rPr>
          <w:rFonts w:asciiTheme="majorBidi" w:hAnsiTheme="majorBidi"/>
          <w:sz w:val="26"/>
          <w:szCs w:val="26"/>
        </w:rPr>
        <w:t xml:space="preserve">2019) </w:t>
      </w:r>
      <w:r w:rsidR="001E3C70" w:rsidRPr="00441478">
        <w:rPr>
          <w:rFonts w:asciiTheme="majorBidi" w:hAnsiTheme="majorBidi"/>
          <w:sz w:val="26"/>
          <w:szCs w:val="26"/>
        </w:rPr>
        <w:t>presented</w:t>
      </w:r>
      <w:r w:rsidR="00204AD3" w:rsidRPr="00441478">
        <w:rPr>
          <w:rFonts w:asciiTheme="majorBidi" w:hAnsiTheme="majorBidi"/>
          <w:sz w:val="26"/>
          <w:szCs w:val="26"/>
        </w:rPr>
        <w:t xml:space="preserve"> evidence from </w:t>
      </w:r>
      <w:r w:rsidR="001E3C70" w:rsidRPr="00441478">
        <w:rPr>
          <w:rFonts w:asciiTheme="majorBidi" w:hAnsiTheme="majorBidi"/>
          <w:sz w:val="26"/>
          <w:szCs w:val="26"/>
        </w:rPr>
        <w:t xml:space="preserve">the </w:t>
      </w:r>
      <w:r w:rsidR="00204AD3" w:rsidRPr="00441478">
        <w:rPr>
          <w:rFonts w:asciiTheme="majorBidi" w:hAnsiTheme="majorBidi"/>
          <w:sz w:val="26"/>
          <w:szCs w:val="26"/>
        </w:rPr>
        <w:t>literature that the first point of view is more acceptable and used by the researchers</w:t>
      </w:r>
      <w:r w:rsidR="001E3C70" w:rsidRPr="00441478">
        <w:rPr>
          <w:rFonts w:asciiTheme="majorBidi" w:hAnsiTheme="majorBidi"/>
          <w:sz w:val="26"/>
          <w:szCs w:val="26"/>
        </w:rPr>
        <w:t xml:space="preserve"> than the second one</w:t>
      </w:r>
      <w:r w:rsidR="006D5105" w:rsidRPr="00441478">
        <w:rPr>
          <w:rFonts w:asciiTheme="majorBidi" w:hAnsiTheme="majorBidi"/>
          <w:sz w:val="26"/>
          <w:szCs w:val="26"/>
        </w:rPr>
        <w:t xml:space="preserve">. </w:t>
      </w:r>
    </w:p>
    <w:p w14:paraId="76436141" w14:textId="127F15BC" w:rsidR="00A643BD" w:rsidRPr="00441478" w:rsidRDefault="00A643BD" w:rsidP="00C8366C">
      <w:pPr>
        <w:autoSpaceDE w:val="0"/>
        <w:autoSpaceDN w:val="0"/>
        <w:adjustRightInd w:val="0"/>
        <w:snapToGrid w:val="0"/>
        <w:spacing w:after="0" w:line="360" w:lineRule="exact"/>
        <w:ind w:firstLine="510"/>
        <w:jc w:val="both"/>
        <w:rPr>
          <w:rFonts w:asciiTheme="majorBidi" w:hAnsiTheme="majorBidi"/>
          <w:sz w:val="26"/>
          <w:szCs w:val="26"/>
        </w:rPr>
      </w:pPr>
      <w:r w:rsidRPr="00441478">
        <w:rPr>
          <w:rFonts w:asciiTheme="majorBidi" w:hAnsiTheme="majorBidi"/>
          <w:sz w:val="26"/>
          <w:szCs w:val="26"/>
        </w:rPr>
        <w:t xml:space="preserve">Cheng </w:t>
      </w:r>
      <w:r w:rsidR="00523653">
        <w:rPr>
          <w:rFonts w:asciiTheme="majorBidi" w:hAnsiTheme="majorBidi"/>
          <w:sz w:val="26"/>
          <w:szCs w:val="26"/>
        </w:rPr>
        <w:t>and</w:t>
      </w:r>
      <w:r w:rsidRPr="00441478">
        <w:rPr>
          <w:rFonts w:asciiTheme="majorBidi" w:hAnsiTheme="majorBidi"/>
          <w:sz w:val="26"/>
          <w:szCs w:val="26"/>
        </w:rPr>
        <w:t xml:space="preserve"> Li (2014) argue that earnings smoothness improves </w:t>
      </w:r>
      <w:r w:rsidR="006B1C85" w:rsidRPr="00441478">
        <w:rPr>
          <w:rFonts w:asciiTheme="majorBidi" w:hAnsiTheme="majorBidi"/>
          <w:sz w:val="26"/>
          <w:szCs w:val="26"/>
        </w:rPr>
        <w:t>EQ</w:t>
      </w:r>
      <w:r w:rsidRPr="00441478">
        <w:rPr>
          <w:rFonts w:asciiTheme="majorBidi" w:hAnsiTheme="majorBidi"/>
          <w:sz w:val="26"/>
          <w:szCs w:val="26"/>
        </w:rPr>
        <w:t xml:space="preserve"> because </w:t>
      </w:r>
      <w:r w:rsidR="00EB06F6" w:rsidRPr="00441478">
        <w:rPr>
          <w:rFonts w:asciiTheme="majorBidi" w:hAnsiTheme="majorBidi"/>
          <w:sz w:val="26"/>
          <w:szCs w:val="26"/>
        </w:rPr>
        <w:t>it</w:t>
      </w:r>
      <w:r w:rsidRPr="00441478">
        <w:rPr>
          <w:rFonts w:asciiTheme="majorBidi" w:hAnsiTheme="majorBidi"/>
          <w:sz w:val="26"/>
          <w:szCs w:val="26"/>
        </w:rPr>
        <w:t xml:space="preserve"> improve</w:t>
      </w:r>
      <w:r w:rsidR="00EB06F6" w:rsidRPr="00441478">
        <w:rPr>
          <w:rFonts w:asciiTheme="majorBidi" w:hAnsiTheme="majorBidi"/>
          <w:sz w:val="26"/>
          <w:szCs w:val="26"/>
        </w:rPr>
        <w:t>s</w:t>
      </w:r>
      <w:r w:rsidRPr="00441478">
        <w:rPr>
          <w:rFonts w:asciiTheme="majorBidi" w:hAnsiTheme="majorBidi"/>
          <w:sz w:val="26"/>
          <w:szCs w:val="26"/>
        </w:rPr>
        <w:t xml:space="preserve"> earnings informativeness. </w:t>
      </w:r>
      <w:r w:rsidR="00EB06F6" w:rsidRPr="00441478">
        <w:rPr>
          <w:rFonts w:asciiTheme="majorBidi" w:hAnsiTheme="majorBidi"/>
          <w:sz w:val="26"/>
          <w:szCs w:val="26"/>
        </w:rPr>
        <w:t>I</w:t>
      </w:r>
      <w:r w:rsidRPr="00441478">
        <w:rPr>
          <w:rFonts w:asciiTheme="majorBidi" w:hAnsiTheme="majorBidi"/>
          <w:sz w:val="26"/>
          <w:szCs w:val="26"/>
        </w:rPr>
        <w:t>mprov</w:t>
      </w:r>
      <w:r w:rsidR="00EB06F6" w:rsidRPr="00441478">
        <w:rPr>
          <w:rFonts w:asciiTheme="majorBidi" w:hAnsiTheme="majorBidi"/>
          <w:sz w:val="26"/>
          <w:szCs w:val="26"/>
        </w:rPr>
        <w:t>ed</w:t>
      </w:r>
      <w:r w:rsidRPr="00441478">
        <w:rPr>
          <w:rFonts w:asciiTheme="majorBidi" w:hAnsiTheme="majorBidi"/>
          <w:sz w:val="26"/>
          <w:szCs w:val="26"/>
        </w:rPr>
        <w:t xml:space="preserve"> earnings informativeness means that the firms have rich information</w:t>
      </w:r>
      <w:r w:rsidR="007D3C6D">
        <w:rPr>
          <w:rFonts w:asciiTheme="majorBidi" w:hAnsiTheme="majorBidi"/>
          <w:sz w:val="26"/>
          <w:szCs w:val="26"/>
        </w:rPr>
        <w:t>, making</w:t>
      </w:r>
      <w:r w:rsidRPr="00441478">
        <w:rPr>
          <w:rFonts w:asciiTheme="majorBidi" w:hAnsiTheme="majorBidi"/>
          <w:sz w:val="26"/>
          <w:szCs w:val="26"/>
        </w:rPr>
        <w:t xml:space="preserve"> the market a</w:t>
      </w:r>
      <w:r w:rsidR="00EB06F6" w:rsidRPr="00441478">
        <w:rPr>
          <w:rFonts w:asciiTheme="majorBidi" w:hAnsiTheme="majorBidi"/>
          <w:sz w:val="26"/>
          <w:szCs w:val="26"/>
        </w:rPr>
        <w:t>n environment with</w:t>
      </w:r>
      <w:r w:rsidRPr="00441478">
        <w:rPr>
          <w:rFonts w:asciiTheme="majorBidi" w:hAnsiTheme="majorBidi"/>
          <w:sz w:val="26"/>
          <w:szCs w:val="26"/>
        </w:rPr>
        <w:t xml:space="preserve"> rich information where</w:t>
      </w:r>
      <w:r w:rsidR="00EB06F6" w:rsidRPr="00441478">
        <w:rPr>
          <w:rFonts w:asciiTheme="majorBidi" w:hAnsiTheme="majorBidi"/>
          <w:sz w:val="26"/>
          <w:szCs w:val="26"/>
        </w:rPr>
        <w:t>in</w:t>
      </w:r>
      <w:r w:rsidRPr="00441478">
        <w:rPr>
          <w:rFonts w:asciiTheme="majorBidi" w:hAnsiTheme="majorBidi"/>
          <w:sz w:val="26"/>
          <w:szCs w:val="26"/>
        </w:rPr>
        <w:t xml:space="preserve"> investors </w:t>
      </w:r>
      <w:r w:rsidR="00EB06F6" w:rsidRPr="00441478">
        <w:rPr>
          <w:rFonts w:asciiTheme="majorBidi" w:hAnsiTheme="majorBidi"/>
          <w:sz w:val="26"/>
          <w:szCs w:val="26"/>
        </w:rPr>
        <w:t xml:space="preserve">can utilise </w:t>
      </w:r>
      <w:r w:rsidRPr="00441478">
        <w:rPr>
          <w:rFonts w:asciiTheme="majorBidi" w:hAnsiTheme="majorBidi"/>
          <w:sz w:val="26"/>
          <w:szCs w:val="26"/>
        </w:rPr>
        <w:t xml:space="preserve">all available information to build a good decision model about their investment.  </w:t>
      </w:r>
    </w:p>
    <w:p w14:paraId="11F6E2D7" w14:textId="63FBBD23" w:rsidR="001C5787" w:rsidRPr="00441478" w:rsidRDefault="00D85530" w:rsidP="00441478">
      <w:pPr>
        <w:autoSpaceDE w:val="0"/>
        <w:autoSpaceDN w:val="0"/>
        <w:adjustRightInd w:val="0"/>
        <w:snapToGrid w:val="0"/>
        <w:spacing w:after="0" w:line="360" w:lineRule="exact"/>
        <w:ind w:firstLine="510"/>
        <w:jc w:val="both"/>
        <w:rPr>
          <w:rFonts w:asciiTheme="majorBidi" w:hAnsiTheme="majorBidi"/>
          <w:sz w:val="26"/>
          <w:szCs w:val="26"/>
        </w:rPr>
      </w:pPr>
      <w:r w:rsidRPr="00441478">
        <w:rPr>
          <w:rFonts w:asciiTheme="majorBidi" w:hAnsiTheme="majorBidi"/>
          <w:sz w:val="26"/>
          <w:szCs w:val="26"/>
        </w:rPr>
        <w:t>As mentioned earlier</w:t>
      </w:r>
      <w:r w:rsidR="00EB06F6" w:rsidRPr="00441478">
        <w:rPr>
          <w:rFonts w:asciiTheme="majorBidi" w:hAnsiTheme="majorBidi"/>
          <w:sz w:val="26"/>
          <w:szCs w:val="26"/>
        </w:rPr>
        <w:t>,</w:t>
      </w:r>
      <w:r w:rsidRPr="00441478">
        <w:rPr>
          <w:rFonts w:asciiTheme="majorBidi" w:hAnsiTheme="majorBidi"/>
          <w:sz w:val="26"/>
          <w:szCs w:val="26"/>
        </w:rPr>
        <w:t xml:space="preserve"> the GCC market is classified as </w:t>
      </w:r>
      <w:r w:rsidR="007D3C6D">
        <w:rPr>
          <w:rFonts w:asciiTheme="majorBidi" w:hAnsiTheme="majorBidi"/>
          <w:sz w:val="26"/>
          <w:szCs w:val="26"/>
        </w:rPr>
        <w:t xml:space="preserve">a </w:t>
      </w:r>
      <w:r w:rsidRPr="00441478">
        <w:rPr>
          <w:rFonts w:asciiTheme="majorBidi" w:hAnsiTheme="majorBidi"/>
          <w:sz w:val="26"/>
          <w:szCs w:val="26"/>
        </w:rPr>
        <w:t xml:space="preserve">less informative environment, </w:t>
      </w:r>
      <w:r w:rsidR="00EB06F6" w:rsidRPr="00441478">
        <w:rPr>
          <w:rFonts w:asciiTheme="majorBidi" w:hAnsiTheme="majorBidi"/>
          <w:sz w:val="26"/>
          <w:szCs w:val="26"/>
        </w:rPr>
        <w:t xml:space="preserve">so </w:t>
      </w:r>
      <w:r w:rsidRPr="00441478">
        <w:rPr>
          <w:rFonts w:asciiTheme="majorBidi" w:hAnsiTheme="majorBidi"/>
          <w:sz w:val="26"/>
          <w:szCs w:val="26"/>
        </w:rPr>
        <w:t xml:space="preserve">foreign investors are unable to interpret </w:t>
      </w:r>
      <w:r w:rsidR="00EB06F6" w:rsidRPr="00441478">
        <w:rPr>
          <w:rFonts w:asciiTheme="majorBidi" w:hAnsiTheme="majorBidi"/>
          <w:sz w:val="26"/>
          <w:szCs w:val="26"/>
        </w:rPr>
        <w:t xml:space="preserve">earnings </w:t>
      </w:r>
      <w:r w:rsidRPr="00441478">
        <w:rPr>
          <w:rFonts w:asciiTheme="majorBidi" w:hAnsiTheme="majorBidi"/>
          <w:sz w:val="26"/>
          <w:szCs w:val="26"/>
        </w:rPr>
        <w:t xml:space="preserve">smoothness as a good </w:t>
      </w:r>
      <w:r w:rsidR="005470EC" w:rsidRPr="00441478">
        <w:rPr>
          <w:rFonts w:asciiTheme="majorBidi" w:hAnsiTheme="majorBidi"/>
          <w:sz w:val="26"/>
          <w:szCs w:val="26"/>
        </w:rPr>
        <w:t xml:space="preserve">indicator of </w:t>
      </w:r>
      <w:r w:rsidR="006B1C85" w:rsidRPr="00441478">
        <w:rPr>
          <w:rFonts w:asciiTheme="majorBidi" w:hAnsiTheme="majorBidi"/>
          <w:sz w:val="26"/>
          <w:szCs w:val="26"/>
        </w:rPr>
        <w:t>EQ</w:t>
      </w:r>
      <w:r w:rsidR="00EB06F6" w:rsidRPr="00441478">
        <w:rPr>
          <w:rFonts w:asciiTheme="majorBidi" w:hAnsiTheme="majorBidi"/>
          <w:sz w:val="26"/>
          <w:szCs w:val="26"/>
        </w:rPr>
        <w:t>.</w:t>
      </w:r>
      <w:r w:rsidRPr="00441478">
        <w:rPr>
          <w:rFonts w:asciiTheme="majorBidi" w:hAnsiTheme="majorBidi"/>
          <w:sz w:val="26"/>
          <w:szCs w:val="26"/>
        </w:rPr>
        <w:t xml:space="preserve"> </w:t>
      </w:r>
      <w:r w:rsidR="00EB06F6" w:rsidRPr="00441478">
        <w:rPr>
          <w:rFonts w:asciiTheme="majorBidi" w:hAnsiTheme="majorBidi"/>
          <w:sz w:val="26"/>
          <w:szCs w:val="26"/>
        </w:rPr>
        <w:t>We thus expect</w:t>
      </w:r>
      <w:r w:rsidR="001C5787" w:rsidRPr="00441478">
        <w:rPr>
          <w:rFonts w:asciiTheme="majorBidi" w:hAnsiTheme="majorBidi"/>
          <w:sz w:val="26"/>
          <w:szCs w:val="26"/>
        </w:rPr>
        <w:t xml:space="preserve"> earnings smoothness not</w:t>
      </w:r>
      <w:r w:rsidR="007D3C6D">
        <w:rPr>
          <w:rFonts w:asciiTheme="majorBidi" w:hAnsiTheme="majorBidi"/>
          <w:sz w:val="26"/>
          <w:szCs w:val="26"/>
        </w:rPr>
        <w:t xml:space="preserve"> to</w:t>
      </w:r>
      <w:r w:rsidR="001C5787" w:rsidRPr="00441478">
        <w:rPr>
          <w:rFonts w:asciiTheme="majorBidi" w:hAnsiTheme="majorBidi"/>
          <w:sz w:val="26"/>
          <w:szCs w:val="26"/>
        </w:rPr>
        <w:t xml:space="preserve"> attract foreign investor</w:t>
      </w:r>
      <w:r w:rsidR="00EB06F6" w:rsidRPr="00441478">
        <w:rPr>
          <w:rFonts w:asciiTheme="majorBidi" w:hAnsiTheme="majorBidi"/>
          <w:sz w:val="26"/>
          <w:szCs w:val="26"/>
        </w:rPr>
        <w:t>s</w:t>
      </w:r>
      <w:r w:rsidRPr="00441478">
        <w:rPr>
          <w:rFonts w:asciiTheme="majorBidi" w:hAnsiTheme="majorBidi"/>
          <w:sz w:val="26"/>
          <w:szCs w:val="26"/>
        </w:rPr>
        <w:t xml:space="preserve"> </w:t>
      </w:r>
      <w:r w:rsidR="001C5787" w:rsidRPr="00441478">
        <w:rPr>
          <w:rFonts w:asciiTheme="majorBidi" w:hAnsiTheme="majorBidi"/>
          <w:sz w:val="26"/>
          <w:szCs w:val="26"/>
        </w:rPr>
        <w:t xml:space="preserve">to invest in </w:t>
      </w:r>
      <w:r w:rsidR="00EB06F6" w:rsidRPr="00441478">
        <w:rPr>
          <w:rFonts w:asciiTheme="majorBidi" w:hAnsiTheme="majorBidi"/>
          <w:sz w:val="26"/>
          <w:szCs w:val="26"/>
        </w:rPr>
        <w:t xml:space="preserve">the </w:t>
      </w:r>
      <w:r w:rsidR="001C5787" w:rsidRPr="00441478">
        <w:rPr>
          <w:rFonts w:asciiTheme="majorBidi" w:hAnsiTheme="majorBidi"/>
          <w:sz w:val="26"/>
          <w:szCs w:val="26"/>
        </w:rPr>
        <w:t xml:space="preserve">GCC market. </w:t>
      </w:r>
    </w:p>
    <w:p w14:paraId="47691F0F" w14:textId="415E5840" w:rsidR="001C5787" w:rsidRPr="00441478" w:rsidRDefault="00E67A4B" w:rsidP="00441478">
      <w:pPr>
        <w:autoSpaceDE w:val="0"/>
        <w:autoSpaceDN w:val="0"/>
        <w:adjustRightInd w:val="0"/>
        <w:snapToGrid w:val="0"/>
        <w:spacing w:after="0" w:line="360" w:lineRule="exact"/>
        <w:jc w:val="both"/>
        <w:rPr>
          <w:rFonts w:asciiTheme="majorBidi" w:hAnsiTheme="majorBidi"/>
          <w:b/>
          <w:sz w:val="26"/>
          <w:szCs w:val="26"/>
        </w:rPr>
      </w:pPr>
      <w:r w:rsidRPr="00441478">
        <w:rPr>
          <w:rFonts w:asciiTheme="majorBidi" w:hAnsiTheme="majorBidi"/>
          <w:b/>
          <w:sz w:val="26"/>
          <w:szCs w:val="26"/>
        </w:rPr>
        <w:t>H6</w:t>
      </w:r>
      <w:r w:rsidR="001C5787" w:rsidRPr="00441478">
        <w:rPr>
          <w:rFonts w:asciiTheme="majorBidi" w:hAnsiTheme="majorBidi"/>
          <w:b/>
          <w:sz w:val="26"/>
          <w:szCs w:val="26"/>
        </w:rPr>
        <w:t xml:space="preserve">: </w:t>
      </w:r>
      <w:r w:rsidR="00EB06F6" w:rsidRPr="00441478">
        <w:rPr>
          <w:rFonts w:asciiTheme="majorBidi" w:hAnsiTheme="majorBidi"/>
          <w:b/>
          <w:sz w:val="26"/>
          <w:szCs w:val="26"/>
        </w:rPr>
        <w:t>H</w:t>
      </w:r>
      <w:r w:rsidR="001C5787" w:rsidRPr="00441478">
        <w:rPr>
          <w:rFonts w:asciiTheme="majorBidi" w:hAnsiTheme="majorBidi"/>
          <w:b/>
          <w:sz w:val="26"/>
          <w:szCs w:val="26"/>
        </w:rPr>
        <w:t>igh</w:t>
      </w:r>
      <w:r w:rsidR="00EB06F6" w:rsidRPr="00441478">
        <w:rPr>
          <w:rFonts w:asciiTheme="majorBidi" w:hAnsiTheme="majorBidi"/>
          <w:b/>
          <w:sz w:val="26"/>
          <w:szCs w:val="26"/>
        </w:rPr>
        <w:t xml:space="preserve"> earnings</w:t>
      </w:r>
      <w:r w:rsidR="001C5787" w:rsidRPr="00441478">
        <w:rPr>
          <w:rFonts w:asciiTheme="majorBidi" w:hAnsiTheme="majorBidi"/>
          <w:b/>
          <w:sz w:val="26"/>
          <w:szCs w:val="26"/>
        </w:rPr>
        <w:t xml:space="preserve"> smoothness </w:t>
      </w:r>
      <w:r w:rsidR="00EB06F6" w:rsidRPr="00441478">
        <w:rPr>
          <w:rFonts w:asciiTheme="majorBidi" w:hAnsiTheme="majorBidi"/>
          <w:b/>
          <w:sz w:val="26"/>
          <w:szCs w:val="26"/>
        </w:rPr>
        <w:t>does not</w:t>
      </w:r>
      <w:r w:rsidR="001C5787" w:rsidRPr="00441478">
        <w:rPr>
          <w:rFonts w:asciiTheme="majorBidi" w:hAnsiTheme="majorBidi"/>
          <w:b/>
          <w:sz w:val="26"/>
          <w:szCs w:val="26"/>
        </w:rPr>
        <w:t xml:space="preserve"> </w:t>
      </w:r>
      <w:r w:rsidR="009F7F82" w:rsidRPr="00441478">
        <w:rPr>
          <w:rFonts w:asciiTheme="majorBidi" w:hAnsiTheme="majorBidi"/>
          <w:b/>
          <w:sz w:val="26"/>
          <w:szCs w:val="26"/>
        </w:rPr>
        <w:t>attract</w:t>
      </w:r>
      <w:r w:rsidR="001C5787" w:rsidRPr="00441478">
        <w:rPr>
          <w:rFonts w:asciiTheme="majorBidi" w:hAnsiTheme="majorBidi"/>
          <w:b/>
          <w:sz w:val="26"/>
          <w:szCs w:val="26"/>
        </w:rPr>
        <w:t xml:space="preserve"> foreign ownershi</w:t>
      </w:r>
      <w:r w:rsidR="005B7E23" w:rsidRPr="00441478">
        <w:rPr>
          <w:rFonts w:asciiTheme="majorBidi" w:hAnsiTheme="majorBidi"/>
          <w:b/>
          <w:sz w:val="26"/>
          <w:szCs w:val="26"/>
        </w:rPr>
        <w:t>p.</w:t>
      </w:r>
      <w:r w:rsidR="00944F99" w:rsidRPr="00441478">
        <w:rPr>
          <w:rFonts w:asciiTheme="majorBidi" w:hAnsiTheme="majorBidi"/>
          <w:b/>
          <w:sz w:val="26"/>
          <w:szCs w:val="26"/>
        </w:rPr>
        <w:t xml:space="preserve"> </w:t>
      </w:r>
      <w:r w:rsidR="001C5787" w:rsidRPr="00441478">
        <w:rPr>
          <w:rFonts w:asciiTheme="majorBidi" w:hAnsiTheme="majorBidi"/>
          <w:b/>
          <w:sz w:val="26"/>
          <w:szCs w:val="26"/>
        </w:rPr>
        <w:t xml:space="preserve"> </w:t>
      </w:r>
    </w:p>
    <w:p w14:paraId="26D94AD5" w14:textId="77777777" w:rsidR="001C5787" w:rsidRPr="00441478" w:rsidRDefault="001C5787" w:rsidP="00441478">
      <w:pPr>
        <w:autoSpaceDE w:val="0"/>
        <w:autoSpaceDN w:val="0"/>
        <w:adjustRightInd w:val="0"/>
        <w:snapToGrid w:val="0"/>
        <w:spacing w:after="0" w:line="360" w:lineRule="exact"/>
        <w:jc w:val="both"/>
        <w:rPr>
          <w:rFonts w:asciiTheme="majorBidi" w:hAnsiTheme="majorBidi"/>
          <w:sz w:val="26"/>
          <w:szCs w:val="26"/>
        </w:rPr>
      </w:pPr>
    </w:p>
    <w:p w14:paraId="791892AF" w14:textId="624807ED" w:rsidR="006F229C" w:rsidRPr="00541754" w:rsidRDefault="00050EB7" w:rsidP="00541754">
      <w:pPr>
        <w:autoSpaceDE w:val="0"/>
        <w:autoSpaceDN w:val="0"/>
        <w:adjustRightInd w:val="0"/>
        <w:snapToGrid w:val="0"/>
        <w:spacing w:after="0" w:line="360" w:lineRule="exact"/>
        <w:jc w:val="both"/>
        <w:rPr>
          <w:rFonts w:asciiTheme="majorBidi" w:hAnsiTheme="majorBidi"/>
          <w:b/>
          <w:sz w:val="26"/>
          <w:szCs w:val="26"/>
        </w:rPr>
      </w:pPr>
      <w:r w:rsidRPr="00541754">
        <w:rPr>
          <w:rFonts w:asciiTheme="majorBidi" w:hAnsiTheme="majorBidi"/>
          <w:b/>
          <w:sz w:val="26"/>
          <w:szCs w:val="26"/>
        </w:rPr>
        <w:t xml:space="preserve">Loss </w:t>
      </w:r>
      <w:r w:rsidR="00A95E4E" w:rsidRPr="00541754">
        <w:rPr>
          <w:rFonts w:asciiTheme="majorBidi" w:hAnsiTheme="majorBidi"/>
          <w:b/>
          <w:sz w:val="26"/>
          <w:szCs w:val="26"/>
        </w:rPr>
        <w:t xml:space="preserve">Recognition Timeliness </w:t>
      </w:r>
    </w:p>
    <w:p w14:paraId="3EC04474" w14:textId="4B93E0B9" w:rsidR="00733708" w:rsidRPr="00441478" w:rsidRDefault="00EB06F6" w:rsidP="00441478">
      <w:pPr>
        <w:snapToGrid w:val="0"/>
        <w:spacing w:after="0" w:line="360" w:lineRule="exact"/>
        <w:ind w:firstLine="510"/>
        <w:jc w:val="both"/>
        <w:rPr>
          <w:rFonts w:asciiTheme="majorBidi" w:hAnsiTheme="majorBidi"/>
          <w:sz w:val="26"/>
          <w:szCs w:val="26"/>
        </w:rPr>
      </w:pPr>
      <w:r w:rsidRPr="00441478">
        <w:rPr>
          <w:rFonts w:asciiTheme="majorBidi" w:hAnsiTheme="majorBidi"/>
          <w:sz w:val="26"/>
          <w:szCs w:val="26"/>
        </w:rPr>
        <w:t>Loss recognition timeliness</w:t>
      </w:r>
      <w:r w:rsidR="006F229C" w:rsidRPr="00441478">
        <w:rPr>
          <w:rFonts w:asciiTheme="majorBidi" w:hAnsiTheme="majorBidi"/>
          <w:sz w:val="26"/>
          <w:szCs w:val="26"/>
        </w:rPr>
        <w:t xml:space="preserve"> is an important measure of </w:t>
      </w:r>
      <w:r w:rsidR="006B1C85" w:rsidRPr="00441478">
        <w:rPr>
          <w:rFonts w:asciiTheme="majorBidi" w:hAnsiTheme="majorBidi"/>
          <w:sz w:val="26"/>
          <w:szCs w:val="26"/>
        </w:rPr>
        <w:t>EQ</w:t>
      </w:r>
      <w:r w:rsidR="00F1174D" w:rsidRPr="00441478">
        <w:rPr>
          <w:rFonts w:asciiTheme="majorBidi" w:hAnsiTheme="majorBidi"/>
          <w:sz w:val="26"/>
          <w:szCs w:val="26"/>
        </w:rPr>
        <w:t xml:space="preserve">. </w:t>
      </w:r>
      <w:proofErr w:type="spellStart"/>
      <w:r w:rsidR="00F1174D" w:rsidRPr="00441478">
        <w:rPr>
          <w:rFonts w:asciiTheme="majorBidi" w:hAnsiTheme="majorBidi"/>
          <w:sz w:val="26"/>
          <w:szCs w:val="26"/>
        </w:rPr>
        <w:t>Bissessur</w:t>
      </w:r>
      <w:proofErr w:type="spellEnd"/>
      <w:r w:rsidR="00F1174D" w:rsidRPr="00441478">
        <w:rPr>
          <w:rFonts w:asciiTheme="majorBidi" w:hAnsiTheme="majorBidi"/>
          <w:sz w:val="26"/>
          <w:szCs w:val="26"/>
        </w:rPr>
        <w:t xml:space="preserve"> (2008) </w:t>
      </w:r>
      <w:r w:rsidRPr="00441478">
        <w:rPr>
          <w:rFonts w:asciiTheme="majorBidi" w:hAnsiTheme="majorBidi"/>
          <w:sz w:val="26"/>
          <w:szCs w:val="26"/>
        </w:rPr>
        <w:t xml:space="preserve">suggested </w:t>
      </w:r>
      <w:r w:rsidR="00F1174D" w:rsidRPr="00441478">
        <w:rPr>
          <w:rFonts w:asciiTheme="majorBidi" w:hAnsiTheme="majorBidi"/>
          <w:sz w:val="26"/>
          <w:szCs w:val="26"/>
        </w:rPr>
        <w:t xml:space="preserve">that losses may </w:t>
      </w:r>
      <w:r w:rsidR="009076E0">
        <w:rPr>
          <w:rFonts w:asciiTheme="majorBidi" w:hAnsiTheme="majorBidi"/>
          <w:sz w:val="26"/>
          <w:szCs w:val="26"/>
        </w:rPr>
        <w:t>impact</w:t>
      </w:r>
      <w:r w:rsidR="00F1174D" w:rsidRPr="00441478">
        <w:rPr>
          <w:rFonts w:asciiTheme="majorBidi" w:hAnsiTheme="majorBidi"/>
          <w:sz w:val="26"/>
          <w:szCs w:val="26"/>
        </w:rPr>
        <w:t xml:space="preserve"> capital markets as the efficient functioning of these markets will improve through high levels of information asymmetry. The use of accruals for </w:t>
      </w:r>
      <w:r w:rsidRPr="00441478">
        <w:rPr>
          <w:rFonts w:asciiTheme="majorBidi" w:hAnsiTheme="majorBidi"/>
          <w:sz w:val="26"/>
          <w:szCs w:val="26"/>
        </w:rPr>
        <w:t>loss recognition timeliness</w:t>
      </w:r>
      <w:r w:rsidRPr="00441478" w:rsidDel="00EB06F6">
        <w:rPr>
          <w:rFonts w:asciiTheme="majorBidi" w:hAnsiTheme="majorBidi"/>
          <w:sz w:val="26"/>
          <w:szCs w:val="26"/>
        </w:rPr>
        <w:t xml:space="preserve"> </w:t>
      </w:r>
      <w:r w:rsidR="00F1174D" w:rsidRPr="00441478">
        <w:rPr>
          <w:rFonts w:asciiTheme="majorBidi" w:hAnsiTheme="majorBidi"/>
          <w:sz w:val="26"/>
          <w:szCs w:val="26"/>
        </w:rPr>
        <w:t xml:space="preserve">for firms mitigates this problem by incorporating losses in a timely manner, thus reducing uncertainty about </w:t>
      </w:r>
      <w:r w:rsidRPr="00441478">
        <w:rPr>
          <w:rFonts w:asciiTheme="majorBidi" w:hAnsiTheme="majorBidi"/>
          <w:sz w:val="26"/>
          <w:szCs w:val="26"/>
        </w:rPr>
        <w:t>firms’</w:t>
      </w:r>
      <w:r w:rsidR="00F1174D" w:rsidRPr="00441478">
        <w:rPr>
          <w:rFonts w:asciiTheme="majorBidi" w:hAnsiTheme="majorBidi"/>
          <w:sz w:val="26"/>
          <w:szCs w:val="26"/>
        </w:rPr>
        <w:t xml:space="preserve"> future</w:t>
      </w:r>
      <w:r w:rsidR="007D3C6D">
        <w:rPr>
          <w:rFonts w:asciiTheme="majorBidi" w:hAnsiTheme="majorBidi"/>
          <w:sz w:val="26"/>
          <w:szCs w:val="26"/>
        </w:rPr>
        <w:t>s</w:t>
      </w:r>
      <w:r w:rsidR="00F1174D" w:rsidRPr="00441478">
        <w:rPr>
          <w:rFonts w:asciiTheme="majorBidi" w:hAnsiTheme="majorBidi"/>
          <w:sz w:val="26"/>
          <w:szCs w:val="26"/>
        </w:rPr>
        <w:t>.</w:t>
      </w:r>
    </w:p>
    <w:p w14:paraId="710ED9CC" w14:textId="0CCDA476" w:rsidR="00A5198B" w:rsidRPr="00441478" w:rsidRDefault="009076E0" w:rsidP="00C8366C">
      <w:pPr>
        <w:snapToGrid w:val="0"/>
        <w:spacing w:after="0" w:line="360" w:lineRule="exact"/>
        <w:ind w:firstLine="510"/>
        <w:jc w:val="both"/>
        <w:rPr>
          <w:rFonts w:asciiTheme="majorBidi" w:hAnsiTheme="majorBidi"/>
          <w:sz w:val="26"/>
          <w:szCs w:val="26"/>
        </w:rPr>
      </w:pPr>
      <w:r>
        <w:rPr>
          <w:rFonts w:asciiTheme="majorBidi" w:hAnsiTheme="majorBidi"/>
          <w:sz w:val="26"/>
          <w:szCs w:val="26"/>
        </w:rPr>
        <w:t>T</w:t>
      </w:r>
      <w:r w:rsidR="00EB06F6" w:rsidRPr="00441478">
        <w:rPr>
          <w:rFonts w:asciiTheme="majorBidi" w:hAnsiTheme="majorBidi"/>
          <w:sz w:val="26"/>
          <w:szCs w:val="26"/>
        </w:rPr>
        <w:t xml:space="preserve">he </w:t>
      </w:r>
      <w:proofErr w:type="gramStart"/>
      <w:r w:rsidR="00770104" w:rsidRPr="00441478">
        <w:rPr>
          <w:rFonts w:asciiTheme="majorBidi" w:hAnsiTheme="majorBidi"/>
          <w:sz w:val="26"/>
          <w:szCs w:val="26"/>
        </w:rPr>
        <w:t>more timely</w:t>
      </w:r>
      <w:proofErr w:type="gramEnd"/>
      <w:r w:rsidR="00770104" w:rsidRPr="00441478">
        <w:rPr>
          <w:rFonts w:asciiTheme="majorBidi" w:hAnsiTheme="majorBidi"/>
          <w:sz w:val="26"/>
          <w:szCs w:val="26"/>
        </w:rPr>
        <w:t xml:space="preserve"> </w:t>
      </w:r>
      <w:r w:rsidR="00EB06F6" w:rsidRPr="00441478">
        <w:rPr>
          <w:rFonts w:asciiTheme="majorBidi" w:hAnsiTheme="majorBidi"/>
          <w:sz w:val="26"/>
          <w:szCs w:val="26"/>
        </w:rPr>
        <w:t xml:space="preserve">the </w:t>
      </w:r>
      <w:r w:rsidR="00770104" w:rsidRPr="00441478">
        <w:rPr>
          <w:rFonts w:asciiTheme="majorBidi" w:hAnsiTheme="majorBidi"/>
          <w:sz w:val="26"/>
          <w:szCs w:val="26"/>
        </w:rPr>
        <w:t>recognition of losses</w:t>
      </w:r>
      <w:r w:rsidR="00EB06F6" w:rsidRPr="00441478">
        <w:rPr>
          <w:rFonts w:asciiTheme="majorBidi" w:hAnsiTheme="majorBidi"/>
          <w:sz w:val="26"/>
          <w:szCs w:val="26"/>
        </w:rPr>
        <w:t>,</w:t>
      </w:r>
      <w:r w:rsidR="00770104" w:rsidRPr="00441478">
        <w:rPr>
          <w:rFonts w:asciiTheme="majorBidi" w:hAnsiTheme="majorBidi"/>
          <w:sz w:val="26"/>
          <w:szCs w:val="26"/>
        </w:rPr>
        <w:t xml:space="preserve"> </w:t>
      </w:r>
      <w:r w:rsidR="00EB06F6" w:rsidRPr="00441478">
        <w:rPr>
          <w:rFonts w:asciiTheme="majorBidi" w:hAnsiTheme="majorBidi"/>
          <w:sz w:val="26"/>
          <w:szCs w:val="26"/>
        </w:rPr>
        <w:t>the higher the</w:t>
      </w:r>
      <w:r w:rsidR="00770104" w:rsidRPr="00441478">
        <w:rPr>
          <w:rFonts w:asciiTheme="majorBidi" w:hAnsiTheme="majorBidi"/>
          <w:sz w:val="26"/>
          <w:szCs w:val="26"/>
        </w:rPr>
        <w:t xml:space="preserve"> </w:t>
      </w:r>
      <w:r w:rsidR="006B1C85" w:rsidRPr="00441478">
        <w:rPr>
          <w:rFonts w:asciiTheme="majorBidi" w:hAnsiTheme="majorBidi"/>
          <w:sz w:val="26"/>
          <w:szCs w:val="26"/>
        </w:rPr>
        <w:t>EQ</w:t>
      </w:r>
      <w:r w:rsidR="007D276A" w:rsidRPr="00441478">
        <w:rPr>
          <w:rFonts w:asciiTheme="majorBidi" w:hAnsiTheme="majorBidi"/>
          <w:sz w:val="26"/>
          <w:szCs w:val="26"/>
        </w:rPr>
        <w:t xml:space="preserve"> has </w:t>
      </w:r>
      <w:r w:rsidR="00EB06F6" w:rsidRPr="00441478">
        <w:rPr>
          <w:rFonts w:asciiTheme="majorBidi" w:hAnsiTheme="majorBidi"/>
          <w:sz w:val="26"/>
          <w:szCs w:val="26"/>
        </w:rPr>
        <w:t xml:space="preserve">a </w:t>
      </w:r>
      <w:r w:rsidR="007D276A" w:rsidRPr="00441478">
        <w:rPr>
          <w:rFonts w:asciiTheme="majorBidi" w:hAnsiTheme="majorBidi"/>
          <w:sz w:val="26"/>
          <w:szCs w:val="26"/>
        </w:rPr>
        <w:t xml:space="preserve">positive effect on </w:t>
      </w:r>
      <w:r w:rsidR="006B1C85" w:rsidRPr="00441478">
        <w:rPr>
          <w:rFonts w:asciiTheme="majorBidi" w:hAnsiTheme="majorBidi"/>
          <w:sz w:val="26"/>
          <w:szCs w:val="26"/>
        </w:rPr>
        <w:t>EQ</w:t>
      </w:r>
      <w:r w:rsidRPr="009076E0">
        <w:rPr>
          <w:rFonts w:asciiTheme="majorBidi" w:hAnsiTheme="majorBidi"/>
          <w:sz w:val="26"/>
          <w:szCs w:val="26"/>
        </w:rPr>
        <w:t xml:space="preserve"> </w:t>
      </w:r>
      <w:r w:rsidRPr="00441478">
        <w:rPr>
          <w:rFonts w:asciiTheme="majorBidi" w:hAnsiTheme="majorBidi"/>
          <w:sz w:val="26"/>
          <w:szCs w:val="26"/>
        </w:rPr>
        <w:t>because recognising losses on a timely basis</w:t>
      </w:r>
      <w:r>
        <w:rPr>
          <w:rFonts w:asciiTheme="majorBidi" w:hAnsiTheme="majorBidi"/>
          <w:sz w:val="26"/>
          <w:szCs w:val="26"/>
        </w:rPr>
        <w:t>, a</w:t>
      </w:r>
      <w:r w:rsidRPr="00441478">
        <w:rPr>
          <w:rFonts w:asciiTheme="majorBidi" w:hAnsiTheme="majorBidi"/>
          <w:sz w:val="26"/>
          <w:szCs w:val="26"/>
        </w:rPr>
        <w:t xml:space="preserve">s Ball </w:t>
      </w:r>
      <w:r w:rsidR="00523653">
        <w:rPr>
          <w:rFonts w:asciiTheme="majorBidi" w:hAnsiTheme="majorBidi"/>
          <w:sz w:val="26"/>
          <w:szCs w:val="26"/>
        </w:rPr>
        <w:t>and</w:t>
      </w:r>
      <w:r w:rsidRPr="00441478">
        <w:rPr>
          <w:rFonts w:asciiTheme="majorBidi" w:hAnsiTheme="majorBidi"/>
          <w:sz w:val="26"/>
          <w:szCs w:val="26"/>
        </w:rPr>
        <w:t xml:space="preserve"> </w:t>
      </w:r>
      <w:proofErr w:type="spellStart"/>
      <w:r w:rsidRPr="00441478">
        <w:rPr>
          <w:rFonts w:asciiTheme="majorBidi" w:hAnsiTheme="majorBidi"/>
          <w:sz w:val="26"/>
          <w:szCs w:val="26"/>
        </w:rPr>
        <w:t>Shivakumar</w:t>
      </w:r>
      <w:proofErr w:type="spellEnd"/>
      <w:r w:rsidRPr="00441478">
        <w:rPr>
          <w:rFonts w:asciiTheme="majorBidi" w:hAnsiTheme="majorBidi"/>
          <w:sz w:val="26"/>
          <w:szCs w:val="26"/>
        </w:rPr>
        <w:t xml:space="preserve"> (</w:t>
      </w:r>
      <w:r w:rsidRPr="00441478">
        <w:rPr>
          <w:rFonts w:asciiTheme="majorBidi" w:hAnsiTheme="majorBidi" w:cstheme="majorBidi"/>
          <w:sz w:val="26"/>
          <w:szCs w:val="26"/>
        </w:rPr>
        <w:t>2005</w:t>
      </w:r>
      <w:r w:rsidRPr="00441478">
        <w:rPr>
          <w:rFonts w:asciiTheme="majorBidi" w:hAnsiTheme="majorBidi"/>
          <w:sz w:val="26"/>
          <w:szCs w:val="26"/>
        </w:rPr>
        <w:t>)</w:t>
      </w:r>
      <w:r w:rsidRPr="009076E0">
        <w:rPr>
          <w:rFonts w:asciiTheme="majorBidi" w:hAnsiTheme="majorBidi"/>
          <w:sz w:val="26"/>
          <w:szCs w:val="26"/>
        </w:rPr>
        <w:t xml:space="preserve"> </w:t>
      </w:r>
      <w:r w:rsidRPr="00441478">
        <w:rPr>
          <w:rFonts w:asciiTheme="majorBidi" w:hAnsiTheme="majorBidi"/>
          <w:sz w:val="26"/>
          <w:szCs w:val="26"/>
        </w:rPr>
        <w:t>suggested</w:t>
      </w:r>
      <w:r w:rsidR="007D276A" w:rsidRPr="00441478">
        <w:rPr>
          <w:rFonts w:asciiTheme="majorBidi" w:hAnsiTheme="majorBidi"/>
          <w:sz w:val="26"/>
          <w:szCs w:val="26"/>
        </w:rPr>
        <w:t xml:space="preserve">. </w:t>
      </w:r>
      <w:proofErr w:type="spellStart"/>
      <w:r w:rsidR="000E25BF" w:rsidRPr="00441478">
        <w:rPr>
          <w:rFonts w:asciiTheme="majorBidi" w:hAnsiTheme="majorBidi"/>
          <w:sz w:val="26"/>
          <w:szCs w:val="26"/>
        </w:rPr>
        <w:t>Dobre</w:t>
      </w:r>
      <w:proofErr w:type="spellEnd"/>
      <w:r w:rsidR="000E25BF" w:rsidRPr="00441478">
        <w:rPr>
          <w:rFonts w:asciiTheme="majorBidi" w:hAnsiTheme="majorBidi"/>
          <w:sz w:val="26"/>
          <w:szCs w:val="26"/>
        </w:rPr>
        <w:t xml:space="preserve"> et al.</w:t>
      </w:r>
      <w:r w:rsidR="00944F99" w:rsidRPr="00441478">
        <w:rPr>
          <w:rFonts w:asciiTheme="majorBidi" w:hAnsiTheme="majorBidi"/>
          <w:sz w:val="26"/>
          <w:szCs w:val="26"/>
        </w:rPr>
        <w:t xml:space="preserve"> (</w:t>
      </w:r>
      <w:r w:rsidR="000E25BF" w:rsidRPr="00441478">
        <w:rPr>
          <w:rFonts w:asciiTheme="majorBidi" w:hAnsiTheme="majorBidi"/>
          <w:sz w:val="26"/>
          <w:szCs w:val="26"/>
        </w:rPr>
        <w:t xml:space="preserve">2015) </w:t>
      </w:r>
      <w:r w:rsidR="00EB06F6" w:rsidRPr="00441478">
        <w:rPr>
          <w:rFonts w:asciiTheme="majorBidi" w:hAnsiTheme="majorBidi"/>
          <w:sz w:val="26"/>
          <w:szCs w:val="26"/>
        </w:rPr>
        <w:t xml:space="preserve">also </w:t>
      </w:r>
      <w:r w:rsidR="000E25BF" w:rsidRPr="00441478">
        <w:rPr>
          <w:rFonts w:asciiTheme="majorBidi" w:hAnsiTheme="majorBidi"/>
          <w:sz w:val="26"/>
          <w:szCs w:val="26"/>
        </w:rPr>
        <w:t>argue</w:t>
      </w:r>
      <w:r w:rsidR="00EB06F6" w:rsidRPr="00441478">
        <w:rPr>
          <w:rFonts w:asciiTheme="majorBidi" w:hAnsiTheme="majorBidi"/>
          <w:sz w:val="26"/>
          <w:szCs w:val="26"/>
        </w:rPr>
        <w:t>d</w:t>
      </w:r>
      <w:r w:rsidR="000E25BF" w:rsidRPr="00441478">
        <w:rPr>
          <w:rFonts w:asciiTheme="majorBidi" w:hAnsiTheme="majorBidi"/>
          <w:sz w:val="26"/>
          <w:szCs w:val="26"/>
        </w:rPr>
        <w:t xml:space="preserve"> that </w:t>
      </w:r>
      <w:r w:rsidR="00EB06F6" w:rsidRPr="00441478">
        <w:rPr>
          <w:rFonts w:asciiTheme="majorBidi" w:hAnsiTheme="majorBidi"/>
          <w:sz w:val="26"/>
          <w:szCs w:val="26"/>
        </w:rPr>
        <w:t>loss recognition timeliness</w:t>
      </w:r>
      <w:r w:rsidR="000E25BF" w:rsidRPr="00441478">
        <w:rPr>
          <w:rFonts w:asciiTheme="majorBidi" w:hAnsiTheme="majorBidi"/>
          <w:sz w:val="26"/>
          <w:szCs w:val="26"/>
        </w:rPr>
        <w:t xml:space="preserve"> give</w:t>
      </w:r>
      <w:r w:rsidR="007D3C6D">
        <w:rPr>
          <w:rFonts w:asciiTheme="majorBidi" w:hAnsiTheme="majorBidi"/>
          <w:sz w:val="26"/>
          <w:szCs w:val="26"/>
        </w:rPr>
        <w:t>s</w:t>
      </w:r>
      <w:r w:rsidR="000E25BF" w:rsidRPr="00441478">
        <w:rPr>
          <w:rFonts w:asciiTheme="majorBidi" w:hAnsiTheme="majorBidi"/>
          <w:sz w:val="26"/>
          <w:szCs w:val="26"/>
        </w:rPr>
        <w:t xml:space="preserve"> shareholders</w:t>
      </w:r>
      <w:r w:rsidR="00EB06F6" w:rsidRPr="00441478">
        <w:rPr>
          <w:rFonts w:asciiTheme="majorBidi" w:hAnsiTheme="majorBidi"/>
          <w:sz w:val="26"/>
          <w:szCs w:val="26"/>
        </w:rPr>
        <w:t>,</w:t>
      </w:r>
      <w:r w:rsidR="000E25BF" w:rsidRPr="00441478">
        <w:rPr>
          <w:rFonts w:asciiTheme="majorBidi" w:hAnsiTheme="majorBidi"/>
          <w:sz w:val="26"/>
          <w:szCs w:val="26"/>
        </w:rPr>
        <w:t xml:space="preserve"> including foreign investors</w:t>
      </w:r>
      <w:r w:rsidR="00EB06F6" w:rsidRPr="00441478">
        <w:rPr>
          <w:rFonts w:asciiTheme="majorBidi" w:hAnsiTheme="majorBidi"/>
          <w:sz w:val="26"/>
          <w:szCs w:val="26"/>
        </w:rPr>
        <w:t>,</w:t>
      </w:r>
      <w:r w:rsidR="000E25BF" w:rsidRPr="00441478">
        <w:rPr>
          <w:rFonts w:asciiTheme="majorBidi" w:hAnsiTheme="majorBidi"/>
          <w:sz w:val="26"/>
          <w:szCs w:val="26"/>
        </w:rPr>
        <w:t xml:space="preserve"> more confidence about financial reporting in the market</w:t>
      </w:r>
      <w:r w:rsidR="00C671D4" w:rsidRPr="00441478">
        <w:rPr>
          <w:rFonts w:asciiTheme="majorBidi" w:hAnsiTheme="majorBidi"/>
          <w:sz w:val="26"/>
          <w:szCs w:val="26"/>
        </w:rPr>
        <w:t xml:space="preserve"> </w:t>
      </w:r>
      <w:r w:rsidR="000E25BF" w:rsidRPr="00441478">
        <w:rPr>
          <w:rFonts w:asciiTheme="majorBidi" w:hAnsiTheme="majorBidi"/>
          <w:sz w:val="26"/>
          <w:szCs w:val="26"/>
        </w:rPr>
        <w:t xml:space="preserve">because timely loss recognition </w:t>
      </w:r>
      <w:r w:rsidR="00C671D4" w:rsidRPr="00441478">
        <w:rPr>
          <w:rFonts w:asciiTheme="majorBidi" w:hAnsiTheme="majorBidi"/>
          <w:sz w:val="26"/>
          <w:szCs w:val="26"/>
        </w:rPr>
        <w:t>means</w:t>
      </w:r>
      <w:r w:rsidR="000E25BF" w:rsidRPr="00441478">
        <w:rPr>
          <w:rFonts w:asciiTheme="majorBidi" w:hAnsiTheme="majorBidi"/>
          <w:sz w:val="26"/>
          <w:szCs w:val="26"/>
        </w:rPr>
        <w:t xml:space="preserve"> the </w:t>
      </w:r>
      <w:r w:rsidR="00C671D4" w:rsidRPr="00441478">
        <w:rPr>
          <w:rFonts w:asciiTheme="majorBidi" w:hAnsiTheme="majorBidi"/>
          <w:sz w:val="26"/>
          <w:szCs w:val="26"/>
        </w:rPr>
        <w:t>size</w:t>
      </w:r>
      <w:r w:rsidR="000E25BF" w:rsidRPr="00441478">
        <w:rPr>
          <w:rFonts w:asciiTheme="majorBidi" w:hAnsiTheme="majorBidi"/>
          <w:sz w:val="26"/>
          <w:szCs w:val="26"/>
        </w:rPr>
        <w:t xml:space="preserve"> of earnings management </w:t>
      </w:r>
      <w:r w:rsidR="00C671D4" w:rsidRPr="00441478">
        <w:rPr>
          <w:rFonts w:asciiTheme="majorBidi" w:hAnsiTheme="majorBidi"/>
          <w:sz w:val="26"/>
          <w:szCs w:val="26"/>
        </w:rPr>
        <w:t>done by the man</w:t>
      </w:r>
      <w:r w:rsidR="00EB06F6" w:rsidRPr="00441478">
        <w:rPr>
          <w:rFonts w:asciiTheme="majorBidi" w:hAnsiTheme="majorBidi"/>
          <w:sz w:val="26"/>
          <w:szCs w:val="26"/>
        </w:rPr>
        <w:t>a</w:t>
      </w:r>
      <w:r w:rsidR="00C671D4" w:rsidRPr="00441478">
        <w:rPr>
          <w:rFonts w:asciiTheme="majorBidi" w:hAnsiTheme="majorBidi"/>
          <w:sz w:val="26"/>
          <w:szCs w:val="26"/>
        </w:rPr>
        <w:t xml:space="preserve">gers </w:t>
      </w:r>
      <w:r w:rsidR="00EB06F6" w:rsidRPr="00441478">
        <w:rPr>
          <w:rFonts w:asciiTheme="majorBidi" w:hAnsiTheme="majorBidi"/>
          <w:sz w:val="26"/>
          <w:szCs w:val="26"/>
        </w:rPr>
        <w:t xml:space="preserve">can </w:t>
      </w:r>
      <w:r w:rsidR="000E25BF" w:rsidRPr="00441478">
        <w:rPr>
          <w:rFonts w:asciiTheme="majorBidi" w:hAnsiTheme="majorBidi"/>
          <w:sz w:val="26"/>
          <w:szCs w:val="26"/>
        </w:rPr>
        <w:t>be mitigated</w:t>
      </w:r>
      <w:r w:rsidR="007424FA" w:rsidRPr="00441478">
        <w:rPr>
          <w:rFonts w:asciiTheme="majorBidi" w:hAnsiTheme="majorBidi"/>
          <w:sz w:val="26"/>
          <w:szCs w:val="26"/>
        </w:rPr>
        <w:t xml:space="preserve">. </w:t>
      </w:r>
      <w:proofErr w:type="spellStart"/>
      <w:r w:rsidR="007424FA" w:rsidRPr="00441478">
        <w:rPr>
          <w:rFonts w:asciiTheme="majorBidi" w:hAnsiTheme="majorBidi"/>
          <w:sz w:val="26"/>
          <w:szCs w:val="26"/>
        </w:rPr>
        <w:t>Dechow</w:t>
      </w:r>
      <w:proofErr w:type="spellEnd"/>
      <w:r w:rsidR="007424FA" w:rsidRPr="00441478">
        <w:rPr>
          <w:rFonts w:asciiTheme="majorBidi" w:hAnsiTheme="majorBidi"/>
          <w:sz w:val="26"/>
          <w:szCs w:val="26"/>
        </w:rPr>
        <w:t xml:space="preserve"> et al.</w:t>
      </w:r>
      <w:r w:rsidR="00944F99" w:rsidRPr="00441478">
        <w:rPr>
          <w:rFonts w:asciiTheme="majorBidi" w:hAnsiTheme="majorBidi"/>
          <w:sz w:val="26"/>
          <w:szCs w:val="26"/>
        </w:rPr>
        <w:t xml:space="preserve"> (</w:t>
      </w:r>
      <w:r w:rsidR="007424FA" w:rsidRPr="00441478">
        <w:rPr>
          <w:rFonts w:asciiTheme="majorBidi" w:hAnsiTheme="majorBidi"/>
          <w:sz w:val="26"/>
          <w:szCs w:val="26"/>
        </w:rPr>
        <w:t xml:space="preserve">2010) pointed out that </w:t>
      </w:r>
      <w:r w:rsidRPr="00441478">
        <w:rPr>
          <w:rFonts w:asciiTheme="majorBidi" w:hAnsiTheme="majorBidi" w:cstheme="majorBidi"/>
          <w:sz w:val="26"/>
          <w:szCs w:val="26"/>
        </w:rPr>
        <w:t>the investors and financial analysts</w:t>
      </w:r>
      <w:r w:rsidRPr="00441478">
        <w:rPr>
          <w:rFonts w:asciiTheme="majorBidi" w:hAnsiTheme="majorBidi"/>
          <w:sz w:val="26"/>
          <w:szCs w:val="26"/>
        </w:rPr>
        <w:t xml:space="preserve"> require</w:t>
      </w:r>
      <w:r>
        <w:rPr>
          <w:rFonts w:asciiTheme="majorBidi" w:hAnsiTheme="majorBidi"/>
          <w:sz w:val="26"/>
          <w:szCs w:val="26"/>
        </w:rPr>
        <w:t xml:space="preserve"> </w:t>
      </w:r>
      <w:r w:rsidR="00EB06F6" w:rsidRPr="00441478">
        <w:rPr>
          <w:rFonts w:asciiTheme="majorBidi" w:hAnsiTheme="majorBidi"/>
          <w:sz w:val="26"/>
          <w:szCs w:val="26"/>
        </w:rPr>
        <w:t xml:space="preserve">loss </w:t>
      </w:r>
      <w:r w:rsidR="007424FA" w:rsidRPr="00441478">
        <w:rPr>
          <w:rFonts w:asciiTheme="majorBidi" w:hAnsiTheme="majorBidi"/>
          <w:sz w:val="26"/>
          <w:szCs w:val="26"/>
        </w:rPr>
        <w:t xml:space="preserve">recognition </w:t>
      </w:r>
      <w:r w:rsidR="00EB06F6" w:rsidRPr="00441478">
        <w:rPr>
          <w:rFonts w:asciiTheme="majorBidi" w:hAnsiTheme="majorBidi"/>
          <w:sz w:val="26"/>
          <w:szCs w:val="26"/>
        </w:rPr>
        <w:t>timeliness</w:t>
      </w:r>
      <w:r w:rsidR="007424FA" w:rsidRPr="00441478">
        <w:rPr>
          <w:rFonts w:asciiTheme="majorBidi" w:hAnsiTheme="majorBidi"/>
          <w:sz w:val="26"/>
          <w:szCs w:val="26"/>
        </w:rPr>
        <w:t xml:space="preserve"> is to curb the management’s </w:t>
      </w:r>
      <w:r w:rsidR="007424FA" w:rsidRPr="00441478">
        <w:rPr>
          <w:rFonts w:asciiTheme="majorBidi" w:hAnsiTheme="majorBidi"/>
          <w:sz w:val="26"/>
          <w:szCs w:val="26"/>
        </w:rPr>
        <w:lastRenderedPageBreak/>
        <w:t xml:space="preserve">natural optimism. </w:t>
      </w:r>
      <w:r w:rsidR="00720DA7">
        <w:rPr>
          <w:rFonts w:asciiTheme="majorBidi" w:hAnsiTheme="majorBidi"/>
          <w:sz w:val="26"/>
          <w:szCs w:val="26"/>
        </w:rPr>
        <w:t>I</w:t>
      </w:r>
      <w:r w:rsidR="006F15D5">
        <w:rPr>
          <w:rFonts w:asciiTheme="majorBidi" w:hAnsiTheme="majorBidi"/>
          <w:sz w:val="26"/>
          <w:szCs w:val="26"/>
        </w:rPr>
        <w:t xml:space="preserve"> expect</w:t>
      </w:r>
      <w:r w:rsidR="007424FA" w:rsidRPr="00441478">
        <w:rPr>
          <w:rFonts w:asciiTheme="majorBidi" w:hAnsiTheme="majorBidi"/>
          <w:sz w:val="26"/>
          <w:szCs w:val="26"/>
        </w:rPr>
        <w:t xml:space="preserve"> that using loss recognition </w:t>
      </w:r>
      <w:r w:rsidR="00EB06F6" w:rsidRPr="00441478">
        <w:rPr>
          <w:rFonts w:asciiTheme="majorBidi" w:hAnsiTheme="majorBidi"/>
          <w:sz w:val="26"/>
          <w:szCs w:val="26"/>
        </w:rPr>
        <w:t xml:space="preserve">timeliness </w:t>
      </w:r>
      <w:r w:rsidR="007424FA" w:rsidRPr="00441478">
        <w:rPr>
          <w:rFonts w:asciiTheme="majorBidi" w:hAnsiTheme="majorBidi"/>
          <w:sz w:val="26"/>
          <w:szCs w:val="26"/>
        </w:rPr>
        <w:t xml:space="preserve">as an indicator </w:t>
      </w:r>
      <w:r w:rsidR="00A5198B" w:rsidRPr="00441478">
        <w:rPr>
          <w:rFonts w:asciiTheme="majorBidi" w:hAnsiTheme="majorBidi"/>
          <w:sz w:val="26"/>
          <w:szCs w:val="26"/>
        </w:rPr>
        <w:t>of</w:t>
      </w:r>
      <w:r w:rsidR="007424FA" w:rsidRPr="00441478">
        <w:rPr>
          <w:rFonts w:asciiTheme="majorBidi" w:hAnsiTheme="majorBidi"/>
          <w:sz w:val="26"/>
          <w:szCs w:val="26"/>
        </w:rPr>
        <w:t xml:space="preserve"> </w:t>
      </w:r>
      <w:r w:rsidR="006B1C85" w:rsidRPr="00441478">
        <w:rPr>
          <w:rFonts w:asciiTheme="majorBidi" w:hAnsiTheme="majorBidi"/>
          <w:sz w:val="26"/>
          <w:szCs w:val="26"/>
        </w:rPr>
        <w:t>EQ</w:t>
      </w:r>
      <w:r w:rsidR="007424FA" w:rsidRPr="00441478">
        <w:rPr>
          <w:rFonts w:asciiTheme="majorBidi" w:hAnsiTheme="majorBidi"/>
          <w:sz w:val="26"/>
          <w:szCs w:val="26"/>
        </w:rPr>
        <w:t xml:space="preserve"> in GCC markets will </w:t>
      </w:r>
      <w:r w:rsidR="00A5198B" w:rsidRPr="00441478">
        <w:rPr>
          <w:rFonts w:asciiTheme="majorBidi" w:hAnsiTheme="majorBidi"/>
          <w:sz w:val="26"/>
          <w:szCs w:val="26"/>
        </w:rPr>
        <w:t>attract more</w:t>
      </w:r>
      <w:r w:rsidR="007424FA" w:rsidRPr="00441478">
        <w:rPr>
          <w:rFonts w:asciiTheme="majorBidi" w:hAnsiTheme="majorBidi"/>
          <w:sz w:val="26"/>
          <w:szCs w:val="26"/>
        </w:rPr>
        <w:t xml:space="preserve"> foreign investors</w:t>
      </w:r>
      <w:r w:rsidR="00A5198B" w:rsidRPr="00441478">
        <w:rPr>
          <w:rFonts w:asciiTheme="majorBidi" w:hAnsiTheme="majorBidi"/>
          <w:sz w:val="26"/>
          <w:szCs w:val="26"/>
        </w:rPr>
        <w:t>.</w:t>
      </w:r>
    </w:p>
    <w:p w14:paraId="61C66822" w14:textId="5B461AC2" w:rsidR="00A5198B" w:rsidRPr="00441478" w:rsidRDefault="007424FA" w:rsidP="00441478">
      <w:pPr>
        <w:autoSpaceDE w:val="0"/>
        <w:autoSpaceDN w:val="0"/>
        <w:adjustRightInd w:val="0"/>
        <w:snapToGrid w:val="0"/>
        <w:spacing w:after="0" w:line="360" w:lineRule="exact"/>
        <w:jc w:val="both"/>
        <w:rPr>
          <w:rFonts w:asciiTheme="majorBidi" w:hAnsiTheme="majorBidi"/>
          <w:b/>
          <w:sz w:val="26"/>
          <w:szCs w:val="26"/>
        </w:rPr>
      </w:pPr>
      <w:r w:rsidRPr="00441478">
        <w:rPr>
          <w:rFonts w:asciiTheme="majorBidi" w:hAnsiTheme="majorBidi"/>
          <w:b/>
          <w:sz w:val="26"/>
          <w:szCs w:val="26"/>
        </w:rPr>
        <w:t xml:space="preserve"> </w:t>
      </w:r>
      <w:r w:rsidR="00E67A4B" w:rsidRPr="00441478">
        <w:rPr>
          <w:rFonts w:asciiTheme="majorBidi" w:hAnsiTheme="majorBidi"/>
          <w:b/>
          <w:sz w:val="26"/>
          <w:szCs w:val="26"/>
        </w:rPr>
        <w:t>H7</w:t>
      </w:r>
      <w:r w:rsidR="00A5198B" w:rsidRPr="00441478">
        <w:rPr>
          <w:rFonts w:asciiTheme="majorBidi" w:hAnsiTheme="majorBidi"/>
          <w:b/>
          <w:sz w:val="26"/>
          <w:szCs w:val="26"/>
        </w:rPr>
        <w:t xml:space="preserve">: </w:t>
      </w:r>
      <w:r w:rsidR="00EB06F6" w:rsidRPr="00441478">
        <w:rPr>
          <w:rFonts w:asciiTheme="majorBidi" w:hAnsiTheme="majorBidi"/>
          <w:b/>
          <w:sz w:val="26"/>
          <w:szCs w:val="26"/>
        </w:rPr>
        <w:t>L</w:t>
      </w:r>
      <w:r w:rsidR="00A5198B" w:rsidRPr="00441478">
        <w:rPr>
          <w:rFonts w:asciiTheme="majorBidi" w:hAnsiTheme="majorBidi"/>
          <w:b/>
          <w:sz w:val="26"/>
          <w:szCs w:val="26"/>
        </w:rPr>
        <w:t xml:space="preserve">oss recognition </w:t>
      </w:r>
      <w:r w:rsidR="00EB06F6" w:rsidRPr="00441478">
        <w:rPr>
          <w:rFonts w:asciiTheme="majorBidi" w:hAnsiTheme="majorBidi"/>
          <w:b/>
          <w:sz w:val="26"/>
          <w:szCs w:val="26"/>
        </w:rPr>
        <w:t xml:space="preserve">timeliness </w:t>
      </w:r>
      <w:r w:rsidR="00A5198B" w:rsidRPr="00441478">
        <w:rPr>
          <w:rFonts w:asciiTheme="majorBidi" w:hAnsiTheme="majorBidi"/>
          <w:b/>
          <w:sz w:val="26"/>
          <w:szCs w:val="26"/>
        </w:rPr>
        <w:t>attract</w:t>
      </w:r>
      <w:r w:rsidR="00EB06F6" w:rsidRPr="00441478">
        <w:rPr>
          <w:rFonts w:asciiTheme="majorBidi" w:hAnsiTheme="majorBidi"/>
          <w:b/>
          <w:sz w:val="26"/>
          <w:szCs w:val="26"/>
        </w:rPr>
        <w:t>s</w:t>
      </w:r>
      <w:r w:rsidR="00A5198B" w:rsidRPr="00441478">
        <w:rPr>
          <w:rFonts w:asciiTheme="majorBidi" w:hAnsiTheme="majorBidi"/>
          <w:b/>
          <w:sz w:val="26"/>
          <w:szCs w:val="26"/>
        </w:rPr>
        <w:t xml:space="preserve"> foreign ownershi</w:t>
      </w:r>
      <w:r w:rsidR="005B7E23" w:rsidRPr="00441478">
        <w:rPr>
          <w:rFonts w:asciiTheme="majorBidi" w:hAnsiTheme="majorBidi"/>
          <w:b/>
          <w:sz w:val="26"/>
          <w:szCs w:val="26"/>
        </w:rPr>
        <w:t>p.</w:t>
      </w:r>
      <w:r w:rsidR="00944F99" w:rsidRPr="00441478">
        <w:rPr>
          <w:rFonts w:asciiTheme="majorBidi" w:hAnsiTheme="majorBidi"/>
          <w:b/>
          <w:sz w:val="26"/>
          <w:szCs w:val="26"/>
        </w:rPr>
        <w:t xml:space="preserve"> </w:t>
      </w:r>
      <w:r w:rsidR="00A5198B" w:rsidRPr="00441478">
        <w:rPr>
          <w:rFonts w:asciiTheme="majorBidi" w:hAnsiTheme="majorBidi"/>
          <w:b/>
          <w:sz w:val="26"/>
          <w:szCs w:val="26"/>
        </w:rPr>
        <w:t xml:space="preserve"> </w:t>
      </w:r>
    </w:p>
    <w:p w14:paraId="1395D877" w14:textId="77777777" w:rsidR="00281A99" w:rsidRPr="00441478" w:rsidRDefault="00281A99" w:rsidP="00441478">
      <w:pPr>
        <w:snapToGrid w:val="0"/>
        <w:spacing w:after="0" w:line="360" w:lineRule="exact"/>
        <w:jc w:val="both"/>
        <w:rPr>
          <w:rFonts w:asciiTheme="majorBidi" w:hAnsiTheme="majorBidi"/>
          <w:sz w:val="26"/>
          <w:szCs w:val="26"/>
        </w:rPr>
      </w:pPr>
    </w:p>
    <w:p w14:paraId="769E0739" w14:textId="77777777" w:rsidR="006C14B9" w:rsidRPr="00541754" w:rsidRDefault="00A20B1E" w:rsidP="00541754">
      <w:pPr>
        <w:snapToGrid w:val="0"/>
        <w:spacing w:after="0" w:line="360" w:lineRule="exact"/>
        <w:jc w:val="both"/>
        <w:rPr>
          <w:rFonts w:asciiTheme="majorBidi" w:hAnsiTheme="majorBidi"/>
          <w:b/>
          <w:sz w:val="26"/>
          <w:szCs w:val="26"/>
        </w:rPr>
      </w:pPr>
      <w:r w:rsidRPr="00541754">
        <w:rPr>
          <w:rFonts w:asciiTheme="majorBidi" w:hAnsiTheme="majorBidi"/>
          <w:b/>
          <w:sz w:val="26"/>
          <w:szCs w:val="26"/>
        </w:rPr>
        <w:t>Conservatism</w:t>
      </w:r>
    </w:p>
    <w:p w14:paraId="2788062D" w14:textId="1BFE613D" w:rsidR="00FB0828" w:rsidRPr="00441478" w:rsidRDefault="003D5371" w:rsidP="00441478">
      <w:pPr>
        <w:autoSpaceDE w:val="0"/>
        <w:autoSpaceDN w:val="0"/>
        <w:adjustRightInd w:val="0"/>
        <w:snapToGrid w:val="0"/>
        <w:spacing w:after="0" w:line="360" w:lineRule="exact"/>
        <w:ind w:firstLine="510"/>
        <w:jc w:val="both"/>
        <w:rPr>
          <w:rFonts w:asciiTheme="majorBidi" w:hAnsiTheme="majorBidi"/>
          <w:sz w:val="26"/>
          <w:szCs w:val="26"/>
        </w:rPr>
      </w:pPr>
      <w:proofErr w:type="spellStart"/>
      <w:r w:rsidRPr="00441478">
        <w:rPr>
          <w:rFonts w:asciiTheme="majorBidi" w:hAnsiTheme="majorBidi"/>
          <w:sz w:val="26"/>
          <w:szCs w:val="26"/>
        </w:rPr>
        <w:t>Basu</w:t>
      </w:r>
      <w:proofErr w:type="spellEnd"/>
      <w:r w:rsidRPr="00441478">
        <w:rPr>
          <w:rFonts w:asciiTheme="majorBidi" w:hAnsiTheme="majorBidi"/>
          <w:sz w:val="26"/>
          <w:szCs w:val="26"/>
        </w:rPr>
        <w:t xml:space="preserve"> (1997, </w:t>
      </w:r>
      <w:r w:rsidR="00944F99" w:rsidRPr="00441478">
        <w:rPr>
          <w:rFonts w:asciiTheme="majorBidi" w:hAnsiTheme="majorBidi"/>
          <w:sz w:val="26"/>
          <w:szCs w:val="26"/>
        </w:rPr>
        <w:t>p.</w:t>
      </w:r>
      <w:r w:rsidR="00EB7C77" w:rsidRPr="00441478">
        <w:rPr>
          <w:rFonts w:asciiTheme="majorBidi" w:hAnsiTheme="majorBidi"/>
          <w:sz w:val="26"/>
          <w:szCs w:val="26"/>
        </w:rPr>
        <w:t>4</w:t>
      </w:r>
      <w:r w:rsidRPr="00441478">
        <w:rPr>
          <w:rFonts w:asciiTheme="majorBidi" w:hAnsiTheme="majorBidi"/>
          <w:sz w:val="26"/>
          <w:szCs w:val="26"/>
        </w:rPr>
        <w:t xml:space="preserve">) defined accounting conservatism as </w:t>
      </w:r>
      <w:r w:rsidR="005742BC" w:rsidRPr="00441478">
        <w:rPr>
          <w:rFonts w:asciiTheme="majorBidi" w:hAnsiTheme="majorBidi"/>
          <w:sz w:val="26"/>
          <w:szCs w:val="26"/>
        </w:rPr>
        <w:t>‘</w:t>
      </w:r>
      <w:r w:rsidRPr="00441478">
        <w:rPr>
          <w:rFonts w:asciiTheme="majorBidi" w:hAnsiTheme="majorBidi"/>
          <w:sz w:val="26"/>
          <w:szCs w:val="26"/>
        </w:rPr>
        <w:t>the qui</w:t>
      </w:r>
      <w:r w:rsidR="00C22B1D" w:rsidRPr="00441478">
        <w:rPr>
          <w:rFonts w:asciiTheme="majorBidi" w:hAnsiTheme="majorBidi"/>
          <w:sz w:val="26"/>
          <w:szCs w:val="26"/>
        </w:rPr>
        <w:t xml:space="preserve">cker recognition of bad news in </w:t>
      </w:r>
      <w:r w:rsidRPr="00441478">
        <w:rPr>
          <w:rFonts w:asciiTheme="majorBidi" w:hAnsiTheme="majorBidi"/>
          <w:sz w:val="26"/>
          <w:szCs w:val="26"/>
        </w:rPr>
        <w:t>earnings than good news</w:t>
      </w:r>
      <w:r w:rsidR="00EB06F6" w:rsidRPr="00441478">
        <w:rPr>
          <w:rFonts w:asciiTheme="majorBidi" w:hAnsiTheme="majorBidi"/>
          <w:sz w:val="26"/>
          <w:szCs w:val="26"/>
        </w:rPr>
        <w:t>’</w:t>
      </w:r>
      <w:r w:rsidRPr="00441478">
        <w:rPr>
          <w:rFonts w:asciiTheme="majorBidi" w:hAnsiTheme="majorBidi"/>
          <w:sz w:val="26"/>
          <w:szCs w:val="26"/>
        </w:rPr>
        <w:t xml:space="preserve"> and </w:t>
      </w:r>
      <w:r w:rsidR="00EB06F6" w:rsidRPr="00441478">
        <w:rPr>
          <w:rFonts w:asciiTheme="majorBidi" w:hAnsiTheme="majorBidi"/>
          <w:sz w:val="26"/>
          <w:szCs w:val="26"/>
        </w:rPr>
        <w:t xml:space="preserve">devised </w:t>
      </w:r>
      <w:r w:rsidRPr="00441478">
        <w:rPr>
          <w:rFonts w:asciiTheme="majorBidi" w:hAnsiTheme="majorBidi"/>
          <w:sz w:val="26"/>
          <w:szCs w:val="26"/>
        </w:rPr>
        <w:t>several tests</w:t>
      </w:r>
      <w:r w:rsidR="00C22B1D" w:rsidRPr="00441478">
        <w:rPr>
          <w:rFonts w:asciiTheme="majorBidi" w:hAnsiTheme="majorBidi"/>
          <w:sz w:val="26"/>
          <w:szCs w:val="26"/>
        </w:rPr>
        <w:t xml:space="preserve">. Most of the studies in this area used </w:t>
      </w:r>
      <w:r w:rsidR="00EB06F6" w:rsidRPr="00441478">
        <w:rPr>
          <w:rFonts w:asciiTheme="majorBidi" w:hAnsiTheme="majorBidi"/>
          <w:sz w:val="26"/>
          <w:szCs w:val="26"/>
        </w:rPr>
        <w:t xml:space="preserve">the </w:t>
      </w:r>
      <w:r w:rsidR="00C22B1D" w:rsidRPr="00441478">
        <w:rPr>
          <w:rFonts w:asciiTheme="majorBidi" w:hAnsiTheme="majorBidi"/>
          <w:sz w:val="26"/>
          <w:szCs w:val="26"/>
        </w:rPr>
        <w:t xml:space="preserve">same definition as </w:t>
      </w:r>
      <w:proofErr w:type="spellStart"/>
      <w:r w:rsidR="00C22B1D" w:rsidRPr="00441478">
        <w:rPr>
          <w:rFonts w:asciiTheme="majorBidi" w:hAnsiTheme="majorBidi"/>
          <w:sz w:val="26"/>
          <w:szCs w:val="26"/>
        </w:rPr>
        <w:t>Basu</w:t>
      </w:r>
      <w:proofErr w:type="spellEnd"/>
      <w:r w:rsidR="00C22B1D" w:rsidRPr="00441478">
        <w:rPr>
          <w:rFonts w:asciiTheme="majorBidi" w:hAnsiTheme="majorBidi"/>
          <w:sz w:val="26"/>
          <w:szCs w:val="26"/>
        </w:rPr>
        <w:t xml:space="preserve"> (1997)</w:t>
      </w:r>
      <w:r w:rsidR="00EB06F6" w:rsidRPr="00441478">
        <w:rPr>
          <w:rFonts w:asciiTheme="majorBidi" w:hAnsiTheme="majorBidi"/>
          <w:sz w:val="26"/>
          <w:szCs w:val="26"/>
        </w:rPr>
        <w:t>,</w:t>
      </w:r>
      <w:r w:rsidR="00C22B1D" w:rsidRPr="00441478">
        <w:rPr>
          <w:rFonts w:asciiTheme="majorBidi" w:hAnsiTheme="majorBidi"/>
          <w:sz w:val="26"/>
          <w:szCs w:val="26"/>
        </w:rPr>
        <w:t xml:space="preserve"> </w:t>
      </w:r>
      <w:r w:rsidR="00D60048" w:rsidRPr="00441478">
        <w:rPr>
          <w:rFonts w:asciiTheme="majorBidi" w:hAnsiTheme="majorBidi"/>
          <w:sz w:val="26"/>
          <w:szCs w:val="26"/>
        </w:rPr>
        <w:t>but these</w:t>
      </w:r>
      <w:r w:rsidR="00C22B1D" w:rsidRPr="00441478">
        <w:rPr>
          <w:rFonts w:asciiTheme="majorBidi" w:hAnsiTheme="majorBidi"/>
          <w:sz w:val="26"/>
          <w:szCs w:val="26"/>
        </w:rPr>
        <w:t xml:space="preserve"> studies </w:t>
      </w:r>
      <w:r w:rsidR="00D60048" w:rsidRPr="00441478">
        <w:rPr>
          <w:rFonts w:asciiTheme="majorBidi" w:hAnsiTheme="majorBidi"/>
          <w:sz w:val="26"/>
          <w:szCs w:val="26"/>
        </w:rPr>
        <w:t xml:space="preserve">reached </w:t>
      </w:r>
      <w:r w:rsidR="00FB0828" w:rsidRPr="00441478">
        <w:rPr>
          <w:rFonts w:asciiTheme="majorBidi" w:hAnsiTheme="majorBidi"/>
          <w:sz w:val="26"/>
          <w:szCs w:val="26"/>
        </w:rPr>
        <w:t>mixed</w:t>
      </w:r>
      <w:r w:rsidR="00D60048" w:rsidRPr="00441478">
        <w:rPr>
          <w:rFonts w:asciiTheme="majorBidi" w:hAnsiTheme="majorBidi"/>
          <w:sz w:val="26"/>
          <w:szCs w:val="26"/>
        </w:rPr>
        <w:t xml:space="preserve"> results about the association between</w:t>
      </w:r>
      <w:r w:rsidR="00C22B1D" w:rsidRPr="00441478">
        <w:rPr>
          <w:rFonts w:asciiTheme="majorBidi" w:hAnsiTheme="majorBidi"/>
          <w:sz w:val="26"/>
          <w:szCs w:val="26"/>
        </w:rPr>
        <w:t xml:space="preserve"> </w:t>
      </w:r>
      <w:r w:rsidR="006B1C85" w:rsidRPr="00441478">
        <w:rPr>
          <w:rFonts w:asciiTheme="majorBidi" w:hAnsiTheme="majorBidi"/>
          <w:sz w:val="26"/>
          <w:szCs w:val="26"/>
        </w:rPr>
        <w:t>EQ</w:t>
      </w:r>
      <w:r w:rsidR="00C22B1D" w:rsidRPr="00441478">
        <w:rPr>
          <w:rFonts w:asciiTheme="majorBidi" w:hAnsiTheme="majorBidi"/>
          <w:sz w:val="26"/>
          <w:szCs w:val="26"/>
        </w:rPr>
        <w:t xml:space="preserve"> </w:t>
      </w:r>
      <w:r w:rsidR="00D60048" w:rsidRPr="00441478">
        <w:rPr>
          <w:rFonts w:asciiTheme="majorBidi" w:hAnsiTheme="majorBidi"/>
          <w:sz w:val="26"/>
          <w:szCs w:val="26"/>
        </w:rPr>
        <w:t>and</w:t>
      </w:r>
      <w:r w:rsidR="00C22B1D" w:rsidRPr="00441478">
        <w:rPr>
          <w:rFonts w:asciiTheme="majorBidi" w:hAnsiTheme="majorBidi"/>
          <w:sz w:val="26"/>
          <w:szCs w:val="26"/>
        </w:rPr>
        <w:t xml:space="preserve"> conservatism.</w:t>
      </w:r>
      <w:r w:rsidR="00D60048" w:rsidRPr="00441478">
        <w:rPr>
          <w:rFonts w:asciiTheme="majorBidi" w:hAnsiTheme="majorBidi"/>
          <w:sz w:val="26"/>
          <w:szCs w:val="26"/>
        </w:rPr>
        <w:t xml:space="preserve"> </w:t>
      </w:r>
    </w:p>
    <w:p w14:paraId="2861B88D" w14:textId="3164D4B9" w:rsidR="00FB0828" w:rsidRPr="00441478" w:rsidRDefault="00EB06F6" w:rsidP="00C8366C">
      <w:pPr>
        <w:snapToGrid w:val="0"/>
        <w:spacing w:after="0" w:line="360" w:lineRule="exact"/>
        <w:ind w:firstLine="510"/>
        <w:jc w:val="both"/>
        <w:rPr>
          <w:rFonts w:asciiTheme="majorBidi" w:hAnsiTheme="majorBidi"/>
          <w:sz w:val="26"/>
          <w:szCs w:val="26"/>
        </w:rPr>
      </w:pPr>
      <w:r w:rsidRPr="00441478">
        <w:rPr>
          <w:rFonts w:asciiTheme="majorBidi" w:hAnsiTheme="majorBidi"/>
          <w:sz w:val="26"/>
          <w:szCs w:val="26"/>
        </w:rPr>
        <w:t>S</w:t>
      </w:r>
      <w:r w:rsidR="00FB0828" w:rsidRPr="00441478">
        <w:rPr>
          <w:rFonts w:asciiTheme="majorBidi" w:hAnsiTheme="majorBidi"/>
          <w:sz w:val="26"/>
          <w:szCs w:val="26"/>
        </w:rPr>
        <w:t xml:space="preserve">trong evidence </w:t>
      </w:r>
      <w:r w:rsidRPr="00441478">
        <w:rPr>
          <w:rFonts w:asciiTheme="majorBidi" w:hAnsiTheme="majorBidi"/>
          <w:sz w:val="26"/>
          <w:szCs w:val="26"/>
        </w:rPr>
        <w:t xml:space="preserve">suggests </w:t>
      </w:r>
      <w:r w:rsidR="00FB0828" w:rsidRPr="00441478">
        <w:rPr>
          <w:rFonts w:asciiTheme="majorBidi" w:hAnsiTheme="majorBidi"/>
          <w:sz w:val="26"/>
          <w:szCs w:val="26"/>
        </w:rPr>
        <w:t xml:space="preserve">that accounting conservatism </w:t>
      </w:r>
      <w:r w:rsidRPr="00441478">
        <w:rPr>
          <w:rFonts w:asciiTheme="majorBidi" w:hAnsiTheme="majorBidi"/>
          <w:sz w:val="26"/>
          <w:szCs w:val="26"/>
        </w:rPr>
        <w:t xml:space="preserve">has a </w:t>
      </w:r>
      <w:r w:rsidR="00FB0828" w:rsidRPr="00441478">
        <w:rPr>
          <w:rFonts w:asciiTheme="majorBidi" w:hAnsiTheme="majorBidi"/>
          <w:sz w:val="26"/>
          <w:szCs w:val="26"/>
        </w:rPr>
        <w:t xml:space="preserve">positive effect on </w:t>
      </w:r>
      <w:r w:rsidR="006B1C85" w:rsidRPr="00441478">
        <w:rPr>
          <w:rFonts w:asciiTheme="majorBidi" w:hAnsiTheme="majorBidi"/>
          <w:sz w:val="26"/>
          <w:szCs w:val="26"/>
        </w:rPr>
        <w:t>EQ</w:t>
      </w:r>
      <w:r w:rsidR="00FB0828" w:rsidRPr="00441478">
        <w:rPr>
          <w:rFonts w:asciiTheme="majorBidi" w:hAnsiTheme="majorBidi"/>
          <w:sz w:val="26"/>
          <w:szCs w:val="26"/>
        </w:rPr>
        <w:t>. Watts (</w:t>
      </w:r>
      <w:r w:rsidR="00FB0828" w:rsidRPr="00441478">
        <w:rPr>
          <w:rFonts w:asciiTheme="majorBidi" w:hAnsiTheme="majorBidi" w:cstheme="majorBidi"/>
          <w:sz w:val="26"/>
          <w:szCs w:val="26"/>
        </w:rPr>
        <w:t>2003</w:t>
      </w:r>
      <w:r w:rsidR="009B35EB" w:rsidRPr="00441478">
        <w:rPr>
          <w:rFonts w:asciiTheme="majorBidi" w:hAnsiTheme="majorBidi" w:cstheme="majorBidi"/>
          <w:sz w:val="26"/>
          <w:szCs w:val="26"/>
        </w:rPr>
        <w:t>a</w:t>
      </w:r>
      <w:r w:rsidR="00FB0828" w:rsidRPr="00441478">
        <w:rPr>
          <w:rFonts w:asciiTheme="majorBidi" w:hAnsiTheme="majorBidi"/>
          <w:sz w:val="26"/>
          <w:szCs w:val="26"/>
        </w:rPr>
        <w:t>), Kim et al.</w:t>
      </w:r>
      <w:r w:rsidR="00944F99" w:rsidRPr="00441478">
        <w:rPr>
          <w:rFonts w:asciiTheme="majorBidi" w:hAnsiTheme="majorBidi"/>
          <w:sz w:val="26"/>
          <w:szCs w:val="26"/>
        </w:rPr>
        <w:t xml:space="preserve"> (</w:t>
      </w:r>
      <w:r w:rsidR="00FB0828" w:rsidRPr="00441478">
        <w:rPr>
          <w:rFonts w:asciiTheme="majorBidi" w:hAnsiTheme="majorBidi"/>
          <w:sz w:val="26"/>
          <w:szCs w:val="26"/>
        </w:rPr>
        <w:t>2013)</w:t>
      </w:r>
      <w:r w:rsidR="007D3C6D">
        <w:rPr>
          <w:rFonts w:asciiTheme="majorBidi" w:hAnsiTheme="majorBidi"/>
          <w:sz w:val="26"/>
          <w:szCs w:val="26"/>
        </w:rPr>
        <w:t>,</w:t>
      </w:r>
      <w:r w:rsidR="00FB0828" w:rsidRPr="00441478">
        <w:rPr>
          <w:rFonts w:asciiTheme="majorBidi" w:hAnsiTheme="majorBidi"/>
          <w:sz w:val="26"/>
          <w:szCs w:val="26"/>
        </w:rPr>
        <w:t xml:space="preserve"> and Zhong </w:t>
      </w:r>
      <w:r w:rsidR="00523653">
        <w:rPr>
          <w:rFonts w:asciiTheme="majorBidi" w:hAnsiTheme="majorBidi"/>
          <w:sz w:val="26"/>
          <w:szCs w:val="26"/>
        </w:rPr>
        <w:t>and</w:t>
      </w:r>
      <w:r w:rsidR="00FB0828" w:rsidRPr="00441478">
        <w:rPr>
          <w:rFonts w:asciiTheme="majorBidi" w:hAnsiTheme="majorBidi"/>
          <w:sz w:val="26"/>
          <w:szCs w:val="26"/>
        </w:rPr>
        <w:t xml:space="preserve"> Li (2017) explore</w:t>
      </w:r>
      <w:r w:rsidRPr="00441478">
        <w:rPr>
          <w:rFonts w:asciiTheme="majorBidi" w:hAnsiTheme="majorBidi"/>
          <w:sz w:val="26"/>
          <w:szCs w:val="26"/>
        </w:rPr>
        <w:t>d</w:t>
      </w:r>
      <w:r w:rsidR="00FB0828" w:rsidRPr="00441478">
        <w:rPr>
          <w:rFonts w:asciiTheme="majorBidi" w:hAnsiTheme="majorBidi"/>
          <w:sz w:val="26"/>
          <w:szCs w:val="26"/>
        </w:rPr>
        <w:t xml:space="preserve"> the opportunistic </w:t>
      </w:r>
      <w:r w:rsidR="001602EF" w:rsidRPr="00441478">
        <w:rPr>
          <w:rFonts w:asciiTheme="majorBidi" w:hAnsiTheme="majorBidi"/>
          <w:sz w:val="26"/>
          <w:szCs w:val="26"/>
        </w:rPr>
        <w:t>behaviour</w:t>
      </w:r>
      <w:r w:rsidR="00FB0828" w:rsidRPr="00441478">
        <w:rPr>
          <w:rFonts w:asciiTheme="majorBidi" w:hAnsiTheme="majorBidi"/>
          <w:sz w:val="26"/>
          <w:szCs w:val="26"/>
        </w:rPr>
        <w:t xml:space="preserve"> of managers on accounting conservatism and EQs, and they </w:t>
      </w:r>
      <w:r w:rsidRPr="00441478">
        <w:rPr>
          <w:rFonts w:asciiTheme="majorBidi" w:hAnsiTheme="majorBidi"/>
          <w:sz w:val="26"/>
          <w:szCs w:val="26"/>
        </w:rPr>
        <w:t xml:space="preserve">found </w:t>
      </w:r>
      <w:r w:rsidR="00FB0828" w:rsidRPr="00441478">
        <w:rPr>
          <w:rFonts w:asciiTheme="majorBidi" w:hAnsiTheme="majorBidi"/>
          <w:sz w:val="26"/>
          <w:szCs w:val="26"/>
        </w:rPr>
        <w:t xml:space="preserve">a strong relationship between AC and EQ. </w:t>
      </w:r>
      <w:proofErr w:type="spellStart"/>
      <w:r w:rsidR="00FB0828" w:rsidRPr="00441478">
        <w:rPr>
          <w:rFonts w:asciiTheme="majorBidi" w:hAnsiTheme="majorBidi"/>
          <w:sz w:val="26"/>
          <w:szCs w:val="26"/>
        </w:rPr>
        <w:t>Shubita</w:t>
      </w:r>
      <w:proofErr w:type="spellEnd"/>
      <w:r w:rsidR="00FB0828" w:rsidRPr="00441478">
        <w:rPr>
          <w:rFonts w:asciiTheme="majorBidi" w:hAnsiTheme="majorBidi"/>
          <w:sz w:val="26"/>
          <w:szCs w:val="26"/>
        </w:rPr>
        <w:t xml:space="preserve"> (2015) conclude</w:t>
      </w:r>
      <w:r w:rsidRPr="00441478">
        <w:rPr>
          <w:rFonts w:asciiTheme="majorBidi" w:hAnsiTheme="majorBidi"/>
          <w:sz w:val="26"/>
          <w:szCs w:val="26"/>
        </w:rPr>
        <w:t>d</w:t>
      </w:r>
      <w:r w:rsidR="00FB0828" w:rsidRPr="00441478">
        <w:rPr>
          <w:rFonts w:asciiTheme="majorBidi" w:hAnsiTheme="majorBidi"/>
          <w:sz w:val="26"/>
          <w:szCs w:val="26"/>
        </w:rPr>
        <w:t xml:space="preserve"> that income smoothing improves EQ </w:t>
      </w:r>
      <w:r w:rsidRPr="00441478">
        <w:rPr>
          <w:rFonts w:asciiTheme="majorBidi" w:hAnsiTheme="majorBidi"/>
          <w:sz w:val="26"/>
          <w:szCs w:val="26"/>
        </w:rPr>
        <w:t xml:space="preserve">in </w:t>
      </w:r>
      <w:r w:rsidR="00FB0828" w:rsidRPr="00441478">
        <w:rPr>
          <w:rFonts w:asciiTheme="majorBidi" w:hAnsiTheme="majorBidi"/>
          <w:sz w:val="26"/>
          <w:szCs w:val="26"/>
        </w:rPr>
        <w:t xml:space="preserve">the GCC countries. With respect to the relationship between </w:t>
      </w:r>
      <w:r w:rsidR="006B1C85" w:rsidRPr="00441478">
        <w:rPr>
          <w:rFonts w:asciiTheme="majorBidi" w:hAnsiTheme="majorBidi"/>
          <w:sz w:val="26"/>
          <w:szCs w:val="26"/>
        </w:rPr>
        <w:t>EQ</w:t>
      </w:r>
      <w:r w:rsidR="00FB0828" w:rsidRPr="00441478">
        <w:rPr>
          <w:rFonts w:asciiTheme="majorBidi" w:hAnsiTheme="majorBidi"/>
          <w:sz w:val="26"/>
          <w:szCs w:val="26"/>
        </w:rPr>
        <w:t xml:space="preserve"> and foreign investors, Khalil et al.</w:t>
      </w:r>
      <w:r w:rsidR="00944F99" w:rsidRPr="00441478">
        <w:rPr>
          <w:rFonts w:asciiTheme="majorBidi" w:hAnsiTheme="majorBidi"/>
          <w:sz w:val="26"/>
          <w:szCs w:val="26"/>
        </w:rPr>
        <w:t xml:space="preserve"> (</w:t>
      </w:r>
      <w:r w:rsidR="009B35EB" w:rsidRPr="00441478">
        <w:rPr>
          <w:rFonts w:asciiTheme="majorBidi" w:hAnsiTheme="majorBidi" w:cstheme="majorBidi"/>
          <w:sz w:val="26"/>
          <w:szCs w:val="26"/>
        </w:rPr>
        <w:t>2020</w:t>
      </w:r>
      <w:r w:rsidR="00FB0828" w:rsidRPr="00441478">
        <w:rPr>
          <w:rFonts w:asciiTheme="majorBidi" w:hAnsiTheme="majorBidi"/>
          <w:sz w:val="26"/>
          <w:szCs w:val="26"/>
        </w:rPr>
        <w:t>) found that foreign investors demand conservative reporting of earnings. Ferreira et</w:t>
      </w:r>
      <w:r w:rsidR="009076E0">
        <w:rPr>
          <w:rFonts w:asciiTheme="majorBidi" w:hAnsiTheme="majorBidi"/>
          <w:sz w:val="26"/>
          <w:szCs w:val="26"/>
        </w:rPr>
        <w:t xml:space="preserve"> </w:t>
      </w:r>
      <w:r w:rsidR="00FB0828" w:rsidRPr="00441478">
        <w:rPr>
          <w:rFonts w:asciiTheme="majorBidi" w:hAnsiTheme="majorBidi"/>
          <w:sz w:val="26"/>
          <w:szCs w:val="26"/>
        </w:rPr>
        <w:t xml:space="preserve">al. </w:t>
      </w:r>
      <w:r w:rsidR="005C40DC" w:rsidRPr="00441478">
        <w:rPr>
          <w:rFonts w:asciiTheme="majorBidi" w:hAnsiTheme="majorBidi"/>
          <w:sz w:val="26"/>
          <w:szCs w:val="26"/>
        </w:rPr>
        <w:t>(</w:t>
      </w:r>
      <w:r w:rsidR="00FB0828" w:rsidRPr="00441478">
        <w:rPr>
          <w:rFonts w:asciiTheme="majorBidi" w:hAnsiTheme="majorBidi"/>
          <w:sz w:val="26"/>
          <w:szCs w:val="26"/>
        </w:rPr>
        <w:t xml:space="preserve">2017) reached </w:t>
      </w:r>
      <w:r w:rsidRPr="00441478">
        <w:rPr>
          <w:rFonts w:asciiTheme="majorBidi" w:hAnsiTheme="majorBidi"/>
          <w:sz w:val="26"/>
          <w:szCs w:val="26"/>
        </w:rPr>
        <w:t xml:space="preserve">the </w:t>
      </w:r>
      <w:r w:rsidR="00FB0828" w:rsidRPr="00441478">
        <w:rPr>
          <w:rFonts w:asciiTheme="majorBidi" w:hAnsiTheme="majorBidi"/>
          <w:sz w:val="26"/>
          <w:szCs w:val="26"/>
        </w:rPr>
        <w:t xml:space="preserve">same conclusion </w:t>
      </w:r>
      <w:r w:rsidRPr="00441478">
        <w:rPr>
          <w:rFonts w:asciiTheme="majorBidi" w:hAnsiTheme="majorBidi"/>
          <w:sz w:val="26"/>
          <w:szCs w:val="26"/>
        </w:rPr>
        <w:t>regarding the f</w:t>
      </w:r>
      <w:r w:rsidR="00443E76" w:rsidRPr="00441478">
        <w:rPr>
          <w:rFonts w:asciiTheme="majorBidi" w:hAnsiTheme="majorBidi"/>
          <w:sz w:val="26"/>
          <w:szCs w:val="26"/>
        </w:rPr>
        <w:t>oreign investors</w:t>
      </w:r>
      <w:r w:rsidR="006F15D5">
        <w:rPr>
          <w:rFonts w:asciiTheme="majorBidi" w:hAnsiTheme="majorBidi"/>
          <w:sz w:val="26"/>
          <w:szCs w:val="26"/>
        </w:rPr>
        <w:t>’</w:t>
      </w:r>
      <w:r w:rsidR="00443E76" w:rsidRPr="00441478">
        <w:rPr>
          <w:rFonts w:asciiTheme="majorBidi" w:hAnsiTheme="majorBidi"/>
          <w:sz w:val="26"/>
          <w:szCs w:val="26"/>
        </w:rPr>
        <w:t xml:space="preserve"> </w:t>
      </w:r>
      <w:r w:rsidR="006F15D5" w:rsidRPr="00441478">
        <w:rPr>
          <w:rFonts w:asciiTheme="majorBidi" w:hAnsiTheme="majorBidi"/>
          <w:sz w:val="26"/>
          <w:szCs w:val="26"/>
        </w:rPr>
        <w:t xml:space="preserve">preference </w:t>
      </w:r>
      <w:r w:rsidR="00443E76" w:rsidRPr="00441478">
        <w:rPr>
          <w:rFonts w:asciiTheme="majorBidi" w:hAnsiTheme="majorBidi"/>
          <w:sz w:val="26"/>
          <w:szCs w:val="26"/>
        </w:rPr>
        <w:t>for</w:t>
      </w:r>
      <w:r w:rsidR="00FB0828" w:rsidRPr="00441478">
        <w:rPr>
          <w:rFonts w:asciiTheme="majorBidi" w:hAnsiTheme="majorBidi"/>
          <w:sz w:val="26"/>
          <w:szCs w:val="26"/>
        </w:rPr>
        <w:t xml:space="preserve"> conservative reporting of earnings because they have informational disadvantage</w:t>
      </w:r>
      <w:r w:rsidR="00443E76" w:rsidRPr="00441478">
        <w:rPr>
          <w:rFonts w:asciiTheme="majorBidi" w:hAnsiTheme="majorBidi"/>
          <w:sz w:val="26"/>
          <w:szCs w:val="26"/>
        </w:rPr>
        <w:t>.</w:t>
      </w:r>
      <w:r w:rsidR="00FB0828" w:rsidRPr="00441478">
        <w:rPr>
          <w:rFonts w:asciiTheme="majorBidi" w:hAnsiTheme="majorBidi"/>
          <w:sz w:val="26"/>
          <w:szCs w:val="26"/>
        </w:rPr>
        <w:t xml:space="preserve"> </w:t>
      </w:r>
      <w:r w:rsidR="00443E76" w:rsidRPr="00441478">
        <w:rPr>
          <w:rFonts w:asciiTheme="majorBidi" w:hAnsiTheme="majorBidi"/>
          <w:sz w:val="26"/>
          <w:szCs w:val="26"/>
        </w:rPr>
        <w:t>Foreign investors</w:t>
      </w:r>
      <w:r w:rsidR="00FB0828" w:rsidRPr="00441478">
        <w:rPr>
          <w:rFonts w:asciiTheme="majorBidi" w:hAnsiTheme="majorBidi"/>
          <w:sz w:val="26"/>
          <w:szCs w:val="26"/>
        </w:rPr>
        <w:t xml:space="preserve"> cannot access the data as their </w:t>
      </w:r>
      <w:r w:rsidR="00443E76" w:rsidRPr="00441478">
        <w:rPr>
          <w:rFonts w:asciiTheme="majorBidi" w:hAnsiTheme="majorBidi"/>
          <w:sz w:val="26"/>
          <w:szCs w:val="26"/>
        </w:rPr>
        <w:t xml:space="preserve">domestic </w:t>
      </w:r>
      <w:r w:rsidR="00FB0828" w:rsidRPr="00441478">
        <w:rPr>
          <w:rFonts w:asciiTheme="majorBidi" w:hAnsiTheme="majorBidi"/>
          <w:sz w:val="26"/>
          <w:szCs w:val="26"/>
        </w:rPr>
        <w:t>peer</w:t>
      </w:r>
      <w:r w:rsidR="00443E76" w:rsidRPr="00441478">
        <w:rPr>
          <w:rFonts w:asciiTheme="majorBidi" w:hAnsiTheme="majorBidi"/>
          <w:sz w:val="26"/>
          <w:szCs w:val="26"/>
        </w:rPr>
        <w:t>s,</w:t>
      </w:r>
      <w:r w:rsidR="00FB0828" w:rsidRPr="00441478">
        <w:rPr>
          <w:rFonts w:asciiTheme="majorBidi" w:hAnsiTheme="majorBidi"/>
          <w:sz w:val="26"/>
          <w:szCs w:val="26"/>
        </w:rPr>
        <w:t xml:space="preserve"> </w:t>
      </w:r>
      <w:r w:rsidR="00443E76" w:rsidRPr="00441478">
        <w:rPr>
          <w:rFonts w:asciiTheme="majorBidi" w:hAnsiTheme="majorBidi"/>
          <w:sz w:val="26"/>
          <w:szCs w:val="26"/>
        </w:rPr>
        <w:t xml:space="preserve">so </w:t>
      </w:r>
      <w:r w:rsidR="00FB0828" w:rsidRPr="00441478">
        <w:rPr>
          <w:rFonts w:asciiTheme="majorBidi" w:hAnsiTheme="majorBidi"/>
          <w:sz w:val="26"/>
          <w:szCs w:val="26"/>
        </w:rPr>
        <w:t>they are more careful about financial statements. In GCC</w:t>
      </w:r>
      <w:r w:rsidR="00443E76" w:rsidRPr="00441478">
        <w:rPr>
          <w:rFonts w:asciiTheme="majorBidi" w:hAnsiTheme="majorBidi"/>
          <w:sz w:val="26"/>
          <w:szCs w:val="26"/>
        </w:rPr>
        <w:t xml:space="preserve"> countries</w:t>
      </w:r>
      <w:r w:rsidR="00FB0828" w:rsidRPr="00441478">
        <w:rPr>
          <w:rFonts w:asciiTheme="majorBidi" w:hAnsiTheme="majorBidi"/>
          <w:sz w:val="26"/>
          <w:szCs w:val="26"/>
        </w:rPr>
        <w:t xml:space="preserve">, all listed firms </w:t>
      </w:r>
      <w:r w:rsidR="006F15D5">
        <w:rPr>
          <w:rFonts w:asciiTheme="majorBidi" w:hAnsiTheme="majorBidi"/>
          <w:sz w:val="26"/>
          <w:szCs w:val="26"/>
        </w:rPr>
        <w:t>use</w:t>
      </w:r>
      <w:r w:rsidR="00FB0828" w:rsidRPr="00441478">
        <w:rPr>
          <w:rFonts w:asciiTheme="majorBidi" w:hAnsiTheme="majorBidi"/>
          <w:sz w:val="26"/>
          <w:szCs w:val="26"/>
        </w:rPr>
        <w:t xml:space="preserve"> IFRS to prepare financial statements; therefore, accounting conservatism practices are less </w:t>
      </w:r>
      <w:r w:rsidR="00443E76" w:rsidRPr="00441478">
        <w:rPr>
          <w:rFonts w:asciiTheme="majorBidi" w:hAnsiTheme="majorBidi"/>
          <w:sz w:val="26"/>
          <w:szCs w:val="26"/>
        </w:rPr>
        <w:t xml:space="preserve">followed </w:t>
      </w:r>
      <w:r w:rsidR="00FB0828" w:rsidRPr="00441478">
        <w:rPr>
          <w:rFonts w:asciiTheme="majorBidi" w:hAnsiTheme="majorBidi"/>
          <w:sz w:val="26"/>
          <w:szCs w:val="26"/>
        </w:rPr>
        <w:t xml:space="preserve">by these firms. </w:t>
      </w:r>
      <w:r w:rsidR="00645D53" w:rsidRPr="00441478">
        <w:rPr>
          <w:rFonts w:asciiTheme="majorBidi" w:hAnsiTheme="majorBidi"/>
          <w:sz w:val="26"/>
          <w:szCs w:val="26"/>
        </w:rPr>
        <w:t>For example, Hamdan et al.</w:t>
      </w:r>
      <w:r w:rsidR="00944F99" w:rsidRPr="00441478">
        <w:rPr>
          <w:rFonts w:asciiTheme="majorBidi" w:hAnsiTheme="majorBidi"/>
          <w:sz w:val="26"/>
          <w:szCs w:val="26"/>
        </w:rPr>
        <w:t xml:space="preserve"> (</w:t>
      </w:r>
      <w:r w:rsidR="00645D53" w:rsidRPr="00441478">
        <w:rPr>
          <w:rFonts w:asciiTheme="majorBidi" w:hAnsiTheme="majorBidi"/>
          <w:sz w:val="26"/>
          <w:szCs w:val="26"/>
        </w:rPr>
        <w:t>2011) pointed out that the Kuwaiti capital market authority force</w:t>
      </w:r>
      <w:r w:rsidR="00443E76" w:rsidRPr="00441478">
        <w:rPr>
          <w:rFonts w:asciiTheme="majorBidi" w:hAnsiTheme="majorBidi"/>
          <w:sz w:val="26"/>
          <w:szCs w:val="26"/>
        </w:rPr>
        <w:t>s</w:t>
      </w:r>
      <w:r w:rsidR="00645D53" w:rsidRPr="00441478">
        <w:rPr>
          <w:rFonts w:asciiTheme="majorBidi" w:hAnsiTheme="majorBidi"/>
          <w:sz w:val="26"/>
          <w:szCs w:val="26"/>
        </w:rPr>
        <w:t xml:space="preserve"> listed firm</w:t>
      </w:r>
      <w:r w:rsidR="00443E76" w:rsidRPr="00441478">
        <w:rPr>
          <w:rFonts w:asciiTheme="majorBidi" w:hAnsiTheme="majorBidi"/>
          <w:sz w:val="26"/>
          <w:szCs w:val="26"/>
        </w:rPr>
        <w:t>s</w:t>
      </w:r>
      <w:r w:rsidR="00645D53" w:rsidRPr="00441478">
        <w:rPr>
          <w:rFonts w:asciiTheme="majorBidi" w:hAnsiTheme="majorBidi"/>
          <w:sz w:val="26"/>
          <w:szCs w:val="26"/>
        </w:rPr>
        <w:t xml:space="preserve"> to keep </w:t>
      </w:r>
      <w:r w:rsidR="00443E76" w:rsidRPr="00441478">
        <w:rPr>
          <w:rFonts w:asciiTheme="majorBidi" w:hAnsiTheme="majorBidi"/>
          <w:sz w:val="26"/>
          <w:szCs w:val="26"/>
        </w:rPr>
        <w:t xml:space="preserve">a </w:t>
      </w:r>
      <w:r w:rsidR="00645D53" w:rsidRPr="00441478">
        <w:rPr>
          <w:rFonts w:asciiTheme="majorBidi" w:hAnsiTheme="majorBidi"/>
          <w:sz w:val="26"/>
          <w:szCs w:val="26"/>
        </w:rPr>
        <w:t xml:space="preserve">reasonable level of conservatism. </w:t>
      </w:r>
      <w:r w:rsidR="00720DA7">
        <w:rPr>
          <w:rFonts w:asciiTheme="majorBidi" w:hAnsiTheme="majorBidi"/>
          <w:sz w:val="26"/>
          <w:szCs w:val="26"/>
        </w:rPr>
        <w:t>I</w:t>
      </w:r>
      <w:r w:rsidR="006F15D5">
        <w:rPr>
          <w:rFonts w:asciiTheme="majorBidi" w:hAnsiTheme="majorBidi"/>
          <w:sz w:val="26"/>
          <w:szCs w:val="26"/>
        </w:rPr>
        <w:t xml:space="preserve"> expect</w:t>
      </w:r>
      <w:r w:rsidR="00FB0828" w:rsidRPr="00441478">
        <w:rPr>
          <w:rFonts w:asciiTheme="majorBidi" w:hAnsiTheme="majorBidi"/>
          <w:sz w:val="26"/>
          <w:szCs w:val="26"/>
        </w:rPr>
        <w:t xml:space="preserve"> that using conservative financial reporting will not </w:t>
      </w:r>
      <w:r w:rsidR="00443E76" w:rsidRPr="00441478">
        <w:rPr>
          <w:rFonts w:asciiTheme="majorBidi" w:hAnsiTheme="majorBidi"/>
          <w:sz w:val="26"/>
          <w:szCs w:val="26"/>
        </w:rPr>
        <w:t xml:space="preserve">affect </w:t>
      </w:r>
      <w:r w:rsidR="00FB0828" w:rsidRPr="00441478">
        <w:rPr>
          <w:rFonts w:asciiTheme="majorBidi" w:hAnsiTheme="majorBidi"/>
          <w:sz w:val="26"/>
          <w:szCs w:val="26"/>
        </w:rPr>
        <w:t xml:space="preserve">foreign </w:t>
      </w:r>
      <w:r w:rsidR="00443E76" w:rsidRPr="00441478">
        <w:rPr>
          <w:rFonts w:asciiTheme="majorBidi" w:hAnsiTheme="majorBidi"/>
          <w:sz w:val="26"/>
          <w:szCs w:val="26"/>
        </w:rPr>
        <w:t>ownership</w:t>
      </w:r>
      <w:r w:rsidR="00FB0828" w:rsidRPr="00441478">
        <w:rPr>
          <w:rFonts w:asciiTheme="majorBidi" w:hAnsiTheme="majorBidi"/>
          <w:sz w:val="26"/>
          <w:szCs w:val="26"/>
        </w:rPr>
        <w:t>.</w:t>
      </w:r>
    </w:p>
    <w:p w14:paraId="47F1C8A6" w14:textId="4E280176" w:rsidR="00441F82" w:rsidRPr="00441478" w:rsidRDefault="00E67A4B" w:rsidP="00441478">
      <w:pPr>
        <w:snapToGrid w:val="0"/>
        <w:spacing w:after="0" w:line="360" w:lineRule="exact"/>
        <w:jc w:val="both"/>
        <w:rPr>
          <w:rFonts w:asciiTheme="majorBidi" w:hAnsiTheme="majorBidi"/>
          <w:b/>
          <w:sz w:val="26"/>
          <w:szCs w:val="26"/>
        </w:rPr>
      </w:pPr>
      <w:r w:rsidRPr="00441478">
        <w:rPr>
          <w:rFonts w:asciiTheme="majorBidi" w:hAnsiTheme="majorBidi"/>
          <w:b/>
          <w:sz w:val="26"/>
          <w:szCs w:val="26"/>
        </w:rPr>
        <w:t xml:space="preserve">H8: </w:t>
      </w:r>
      <w:r w:rsidR="003244F5" w:rsidRPr="00441478">
        <w:rPr>
          <w:rFonts w:asciiTheme="majorBidi" w:hAnsiTheme="majorBidi"/>
          <w:b/>
          <w:sz w:val="26"/>
          <w:szCs w:val="26"/>
        </w:rPr>
        <w:t>U</w:t>
      </w:r>
      <w:r w:rsidR="00FB0828" w:rsidRPr="00441478">
        <w:rPr>
          <w:rFonts w:asciiTheme="majorBidi" w:hAnsiTheme="majorBidi"/>
          <w:b/>
          <w:sz w:val="26"/>
          <w:szCs w:val="26"/>
        </w:rPr>
        <w:t xml:space="preserve">sing accounting conservatism practices </w:t>
      </w:r>
      <w:r w:rsidR="00443E76" w:rsidRPr="00441478">
        <w:rPr>
          <w:rFonts w:asciiTheme="majorBidi" w:hAnsiTheme="majorBidi"/>
          <w:b/>
          <w:sz w:val="26"/>
          <w:szCs w:val="26"/>
        </w:rPr>
        <w:t xml:space="preserve">does </w:t>
      </w:r>
      <w:r w:rsidR="00FB0828" w:rsidRPr="00441478">
        <w:rPr>
          <w:rFonts w:asciiTheme="majorBidi" w:hAnsiTheme="majorBidi"/>
          <w:b/>
          <w:sz w:val="26"/>
          <w:szCs w:val="26"/>
        </w:rPr>
        <w:t xml:space="preserve">not attract foreign investors.  </w:t>
      </w:r>
    </w:p>
    <w:p w14:paraId="21AB5076" w14:textId="1C65859A" w:rsidR="00835D30" w:rsidRDefault="00441F82" w:rsidP="00441478">
      <w:pPr>
        <w:snapToGrid w:val="0"/>
        <w:spacing w:after="0" w:line="360" w:lineRule="exact"/>
        <w:ind w:firstLine="510"/>
        <w:jc w:val="both"/>
        <w:rPr>
          <w:rFonts w:asciiTheme="majorBidi" w:hAnsiTheme="majorBidi"/>
          <w:sz w:val="26"/>
          <w:szCs w:val="26"/>
        </w:rPr>
      </w:pPr>
      <w:r w:rsidRPr="00441478">
        <w:rPr>
          <w:rFonts w:asciiTheme="majorBidi" w:hAnsiTheme="majorBidi"/>
          <w:sz w:val="26"/>
          <w:szCs w:val="26"/>
        </w:rPr>
        <w:t>Table 1</w:t>
      </w:r>
      <w:r w:rsidR="00FB0828" w:rsidRPr="00441478">
        <w:rPr>
          <w:rFonts w:asciiTheme="majorBidi" w:hAnsiTheme="majorBidi"/>
          <w:sz w:val="26"/>
          <w:szCs w:val="26"/>
        </w:rPr>
        <w:t xml:space="preserve"> </w:t>
      </w:r>
      <w:r w:rsidRPr="00441478">
        <w:rPr>
          <w:rFonts w:asciiTheme="majorBidi" w:hAnsiTheme="majorBidi"/>
          <w:sz w:val="26"/>
          <w:szCs w:val="26"/>
        </w:rPr>
        <w:t xml:space="preserve">summarizes the nature of relationships between </w:t>
      </w:r>
      <w:r w:rsidR="00443E76" w:rsidRPr="00441478">
        <w:rPr>
          <w:rFonts w:asciiTheme="majorBidi" w:hAnsiTheme="majorBidi"/>
          <w:sz w:val="26"/>
          <w:szCs w:val="26"/>
        </w:rPr>
        <w:t>EQ</w:t>
      </w:r>
      <w:r w:rsidRPr="00441478">
        <w:rPr>
          <w:rFonts w:asciiTheme="majorBidi" w:hAnsiTheme="majorBidi"/>
          <w:sz w:val="26"/>
          <w:szCs w:val="26"/>
        </w:rPr>
        <w:t xml:space="preserve"> and foreign investors </w:t>
      </w:r>
      <w:r w:rsidR="00443E76" w:rsidRPr="00441478">
        <w:rPr>
          <w:rFonts w:asciiTheme="majorBidi" w:hAnsiTheme="majorBidi"/>
          <w:sz w:val="26"/>
          <w:szCs w:val="26"/>
        </w:rPr>
        <w:t>according to our</w:t>
      </w:r>
      <w:r w:rsidRPr="00441478">
        <w:rPr>
          <w:rFonts w:asciiTheme="majorBidi" w:hAnsiTheme="majorBidi"/>
          <w:sz w:val="26"/>
          <w:szCs w:val="26"/>
        </w:rPr>
        <w:t xml:space="preserve"> </w:t>
      </w:r>
      <w:r w:rsidR="00443E76" w:rsidRPr="00441478">
        <w:rPr>
          <w:rFonts w:asciiTheme="majorBidi" w:hAnsiTheme="majorBidi"/>
          <w:sz w:val="26"/>
          <w:szCs w:val="26"/>
        </w:rPr>
        <w:t>hypotheses</w:t>
      </w:r>
      <w:r w:rsidRPr="00441478">
        <w:rPr>
          <w:rFonts w:asciiTheme="majorBidi" w:hAnsiTheme="majorBidi"/>
          <w:sz w:val="26"/>
          <w:szCs w:val="26"/>
        </w:rPr>
        <w:t>.</w:t>
      </w:r>
    </w:p>
    <w:p w14:paraId="7DC32621" w14:textId="77777777" w:rsidR="003C26FA" w:rsidRDefault="003C26FA" w:rsidP="00441478">
      <w:pPr>
        <w:snapToGrid w:val="0"/>
        <w:spacing w:after="0" w:line="360" w:lineRule="exact"/>
        <w:ind w:firstLine="510"/>
        <w:jc w:val="both"/>
        <w:rPr>
          <w:rFonts w:asciiTheme="majorBidi" w:hAnsiTheme="majorBidi"/>
          <w:sz w:val="26"/>
          <w:szCs w:val="26"/>
        </w:rPr>
      </w:pPr>
    </w:p>
    <w:p w14:paraId="45F427BD" w14:textId="77777777" w:rsidR="003C26FA" w:rsidRDefault="003C26FA">
      <w:pPr>
        <w:rPr>
          <w:rFonts w:asciiTheme="majorBidi" w:hAnsiTheme="majorBidi" w:cstheme="majorBidi"/>
          <w:b/>
          <w:sz w:val="26"/>
          <w:szCs w:val="26"/>
        </w:rPr>
      </w:pPr>
      <w:r>
        <w:rPr>
          <w:rFonts w:asciiTheme="majorBidi" w:hAnsiTheme="majorBidi" w:cstheme="majorBidi"/>
          <w:b/>
          <w:sz w:val="26"/>
          <w:szCs w:val="26"/>
        </w:rPr>
        <w:br w:type="page"/>
      </w:r>
    </w:p>
    <w:p w14:paraId="0F533413" w14:textId="70F69272" w:rsidR="00CA3B14" w:rsidRPr="00441478" w:rsidRDefault="00CA3B14" w:rsidP="00541754">
      <w:pPr>
        <w:snapToGrid w:val="0"/>
        <w:spacing w:afterLines="50" w:after="120" w:line="360" w:lineRule="exact"/>
        <w:rPr>
          <w:rFonts w:asciiTheme="majorBidi" w:hAnsiTheme="majorBidi" w:cstheme="majorBidi"/>
          <w:b/>
          <w:bCs/>
          <w:sz w:val="26"/>
          <w:szCs w:val="26"/>
        </w:rPr>
      </w:pPr>
      <w:r w:rsidRPr="00541754">
        <w:rPr>
          <w:rFonts w:asciiTheme="majorBidi" w:hAnsiTheme="majorBidi" w:cstheme="majorBidi"/>
          <w:b/>
          <w:sz w:val="26"/>
          <w:szCs w:val="26"/>
        </w:rPr>
        <w:lastRenderedPageBreak/>
        <w:t xml:space="preserve">Table </w:t>
      </w:r>
      <w:r w:rsidR="00720DA7" w:rsidRPr="00541754">
        <w:rPr>
          <w:rFonts w:asciiTheme="majorBidi" w:hAnsiTheme="majorBidi" w:cstheme="majorBidi"/>
          <w:b/>
          <w:sz w:val="26"/>
          <w:szCs w:val="26"/>
        </w:rPr>
        <w:t>1</w:t>
      </w:r>
      <w:r w:rsidR="00720DA7">
        <w:rPr>
          <w:rFonts w:asciiTheme="majorBidi" w:hAnsiTheme="majorBidi" w:cstheme="majorBidi"/>
          <w:b/>
          <w:sz w:val="26"/>
          <w:szCs w:val="26"/>
        </w:rPr>
        <w:t xml:space="preserve"> </w:t>
      </w:r>
      <w:r w:rsidR="00720DA7" w:rsidRPr="009E5933">
        <w:rPr>
          <w:rFonts w:asciiTheme="majorBidi" w:hAnsiTheme="majorBidi" w:cstheme="majorBidi"/>
          <w:i/>
          <w:iCs/>
          <w:sz w:val="26"/>
          <w:szCs w:val="26"/>
        </w:rPr>
        <w:t>Nature</w:t>
      </w:r>
      <w:r w:rsidRPr="009E5933">
        <w:rPr>
          <w:rFonts w:asciiTheme="majorBidi" w:hAnsiTheme="majorBidi" w:cstheme="majorBidi"/>
          <w:i/>
          <w:iCs/>
          <w:sz w:val="26"/>
          <w:szCs w:val="26"/>
        </w:rPr>
        <w:t xml:space="preserve"> of Relationships between EQ Measures and Foreign Investors</w:t>
      </w:r>
    </w:p>
    <w:tbl>
      <w:tblPr>
        <w:tblStyle w:val="a9"/>
        <w:tblW w:w="5000" w:type="pct"/>
        <w:tblLook w:val="04A0" w:firstRow="1" w:lastRow="0" w:firstColumn="1" w:lastColumn="0" w:noHBand="0" w:noVBand="1"/>
      </w:tblPr>
      <w:tblGrid>
        <w:gridCol w:w="2419"/>
        <w:gridCol w:w="1430"/>
        <w:gridCol w:w="1430"/>
        <w:gridCol w:w="3748"/>
      </w:tblGrid>
      <w:tr w:rsidR="007F15D8" w:rsidRPr="00441478" w14:paraId="7CE43349" w14:textId="77777777" w:rsidTr="00BC2331">
        <w:trPr>
          <w:trHeight w:val="567"/>
        </w:trPr>
        <w:tc>
          <w:tcPr>
            <w:tcW w:w="1358" w:type="pct"/>
            <w:tcBorders>
              <w:left w:val="nil"/>
              <w:bottom w:val="single" w:sz="4" w:space="0" w:color="auto"/>
              <w:right w:val="single" w:sz="4" w:space="0" w:color="auto"/>
            </w:tcBorders>
            <w:vAlign w:val="center"/>
          </w:tcPr>
          <w:p w14:paraId="3064DDDC" w14:textId="77777777" w:rsidR="00A309C9" w:rsidRPr="00441478" w:rsidRDefault="00A309C9" w:rsidP="00441478">
            <w:pPr>
              <w:jc w:val="center"/>
              <w:rPr>
                <w:rFonts w:asciiTheme="majorBidi" w:hAnsiTheme="majorBidi" w:cstheme="majorBidi"/>
                <w:sz w:val="24"/>
                <w:szCs w:val="24"/>
              </w:rPr>
            </w:pPr>
            <w:r w:rsidRPr="00441478">
              <w:rPr>
                <w:rFonts w:asciiTheme="majorBidi" w:hAnsiTheme="majorBidi" w:cstheme="majorBidi"/>
                <w:sz w:val="24"/>
                <w:szCs w:val="24"/>
              </w:rPr>
              <w:t>EQ proxy</w:t>
            </w:r>
          </w:p>
        </w:tc>
        <w:tc>
          <w:tcPr>
            <w:tcW w:w="774" w:type="pct"/>
            <w:tcBorders>
              <w:top w:val="single" w:sz="4" w:space="0" w:color="auto"/>
              <w:left w:val="single" w:sz="4" w:space="0" w:color="auto"/>
              <w:bottom w:val="single" w:sz="4" w:space="0" w:color="auto"/>
              <w:right w:val="nil"/>
            </w:tcBorders>
            <w:vAlign w:val="center"/>
          </w:tcPr>
          <w:p w14:paraId="28A00CAD" w14:textId="77777777" w:rsidR="00A309C9" w:rsidRPr="00441478" w:rsidRDefault="00A309C9" w:rsidP="00441478">
            <w:pPr>
              <w:jc w:val="center"/>
              <w:rPr>
                <w:rFonts w:asciiTheme="majorBidi" w:hAnsiTheme="majorBidi" w:cstheme="majorBidi"/>
                <w:sz w:val="24"/>
                <w:szCs w:val="24"/>
              </w:rPr>
            </w:pPr>
            <w:r w:rsidRPr="00441478">
              <w:rPr>
                <w:rFonts w:asciiTheme="majorBidi" w:hAnsiTheme="majorBidi" w:cstheme="majorBidi"/>
                <w:sz w:val="24"/>
                <w:szCs w:val="24"/>
              </w:rPr>
              <w:t>Nature of Relationship</w:t>
            </w:r>
          </w:p>
        </w:tc>
        <w:tc>
          <w:tcPr>
            <w:tcW w:w="774" w:type="pct"/>
            <w:tcBorders>
              <w:top w:val="single" w:sz="4" w:space="0" w:color="auto"/>
              <w:left w:val="nil"/>
              <w:bottom w:val="single" w:sz="4" w:space="0" w:color="auto"/>
              <w:right w:val="nil"/>
            </w:tcBorders>
            <w:vAlign w:val="center"/>
          </w:tcPr>
          <w:p w14:paraId="1F1314D4" w14:textId="77777777" w:rsidR="00A309C9" w:rsidRPr="00441478" w:rsidRDefault="00A309C9" w:rsidP="00441478">
            <w:pPr>
              <w:jc w:val="center"/>
              <w:rPr>
                <w:rFonts w:asciiTheme="majorBidi" w:hAnsiTheme="majorBidi" w:cstheme="majorBidi"/>
                <w:sz w:val="24"/>
                <w:szCs w:val="24"/>
              </w:rPr>
            </w:pPr>
            <w:r w:rsidRPr="00441478">
              <w:rPr>
                <w:rFonts w:asciiTheme="majorBidi" w:hAnsiTheme="majorBidi" w:cstheme="majorBidi"/>
                <w:sz w:val="24"/>
                <w:szCs w:val="24"/>
              </w:rPr>
              <w:t>Expected Relationship</w:t>
            </w:r>
          </w:p>
        </w:tc>
        <w:tc>
          <w:tcPr>
            <w:tcW w:w="2094" w:type="pct"/>
            <w:tcBorders>
              <w:left w:val="nil"/>
              <w:bottom w:val="single" w:sz="4" w:space="0" w:color="auto"/>
              <w:right w:val="nil"/>
            </w:tcBorders>
            <w:vAlign w:val="center"/>
          </w:tcPr>
          <w:p w14:paraId="3A12C389" w14:textId="77777777" w:rsidR="00A309C9" w:rsidRPr="00441478" w:rsidRDefault="00A309C9" w:rsidP="00441478">
            <w:pPr>
              <w:jc w:val="center"/>
              <w:rPr>
                <w:rFonts w:asciiTheme="majorBidi" w:hAnsiTheme="majorBidi" w:cstheme="majorBidi"/>
                <w:sz w:val="24"/>
                <w:szCs w:val="24"/>
              </w:rPr>
            </w:pPr>
            <w:r w:rsidRPr="00441478">
              <w:rPr>
                <w:rFonts w:asciiTheme="majorBidi" w:hAnsiTheme="majorBidi" w:cstheme="majorBidi"/>
                <w:sz w:val="24"/>
                <w:szCs w:val="24"/>
              </w:rPr>
              <w:t>Reference</w:t>
            </w:r>
          </w:p>
        </w:tc>
      </w:tr>
      <w:tr w:rsidR="007F15D8" w:rsidRPr="00441478" w14:paraId="1B2EAF46" w14:textId="77777777" w:rsidTr="00BC2331">
        <w:trPr>
          <w:trHeight w:val="567"/>
        </w:trPr>
        <w:tc>
          <w:tcPr>
            <w:tcW w:w="1358" w:type="pct"/>
            <w:tcBorders>
              <w:top w:val="single" w:sz="4" w:space="0" w:color="auto"/>
              <w:left w:val="nil"/>
              <w:bottom w:val="single" w:sz="4" w:space="0" w:color="auto"/>
              <w:right w:val="single" w:sz="4" w:space="0" w:color="auto"/>
            </w:tcBorders>
            <w:vAlign w:val="center"/>
          </w:tcPr>
          <w:p w14:paraId="59907386" w14:textId="77777777" w:rsidR="00A309C9" w:rsidRPr="00441478" w:rsidRDefault="00A309C9" w:rsidP="003C26FA">
            <w:pPr>
              <w:rPr>
                <w:rFonts w:asciiTheme="majorBidi" w:hAnsiTheme="majorBidi" w:cstheme="majorBidi"/>
                <w:sz w:val="24"/>
                <w:szCs w:val="24"/>
              </w:rPr>
            </w:pPr>
            <w:r w:rsidRPr="00441478">
              <w:rPr>
                <w:rFonts w:asciiTheme="majorBidi" w:hAnsiTheme="majorBidi" w:cstheme="majorBidi"/>
                <w:sz w:val="24"/>
                <w:szCs w:val="24"/>
              </w:rPr>
              <w:t>Persistence</w:t>
            </w:r>
          </w:p>
        </w:tc>
        <w:tc>
          <w:tcPr>
            <w:tcW w:w="774" w:type="pct"/>
            <w:tcBorders>
              <w:top w:val="single" w:sz="4" w:space="0" w:color="auto"/>
              <w:left w:val="single" w:sz="4" w:space="0" w:color="auto"/>
              <w:bottom w:val="single" w:sz="4" w:space="0" w:color="auto"/>
              <w:right w:val="nil"/>
            </w:tcBorders>
            <w:vAlign w:val="center"/>
          </w:tcPr>
          <w:p w14:paraId="15ACCD33" w14:textId="77777777" w:rsidR="00A309C9" w:rsidRPr="00441478" w:rsidRDefault="00A309C9" w:rsidP="00441478">
            <w:pPr>
              <w:jc w:val="center"/>
              <w:rPr>
                <w:rFonts w:asciiTheme="majorBidi" w:hAnsiTheme="majorBidi" w:cstheme="majorBidi"/>
                <w:sz w:val="24"/>
                <w:szCs w:val="24"/>
              </w:rPr>
            </w:pPr>
            <w:r w:rsidRPr="00441478">
              <w:rPr>
                <w:rFonts w:asciiTheme="majorBidi" w:hAnsiTheme="majorBidi" w:cstheme="majorBidi"/>
                <w:sz w:val="24"/>
                <w:szCs w:val="24"/>
              </w:rPr>
              <w:t>Positive</w:t>
            </w:r>
          </w:p>
        </w:tc>
        <w:tc>
          <w:tcPr>
            <w:tcW w:w="774" w:type="pct"/>
            <w:tcBorders>
              <w:top w:val="single" w:sz="4" w:space="0" w:color="auto"/>
              <w:left w:val="nil"/>
              <w:bottom w:val="single" w:sz="4" w:space="0" w:color="auto"/>
              <w:right w:val="nil"/>
            </w:tcBorders>
            <w:vAlign w:val="center"/>
          </w:tcPr>
          <w:p w14:paraId="2148D820" w14:textId="77777777" w:rsidR="00A309C9" w:rsidRPr="00441478" w:rsidRDefault="00A309C9" w:rsidP="00441478">
            <w:pPr>
              <w:jc w:val="center"/>
              <w:rPr>
                <w:rFonts w:asciiTheme="majorBidi" w:hAnsiTheme="majorBidi" w:cstheme="majorBidi"/>
                <w:sz w:val="24"/>
                <w:szCs w:val="24"/>
              </w:rPr>
            </w:pPr>
            <w:r w:rsidRPr="00441478">
              <w:rPr>
                <w:rFonts w:asciiTheme="majorBidi" w:hAnsiTheme="majorBidi" w:cstheme="majorBidi"/>
                <w:sz w:val="24"/>
                <w:szCs w:val="24"/>
              </w:rPr>
              <w:t>+</w:t>
            </w:r>
          </w:p>
        </w:tc>
        <w:tc>
          <w:tcPr>
            <w:tcW w:w="2094" w:type="pct"/>
            <w:tcBorders>
              <w:top w:val="single" w:sz="4" w:space="0" w:color="auto"/>
              <w:left w:val="nil"/>
              <w:bottom w:val="single" w:sz="4" w:space="0" w:color="auto"/>
              <w:right w:val="nil"/>
            </w:tcBorders>
            <w:vAlign w:val="center"/>
          </w:tcPr>
          <w:p w14:paraId="0297F8C1" w14:textId="360F35EB" w:rsidR="00A309C9" w:rsidRPr="00441478" w:rsidRDefault="00A309C9" w:rsidP="00C8366C">
            <w:pPr>
              <w:jc w:val="center"/>
              <w:rPr>
                <w:rFonts w:asciiTheme="majorBidi" w:hAnsiTheme="majorBidi" w:cstheme="majorBidi"/>
                <w:sz w:val="24"/>
                <w:szCs w:val="24"/>
              </w:rPr>
            </w:pPr>
            <w:r w:rsidRPr="00441478">
              <w:rPr>
                <w:rFonts w:asciiTheme="majorBidi" w:hAnsiTheme="majorBidi" w:cstheme="majorBidi"/>
                <w:sz w:val="24"/>
                <w:szCs w:val="24"/>
              </w:rPr>
              <w:t xml:space="preserve">Ben-Nasr et al. (2015), </w:t>
            </w:r>
            <w:r w:rsidR="00B725B6">
              <w:rPr>
                <w:rFonts w:asciiTheme="majorBidi" w:hAnsiTheme="majorBidi" w:cstheme="majorBidi"/>
                <w:sz w:val="24"/>
                <w:szCs w:val="24"/>
              </w:rPr>
              <w:br/>
            </w:r>
            <w:proofErr w:type="spellStart"/>
            <w:r w:rsidRPr="00441478">
              <w:rPr>
                <w:rFonts w:asciiTheme="majorBidi" w:hAnsiTheme="majorBidi" w:cstheme="majorBidi"/>
                <w:sz w:val="24"/>
                <w:szCs w:val="24"/>
              </w:rPr>
              <w:t>Perotti</w:t>
            </w:r>
            <w:proofErr w:type="spellEnd"/>
            <w:r w:rsidRPr="00441478">
              <w:rPr>
                <w:rFonts w:asciiTheme="majorBidi" w:hAnsiTheme="majorBidi" w:cstheme="majorBidi"/>
                <w:sz w:val="24"/>
                <w:szCs w:val="24"/>
              </w:rPr>
              <w:t xml:space="preserve"> </w:t>
            </w:r>
            <w:r w:rsidR="00C8366C">
              <w:rPr>
                <w:rFonts w:asciiTheme="majorBidi" w:hAnsiTheme="majorBidi" w:cstheme="majorBidi"/>
                <w:sz w:val="24"/>
                <w:szCs w:val="24"/>
              </w:rPr>
              <w:t>&amp;</w:t>
            </w:r>
            <w:r w:rsidRPr="00441478">
              <w:rPr>
                <w:rFonts w:asciiTheme="majorBidi" w:hAnsiTheme="majorBidi" w:cstheme="majorBidi"/>
                <w:sz w:val="24"/>
                <w:szCs w:val="24"/>
              </w:rPr>
              <w:t xml:space="preserve"> </w:t>
            </w:r>
            <w:proofErr w:type="spellStart"/>
            <w:r w:rsidR="00A962D9">
              <w:rPr>
                <w:rFonts w:asciiTheme="majorBidi" w:hAnsiTheme="majorBidi" w:cstheme="majorBidi"/>
                <w:sz w:val="24"/>
                <w:szCs w:val="24"/>
              </w:rPr>
              <w:t>Wagenhofer</w:t>
            </w:r>
            <w:proofErr w:type="spellEnd"/>
            <w:r w:rsidRPr="00441478">
              <w:rPr>
                <w:rFonts w:asciiTheme="majorBidi" w:hAnsiTheme="majorBidi" w:cstheme="majorBidi"/>
                <w:sz w:val="24"/>
                <w:szCs w:val="24"/>
              </w:rPr>
              <w:t xml:space="preserve"> (2014)</w:t>
            </w:r>
          </w:p>
        </w:tc>
      </w:tr>
      <w:tr w:rsidR="007F15D8" w:rsidRPr="00441478" w14:paraId="063DFB70" w14:textId="77777777" w:rsidTr="00BC2331">
        <w:trPr>
          <w:trHeight w:val="340"/>
        </w:trPr>
        <w:tc>
          <w:tcPr>
            <w:tcW w:w="1358" w:type="pct"/>
            <w:tcBorders>
              <w:top w:val="single" w:sz="4" w:space="0" w:color="auto"/>
              <w:left w:val="nil"/>
              <w:bottom w:val="single" w:sz="4" w:space="0" w:color="auto"/>
              <w:right w:val="single" w:sz="4" w:space="0" w:color="auto"/>
            </w:tcBorders>
            <w:vAlign w:val="center"/>
          </w:tcPr>
          <w:p w14:paraId="6906DBE2" w14:textId="77777777" w:rsidR="00A309C9" w:rsidRPr="00441478" w:rsidRDefault="00A309C9" w:rsidP="003C26FA">
            <w:pPr>
              <w:rPr>
                <w:rFonts w:asciiTheme="majorBidi" w:hAnsiTheme="majorBidi" w:cstheme="majorBidi"/>
                <w:sz w:val="24"/>
                <w:szCs w:val="24"/>
              </w:rPr>
            </w:pPr>
            <w:r w:rsidRPr="00441478">
              <w:rPr>
                <w:rFonts w:asciiTheme="majorBidi" w:hAnsiTheme="majorBidi" w:cstheme="majorBidi"/>
                <w:sz w:val="24"/>
                <w:szCs w:val="24"/>
              </w:rPr>
              <w:t>Predictability</w:t>
            </w:r>
          </w:p>
        </w:tc>
        <w:tc>
          <w:tcPr>
            <w:tcW w:w="774" w:type="pct"/>
            <w:tcBorders>
              <w:top w:val="single" w:sz="4" w:space="0" w:color="auto"/>
              <w:left w:val="single" w:sz="4" w:space="0" w:color="auto"/>
              <w:bottom w:val="single" w:sz="4" w:space="0" w:color="auto"/>
              <w:right w:val="nil"/>
            </w:tcBorders>
            <w:vAlign w:val="center"/>
          </w:tcPr>
          <w:p w14:paraId="472E5A92" w14:textId="77777777" w:rsidR="00A309C9" w:rsidRPr="00441478" w:rsidRDefault="00A309C9" w:rsidP="00441478">
            <w:pPr>
              <w:jc w:val="center"/>
              <w:rPr>
                <w:rFonts w:asciiTheme="majorBidi" w:hAnsiTheme="majorBidi" w:cstheme="majorBidi"/>
                <w:sz w:val="24"/>
                <w:szCs w:val="24"/>
              </w:rPr>
            </w:pPr>
            <w:r w:rsidRPr="00441478">
              <w:rPr>
                <w:rFonts w:asciiTheme="majorBidi" w:hAnsiTheme="majorBidi" w:cstheme="majorBidi"/>
                <w:sz w:val="24"/>
                <w:szCs w:val="24"/>
              </w:rPr>
              <w:t>Positive</w:t>
            </w:r>
          </w:p>
        </w:tc>
        <w:tc>
          <w:tcPr>
            <w:tcW w:w="774" w:type="pct"/>
            <w:tcBorders>
              <w:top w:val="single" w:sz="4" w:space="0" w:color="auto"/>
              <w:left w:val="nil"/>
              <w:bottom w:val="single" w:sz="4" w:space="0" w:color="auto"/>
              <w:right w:val="nil"/>
            </w:tcBorders>
            <w:vAlign w:val="center"/>
          </w:tcPr>
          <w:p w14:paraId="58557B57" w14:textId="77777777" w:rsidR="00A309C9" w:rsidRPr="00441478" w:rsidRDefault="00A309C9" w:rsidP="00441478">
            <w:pPr>
              <w:jc w:val="center"/>
              <w:rPr>
                <w:rFonts w:asciiTheme="majorBidi" w:hAnsiTheme="majorBidi" w:cstheme="majorBidi"/>
                <w:sz w:val="24"/>
                <w:szCs w:val="24"/>
              </w:rPr>
            </w:pPr>
            <w:r w:rsidRPr="00441478">
              <w:rPr>
                <w:rFonts w:asciiTheme="majorBidi" w:hAnsiTheme="majorBidi" w:cstheme="majorBidi"/>
                <w:sz w:val="24"/>
                <w:szCs w:val="24"/>
              </w:rPr>
              <w:t>+</w:t>
            </w:r>
          </w:p>
        </w:tc>
        <w:tc>
          <w:tcPr>
            <w:tcW w:w="2094" w:type="pct"/>
            <w:tcBorders>
              <w:top w:val="single" w:sz="4" w:space="0" w:color="auto"/>
              <w:left w:val="nil"/>
              <w:bottom w:val="single" w:sz="4" w:space="0" w:color="auto"/>
              <w:right w:val="nil"/>
            </w:tcBorders>
            <w:vAlign w:val="center"/>
          </w:tcPr>
          <w:p w14:paraId="62698C73" w14:textId="7C4DD495" w:rsidR="00A309C9" w:rsidRPr="00441478" w:rsidRDefault="00A309C9" w:rsidP="00C8366C">
            <w:pPr>
              <w:jc w:val="center"/>
              <w:rPr>
                <w:rFonts w:asciiTheme="majorBidi" w:hAnsiTheme="majorBidi" w:cstheme="majorBidi"/>
                <w:sz w:val="24"/>
                <w:szCs w:val="24"/>
              </w:rPr>
            </w:pPr>
            <w:r w:rsidRPr="00441478">
              <w:rPr>
                <w:rFonts w:asciiTheme="majorBidi" w:hAnsiTheme="majorBidi" w:cstheme="majorBidi"/>
                <w:sz w:val="24"/>
                <w:szCs w:val="24"/>
              </w:rPr>
              <w:t xml:space="preserve">Lee </w:t>
            </w:r>
            <w:r w:rsidR="00C8366C">
              <w:rPr>
                <w:rFonts w:asciiTheme="majorBidi" w:hAnsiTheme="majorBidi" w:cstheme="majorBidi"/>
                <w:sz w:val="24"/>
                <w:szCs w:val="24"/>
              </w:rPr>
              <w:t>&amp;</w:t>
            </w:r>
            <w:r w:rsidRPr="00441478">
              <w:rPr>
                <w:rFonts w:asciiTheme="majorBidi" w:hAnsiTheme="majorBidi" w:cstheme="majorBidi"/>
                <w:sz w:val="24"/>
                <w:szCs w:val="24"/>
              </w:rPr>
              <w:t xml:space="preserve"> Kim (2019)</w:t>
            </w:r>
          </w:p>
        </w:tc>
      </w:tr>
      <w:tr w:rsidR="007F15D8" w:rsidRPr="00441478" w14:paraId="05DCE907" w14:textId="77777777" w:rsidTr="00BC2331">
        <w:trPr>
          <w:trHeight w:val="340"/>
        </w:trPr>
        <w:tc>
          <w:tcPr>
            <w:tcW w:w="1358" w:type="pct"/>
            <w:tcBorders>
              <w:top w:val="single" w:sz="4" w:space="0" w:color="auto"/>
              <w:left w:val="nil"/>
              <w:bottom w:val="single" w:sz="4" w:space="0" w:color="auto"/>
              <w:right w:val="single" w:sz="4" w:space="0" w:color="auto"/>
            </w:tcBorders>
            <w:vAlign w:val="center"/>
          </w:tcPr>
          <w:p w14:paraId="12E39B22" w14:textId="77777777" w:rsidR="00A309C9" w:rsidRPr="00441478" w:rsidRDefault="00A309C9" w:rsidP="003C26FA">
            <w:pPr>
              <w:rPr>
                <w:rFonts w:asciiTheme="majorBidi" w:hAnsiTheme="majorBidi" w:cstheme="majorBidi"/>
                <w:sz w:val="24"/>
                <w:szCs w:val="24"/>
              </w:rPr>
            </w:pPr>
            <w:r w:rsidRPr="00441478">
              <w:rPr>
                <w:rFonts w:asciiTheme="majorBidi" w:hAnsiTheme="majorBidi" w:cstheme="majorBidi"/>
                <w:sz w:val="24"/>
                <w:szCs w:val="24"/>
              </w:rPr>
              <w:t>Value Relevance</w:t>
            </w:r>
          </w:p>
        </w:tc>
        <w:tc>
          <w:tcPr>
            <w:tcW w:w="774" w:type="pct"/>
            <w:tcBorders>
              <w:top w:val="single" w:sz="4" w:space="0" w:color="auto"/>
              <w:left w:val="single" w:sz="4" w:space="0" w:color="auto"/>
              <w:bottom w:val="single" w:sz="4" w:space="0" w:color="auto"/>
              <w:right w:val="nil"/>
            </w:tcBorders>
            <w:vAlign w:val="center"/>
          </w:tcPr>
          <w:p w14:paraId="40C3179B" w14:textId="77777777" w:rsidR="00A309C9" w:rsidRPr="00441478" w:rsidRDefault="00A309C9" w:rsidP="00441478">
            <w:pPr>
              <w:jc w:val="center"/>
              <w:rPr>
                <w:rFonts w:asciiTheme="majorBidi" w:hAnsiTheme="majorBidi" w:cstheme="majorBidi"/>
                <w:sz w:val="24"/>
                <w:szCs w:val="24"/>
              </w:rPr>
            </w:pPr>
            <w:r w:rsidRPr="00441478">
              <w:rPr>
                <w:rFonts w:asciiTheme="majorBidi" w:hAnsiTheme="majorBidi" w:cstheme="majorBidi"/>
                <w:sz w:val="24"/>
                <w:szCs w:val="24"/>
              </w:rPr>
              <w:t>Positive</w:t>
            </w:r>
          </w:p>
        </w:tc>
        <w:tc>
          <w:tcPr>
            <w:tcW w:w="774" w:type="pct"/>
            <w:tcBorders>
              <w:top w:val="single" w:sz="4" w:space="0" w:color="auto"/>
              <w:left w:val="nil"/>
              <w:bottom w:val="single" w:sz="4" w:space="0" w:color="auto"/>
              <w:right w:val="nil"/>
            </w:tcBorders>
            <w:vAlign w:val="center"/>
          </w:tcPr>
          <w:p w14:paraId="176D6E40" w14:textId="77777777" w:rsidR="00A309C9" w:rsidRPr="00441478" w:rsidRDefault="00A309C9" w:rsidP="00441478">
            <w:pPr>
              <w:jc w:val="center"/>
              <w:rPr>
                <w:rFonts w:asciiTheme="majorBidi" w:hAnsiTheme="majorBidi" w:cstheme="majorBidi"/>
                <w:sz w:val="24"/>
                <w:szCs w:val="24"/>
              </w:rPr>
            </w:pPr>
            <w:r w:rsidRPr="00441478">
              <w:rPr>
                <w:rFonts w:asciiTheme="majorBidi" w:hAnsiTheme="majorBidi" w:cstheme="majorBidi"/>
                <w:sz w:val="24"/>
                <w:szCs w:val="24"/>
              </w:rPr>
              <w:t>+</w:t>
            </w:r>
          </w:p>
        </w:tc>
        <w:tc>
          <w:tcPr>
            <w:tcW w:w="2094" w:type="pct"/>
            <w:tcBorders>
              <w:top w:val="single" w:sz="4" w:space="0" w:color="auto"/>
              <w:left w:val="nil"/>
              <w:bottom w:val="single" w:sz="4" w:space="0" w:color="auto"/>
              <w:right w:val="nil"/>
            </w:tcBorders>
            <w:vAlign w:val="center"/>
          </w:tcPr>
          <w:p w14:paraId="5C2B5807" w14:textId="71E6911A" w:rsidR="00A309C9" w:rsidRPr="00441478" w:rsidRDefault="00A309C9" w:rsidP="00C8366C">
            <w:pPr>
              <w:jc w:val="center"/>
              <w:rPr>
                <w:rFonts w:asciiTheme="majorBidi" w:hAnsiTheme="majorBidi" w:cstheme="majorBidi"/>
                <w:sz w:val="24"/>
                <w:szCs w:val="24"/>
              </w:rPr>
            </w:pPr>
            <w:r w:rsidRPr="00441478">
              <w:rPr>
                <w:rFonts w:asciiTheme="majorBidi" w:hAnsiTheme="majorBidi" w:cstheme="majorBidi"/>
                <w:sz w:val="24"/>
                <w:szCs w:val="24"/>
              </w:rPr>
              <w:t>An (2019)</w:t>
            </w:r>
            <w:r w:rsidR="00B725B6">
              <w:rPr>
                <w:rFonts w:asciiTheme="majorBidi" w:hAnsiTheme="majorBidi" w:cstheme="majorBidi"/>
                <w:sz w:val="24"/>
                <w:szCs w:val="24"/>
              </w:rPr>
              <w:t>,</w:t>
            </w:r>
            <w:r w:rsidRPr="00441478">
              <w:rPr>
                <w:rFonts w:asciiTheme="majorBidi" w:hAnsiTheme="majorBidi" w:cstheme="majorBidi"/>
                <w:sz w:val="24"/>
                <w:szCs w:val="24"/>
              </w:rPr>
              <w:t xml:space="preserve"> Jiang </w:t>
            </w:r>
            <w:r w:rsidR="00C8366C">
              <w:rPr>
                <w:rFonts w:asciiTheme="majorBidi" w:hAnsiTheme="majorBidi" w:cstheme="majorBidi"/>
                <w:sz w:val="24"/>
                <w:szCs w:val="24"/>
              </w:rPr>
              <w:t>&amp;</w:t>
            </w:r>
            <w:r w:rsidRPr="00441478">
              <w:rPr>
                <w:rFonts w:asciiTheme="majorBidi" w:hAnsiTheme="majorBidi" w:cstheme="majorBidi"/>
                <w:sz w:val="24"/>
                <w:szCs w:val="24"/>
              </w:rPr>
              <w:t xml:space="preserve"> Kim (2004)</w:t>
            </w:r>
          </w:p>
        </w:tc>
      </w:tr>
      <w:tr w:rsidR="007F15D8" w:rsidRPr="00441478" w14:paraId="2F7AF5E9" w14:textId="77777777" w:rsidTr="00BC2331">
        <w:trPr>
          <w:trHeight w:val="340"/>
        </w:trPr>
        <w:tc>
          <w:tcPr>
            <w:tcW w:w="1358" w:type="pct"/>
            <w:tcBorders>
              <w:top w:val="single" w:sz="4" w:space="0" w:color="auto"/>
              <w:left w:val="nil"/>
              <w:bottom w:val="single" w:sz="4" w:space="0" w:color="auto"/>
              <w:right w:val="single" w:sz="4" w:space="0" w:color="auto"/>
            </w:tcBorders>
            <w:vAlign w:val="center"/>
          </w:tcPr>
          <w:p w14:paraId="06E454EA" w14:textId="77777777" w:rsidR="00A309C9" w:rsidRPr="00441478" w:rsidRDefault="00A309C9" w:rsidP="003C26FA">
            <w:pPr>
              <w:rPr>
                <w:rFonts w:asciiTheme="majorBidi" w:hAnsiTheme="majorBidi" w:cstheme="majorBidi"/>
                <w:sz w:val="24"/>
                <w:szCs w:val="24"/>
              </w:rPr>
            </w:pPr>
            <w:r w:rsidRPr="00441478">
              <w:rPr>
                <w:rFonts w:asciiTheme="majorBidi" w:hAnsiTheme="majorBidi" w:cstheme="majorBidi"/>
                <w:sz w:val="24"/>
                <w:szCs w:val="24"/>
              </w:rPr>
              <w:t>ERC</w:t>
            </w:r>
          </w:p>
        </w:tc>
        <w:tc>
          <w:tcPr>
            <w:tcW w:w="774" w:type="pct"/>
            <w:tcBorders>
              <w:top w:val="single" w:sz="4" w:space="0" w:color="auto"/>
              <w:left w:val="single" w:sz="4" w:space="0" w:color="auto"/>
              <w:bottom w:val="single" w:sz="4" w:space="0" w:color="auto"/>
              <w:right w:val="nil"/>
            </w:tcBorders>
            <w:vAlign w:val="center"/>
          </w:tcPr>
          <w:p w14:paraId="009A3E4C" w14:textId="77777777" w:rsidR="00A309C9" w:rsidRPr="00441478" w:rsidRDefault="00A309C9" w:rsidP="00441478">
            <w:pPr>
              <w:jc w:val="center"/>
              <w:rPr>
                <w:rFonts w:asciiTheme="majorBidi" w:hAnsiTheme="majorBidi" w:cstheme="majorBidi"/>
                <w:sz w:val="24"/>
                <w:szCs w:val="24"/>
              </w:rPr>
            </w:pPr>
            <w:r w:rsidRPr="00441478">
              <w:rPr>
                <w:rFonts w:asciiTheme="majorBidi" w:hAnsiTheme="majorBidi" w:cstheme="majorBidi"/>
                <w:sz w:val="24"/>
                <w:szCs w:val="24"/>
              </w:rPr>
              <w:t>Positive</w:t>
            </w:r>
          </w:p>
        </w:tc>
        <w:tc>
          <w:tcPr>
            <w:tcW w:w="774" w:type="pct"/>
            <w:tcBorders>
              <w:top w:val="single" w:sz="4" w:space="0" w:color="auto"/>
              <w:left w:val="nil"/>
              <w:bottom w:val="single" w:sz="4" w:space="0" w:color="auto"/>
              <w:right w:val="nil"/>
            </w:tcBorders>
            <w:vAlign w:val="center"/>
          </w:tcPr>
          <w:p w14:paraId="3854A04F" w14:textId="77777777" w:rsidR="00A309C9" w:rsidRPr="00441478" w:rsidRDefault="00A309C9" w:rsidP="00441478">
            <w:pPr>
              <w:jc w:val="center"/>
              <w:rPr>
                <w:rFonts w:asciiTheme="majorBidi" w:hAnsiTheme="majorBidi" w:cstheme="majorBidi"/>
                <w:sz w:val="24"/>
                <w:szCs w:val="24"/>
              </w:rPr>
            </w:pPr>
            <w:r w:rsidRPr="00441478">
              <w:rPr>
                <w:rFonts w:asciiTheme="majorBidi" w:hAnsiTheme="majorBidi" w:cstheme="majorBidi"/>
                <w:sz w:val="24"/>
                <w:szCs w:val="24"/>
              </w:rPr>
              <w:t>+</w:t>
            </w:r>
          </w:p>
        </w:tc>
        <w:tc>
          <w:tcPr>
            <w:tcW w:w="2094" w:type="pct"/>
            <w:tcBorders>
              <w:top w:val="single" w:sz="4" w:space="0" w:color="auto"/>
              <w:left w:val="nil"/>
              <w:bottom w:val="single" w:sz="4" w:space="0" w:color="auto"/>
              <w:right w:val="nil"/>
            </w:tcBorders>
            <w:vAlign w:val="center"/>
          </w:tcPr>
          <w:p w14:paraId="2196C11B" w14:textId="77777777" w:rsidR="00A309C9" w:rsidRPr="00441478" w:rsidRDefault="00A309C9" w:rsidP="00441478">
            <w:pPr>
              <w:jc w:val="center"/>
              <w:rPr>
                <w:rFonts w:asciiTheme="majorBidi" w:hAnsiTheme="majorBidi" w:cstheme="majorBidi"/>
                <w:sz w:val="24"/>
                <w:szCs w:val="24"/>
              </w:rPr>
            </w:pPr>
            <w:proofErr w:type="spellStart"/>
            <w:r w:rsidRPr="00441478">
              <w:rPr>
                <w:rFonts w:asciiTheme="majorBidi" w:hAnsiTheme="majorBidi" w:cstheme="majorBidi"/>
                <w:sz w:val="24"/>
                <w:szCs w:val="24"/>
              </w:rPr>
              <w:t>Maditinos</w:t>
            </w:r>
            <w:proofErr w:type="spellEnd"/>
            <w:r w:rsidRPr="00441478">
              <w:rPr>
                <w:rFonts w:asciiTheme="majorBidi" w:hAnsiTheme="majorBidi" w:cstheme="majorBidi"/>
                <w:sz w:val="24"/>
                <w:szCs w:val="24"/>
              </w:rPr>
              <w:t xml:space="preserve"> et al. (2013)</w:t>
            </w:r>
          </w:p>
        </w:tc>
      </w:tr>
      <w:tr w:rsidR="007F15D8" w:rsidRPr="00441478" w14:paraId="0720A256" w14:textId="77777777" w:rsidTr="00BC2331">
        <w:trPr>
          <w:trHeight w:val="340"/>
        </w:trPr>
        <w:tc>
          <w:tcPr>
            <w:tcW w:w="1358" w:type="pct"/>
            <w:tcBorders>
              <w:top w:val="single" w:sz="4" w:space="0" w:color="auto"/>
              <w:left w:val="nil"/>
              <w:bottom w:val="single" w:sz="4" w:space="0" w:color="auto"/>
              <w:right w:val="single" w:sz="4" w:space="0" w:color="auto"/>
            </w:tcBorders>
            <w:vAlign w:val="center"/>
          </w:tcPr>
          <w:p w14:paraId="1B38C1F7" w14:textId="77777777" w:rsidR="00A309C9" w:rsidRPr="00441478" w:rsidRDefault="00A309C9" w:rsidP="003C26FA">
            <w:pPr>
              <w:rPr>
                <w:rFonts w:asciiTheme="majorBidi" w:hAnsiTheme="majorBidi" w:cstheme="majorBidi"/>
                <w:sz w:val="24"/>
                <w:szCs w:val="24"/>
              </w:rPr>
            </w:pPr>
            <w:r w:rsidRPr="00441478">
              <w:rPr>
                <w:rFonts w:asciiTheme="majorBidi" w:hAnsiTheme="majorBidi" w:cstheme="majorBidi"/>
                <w:sz w:val="24"/>
                <w:szCs w:val="24"/>
              </w:rPr>
              <w:t>Earnings Surprise</w:t>
            </w:r>
          </w:p>
        </w:tc>
        <w:tc>
          <w:tcPr>
            <w:tcW w:w="774" w:type="pct"/>
            <w:tcBorders>
              <w:top w:val="single" w:sz="4" w:space="0" w:color="auto"/>
              <w:left w:val="single" w:sz="4" w:space="0" w:color="auto"/>
              <w:bottom w:val="single" w:sz="4" w:space="0" w:color="auto"/>
              <w:right w:val="nil"/>
            </w:tcBorders>
            <w:vAlign w:val="center"/>
          </w:tcPr>
          <w:p w14:paraId="6B75DDCB" w14:textId="77777777" w:rsidR="00A309C9" w:rsidRPr="00441478" w:rsidRDefault="00A309C9" w:rsidP="00441478">
            <w:pPr>
              <w:jc w:val="center"/>
              <w:rPr>
                <w:rFonts w:asciiTheme="majorBidi" w:hAnsiTheme="majorBidi" w:cstheme="majorBidi"/>
                <w:sz w:val="24"/>
                <w:szCs w:val="24"/>
              </w:rPr>
            </w:pPr>
            <w:r w:rsidRPr="00441478">
              <w:rPr>
                <w:rFonts w:asciiTheme="majorBidi" w:hAnsiTheme="majorBidi" w:cstheme="majorBidi"/>
                <w:sz w:val="24"/>
                <w:szCs w:val="24"/>
              </w:rPr>
              <w:t>Positive</w:t>
            </w:r>
          </w:p>
        </w:tc>
        <w:tc>
          <w:tcPr>
            <w:tcW w:w="774" w:type="pct"/>
            <w:tcBorders>
              <w:top w:val="single" w:sz="4" w:space="0" w:color="auto"/>
              <w:left w:val="nil"/>
              <w:bottom w:val="single" w:sz="4" w:space="0" w:color="auto"/>
              <w:right w:val="nil"/>
            </w:tcBorders>
            <w:vAlign w:val="center"/>
          </w:tcPr>
          <w:p w14:paraId="23CAB660" w14:textId="77777777" w:rsidR="00A309C9" w:rsidRPr="00441478" w:rsidRDefault="00A309C9" w:rsidP="00441478">
            <w:pPr>
              <w:jc w:val="center"/>
              <w:rPr>
                <w:rFonts w:asciiTheme="majorBidi" w:hAnsiTheme="majorBidi" w:cstheme="majorBidi"/>
                <w:sz w:val="24"/>
                <w:szCs w:val="24"/>
              </w:rPr>
            </w:pPr>
            <w:r w:rsidRPr="00441478">
              <w:rPr>
                <w:rFonts w:asciiTheme="majorBidi" w:hAnsiTheme="majorBidi" w:cstheme="majorBidi"/>
                <w:sz w:val="24"/>
                <w:szCs w:val="24"/>
              </w:rPr>
              <w:t>+</w:t>
            </w:r>
          </w:p>
        </w:tc>
        <w:tc>
          <w:tcPr>
            <w:tcW w:w="2094" w:type="pct"/>
            <w:tcBorders>
              <w:top w:val="single" w:sz="4" w:space="0" w:color="auto"/>
              <w:left w:val="nil"/>
              <w:bottom w:val="single" w:sz="4" w:space="0" w:color="auto"/>
              <w:right w:val="nil"/>
            </w:tcBorders>
            <w:vAlign w:val="center"/>
          </w:tcPr>
          <w:p w14:paraId="32C33DA5" w14:textId="44FA830E" w:rsidR="00A309C9" w:rsidRPr="00441478" w:rsidRDefault="00A309C9" w:rsidP="00C8366C">
            <w:pPr>
              <w:jc w:val="center"/>
              <w:rPr>
                <w:rFonts w:asciiTheme="majorBidi" w:hAnsiTheme="majorBidi" w:cstheme="majorBidi"/>
                <w:sz w:val="24"/>
                <w:szCs w:val="24"/>
              </w:rPr>
            </w:pPr>
            <w:r w:rsidRPr="00441478">
              <w:rPr>
                <w:rFonts w:asciiTheme="majorBidi" w:hAnsiTheme="majorBidi" w:cstheme="majorBidi"/>
                <w:sz w:val="24"/>
                <w:szCs w:val="24"/>
              </w:rPr>
              <w:t xml:space="preserve">Barton </w:t>
            </w:r>
            <w:r w:rsidR="00C8366C">
              <w:rPr>
                <w:rFonts w:asciiTheme="majorBidi" w:hAnsiTheme="majorBidi" w:cstheme="majorBidi"/>
                <w:sz w:val="24"/>
                <w:szCs w:val="24"/>
              </w:rPr>
              <w:t>&amp;</w:t>
            </w:r>
            <w:r w:rsidRPr="00441478">
              <w:rPr>
                <w:rFonts w:asciiTheme="majorBidi" w:hAnsiTheme="majorBidi" w:cstheme="majorBidi"/>
                <w:sz w:val="24"/>
                <w:szCs w:val="24"/>
              </w:rPr>
              <w:t xml:space="preserve"> </w:t>
            </w:r>
            <w:proofErr w:type="spellStart"/>
            <w:r w:rsidRPr="00441478">
              <w:rPr>
                <w:rFonts w:asciiTheme="majorBidi" w:hAnsiTheme="majorBidi" w:cstheme="majorBidi"/>
                <w:sz w:val="24"/>
                <w:szCs w:val="24"/>
              </w:rPr>
              <w:t>Simko</w:t>
            </w:r>
            <w:proofErr w:type="spellEnd"/>
            <w:r w:rsidRPr="00441478">
              <w:rPr>
                <w:rFonts w:asciiTheme="majorBidi" w:hAnsiTheme="majorBidi" w:cstheme="majorBidi"/>
                <w:sz w:val="24"/>
                <w:szCs w:val="24"/>
              </w:rPr>
              <w:t xml:space="preserve"> (2002)</w:t>
            </w:r>
          </w:p>
        </w:tc>
      </w:tr>
      <w:tr w:rsidR="007F15D8" w:rsidRPr="00441478" w14:paraId="443B5856" w14:textId="77777777" w:rsidTr="00BC2331">
        <w:trPr>
          <w:trHeight w:val="567"/>
        </w:trPr>
        <w:tc>
          <w:tcPr>
            <w:tcW w:w="1358" w:type="pct"/>
            <w:tcBorders>
              <w:top w:val="single" w:sz="4" w:space="0" w:color="auto"/>
              <w:left w:val="nil"/>
              <w:bottom w:val="single" w:sz="4" w:space="0" w:color="auto"/>
              <w:right w:val="single" w:sz="4" w:space="0" w:color="auto"/>
            </w:tcBorders>
            <w:vAlign w:val="center"/>
          </w:tcPr>
          <w:p w14:paraId="0A0063FC" w14:textId="77777777" w:rsidR="00A309C9" w:rsidRPr="00441478" w:rsidRDefault="00A309C9" w:rsidP="003C26FA">
            <w:pPr>
              <w:rPr>
                <w:rFonts w:asciiTheme="majorBidi" w:hAnsiTheme="majorBidi" w:cstheme="majorBidi"/>
                <w:sz w:val="24"/>
                <w:szCs w:val="24"/>
              </w:rPr>
            </w:pPr>
            <w:r w:rsidRPr="00441478">
              <w:rPr>
                <w:rFonts w:asciiTheme="majorBidi" w:hAnsiTheme="majorBidi" w:cstheme="majorBidi"/>
                <w:sz w:val="24"/>
                <w:szCs w:val="24"/>
              </w:rPr>
              <w:t>Accrual Quality</w:t>
            </w:r>
          </w:p>
        </w:tc>
        <w:tc>
          <w:tcPr>
            <w:tcW w:w="774" w:type="pct"/>
            <w:tcBorders>
              <w:top w:val="single" w:sz="4" w:space="0" w:color="auto"/>
              <w:left w:val="single" w:sz="4" w:space="0" w:color="auto"/>
              <w:bottom w:val="single" w:sz="4" w:space="0" w:color="auto"/>
              <w:right w:val="nil"/>
            </w:tcBorders>
            <w:vAlign w:val="center"/>
          </w:tcPr>
          <w:p w14:paraId="4C086A80" w14:textId="77777777" w:rsidR="00A309C9" w:rsidRPr="00441478" w:rsidRDefault="00A309C9" w:rsidP="00441478">
            <w:pPr>
              <w:jc w:val="center"/>
              <w:rPr>
                <w:rFonts w:asciiTheme="majorBidi" w:hAnsiTheme="majorBidi" w:cstheme="majorBidi"/>
                <w:sz w:val="24"/>
                <w:szCs w:val="24"/>
              </w:rPr>
            </w:pPr>
            <w:r w:rsidRPr="00441478">
              <w:rPr>
                <w:rFonts w:asciiTheme="majorBidi" w:hAnsiTheme="majorBidi" w:cstheme="majorBidi"/>
                <w:sz w:val="24"/>
                <w:szCs w:val="24"/>
              </w:rPr>
              <w:t>Positive</w:t>
            </w:r>
          </w:p>
        </w:tc>
        <w:tc>
          <w:tcPr>
            <w:tcW w:w="774" w:type="pct"/>
            <w:tcBorders>
              <w:top w:val="single" w:sz="4" w:space="0" w:color="auto"/>
              <w:left w:val="nil"/>
              <w:bottom w:val="single" w:sz="4" w:space="0" w:color="auto"/>
              <w:right w:val="nil"/>
            </w:tcBorders>
            <w:vAlign w:val="center"/>
          </w:tcPr>
          <w:p w14:paraId="79EA93ED" w14:textId="77777777" w:rsidR="00A309C9" w:rsidRPr="00441478" w:rsidRDefault="00A309C9" w:rsidP="00441478">
            <w:pPr>
              <w:jc w:val="center"/>
              <w:rPr>
                <w:rFonts w:asciiTheme="majorBidi" w:hAnsiTheme="majorBidi" w:cstheme="majorBidi"/>
                <w:sz w:val="24"/>
                <w:szCs w:val="24"/>
              </w:rPr>
            </w:pPr>
            <w:r w:rsidRPr="00441478">
              <w:rPr>
                <w:rFonts w:asciiTheme="majorBidi" w:hAnsiTheme="majorBidi" w:cstheme="majorBidi"/>
                <w:sz w:val="24"/>
                <w:szCs w:val="24"/>
              </w:rPr>
              <w:t>+</w:t>
            </w:r>
          </w:p>
        </w:tc>
        <w:tc>
          <w:tcPr>
            <w:tcW w:w="2094" w:type="pct"/>
            <w:tcBorders>
              <w:top w:val="single" w:sz="4" w:space="0" w:color="auto"/>
              <w:left w:val="nil"/>
              <w:bottom w:val="single" w:sz="4" w:space="0" w:color="auto"/>
              <w:right w:val="nil"/>
            </w:tcBorders>
            <w:vAlign w:val="center"/>
          </w:tcPr>
          <w:p w14:paraId="3739ECB9" w14:textId="48D3A495" w:rsidR="00A309C9" w:rsidRPr="00441478" w:rsidRDefault="00A309C9" w:rsidP="00C8366C">
            <w:pPr>
              <w:jc w:val="center"/>
              <w:rPr>
                <w:rFonts w:asciiTheme="majorBidi" w:hAnsiTheme="majorBidi" w:cstheme="majorBidi"/>
                <w:sz w:val="24"/>
                <w:szCs w:val="24"/>
              </w:rPr>
            </w:pPr>
            <w:r w:rsidRPr="00441478">
              <w:rPr>
                <w:rFonts w:asciiTheme="majorBidi" w:hAnsiTheme="majorBidi" w:cstheme="majorBidi"/>
                <w:sz w:val="24"/>
                <w:szCs w:val="24"/>
              </w:rPr>
              <w:t xml:space="preserve">(Lee </w:t>
            </w:r>
            <w:r w:rsidR="00C8366C">
              <w:rPr>
                <w:rFonts w:asciiTheme="majorBidi" w:hAnsiTheme="majorBidi" w:cstheme="majorBidi"/>
                <w:sz w:val="24"/>
                <w:szCs w:val="24"/>
              </w:rPr>
              <w:t>&amp;</w:t>
            </w:r>
            <w:r w:rsidRPr="00441478">
              <w:rPr>
                <w:rFonts w:asciiTheme="majorBidi" w:hAnsiTheme="majorBidi" w:cstheme="majorBidi"/>
                <w:sz w:val="24"/>
                <w:szCs w:val="24"/>
              </w:rPr>
              <w:t xml:space="preserve"> Kim, 2019), </w:t>
            </w:r>
            <w:r w:rsidR="00B725B6">
              <w:rPr>
                <w:rFonts w:asciiTheme="majorBidi" w:hAnsiTheme="majorBidi" w:cstheme="majorBidi"/>
                <w:sz w:val="24"/>
                <w:szCs w:val="24"/>
              </w:rPr>
              <w:br/>
            </w:r>
            <w:r w:rsidRPr="00441478">
              <w:rPr>
                <w:rFonts w:asciiTheme="majorBidi" w:hAnsiTheme="majorBidi" w:cstheme="majorBidi"/>
                <w:sz w:val="24"/>
                <w:szCs w:val="24"/>
              </w:rPr>
              <w:t xml:space="preserve">(Shin </w:t>
            </w:r>
            <w:r w:rsidR="00C8366C">
              <w:rPr>
                <w:rFonts w:asciiTheme="majorBidi" w:hAnsiTheme="majorBidi" w:cstheme="majorBidi"/>
                <w:sz w:val="24"/>
                <w:szCs w:val="24"/>
              </w:rPr>
              <w:t>&amp;</w:t>
            </w:r>
            <w:r w:rsidRPr="00441478">
              <w:rPr>
                <w:rFonts w:asciiTheme="majorBidi" w:hAnsiTheme="majorBidi" w:cstheme="majorBidi"/>
                <w:sz w:val="24"/>
                <w:szCs w:val="24"/>
              </w:rPr>
              <w:t xml:space="preserve"> Oh, 2017).</w:t>
            </w:r>
          </w:p>
        </w:tc>
      </w:tr>
      <w:tr w:rsidR="007F15D8" w:rsidRPr="00441478" w14:paraId="6E015B83" w14:textId="77777777" w:rsidTr="00BC2331">
        <w:trPr>
          <w:trHeight w:val="340"/>
        </w:trPr>
        <w:tc>
          <w:tcPr>
            <w:tcW w:w="1358" w:type="pct"/>
            <w:tcBorders>
              <w:top w:val="single" w:sz="4" w:space="0" w:color="auto"/>
              <w:left w:val="nil"/>
              <w:bottom w:val="single" w:sz="4" w:space="0" w:color="auto"/>
              <w:right w:val="single" w:sz="4" w:space="0" w:color="auto"/>
            </w:tcBorders>
            <w:vAlign w:val="center"/>
          </w:tcPr>
          <w:p w14:paraId="33B8C0FF" w14:textId="77777777" w:rsidR="00A309C9" w:rsidRPr="00441478" w:rsidRDefault="00A309C9" w:rsidP="003C26FA">
            <w:pPr>
              <w:rPr>
                <w:rFonts w:asciiTheme="majorBidi" w:hAnsiTheme="majorBidi" w:cstheme="majorBidi"/>
                <w:sz w:val="24"/>
                <w:szCs w:val="24"/>
              </w:rPr>
            </w:pPr>
            <w:r w:rsidRPr="00441478">
              <w:rPr>
                <w:rFonts w:asciiTheme="majorBidi" w:hAnsiTheme="majorBidi" w:cstheme="majorBidi"/>
                <w:sz w:val="24"/>
                <w:szCs w:val="24"/>
              </w:rPr>
              <w:t>Earnings Smoothness</w:t>
            </w:r>
          </w:p>
        </w:tc>
        <w:tc>
          <w:tcPr>
            <w:tcW w:w="774" w:type="pct"/>
            <w:tcBorders>
              <w:top w:val="single" w:sz="4" w:space="0" w:color="auto"/>
              <w:left w:val="single" w:sz="4" w:space="0" w:color="auto"/>
              <w:bottom w:val="single" w:sz="4" w:space="0" w:color="auto"/>
              <w:right w:val="nil"/>
            </w:tcBorders>
            <w:vAlign w:val="center"/>
          </w:tcPr>
          <w:p w14:paraId="51D0C3BD" w14:textId="77777777" w:rsidR="00A309C9" w:rsidRPr="00441478" w:rsidRDefault="00A309C9" w:rsidP="00441478">
            <w:pPr>
              <w:jc w:val="center"/>
              <w:rPr>
                <w:rFonts w:asciiTheme="majorBidi" w:hAnsiTheme="majorBidi" w:cstheme="majorBidi"/>
                <w:sz w:val="24"/>
                <w:szCs w:val="24"/>
              </w:rPr>
            </w:pPr>
            <w:r w:rsidRPr="00441478">
              <w:rPr>
                <w:rFonts w:asciiTheme="majorBidi" w:hAnsiTheme="majorBidi" w:cstheme="majorBidi"/>
                <w:sz w:val="24"/>
                <w:szCs w:val="24"/>
              </w:rPr>
              <w:t>Positive</w:t>
            </w:r>
          </w:p>
        </w:tc>
        <w:tc>
          <w:tcPr>
            <w:tcW w:w="774" w:type="pct"/>
            <w:tcBorders>
              <w:top w:val="single" w:sz="4" w:space="0" w:color="auto"/>
              <w:left w:val="nil"/>
              <w:bottom w:val="single" w:sz="4" w:space="0" w:color="auto"/>
              <w:right w:val="nil"/>
            </w:tcBorders>
            <w:vAlign w:val="center"/>
          </w:tcPr>
          <w:p w14:paraId="50F1FFFA" w14:textId="77777777" w:rsidR="00A309C9" w:rsidRPr="00441478" w:rsidRDefault="00A309C9" w:rsidP="00441478">
            <w:pPr>
              <w:jc w:val="center"/>
              <w:rPr>
                <w:rFonts w:asciiTheme="majorBidi" w:hAnsiTheme="majorBidi" w:cstheme="majorBidi"/>
                <w:sz w:val="24"/>
                <w:szCs w:val="24"/>
              </w:rPr>
            </w:pPr>
            <w:r w:rsidRPr="00441478">
              <w:rPr>
                <w:rFonts w:asciiTheme="majorBidi" w:hAnsiTheme="majorBidi" w:cstheme="majorBidi"/>
                <w:sz w:val="24"/>
                <w:szCs w:val="24"/>
              </w:rPr>
              <w:t>No sign</w:t>
            </w:r>
          </w:p>
        </w:tc>
        <w:tc>
          <w:tcPr>
            <w:tcW w:w="2094" w:type="pct"/>
            <w:tcBorders>
              <w:top w:val="single" w:sz="4" w:space="0" w:color="auto"/>
              <w:left w:val="nil"/>
              <w:bottom w:val="single" w:sz="4" w:space="0" w:color="auto"/>
              <w:right w:val="nil"/>
            </w:tcBorders>
            <w:vAlign w:val="center"/>
          </w:tcPr>
          <w:p w14:paraId="6EF5FD3F" w14:textId="7C459D79" w:rsidR="00A309C9" w:rsidRPr="00441478" w:rsidRDefault="00A309C9" w:rsidP="00C8366C">
            <w:pPr>
              <w:jc w:val="center"/>
              <w:rPr>
                <w:rFonts w:asciiTheme="majorBidi" w:hAnsiTheme="majorBidi" w:cstheme="majorBidi"/>
                <w:sz w:val="24"/>
                <w:szCs w:val="24"/>
              </w:rPr>
            </w:pPr>
            <w:r w:rsidRPr="00441478">
              <w:rPr>
                <w:rFonts w:asciiTheme="majorBidi" w:hAnsiTheme="majorBidi" w:cstheme="majorBidi"/>
                <w:sz w:val="24"/>
                <w:szCs w:val="24"/>
              </w:rPr>
              <w:t xml:space="preserve">Cheng </w:t>
            </w:r>
            <w:r w:rsidR="00C8366C">
              <w:rPr>
                <w:rFonts w:asciiTheme="majorBidi" w:hAnsiTheme="majorBidi" w:cstheme="majorBidi"/>
                <w:sz w:val="24"/>
                <w:szCs w:val="24"/>
              </w:rPr>
              <w:t>&amp;</w:t>
            </w:r>
            <w:r w:rsidRPr="00441478">
              <w:rPr>
                <w:rFonts w:asciiTheme="majorBidi" w:hAnsiTheme="majorBidi" w:cstheme="majorBidi"/>
                <w:sz w:val="24"/>
                <w:szCs w:val="24"/>
              </w:rPr>
              <w:t xml:space="preserve"> Li (2014)</w:t>
            </w:r>
          </w:p>
        </w:tc>
      </w:tr>
      <w:tr w:rsidR="00BC2331" w:rsidRPr="00441478" w14:paraId="30A516EB" w14:textId="77777777" w:rsidTr="00BC2331">
        <w:trPr>
          <w:trHeight w:val="340"/>
        </w:trPr>
        <w:tc>
          <w:tcPr>
            <w:tcW w:w="1358" w:type="pct"/>
            <w:tcBorders>
              <w:top w:val="single" w:sz="4" w:space="0" w:color="auto"/>
              <w:left w:val="nil"/>
              <w:bottom w:val="single" w:sz="4" w:space="0" w:color="auto"/>
              <w:right w:val="single" w:sz="4" w:space="0" w:color="auto"/>
            </w:tcBorders>
            <w:vAlign w:val="center"/>
          </w:tcPr>
          <w:p w14:paraId="06D7E942" w14:textId="486D0CF6" w:rsidR="00BC2331" w:rsidRPr="00441478" w:rsidRDefault="00BC2331" w:rsidP="003C26FA">
            <w:pPr>
              <w:rPr>
                <w:rFonts w:asciiTheme="majorBidi" w:hAnsiTheme="majorBidi" w:cstheme="majorBidi"/>
                <w:sz w:val="24"/>
                <w:szCs w:val="24"/>
              </w:rPr>
            </w:pPr>
            <w:r w:rsidRPr="00441478">
              <w:rPr>
                <w:rFonts w:asciiTheme="majorBidi" w:hAnsiTheme="majorBidi" w:cstheme="majorBidi"/>
                <w:sz w:val="24"/>
                <w:szCs w:val="24"/>
              </w:rPr>
              <w:t>Timely Recognition Loss</w:t>
            </w:r>
          </w:p>
        </w:tc>
        <w:tc>
          <w:tcPr>
            <w:tcW w:w="774" w:type="pct"/>
            <w:tcBorders>
              <w:top w:val="single" w:sz="4" w:space="0" w:color="auto"/>
              <w:left w:val="single" w:sz="4" w:space="0" w:color="auto"/>
              <w:bottom w:val="single" w:sz="4" w:space="0" w:color="auto"/>
              <w:right w:val="nil"/>
            </w:tcBorders>
            <w:vAlign w:val="center"/>
          </w:tcPr>
          <w:p w14:paraId="241C4140" w14:textId="1A97202C" w:rsidR="00BC2331" w:rsidRPr="00441478" w:rsidRDefault="00BC2331" w:rsidP="00441478">
            <w:pPr>
              <w:jc w:val="center"/>
              <w:rPr>
                <w:rFonts w:asciiTheme="majorBidi" w:hAnsiTheme="majorBidi" w:cstheme="majorBidi"/>
                <w:sz w:val="24"/>
                <w:szCs w:val="24"/>
              </w:rPr>
            </w:pPr>
            <w:r>
              <w:rPr>
                <w:rFonts w:asciiTheme="majorBidi" w:hAnsiTheme="majorBidi" w:cstheme="majorBidi"/>
                <w:sz w:val="24"/>
                <w:szCs w:val="24"/>
              </w:rPr>
              <w:t>Positive</w:t>
            </w:r>
          </w:p>
        </w:tc>
        <w:tc>
          <w:tcPr>
            <w:tcW w:w="774" w:type="pct"/>
            <w:tcBorders>
              <w:top w:val="single" w:sz="4" w:space="0" w:color="auto"/>
              <w:left w:val="nil"/>
              <w:bottom w:val="single" w:sz="4" w:space="0" w:color="auto"/>
              <w:right w:val="nil"/>
            </w:tcBorders>
            <w:vAlign w:val="center"/>
          </w:tcPr>
          <w:p w14:paraId="6AFFF789" w14:textId="32B9F38E" w:rsidR="00BC2331" w:rsidRPr="00441478" w:rsidRDefault="00BC2331" w:rsidP="00441478">
            <w:pPr>
              <w:jc w:val="center"/>
              <w:rPr>
                <w:rFonts w:asciiTheme="majorBidi" w:hAnsiTheme="majorBidi" w:cstheme="majorBidi"/>
                <w:sz w:val="24"/>
                <w:szCs w:val="24"/>
              </w:rPr>
            </w:pPr>
            <w:r>
              <w:rPr>
                <w:rFonts w:asciiTheme="majorBidi" w:hAnsiTheme="majorBidi" w:cstheme="majorBidi"/>
                <w:sz w:val="24"/>
                <w:szCs w:val="24"/>
              </w:rPr>
              <w:t>+</w:t>
            </w:r>
          </w:p>
        </w:tc>
        <w:tc>
          <w:tcPr>
            <w:tcW w:w="2094" w:type="pct"/>
            <w:tcBorders>
              <w:top w:val="single" w:sz="4" w:space="0" w:color="auto"/>
              <w:left w:val="nil"/>
              <w:bottom w:val="single" w:sz="4" w:space="0" w:color="auto"/>
              <w:right w:val="nil"/>
            </w:tcBorders>
            <w:vAlign w:val="center"/>
          </w:tcPr>
          <w:p w14:paraId="357CABDE" w14:textId="77777777" w:rsidR="00BC2331" w:rsidRPr="00BC2331" w:rsidRDefault="00BC2331" w:rsidP="00BC2331">
            <w:pPr>
              <w:jc w:val="center"/>
              <w:rPr>
                <w:rFonts w:asciiTheme="majorBidi" w:hAnsiTheme="majorBidi" w:cstheme="majorBidi"/>
                <w:sz w:val="24"/>
                <w:szCs w:val="24"/>
              </w:rPr>
            </w:pPr>
            <w:proofErr w:type="spellStart"/>
            <w:r w:rsidRPr="00BC2331">
              <w:rPr>
                <w:rFonts w:asciiTheme="majorBidi" w:hAnsiTheme="majorBidi" w:cstheme="majorBidi"/>
                <w:sz w:val="24"/>
                <w:szCs w:val="24"/>
              </w:rPr>
              <w:t>Dechow</w:t>
            </w:r>
            <w:proofErr w:type="spellEnd"/>
            <w:r w:rsidRPr="00BC2331">
              <w:rPr>
                <w:rFonts w:asciiTheme="majorBidi" w:hAnsiTheme="majorBidi" w:cstheme="majorBidi"/>
                <w:sz w:val="24"/>
                <w:szCs w:val="24"/>
              </w:rPr>
              <w:t xml:space="preserve"> et al. (2010), </w:t>
            </w:r>
          </w:p>
          <w:p w14:paraId="78C820F4" w14:textId="0ADA20CB" w:rsidR="00BC2331" w:rsidRPr="00441478" w:rsidRDefault="00BC2331" w:rsidP="00BC2331">
            <w:pPr>
              <w:jc w:val="center"/>
              <w:rPr>
                <w:rFonts w:asciiTheme="majorBidi" w:hAnsiTheme="majorBidi" w:cstheme="majorBidi"/>
                <w:sz w:val="24"/>
                <w:szCs w:val="24"/>
              </w:rPr>
            </w:pPr>
            <w:proofErr w:type="spellStart"/>
            <w:r w:rsidRPr="00BC2331">
              <w:rPr>
                <w:rFonts w:asciiTheme="majorBidi" w:hAnsiTheme="majorBidi" w:cstheme="majorBidi"/>
                <w:sz w:val="24"/>
                <w:szCs w:val="24"/>
              </w:rPr>
              <w:t>Dobre</w:t>
            </w:r>
            <w:proofErr w:type="spellEnd"/>
            <w:r w:rsidRPr="00BC2331">
              <w:rPr>
                <w:rFonts w:asciiTheme="majorBidi" w:hAnsiTheme="majorBidi" w:cstheme="majorBidi"/>
                <w:sz w:val="24"/>
                <w:szCs w:val="24"/>
              </w:rPr>
              <w:t xml:space="preserve"> et al. (2015)</w:t>
            </w:r>
          </w:p>
        </w:tc>
      </w:tr>
      <w:tr w:rsidR="00BC2331" w:rsidRPr="00441478" w14:paraId="09822559" w14:textId="77777777" w:rsidTr="00BC2331">
        <w:trPr>
          <w:trHeight w:val="567"/>
        </w:trPr>
        <w:tc>
          <w:tcPr>
            <w:tcW w:w="1358" w:type="pct"/>
            <w:tcBorders>
              <w:top w:val="single" w:sz="4" w:space="0" w:color="auto"/>
              <w:left w:val="nil"/>
              <w:bottom w:val="single" w:sz="4" w:space="0" w:color="auto"/>
              <w:right w:val="single" w:sz="4" w:space="0" w:color="auto"/>
            </w:tcBorders>
            <w:vAlign w:val="center"/>
          </w:tcPr>
          <w:p w14:paraId="5F15047A" w14:textId="77777777" w:rsidR="00BC2331" w:rsidRPr="00441478" w:rsidRDefault="00BC2331" w:rsidP="003C26FA">
            <w:pPr>
              <w:rPr>
                <w:rFonts w:asciiTheme="majorBidi" w:hAnsiTheme="majorBidi" w:cstheme="majorBidi"/>
                <w:sz w:val="24"/>
                <w:szCs w:val="24"/>
              </w:rPr>
            </w:pPr>
            <w:r w:rsidRPr="00441478">
              <w:rPr>
                <w:rFonts w:asciiTheme="majorBidi" w:hAnsiTheme="majorBidi" w:cstheme="majorBidi"/>
                <w:sz w:val="24"/>
                <w:szCs w:val="24"/>
              </w:rPr>
              <w:t>Conservatism</w:t>
            </w:r>
          </w:p>
        </w:tc>
        <w:tc>
          <w:tcPr>
            <w:tcW w:w="774" w:type="pct"/>
            <w:tcBorders>
              <w:top w:val="single" w:sz="4" w:space="0" w:color="auto"/>
              <w:left w:val="single" w:sz="4" w:space="0" w:color="auto"/>
              <w:bottom w:val="single" w:sz="4" w:space="0" w:color="auto"/>
              <w:right w:val="nil"/>
            </w:tcBorders>
            <w:vAlign w:val="center"/>
          </w:tcPr>
          <w:p w14:paraId="4459ACF0" w14:textId="77777777" w:rsidR="00BC2331" w:rsidRPr="00441478" w:rsidRDefault="00BC2331" w:rsidP="00441478">
            <w:pPr>
              <w:jc w:val="center"/>
              <w:rPr>
                <w:rFonts w:asciiTheme="majorBidi" w:hAnsiTheme="majorBidi" w:cstheme="majorBidi"/>
                <w:sz w:val="24"/>
                <w:szCs w:val="24"/>
              </w:rPr>
            </w:pPr>
            <w:r w:rsidRPr="00441478">
              <w:rPr>
                <w:rFonts w:asciiTheme="majorBidi" w:hAnsiTheme="majorBidi" w:cstheme="majorBidi"/>
                <w:sz w:val="24"/>
                <w:szCs w:val="24"/>
              </w:rPr>
              <w:t>Negative</w:t>
            </w:r>
          </w:p>
        </w:tc>
        <w:tc>
          <w:tcPr>
            <w:tcW w:w="774" w:type="pct"/>
            <w:tcBorders>
              <w:top w:val="single" w:sz="4" w:space="0" w:color="auto"/>
              <w:left w:val="nil"/>
              <w:bottom w:val="single" w:sz="4" w:space="0" w:color="auto"/>
              <w:right w:val="nil"/>
            </w:tcBorders>
            <w:vAlign w:val="center"/>
          </w:tcPr>
          <w:p w14:paraId="3F4C4D40" w14:textId="77777777" w:rsidR="00BC2331" w:rsidRPr="00441478" w:rsidRDefault="00BC2331" w:rsidP="00441478">
            <w:pPr>
              <w:jc w:val="center"/>
              <w:rPr>
                <w:rFonts w:asciiTheme="majorBidi" w:hAnsiTheme="majorBidi" w:cstheme="majorBidi"/>
                <w:sz w:val="24"/>
                <w:szCs w:val="24"/>
              </w:rPr>
            </w:pPr>
            <w:r w:rsidRPr="00441478">
              <w:rPr>
                <w:rFonts w:asciiTheme="majorBidi" w:hAnsiTheme="majorBidi" w:cstheme="majorBidi"/>
                <w:sz w:val="24"/>
                <w:szCs w:val="24"/>
              </w:rPr>
              <w:t>No sign</w:t>
            </w:r>
          </w:p>
        </w:tc>
        <w:tc>
          <w:tcPr>
            <w:tcW w:w="2094" w:type="pct"/>
            <w:tcBorders>
              <w:top w:val="single" w:sz="4" w:space="0" w:color="auto"/>
              <w:left w:val="nil"/>
              <w:bottom w:val="single" w:sz="4" w:space="0" w:color="auto"/>
              <w:right w:val="nil"/>
            </w:tcBorders>
            <w:vAlign w:val="center"/>
          </w:tcPr>
          <w:p w14:paraId="6D3C76D3" w14:textId="784747BE" w:rsidR="00BC2331" w:rsidRPr="00441478" w:rsidRDefault="00BC2331" w:rsidP="00441478">
            <w:pPr>
              <w:jc w:val="center"/>
              <w:rPr>
                <w:rFonts w:asciiTheme="majorBidi" w:eastAsia="Times New Roman" w:hAnsiTheme="majorBidi" w:cstheme="majorBidi"/>
                <w:sz w:val="24"/>
                <w:szCs w:val="24"/>
              </w:rPr>
            </w:pPr>
            <w:r w:rsidRPr="00441478">
              <w:rPr>
                <w:rFonts w:asciiTheme="majorBidi" w:eastAsia="Times New Roman" w:hAnsiTheme="majorBidi" w:cstheme="majorBidi"/>
                <w:sz w:val="24"/>
                <w:szCs w:val="24"/>
              </w:rPr>
              <w:t>Hamdan et al. (2011)</w:t>
            </w:r>
            <w:r>
              <w:rPr>
                <w:rFonts w:asciiTheme="majorBidi" w:eastAsia="Times New Roman" w:hAnsiTheme="majorBidi" w:cstheme="majorBidi"/>
                <w:sz w:val="24"/>
                <w:szCs w:val="24"/>
              </w:rPr>
              <w:t xml:space="preserve">, </w:t>
            </w:r>
          </w:p>
          <w:p w14:paraId="43A7700B" w14:textId="77777777" w:rsidR="00BC2331" w:rsidRPr="00441478" w:rsidRDefault="00BC2331" w:rsidP="00441478">
            <w:pPr>
              <w:jc w:val="center"/>
              <w:rPr>
                <w:rFonts w:asciiTheme="majorBidi" w:hAnsiTheme="majorBidi" w:cstheme="majorBidi"/>
                <w:sz w:val="24"/>
                <w:szCs w:val="24"/>
              </w:rPr>
            </w:pPr>
            <w:r w:rsidRPr="00441478">
              <w:rPr>
                <w:rFonts w:asciiTheme="majorBidi" w:hAnsiTheme="majorBidi" w:cstheme="majorBidi"/>
                <w:sz w:val="24"/>
                <w:szCs w:val="24"/>
              </w:rPr>
              <w:t>Khalil et al. (2020)</w:t>
            </w:r>
          </w:p>
        </w:tc>
      </w:tr>
    </w:tbl>
    <w:p w14:paraId="443A95A2" w14:textId="208AFE87" w:rsidR="00CE536A" w:rsidRPr="007F15D8" w:rsidRDefault="00CE536A" w:rsidP="008278D2">
      <w:pPr>
        <w:spacing w:after="0" w:line="360" w:lineRule="exact"/>
        <w:jc w:val="center"/>
        <w:rPr>
          <w:rFonts w:ascii="Times New Roman" w:hAnsi="Times New Roman" w:cs="Times New Roman"/>
          <w:sz w:val="24"/>
          <w:szCs w:val="24"/>
        </w:rPr>
      </w:pPr>
      <w:r w:rsidRPr="007F15D8">
        <w:rPr>
          <w:rFonts w:asciiTheme="majorBidi" w:hAnsiTheme="majorBidi" w:cstheme="majorBidi"/>
          <w:sz w:val="24"/>
          <w:szCs w:val="24"/>
        </w:rPr>
        <w:t xml:space="preserve"> </w:t>
      </w:r>
    </w:p>
    <w:p w14:paraId="168B4EBB" w14:textId="77777777" w:rsidR="003A2A39" w:rsidRPr="007F15D8" w:rsidRDefault="003A2A39" w:rsidP="008278D2">
      <w:pPr>
        <w:spacing w:after="0" w:line="360" w:lineRule="exact"/>
        <w:jc w:val="center"/>
        <w:rPr>
          <w:rFonts w:asciiTheme="majorBidi" w:hAnsiTheme="majorBidi"/>
          <w:b/>
          <w:sz w:val="26"/>
        </w:rPr>
      </w:pPr>
      <w:r w:rsidRPr="007F15D8">
        <w:rPr>
          <w:rFonts w:asciiTheme="majorBidi" w:hAnsiTheme="majorBidi"/>
          <w:b/>
          <w:sz w:val="26"/>
        </w:rPr>
        <w:t>METHODOLOGY</w:t>
      </w:r>
    </w:p>
    <w:p w14:paraId="79581E77" w14:textId="30CE6ECD" w:rsidR="00490295" w:rsidRPr="007F15D8" w:rsidRDefault="00371C80" w:rsidP="008278D2">
      <w:pPr>
        <w:spacing w:after="0" w:line="360" w:lineRule="exact"/>
        <w:jc w:val="both"/>
        <w:rPr>
          <w:rFonts w:asciiTheme="majorBidi" w:hAnsiTheme="majorBidi"/>
          <w:b/>
          <w:sz w:val="26"/>
        </w:rPr>
      </w:pPr>
      <w:r>
        <w:rPr>
          <w:rFonts w:asciiTheme="majorBidi" w:hAnsiTheme="majorBidi"/>
          <w:b/>
          <w:sz w:val="26"/>
        </w:rPr>
        <w:t>Sample S</w:t>
      </w:r>
      <w:r w:rsidR="00490295" w:rsidRPr="007F15D8">
        <w:rPr>
          <w:rFonts w:asciiTheme="majorBidi" w:hAnsiTheme="majorBidi"/>
          <w:b/>
          <w:sz w:val="26"/>
        </w:rPr>
        <w:t>election</w:t>
      </w:r>
    </w:p>
    <w:p w14:paraId="4864EBF4" w14:textId="4FE0170A" w:rsidR="003E491F" w:rsidRDefault="00490295" w:rsidP="008278D2">
      <w:pPr>
        <w:spacing w:after="0" w:line="360" w:lineRule="exact"/>
        <w:ind w:firstLine="510"/>
        <w:jc w:val="both"/>
        <w:rPr>
          <w:rFonts w:asciiTheme="majorBidi" w:hAnsiTheme="majorBidi"/>
          <w:sz w:val="26"/>
        </w:rPr>
      </w:pPr>
      <w:r w:rsidRPr="007F15D8">
        <w:rPr>
          <w:rFonts w:asciiTheme="majorBidi" w:hAnsiTheme="majorBidi"/>
          <w:sz w:val="26"/>
        </w:rPr>
        <w:t xml:space="preserve">The sample in </w:t>
      </w:r>
      <w:r w:rsidR="007D3C6D">
        <w:rPr>
          <w:rFonts w:asciiTheme="majorBidi" w:hAnsiTheme="majorBidi"/>
          <w:sz w:val="26"/>
        </w:rPr>
        <w:t xml:space="preserve">the </w:t>
      </w:r>
      <w:r w:rsidRPr="007F15D8">
        <w:rPr>
          <w:rFonts w:asciiTheme="majorBidi" w:hAnsiTheme="majorBidi"/>
          <w:sz w:val="26"/>
        </w:rPr>
        <w:t xml:space="preserve">study consists of listed firms on the GCC exchange stock markets. The GCC countries include Bahrain, Kuwait, Oman, Qatar, </w:t>
      </w:r>
      <w:r w:rsidR="00F603A9" w:rsidRPr="007F15D8">
        <w:rPr>
          <w:rFonts w:asciiTheme="majorBidi" w:hAnsiTheme="majorBidi"/>
          <w:sz w:val="26"/>
        </w:rPr>
        <w:t xml:space="preserve">the </w:t>
      </w:r>
      <w:r w:rsidR="009C59F2" w:rsidRPr="007F15D8">
        <w:rPr>
          <w:rFonts w:asciiTheme="majorBidi" w:hAnsiTheme="majorBidi" w:cstheme="majorBidi"/>
          <w:sz w:val="26"/>
          <w:szCs w:val="26"/>
        </w:rPr>
        <w:t>Kingdom of Saudi Arabia</w:t>
      </w:r>
      <w:r w:rsidR="007D3C6D">
        <w:rPr>
          <w:rFonts w:asciiTheme="majorBidi" w:hAnsiTheme="majorBidi" w:cstheme="majorBidi"/>
          <w:sz w:val="26"/>
          <w:szCs w:val="26"/>
        </w:rPr>
        <w:t>,</w:t>
      </w:r>
      <w:r w:rsidRPr="007F15D8">
        <w:rPr>
          <w:rFonts w:asciiTheme="majorBidi" w:hAnsiTheme="majorBidi"/>
          <w:sz w:val="26"/>
        </w:rPr>
        <w:t xml:space="preserve"> and the </w:t>
      </w:r>
      <w:r w:rsidR="00443E76" w:rsidRPr="007F15D8">
        <w:rPr>
          <w:rFonts w:asciiTheme="majorBidi" w:hAnsiTheme="majorBidi"/>
          <w:sz w:val="26"/>
        </w:rPr>
        <w:t>UAE</w:t>
      </w:r>
      <w:r w:rsidRPr="007F15D8">
        <w:rPr>
          <w:rFonts w:asciiTheme="majorBidi" w:hAnsiTheme="majorBidi"/>
          <w:sz w:val="26"/>
        </w:rPr>
        <w:t xml:space="preserve">. </w:t>
      </w:r>
      <w:r w:rsidR="00133183" w:rsidRPr="007F15D8">
        <w:rPr>
          <w:rFonts w:asciiTheme="majorBidi" w:hAnsiTheme="majorBidi"/>
          <w:sz w:val="26"/>
        </w:rPr>
        <w:t>This study</w:t>
      </w:r>
      <w:r w:rsidRPr="007F15D8">
        <w:rPr>
          <w:rFonts w:asciiTheme="majorBidi" w:hAnsiTheme="majorBidi"/>
          <w:sz w:val="26"/>
        </w:rPr>
        <w:t xml:space="preserve"> </w:t>
      </w:r>
      <w:r w:rsidR="00443018" w:rsidRPr="007F15D8">
        <w:rPr>
          <w:rFonts w:asciiTheme="majorBidi" w:hAnsiTheme="majorBidi" w:cstheme="majorBidi"/>
          <w:sz w:val="26"/>
          <w:szCs w:val="26"/>
        </w:rPr>
        <w:t xml:space="preserve">used secondary data which were </w:t>
      </w:r>
      <w:r w:rsidRPr="007F15D8">
        <w:rPr>
          <w:rFonts w:asciiTheme="majorBidi" w:hAnsiTheme="majorBidi"/>
          <w:sz w:val="26"/>
        </w:rPr>
        <w:t xml:space="preserve">collected from Capital IQ database </w:t>
      </w:r>
      <w:r w:rsidR="00407BA3" w:rsidRPr="007F15D8">
        <w:rPr>
          <w:rFonts w:asciiTheme="majorBidi" w:hAnsiTheme="majorBidi"/>
          <w:sz w:val="26"/>
        </w:rPr>
        <w:t xml:space="preserve">from </w:t>
      </w:r>
      <w:r w:rsidR="005C40DC" w:rsidRPr="007F15D8">
        <w:rPr>
          <w:rFonts w:asciiTheme="majorBidi" w:hAnsiTheme="majorBidi"/>
          <w:sz w:val="26"/>
        </w:rPr>
        <w:t>2008</w:t>
      </w:r>
      <w:r w:rsidR="00407BA3" w:rsidRPr="007F15D8">
        <w:rPr>
          <w:rFonts w:asciiTheme="majorBidi" w:hAnsiTheme="majorBidi"/>
          <w:sz w:val="26"/>
        </w:rPr>
        <w:t xml:space="preserve"> to </w:t>
      </w:r>
      <w:r w:rsidR="00EA03ED" w:rsidRPr="007F15D8">
        <w:rPr>
          <w:rFonts w:asciiTheme="majorBidi" w:hAnsiTheme="majorBidi"/>
          <w:sz w:val="26"/>
        </w:rPr>
        <w:t>2016</w:t>
      </w:r>
      <w:r w:rsidR="00407BA3" w:rsidRPr="007F15D8">
        <w:rPr>
          <w:rFonts w:asciiTheme="majorBidi" w:hAnsiTheme="majorBidi"/>
          <w:sz w:val="26"/>
        </w:rPr>
        <w:t>.</w:t>
      </w:r>
      <w:r w:rsidR="007D3C6D">
        <w:rPr>
          <w:rFonts w:asciiTheme="majorBidi" w:hAnsiTheme="majorBidi"/>
          <w:sz w:val="26"/>
        </w:rPr>
        <w:t xml:space="preserve"> </w:t>
      </w:r>
      <w:r w:rsidR="00407BA3" w:rsidRPr="007F15D8">
        <w:rPr>
          <w:rFonts w:asciiTheme="majorBidi" w:hAnsiTheme="majorBidi"/>
          <w:sz w:val="26"/>
        </w:rPr>
        <w:t>O</w:t>
      </w:r>
      <w:r w:rsidR="00E23838" w:rsidRPr="007F15D8">
        <w:rPr>
          <w:rFonts w:asciiTheme="majorBidi" w:hAnsiTheme="majorBidi"/>
          <w:sz w:val="26"/>
        </w:rPr>
        <w:t xml:space="preserve">ther data </w:t>
      </w:r>
      <w:r w:rsidR="00EA03ED" w:rsidRPr="007F15D8">
        <w:rPr>
          <w:rFonts w:asciiTheme="majorBidi" w:hAnsiTheme="majorBidi"/>
          <w:sz w:val="26"/>
        </w:rPr>
        <w:t xml:space="preserve">were calculated manually </w:t>
      </w:r>
      <w:r w:rsidR="0054501B" w:rsidRPr="007F15D8">
        <w:rPr>
          <w:rFonts w:asciiTheme="majorBidi" w:hAnsiTheme="majorBidi"/>
          <w:sz w:val="26"/>
        </w:rPr>
        <w:t>from the capital markets and firms in each country</w:t>
      </w:r>
      <w:r w:rsidR="00EA03ED" w:rsidRPr="007F15D8">
        <w:rPr>
          <w:rFonts w:asciiTheme="majorBidi" w:hAnsiTheme="majorBidi"/>
          <w:sz w:val="26"/>
        </w:rPr>
        <w:t xml:space="preserve">. </w:t>
      </w:r>
      <w:r w:rsidR="001C3C9D" w:rsidRPr="007F15D8">
        <w:rPr>
          <w:rFonts w:asciiTheme="majorBidi" w:hAnsiTheme="majorBidi" w:cstheme="majorBidi"/>
          <w:sz w:val="26"/>
          <w:szCs w:val="26"/>
        </w:rPr>
        <w:t xml:space="preserve">Table 2 shows that the total number of firms in this study is 683. This study excludes 326 banking and </w:t>
      </w:r>
      <w:r w:rsidR="001C3C9D" w:rsidRPr="007F15D8">
        <w:rPr>
          <w:rFonts w:asciiTheme="majorBidi" w:hAnsiTheme="majorBidi"/>
          <w:sz w:val="26"/>
        </w:rPr>
        <w:t>financial institutions</w:t>
      </w:r>
      <w:r w:rsidR="001C3C9D" w:rsidRPr="007F15D8">
        <w:rPr>
          <w:rFonts w:asciiTheme="majorBidi" w:hAnsiTheme="majorBidi" w:cstheme="majorBidi"/>
          <w:sz w:val="26"/>
          <w:szCs w:val="26"/>
        </w:rPr>
        <w:t xml:space="preserve"> </w:t>
      </w:r>
      <w:r w:rsidR="006F15D5">
        <w:rPr>
          <w:rFonts w:asciiTheme="majorBidi" w:hAnsiTheme="majorBidi" w:cstheme="majorBidi"/>
          <w:sz w:val="26"/>
          <w:szCs w:val="26"/>
        </w:rPr>
        <w:t>due</w:t>
      </w:r>
      <w:r w:rsidR="001C3C9D" w:rsidRPr="007F15D8">
        <w:rPr>
          <w:rFonts w:asciiTheme="majorBidi" w:hAnsiTheme="majorBidi"/>
          <w:sz w:val="26"/>
        </w:rPr>
        <w:t xml:space="preserve"> to </w:t>
      </w:r>
      <w:r w:rsidR="006F15D5" w:rsidRPr="007F15D8">
        <w:rPr>
          <w:rFonts w:asciiTheme="majorBidi" w:hAnsiTheme="majorBidi" w:cstheme="majorBidi"/>
          <w:sz w:val="26"/>
          <w:szCs w:val="26"/>
        </w:rPr>
        <w:t>both organisations</w:t>
      </w:r>
      <w:r w:rsidR="006F15D5">
        <w:rPr>
          <w:rFonts w:asciiTheme="majorBidi" w:hAnsiTheme="majorBidi" w:cstheme="majorBidi"/>
          <w:sz w:val="26"/>
          <w:szCs w:val="26"/>
        </w:rPr>
        <w:t>’</w:t>
      </w:r>
      <w:r w:rsidR="006F15D5" w:rsidRPr="007F15D8">
        <w:rPr>
          <w:rFonts w:asciiTheme="majorBidi" w:hAnsiTheme="majorBidi" w:cstheme="majorBidi"/>
          <w:sz w:val="26"/>
          <w:szCs w:val="26"/>
        </w:rPr>
        <w:t xml:space="preserve"> </w:t>
      </w:r>
      <w:r w:rsidR="001C3C9D" w:rsidRPr="007F15D8">
        <w:rPr>
          <w:rFonts w:asciiTheme="majorBidi" w:hAnsiTheme="majorBidi"/>
          <w:sz w:val="26"/>
        </w:rPr>
        <w:t xml:space="preserve">different </w:t>
      </w:r>
      <w:r w:rsidR="001C3C9D" w:rsidRPr="007F15D8">
        <w:rPr>
          <w:rFonts w:asciiTheme="majorBidi" w:hAnsiTheme="majorBidi" w:cstheme="majorBidi"/>
          <w:sz w:val="26"/>
          <w:szCs w:val="26"/>
        </w:rPr>
        <w:t>rules</w:t>
      </w:r>
      <w:r w:rsidR="001C3C9D" w:rsidRPr="007F15D8">
        <w:rPr>
          <w:rFonts w:asciiTheme="majorBidi" w:hAnsiTheme="majorBidi"/>
          <w:sz w:val="26"/>
        </w:rPr>
        <w:t xml:space="preserve"> and regulations</w:t>
      </w:r>
      <w:r w:rsidR="001C3C9D" w:rsidRPr="007F15D8">
        <w:rPr>
          <w:rFonts w:asciiTheme="majorBidi" w:hAnsiTheme="majorBidi" w:cstheme="majorBidi"/>
          <w:sz w:val="26"/>
          <w:szCs w:val="26"/>
        </w:rPr>
        <w:t>. It also excludes 15 non-financial firms under liquidation (losses 75% of capital) and 14</w:t>
      </w:r>
      <w:r w:rsidR="00E23838" w:rsidRPr="007F15D8">
        <w:rPr>
          <w:rFonts w:asciiTheme="majorBidi" w:hAnsiTheme="majorBidi" w:cstheme="majorBidi"/>
          <w:sz w:val="26"/>
          <w:szCs w:val="26"/>
        </w:rPr>
        <w:t>5</w:t>
      </w:r>
      <w:r w:rsidR="001C3C9D" w:rsidRPr="007F15D8">
        <w:rPr>
          <w:rFonts w:asciiTheme="majorBidi" w:hAnsiTheme="majorBidi" w:cstheme="majorBidi"/>
          <w:sz w:val="26"/>
          <w:szCs w:val="26"/>
        </w:rPr>
        <w:t xml:space="preserve"> non-financial firms with missing data for some variables. Accordingly, the</w:t>
      </w:r>
      <w:r w:rsidR="001C3C9D" w:rsidRPr="007F15D8">
        <w:rPr>
          <w:rFonts w:asciiTheme="majorBidi" w:hAnsiTheme="majorBidi"/>
          <w:sz w:val="26"/>
        </w:rPr>
        <w:t xml:space="preserve"> final s</w:t>
      </w:r>
      <w:r w:rsidR="00172AFD" w:rsidRPr="007F15D8">
        <w:rPr>
          <w:rFonts w:asciiTheme="majorBidi" w:hAnsiTheme="majorBidi"/>
          <w:sz w:val="26"/>
        </w:rPr>
        <w:t xml:space="preserve">ample of </w:t>
      </w:r>
      <w:r w:rsidR="00172AFD" w:rsidRPr="007F15D8">
        <w:rPr>
          <w:rFonts w:asciiTheme="majorBidi" w:hAnsiTheme="majorBidi" w:cstheme="majorBidi"/>
          <w:sz w:val="26"/>
          <w:szCs w:val="26"/>
        </w:rPr>
        <w:t>the study includes</w:t>
      </w:r>
      <w:r w:rsidR="00172AFD" w:rsidRPr="007F15D8">
        <w:rPr>
          <w:rFonts w:asciiTheme="majorBidi" w:hAnsiTheme="majorBidi"/>
          <w:sz w:val="26"/>
        </w:rPr>
        <w:t xml:space="preserve"> 1827</w:t>
      </w:r>
      <w:r w:rsidR="001C3C9D" w:rsidRPr="007F15D8">
        <w:rPr>
          <w:rFonts w:asciiTheme="majorBidi" w:hAnsiTheme="majorBidi"/>
          <w:sz w:val="26"/>
        </w:rPr>
        <w:t xml:space="preserve"> firm-year observations. </w:t>
      </w:r>
    </w:p>
    <w:p w14:paraId="62E0CD0C" w14:textId="77777777" w:rsidR="00C95423" w:rsidRPr="007F15D8" w:rsidRDefault="00C95423" w:rsidP="008278D2">
      <w:pPr>
        <w:spacing w:after="0" w:line="360" w:lineRule="exact"/>
        <w:ind w:firstLine="510"/>
        <w:jc w:val="both"/>
        <w:rPr>
          <w:rFonts w:asciiTheme="majorBidi" w:hAnsiTheme="majorBidi"/>
          <w:sz w:val="26"/>
        </w:rPr>
      </w:pPr>
    </w:p>
    <w:p w14:paraId="4495C6D2" w14:textId="537C78E1" w:rsidR="00490295" w:rsidRPr="00FA3651" w:rsidRDefault="00E23838" w:rsidP="00FA3651">
      <w:pPr>
        <w:snapToGrid w:val="0"/>
        <w:spacing w:afterLines="50" w:after="120" w:line="360" w:lineRule="exact"/>
        <w:jc w:val="both"/>
        <w:rPr>
          <w:rFonts w:asciiTheme="majorBidi" w:hAnsiTheme="majorBidi"/>
          <w:sz w:val="26"/>
        </w:rPr>
      </w:pPr>
      <w:r w:rsidRPr="00B63A49">
        <w:rPr>
          <w:rFonts w:asciiTheme="majorBidi" w:hAnsiTheme="majorBidi"/>
          <w:b/>
          <w:sz w:val="26"/>
        </w:rPr>
        <w:t xml:space="preserve">Table </w:t>
      </w:r>
      <w:proofErr w:type="gramStart"/>
      <w:r w:rsidRPr="00B63A49">
        <w:rPr>
          <w:rFonts w:asciiTheme="majorBidi" w:hAnsiTheme="majorBidi"/>
          <w:b/>
          <w:sz w:val="26"/>
        </w:rPr>
        <w:t>2</w:t>
      </w:r>
      <w:r w:rsidR="00B63A49">
        <w:rPr>
          <w:rFonts w:ascii="新細明體" w:eastAsia="新細明體" w:hAnsi="新細明體" w:hint="eastAsia"/>
          <w:b/>
          <w:sz w:val="26"/>
          <w:lang w:eastAsia="zh-TW"/>
        </w:rPr>
        <w:t xml:space="preserve"> </w:t>
      </w:r>
      <w:r w:rsidRPr="00FA3651">
        <w:rPr>
          <w:rFonts w:asciiTheme="majorBidi" w:hAnsiTheme="majorBidi"/>
          <w:sz w:val="26"/>
        </w:rPr>
        <w:t xml:space="preserve"> </w:t>
      </w:r>
      <w:r w:rsidRPr="009E5933">
        <w:rPr>
          <w:rFonts w:asciiTheme="majorBidi" w:hAnsiTheme="majorBidi"/>
          <w:i/>
          <w:iCs/>
          <w:sz w:val="26"/>
        </w:rPr>
        <w:t>Sample</w:t>
      </w:r>
      <w:proofErr w:type="gramEnd"/>
      <w:r w:rsidRPr="009E5933">
        <w:rPr>
          <w:rFonts w:asciiTheme="majorBidi" w:hAnsiTheme="majorBidi"/>
          <w:i/>
          <w:iCs/>
          <w:sz w:val="26"/>
        </w:rPr>
        <w:t xml:space="preserve"> Distribution by Country</w:t>
      </w:r>
    </w:p>
    <w:tbl>
      <w:tblPr>
        <w:tblStyle w:val="a9"/>
        <w:tblW w:w="503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0"/>
        <w:gridCol w:w="776"/>
        <w:gridCol w:w="776"/>
        <w:gridCol w:w="776"/>
        <w:gridCol w:w="776"/>
        <w:gridCol w:w="776"/>
        <w:gridCol w:w="776"/>
        <w:gridCol w:w="772"/>
      </w:tblGrid>
      <w:tr w:rsidR="008278D2" w:rsidRPr="008278D2" w14:paraId="3ADF384F" w14:textId="77777777" w:rsidTr="000B49E1">
        <w:trPr>
          <w:trHeight w:val="340"/>
          <w:jc w:val="center"/>
        </w:trPr>
        <w:tc>
          <w:tcPr>
            <w:tcW w:w="2013" w:type="pct"/>
            <w:tcBorders>
              <w:top w:val="single" w:sz="4" w:space="0" w:color="auto"/>
              <w:bottom w:val="single" w:sz="4" w:space="0" w:color="auto"/>
              <w:right w:val="single" w:sz="4" w:space="0" w:color="auto"/>
            </w:tcBorders>
          </w:tcPr>
          <w:p w14:paraId="7E6E2F79" w14:textId="77777777" w:rsidR="001C3C9D" w:rsidRPr="008278D2" w:rsidRDefault="001C3C9D" w:rsidP="00A63AD2">
            <w:pPr>
              <w:rPr>
                <w:rFonts w:asciiTheme="majorBidi" w:hAnsiTheme="majorBidi" w:cstheme="majorBidi"/>
              </w:rPr>
            </w:pPr>
          </w:p>
        </w:tc>
        <w:tc>
          <w:tcPr>
            <w:tcW w:w="427" w:type="pct"/>
            <w:tcBorders>
              <w:top w:val="single" w:sz="4" w:space="0" w:color="auto"/>
              <w:left w:val="single" w:sz="4" w:space="0" w:color="auto"/>
              <w:bottom w:val="single" w:sz="4" w:space="0" w:color="auto"/>
            </w:tcBorders>
          </w:tcPr>
          <w:p w14:paraId="642031DC" w14:textId="77777777" w:rsidR="001C3C9D" w:rsidRPr="008278D2" w:rsidRDefault="001C3C9D" w:rsidP="00A63AD2">
            <w:pPr>
              <w:jc w:val="center"/>
              <w:rPr>
                <w:rFonts w:asciiTheme="majorBidi" w:hAnsiTheme="majorBidi" w:cstheme="majorBidi"/>
              </w:rPr>
            </w:pPr>
            <w:r w:rsidRPr="008278D2">
              <w:rPr>
                <w:rFonts w:asciiTheme="majorBidi" w:hAnsiTheme="majorBidi" w:cstheme="majorBidi"/>
              </w:rPr>
              <w:t>KSA</w:t>
            </w:r>
          </w:p>
        </w:tc>
        <w:tc>
          <w:tcPr>
            <w:tcW w:w="427" w:type="pct"/>
            <w:tcBorders>
              <w:top w:val="single" w:sz="4" w:space="0" w:color="auto"/>
              <w:bottom w:val="single" w:sz="4" w:space="0" w:color="auto"/>
            </w:tcBorders>
          </w:tcPr>
          <w:p w14:paraId="4225BD55" w14:textId="77777777" w:rsidR="001C3C9D" w:rsidRPr="008278D2" w:rsidRDefault="001C3C9D" w:rsidP="00A63AD2">
            <w:pPr>
              <w:jc w:val="center"/>
              <w:rPr>
                <w:rFonts w:asciiTheme="majorBidi" w:hAnsiTheme="majorBidi" w:cstheme="majorBidi"/>
              </w:rPr>
            </w:pPr>
            <w:r w:rsidRPr="008278D2">
              <w:rPr>
                <w:rFonts w:asciiTheme="majorBidi" w:hAnsiTheme="majorBidi" w:cstheme="majorBidi"/>
              </w:rPr>
              <w:t>OMN</w:t>
            </w:r>
          </w:p>
        </w:tc>
        <w:tc>
          <w:tcPr>
            <w:tcW w:w="427" w:type="pct"/>
            <w:tcBorders>
              <w:top w:val="single" w:sz="4" w:space="0" w:color="auto"/>
              <w:bottom w:val="single" w:sz="4" w:space="0" w:color="auto"/>
            </w:tcBorders>
          </w:tcPr>
          <w:p w14:paraId="3CDD3BBF" w14:textId="77777777" w:rsidR="001C3C9D" w:rsidRPr="008278D2" w:rsidRDefault="001C3C9D" w:rsidP="00A63AD2">
            <w:pPr>
              <w:jc w:val="center"/>
              <w:rPr>
                <w:rFonts w:asciiTheme="majorBidi" w:hAnsiTheme="majorBidi" w:cstheme="majorBidi"/>
              </w:rPr>
            </w:pPr>
            <w:r w:rsidRPr="008278D2">
              <w:rPr>
                <w:rFonts w:asciiTheme="majorBidi" w:hAnsiTheme="majorBidi" w:cstheme="majorBidi"/>
              </w:rPr>
              <w:t>QAT</w:t>
            </w:r>
          </w:p>
        </w:tc>
        <w:tc>
          <w:tcPr>
            <w:tcW w:w="427" w:type="pct"/>
            <w:tcBorders>
              <w:top w:val="single" w:sz="4" w:space="0" w:color="auto"/>
              <w:bottom w:val="single" w:sz="4" w:space="0" w:color="auto"/>
            </w:tcBorders>
          </w:tcPr>
          <w:p w14:paraId="0E49EE60" w14:textId="77777777" w:rsidR="001C3C9D" w:rsidRPr="008278D2" w:rsidRDefault="001C3C9D" w:rsidP="00A63AD2">
            <w:pPr>
              <w:jc w:val="center"/>
              <w:rPr>
                <w:rFonts w:asciiTheme="majorBidi" w:hAnsiTheme="majorBidi" w:cstheme="majorBidi"/>
              </w:rPr>
            </w:pPr>
            <w:r w:rsidRPr="008278D2">
              <w:rPr>
                <w:rFonts w:asciiTheme="majorBidi" w:hAnsiTheme="majorBidi" w:cstheme="majorBidi"/>
              </w:rPr>
              <w:t>BAH</w:t>
            </w:r>
          </w:p>
        </w:tc>
        <w:tc>
          <w:tcPr>
            <w:tcW w:w="427" w:type="pct"/>
            <w:tcBorders>
              <w:top w:val="single" w:sz="4" w:space="0" w:color="auto"/>
              <w:bottom w:val="single" w:sz="4" w:space="0" w:color="auto"/>
            </w:tcBorders>
          </w:tcPr>
          <w:p w14:paraId="454A8023" w14:textId="77777777" w:rsidR="001C3C9D" w:rsidRPr="008278D2" w:rsidRDefault="001C3C9D" w:rsidP="00A63AD2">
            <w:pPr>
              <w:jc w:val="center"/>
              <w:rPr>
                <w:rFonts w:asciiTheme="majorBidi" w:hAnsiTheme="majorBidi" w:cstheme="majorBidi"/>
              </w:rPr>
            </w:pPr>
            <w:r w:rsidRPr="008278D2">
              <w:rPr>
                <w:rFonts w:asciiTheme="majorBidi" w:hAnsiTheme="majorBidi" w:cstheme="majorBidi"/>
              </w:rPr>
              <w:t>KUW</w:t>
            </w:r>
          </w:p>
        </w:tc>
        <w:tc>
          <w:tcPr>
            <w:tcW w:w="427" w:type="pct"/>
            <w:tcBorders>
              <w:top w:val="single" w:sz="4" w:space="0" w:color="auto"/>
              <w:bottom w:val="single" w:sz="4" w:space="0" w:color="auto"/>
            </w:tcBorders>
          </w:tcPr>
          <w:p w14:paraId="56229F72" w14:textId="77777777" w:rsidR="001C3C9D" w:rsidRPr="008278D2" w:rsidRDefault="001C3C9D" w:rsidP="00A63AD2">
            <w:pPr>
              <w:jc w:val="center"/>
              <w:rPr>
                <w:rFonts w:asciiTheme="majorBidi" w:hAnsiTheme="majorBidi" w:cstheme="majorBidi"/>
              </w:rPr>
            </w:pPr>
            <w:r w:rsidRPr="008278D2">
              <w:rPr>
                <w:rFonts w:asciiTheme="majorBidi" w:hAnsiTheme="majorBidi" w:cstheme="majorBidi"/>
              </w:rPr>
              <w:t>UAE</w:t>
            </w:r>
          </w:p>
        </w:tc>
        <w:tc>
          <w:tcPr>
            <w:tcW w:w="427" w:type="pct"/>
            <w:tcBorders>
              <w:top w:val="single" w:sz="4" w:space="0" w:color="auto"/>
              <w:bottom w:val="single" w:sz="4" w:space="0" w:color="auto"/>
            </w:tcBorders>
          </w:tcPr>
          <w:p w14:paraId="094BC55D" w14:textId="77777777" w:rsidR="001C3C9D" w:rsidRPr="008278D2" w:rsidRDefault="001C3C9D" w:rsidP="00A63AD2">
            <w:pPr>
              <w:jc w:val="center"/>
              <w:rPr>
                <w:rFonts w:asciiTheme="majorBidi" w:hAnsiTheme="majorBidi" w:cstheme="majorBidi"/>
              </w:rPr>
            </w:pPr>
            <w:r w:rsidRPr="008278D2">
              <w:rPr>
                <w:rFonts w:asciiTheme="majorBidi" w:hAnsiTheme="majorBidi" w:cstheme="majorBidi"/>
              </w:rPr>
              <w:t>Total</w:t>
            </w:r>
          </w:p>
        </w:tc>
      </w:tr>
      <w:tr w:rsidR="008278D2" w:rsidRPr="008278D2" w14:paraId="60A0C310" w14:textId="77777777" w:rsidTr="000B49E1">
        <w:trPr>
          <w:trHeight w:val="340"/>
          <w:jc w:val="center"/>
        </w:trPr>
        <w:tc>
          <w:tcPr>
            <w:tcW w:w="2013" w:type="pct"/>
            <w:tcBorders>
              <w:top w:val="single" w:sz="4" w:space="0" w:color="auto"/>
              <w:bottom w:val="single" w:sz="4" w:space="0" w:color="auto"/>
              <w:right w:val="single" w:sz="4" w:space="0" w:color="auto"/>
            </w:tcBorders>
          </w:tcPr>
          <w:p w14:paraId="207FF908" w14:textId="77777777" w:rsidR="001C3C9D" w:rsidRPr="008278D2" w:rsidRDefault="001C3C9D" w:rsidP="008278D2">
            <w:pPr>
              <w:adjustRightInd w:val="0"/>
              <w:snapToGrid w:val="0"/>
              <w:rPr>
                <w:rFonts w:asciiTheme="majorBidi" w:hAnsiTheme="majorBidi" w:cstheme="majorBidi"/>
              </w:rPr>
            </w:pPr>
            <w:r w:rsidRPr="008278D2">
              <w:rPr>
                <w:rFonts w:asciiTheme="majorBidi" w:hAnsiTheme="majorBidi" w:cstheme="majorBidi"/>
              </w:rPr>
              <w:t>Total Listed Firms (1)</w:t>
            </w:r>
          </w:p>
        </w:tc>
        <w:tc>
          <w:tcPr>
            <w:tcW w:w="427" w:type="pct"/>
            <w:tcBorders>
              <w:top w:val="single" w:sz="4" w:space="0" w:color="auto"/>
              <w:left w:val="single" w:sz="4" w:space="0" w:color="auto"/>
              <w:bottom w:val="single" w:sz="4" w:space="0" w:color="auto"/>
            </w:tcBorders>
          </w:tcPr>
          <w:p w14:paraId="68816293" w14:textId="77777777" w:rsidR="001C3C9D" w:rsidRPr="008278D2" w:rsidRDefault="001C3C9D" w:rsidP="00A63AD2">
            <w:pPr>
              <w:jc w:val="center"/>
              <w:rPr>
                <w:rFonts w:asciiTheme="majorBidi" w:hAnsiTheme="majorBidi" w:cstheme="majorBidi"/>
              </w:rPr>
            </w:pPr>
            <w:r w:rsidRPr="008278D2">
              <w:rPr>
                <w:rFonts w:asciiTheme="majorBidi" w:hAnsiTheme="majorBidi" w:cstheme="majorBidi"/>
              </w:rPr>
              <w:t>171</w:t>
            </w:r>
          </w:p>
        </w:tc>
        <w:tc>
          <w:tcPr>
            <w:tcW w:w="427" w:type="pct"/>
            <w:tcBorders>
              <w:top w:val="single" w:sz="4" w:space="0" w:color="auto"/>
              <w:bottom w:val="single" w:sz="4" w:space="0" w:color="auto"/>
            </w:tcBorders>
          </w:tcPr>
          <w:p w14:paraId="46AF83DC" w14:textId="77777777" w:rsidR="001C3C9D" w:rsidRPr="008278D2" w:rsidRDefault="001C3C9D" w:rsidP="00A63AD2">
            <w:pPr>
              <w:jc w:val="center"/>
              <w:rPr>
                <w:rFonts w:asciiTheme="majorBidi" w:hAnsiTheme="majorBidi" w:cstheme="majorBidi"/>
              </w:rPr>
            </w:pPr>
            <w:r w:rsidRPr="008278D2">
              <w:rPr>
                <w:rFonts w:asciiTheme="majorBidi" w:hAnsiTheme="majorBidi" w:cstheme="majorBidi"/>
              </w:rPr>
              <w:t>107</w:t>
            </w:r>
          </w:p>
        </w:tc>
        <w:tc>
          <w:tcPr>
            <w:tcW w:w="427" w:type="pct"/>
            <w:tcBorders>
              <w:top w:val="single" w:sz="4" w:space="0" w:color="auto"/>
              <w:bottom w:val="single" w:sz="4" w:space="0" w:color="auto"/>
            </w:tcBorders>
          </w:tcPr>
          <w:p w14:paraId="56625C52" w14:textId="77777777" w:rsidR="001C3C9D" w:rsidRPr="008278D2" w:rsidRDefault="001C3C9D" w:rsidP="00A63AD2">
            <w:pPr>
              <w:jc w:val="center"/>
              <w:rPr>
                <w:rFonts w:asciiTheme="majorBidi" w:hAnsiTheme="majorBidi" w:cstheme="majorBidi"/>
              </w:rPr>
            </w:pPr>
            <w:r w:rsidRPr="008278D2">
              <w:rPr>
                <w:rFonts w:asciiTheme="majorBidi" w:hAnsiTheme="majorBidi" w:cstheme="majorBidi"/>
              </w:rPr>
              <w:t>43</w:t>
            </w:r>
          </w:p>
        </w:tc>
        <w:tc>
          <w:tcPr>
            <w:tcW w:w="427" w:type="pct"/>
            <w:tcBorders>
              <w:top w:val="single" w:sz="4" w:space="0" w:color="auto"/>
              <w:bottom w:val="single" w:sz="4" w:space="0" w:color="auto"/>
            </w:tcBorders>
          </w:tcPr>
          <w:p w14:paraId="167CA7FC" w14:textId="77777777" w:rsidR="001C3C9D" w:rsidRPr="008278D2" w:rsidRDefault="001C3C9D" w:rsidP="00A63AD2">
            <w:pPr>
              <w:jc w:val="center"/>
              <w:rPr>
                <w:rFonts w:asciiTheme="majorBidi" w:hAnsiTheme="majorBidi" w:cstheme="majorBidi"/>
              </w:rPr>
            </w:pPr>
            <w:r w:rsidRPr="008278D2">
              <w:rPr>
                <w:rFonts w:asciiTheme="majorBidi" w:hAnsiTheme="majorBidi" w:cstheme="majorBidi"/>
              </w:rPr>
              <w:t>42</w:t>
            </w:r>
          </w:p>
        </w:tc>
        <w:tc>
          <w:tcPr>
            <w:tcW w:w="427" w:type="pct"/>
            <w:tcBorders>
              <w:top w:val="single" w:sz="4" w:space="0" w:color="auto"/>
              <w:bottom w:val="single" w:sz="4" w:space="0" w:color="auto"/>
            </w:tcBorders>
          </w:tcPr>
          <w:p w14:paraId="47451B21" w14:textId="77777777" w:rsidR="001C3C9D" w:rsidRPr="008278D2" w:rsidRDefault="001C3C9D" w:rsidP="00A63AD2">
            <w:pPr>
              <w:jc w:val="center"/>
              <w:rPr>
                <w:rFonts w:asciiTheme="majorBidi" w:hAnsiTheme="majorBidi" w:cstheme="majorBidi"/>
              </w:rPr>
            </w:pPr>
            <w:r w:rsidRPr="008278D2">
              <w:rPr>
                <w:rFonts w:asciiTheme="majorBidi" w:hAnsiTheme="majorBidi" w:cstheme="majorBidi"/>
              </w:rPr>
              <w:t>173</w:t>
            </w:r>
          </w:p>
        </w:tc>
        <w:tc>
          <w:tcPr>
            <w:tcW w:w="427" w:type="pct"/>
            <w:tcBorders>
              <w:top w:val="single" w:sz="4" w:space="0" w:color="auto"/>
              <w:bottom w:val="single" w:sz="4" w:space="0" w:color="auto"/>
            </w:tcBorders>
          </w:tcPr>
          <w:p w14:paraId="412E9DC0" w14:textId="77777777" w:rsidR="001C3C9D" w:rsidRPr="008278D2" w:rsidRDefault="001C3C9D" w:rsidP="00A63AD2">
            <w:pPr>
              <w:jc w:val="center"/>
              <w:rPr>
                <w:rFonts w:asciiTheme="majorBidi" w:hAnsiTheme="majorBidi" w:cstheme="majorBidi"/>
              </w:rPr>
            </w:pPr>
            <w:r w:rsidRPr="008278D2">
              <w:rPr>
                <w:rFonts w:asciiTheme="majorBidi" w:hAnsiTheme="majorBidi" w:cstheme="majorBidi"/>
              </w:rPr>
              <w:t>147</w:t>
            </w:r>
          </w:p>
        </w:tc>
        <w:tc>
          <w:tcPr>
            <w:tcW w:w="427" w:type="pct"/>
            <w:tcBorders>
              <w:top w:val="single" w:sz="4" w:space="0" w:color="auto"/>
              <w:bottom w:val="single" w:sz="4" w:space="0" w:color="auto"/>
            </w:tcBorders>
          </w:tcPr>
          <w:p w14:paraId="3466A3A5" w14:textId="77777777" w:rsidR="001C3C9D" w:rsidRPr="008278D2" w:rsidRDefault="001C3C9D" w:rsidP="00A63AD2">
            <w:pPr>
              <w:jc w:val="center"/>
              <w:rPr>
                <w:rFonts w:asciiTheme="majorBidi" w:hAnsiTheme="majorBidi" w:cstheme="majorBidi"/>
              </w:rPr>
            </w:pPr>
            <w:r w:rsidRPr="008278D2">
              <w:rPr>
                <w:rFonts w:asciiTheme="majorBidi" w:hAnsiTheme="majorBidi" w:cstheme="majorBidi"/>
              </w:rPr>
              <w:t>683</w:t>
            </w:r>
          </w:p>
        </w:tc>
      </w:tr>
      <w:tr w:rsidR="008278D2" w:rsidRPr="008278D2" w14:paraId="3C33B33C" w14:textId="77777777" w:rsidTr="000B49E1">
        <w:trPr>
          <w:trHeight w:val="340"/>
          <w:jc w:val="center"/>
        </w:trPr>
        <w:tc>
          <w:tcPr>
            <w:tcW w:w="2013" w:type="pct"/>
            <w:tcBorders>
              <w:top w:val="single" w:sz="4" w:space="0" w:color="auto"/>
              <w:bottom w:val="single" w:sz="4" w:space="0" w:color="auto"/>
              <w:right w:val="single" w:sz="4" w:space="0" w:color="auto"/>
            </w:tcBorders>
          </w:tcPr>
          <w:p w14:paraId="126819A7" w14:textId="77777777" w:rsidR="001C3C9D" w:rsidRPr="008278D2" w:rsidRDefault="001C3C9D" w:rsidP="008278D2">
            <w:pPr>
              <w:adjustRightInd w:val="0"/>
              <w:snapToGrid w:val="0"/>
              <w:rPr>
                <w:rFonts w:asciiTheme="majorBidi" w:hAnsiTheme="majorBidi" w:cstheme="majorBidi"/>
              </w:rPr>
            </w:pPr>
            <w:r w:rsidRPr="008278D2">
              <w:rPr>
                <w:rFonts w:asciiTheme="majorBidi" w:hAnsiTheme="majorBidi" w:cstheme="majorBidi"/>
              </w:rPr>
              <w:t>Financial firms (2)</w:t>
            </w:r>
          </w:p>
        </w:tc>
        <w:tc>
          <w:tcPr>
            <w:tcW w:w="427" w:type="pct"/>
            <w:tcBorders>
              <w:top w:val="single" w:sz="4" w:space="0" w:color="auto"/>
              <w:left w:val="single" w:sz="4" w:space="0" w:color="auto"/>
              <w:bottom w:val="single" w:sz="4" w:space="0" w:color="auto"/>
            </w:tcBorders>
          </w:tcPr>
          <w:p w14:paraId="3EACD12B" w14:textId="77777777" w:rsidR="001C3C9D" w:rsidRPr="008278D2" w:rsidRDefault="001C3C9D" w:rsidP="00A63AD2">
            <w:pPr>
              <w:jc w:val="center"/>
              <w:rPr>
                <w:rFonts w:asciiTheme="majorBidi" w:hAnsiTheme="majorBidi" w:cstheme="majorBidi"/>
              </w:rPr>
            </w:pPr>
            <w:r w:rsidRPr="008278D2">
              <w:rPr>
                <w:rFonts w:asciiTheme="majorBidi" w:hAnsiTheme="majorBidi" w:cstheme="majorBidi"/>
              </w:rPr>
              <w:t>50</w:t>
            </w:r>
          </w:p>
        </w:tc>
        <w:tc>
          <w:tcPr>
            <w:tcW w:w="427" w:type="pct"/>
            <w:tcBorders>
              <w:top w:val="single" w:sz="4" w:space="0" w:color="auto"/>
              <w:bottom w:val="single" w:sz="4" w:space="0" w:color="auto"/>
            </w:tcBorders>
          </w:tcPr>
          <w:p w14:paraId="06E12CA0" w14:textId="77777777" w:rsidR="001C3C9D" w:rsidRPr="008278D2" w:rsidRDefault="001C3C9D" w:rsidP="00A63AD2">
            <w:pPr>
              <w:jc w:val="center"/>
              <w:rPr>
                <w:rFonts w:asciiTheme="majorBidi" w:hAnsiTheme="majorBidi" w:cstheme="majorBidi"/>
              </w:rPr>
            </w:pPr>
            <w:r w:rsidRPr="008278D2">
              <w:rPr>
                <w:rFonts w:asciiTheme="majorBidi" w:hAnsiTheme="majorBidi" w:cstheme="majorBidi"/>
              </w:rPr>
              <w:t>31</w:t>
            </w:r>
          </w:p>
        </w:tc>
        <w:tc>
          <w:tcPr>
            <w:tcW w:w="427" w:type="pct"/>
            <w:tcBorders>
              <w:top w:val="single" w:sz="4" w:space="0" w:color="auto"/>
              <w:bottom w:val="single" w:sz="4" w:space="0" w:color="auto"/>
            </w:tcBorders>
          </w:tcPr>
          <w:p w14:paraId="0779ACFA" w14:textId="77777777" w:rsidR="001C3C9D" w:rsidRPr="008278D2" w:rsidRDefault="001C3C9D" w:rsidP="00A63AD2">
            <w:pPr>
              <w:jc w:val="center"/>
              <w:rPr>
                <w:rFonts w:asciiTheme="majorBidi" w:hAnsiTheme="majorBidi" w:cstheme="majorBidi"/>
              </w:rPr>
            </w:pPr>
            <w:r w:rsidRPr="008278D2">
              <w:rPr>
                <w:rFonts w:asciiTheme="majorBidi" w:hAnsiTheme="majorBidi" w:cstheme="majorBidi"/>
              </w:rPr>
              <w:t>17</w:t>
            </w:r>
          </w:p>
        </w:tc>
        <w:tc>
          <w:tcPr>
            <w:tcW w:w="427" w:type="pct"/>
            <w:tcBorders>
              <w:top w:val="single" w:sz="4" w:space="0" w:color="auto"/>
              <w:bottom w:val="single" w:sz="4" w:space="0" w:color="auto"/>
            </w:tcBorders>
          </w:tcPr>
          <w:p w14:paraId="61EDA4CC" w14:textId="77777777" w:rsidR="001C3C9D" w:rsidRPr="008278D2" w:rsidRDefault="001C3C9D" w:rsidP="00A63AD2">
            <w:pPr>
              <w:jc w:val="center"/>
              <w:rPr>
                <w:rFonts w:asciiTheme="majorBidi" w:hAnsiTheme="majorBidi" w:cstheme="majorBidi"/>
              </w:rPr>
            </w:pPr>
            <w:r w:rsidRPr="008278D2">
              <w:rPr>
                <w:rFonts w:asciiTheme="majorBidi" w:hAnsiTheme="majorBidi" w:cstheme="majorBidi"/>
              </w:rPr>
              <w:t>24</w:t>
            </w:r>
          </w:p>
        </w:tc>
        <w:tc>
          <w:tcPr>
            <w:tcW w:w="427" w:type="pct"/>
            <w:tcBorders>
              <w:top w:val="single" w:sz="4" w:space="0" w:color="auto"/>
              <w:bottom w:val="single" w:sz="4" w:space="0" w:color="auto"/>
            </w:tcBorders>
          </w:tcPr>
          <w:p w14:paraId="74D805DD" w14:textId="77777777" w:rsidR="001C3C9D" w:rsidRPr="008278D2" w:rsidRDefault="001C3C9D" w:rsidP="00A63AD2">
            <w:pPr>
              <w:jc w:val="center"/>
              <w:rPr>
                <w:rFonts w:asciiTheme="majorBidi" w:hAnsiTheme="majorBidi" w:cstheme="majorBidi"/>
              </w:rPr>
            </w:pPr>
            <w:r w:rsidRPr="008278D2">
              <w:rPr>
                <w:rFonts w:asciiTheme="majorBidi" w:hAnsiTheme="majorBidi" w:cstheme="majorBidi"/>
              </w:rPr>
              <w:t>118</w:t>
            </w:r>
          </w:p>
        </w:tc>
        <w:tc>
          <w:tcPr>
            <w:tcW w:w="427" w:type="pct"/>
            <w:tcBorders>
              <w:top w:val="single" w:sz="4" w:space="0" w:color="auto"/>
              <w:bottom w:val="single" w:sz="4" w:space="0" w:color="auto"/>
            </w:tcBorders>
          </w:tcPr>
          <w:p w14:paraId="1E65F4BC" w14:textId="77777777" w:rsidR="001C3C9D" w:rsidRPr="008278D2" w:rsidRDefault="001C3C9D" w:rsidP="00A63AD2">
            <w:pPr>
              <w:jc w:val="center"/>
              <w:rPr>
                <w:rFonts w:asciiTheme="majorBidi" w:hAnsiTheme="majorBidi" w:cstheme="majorBidi"/>
              </w:rPr>
            </w:pPr>
            <w:r w:rsidRPr="008278D2">
              <w:rPr>
                <w:rFonts w:asciiTheme="majorBidi" w:hAnsiTheme="majorBidi" w:cstheme="majorBidi"/>
              </w:rPr>
              <w:t>86</w:t>
            </w:r>
          </w:p>
        </w:tc>
        <w:tc>
          <w:tcPr>
            <w:tcW w:w="427" w:type="pct"/>
            <w:tcBorders>
              <w:top w:val="single" w:sz="4" w:space="0" w:color="auto"/>
              <w:bottom w:val="single" w:sz="4" w:space="0" w:color="auto"/>
            </w:tcBorders>
          </w:tcPr>
          <w:p w14:paraId="486A971B" w14:textId="77777777" w:rsidR="001C3C9D" w:rsidRPr="008278D2" w:rsidRDefault="001C3C9D" w:rsidP="00A63AD2">
            <w:pPr>
              <w:jc w:val="center"/>
              <w:rPr>
                <w:rFonts w:asciiTheme="majorBidi" w:hAnsiTheme="majorBidi" w:cstheme="majorBidi"/>
              </w:rPr>
            </w:pPr>
            <w:r w:rsidRPr="008278D2">
              <w:rPr>
                <w:rFonts w:asciiTheme="majorBidi" w:hAnsiTheme="majorBidi" w:cstheme="majorBidi"/>
              </w:rPr>
              <w:t>326</w:t>
            </w:r>
          </w:p>
        </w:tc>
      </w:tr>
      <w:tr w:rsidR="008278D2" w:rsidRPr="008278D2" w14:paraId="78044CD5" w14:textId="77777777" w:rsidTr="000B49E1">
        <w:trPr>
          <w:trHeight w:val="340"/>
          <w:jc w:val="center"/>
        </w:trPr>
        <w:tc>
          <w:tcPr>
            <w:tcW w:w="2013" w:type="pct"/>
            <w:tcBorders>
              <w:top w:val="single" w:sz="4" w:space="0" w:color="auto"/>
              <w:bottom w:val="single" w:sz="4" w:space="0" w:color="auto"/>
              <w:right w:val="single" w:sz="4" w:space="0" w:color="auto"/>
            </w:tcBorders>
          </w:tcPr>
          <w:p w14:paraId="266FE921" w14:textId="77777777" w:rsidR="001C3C9D" w:rsidRPr="008278D2" w:rsidRDefault="001C3C9D" w:rsidP="008278D2">
            <w:pPr>
              <w:adjustRightInd w:val="0"/>
              <w:snapToGrid w:val="0"/>
              <w:rPr>
                <w:rFonts w:asciiTheme="majorBidi" w:hAnsiTheme="majorBidi" w:cstheme="majorBidi"/>
              </w:rPr>
            </w:pPr>
            <w:r w:rsidRPr="008278D2">
              <w:rPr>
                <w:rFonts w:asciiTheme="majorBidi" w:hAnsiTheme="majorBidi" w:cstheme="majorBidi"/>
              </w:rPr>
              <w:t>Non- Financial firms 3 (1-2)</w:t>
            </w:r>
          </w:p>
        </w:tc>
        <w:tc>
          <w:tcPr>
            <w:tcW w:w="427" w:type="pct"/>
            <w:tcBorders>
              <w:top w:val="single" w:sz="4" w:space="0" w:color="auto"/>
              <w:left w:val="single" w:sz="4" w:space="0" w:color="auto"/>
              <w:bottom w:val="single" w:sz="4" w:space="0" w:color="auto"/>
            </w:tcBorders>
          </w:tcPr>
          <w:p w14:paraId="2E4F52C8" w14:textId="77777777" w:rsidR="001C3C9D" w:rsidRPr="008278D2" w:rsidRDefault="001C3C9D" w:rsidP="00A63AD2">
            <w:pPr>
              <w:jc w:val="center"/>
              <w:rPr>
                <w:rFonts w:asciiTheme="majorBidi" w:hAnsiTheme="majorBidi" w:cstheme="majorBidi"/>
              </w:rPr>
            </w:pPr>
            <w:r w:rsidRPr="008278D2">
              <w:rPr>
                <w:rFonts w:asciiTheme="majorBidi" w:hAnsiTheme="majorBidi" w:cstheme="majorBidi"/>
              </w:rPr>
              <w:t>121</w:t>
            </w:r>
          </w:p>
        </w:tc>
        <w:tc>
          <w:tcPr>
            <w:tcW w:w="427" w:type="pct"/>
            <w:tcBorders>
              <w:top w:val="single" w:sz="4" w:space="0" w:color="auto"/>
              <w:bottom w:val="single" w:sz="4" w:space="0" w:color="auto"/>
            </w:tcBorders>
          </w:tcPr>
          <w:p w14:paraId="34279A8C" w14:textId="77777777" w:rsidR="001C3C9D" w:rsidRPr="008278D2" w:rsidRDefault="001C3C9D" w:rsidP="00A63AD2">
            <w:pPr>
              <w:jc w:val="center"/>
              <w:rPr>
                <w:rFonts w:asciiTheme="majorBidi" w:hAnsiTheme="majorBidi" w:cstheme="majorBidi"/>
              </w:rPr>
            </w:pPr>
            <w:r w:rsidRPr="008278D2">
              <w:rPr>
                <w:rFonts w:asciiTheme="majorBidi" w:hAnsiTheme="majorBidi" w:cstheme="majorBidi"/>
              </w:rPr>
              <w:t>76</w:t>
            </w:r>
          </w:p>
        </w:tc>
        <w:tc>
          <w:tcPr>
            <w:tcW w:w="427" w:type="pct"/>
            <w:tcBorders>
              <w:top w:val="single" w:sz="4" w:space="0" w:color="auto"/>
              <w:bottom w:val="single" w:sz="4" w:space="0" w:color="auto"/>
            </w:tcBorders>
          </w:tcPr>
          <w:p w14:paraId="6E60C92B" w14:textId="77777777" w:rsidR="001C3C9D" w:rsidRPr="008278D2" w:rsidRDefault="001C3C9D" w:rsidP="00A63AD2">
            <w:pPr>
              <w:jc w:val="center"/>
              <w:rPr>
                <w:rFonts w:asciiTheme="majorBidi" w:hAnsiTheme="majorBidi" w:cstheme="majorBidi"/>
              </w:rPr>
            </w:pPr>
            <w:r w:rsidRPr="008278D2">
              <w:rPr>
                <w:rFonts w:asciiTheme="majorBidi" w:hAnsiTheme="majorBidi" w:cstheme="majorBidi"/>
              </w:rPr>
              <w:t>26</w:t>
            </w:r>
          </w:p>
        </w:tc>
        <w:tc>
          <w:tcPr>
            <w:tcW w:w="427" w:type="pct"/>
            <w:tcBorders>
              <w:top w:val="single" w:sz="4" w:space="0" w:color="auto"/>
              <w:bottom w:val="single" w:sz="4" w:space="0" w:color="auto"/>
            </w:tcBorders>
          </w:tcPr>
          <w:p w14:paraId="12126E6F" w14:textId="77777777" w:rsidR="001C3C9D" w:rsidRPr="008278D2" w:rsidRDefault="001C3C9D" w:rsidP="00A63AD2">
            <w:pPr>
              <w:jc w:val="center"/>
              <w:rPr>
                <w:rFonts w:asciiTheme="majorBidi" w:hAnsiTheme="majorBidi" w:cstheme="majorBidi"/>
              </w:rPr>
            </w:pPr>
            <w:r w:rsidRPr="008278D2">
              <w:rPr>
                <w:rFonts w:asciiTheme="majorBidi" w:hAnsiTheme="majorBidi" w:cstheme="majorBidi"/>
              </w:rPr>
              <w:t>18</w:t>
            </w:r>
          </w:p>
        </w:tc>
        <w:tc>
          <w:tcPr>
            <w:tcW w:w="427" w:type="pct"/>
            <w:tcBorders>
              <w:top w:val="single" w:sz="4" w:space="0" w:color="auto"/>
              <w:bottom w:val="single" w:sz="4" w:space="0" w:color="auto"/>
            </w:tcBorders>
          </w:tcPr>
          <w:p w14:paraId="68235CE2" w14:textId="77777777" w:rsidR="001C3C9D" w:rsidRPr="008278D2" w:rsidRDefault="001C3C9D" w:rsidP="00A63AD2">
            <w:pPr>
              <w:jc w:val="center"/>
              <w:rPr>
                <w:rFonts w:asciiTheme="majorBidi" w:hAnsiTheme="majorBidi" w:cstheme="majorBidi"/>
              </w:rPr>
            </w:pPr>
            <w:r w:rsidRPr="008278D2">
              <w:rPr>
                <w:rFonts w:asciiTheme="majorBidi" w:hAnsiTheme="majorBidi" w:cstheme="majorBidi"/>
              </w:rPr>
              <w:t>55</w:t>
            </w:r>
          </w:p>
        </w:tc>
        <w:tc>
          <w:tcPr>
            <w:tcW w:w="427" w:type="pct"/>
            <w:tcBorders>
              <w:top w:val="single" w:sz="4" w:space="0" w:color="auto"/>
              <w:bottom w:val="single" w:sz="4" w:space="0" w:color="auto"/>
            </w:tcBorders>
          </w:tcPr>
          <w:p w14:paraId="2FAF2BA9" w14:textId="77777777" w:rsidR="001C3C9D" w:rsidRPr="008278D2" w:rsidRDefault="001C3C9D" w:rsidP="00A63AD2">
            <w:pPr>
              <w:jc w:val="center"/>
              <w:rPr>
                <w:rFonts w:asciiTheme="majorBidi" w:hAnsiTheme="majorBidi" w:cstheme="majorBidi"/>
              </w:rPr>
            </w:pPr>
            <w:r w:rsidRPr="008278D2">
              <w:rPr>
                <w:rFonts w:asciiTheme="majorBidi" w:hAnsiTheme="majorBidi" w:cstheme="majorBidi"/>
              </w:rPr>
              <w:t>61</w:t>
            </w:r>
          </w:p>
        </w:tc>
        <w:tc>
          <w:tcPr>
            <w:tcW w:w="427" w:type="pct"/>
            <w:tcBorders>
              <w:top w:val="single" w:sz="4" w:space="0" w:color="auto"/>
              <w:bottom w:val="single" w:sz="4" w:space="0" w:color="auto"/>
            </w:tcBorders>
          </w:tcPr>
          <w:p w14:paraId="6E2AB8E6" w14:textId="77777777" w:rsidR="001C3C9D" w:rsidRPr="008278D2" w:rsidRDefault="001C3C9D" w:rsidP="00A63AD2">
            <w:pPr>
              <w:jc w:val="center"/>
              <w:rPr>
                <w:rFonts w:asciiTheme="majorBidi" w:hAnsiTheme="majorBidi" w:cstheme="majorBidi"/>
              </w:rPr>
            </w:pPr>
            <w:r w:rsidRPr="008278D2">
              <w:rPr>
                <w:rFonts w:asciiTheme="majorBidi" w:hAnsiTheme="majorBidi" w:cstheme="majorBidi"/>
              </w:rPr>
              <w:t>357</w:t>
            </w:r>
          </w:p>
        </w:tc>
      </w:tr>
      <w:tr w:rsidR="008278D2" w:rsidRPr="008278D2" w14:paraId="1CFDFCC9" w14:textId="77777777" w:rsidTr="000B49E1">
        <w:trPr>
          <w:trHeight w:val="340"/>
          <w:jc w:val="center"/>
        </w:trPr>
        <w:tc>
          <w:tcPr>
            <w:tcW w:w="2013" w:type="pct"/>
            <w:tcBorders>
              <w:top w:val="single" w:sz="4" w:space="0" w:color="auto"/>
              <w:bottom w:val="single" w:sz="4" w:space="0" w:color="auto"/>
              <w:right w:val="single" w:sz="4" w:space="0" w:color="auto"/>
            </w:tcBorders>
          </w:tcPr>
          <w:p w14:paraId="58047C31" w14:textId="77777777" w:rsidR="001C3C9D" w:rsidRPr="008278D2" w:rsidRDefault="001C3C9D" w:rsidP="008278D2">
            <w:pPr>
              <w:adjustRightInd w:val="0"/>
              <w:snapToGrid w:val="0"/>
              <w:rPr>
                <w:rFonts w:asciiTheme="majorBidi" w:hAnsiTheme="majorBidi" w:cstheme="majorBidi"/>
              </w:rPr>
            </w:pPr>
            <w:r w:rsidRPr="008278D2">
              <w:rPr>
                <w:rFonts w:asciiTheme="majorBidi" w:hAnsiTheme="majorBidi" w:cstheme="majorBidi"/>
              </w:rPr>
              <w:t>Firms with losses (4)</w:t>
            </w:r>
          </w:p>
        </w:tc>
        <w:tc>
          <w:tcPr>
            <w:tcW w:w="427" w:type="pct"/>
            <w:tcBorders>
              <w:top w:val="single" w:sz="4" w:space="0" w:color="auto"/>
              <w:left w:val="single" w:sz="4" w:space="0" w:color="auto"/>
              <w:bottom w:val="single" w:sz="4" w:space="0" w:color="auto"/>
            </w:tcBorders>
          </w:tcPr>
          <w:p w14:paraId="3F1D4489" w14:textId="77777777" w:rsidR="001C3C9D" w:rsidRPr="008278D2" w:rsidRDefault="001C3C9D" w:rsidP="00A63AD2">
            <w:pPr>
              <w:jc w:val="center"/>
              <w:rPr>
                <w:rFonts w:asciiTheme="majorBidi" w:hAnsiTheme="majorBidi" w:cstheme="majorBidi"/>
              </w:rPr>
            </w:pPr>
            <w:r w:rsidRPr="008278D2">
              <w:rPr>
                <w:rFonts w:asciiTheme="majorBidi" w:hAnsiTheme="majorBidi" w:cstheme="majorBidi"/>
              </w:rPr>
              <w:t>4</w:t>
            </w:r>
          </w:p>
        </w:tc>
        <w:tc>
          <w:tcPr>
            <w:tcW w:w="427" w:type="pct"/>
            <w:tcBorders>
              <w:top w:val="single" w:sz="4" w:space="0" w:color="auto"/>
              <w:bottom w:val="single" w:sz="4" w:space="0" w:color="auto"/>
            </w:tcBorders>
          </w:tcPr>
          <w:p w14:paraId="60DB025A" w14:textId="77777777" w:rsidR="001C3C9D" w:rsidRPr="008278D2" w:rsidRDefault="001C3C9D" w:rsidP="00A63AD2">
            <w:pPr>
              <w:jc w:val="center"/>
              <w:rPr>
                <w:rFonts w:asciiTheme="majorBidi" w:hAnsiTheme="majorBidi" w:cstheme="majorBidi"/>
              </w:rPr>
            </w:pPr>
            <w:r w:rsidRPr="008278D2">
              <w:rPr>
                <w:rFonts w:asciiTheme="majorBidi" w:hAnsiTheme="majorBidi" w:cstheme="majorBidi"/>
              </w:rPr>
              <w:t>0</w:t>
            </w:r>
          </w:p>
        </w:tc>
        <w:tc>
          <w:tcPr>
            <w:tcW w:w="427" w:type="pct"/>
            <w:tcBorders>
              <w:top w:val="single" w:sz="4" w:space="0" w:color="auto"/>
              <w:bottom w:val="single" w:sz="4" w:space="0" w:color="auto"/>
            </w:tcBorders>
          </w:tcPr>
          <w:p w14:paraId="4CF61494" w14:textId="77777777" w:rsidR="001C3C9D" w:rsidRPr="008278D2" w:rsidRDefault="001C3C9D" w:rsidP="00A63AD2">
            <w:pPr>
              <w:jc w:val="center"/>
              <w:rPr>
                <w:rFonts w:asciiTheme="majorBidi" w:hAnsiTheme="majorBidi" w:cstheme="majorBidi"/>
              </w:rPr>
            </w:pPr>
            <w:r w:rsidRPr="008278D2">
              <w:rPr>
                <w:rFonts w:asciiTheme="majorBidi" w:hAnsiTheme="majorBidi" w:cstheme="majorBidi"/>
              </w:rPr>
              <w:t>0</w:t>
            </w:r>
          </w:p>
        </w:tc>
        <w:tc>
          <w:tcPr>
            <w:tcW w:w="427" w:type="pct"/>
            <w:tcBorders>
              <w:top w:val="single" w:sz="4" w:space="0" w:color="auto"/>
              <w:bottom w:val="single" w:sz="4" w:space="0" w:color="auto"/>
            </w:tcBorders>
          </w:tcPr>
          <w:p w14:paraId="17806276" w14:textId="77777777" w:rsidR="001C3C9D" w:rsidRPr="008278D2" w:rsidRDefault="001C3C9D" w:rsidP="00A63AD2">
            <w:pPr>
              <w:jc w:val="center"/>
              <w:rPr>
                <w:rFonts w:asciiTheme="majorBidi" w:hAnsiTheme="majorBidi" w:cstheme="majorBidi"/>
              </w:rPr>
            </w:pPr>
            <w:r w:rsidRPr="008278D2">
              <w:rPr>
                <w:rFonts w:asciiTheme="majorBidi" w:hAnsiTheme="majorBidi" w:cstheme="majorBidi"/>
              </w:rPr>
              <w:t>0</w:t>
            </w:r>
          </w:p>
        </w:tc>
        <w:tc>
          <w:tcPr>
            <w:tcW w:w="427" w:type="pct"/>
            <w:tcBorders>
              <w:top w:val="single" w:sz="4" w:space="0" w:color="auto"/>
              <w:bottom w:val="single" w:sz="4" w:space="0" w:color="auto"/>
            </w:tcBorders>
          </w:tcPr>
          <w:p w14:paraId="334E038A" w14:textId="77777777" w:rsidR="001C3C9D" w:rsidRPr="008278D2" w:rsidRDefault="001C3C9D" w:rsidP="00A63AD2">
            <w:pPr>
              <w:jc w:val="center"/>
              <w:rPr>
                <w:rFonts w:asciiTheme="majorBidi" w:hAnsiTheme="majorBidi" w:cstheme="majorBidi"/>
              </w:rPr>
            </w:pPr>
            <w:r w:rsidRPr="008278D2">
              <w:rPr>
                <w:rFonts w:asciiTheme="majorBidi" w:hAnsiTheme="majorBidi" w:cstheme="majorBidi"/>
              </w:rPr>
              <w:t>11</w:t>
            </w:r>
          </w:p>
        </w:tc>
        <w:tc>
          <w:tcPr>
            <w:tcW w:w="427" w:type="pct"/>
            <w:tcBorders>
              <w:top w:val="single" w:sz="4" w:space="0" w:color="auto"/>
              <w:bottom w:val="single" w:sz="4" w:space="0" w:color="auto"/>
            </w:tcBorders>
          </w:tcPr>
          <w:p w14:paraId="52EA8139" w14:textId="77777777" w:rsidR="001C3C9D" w:rsidRPr="008278D2" w:rsidRDefault="001C3C9D" w:rsidP="00A63AD2">
            <w:pPr>
              <w:jc w:val="center"/>
              <w:rPr>
                <w:rFonts w:asciiTheme="majorBidi" w:hAnsiTheme="majorBidi" w:cstheme="majorBidi"/>
              </w:rPr>
            </w:pPr>
            <w:r w:rsidRPr="008278D2">
              <w:rPr>
                <w:rFonts w:asciiTheme="majorBidi" w:hAnsiTheme="majorBidi" w:cstheme="majorBidi"/>
              </w:rPr>
              <w:t>0</w:t>
            </w:r>
          </w:p>
        </w:tc>
        <w:tc>
          <w:tcPr>
            <w:tcW w:w="427" w:type="pct"/>
            <w:tcBorders>
              <w:top w:val="single" w:sz="4" w:space="0" w:color="auto"/>
              <w:bottom w:val="single" w:sz="4" w:space="0" w:color="auto"/>
            </w:tcBorders>
          </w:tcPr>
          <w:p w14:paraId="096C5B7A" w14:textId="77777777" w:rsidR="001C3C9D" w:rsidRPr="008278D2" w:rsidRDefault="001C3C9D" w:rsidP="00A63AD2">
            <w:pPr>
              <w:jc w:val="center"/>
              <w:rPr>
                <w:rFonts w:asciiTheme="majorBidi" w:hAnsiTheme="majorBidi" w:cstheme="majorBidi"/>
              </w:rPr>
            </w:pPr>
            <w:r w:rsidRPr="008278D2">
              <w:rPr>
                <w:rFonts w:asciiTheme="majorBidi" w:hAnsiTheme="majorBidi" w:cstheme="majorBidi"/>
              </w:rPr>
              <w:t>15</w:t>
            </w:r>
          </w:p>
        </w:tc>
      </w:tr>
      <w:tr w:rsidR="008278D2" w:rsidRPr="008278D2" w14:paraId="76C85D61" w14:textId="77777777" w:rsidTr="000B49E1">
        <w:trPr>
          <w:trHeight w:val="340"/>
          <w:jc w:val="center"/>
        </w:trPr>
        <w:tc>
          <w:tcPr>
            <w:tcW w:w="2013" w:type="pct"/>
            <w:tcBorders>
              <w:top w:val="single" w:sz="4" w:space="0" w:color="auto"/>
              <w:bottom w:val="single" w:sz="4" w:space="0" w:color="auto"/>
              <w:right w:val="single" w:sz="4" w:space="0" w:color="auto"/>
            </w:tcBorders>
          </w:tcPr>
          <w:p w14:paraId="56D77DF7" w14:textId="77777777" w:rsidR="001C3C9D" w:rsidRPr="008278D2" w:rsidRDefault="001C3C9D" w:rsidP="008278D2">
            <w:pPr>
              <w:adjustRightInd w:val="0"/>
              <w:snapToGrid w:val="0"/>
              <w:rPr>
                <w:rFonts w:asciiTheme="majorBidi" w:hAnsiTheme="majorBidi" w:cstheme="majorBidi"/>
              </w:rPr>
            </w:pPr>
            <w:r w:rsidRPr="008278D2">
              <w:rPr>
                <w:rFonts w:asciiTheme="majorBidi" w:hAnsiTheme="majorBidi" w:cstheme="majorBidi"/>
              </w:rPr>
              <w:t>Firms with missing data (5)</w:t>
            </w:r>
          </w:p>
        </w:tc>
        <w:tc>
          <w:tcPr>
            <w:tcW w:w="427" w:type="pct"/>
            <w:tcBorders>
              <w:top w:val="single" w:sz="4" w:space="0" w:color="auto"/>
              <w:left w:val="single" w:sz="4" w:space="0" w:color="auto"/>
              <w:bottom w:val="single" w:sz="4" w:space="0" w:color="auto"/>
            </w:tcBorders>
          </w:tcPr>
          <w:p w14:paraId="2408497E" w14:textId="29D4E3EB" w:rsidR="001C3C9D" w:rsidRPr="008278D2" w:rsidRDefault="001C3C9D" w:rsidP="00A63AD2">
            <w:pPr>
              <w:jc w:val="center"/>
              <w:rPr>
                <w:rFonts w:asciiTheme="majorBidi" w:hAnsiTheme="majorBidi" w:cstheme="majorBidi"/>
              </w:rPr>
            </w:pPr>
            <w:r w:rsidRPr="008278D2">
              <w:rPr>
                <w:rFonts w:asciiTheme="majorBidi" w:hAnsiTheme="majorBidi" w:cstheme="majorBidi"/>
              </w:rPr>
              <w:t>39</w:t>
            </w:r>
          </w:p>
        </w:tc>
        <w:tc>
          <w:tcPr>
            <w:tcW w:w="427" w:type="pct"/>
            <w:tcBorders>
              <w:top w:val="single" w:sz="4" w:space="0" w:color="auto"/>
              <w:bottom w:val="single" w:sz="4" w:space="0" w:color="auto"/>
            </w:tcBorders>
          </w:tcPr>
          <w:p w14:paraId="6CF83BAA" w14:textId="3338AB56" w:rsidR="001C3C9D" w:rsidRPr="008278D2" w:rsidRDefault="001C3C9D" w:rsidP="00A63AD2">
            <w:pPr>
              <w:jc w:val="center"/>
              <w:rPr>
                <w:rFonts w:asciiTheme="majorBidi" w:hAnsiTheme="majorBidi" w:cstheme="majorBidi"/>
              </w:rPr>
            </w:pPr>
            <w:r w:rsidRPr="008278D2">
              <w:rPr>
                <w:rFonts w:asciiTheme="majorBidi" w:hAnsiTheme="majorBidi" w:cstheme="majorBidi"/>
              </w:rPr>
              <w:t>10</w:t>
            </w:r>
          </w:p>
        </w:tc>
        <w:tc>
          <w:tcPr>
            <w:tcW w:w="427" w:type="pct"/>
            <w:tcBorders>
              <w:top w:val="single" w:sz="4" w:space="0" w:color="auto"/>
              <w:bottom w:val="single" w:sz="4" w:space="0" w:color="auto"/>
            </w:tcBorders>
          </w:tcPr>
          <w:p w14:paraId="0A15E13F" w14:textId="77777777" w:rsidR="001C3C9D" w:rsidRPr="008278D2" w:rsidRDefault="001C3C9D" w:rsidP="00A63AD2">
            <w:pPr>
              <w:jc w:val="center"/>
              <w:rPr>
                <w:rFonts w:asciiTheme="majorBidi" w:hAnsiTheme="majorBidi" w:cstheme="majorBidi"/>
              </w:rPr>
            </w:pPr>
            <w:r w:rsidRPr="008278D2">
              <w:rPr>
                <w:rFonts w:asciiTheme="majorBidi" w:hAnsiTheme="majorBidi" w:cstheme="majorBidi"/>
              </w:rPr>
              <w:t>12</w:t>
            </w:r>
          </w:p>
        </w:tc>
        <w:tc>
          <w:tcPr>
            <w:tcW w:w="427" w:type="pct"/>
            <w:tcBorders>
              <w:top w:val="single" w:sz="4" w:space="0" w:color="auto"/>
              <w:bottom w:val="single" w:sz="4" w:space="0" w:color="auto"/>
            </w:tcBorders>
          </w:tcPr>
          <w:p w14:paraId="046EE45D" w14:textId="5C5C1ADD" w:rsidR="001C3C9D" w:rsidRPr="008278D2" w:rsidRDefault="005A2C4C" w:rsidP="00A63AD2">
            <w:pPr>
              <w:jc w:val="center"/>
              <w:rPr>
                <w:rFonts w:asciiTheme="majorBidi" w:hAnsiTheme="majorBidi" w:cstheme="majorBidi"/>
              </w:rPr>
            </w:pPr>
            <w:r w:rsidRPr="008278D2">
              <w:rPr>
                <w:rFonts w:asciiTheme="majorBidi" w:hAnsiTheme="majorBidi" w:cstheme="majorBidi"/>
              </w:rPr>
              <w:t>9</w:t>
            </w:r>
          </w:p>
        </w:tc>
        <w:tc>
          <w:tcPr>
            <w:tcW w:w="427" w:type="pct"/>
            <w:tcBorders>
              <w:top w:val="single" w:sz="4" w:space="0" w:color="auto"/>
              <w:bottom w:val="single" w:sz="4" w:space="0" w:color="auto"/>
            </w:tcBorders>
          </w:tcPr>
          <w:p w14:paraId="2D3B7949" w14:textId="51F927C9" w:rsidR="001C3C9D" w:rsidRPr="008278D2" w:rsidRDefault="005A2C4C" w:rsidP="00A63AD2">
            <w:pPr>
              <w:jc w:val="center"/>
              <w:rPr>
                <w:rFonts w:asciiTheme="majorBidi" w:hAnsiTheme="majorBidi" w:cstheme="majorBidi"/>
              </w:rPr>
            </w:pPr>
            <w:r w:rsidRPr="008278D2">
              <w:rPr>
                <w:rFonts w:asciiTheme="majorBidi" w:hAnsiTheme="majorBidi" w:cstheme="majorBidi"/>
              </w:rPr>
              <w:t>35</w:t>
            </w:r>
          </w:p>
        </w:tc>
        <w:tc>
          <w:tcPr>
            <w:tcW w:w="427" w:type="pct"/>
            <w:tcBorders>
              <w:top w:val="single" w:sz="4" w:space="0" w:color="auto"/>
              <w:bottom w:val="single" w:sz="4" w:space="0" w:color="auto"/>
            </w:tcBorders>
          </w:tcPr>
          <w:p w14:paraId="5DA8B385" w14:textId="497E80EE" w:rsidR="001C3C9D" w:rsidRPr="008278D2" w:rsidRDefault="002A4982" w:rsidP="00A63AD2">
            <w:pPr>
              <w:jc w:val="center"/>
              <w:rPr>
                <w:rFonts w:asciiTheme="majorBidi" w:hAnsiTheme="majorBidi" w:cstheme="majorBidi"/>
              </w:rPr>
            </w:pPr>
            <w:r w:rsidRPr="008278D2">
              <w:rPr>
                <w:rFonts w:asciiTheme="majorBidi" w:hAnsiTheme="majorBidi" w:cstheme="majorBidi"/>
              </w:rPr>
              <w:t>34</w:t>
            </w:r>
          </w:p>
        </w:tc>
        <w:tc>
          <w:tcPr>
            <w:tcW w:w="427" w:type="pct"/>
            <w:tcBorders>
              <w:top w:val="single" w:sz="4" w:space="0" w:color="auto"/>
              <w:bottom w:val="single" w:sz="4" w:space="0" w:color="auto"/>
            </w:tcBorders>
          </w:tcPr>
          <w:p w14:paraId="2BFBD287" w14:textId="64335EB3" w:rsidR="001C3C9D" w:rsidRPr="008278D2" w:rsidRDefault="00EB7BD7" w:rsidP="00E23838">
            <w:pPr>
              <w:jc w:val="center"/>
              <w:rPr>
                <w:rFonts w:asciiTheme="majorBidi" w:hAnsiTheme="majorBidi" w:cstheme="majorBidi"/>
              </w:rPr>
            </w:pPr>
            <w:r w:rsidRPr="008278D2">
              <w:rPr>
                <w:rFonts w:asciiTheme="majorBidi" w:hAnsiTheme="majorBidi" w:cstheme="majorBidi"/>
              </w:rPr>
              <w:t>139</w:t>
            </w:r>
          </w:p>
        </w:tc>
      </w:tr>
      <w:tr w:rsidR="008278D2" w:rsidRPr="008278D2" w14:paraId="7988F984" w14:textId="77777777" w:rsidTr="000B49E1">
        <w:trPr>
          <w:trHeight w:val="340"/>
          <w:jc w:val="center"/>
        </w:trPr>
        <w:tc>
          <w:tcPr>
            <w:tcW w:w="2013" w:type="pct"/>
            <w:tcBorders>
              <w:top w:val="single" w:sz="4" w:space="0" w:color="auto"/>
              <w:bottom w:val="single" w:sz="4" w:space="0" w:color="auto"/>
              <w:right w:val="single" w:sz="4" w:space="0" w:color="auto"/>
            </w:tcBorders>
          </w:tcPr>
          <w:p w14:paraId="7FB3585B" w14:textId="3CAC10E9" w:rsidR="001C3C9D" w:rsidRPr="008278D2" w:rsidRDefault="00913873" w:rsidP="008278D2">
            <w:pPr>
              <w:adjustRightInd w:val="0"/>
              <w:snapToGrid w:val="0"/>
              <w:rPr>
                <w:rFonts w:asciiTheme="majorBidi" w:hAnsiTheme="majorBidi" w:cstheme="majorBidi"/>
              </w:rPr>
            </w:pPr>
            <w:r w:rsidRPr="008278D2">
              <w:rPr>
                <w:rFonts w:asciiTheme="majorBidi" w:hAnsiTheme="majorBidi" w:cstheme="majorBidi"/>
              </w:rPr>
              <w:t>Number of firms in sample</w:t>
            </w:r>
            <w:r w:rsidR="001C3C9D" w:rsidRPr="008278D2">
              <w:rPr>
                <w:rFonts w:asciiTheme="majorBidi" w:hAnsiTheme="majorBidi" w:cstheme="majorBidi"/>
              </w:rPr>
              <w:t xml:space="preserve"> </w:t>
            </w:r>
            <w:r w:rsidR="00E23838" w:rsidRPr="008278D2">
              <w:rPr>
                <w:rFonts w:asciiTheme="majorBidi" w:hAnsiTheme="majorBidi" w:cstheme="majorBidi"/>
              </w:rPr>
              <w:t>6</w:t>
            </w:r>
            <w:r w:rsidR="008278D2" w:rsidRPr="008278D2">
              <w:rPr>
                <w:rFonts w:ascii="新細明體" w:eastAsia="新細明體" w:hAnsi="新細明體" w:cstheme="majorBidi" w:hint="eastAsia"/>
                <w:lang w:eastAsia="zh-TW"/>
              </w:rPr>
              <w:t xml:space="preserve"> </w:t>
            </w:r>
            <w:r w:rsidR="001C3C9D" w:rsidRPr="008278D2">
              <w:rPr>
                <w:rFonts w:asciiTheme="majorBidi" w:hAnsiTheme="majorBidi" w:cstheme="majorBidi"/>
              </w:rPr>
              <w:t>(3-4-5)</w:t>
            </w:r>
          </w:p>
        </w:tc>
        <w:tc>
          <w:tcPr>
            <w:tcW w:w="427" w:type="pct"/>
            <w:tcBorders>
              <w:top w:val="single" w:sz="4" w:space="0" w:color="auto"/>
              <w:left w:val="single" w:sz="4" w:space="0" w:color="auto"/>
              <w:bottom w:val="single" w:sz="4" w:space="0" w:color="auto"/>
            </w:tcBorders>
          </w:tcPr>
          <w:p w14:paraId="1E51A0A8" w14:textId="47772454" w:rsidR="001C3C9D" w:rsidRPr="008278D2" w:rsidRDefault="005A2C4C" w:rsidP="00A63AD2">
            <w:pPr>
              <w:jc w:val="center"/>
              <w:rPr>
                <w:rFonts w:asciiTheme="majorBidi" w:hAnsiTheme="majorBidi" w:cstheme="majorBidi"/>
              </w:rPr>
            </w:pPr>
            <w:r w:rsidRPr="008278D2">
              <w:rPr>
                <w:rFonts w:asciiTheme="majorBidi" w:hAnsiTheme="majorBidi" w:cstheme="majorBidi"/>
              </w:rPr>
              <w:t>78</w:t>
            </w:r>
          </w:p>
        </w:tc>
        <w:tc>
          <w:tcPr>
            <w:tcW w:w="427" w:type="pct"/>
            <w:tcBorders>
              <w:top w:val="single" w:sz="4" w:space="0" w:color="auto"/>
              <w:bottom w:val="single" w:sz="4" w:space="0" w:color="auto"/>
            </w:tcBorders>
          </w:tcPr>
          <w:p w14:paraId="3C8D21C7" w14:textId="1080A47F" w:rsidR="001C3C9D" w:rsidRPr="008278D2" w:rsidRDefault="005A2C4C" w:rsidP="00A63AD2">
            <w:pPr>
              <w:jc w:val="center"/>
              <w:rPr>
                <w:rFonts w:asciiTheme="majorBidi" w:hAnsiTheme="majorBidi" w:cstheme="majorBidi"/>
              </w:rPr>
            </w:pPr>
            <w:r w:rsidRPr="008278D2">
              <w:rPr>
                <w:rFonts w:asciiTheme="majorBidi" w:hAnsiTheme="majorBidi" w:cstheme="majorBidi"/>
              </w:rPr>
              <w:t>66</w:t>
            </w:r>
          </w:p>
        </w:tc>
        <w:tc>
          <w:tcPr>
            <w:tcW w:w="427" w:type="pct"/>
            <w:tcBorders>
              <w:top w:val="single" w:sz="4" w:space="0" w:color="auto"/>
              <w:bottom w:val="single" w:sz="4" w:space="0" w:color="auto"/>
            </w:tcBorders>
          </w:tcPr>
          <w:p w14:paraId="0D55937B" w14:textId="77777777" w:rsidR="001C3C9D" w:rsidRPr="008278D2" w:rsidRDefault="001C3C9D" w:rsidP="00A63AD2">
            <w:pPr>
              <w:jc w:val="center"/>
              <w:rPr>
                <w:rFonts w:asciiTheme="majorBidi" w:hAnsiTheme="majorBidi" w:cstheme="majorBidi"/>
              </w:rPr>
            </w:pPr>
            <w:r w:rsidRPr="008278D2">
              <w:rPr>
                <w:rFonts w:asciiTheme="majorBidi" w:hAnsiTheme="majorBidi" w:cstheme="majorBidi"/>
              </w:rPr>
              <w:t>14</w:t>
            </w:r>
          </w:p>
        </w:tc>
        <w:tc>
          <w:tcPr>
            <w:tcW w:w="427" w:type="pct"/>
            <w:tcBorders>
              <w:top w:val="single" w:sz="4" w:space="0" w:color="auto"/>
              <w:bottom w:val="single" w:sz="4" w:space="0" w:color="auto"/>
            </w:tcBorders>
          </w:tcPr>
          <w:p w14:paraId="27079467" w14:textId="3BEB27B0" w:rsidR="001C3C9D" w:rsidRPr="008278D2" w:rsidRDefault="005A2C4C" w:rsidP="00A63AD2">
            <w:pPr>
              <w:jc w:val="center"/>
              <w:rPr>
                <w:rFonts w:asciiTheme="majorBidi" w:hAnsiTheme="majorBidi" w:cstheme="majorBidi"/>
              </w:rPr>
            </w:pPr>
            <w:r w:rsidRPr="008278D2">
              <w:rPr>
                <w:rFonts w:asciiTheme="majorBidi" w:hAnsiTheme="majorBidi" w:cstheme="majorBidi"/>
              </w:rPr>
              <w:t>9</w:t>
            </w:r>
          </w:p>
        </w:tc>
        <w:tc>
          <w:tcPr>
            <w:tcW w:w="427" w:type="pct"/>
            <w:tcBorders>
              <w:top w:val="single" w:sz="4" w:space="0" w:color="auto"/>
              <w:bottom w:val="single" w:sz="4" w:space="0" w:color="auto"/>
            </w:tcBorders>
          </w:tcPr>
          <w:p w14:paraId="68D4E82A" w14:textId="0A22056B" w:rsidR="001C3C9D" w:rsidRPr="008278D2" w:rsidRDefault="005A2C4C" w:rsidP="00A63AD2">
            <w:pPr>
              <w:jc w:val="center"/>
              <w:rPr>
                <w:rFonts w:asciiTheme="majorBidi" w:hAnsiTheme="majorBidi" w:cstheme="majorBidi"/>
              </w:rPr>
            </w:pPr>
            <w:r w:rsidRPr="008278D2">
              <w:rPr>
                <w:rFonts w:asciiTheme="majorBidi" w:hAnsiTheme="majorBidi" w:cstheme="majorBidi"/>
              </w:rPr>
              <w:t>9</w:t>
            </w:r>
          </w:p>
        </w:tc>
        <w:tc>
          <w:tcPr>
            <w:tcW w:w="427" w:type="pct"/>
            <w:tcBorders>
              <w:top w:val="single" w:sz="4" w:space="0" w:color="auto"/>
              <w:bottom w:val="single" w:sz="4" w:space="0" w:color="auto"/>
            </w:tcBorders>
          </w:tcPr>
          <w:p w14:paraId="4ADB8EAA" w14:textId="664F5CD1" w:rsidR="001C3C9D" w:rsidRPr="008278D2" w:rsidRDefault="005A2C4C" w:rsidP="00A63AD2">
            <w:pPr>
              <w:jc w:val="center"/>
              <w:rPr>
                <w:rFonts w:asciiTheme="majorBidi" w:hAnsiTheme="majorBidi" w:cstheme="majorBidi"/>
              </w:rPr>
            </w:pPr>
            <w:r w:rsidRPr="008278D2">
              <w:rPr>
                <w:rFonts w:asciiTheme="majorBidi" w:hAnsiTheme="majorBidi" w:cstheme="majorBidi"/>
              </w:rPr>
              <w:t>27</w:t>
            </w:r>
          </w:p>
        </w:tc>
        <w:tc>
          <w:tcPr>
            <w:tcW w:w="427" w:type="pct"/>
            <w:tcBorders>
              <w:top w:val="single" w:sz="4" w:space="0" w:color="auto"/>
              <w:bottom w:val="single" w:sz="4" w:space="0" w:color="auto"/>
            </w:tcBorders>
          </w:tcPr>
          <w:p w14:paraId="63FCEFD0" w14:textId="709088BA" w:rsidR="001C3C9D" w:rsidRPr="008278D2" w:rsidRDefault="00E23838" w:rsidP="00A63AD2">
            <w:pPr>
              <w:jc w:val="center"/>
              <w:rPr>
                <w:rFonts w:asciiTheme="majorBidi" w:hAnsiTheme="majorBidi" w:cstheme="majorBidi"/>
              </w:rPr>
            </w:pPr>
            <w:r w:rsidRPr="008278D2">
              <w:rPr>
                <w:rFonts w:asciiTheme="majorBidi" w:hAnsiTheme="majorBidi" w:cstheme="majorBidi"/>
              </w:rPr>
              <w:t>203</w:t>
            </w:r>
          </w:p>
        </w:tc>
      </w:tr>
      <w:tr w:rsidR="008278D2" w:rsidRPr="008278D2" w14:paraId="31352020" w14:textId="77777777" w:rsidTr="000B49E1">
        <w:trPr>
          <w:trHeight w:val="340"/>
          <w:jc w:val="center"/>
        </w:trPr>
        <w:tc>
          <w:tcPr>
            <w:tcW w:w="2013" w:type="pct"/>
            <w:tcBorders>
              <w:top w:val="single" w:sz="4" w:space="0" w:color="auto"/>
              <w:bottom w:val="single" w:sz="4" w:space="0" w:color="auto"/>
              <w:right w:val="single" w:sz="4" w:space="0" w:color="auto"/>
            </w:tcBorders>
          </w:tcPr>
          <w:p w14:paraId="16D93FEE" w14:textId="2AC4AB36" w:rsidR="001C3C9D" w:rsidRPr="008278D2" w:rsidRDefault="001C3C9D" w:rsidP="008278D2">
            <w:pPr>
              <w:adjustRightInd w:val="0"/>
              <w:snapToGrid w:val="0"/>
              <w:rPr>
                <w:rFonts w:asciiTheme="majorBidi" w:hAnsiTheme="majorBidi" w:cstheme="majorBidi"/>
              </w:rPr>
            </w:pPr>
            <w:r w:rsidRPr="008278D2">
              <w:rPr>
                <w:rFonts w:asciiTheme="majorBidi" w:hAnsiTheme="majorBidi" w:cstheme="majorBidi"/>
              </w:rPr>
              <w:t xml:space="preserve">Number of observations </w:t>
            </w:r>
            <w:r w:rsidR="00E23838" w:rsidRPr="008278D2">
              <w:rPr>
                <w:rFonts w:asciiTheme="majorBidi" w:hAnsiTheme="majorBidi" w:cstheme="majorBidi"/>
              </w:rPr>
              <w:t>6*</w:t>
            </w:r>
            <w:r w:rsidRPr="008278D2">
              <w:rPr>
                <w:rFonts w:asciiTheme="majorBidi" w:hAnsiTheme="majorBidi" w:cstheme="majorBidi"/>
              </w:rPr>
              <w:t>(9 years)</w:t>
            </w:r>
          </w:p>
        </w:tc>
        <w:tc>
          <w:tcPr>
            <w:tcW w:w="427" w:type="pct"/>
            <w:tcBorders>
              <w:top w:val="single" w:sz="4" w:space="0" w:color="auto"/>
              <w:left w:val="single" w:sz="4" w:space="0" w:color="auto"/>
              <w:bottom w:val="single" w:sz="4" w:space="0" w:color="auto"/>
            </w:tcBorders>
          </w:tcPr>
          <w:p w14:paraId="2776546B" w14:textId="760365E2" w:rsidR="001C3C9D" w:rsidRPr="008278D2" w:rsidRDefault="005A2C4C" w:rsidP="00A63AD2">
            <w:pPr>
              <w:jc w:val="center"/>
              <w:rPr>
                <w:rFonts w:asciiTheme="majorBidi" w:hAnsiTheme="majorBidi" w:cstheme="majorBidi"/>
              </w:rPr>
            </w:pPr>
            <w:r w:rsidRPr="008278D2">
              <w:rPr>
                <w:rFonts w:asciiTheme="majorBidi" w:hAnsiTheme="majorBidi" w:cstheme="majorBidi"/>
              </w:rPr>
              <w:t>702</w:t>
            </w:r>
          </w:p>
        </w:tc>
        <w:tc>
          <w:tcPr>
            <w:tcW w:w="427" w:type="pct"/>
            <w:tcBorders>
              <w:top w:val="single" w:sz="4" w:space="0" w:color="auto"/>
              <w:bottom w:val="single" w:sz="4" w:space="0" w:color="auto"/>
            </w:tcBorders>
          </w:tcPr>
          <w:p w14:paraId="0191673D" w14:textId="539E0FB2" w:rsidR="001C3C9D" w:rsidRPr="008278D2" w:rsidRDefault="005A2C4C" w:rsidP="00A63AD2">
            <w:pPr>
              <w:jc w:val="center"/>
              <w:rPr>
                <w:rFonts w:asciiTheme="majorBidi" w:hAnsiTheme="majorBidi" w:cstheme="majorBidi"/>
              </w:rPr>
            </w:pPr>
            <w:r w:rsidRPr="008278D2">
              <w:rPr>
                <w:rFonts w:asciiTheme="majorBidi" w:hAnsiTheme="majorBidi" w:cstheme="majorBidi"/>
              </w:rPr>
              <w:t>594</w:t>
            </w:r>
          </w:p>
        </w:tc>
        <w:tc>
          <w:tcPr>
            <w:tcW w:w="427" w:type="pct"/>
            <w:tcBorders>
              <w:top w:val="single" w:sz="4" w:space="0" w:color="auto"/>
              <w:bottom w:val="single" w:sz="4" w:space="0" w:color="auto"/>
            </w:tcBorders>
          </w:tcPr>
          <w:p w14:paraId="423244E2" w14:textId="77777777" w:rsidR="001C3C9D" w:rsidRPr="008278D2" w:rsidRDefault="001C3C9D" w:rsidP="00A63AD2">
            <w:pPr>
              <w:jc w:val="center"/>
              <w:rPr>
                <w:rFonts w:asciiTheme="majorBidi" w:hAnsiTheme="majorBidi" w:cstheme="majorBidi"/>
              </w:rPr>
            </w:pPr>
            <w:r w:rsidRPr="008278D2">
              <w:rPr>
                <w:rFonts w:asciiTheme="majorBidi" w:hAnsiTheme="majorBidi" w:cstheme="majorBidi"/>
              </w:rPr>
              <w:t>126</w:t>
            </w:r>
          </w:p>
        </w:tc>
        <w:tc>
          <w:tcPr>
            <w:tcW w:w="427" w:type="pct"/>
            <w:tcBorders>
              <w:top w:val="single" w:sz="4" w:space="0" w:color="auto"/>
              <w:bottom w:val="single" w:sz="4" w:space="0" w:color="auto"/>
            </w:tcBorders>
          </w:tcPr>
          <w:p w14:paraId="1D897503" w14:textId="6619FB6A" w:rsidR="001C3C9D" w:rsidRPr="008278D2" w:rsidRDefault="005A2C4C" w:rsidP="00A63AD2">
            <w:pPr>
              <w:jc w:val="center"/>
              <w:rPr>
                <w:rFonts w:asciiTheme="majorBidi" w:hAnsiTheme="majorBidi" w:cstheme="majorBidi"/>
              </w:rPr>
            </w:pPr>
            <w:r w:rsidRPr="008278D2">
              <w:rPr>
                <w:rFonts w:asciiTheme="majorBidi" w:hAnsiTheme="majorBidi" w:cstheme="majorBidi"/>
              </w:rPr>
              <w:t>81</w:t>
            </w:r>
          </w:p>
        </w:tc>
        <w:tc>
          <w:tcPr>
            <w:tcW w:w="427" w:type="pct"/>
            <w:tcBorders>
              <w:top w:val="single" w:sz="4" w:space="0" w:color="auto"/>
              <w:bottom w:val="single" w:sz="4" w:space="0" w:color="auto"/>
            </w:tcBorders>
          </w:tcPr>
          <w:p w14:paraId="3D5AAA0A" w14:textId="35EBC8E9" w:rsidR="001C3C9D" w:rsidRPr="008278D2" w:rsidRDefault="005A2C4C" w:rsidP="00A63AD2">
            <w:pPr>
              <w:jc w:val="center"/>
              <w:rPr>
                <w:rFonts w:asciiTheme="majorBidi" w:hAnsiTheme="majorBidi" w:cstheme="majorBidi"/>
              </w:rPr>
            </w:pPr>
            <w:r w:rsidRPr="008278D2">
              <w:rPr>
                <w:rFonts w:asciiTheme="majorBidi" w:hAnsiTheme="majorBidi" w:cstheme="majorBidi"/>
              </w:rPr>
              <w:t>81</w:t>
            </w:r>
          </w:p>
        </w:tc>
        <w:tc>
          <w:tcPr>
            <w:tcW w:w="427" w:type="pct"/>
            <w:tcBorders>
              <w:top w:val="single" w:sz="4" w:space="0" w:color="auto"/>
              <w:bottom w:val="single" w:sz="4" w:space="0" w:color="auto"/>
            </w:tcBorders>
          </w:tcPr>
          <w:p w14:paraId="5A3A1314" w14:textId="4072359A" w:rsidR="001C3C9D" w:rsidRPr="008278D2" w:rsidRDefault="005A2C4C" w:rsidP="00A63AD2">
            <w:pPr>
              <w:jc w:val="center"/>
              <w:rPr>
                <w:rFonts w:asciiTheme="majorBidi" w:hAnsiTheme="majorBidi" w:cstheme="majorBidi"/>
              </w:rPr>
            </w:pPr>
            <w:r w:rsidRPr="008278D2">
              <w:rPr>
                <w:rFonts w:asciiTheme="majorBidi" w:hAnsiTheme="majorBidi" w:cstheme="majorBidi"/>
              </w:rPr>
              <w:t>243</w:t>
            </w:r>
          </w:p>
        </w:tc>
        <w:tc>
          <w:tcPr>
            <w:tcW w:w="427" w:type="pct"/>
            <w:tcBorders>
              <w:top w:val="single" w:sz="4" w:space="0" w:color="auto"/>
              <w:bottom w:val="single" w:sz="4" w:space="0" w:color="auto"/>
            </w:tcBorders>
          </w:tcPr>
          <w:p w14:paraId="00FAD11E" w14:textId="6E048194" w:rsidR="001C3C9D" w:rsidRPr="008278D2" w:rsidRDefault="00E23838" w:rsidP="00A63AD2">
            <w:pPr>
              <w:jc w:val="center"/>
              <w:rPr>
                <w:rFonts w:asciiTheme="majorBidi" w:hAnsiTheme="majorBidi" w:cstheme="majorBidi"/>
              </w:rPr>
            </w:pPr>
            <w:r w:rsidRPr="008278D2">
              <w:rPr>
                <w:rFonts w:asciiTheme="majorBidi" w:hAnsiTheme="majorBidi" w:cstheme="majorBidi"/>
              </w:rPr>
              <w:t>1</w:t>
            </w:r>
            <w:r w:rsidR="008278D2" w:rsidRPr="008278D2">
              <w:rPr>
                <w:rFonts w:asciiTheme="majorBidi" w:hAnsiTheme="majorBidi" w:cstheme="majorBidi"/>
              </w:rPr>
              <w:t>,</w:t>
            </w:r>
            <w:r w:rsidRPr="008278D2">
              <w:rPr>
                <w:rFonts w:asciiTheme="majorBidi" w:hAnsiTheme="majorBidi" w:cstheme="majorBidi"/>
              </w:rPr>
              <w:t>827</w:t>
            </w:r>
          </w:p>
        </w:tc>
      </w:tr>
    </w:tbl>
    <w:p w14:paraId="0DCE634F" w14:textId="35FF15FB" w:rsidR="00E23838" w:rsidRPr="007F15D8" w:rsidRDefault="00E23838" w:rsidP="00B725B6">
      <w:pPr>
        <w:autoSpaceDE w:val="0"/>
        <w:autoSpaceDN w:val="0"/>
        <w:adjustRightInd w:val="0"/>
        <w:snapToGrid w:val="0"/>
        <w:spacing w:after="0" w:line="360" w:lineRule="exact"/>
        <w:ind w:firstLine="510"/>
        <w:jc w:val="both"/>
        <w:rPr>
          <w:rFonts w:asciiTheme="majorBidi" w:hAnsiTheme="majorBidi" w:cstheme="majorBidi"/>
          <w:sz w:val="26"/>
          <w:szCs w:val="26"/>
        </w:rPr>
      </w:pPr>
      <w:r w:rsidRPr="007F15D8">
        <w:rPr>
          <w:rFonts w:asciiTheme="majorBidi" w:hAnsiTheme="majorBidi" w:cstheme="majorBidi"/>
          <w:sz w:val="26"/>
          <w:szCs w:val="26"/>
        </w:rPr>
        <w:lastRenderedPageBreak/>
        <w:t>The data are processed in two stages. In the first stage, I measure the EQ by using nine proxies</w:t>
      </w:r>
      <w:r w:rsidR="006376E4">
        <w:rPr>
          <w:rFonts w:asciiTheme="majorBidi" w:hAnsiTheme="majorBidi" w:cstheme="majorBidi"/>
          <w:sz w:val="26"/>
          <w:szCs w:val="26"/>
        </w:rPr>
        <w:t>,</w:t>
      </w:r>
      <w:r w:rsidRPr="007F15D8">
        <w:rPr>
          <w:rFonts w:asciiTheme="majorBidi" w:hAnsiTheme="majorBidi" w:cstheme="majorBidi"/>
          <w:sz w:val="26"/>
          <w:szCs w:val="26"/>
        </w:rPr>
        <w:t xml:space="preserve"> and in the second </w:t>
      </w:r>
      <w:r w:rsidR="002D349B" w:rsidRPr="007F15D8">
        <w:rPr>
          <w:rFonts w:asciiTheme="majorBidi" w:hAnsiTheme="majorBidi" w:cstheme="majorBidi"/>
          <w:sz w:val="26"/>
          <w:szCs w:val="26"/>
        </w:rPr>
        <w:t>stage</w:t>
      </w:r>
      <w:r w:rsidR="00CB11BE">
        <w:rPr>
          <w:rFonts w:asciiTheme="majorBidi" w:hAnsiTheme="majorBidi" w:cstheme="majorBidi"/>
          <w:sz w:val="26"/>
          <w:szCs w:val="26"/>
        </w:rPr>
        <w:t>,</w:t>
      </w:r>
      <w:r w:rsidR="00F603A9" w:rsidRPr="007F15D8">
        <w:rPr>
          <w:rFonts w:asciiTheme="majorBidi" w:hAnsiTheme="majorBidi" w:cstheme="majorBidi"/>
          <w:sz w:val="26"/>
          <w:szCs w:val="26"/>
        </w:rPr>
        <w:t xml:space="preserve"> </w:t>
      </w:r>
      <w:r w:rsidRPr="007F15D8">
        <w:rPr>
          <w:rFonts w:asciiTheme="majorBidi" w:hAnsiTheme="majorBidi" w:cstheme="majorBidi"/>
          <w:sz w:val="26"/>
          <w:szCs w:val="26"/>
        </w:rPr>
        <w:t xml:space="preserve">the models of </w:t>
      </w:r>
      <w:r w:rsidR="006376E4">
        <w:rPr>
          <w:rFonts w:asciiTheme="majorBidi" w:hAnsiTheme="majorBidi" w:cstheme="majorBidi"/>
          <w:sz w:val="26"/>
          <w:szCs w:val="26"/>
        </w:rPr>
        <w:t xml:space="preserve">the </w:t>
      </w:r>
      <w:r w:rsidRPr="007F15D8">
        <w:rPr>
          <w:rFonts w:asciiTheme="majorBidi" w:hAnsiTheme="majorBidi" w:cstheme="majorBidi"/>
          <w:sz w:val="26"/>
          <w:szCs w:val="26"/>
        </w:rPr>
        <w:t>association between EQ and FI are tested in all GCC countries.</w:t>
      </w:r>
    </w:p>
    <w:p w14:paraId="40F94F6A" w14:textId="2183206F" w:rsidR="007C75D5" w:rsidRPr="007F15D8" w:rsidRDefault="007C75D5" w:rsidP="00B725B6">
      <w:pPr>
        <w:snapToGrid w:val="0"/>
        <w:spacing w:after="0" w:line="360" w:lineRule="exact"/>
        <w:rPr>
          <w:rFonts w:asciiTheme="majorBidi" w:hAnsiTheme="majorBidi" w:cstheme="majorBidi"/>
          <w:sz w:val="24"/>
          <w:szCs w:val="24"/>
        </w:rPr>
      </w:pPr>
    </w:p>
    <w:p w14:paraId="37686947" w14:textId="77777777" w:rsidR="00490295" w:rsidRPr="007F15D8" w:rsidRDefault="000246A4" w:rsidP="00B725B6">
      <w:pPr>
        <w:snapToGrid w:val="0"/>
        <w:spacing w:after="0" w:line="360" w:lineRule="exact"/>
        <w:rPr>
          <w:rFonts w:asciiTheme="majorBidi" w:hAnsiTheme="majorBidi"/>
          <w:b/>
          <w:sz w:val="26"/>
        </w:rPr>
      </w:pPr>
      <w:r w:rsidRPr="007F15D8">
        <w:rPr>
          <w:rFonts w:asciiTheme="majorBidi" w:hAnsiTheme="majorBidi"/>
          <w:b/>
          <w:sz w:val="26"/>
        </w:rPr>
        <w:t>Data</w:t>
      </w:r>
    </w:p>
    <w:p w14:paraId="3B9BA57B" w14:textId="175EC136" w:rsidR="000246A4" w:rsidRPr="007F15D8" w:rsidRDefault="00DD790D" w:rsidP="00720DA7">
      <w:pPr>
        <w:snapToGrid w:val="0"/>
        <w:spacing w:after="0" w:line="360" w:lineRule="exact"/>
        <w:ind w:firstLine="510"/>
        <w:jc w:val="both"/>
        <w:rPr>
          <w:rFonts w:asciiTheme="majorBidi" w:hAnsiTheme="majorBidi"/>
          <w:sz w:val="26"/>
        </w:rPr>
      </w:pPr>
      <w:r w:rsidRPr="007F15D8">
        <w:rPr>
          <w:rFonts w:asciiTheme="majorBidi" w:hAnsiTheme="majorBidi"/>
          <w:sz w:val="26"/>
        </w:rPr>
        <w:t>The study</w:t>
      </w:r>
      <w:r w:rsidR="00345071" w:rsidRPr="007F15D8">
        <w:rPr>
          <w:rFonts w:asciiTheme="majorBidi" w:hAnsiTheme="majorBidi"/>
          <w:sz w:val="26"/>
        </w:rPr>
        <w:t xml:space="preserve"> require</w:t>
      </w:r>
      <w:r w:rsidR="00407BA3" w:rsidRPr="007F15D8">
        <w:rPr>
          <w:rFonts w:asciiTheme="majorBidi" w:hAnsiTheme="majorBidi"/>
          <w:sz w:val="26"/>
        </w:rPr>
        <w:t>d</w:t>
      </w:r>
      <w:r w:rsidR="00345071" w:rsidRPr="007F15D8">
        <w:rPr>
          <w:rFonts w:asciiTheme="majorBidi" w:hAnsiTheme="majorBidi"/>
          <w:sz w:val="26"/>
        </w:rPr>
        <w:t xml:space="preserve"> sufficient data to calculate all nine </w:t>
      </w:r>
      <w:r w:rsidR="006B1C85" w:rsidRPr="007F15D8">
        <w:rPr>
          <w:rFonts w:asciiTheme="majorBidi" w:hAnsiTheme="majorBidi"/>
          <w:sz w:val="26"/>
        </w:rPr>
        <w:t>EQ</w:t>
      </w:r>
      <w:r w:rsidR="00345071" w:rsidRPr="007F15D8">
        <w:rPr>
          <w:rFonts w:asciiTheme="majorBidi" w:hAnsiTheme="majorBidi"/>
          <w:sz w:val="26"/>
        </w:rPr>
        <w:t xml:space="preserve"> </w:t>
      </w:r>
      <w:r w:rsidR="00EA03ED" w:rsidRPr="007F15D8">
        <w:rPr>
          <w:rFonts w:asciiTheme="majorBidi" w:hAnsiTheme="majorBidi"/>
          <w:sz w:val="26"/>
        </w:rPr>
        <w:t>proxies</w:t>
      </w:r>
      <w:r w:rsidR="00345071" w:rsidRPr="007F15D8">
        <w:rPr>
          <w:rFonts w:asciiTheme="majorBidi" w:hAnsiTheme="majorBidi"/>
          <w:sz w:val="26"/>
        </w:rPr>
        <w:t xml:space="preserve"> for each firm</w:t>
      </w:r>
      <w:r w:rsidR="00EA03ED" w:rsidRPr="007F15D8">
        <w:rPr>
          <w:rFonts w:asciiTheme="majorBidi" w:hAnsiTheme="majorBidi"/>
          <w:sz w:val="26"/>
        </w:rPr>
        <w:t xml:space="preserve"> and in each country</w:t>
      </w:r>
      <w:r w:rsidR="00345071" w:rsidRPr="007F15D8">
        <w:rPr>
          <w:rFonts w:asciiTheme="majorBidi" w:hAnsiTheme="majorBidi"/>
          <w:sz w:val="26"/>
        </w:rPr>
        <w:t xml:space="preserve"> in a sample</w:t>
      </w:r>
      <w:r w:rsidR="00407BA3" w:rsidRPr="007F15D8">
        <w:rPr>
          <w:rFonts w:asciiTheme="majorBidi" w:hAnsiTheme="majorBidi"/>
          <w:sz w:val="26"/>
        </w:rPr>
        <w:t>.</w:t>
      </w:r>
      <w:r w:rsidR="00EA03ED" w:rsidRPr="007F15D8">
        <w:rPr>
          <w:rFonts w:asciiTheme="majorBidi" w:hAnsiTheme="majorBidi"/>
          <w:sz w:val="26"/>
        </w:rPr>
        <w:t xml:space="preserve"> </w:t>
      </w:r>
      <w:r w:rsidR="00407BA3" w:rsidRPr="007F15D8">
        <w:rPr>
          <w:rFonts w:asciiTheme="majorBidi" w:hAnsiTheme="majorBidi"/>
          <w:sz w:val="26"/>
        </w:rPr>
        <w:t>T</w:t>
      </w:r>
      <w:r w:rsidR="00EA03ED" w:rsidRPr="007F15D8">
        <w:rPr>
          <w:rFonts w:asciiTheme="majorBidi" w:hAnsiTheme="majorBidi"/>
          <w:sz w:val="26"/>
        </w:rPr>
        <w:t xml:space="preserve">o avoid excluding too many firms from the sample, we </w:t>
      </w:r>
      <w:r w:rsidR="00407BA3" w:rsidRPr="007F15D8">
        <w:rPr>
          <w:rFonts w:asciiTheme="majorBidi" w:hAnsiTheme="majorBidi"/>
          <w:sz w:val="26"/>
        </w:rPr>
        <w:t xml:space="preserve">did </w:t>
      </w:r>
      <w:r w:rsidR="00EA03ED" w:rsidRPr="007F15D8">
        <w:rPr>
          <w:rFonts w:asciiTheme="majorBidi" w:hAnsiTheme="majorBidi"/>
          <w:sz w:val="26"/>
        </w:rPr>
        <w:t xml:space="preserve">not require data availability for each firm over the full </w:t>
      </w:r>
      <w:r w:rsidR="00407BA3" w:rsidRPr="007F15D8">
        <w:rPr>
          <w:rFonts w:asciiTheme="majorBidi" w:hAnsiTheme="majorBidi"/>
          <w:sz w:val="26"/>
        </w:rPr>
        <w:t>nine</w:t>
      </w:r>
      <w:r w:rsidR="00EA03ED" w:rsidRPr="007F15D8">
        <w:rPr>
          <w:rFonts w:asciiTheme="majorBidi" w:hAnsiTheme="majorBidi"/>
          <w:sz w:val="26"/>
        </w:rPr>
        <w:t xml:space="preserve">-year period and for the </w:t>
      </w:r>
      <w:r w:rsidR="0054501B" w:rsidRPr="007F15D8">
        <w:rPr>
          <w:rFonts w:asciiTheme="majorBidi" w:hAnsiTheme="majorBidi"/>
          <w:sz w:val="26"/>
        </w:rPr>
        <w:t xml:space="preserve">nine </w:t>
      </w:r>
      <w:r w:rsidR="006B1C85" w:rsidRPr="007F15D8">
        <w:rPr>
          <w:rFonts w:asciiTheme="majorBidi" w:hAnsiTheme="majorBidi"/>
          <w:sz w:val="26"/>
        </w:rPr>
        <w:t>EQ</w:t>
      </w:r>
      <w:r w:rsidR="0054501B" w:rsidRPr="007F15D8">
        <w:rPr>
          <w:rFonts w:asciiTheme="majorBidi" w:hAnsiTheme="majorBidi"/>
          <w:sz w:val="26"/>
        </w:rPr>
        <w:t xml:space="preserve"> proxies. </w:t>
      </w:r>
      <w:r w:rsidR="00EA03ED" w:rsidRPr="007F15D8">
        <w:rPr>
          <w:rFonts w:asciiTheme="majorBidi" w:hAnsiTheme="majorBidi"/>
          <w:sz w:val="26"/>
        </w:rPr>
        <w:t>Accordingly, the composition of observation in the samples varies. The total sample includes 1827 firm</w:t>
      </w:r>
      <w:r w:rsidR="00407BA3" w:rsidRPr="007F15D8">
        <w:rPr>
          <w:rFonts w:asciiTheme="majorBidi" w:hAnsiTheme="majorBidi"/>
          <w:sz w:val="26"/>
        </w:rPr>
        <w:t>-</w:t>
      </w:r>
      <w:r w:rsidR="00EA03ED" w:rsidRPr="007F15D8">
        <w:rPr>
          <w:rFonts w:asciiTheme="majorBidi" w:hAnsiTheme="majorBidi"/>
          <w:sz w:val="26"/>
        </w:rPr>
        <w:t>year observations, and the number of observation</w:t>
      </w:r>
      <w:r w:rsidR="006376E4">
        <w:rPr>
          <w:rFonts w:asciiTheme="majorBidi" w:hAnsiTheme="majorBidi"/>
          <w:sz w:val="26"/>
        </w:rPr>
        <w:t>s</w:t>
      </w:r>
      <w:r w:rsidR="00EA03ED" w:rsidRPr="007F15D8">
        <w:rPr>
          <w:rFonts w:asciiTheme="majorBidi" w:hAnsiTheme="majorBidi"/>
          <w:sz w:val="26"/>
        </w:rPr>
        <w:t xml:space="preserve"> in each </w:t>
      </w:r>
      <w:r w:rsidR="00B714B0" w:rsidRPr="007F15D8">
        <w:rPr>
          <w:rFonts w:asciiTheme="majorBidi" w:hAnsiTheme="majorBidi"/>
          <w:sz w:val="26"/>
        </w:rPr>
        <w:t>measure</w:t>
      </w:r>
      <w:r w:rsidR="00EA03ED" w:rsidRPr="007F15D8">
        <w:rPr>
          <w:rFonts w:asciiTheme="majorBidi" w:hAnsiTheme="majorBidi"/>
          <w:sz w:val="26"/>
        </w:rPr>
        <w:t xml:space="preserve"> </w:t>
      </w:r>
      <w:r w:rsidR="00B714B0" w:rsidRPr="007F15D8">
        <w:rPr>
          <w:rFonts w:asciiTheme="majorBidi" w:hAnsiTheme="majorBidi"/>
          <w:sz w:val="26"/>
        </w:rPr>
        <w:t>is different. For example, in calculating the conservatism measure, the number of observation</w:t>
      </w:r>
      <w:r w:rsidR="006376E4">
        <w:rPr>
          <w:rFonts w:asciiTheme="majorBidi" w:hAnsiTheme="majorBidi"/>
          <w:sz w:val="26"/>
        </w:rPr>
        <w:t>s</w:t>
      </w:r>
      <w:r w:rsidR="00B714B0" w:rsidRPr="007F15D8">
        <w:rPr>
          <w:rFonts w:asciiTheme="majorBidi" w:hAnsiTheme="majorBidi"/>
          <w:sz w:val="26"/>
        </w:rPr>
        <w:t xml:space="preserve"> </w:t>
      </w:r>
      <w:r w:rsidR="00EB179B" w:rsidRPr="007F15D8">
        <w:rPr>
          <w:rFonts w:asciiTheme="majorBidi" w:hAnsiTheme="majorBidi" w:cstheme="majorBidi"/>
          <w:sz w:val="26"/>
          <w:szCs w:val="26"/>
        </w:rPr>
        <w:t>(number of firm</w:t>
      </w:r>
      <w:r w:rsidR="00BF54E4" w:rsidRPr="007F15D8">
        <w:rPr>
          <w:rFonts w:asciiTheme="majorBidi" w:hAnsiTheme="majorBidi" w:cstheme="majorBidi"/>
          <w:sz w:val="26"/>
          <w:szCs w:val="26"/>
        </w:rPr>
        <w:t>s</w:t>
      </w:r>
      <w:r w:rsidR="00EB179B" w:rsidRPr="007F15D8">
        <w:rPr>
          <w:rFonts w:asciiTheme="majorBidi" w:hAnsiTheme="majorBidi" w:cstheme="majorBidi"/>
          <w:sz w:val="26"/>
          <w:szCs w:val="26"/>
        </w:rPr>
        <w:t xml:space="preserve"> * 9 years) </w:t>
      </w:r>
      <w:r w:rsidR="00B714B0" w:rsidRPr="007F15D8">
        <w:rPr>
          <w:rFonts w:asciiTheme="majorBidi" w:hAnsiTheme="majorBidi"/>
          <w:sz w:val="26"/>
        </w:rPr>
        <w:t>in KSA is 758</w:t>
      </w:r>
      <w:r w:rsidR="00407BA3" w:rsidRPr="007F15D8">
        <w:rPr>
          <w:rFonts w:asciiTheme="majorBidi" w:hAnsiTheme="majorBidi"/>
          <w:sz w:val="26"/>
        </w:rPr>
        <w:t xml:space="preserve">; </w:t>
      </w:r>
      <w:r w:rsidR="00B714B0" w:rsidRPr="007F15D8">
        <w:rPr>
          <w:rFonts w:asciiTheme="majorBidi" w:hAnsiTheme="majorBidi"/>
          <w:sz w:val="26"/>
        </w:rPr>
        <w:t>Oman</w:t>
      </w:r>
      <w:r w:rsidR="00407BA3" w:rsidRPr="007F15D8">
        <w:rPr>
          <w:rFonts w:asciiTheme="majorBidi" w:hAnsiTheme="majorBidi"/>
          <w:sz w:val="26"/>
        </w:rPr>
        <w:t>,</w:t>
      </w:r>
      <w:r w:rsidR="00B714B0" w:rsidRPr="007F15D8">
        <w:rPr>
          <w:rFonts w:asciiTheme="majorBidi" w:hAnsiTheme="majorBidi"/>
          <w:sz w:val="26"/>
        </w:rPr>
        <w:t xml:space="preserve"> 724</w:t>
      </w:r>
      <w:r w:rsidR="00407BA3" w:rsidRPr="007F15D8">
        <w:rPr>
          <w:rFonts w:asciiTheme="majorBidi" w:hAnsiTheme="majorBidi"/>
          <w:sz w:val="26"/>
        </w:rPr>
        <w:t xml:space="preserve">; </w:t>
      </w:r>
      <w:r w:rsidR="00B714B0" w:rsidRPr="007F15D8">
        <w:rPr>
          <w:rFonts w:asciiTheme="majorBidi" w:hAnsiTheme="majorBidi"/>
          <w:sz w:val="26"/>
        </w:rPr>
        <w:t>Qatar</w:t>
      </w:r>
      <w:r w:rsidR="00407BA3" w:rsidRPr="007F15D8">
        <w:rPr>
          <w:rFonts w:asciiTheme="majorBidi" w:hAnsiTheme="majorBidi"/>
          <w:sz w:val="26"/>
        </w:rPr>
        <w:t>,</w:t>
      </w:r>
      <w:r w:rsidR="00B714B0" w:rsidRPr="007F15D8">
        <w:rPr>
          <w:rFonts w:asciiTheme="majorBidi" w:hAnsiTheme="majorBidi"/>
          <w:sz w:val="26"/>
        </w:rPr>
        <w:t xml:space="preserve"> 119</w:t>
      </w:r>
      <w:r w:rsidR="00407BA3" w:rsidRPr="007F15D8">
        <w:rPr>
          <w:rFonts w:asciiTheme="majorBidi" w:hAnsiTheme="majorBidi"/>
          <w:sz w:val="26"/>
        </w:rPr>
        <w:t xml:space="preserve">; </w:t>
      </w:r>
      <w:r w:rsidR="00B714B0" w:rsidRPr="007F15D8">
        <w:rPr>
          <w:rFonts w:asciiTheme="majorBidi" w:hAnsiTheme="majorBidi"/>
          <w:sz w:val="26"/>
        </w:rPr>
        <w:t>Bahrain</w:t>
      </w:r>
      <w:r w:rsidR="00407BA3" w:rsidRPr="007F15D8">
        <w:rPr>
          <w:rFonts w:asciiTheme="majorBidi" w:hAnsiTheme="majorBidi"/>
          <w:sz w:val="26"/>
        </w:rPr>
        <w:t>,</w:t>
      </w:r>
      <w:r w:rsidR="00B714B0" w:rsidRPr="007F15D8">
        <w:rPr>
          <w:rFonts w:asciiTheme="majorBidi" w:hAnsiTheme="majorBidi"/>
          <w:sz w:val="26"/>
        </w:rPr>
        <w:t xml:space="preserve"> 69</w:t>
      </w:r>
      <w:r w:rsidR="00407BA3" w:rsidRPr="007F15D8">
        <w:rPr>
          <w:rFonts w:asciiTheme="majorBidi" w:hAnsiTheme="majorBidi"/>
          <w:sz w:val="26"/>
        </w:rPr>
        <w:t xml:space="preserve">; </w:t>
      </w:r>
      <w:r w:rsidR="00B714B0" w:rsidRPr="007F15D8">
        <w:rPr>
          <w:rFonts w:asciiTheme="majorBidi" w:hAnsiTheme="majorBidi"/>
          <w:sz w:val="26"/>
        </w:rPr>
        <w:t>Kuwait</w:t>
      </w:r>
      <w:r w:rsidR="00407BA3" w:rsidRPr="007F15D8">
        <w:rPr>
          <w:rFonts w:asciiTheme="majorBidi" w:hAnsiTheme="majorBidi"/>
          <w:sz w:val="26"/>
        </w:rPr>
        <w:t>,</w:t>
      </w:r>
      <w:r w:rsidR="00B714B0" w:rsidRPr="007F15D8">
        <w:rPr>
          <w:rFonts w:asciiTheme="majorBidi" w:hAnsiTheme="majorBidi"/>
          <w:sz w:val="26"/>
        </w:rPr>
        <w:t xml:space="preserve"> 60</w:t>
      </w:r>
      <w:r w:rsidR="00407BA3" w:rsidRPr="007F15D8">
        <w:rPr>
          <w:rFonts w:asciiTheme="majorBidi" w:hAnsiTheme="majorBidi"/>
          <w:sz w:val="26"/>
        </w:rPr>
        <w:t>;</w:t>
      </w:r>
      <w:r w:rsidR="00B714B0" w:rsidRPr="007F15D8">
        <w:rPr>
          <w:rFonts w:asciiTheme="majorBidi" w:hAnsiTheme="majorBidi"/>
          <w:sz w:val="26"/>
        </w:rPr>
        <w:t xml:space="preserve"> UAE</w:t>
      </w:r>
      <w:r w:rsidR="00407BA3" w:rsidRPr="007F15D8">
        <w:rPr>
          <w:rFonts w:asciiTheme="majorBidi" w:hAnsiTheme="majorBidi"/>
          <w:sz w:val="26"/>
        </w:rPr>
        <w:t>,</w:t>
      </w:r>
      <w:r w:rsidR="00B714B0" w:rsidRPr="007F15D8">
        <w:rPr>
          <w:rFonts w:asciiTheme="majorBidi" w:hAnsiTheme="majorBidi"/>
          <w:sz w:val="26"/>
        </w:rPr>
        <w:t xml:space="preserve"> 219</w:t>
      </w:r>
      <w:r w:rsidR="00F603A9" w:rsidRPr="007F15D8">
        <w:rPr>
          <w:rFonts w:asciiTheme="majorBidi" w:hAnsiTheme="majorBidi"/>
          <w:sz w:val="26"/>
        </w:rPr>
        <w:t>,</w:t>
      </w:r>
      <w:r w:rsidR="00B714B0" w:rsidRPr="007F15D8">
        <w:rPr>
          <w:rFonts w:asciiTheme="majorBidi" w:hAnsiTheme="majorBidi"/>
          <w:sz w:val="26"/>
        </w:rPr>
        <w:t xml:space="preserve"> </w:t>
      </w:r>
      <w:r w:rsidR="00050EB7" w:rsidRPr="007F15D8">
        <w:rPr>
          <w:rFonts w:asciiTheme="majorBidi" w:hAnsiTheme="majorBidi"/>
          <w:sz w:val="26"/>
        </w:rPr>
        <w:t>whereas</w:t>
      </w:r>
      <w:r w:rsidR="00B714B0" w:rsidRPr="007F15D8">
        <w:rPr>
          <w:rFonts w:asciiTheme="majorBidi" w:hAnsiTheme="majorBidi"/>
          <w:sz w:val="26"/>
        </w:rPr>
        <w:t xml:space="preserve"> in calculating </w:t>
      </w:r>
      <w:r w:rsidR="00407BA3" w:rsidRPr="007F15D8">
        <w:rPr>
          <w:rFonts w:asciiTheme="majorBidi" w:hAnsiTheme="majorBidi"/>
          <w:sz w:val="26"/>
        </w:rPr>
        <w:t xml:space="preserve">the </w:t>
      </w:r>
      <w:r w:rsidR="00B714B0" w:rsidRPr="007F15D8">
        <w:rPr>
          <w:rFonts w:asciiTheme="majorBidi" w:hAnsiTheme="majorBidi"/>
          <w:sz w:val="26"/>
        </w:rPr>
        <w:t xml:space="preserve">persistence of earnings, the number of </w:t>
      </w:r>
      <w:proofErr w:type="gramStart"/>
      <w:r w:rsidR="00B714B0" w:rsidRPr="007F15D8">
        <w:rPr>
          <w:rFonts w:asciiTheme="majorBidi" w:hAnsiTheme="majorBidi"/>
          <w:sz w:val="26"/>
        </w:rPr>
        <w:t>observation</w:t>
      </w:r>
      <w:proofErr w:type="gramEnd"/>
      <w:r w:rsidR="00B714B0" w:rsidRPr="007F15D8">
        <w:rPr>
          <w:rFonts w:asciiTheme="majorBidi" w:hAnsiTheme="majorBidi"/>
          <w:sz w:val="26"/>
        </w:rPr>
        <w:t xml:space="preserve"> </w:t>
      </w:r>
      <w:r w:rsidR="00407BA3" w:rsidRPr="007F15D8">
        <w:rPr>
          <w:rFonts w:asciiTheme="majorBidi" w:hAnsiTheme="majorBidi"/>
          <w:sz w:val="26"/>
        </w:rPr>
        <w:t xml:space="preserve">is </w:t>
      </w:r>
      <w:r w:rsidR="00B714B0" w:rsidRPr="007F15D8">
        <w:rPr>
          <w:rFonts w:asciiTheme="majorBidi" w:hAnsiTheme="majorBidi"/>
          <w:sz w:val="26"/>
        </w:rPr>
        <w:t>760, 726</w:t>
      </w:r>
      <w:r w:rsidR="008E7D8F" w:rsidRPr="007F15D8">
        <w:rPr>
          <w:rFonts w:asciiTheme="majorBidi" w:hAnsiTheme="majorBidi"/>
          <w:sz w:val="26"/>
        </w:rPr>
        <w:t>,</w:t>
      </w:r>
      <w:r w:rsidR="00407BA3" w:rsidRPr="007F15D8">
        <w:rPr>
          <w:rFonts w:asciiTheme="majorBidi" w:hAnsiTheme="majorBidi"/>
          <w:sz w:val="26"/>
        </w:rPr>
        <w:t xml:space="preserve"> </w:t>
      </w:r>
      <w:r w:rsidR="008E7D8F" w:rsidRPr="007F15D8">
        <w:rPr>
          <w:rFonts w:asciiTheme="majorBidi" w:hAnsiTheme="majorBidi"/>
          <w:sz w:val="26"/>
        </w:rPr>
        <w:t>120, 71, 63</w:t>
      </w:r>
      <w:r w:rsidR="00F603A9" w:rsidRPr="007F15D8">
        <w:rPr>
          <w:rFonts w:asciiTheme="majorBidi" w:hAnsiTheme="majorBidi"/>
          <w:sz w:val="26"/>
        </w:rPr>
        <w:t>,</w:t>
      </w:r>
      <w:r w:rsidR="008E7D8F" w:rsidRPr="007F15D8">
        <w:rPr>
          <w:rFonts w:asciiTheme="majorBidi" w:hAnsiTheme="majorBidi"/>
          <w:sz w:val="26"/>
        </w:rPr>
        <w:t xml:space="preserve"> and 221</w:t>
      </w:r>
      <w:r w:rsidR="00407BA3" w:rsidRPr="007F15D8">
        <w:rPr>
          <w:rFonts w:asciiTheme="majorBidi" w:hAnsiTheme="majorBidi"/>
          <w:sz w:val="26"/>
        </w:rPr>
        <w:t>,</w:t>
      </w:r>
      <w:r w:rsidR="008E7D8F" w:rsidRPr="007F15D8">
        <w:rPr>
          <w:rFonts w:asciiTheme="majorBidi" w:hAnsiTheme="majorBidi"/>
          <w:sz w:val="26"/>
        </w:rPr>
        <w:t xml:space="preserve"> respectively.</w:t>
      </w:r>
      <w:r w:rsidR="000246A4" w:rsidRPr="007F15D8">
        <w:rPr>
          <w:rFonts w:asciiTheme="majorBidi" w:hAnsiTheme="majorBidi"/>
          <w:sz w:val="26"/>
        </w:rPr>
        <w:t xml:space="preserve"> </w:t>
      </w:r>
      <w:r w:rsidR="00B22A39" w:rsidRPr="007F15D8">
        <w:rPr>
          <w:rFonts w:asciiTheme="majorBidi" w:hAnsiTheme="majorBidi" w:cstheme="majorBidi"/>
          <w:sz w:val="26"/>
          <w:szCs w:val="26"/>
        </w:rPr>
        <w:t xml:space="preserve">These differences in the number of observations among the EQ proxies are because some data are missing when </w:t>
      </w:r>
      <w:r w:rsidR="004D0177" w:rsidRPr="007F15D8">
        <w:rPr>
          <w:rFonts w:asciiTheme="majorBidi" w:hAnsiTheme="majorBidi" w:cstheme="majorBidi"/>
          <w:sz w:val="26"/>
          <w:szCs w:val="26"/>
        </w:rPr>
        <w:t xml:space="preserve">I </w:t>
      </w:r>
      <w:r w:rsidR="00B22A39" w:rsidRPr="007F15D8">
        <w:rPr>
          <w:rFonts w:asciiTheme="majorBidi" w:hAnsiTheme="majorBidi" w:cstheme="majorBidi"/>
          <w:sz w:val="26"/>
          <w:szCs w:val="26"/>
        </w:rPr>
        <w:t>calculate some of the EQ proxies.</w:t>
      </w:r>
      <w:r w:rsidR="00B22A39" w:rsidRPr="007F15D8">
        <w:rPr>
          <w:rFonts w:asciiTheme="majorBidi" w:hAnsiTheme="majorBidi"/>
          <w:sz w:val="26"/>
        </w:rPr>
        <w:t xml:space="preserve"> </w:t>
      </w:r>
      <w:r w:rsidR="001E610F" w:rsidRPr="007F15D8">
        <w:rPr>
          <w:rFonts w:asciiTheme="majorBidi" w:hAnsiTheme="majorBidi"/>
          <w:sz w:val="26"/>
        </w:rPr>
        <w:t xml:space="preserve">Most of the variables are measured by </w:t>
      </w:r>
      <w:r w:rsidR="006376E4">
        <w:rPr>
          <w:rFonts w:asciiTheme="majorBidi" w:hAnsiTheme="majorBidi"/>
          <w:sz w:val="26"/>
        </w:rPr>
        <w:t xml:space="preserve">the </w:t>
      </w:r>
      <w:r w:rsidR="001E610F" w:rsidRPr="007F15D8">
        <w:rPr>
          <w:rFonts w:asciiTheme="majorBidi" w:hAnsiTheme="majorBidi"/>
          <w:sz w:val="26"/>
        </w:rPr>
        <w:t>currency of each country. Given the differences between these currencies, we converted the unit of thes</w:t>
      </w:r>
      <w:r w:rsidR="00302DD0" w:rsidRPr="007F15D8">
        <w:rPr>
          <w:rFonts w:asciiTheme="majorBidi" w:hAnsiTheme="majorBidi"/>
          <w:sz w:val="26"/>
        </w:rPr>
        <w:t xml:space="preserve">e variables into </w:t>
      </w:r>
      <w:r w:rsidR="006376E4">
        <w:rPr>
          <w:rFonts w:asciiTheme="majorBidi" w:hAnsiTheme="majorBidi"/>
          <w:sz w:val="26"/>
        </w:rPr>
        <w:t xml:space="preserve">an </w:t>
      </w:r>
      <w:r w:rsidR="00302DD0" w:rsidRPr="007F15D8">
        <w:rPr>
          <w:rFonts w:asciiTheme="majorBidi" w:hAnsiTheme="majorBidi"/>
          <w:sz w:val="26"/>
        </w:rPr>
        <w:t xml:space="preserve">algorithm. </w:t>
      </w:r>
      <w:r w:rsidR="00407BA3" w:rsidRPr="007F15D8">
        <w:rPr>
          <w:rFonts w:asciiTheme="majorBidi" w:hAnsiTheme="majorBidi" w:cstheme="majorBidi"/>
          <w:sz w:val="26"/>
          <w:szCs w:val="26"/>
        </w:rPr>
        <w:t xml:space="preserve">Owing </w:t>
      </w:r>
      <w:r w:rsidR="00B46DCB" w:rsidRPr="007F15D8">
        <w:rPr>
          <w:rFonts w:asciiTheme="majorBidi" w:hAnsiTheme="majorBidi" w:cstheme="majorBidi"/>
          <w:sz w:val="26"/>
          <w:szCs w:val="26"/>
        </w:rPr>
        <w:t>to the nature of data</w:t>
      </w:r>
      <w:r w:rsidR="000246A4" w:rsidRPr="007F15D8">
        <w:rPr>
          <w:rFonts w:asciiTheme="majorBidi" w:hAnsiTheme="majorBidi" w:cstheme="majorBidi"/>
          <w:sz w:val="26"/>
          <w:szCs w:val="26"/>
        </w:rPr>
        <w:t>,</w:t>
      </w:r>
      <w:r w:rsidR="00B46DCB" w:rsidRPr="007F15D8">
        <w:rPr>
          <w:rFonts w:asciiTheme="majorBidi" w:hAnsiTheme="majorBidi" w:cstheme="majorBidi"/>
          <w:sz w:val="26"/>
          <w:szCs w:val="26"/>
        </w:rPr>
        <w:t xml:space="preserve"> </w:t>
      </w:r>
      <w:r w:rsidR="00AB1DE6" w:rsidRPr="007F15D8">
        <w:rPr>
          <w:rFonts w:asciiTheme="majorBidi" w:hAnsiTheme="majorBidi" w:cstheme="majorBidi"/>
          <w:sz w:val="26"/>
          <w:szCs w:val="26"/>
        </w:rPr>
        <w:t>G</w:t>
      </w:r>
      <w:r w:rsidR="00B46DCB" w:rsidRPr="007F15D8">
        <w:rPr>
          <w:rFonts w:asciiTheme="majorBidi" w:hAnsiTheme="majorBidi" w:cstheme="majorBidi"/>
          <w:sz w:val="26"/>
          <w:szCs w:val="26"/>
        </w:rPr>
        <w:t>LS -</w:t>
      </w:r>
      <w:r w:rsidR="000246A4" w:rsidRPr="007F15D8">
        <w:rPr>
          <w:rFonts w:asciiTheme="majorBidi" w:hAnsiTheme="majorBidi" w:cstheme="majorBidi"/>
          <w:sz w:val="26"/>
          <w:szCs w:val="26"/>
        </w:rPr>
        <w:t xml:space="preserve"> </w:t>
      </w:r>
      <w:r w:rsidR="00B46DCB" w:rsidRPr="007F15D8">
        <w:rPr>
          <w:rFonts w:asciiTheme="majorBidi" w:hAnsiTheme="majorBidi" w:cstheme="majorBidi"/>
          <w:sz w:val="26"/>
          <w:szCs w:val="26"/>
        </w:rPr>
        <w:t xml:space="preserve">panel data </w:t>
      </w:r>
      <w:r w:rsidR="00AB1DE6" w:rsidRPr="007F15D8">
        <w:rPr>
          <w:rFonts w:asciiTheme="majorBidi" w:hAnsiTheme="majorBidi" w:cstheme="majorBidi"/>
          <w:sz w:val="26"/>
          <w:szCs w:val="26"/>
        </w:rPr>
        <w:t xml:space="preserve">random effect </w:t>
      </w:r>
      <w:r w:rsidR="00B46DCB" w:rsidRPr="007F15D8">
        <w:rPr>
          <w:rFonts w:asciiTheme="majorBidi" w:hAnsiTheme="majorBidi" w:cstheme="majorBidi"/>
          <w:sz w:val="26"/>
          <w:szCs w:val="26"/>
        </w:rPr>
        <w:t xml:space="preserve">regression model was </w:t>
      </w:r>
      <w:r w:rsidR="000246A4" w:rsidRPr="007F15D8">
        <w:rPr>
          <w:rFonts w:asciiTheme="majorBidi" w:hAnsiTheme="majorBidi" w:cstheme="majorBidi"/>
          <w:sz w:val="26"/>
          <w:szCs w:val="26"/>
        </w:rPr>
        <w:t>u</w:t>
      </w:r>
      <w:r w:rsidR="00930675" w:rsidRPr="007F15D8">
        <w:rPr>
          <w:rFonts w:asciiTheme="majorBidi" w:hAnsiTheme="majorBidi" w:cstheme="majorBidi"/>
          <w:sz w:val="26"/>
          <w:szCs w:val="26"/>
        </w:rPr>
        <w:t>sed</w:t>
      </w:r>
      <w:r w:rsidR="00B46DCB" w:rsidRPr="007F15D8">
        <w:rPr>
          <w:rFonts w:asciiTheme="majorBidi" w:hAnsiTheme="majorBidi" w:cstheme="majorBidi"/>
          <w:sz w:val="26"/>
          <w:szCs w:val="26"/>
        </w:rPr>
        <w:t xml:space="preserve"> to estimate the </w:t>
      </w:r>
      <w:r w:rsidR="001E610F" w:rsidRPr="007F15D8">
        <w:rPr>
          <w:rFonts w:asciiTheme="majorBidi" w:hAnsiTheme="majorBidi" w:cstheme="majorBidi"/>
          <w:sz w:val="26"/>
          <w:szCs w:val="26"/>
        </w:rPr>
        <w:t>association</w:t>
      </w:r>
      <w:r w:rsidR="00B46DCB" w:rsidRPr="007F15D8">
        <w:rPr>
          <w:rFonts w:asciiTheme="majorBidi" w:hAnsiTheme="majorBidi" w:cstheme="majorBidi"/>
          <w:sz w:val="26"/>
          <w:szCs w:val="26"/>
        </w:rPr>
        <w:t xml:space="preserve"> between EQ and FI</w:t>
      </w:r>
      <w:r w:rsidR="000246A4" w:rsidRPr="007F15D8">
        <w:rPr>
          <w:rFonts w:asciiTheme="majorBidi" w:hAnsiTheme="majorBidi" w:cstheme="majorBidi"/>
          <w:sz w:val="26"/>
          <w:szCs w:val="26"/>
        </w:rPr>
        <w:t xml:space="preserve">. </w:t>
      </w:r>
      <w:r w:rsidR="001E610F" w:rsidRPr="007F15D8">
        <w:rPr>
          <w:rFonts w:asciiTheme="majorBidi" w:hAnsiTheme="majorBidi" w:cstheme="majorBidi"/>
          <w:sz w:val="26"/>
          <w:szCs w:val="26"/>
        </w:rPr>
        <w:t xml:space="preserve">This study uses GLS- random effect without calculating the value of </w:t>
      </w:r>
      <w:r w:rsidR="00720DA7" w:rsidRPr="00720DA7">
        <w:rPr>
          <w:rFonts w:asciiTheme="majorBidi" w:hAnsiTheme="majorBidi" w:cstheme="majorBidi"/>
          <w:sz w:val="26"/>
          <w:szCs w:val="26"/>
        </w:rPr>
        <w:t>Hausman</w:t>
      </w:r>
      <w:r w:rsidR="001E610F" w:rsidRPr="007F15D8">
        <w:rPr>
          <w:rFonts w:asciiTheme="majorBidi" w:hAnsiTheme="majorBidi" w:cstheme="majorBidi"/>
          <w:sz w:val="26"/>
          <w:szCs w:val="26"/>
        </w:rPr>
        <w:t xml:space="preserve"> test (as a criterion between random effect </w:t>
      </w:r>
      <w:r w:rsidR="003F4CB3" w:rsidRPr="007F15D8">
        <w:rPr>
          <w:rFonts w:asciiTheme="majorBidi" w:hAnsiTheme="majorBidi" w:cstheme="majorBidi"/>
          <w:sz w:val="26"/>
          <w:szCs w:val="26"/>
        </w:rPr>
        <w:t>and</w:t>
      </w:r>
      <w:r w:rsidR="001E610F" w:rsidRPr="007F15D8">
        <w:rPr>
          <w:rFonts w:asciiTheme="majorBidi" w:hAnsiTheme="majorBidi" w:cstheme="majorBidi"/>
          <w:sz w:val="26"/>
          <w:szCs w:val="26"/>
        </w:rPr>
        <w:t xml:space="preserve"> fixed effect) d</w:t>
      </w:r>
      <w:r w:rsidR="003F4CB3" w:rsidRPr="007F15D8">
        <w:rPr>
          <w:rFonts w:asciiTheme="majorBidi" w:hAnsiTheme="majorBidi" w:cstheme="majorBidi"/>
          <w:sz w:val="26"/>
          <w:szCs w:val="26"/>
        </w:rPr>
        <w:t>ue to the flowing facts. Firstly, according to Green</w:t>
      </w:r>
      <w:r w:rsidR="0001556B" w:rsidRPr="007F15D8">
        <w:rPr>
          <w:rFonts w:asciiTheme="majorBidi" w:hAnsiTheme="majorBidi" w:cstheme="majorBidi"/>
          <w:sz w:val="26"/>
          <w:szCs w:val="26"/>
        </w:rPr>
        <w:t>e</w:t>
      </w:r>
      <w:r w:rsidR="003F4CB3" w:rsidRPr="007F15D8">
        <w:rPr>
          <w:rFonts w:asciiTheme="majorBidi" w:hAnsiTheme="majorBidi" w:cstheme="majorBidi"/>
          <w:sz w:val="26"/>
          <w:szCs w:val="26"/>
        </w:rPr>
        <w:t xml:space="preserve"> (2000), if the sample was extracted from a large population (such as listed firms on the GCC in this study), </w:t>
      </w:r>
      <w:r w:rsidR="006376E4" w:rsidRPr="007F15D8">
        <w:rPr>
          <w:rFonts w:asciiTheme="majorBidi" w:hAnsiTheme="majorBidi" w:cstheme="majorBidi"/>
          <w:sz w:val="26"/>
          <w:szCs w:val="26"/>
        </w:rPr>
        <w:t>individual</w:t>
      </w:r>
      <w:r w:rsidR="006376E4">
        <w:rPr>
          <w:rFonts w:asciiTheme="majorBidi" w:hAnsiTheme="majorBidi" w:cstheme="majorBidi"/>
          <w:sz w:val="26"/>
          <w:szCs w:val="26"/>
        </w:rPr>
        <w:t>-</w:t>
      </w:r>
      <w:r w:rsidR="003F4CB3" w:rsidRPr="007F15D8">
        <w:rPr>
          <w:rFonts w:asciiTheme="majorBidi" w:hAnsiTheme="majorBidi" w:cstheme="majorBidi"/>
          <w:sz w:val="26"/>
          <w:szCs w:val="26"/>
        </w:rPr>
        <w:t xml:space="preserve">specific constant terms </w:t>
      </w:r>
      <w:r w:rsidR="006376E4">
        <w:rPr>
          <w:rFonts w:asciiTheme="majorBidi" w:hAnsiTheme="majorBidi" w:cstheme="majorBidi"/>
          <w:sz w:val="26"/>
          <w:szCs w:val="26"/>
        </w:rPr>
        <w:t xml:space="preserve">are </w:t>
      </w:r>
      <w:r w:rsidR="003F4CB3" w:rsidRPr="007F15D8">
        <w:rPr>
          <w:rFonts w:asciiTheme="majorBidi" w:hAnsiTheme="majorBidi" w:cstheme="majorBidi"/>
          <w:sz w:val="26"/>
          <w:szCs w:val="26"/>
        </w:rPr>
        <w:t>regarded as randomly distributed across cross-sectional firms. Secondly, Green</w:t>
      </w:r>
      <w:r w:rsidR="0001556B" w:rsidRPr="007F15D8">
        <w:rPr>
          <w:rFonts w:asciiTheme="majorBidi" w:hAnsiTheme="majorBidi" w:cstheme="majorBidi"/>
          <w:sz w:val="26"/>
          <w:szCs w:val="26"/>
        </w:rPr>
        <w:t>e</w:t>
      </w:r>
      <w:r w:rsidR="003F4CB3" w:rsidRPr="007F15D8">
        <w:rPr>
          <w:rFonts w:asciiTheme="majorBidi" w:hAnsiTheme="majorBidi" w:cstheme="majorBidi"/>
          <w:sz w:val="26"/>
          <w:szCs w:val="26"/>
        </w:rPr>
        <w:t xml:space="preserve"> (2000) suggests that a Hausman test which is normally used to choose between fixed effect and random effect</w:t>
      </w:r>
      <w:r w:rsidR="006376E4">
        <w:rPr>
          <w:rFonts w:asciiTheme="majorBidi" w:hAnsiTheme="majorBidi" w:cstheme="majorBidi"/>
          <w:sz w:val="26"/>
          <w:szCs w:val="26"/>
        </w:rPr>
        <w:t>,</w:t>
      </w:r>
      <w:r w:rsidR="003F4CB3" w:rsidRPr="007F15D8">
        <w:rPr>
          <w:rFonts w:asciiTheme="majorBidi" w:hAnsiTheme="majorBidi" w:cstheme="majorBidi"/>
          <w:sz w:val="26"/>
          <w:szCs w:val="26"/>
        </w:rPr>
        <w:t xml:space="preserve"> becomes problematic when </w:t>
      </w:r>
      <w:r w:rsidR="006376E4" w:rsidRPr="007F15D8">
        <w:rPr>
          <w:rFonts w:asciiTheme="majorBidi" w:hAnsiTheme="majorBidi" w:cstheme="majorBidi"/>
          <w:sz w:val="26"/>
          <w:szCs w:val="26"/>
        </w:rPr>
        <w:t>us</w:t>
      </w:r>
      <w:r w:rsidR="006376E4">
        <w:rPr>
          <w:rFonts w:asciiTheme="majorBidi" w:hAnsiTheme="majorBidi" w:cstheme="majorBidi"/>
          <w:sz w:val="26"/>
          <w:szCs w:val="26"/>
        </w:rPr>
        <w:t>ing</w:t>
      </w:r>
      <w:r w:rsidR="006376E4" w:rsidRPr="007F15D8">
        <w:rPr>
          <w:rFonts w:asciiTheme="majorBidi" w:hAnsiTheme="majorBidi" w:cstheme="majorBidi"/>
          <w:sz w:val="26"/>
          <w:szCs w:val="26"/>
        </w:rPr>
        <w:t xml:space="preserve"> </w:t>
      </w:r>
      <w:r w:rsidR="003F4CB3" w:rsidRPr="007F15D8">
        <w:rPr>
          <w:rFonts w:asciiTheme="majorBidi" w:hAnsiTheme="majorBidi" w:cstheme="majorBidi"/>
          <w:sz w:val="26"/>
          <w:szCs w:val="26"/>
        </w:rPr>
        <w:t>unbalanced panels, as the case in this study. For example, there are around 594 observations in Oman</w:t>
      </w:r>
      <w:r w:rsidR="006376E4">
        <w:rPr>
          <w:rFonts w:asciiTheme="majorBidi" w:hAnsiTheme="majorBidi" w:cstheme="majorBidi"/>
          <w:sz w:val="26"/>
          <w:szCs w:val="26"/>
        </w:rPr>
        <w:t>,</w:t>
      </w:r>
      <w:r w:rsidR="003F4CB3" w:rsidRPr="007F15D8">
        <w:rPr>
          <w:rFonts w:asciiTheme="majorBidi" w:hAnsiTheme="majorBidi" w:cstheme="majorBidi"/>
          <w:sz w:val="26"/>
          <w:szCs w:val="26"/>
        </w:rPr>
        <w:t xml:space="preserve"> whereas the number of observations is 81 in Bahrain. Therefore, this study employs random-effect regression (RE) to test robustness. </w:t>
      </w:r>
      <w:r w:rsidR="002F31B0" w:rsidRPr="007F15D8">
        <w:rPr>
          <w:rFonts w:asciiTheme="majorBidi" w:hAnsiTheme="majorBidi" w:cstheme="majorBidi"/>
          <w:sz w:val="26"/>
          <w:szCs w:val="26"/>
        </w:rPr>
        <w:t xml:space="preserve">Thirdly </w:t>
      </w:r>
      <w:r w:rsidR="00061D28" w:rsidRPr="007F15D8">
        <w:rPr>
          <w:rFonts w:asciiTheme="majorBidi" w:hAnsiTheme="majorBidi" w:cstheme="majorBidi"/>
          <w:sz w:val="26"/>
          <w:szCs w:val="26"/>
        </w:rPr>
        <w:t>and finally, Bell et al. (2019</w:t>
      </w:r>
      <w:r w:rsidR="002F31B0" w:rsidRPr="007F15D8">
        <w:rPr>
          <w:rFonts w:asciiTheme="majorBidi" w:hAnsiTheme="majorBidi" w:cstheme="majorBidi"/>
          <w:sz w:val="26"/>
          <w:szCs w:val="26"/>
        </w:rPr>
        <w:t>) prefer to use random effect</w:t>
      </w:r>
      <w:r w:rsidR="006376E4">
        <w:rPr>
          <w:rFonts w:asciiTheme="majorBidi" w:hAnsiTheme="majorBidi" w:cstheme="majorBidi"/>
          <w:sz w:val="26"/>
          <w:szCs w:val="26"/>
        </w:rPr>
        <w:t>s</w:t>
      </w:r>
      <w:r w:rsidR="002F31B0" w:rsidRPr="007F15D8">
        <w:rPr>
          <w:rFonts w:asciiTheme="majorBidi" w:hAnsiTheme="majorBidi" w:cstheme="majorBidi"/>
          <w:sz w:val="26"/>
          <w:szCs w:val="26"/>
        </w:rPr>
        <w:t xml:space="preserve"> in multilevel analyses as it allows the researcher to extend the analysis by using random slopes</w:t>
      </w:r>
      <w:r w:rsidR="00232A2F" w:rsidRPr="007F15D8">
        <w:rPr>
          <w:rFonts w:asciiTheme="majorBidi" w:hAnsiTheme="majorBidi" w:cstheme="majorBidi"/>
          <w:sz w:val="26"/>
          <w:szCs w:val="26"/>
        </w:rPr>
        <w:t xml:space="preserve"> and distinct within and between effects which cannot be as effectively implemented under a fixed effect.</w:t>
      </w:r>
      <w:r w:rsidR="001E610F" w:rsidRPr="007F15D8">
        <w:rPr>
          <w:rFonts w:asciiTheme="majorBidi" w:hAnsiTheme="majorBidi"/>
          <w:sz w:val="26"/>
        </w:rPr>
        <w:t xml:space="preserve"> </w:t>
      </w:r>
    </w:p>
    <w:p w14:paraId="5D282D9C" w14:textId="2DB47B60" w:rsidR="00CE536A" w:rsidRPr="007F15D8" w:rsidRDefault="001F48F8" w:rsidP="00B725B6">
      <w:pPr>
        <w:autoSpaceDE w:val="0"/>
        <w:autoSpaceDN w:val="0"/>
        <w:adjustRightInd w:val="0"/>
        <w:snapToGrid w:val="0"/>
        <w:spacing w:after="0" w:line="360" w:lineRule="exact"/>
        <w:jc w:val="both"/>
        <w:rPr>
          <w:rFonts w:asciiTheme="majorBidi" w:hAnsiTheme="majorBidi"/>
          <w:sz w:val="26"/>
        </w:rPr>
      </w:pPr>
      <w:r w:rsidRPr="007F15D8">
        <w:rPr>
          <w:rFonts w:asciiTheme="majorBidi" w:hAnsiTheme="majorBidi"/>
          <w:sz w:val="26"/>
        </w:rPr>
        <w:t xml:space="preserve"> </w:t>
      </w:r>
      <w:r w:rsidR="00EA03ED" w:rsidRPr="007F15D8">
        <w:rPr>
          <w:rFonts w:asciiTheme="majorBidi" w:hAnsiTheme="majorBidi"/>
          <w:sz w:val="26"/>
        </w:rPr>
        <w:t xml:space="preserve"> </w:t>
      </w:r>
    </w:p>
    <w:p w14:paraId="696A8FEA" w14:textId="52A7CFF5" w:rsidR="00755142" w:rsidRPr="007F15D8" w:rsidRDefault="00D47E81" w:rsidP="00B725B6">
      <w:pPr>
        <w:snapToGrid w:val="0"/>
        <w:spacing w:after="0" w:line="360" w:lineRule="exact"/>
        <w:jc w:val="both"/>
        <w:rPr>
          <w:rFonts w:asciiTheme="majorBidi" w:hAnsiTheme="majorBidi"/>
          <w:b/>
          <w:sz w:val="26"/>
        </w:rPr>
      </w:pPr>
      <w:r w:rsidRPr="007F15D8">
        <w:rPr>
          <w:rFonts w:asciiTheme="majorBidi" w:hAnsiTheme="majorBidi"/>
          <w:b/>
          <w:sz w:val="26"/>
        </w:rPr>
        <w:t>Mod</w:t>
      </w:r>
      <w:r w:rsidR="00371C80">
        <w:rPr>
          <w:rFonts w:asciiTheme="majorBidi" w:hAnsiTheme="majorBidi"/>
          <w:b/>
          <w:sz w:val="26"/>
        </w:rPr>
        <w:t>el S</w:t>
      </w:r>
      <w:r w:rsidRPr="007F15D8">
        <w:rPr>
          <w:rFonts w:asciiTheme="majorBidi" w:hAnsiTheme="majorBidi"/>
          <w:b/>
          <w:sz w:val="26"/>
        </w:rPr>
        <w:t>pecifications</w:t>
      </w:r>
    </w:p>
    <w:p w14:paraId="381FE078" w14:textId="31C6A2BC" w:rsidR="00D47E81" w:rsidRPr="007F15D8" w:rsidRDefault="00577EAC" w:rsidP="00B725B6">
      <w:pPr>
        <w:autoSpaceDE w:val="0"/>
        <w:autoSpaceDN w:val="0"/>
        <w:adjustRightInd w:val="0"/>
        <w:snapToGrid w:val="0"/>
        <w:spacing w:after="0" w:line="360" w:lineRule="exact"/>
        <w:ind w:firstLine="450"/>
        <w:jc w:val="both"/>
        <w:rPr>
          <w:rFonts w:asciiTheme="majorBidi" w:hAnsiTheme="majorBidi"/>
          <w:sz w:val="26"/>
        </w:rPr>
      </w:pPr>
      <w:r w:rsidRPr="007F15D8">
        <w:rPr>
          <w:rFonts w:asciiTheme="majorBidi" w:hAnsiTheme="majorBidi"/>
          <w:sz w:val="26"/>
        </w:rPr>
        <w:t xml:space="preserve">This study has two main objectives. The first one is to measure </w:t>
      </w:r>
      <w:r w:rsidR="006B1C85" w:rsidRPr="007F15D8">
        <w:rPr>
          <w:rFonts w:asciiTheme="majorBidi" w:hAnsiTheme="majorBidi"/>
          <w:sz w:val="26"/>
        </w:rPr>
        <w:t>EQ</w:t>
      </w:r>
      <w:r w:rsidRPr="007F15D8">
        <w:rPr>
          <w:rFonts w:asciiTheme="majorBidi" w:hAnsiTheme="majorBidi"/>
          <w:sz w:val="26"/>
        </w:rPr>
        <w:t xml:space="preserve"> by using nine different proxies</w:t>
      </w:r>
      <w:r w:rsidR="003A122F" w:rsidRPr="007F15D8">
        <w:rPr>
          <w:rFonts w:asciiTheme="majorBidi" w:hAnsiTheme="majorBidi"/>
          <w:sz w:val="26"/>
        </w:rPr>
        <w:t>.</w:t>
      </w:r>
      <w:r w:rsidRPr="007F15D8">
        <w:rPr>
          <w:rFonts w:asciiTheme="majorBidi" w:hAnsiTheme="majorBidi"/>
          <w:sz w:val="26"/>
        </w:rPr>
        <w:t xml:space="preserve"> </w:t>
      </w:r>
      <w:r w:rsidR="003A122F" w:rsidRPr="007F15D8">
        <w:rPr>
          <w:rFonts w:asciiTheme="majorBidi" w:hAnsiTheme="majorBidi"/>
          <w:sz w:val="26"/>
        </w:rPr>
        <w:t>T</w:t>
      </w:r>
      <w:r w:rsidRPr="007F15D8">
        <w:rPr>
          <w:rFonts w:asciiTheme="majorBidi" w:hAnsiTheme="majorBidi"/>
          <w:sz w:val="26"/>
        </w:rPr>
        <w:t xml:space="preserve">he second </w:t>
      </w:r>
      <w:r w:rsidR="003A2367" w:rsidRPr="007F15D8">
        <w:rPr>
          <w:rFonts w:asciiTheme="majorBidi" w:hAnsiTheme="majorBidi"/>
          <w:sz w:val="26"/>
        </w:rPr>
        <w:t xml:space="preserve">objective is to find the effect of </w:t>
      </w:r>
      <w:r w:rsidR="003A122F" w:rsidRPr="007F15D8">
        <w:rPr>
          <w:rFonts w:asciiTheme="majorBidi" w:hAnsiTheme="majorBidi"/>
          <w:sz w:val="26"/>
        </w:rPr>
        <w:t xml:space="preserve">the </w:t>
      </w:r>
      <w:r w:rsidR="003A2367" w:rsidRPr="007F15D8">
        <w:rPr>
          <w:rFonts w:asciiTheme="majorBidi" w:hAnsiTheme="majorBidi"/>
          <w:sz w:val="26"/>
        </w:rPr>
        <w:t xml:space="preserve">different proxies of </w:t>
      </w:r>
      <w:r w:rsidR="006B1C85" w:rsidRPr="007F15D8">
        <w:rPr>
          <w:rFonts w:asciiTheme="majorBidi" w:hAnsiTheme="majorBidi"/>
          <w:sz w:val="26"/>
        </w:rPr>
        <w:t>EQ</w:t>
      </w:r>
      <w:r w:rsidR="003A2367" w:rsidRPr="007F15D8">
        <w:rPr>
          <w:rFonts w:asciiTheme="majorBidi" w:hAnsiTheme="majorBidi"/>
          <w:sz w:val="26"/>
        </w:rPr>
        <w:t xml:space="preserve"> on attracting foreign investors. </w:t>
      </w:r>
      <w:r w:rsidR="003A122F" w:rsidRPr="007F15D8">
        <w:rPr>
          <w:rFonts w:asciiTheme="majorBidi" w:hAnsiTheme="majorBidi"/>
          <w:sz w:val="26"/>
        </w:rPr>
        <w:t>For these purposes</w:t>
      </w:r>
      <w:r w:rsidR="003A2367" w:rsidRPr="007F15D8">
        <w:rPr>
          <w:rFonts w:asciiTheme="majorBidi" w:hAnsiTheme="majorBidi"/>
          <w:sz w:val="26"/>
        </w:rPr>
        <w:t>, t</w:t>
      </w:r>
      <w:r w:rsidR="00D47E81" w:rsidRPr="007F15D8">
        <w:rPr>
          <w:rFonts w:asciiTheme="majorBidi" w:hAnsiTheme="majorBidi"/>
          <w:sz w:val="26"/>
        </w:rPr>
        <w:t xml:space="preserve">his study constructs the following models for measuring </w:t>
      </w:r>
      <w:r w:rsidR="006B1C85" w:rsidRPr="007F15D8">
        <w:rPr>
          <w:rFonts w:asciiTheme="majorBidi" w:hAnsiTheme="majorBidi"/>
          <w:sz w:val="26"/>
        </w:rPr>
        <w:t>EQ</w:t>
      </w:r>
      <w:r w:rsidR="007546F7" w:rsidRPr="007F15D8">
        <w:rPr>
          <w:rFonts w:asciiTheme="majorBidi" w:hAnsiTheme="majorBidi"/>
          <w:sz w:val="26"/>
        </w:rPr>
        <w:t xml:space="preserve"> in GCC countries:</w:t>
      </w:r>
    </w:p>
    <w:p w14:paraId="39F33AFA" w14:textId="77777777" w:rsidR="007546F7" w:rsidRPr="007F15D8" w:rsidRDefault="007546F7" w:rsidP="00B725B6">
      <w:pPr>
        <w:autoSpaceDE w:val="0"/>
        <w:autoSpaceDN w:val="0"/>
        <w:adjustRightInd w:val="0"/>
        <w:snapToGrid w:val="0"/>
        <w:spacing w:after="0" w:line="360" w:lineRule="exact"/>
        <w:jc w:val="both"/>
        <w:rPr>
          <w:rFonts w:asciiTheme="majorBidi" w:hAnsiTheme="majorBidi"/>
          <w:sz w:val="26"/>
        </w:rPr>
      </w:pPr>
    </w:p>
    <w:p w14:paraId="1410CEA5" w14:textId="77777777" w:rsidR="00A976CE" w:rsidRPr="00A976CE" w:rsidRDefault="00D47E81" w:rsidP="00B725B6">
      <w:pPr>
        <w:snapToGrid w:val="0"/>
        <w:spacing w:after="0" w:line="360" w:lineRule="exact"/>
        <w:jc w:val="both"/>
        <w:rPr>
          <w:rFonts w:asciiTheme="majorBidi" w:hAnsiTheme="majorBidi"/>
          <w:i/>
          <w:sz w:val="26"/>
        </w:rPr>
      </w:pPr>
      <w:r w:rsidRPr="00A976CE">
        <w:rPr>
          <w:rFonts w:asciiTheme="majorBidi" w:hAnsiTheme="majorBidi"/>
          <w:i/>
          <w:sz w:val="26"/>
        </w:rPr>
        <w:t xml:space="preserve">Model 1: </w:t>
      </w:r>
      <w:r w:rsidR="00733708" w:rsidRPr="00A976CE">
        <w:rPr>
          <w:rFonts w:asciiTheme="majorBidi" w:hAnsiTheme="majorBidi"/>
          <w:i/>
          <w:sz w:val="26"/>
        </w:rPr>
        <w:t xml:space="preserve">Persistence: </w:t>
      </w:r>
    </w:p>
    <w:p w14:paraId="432A6B6D" w14:textId="5228F58F" w:rsidR="00D47E81" w:rsidRPr="007F15D8" w:rsidRDefault="00D47E81" w:rsidP="00B730DC">
      <w:pPr>
        <w:snapToGrid w:val="0"/>
        <w:spacing w:after="0" w:line="360" w:lineRule="exact"/>
        <w:ind w:firstLineChars="200" w:firstLine="520"/>
        <w:jc w:val="both"/>
        <w:rPr>
          <w:rFonts w:asciiTheme="majorBidi" w:hAnsiTheme="majorBidi"/>
          <w:sz w:val="26"/>
        </w:rPr>
      </w:pPr>
      <w:r w:rsidRPr="007F15D8">
        <w:rPr>
          <w:rFonts w:asciiTheme="majorBidi" w:hAnsiTheme="majorBidi"/>
          <w:sz w:val="26"/>
        </w:rPr>
        <w:t xml:space="preserve">Following </w:t>
      </w:r>
      <w:proofErr w:type="spellStart"/>
      <w:r w:rsidR="00EF1375" w:rsidRPr="007F15D8">
        <w:rPr>
          <w:rFonts w:asciiTheme="majorBidi" w:hAnsiTheme="majorBidi"/>
          <w:sz w:val="26"/>
        </w:rPr>
        <w:t>Perotti</w:t>
      </w:r>
      <w:proofErr w:type="spellEnd"/>
      <w:r w:rsidR="00EF1375" w:rsidRPr="007F15D8">
        <w:rPr>
          <w:rFonts w:asciiTheme="majorBidi" w:hAnsiTheme="majorBidi"/>
          <w:sz w:val="26"/>
        </w:rPr>
        <w:t xml:space="preserve"> </w:t>
      </w:r>
      <w:r w:rsidR="00523653">
        <w:rPr>
          <w:rFonts w:asciiTheme="majorBidi" w:hAnsiTheme="majorBidi"/>
          <w:sz w:val="26"/>
        </w:rPr>
        <w:t>and</w:t>
      </w:r>
      <w:r w:rsidR="00EF1375" w:rsidRPr="007F15D8">
        <w:rPr>
          <w:rFonts w:asciiTheme="majorBidi" w:hAnsiTheme="majorBidi"/>
          <w:sz w:val="26"/>
        </w:rPr>
        <w:t xml:space="preserve"> </w:t>
      </w:r>
      <w:proofErr w:type="spellStart"/>
      <w:r w:rsidR="00A962D9">
        <w:rPr>
          <w:rFonts w:asciiTheme="majorBidi" w:hAnsiTheme="majorBidi"/>
          <w:sz w:val="26"/>
        </w:rPr>
        <w:t>Wagenhofer</w:t>
      </w:r>
      <w:proofErr w:type="spellEnd"/>
      <w:r w:rsidR="00EF1375" w:rsidRPr="007F15D8">
        <w:rPr>
          <w:rFonts w:asciiTheme="majorBidi" w:hAnsiTheme="majorBidi"/>
          <w:sz w:val="26"/>
        </w:rPr>
        <w:t xml:space="preserve"> (2014)</w:t>
      </w:r>
      <w:r w:rsidRPr="007F15D8">
        <w:rPr>
          <w:rFonts w:asciiTheme="majorBidi" w:hAnsiTheme="majorBidi"/>
          <w:sz w:val="26"/>
        </w:rPr>
        <w:t>, persistence is measured as the slope-</w:t>
      </w:r>
      <w:r w:rsidR="000D50EE" w:rsidRPr="007F15D8">
        <w:rPr>
          <w:rFonts w:asciiTheme="majorBidi" w:hAnsiTheme="majorBidi"/>
          <w:sz w:val="26"/>
        </w:rPr>
        <w:t xml:space="preserve">coefficient β </w:t>
      </w:r>
      <w:r w:rsidR="003A122F" w:rsidRPr="007F15D8">
        <w:rPr>
          <w:rFonts w:asciiTheme="majorBidi" w:hAnsiTheme="majorBidi"/>
          <w:sz w:val="26"/>
        </w:rPr>
        <w:t xml:space="preserve">as expressed in the </w:t>
      </w:r>
      <w:r w:rsidRPr="007F15D8">
        <w:rPr>
          <w:rFonts w:asciiTheme="majorBidi" w:hAnsiTheme="majorBidi"/>
          <w:sz w:val="26"/>
        </w:rPr>
        <w:t>following equation</w:t>
      </w:r>
      <w:r w:rsidR="000D50EE" w:rsidRPr="007F15D8">
        <w:rPr>
          <w:rFonts w:asciiTheme="majorBidi" w:hAnsiTheme="majorBidi"/>
          <w:sz w:val="26"/>
        </w:rPr>
        <w:t xml:space="preserve">: </w:t>
      </w:r>
    </w:p>
    <w:p w14:paraId="4D680FEF" w14:textId="43FFEF6B" w:rsidR="00D47E81" w:rsidRPr="007F15D8" w:rsidRDefault="00EF1375" w:rsidP="00B92006">
      <w:pPr>
        <w:snapToGrid w:val="0"/>
        <w:spacing w:after="0" w:line="460" w:lineRule="exact"/>
        <w:ind w:leftChars="400" w:left="880"/>
        <w:jc w:val="both"/>
        <w:rPr>
          <w:rFonts w:asciiTheme="majorBidi" w:hAnsiTheme="majorBidi"/>
          <w:sz w:val="26"/>
        </w:rPr>
      </w:pPr>
      <m:oMathPara>
        <m:oMath>
          <m:r>
            <w:rPr>
              <w:rFonts w:ascii="Cambria Math" w:hAnsi="Cambria Math" w:hint="eastAsia"/>
              <w:sz w:val="26"/>
            </w:rPr>
            <m:t>EQ</m:t>
          </m:r>
          <m:d>
            <m:dPr>
              <m:ctrlPr>
                <w:rPr>
                  <w:rFonts w:ascii="Cambria Math" w:hAnsi="Cambria Math"/>
                  <w:i/>
                  <w:sz w:val="26"/>
                </w:rPr>
              </m:ctrlPr>
            </m:dPr>
            <m:e>
              <m:r>
                <w:rPr>
                  <w:rFonts w:ascii="Cambria Math" w:hAnsi="Cambria Math" w:hint="eastAsia"/>
                  <w:sz w:val="26"/>
                </w:rPr>
                <m:t>PRE</m:t>
              </m:r>
            </m:e>
          </m:d>
          <m:r>
            <w:rPr>
              <w:rFonts w:ascii="Cambria Math" w:hAnsi="Cambria Math"/>
              <w:sz w:val="26"/>
            </w:rPr>
            <m:t>it=a+βEarningsit-1 +εit                                                      (1)</m:t>
          </m:r>
        </m:oMath>
      </m:oMathPara>
    </w:p>
    <w:p w14:paraId="2C382DC6" w14:textId="2FCA1428" w:rsidR="00463D7C" w:rsidRPr="007F15D8" w:rsidRDefault="00D47E81" w:rsidP="00B725B6">
      <w:pPr>
        <w:snapToGrid w:val="0"/>
        <w:spacing w:after="0" w:line="360" w:lineRule="exact"/>
        <w:jc w:val="both"/>
        <w:rPr>
          <w:rFonts w:asciiTheme="majorBidi" w:hAnsiTheme="majorBidi"/>
        </w:rPr>
      </w:pPr>
      <w:r w:rsidRPr="007F15D8">
        <w:rPr>
          <w:rFonts w:asciiTheme="majorBidi" w:hAnsiTheme="majorBidi"/>
          <w:sz w:val="26"/>
        </w:rPr>
        <w:t xml:space="preserve">Where for firm </w:t>
      </w:r>
      <w:proofErr w:type="spellStart"/>
      <w:r w:rsidRPr="007F15D8">
        <w:rPr>
          <w:rFonts w:asciiTheme="majorBidi" w:hAnsiTheme="majorBidi"/>
          <w:sz w:val="26"/>
        </w:rPr>
        <w:t>i</w:t>
      </w:r>
      <w:proofErr w:type="spellEnd"/>
      <w:r w:rsidRPr="007F15D8">
        <w:rPr>
          <w:rFonts w:asciiTheme="majorBidi" w:hAnsiTheme="majorBidi"/>
          <w:sz w:val="26"/>
        </w:rPr>
        <w:t xml:space="preserve"> and year t</w:t>
      </w:r>
      <w:r w:rsidRPr="007F15D8">
        <w:rPr>
          <w:rFonts w:asciiTheme="majorBidi" w:hAnsiTheme="majorBidi" w:cstheme="majorBidi"/>
          <w:sz w:val="26"/>
          <w:szCs w:val="26"/>
        </w:rPr>
        <w:t xml:space="preserve">, </w:t>
      </w:r>
      <w:r w:rsidR="00E524DE" w:rsidRPr="007F15D8">
        <w:rPr>
          <w:rFonts w:asciiTheme="majorBidi" w:hAnsiTheme="majorBidi" w:cstheme="majorBidi"/>
          <w:sz w:val="26"/>
          <w:szCs w:val="26"/>
        </w:rPr>
        <w:t>α is Constant</w:t>
      </w:r>
      <w:r w:rsidR="00E524DE" w:rsidRPr="007F15D8">
        <w:rPr>
          <w:rFonts w:asciiTheme="majorBidi" w:hAnsiTheme="majorBidi" w:cstheme="majorBidi"/>
        </w:rPr>
        <w:t xml:space="preserve">, </w:t>
      </w:r>
      <w:r w:rsidR="00E524DE" w:rsidRPr="007F15D8">
        <w:rPr>
          <w:rFonts w:asciiTheme="majorBidi" w:hAnsiTheme="majorBidi" w:cstheme="majorBidi"/>
          <w:sz w:val="26"/>
          <w:szCs w:val="26"/>
        </w:rPr>
        <w:t>β is Beta</w:t>
      </w:r>
      <w:r w:rsidR="00E524DE" w:rsidRPr="007F15D8">
        <w:rPr>
          <w:rFonts w:asciiTheme="majorBidi" w:hAnsiTheme="majorBidi"/>
        </w:rPr>
        <w:t xml:space="preserve">, </w:t>
      </w:r>
      <w:proofErr w:type="spellStart"/>
      <w:r w:rsidRPr="007F15D8">
        <w:rPr>
          <w:rFonts w:asciiTheme="majorBidi" w:hAnsiTheme="majorBidi"/>
          <w:sz w:val="26"/>
        </w:rPr>
        <w:t>Earnings</w:t>
      </w:r>
      <w:r w:rsidRPr="00B730DC">
        <w:rPr>
          <w:rFonts w:asciiTheme="majorBidi" w:hAnsiTheme="majorBidi"/>
          <w:sz w:val="26"/>
          <w:vertAlign w:val="subscript"/>
        </w:rPr>
        <w:t>it</w:t>
      </w:r>
      <w:proofErr w:type="spellEnd"/>
      <w:r w:rsidRPr="007F15D8">
        <w:rPr>
          <w:rFonts w:asciiTheme="majorBidi" w:hAnsiTheme="majorBidi"/>
          <w:sz w:val="26"/>
        </w:rPr>
        <w:t xml:space="preserve"> is </w:t>
      </w:r>
      <w:r w:rsidR="003A122F" w:rsidRPr="007F15D8">
        <w:rPr>
          <w:rFonts w:asciiTheme="majorBidi" w:hAnsiTheme="majorBidi"/>
          <w:sz w:val="26"/>
        </w:rPr>
        <w:t xml:space="preserve">the </w:t>
      </w:r>
      <w:r w:rsidRPr="007F15D8">
        <w:rPr>
          <w:rFonts w:asciiTheme="majorBidi" w:hAnsiTheme="majorBidi"/>
          <w:sz w:val="26"/>
        </w:rPr>
        <w:t xml:space="preserve">net income before extraordinary items in </w:t>
      </w:r>
      <w:r w:rsidR="00C80A1B">
        <w:rPr>
          <w:rFonts w:asciiTheme="majorBidi" w:hAnsiTheme="majorBidi"/>
          <w:sz w:val="26"/>
        </w:rPr>
        <w:t xml:space="preserve">the </w:t>
      </w:r>
      <w:r w:rsidRPr="007F15D8">
        <w:rPr>
          <w:rFonts w:asciiTheme="majorBidi" w:hAnsiTheme="majorBidi"/>
          <w:sz w:val="26"/>
        </w:rPr>
        <w:t xml:space="preserve">current year; Earningsit-1 is earnings before extraordinary items in </w:t>
      </w:r>
      <w:r w:rsidR="00C80A1B">
        <w:rPr>
          <w:rFonts w:asciiTheme="majorBidi" w:hAnsiTheme="majorBidi"/>
          <w:sz w:val="26"/>
        </w:rPr>
        <w:t xml:space="preserve">the </w:t>
      </w:r>
      <w:r w:rsidRPr="007F15D8">
        <w:rPr>
          <w:rFonts w:asciiTheme="majorBidi" w:hAnsiTheme="majorBidi"/>
          <w:sz w:val="26"/>
        </w:rPr>
        <w:t>previ</w:t>
      </w:r>
      <w:r w:rsidR="007546F7" w:rsidRPr="007F15D8">
        <w:rPr>
          <w:rFonts w:asciiTheme="majorBidi" w:hAnsiTheme="majorBidi"/>
          <w:sz w:val="26"/>
        </w:rPr>
        <w:t xml:space="preserve">ous year; </w:t>
      </w:r>
      <w:proofErr w:type="spellStart"/>
      <w:r w:rsidR="007546F7" w:rsidRPr="007F15D8">
        <w:rPr>
          <w:rFonts w:asciiTheme="majorBidi" w:hAnsiTheme="majorBidi"/>
          <w:sz w:val="26"/>
        </w:rPr>
        <w:t>ε</w:t>
      </w:r>
      <w:r w:rsidR="007546F7" w:rsidRPr="00446058">
        <w:rPr>
          <w:rFonts w:asciiTheme="majorBidi" w:hAnsiTheme="majorBidi"/>
          <w:sz w:val="26"/>
          <w:vertAlign w:val="subscript"/>
        </w:rPr>
        <w:t>it</w:t>
      </w:r>
      <w:proofErr w:type="spellEnd"/>
      <w:r w:rsidR="007546F7" w:rsidRPr="007F15D8">
        <w:rPr>
          <w:rFonts w:asciiTheme="majorBidi" w:hAnsiTheme="majorBidi"/>
          <w:sz w:val="26"/>
        </w:rPr>
        <w:t xml:space="preserve"> is the residuals. </w:t>
      </w:r>
      <w:r w:rsidR="003A122F" w:rsidRPr="007F15D8">
        <w:rPr>
          <w:rFonts w:asciiTheme="majorBidi" w:hAnsiTheme="majorBidi"/>
          <w:sz w:val="26"/>
        </w:rPr>
        <w:t xml:space="preserve">When the </w:t>
      </w:r>
      <w:r w:rsidR="00463D7C" w:rsidRPr="007F15D8">
        <w:rPr>
          <w:rFonts w:asciiTheme="majorBidi" w:hAnsiTheme="majorBidi"/>
          <w:sz w:val="26"/>
        </w:rPr>
        <w:t xml:space="preserve">value of β </w:t>
      </w:r>
      <w:r w:rsidR="003A122F" w:rsidRPr="007F15D8">
        <w:rPr>
          <w:rFonts w:asciiTheme="majorBidi" w:hAnsiTheme="majorBidi"/>
          <w:sz w:val="26"/>
        </w:rPr>
        <w:t xml:space="preserve">is </w:t>
      </w:r>
      <w:r w:rsidR="00463D7C" w:rsidRPr="007F15D8">
        <w:rPr>
          <w:rFonts w:asciiTheme="majorBidi" w:hAnsiTheme="majorBidi"/>
          <w:sz w:val="26"/>
        </w:rPr>
        <w:t>close to one</w:t>
      </w:r>
      <w:r w:rsidR="003A122F" w:rsidRPr="007F15D8">
        <w:rPr>
          <w:rFonts w:asciiTheme="majorBidi" w:hAnsiTheme="majorBidi"/>
          <w:sz w:val="26"/>
        </w:rPr>
        <w:t>,</w:t>
      </w:r>
      <w:r w:rsidR="00463D7C" w:rsidRPr="007F15D8">
        <w:rPr>
          <w:rFonts w:asciiTheme="majorBidi" w:hAnsiTheme="majorBidi"/>
          <w:sz w:val="26"/>
        </w:rPr>
        <w:t xml:space="preserve"> </w:t>
      </w:r>
      <w:r w:rsidR="006B1C85" w:rsidRPr="007F15D8">
        <w:rPr>
          <w:rFonts w:asciiTheme="majorBidi" w:hAnsiTheme="majorBidi"/>
          <w:sz w:val="26"/>
        </w:rPr>
        <w:t>EQ</w:t>
      </w:r>
      <w:r w:rsidR="003A122F" w:rsidRPr="007F15D8">
        <w:rPr>
          <w:rFonts w:asciiTheme="majorBidi" w:hAnsiTheme="majorBidi"/>
          <w:sz w:val="26"/>
        </w:rPr>
        <w:t xml:space="preserve"> is high; </w:t>
      </w:r>
      <w:r w:rsidR="00463D7C" w:rsidRPr="007F15D8">
        <w:rPr>
          <w:rFonts w:asciiTheme="majorBidi" w:hAnsiTheme="majorBidi"/>
          <w:sz w:val="26"/>
        </w:rPr>
        <w:t>close to zero</w:t>
      </w:r>
      <w:r w:rsidR="003A122F" w:rsidRPr="007F15D8">
        <w:rPr>
          <w:rFonts w:asciiTheme="majorBidi" w:hAnsiTheme="majorBidi"/>
          <w:sz w:val="26"/>
        </w:rPr>
        <w:t>,</w:t>
      </w:r>
      <w:r w:rsidR="00463D7C" w:rsidRPr="007F15D8">
        <w:rPr>
          <w:rFonts w:asciiTheme="majorBidi" w:hAnsiTheme="majorBidi"/>
          <w:sz w:val="26"/>
        </w:rPr>
        <w:t xml:space="preserve"> </w:t>
      </w:r>
      <w:r w:rsidR="003A122F" w:rsidRPr="007F15D8">
        <w:rPr>
          <w:rFonts w:asciiTheme="majorBidi" w:hAnsiTheme="majorBidi"/>
          <w:sz w:val="26"/>
        </w:rPr>
        <w:t>low EQ.</w:t>
      </w:r>
    </w:p>
    <w:p w14:paraId="0240D8A1" w14:textId="77777777" w:rsidR="007546F7" w:rsidRPr="007F15D8" w:rsidRDefault="007546F7" w:rsidP="00B725B6">
      <w:pPr>
        <w:autoSpaceDE w:val="0"/>
        <w:autoSpaceDN w:val="0"/>
        <w:adjustRightInd w:val="0"/>
        <w:snapToGrid w:val="0"/>
        <w:spacing w:after="0" w:line="360" w:lineRule="exact"/>
        <w:jc w:val="both"/>
        <w:rPr>
          <w:rFonts w:asciiTheme="majorBidi" w:hAnsiTheme="majorBidi"/>
          <w:sz w:val="26"/>
        </w:rPr>
      </w:pPr>
    </w:p>
    <w:p w14:paraId="3CBF43D2" w14:textId="77777777" w:rsidR="00A976CE" w:rsidRPr="00A976CE" w:rsidRDefault="00733708" w:rsidP="00A976CE">
      <w:pPr>
        <w:snapToGrid w:val="0"/>
        <w:spacing w:after="0" w:line="360" w:lineRule="exact"/>
        <w:jc w:val="both"/>
        <w:rPr>
          <w:rFonts w:asciiTheme="majorBidi" w:hAnsiTheme="majorBidi"/>
          <w:i/>
          <w:sz w:val="26"/>
        </w:rPr>
      </w:pPr>
      <w:r w:rsidRPr="00A976CE">
        <w:rPr>
          <w:rFonts w:asciiTheme="majorBidi" w:hAnsiTheme="majorBidi"/>
          <w:i/>
          <w:sz w:val="26"/>
        </w:rPr>
        <w:t xml:space="preserve">Model 2: </w:t>
      </w:r>
      <w:r w:rsidR="007C7EE2" w:rsidRPr="00A976CE">
        <w:rPr>
          <w:rFonts w:asciiTheme="majorBidi" w:hAnsiTheme="majorBidi"/>
          <w:i/>
          <w:sz w:val="26"/>
        </w:rPr>
        <w:t>Predictability</w:t>
      </w:r>
      <w:r w:rsidR="00960DD6" w:rsidRPr="00A976CE">
        <w:rPr>
          <w:rFonts w:asciiTheme="majorBidi" w:hAnsiTheme="majorBidi"/>
          <w:i/>
          <w:sz w:val="26"/>
        </w:rPr>
        <w:t xml:space="preserve">: </w:t>
      </w:r>
    </w:p>
    <w:p w14:paraId="0CC347D9" w14:textId="19D00C63" w:rsidR="001A193B" w:rsidRPr="007F15D8" w:rsidRDefault="003A122F" w:rsidP="00B730DC">
      <w:pPr>
        <w:snapToGrid w:val="0"/>
        <w:spacing w:after="0" w:line="360" w:lineRule="exact"/>
        <w:ind w:firstLineChars="200" w:firstLine="520"/>
        <w:jc w:val="both"/>
        <w:rPr>
          <w:rFonts w:asciiTheme="majorBidi" w:hAnsiTheme="majorBidi"/>
          <w:sz w:val="26"/>
        </w:rPr>
      </w:pPr>
      <w:proofErr w:type="gramStart"/>
      <w:r w:rsidRPr="007F15D8">
        <w:rPr>
          <w:rFonts w:asciiTheme="majorBidi" w:hAnsiTheme="majorBidi"/>
          <w:sz w:val="26"/>
        </w:rPr>
        <w:t>Again</w:t>
      </w:r>
      <w:proofErr w:type="gramEnd"/>
      <w:r w:rsidRPr="007F15D8">
        <w:rPr>
          <w:rFonts w:asciiTheme="majorBidi" w:hAnsiTheme="majorBidi"/>
          <w:sz w:val="26"/>
        </w:rPr>
        <w:t xml:space="preserve"> </w:t>
      </w:r>
      <w:r w:rsidR="00960DD6" w:rsidRPr="007F15D8">
        <w:rPr>
          <w:rFonts w:asciiTheme="majorBidi" w:hAnsiTheme="majorBidi"/>
          <w:sz w:val="26"/>
        </w:rPr>
        <w:t>following</w:t>
      </w:r>
      <w:r w:rsidR="007C7EE2" w:rsidRPr="007F15D8">
        <w:rPr>
          <w:rFonts w:asciiTheme="majorBidi" w:hAnsiTheme="majorBidi"/>
          <w:sz w:val="26"/>
        </w:rPr>
        <w:t xml:space="preserve"> </w:t>
      </w:r>
      <w:proofErr w:type="spellStart"/>
      <w:r w:rsidR="007C7EE2" w:rsidRPr="007F15D8">
        <w:rPr>
          <w:rFonts w:asciiTheme="majorBidi" w:hAnsiTheme="majorBidi"/>
          <w:sz w:val="26"/>
        </w:rPr>
        <w:t>Perotti</w:t>
      </w:r>
      <w:proofErr w:type="spellEnd"/>
      <w:r w:rsidR="007C7EE2" w:rsidRPr="007F15D8">
        <w:rPr>
          <w:rFonts w:asciiTheme="majorBidi" w:hAnsiTheme="majorBidi"/>
          <w:sz w:val="26"/>
        </w:rPr>
        <w:t xml:space="preserve"> </w:t>
      </w:r>
      <w:r w:rsidR="00523653">
        <w:rPr>
          <w:rFonts w:asciiTheme="majorBidi" w:hAnsiTheme="majorBidi"/>
          <w:sz w:val="26"/>
        </w:rPr>
        <w:t>and</w:t>
      </w:r>
      <w:r w:rsidR="007C7EE2" w:rsidRPr="007F15D8">
        <w:rPr>
          <w:rFonts w:asciiTheme="majorBidi" w:hAnsiTheme="majorBidi"/>
          <w:sz w:val="26"/>
        </w:rPr>
        <w:t xml:space="preserve"> </w:t>
      </w:r>
      <w:proofErr w:type="spellStart"/>
      <w:r w:rsidR="00A962D9">
        <w:rPr>
          <w:rFonts w:asciiTheme="majorBidi" w:hAnsiTheme="majorBidi"/>
          <w:sz w:val="26"/>
        </w:rPr>
        <w:t>Wagenhofer</w:t>
      </w:r>
      <w:proofErr w:type="spellEnd"/>
      <w:r w:rsidR="00463D7C" w:rsidRPr="007F15D8">
        <w:rPr>
          <w:rFonts w:asciiTheme="majorBidi" w:hAnsiTheme="majorBidi"/>
          <w:sz w:val="26"/>
        </w:rPr>
        <w:t xml:space="preserve"> (2014), predictability </w:t>
      </w:r>
      <w:r w:rsidR="007C7EE2" w:rsidRPr="007F15D8">
        <w:rPr>
          <w:rFonts w:asciiTheme="majorBidi" w:hAnsiTheme="majorBidi"/>
          <w:sz w:val="26"/>
        </w:rPr>
        <w:t xml:space="preserve">is the </w:t>
      </w:r>
      <w:r w:rsidR="00960DD6" w:rsidRPr="007F15D8">
        <w:rPr>
          <w:rFonts w:asciiTheme="majorBidi" w:hAnsiTheme="majorBidi"/>
          <w:sz w:val="26"/>
        </w:rPr>
        <w:t>R</w:t>
      </w:r>
      <w:r w:rsidR="007C7EE2" w:rsidRPr="007F15D8">
        <w:rPr>
          <w:rFonts w:asciiTheme="majorBidi" w:hAnsiTheme="majorBidi"/>
          <w:sz w:val="26"/>
          <w:vertAlign w:val="superscript"/>
        </w:rPr>
        <w:t>2</w:t>
      </w:r>
      <w:r w:rsidR="007C7EE2" w:rsidRPr="007F15D8">
        <w:rPr>
          <w:rFonts w:asciiTheme="majorBidi" w:hAnsiTheme="majorBidi"/>
          <w:sz w:val="26"/>
        </w:rPr>
        <w:t xml:space="preserve"> of regressio</w:t>
      </w:r>
      <w:r w:rsidR="007546F7" w:rsidRPr="007F15D8">
        <w:rPr>
          <w:rFonts w:asciiTheme="majorBidi" w:hAnsiTheme="majorBidi"/>
          <w:sz w:val="26"/>
        </w:rPr>
        <w:t xml:space="preserve">n of EQ (PRE) as in </w:t>
      </w:r>
      <w:r w:rsidRPr="007F15D8">
        <w:rPr>
          <w:rFonts w:asciiTheme="majorBidi" w:hAnsiTheme="majorBidi"/>
          <w:sz w:val="26"/>
        </w:rPr>
        <w:t xml:space="preserve">Equation </w:t>
      </w:r>
      <w:r w:rsidR="007546F7" w:rsidRPr="007F15D8">
        <w:rPr>
          <w:rFonts w:asciiTheme="majorBidi" w:hAnsiTheme="majorBidi"/>
          <w:sz w:val="26"/>
        </w:rPr>
        <w:t xml:space="preserve">1. </w:t>
      </w:r>
      <w:r w:rsidR="00E524DE" w:rsidRPr="007F15D8">
        <w:rPr>
          <w:rFonts w:asciiTheme="majorBidi" w:hAnsiTheme="majorBidi" w:cstheme="majorBidi"/>
          <w:sz w:val="26"/>
          <w:szCs w:val="26"/>
        </w:rPr>
        <w:t>R</w:t>
      </w:r>
      <w:r w:rsidR="00E524DE" w:rsidRPr="007F15D8">
        <w:rPr>
          <w:rFonts w:asciiTheme="majorBidi" w:hAnsiTheme="majorBidi" w:cstheme="majorBidi"/>
          <w:sz w:val="26"/>
          <w:szCs w:val="26"/>
          <w:vertAlign w:val="superscript"/>
        </w:rPr>
        <w:t>2</w:t>
      </w:r>
      <w:r w:rsidR="00B30EEF" w:rsidRPr="007F15D8">
        <w:rPr>
          <w:rFonts w:asciiTheme="majorBidi" w:hAnsiTheme="majorBidi" w:cstheme="majorBidi"/>
          <w:sz w:val="26"/>
          <w:szCs w:val="26"/>
        </w:rPr>
        <w:t xml:space="preserve"> (coefficient of determination) is</w:t>
      </w:r>
      <w:r w:rsidR="00B30EEF" w:rsidRPr="007F15D8">
        <w:rPr>
          <w:rFonts w:asciiTheme="majorBidi" w:hAnsiTheme="majorBidi" w:cstheme="majorBidi"/>
          <w:sz w:val="26"/>
          <w:szCs w:val="26"/>
          <w:vertAlign w:val="superscript"/>
        </w:rPr>
        <w:t xml:space="preserve"> </w:t>
      </w:r>
      <w:r w:rsidR="00B30EEF" w:rsidRPr="007F15D8">
        <w:rPr>
          <w:rFonts w:asciiTheme="majorBidi" w:hAnsiTheme="majorBidi" w:cstheme="majorBidi"/>
          <w:sz w:val="26"/>
          <w:szCs w:val="26"/>
        </w:rPr>
        <w:t xml:space="preserve">the explanatory power of the regression. </w:t>
      </w:r>
      <w:r w:rsidR="00B30EEF" w:rsidRPr="007F15D8">
        <w:rPr>
          <w:rFonts w:asciiTheme="majorBidi" w:hAnsiTheme="majorBidi" w:cstheme="majorBidi"/>
          <w:sz w:val="26"/>
          <w:szCs w:val="26"/>
          <w:vertAlign w:val="superscript"/>
        </w:rPr>
        <w:t xml:space="preserve"> </w:t>
      </w:r>
      <w:r w:rsidRPr="007F15D8">
        <w:rPr>
          <w:rFonts w:asciiTheme="majorBidi" w:hAnsiTheme="majorBidi"/>
          <w:sz w:val="26"/>
        </w:rPr>
        <w:t>M</w:t>
      </w:r>
      <w:r w:rsidR="001A193B" w:rsidRPr="007F15D8">
        <w:rPr>
          <w:rFonts w:asciiTheme="majorBidi" w:hAnsiTheme="majorBidi"/>
          <w:sz w:val="26"/>
        </w:rPr>
        <w:t xml:space="preserve">ore predictability </w:t>
      </w:r>
      <w:r w:rsidRPr="007F15D8">
        <w:rPr>
          <w:rFonts w:asciiTheme="majorBidi" w:hAnsiTheme="majorBidi"/>
          <w:sz w:val="26"/>
        </w:rPr>
        <w:t xml:space="preserve">means </w:t>
      </w:r>
      <w:r w:rsidR="001A193B" w:rsidRPr="007F15D8">
        <w:rPr>
          <w:rFonts w:asciiTheme="majorBidi" w:hAnsiTheme="majorBidi"/>
          <w:sz w:val="26"/>
        </w:rPr>
        <w:t>high</w:t>
      </w:r>
      <w:r w:rsidRPr="007F15D8">
        <w:rPr>
          <w:rFonts w:asciiTheme="majorBidi" w:hAnsiTheme="majorBidi"/>
          <w:sz w:val="26"/>
        </w:rPr>
        <w:t xml:space="preserve"> EQ</w:t>
      </w:r>
      <w:r w:rsidR="001E0D58" w:rsidRPr="007F15D8">
        <w:rPr>
          <w:rFonts w:asciiTheme="majorBidi" w:hAnsiTheme="majorBidi"/>
          <w:sz w:val="26"/>
        </w:rPr>
        <w:t>;</w:t>
      </w:r>
      <w:r w:rsidR="001A193B" w:rsidRPr="007F15D8">
        <w:rPr>
          <w:rFonts w:asciiTheme="majorBidi" w:hAnsiTheme="majorBidi"/>
          <w:sz w:val="26"/>
        </w:rPr>
        <w:t xml:space="preserve"> low predictability</w:t>
      </w:r>
      <w:r w:rsidRPr="007F15D8">
        <w:rPr>
          <w:rFonts w:asciiTheme="majorBidi" w:hAnsiTheme="majorBidi"/>
          <w:sz w:val="26"/>
        </w:rPr>
        <w:t>,</w:t>
      </w:r>
      <w:r w:rsidR="001A193B" w:rsidRPr="007F15D8">
        <w:rPr>
          <w:rFonts w:asciiTheme="majorBidi" w:hAnsiTheme="majorBidi"/>
          <w:sz w:val="26"/>
        </w:rPr>
        <w:t xml:space="preserve"> low </w:t>
      </w:r>
      <w:r w:rsidRPr="007F15D8">
        <w:rPr>
          <w:rFonts w:asciiTheme="majorBidi" w:hAnsiTheme="majorBidi"/>
          <w:sz w:val="26"/>
        </w:rPr>
        <w:t>EQ</w:t>
      </w:r>
      <w:r w:rsidR="001A193B" w:rsidRPr="007F15D8">
        <w:rPr>
          <w:rFonts w:asciiTheme="majorBidi" w:hAnsiTheme="majorBidi"/>
          <w:sz w:val="26"/>
        </w:rPr>
        <w:t>.</w:t>
      </w:r>
    </w:p>
    <w:p w14:paraId="3AA7FB85" w14:textId="77777777" w:rsidR="007C7EE2" w:rsidRPr="007F15D8" w:rsidRDefault="007C7EE2" w:rsidP="00B725B6">
      <w:pPr>
        <w:autoSpaceDE w:val="0"/>
        <w:autoSpaceDN w:val="0"/>
        <w:adjustRightInd w:val="0"/>
        <w:snapToGrid w:val="0"/>
        <w:spacing w:after="0" w:line="360" w:lineRule="exact"/>
        <w:rPr>
          <w:rFonts w:asciiTheme="majorBidi" w:hAnsiTheme="majorBidi"/>
          <w:sz w:val="26"/>
        </w:rPr>
      </w:pPr>
    </w:p>
    <w:p w14:paraId="22DBDA64" w14:textId="77777777" w:rsidR="00A976CE" w:rsidRPr="00A976CE" w:rsidRDefault="007C7EE2" w:rsidP="00B725B6">
      <w:pPr>
        <w:snapToGrid w:val="0"/>
        <w:spacing w:after="0" w:line="360" w:lineRule="exact"/>
        <w:jc w:val="both"/>
        <w:rPr>
          <w:rFonts w:asciiTheme="majorBidi" w:hAnsiTheme="majorBidi"/>
          <w:i/>
          <w:sz w:val="26"/>
        </w:rPr>
      </w:pPr>
      <w:r w:rsidRPr="00A976CE">
        <w:rPr>
          <w:rFonts w:asciiTheme="majorBidi" w:hAnsiTheme="majorBidi"/>
          <w:i/>
          <w:sz w:val="26"/>
        </w:rPr>
        <w:t xml:space="preserve">Model 3: </w:t>
      </w:r>
      <w:r w:rsidR="00733708" w:rsidRPr="00A976CE">
        <w:rPr>
          <w:rFonts w:asciiTheme="majorBidi" w:hAnsiTheme="majorBidi"/>
          <w:i/>
          <w:sz w:val="26"/>
        </w:rPr>
        <w:t xml:space="preserve">Value Relevance: </w:t>
      </w:r>
    </w:p>
    <w:p w14:paraId="5968E3D0" w14:textId="5FF9C00F" w:rsidR="00733708" w:rsidRPr="007F15D8" w:rsidRDefault="003A122F" w:rsidP="00B730DC">
      <w:pPr>
        <w:snapToGrid w:val="0"/>
        <w:spacing w:after="0" w:line="360" w:lineRule="exact"/>
        <w:ind w:firstLineChars="200" w:firstLine="520"/>
        <w:jc w:val="both"/>
        <w:rPr>
          <w:rFonts w:asciiTheme="majorBidi" w:hAnsiTheme="majorBidi"/>
          <w:sz w:val="26"/>
        </w:rPr>
      </w:pPr>
      <w:r w:rsidRPr="007F15D8">
        <w:rPr>
          <w:rFonts w:asciiTheme="majorBidi" w:hAnsiTheme="majorBidi"/>
          <w:sz w:val="26"/>
        </w:rPr>
        <w:t xml:space="preserve">We </w:t>
      </w:r>
      <w:r w:rsidR="00FA4DBD" w:rsidRPr="007F15D8">
        <w:rPr>
          <w:rFonts w:asciiTheme="majorBidi" w:hAnsiTheme="majorBidi"/>
          <w:sz w:val="26"/>
        </w:rPr>
        <w:t xml:space="preserve">used two proxies to measure </w:t>
      </w:r>
      <w:r w:rsidRPr="007F15D8">
        <w:rPr>
          <w:rFonts w:asciiTheme="majorBidi" w:hAnsiTheme="majorBidi"/>
          <w:sz w:val="26"/>
        </w:rPr>
        <w:t>v</w:t>
      </w:r>
      <w:r w:rsidR="00FA4DBD" w:rsidRPr="007F15D8">
        <w:rPr>
          <w:rFonts w:asciiTheme="majorBidi" w:hAnsiTheme="majorBidi"/>
          <w:sz w:val="26"/>
        </w:rPr>
        <w:t>al</w:t>
      </w:r>
      <w:r w:rsidR="00DB5E72" w:rsidRPr="007F15D8">
        <w:rPr>
          <w:rFonts w:asciiTheme="majorBidi" w:hAnsiTheme="majorBidi"/>
          <w:sz w:val="26"/>
        </w:rPr>
        <w:t xml:space="preserve">ue </w:t>
      </w:r>
      <w:r w:rsidRPr="007F15D8">
        <w:rPr>
          <w:rFonts w:asciiTheme="majorBidi" w:hAnsiTheme="majorBidi"/>
          <w:sz w:val="26"/>
        </w:rPr>
        <w:t>relevance</w:t>
      </w:r>
      <w:r w:rsidR="00DB5E72" w:rsidRPr="007F15D8">
        <w:rPr>
          <w:rFonts w:asciiTheme="majorBidi" w:hAnsiTheme="majorBidi"/>
          <w:sz w:val="26"/>
        </w:rPr>
        <w:t xml:space="preserve">. The first proxy </w:t>
      </w:r>
      <w:r w:rsidRPr="007F15D8">
        <w:rPr>
          <w:rFonts w:asciiTheme="majorBidi" w:hAnsiTheme="majorBidi"/>
          <w:sz w:val="26"/>
        </w:rPr>
        <w:t xml:space="preserve">follows </w:t>
      </w:r>
      <w:proofErr w:type="spellStart"/>
      <w:r w:rsidR="00463D7C" w:rsidRPr="007F15D8">
        <w:rPr>
          <w:rFonts w:asciiTheme="majorBidi" w:hAnsiTheme="majorBidi"/>
          <w:sz w:val="26"/>
        </w:rPr>
        <w:t>Perotti</w:t>
      </w:r>
      <w:proofErr w:type="spellEnd"/>
      <w:r w:rsidR="00463D7C" w:rsidRPr="007F15D8">
        <w:rPr>
          <w:rFonts w:asciiTheme="majorBidi" w:hAnsiTheme="majorBidi"/>
          <w:sz w:val="26"/>
        </w:rPr>
        <w:t xml:space="preserve"> </w:t>
      </w:r>
      <w:r w:rsidR="00523653">
        <w:rPr>
          <w:rFonts w:asciiTheme="majorBidi" w:hAnsiTheme="majorBidi"/>
          <w:sz w:val="26"/>
        </w:rPr>
        <w:t>and</w:t>
      </w:r>
      <w:r w:rsidR="00463D7C" w:rsidRPr="007F15D8">
        <w:rPr>
          <w:rFonts w:asciiTheme="majorBidi" w:hAnsiTheme="majorBidi"/>
          <w:sz w:val="26"/>
        </w:rPr>
        <w:t xml:space="preserve"> </w:t>
      </w:r>
      <w:proofErr w:type="spellStart"/>
      <w:r w:rsidR="00A962D9">
        <w:rPr>
          <w:rFonts w:asciiTheme="majorBidi" w:hAnsiTheme="majorBidi"/>
          <w:sz w:val="26"/>
        </w:rPr>
        <w:t>Wagenhofer</w:t>
      </w:r>
      <w:proofErr w:type="spellEnd"/>
      <w:r w:rsidR="00463D7C" w:rsidRPr="007F15D8">
        <w:rPr>
          <w:rFonts w:asciiTheme="majorBidi" w:hAnsiTheme="majorBidi"/>
          <w:sz w:val="26"/>
        </w:rPr>
        <w:t xml:space="preserve"> (2014)</w:t>
      </w:r>
      <w:r w:rsidRPr="007F15D8">
        <w:rPr>
          <w:rFonts w:asciiTheme="majorBidi" w:hAnsiTheme="majorBidi"/>
          <w:sz w:val="26"/>
        </w:rPr>
        <w:t>.</w:t>
      </w:r>
      <w:r w:rsidR="00463D7C" w:rsidRPr="007F15D8">
        <w:rPr>
          <w:rFonts w:asciiTheme="majorBidi" w:hAnsiTheme="majorBidi"/>
          <w:sz w:val="26"/>
        </w:rPr>
        <w:t xml:space="preserve"> </w:t>
      </w:r>
      <w:r w:rsidRPr="007F15D8">
        <w:rPr>
          <w:rFonts w:asciiTheme="majorBidi" w:hAnsiTheme="majorBidi"/>
          <w:sz w:val="26"/>
        </w:rPr>
        <w:t xml:space="preserve">The </w:t>
      </w:r>
      <w:r w:rsidR="00733708" w:rsidRPr="007F15D8">
        <w:rPr>
          <w:rFonts w:asciiTheme="majorBidi" w:hAnsiTheme="majorBidi"/>
          <w:sz w:val="26"/>
        </w:rPr>
        <w:t>value relevance is measured by the following equation:</w:t>
      </w:r>
    </w:p>
    <w:p w14:paraId="27F8908F" w14:textId="08C1519E" w:rsidR="00733708" w:rsidRPr="00A976CE" w:rsidRDefault="000D50EE" w:rsidP="00B92006">
      <w:pPr>
        <w:snapToGrid w:val="0"/>
        <w:spacing w:after="0" w:line="460" w:lineRule="exact"/>
        <w:ind w:leftChars="400" w:left="880"/>
        <w:jc w:val="both"/>
        <w:rPr>
          <w:rFonts w:ascii="Cambria Math" w:hAnsi="Cambria Math"/>
          <w:i/>
          <w:sz w:val="26"/>
        </w:rPr>
      </w:pPr>
      <m:oMathPara>
        <m:oMath>
          <m:r>
            <w:rPr>
              <w:rFonts w:ascii="Cambria Math" w:hAnsi="Cambria Math" w:hint="eastAsia"/>
              <w:sz w:val="26"/>
            </w:rPr>
            <m:t>EQ</m:t>
          </m:r>
          <m:d>
            <m:dPr>
              <m:ctrlPr>
                <w:rPr>
                  <w:rFonts w:ascii="Cambria Math" w:hAnsi="Cambria Math"/>
                  <w:i/>
                  <w:sz w:val="26"/>
                </w:rPr>
              </m:ctrlPr>
            </m:dPr>
            <m:e>
              <m:r>
                <w:rPr>
                  <w:rFonts w:ascii="Cambria Math" w:hAnsi="Cambria Math" w:hint="eastAsia"/>
                  <w:sz w:val="26"/>
                </w:rPr>
                <m:t>VRi,t</m:t>
              </m:r>
            </m:e>
          </m:d>
          <m:r>
            <w:rPr>
              <w:rFonts w:ascii="Cambria Math" w:hAnsi="Cambria Math" w:hint="eastAsia"/>
              <w:sz w:val="26"/>
            </w:rPr>
            <m:t xml:space="preserve">= α + βEi,t/Pi,t + εi,t                  </m:t>
          </m:r>
          <m:r>
            <w:rPr>
              <w:rFonts w:ascii="Cambria Math" w:hAnsi="Cambria Math"/>
              <w:sz w:val="26"/>
            </w:rPr>
            <m:t xml:space="preserve">        </m:t>
          </m:r>
          <m:r>
            <w:rPr>
              <w:rFonts w:ascii="Cambria Math" w:hAnsi="Cambria Math" w:hint="eastAsia"/>
              <w:sz w:val="26"/>
            </w:rPr>
            <m:t xml:space="preserve">                                  (2)</m:t>
          </m:r>
        </m:oMath>
      </m:oMathPara>
    </w:p>
    <w:p w14:paraId="05CE8A4E" w14:textId="4A931371" w:rsidR="00094D36" w:rsidRPr="007F15D8" w:rsidRDefault="00733708" w:rsidP="00B725B6">
      <w:pPr>
        <w:pStyle w:val="Pa10"/>
        <w:snapToGrid w:val="0"/>
        <w:spacing w:line="360" w:lineRule="exact"/>
        <w:jc w:val="both"/>
        <w:rPr>
          <w:rFonts w:asciiTheme="majorBidi" w:hAnsiTheme="majorBidi"/>
          <w:sz w:val="26"/>
          <w:lang w:val="en-GB"/>
        </w:rPr>
      </w:pPr>
      <w:r w:rsidRPr="007F15D8">
        <w:rPr>
          <w:rFonts w:asciiTheme="majorBidi" w:hAnsiTheme="majorBidi"/>
          <w:sz w:val="26"/>
          <w:lang w:val="en-GB"/>
        </w:rPr>
        <w:t xml:space="preserve">Where for firm </w:t>
      </w:r>
      <w:proofErr w:type="spellStart"/>
      <w:r w:rsidRPr="007F15D8">
        <w:rPr>
          <w:rFonts w:asciiTheme="majorBidi" w:hAnsiTheme="majorBidi"/>
          <w:sz w:val="26"/>
          <w:lang w:val="en-GB"/>
        </w:rPr>
        <w:t>i</w:t>
      </w:r>
      <w:proofErr w:type="spellEnd"/>
      <w:r w:rsidRPr="007F15D8">
        <w:rPr>
          <w:rFonts w:asciiTheme="majorBidi" w:hAnsiTheme="majorBidi"/>
          <w:sz w:val="26"/>
          <w:lang w:val="en-GB"/>
        </w:rPr>
        <w:t xml:space="preserve"> and year t</w:t>
      </w:r>
      <w:r w:rsidRPr="007F15D8">
        <w:rPr>
          <w:rFonts w:asciiTheme="majorBidi" w:hAnsiTheme="majorBidi" w:cstheme="majorBidi"/>
          <w:sz w:val="26"/>
          <w:szCs w:val="26"/>
          <w:lang w:val="en-GB"/>
        </w:rPr>
        <w:t>,</w:t>
      </w:r>
      <w:r w:rsidR="007910BA" w:rsidRPr="007F15D8">
        <w:rPr>
          <w:rFonts w:asciiTheme="majorBidi" w:hAnsiTheme="majorBidi" w:cstheme="majorBidi"/>
          <w:sz w:val="26"/>
          <w:szCs w:val="26"/>
        </w:rPr>
        <w:t xml:space="preserve"> α is Constant</w:t>
      </w:r>
      <w:r w:rsidR="007910BA" w:rsidRPr="007F15D8">
        <w:rPr>
          <w:rFonts w:asciiTheme="majorBidi" w:hAnsiTheme="majorBidi" w:cstheme="majorBidi"/>
        </w:rPr>
        <w:t xml:space="preserve">, </w:t>
      </w:r>
      <w:r w:rsidR="007910BA" w:rsidRPr="007F15D8">
        <w:rPr>
          <w:rFonts w:asciiTheme="majorBidi" w:hAnsiTheme="majorBidi" w:cstheme="majorBidi"/>
          <w:sz w:val="26"/>
          <w:szCs w:val="26"/>
        </w:rPr>
        <w:t>β is ERC</w:t>
      </w:r>
      <w:r w:rsidR="007910BA" w:rsidRPr="007F15D8">
        <w:rPr>
          <w:rFonts w:asciiTheme="majorBidi" w:hAnsiTheme="majorBidi"/>
          <w:sz w:val="26"/>
        </w:rPr>
        <w:t>,</w:t>
      </w:r>
      <w:r w:rsidRPr="007F15D8">
        <w:rPr>
          <w:rFonts w:asciiTheme="majorBidi" w:hAnsiTheme="majorBidi"/>
          <w:sz w:val="26"/>
          <w:lang w:val="en-GB"/>
        </w:rPr>
        <w:t xml:space="preserve"> </w:t>
      </w:r>
      <w:proofErr w:type="spellStart"/>
      <w:proofErr w:type="gramStart"/>
      <w:r w:rsidRPr="007F15D8">
        <w:rPr>
          <w:rFonts w:asciiTheme="majorBidi" w:hAnsiTheme="majorBidi"/>
          <w:sz w:val="26"/>
          <w:lang w:val="en-GB"/>
        </w:rPr>
        <w:t>P</w:t>
      </w:r>
      <w:r w:rsidRPr="000B49E1">
        <w:rPr>
          <w:rFonts w:asciiTheme="majorBidi" w:hAnsiTheme="majorBidi"/>
          <w:sz w:val="26"/>
          <w:vertAlign w:val="subscript"/>
          <w:lang w:val="en-GB"/>
        </w:rPr>
        <w:t>i,t</w:t>
      </w:r>
      <w:proofErr w:type="spellEnd"/>
      <w:proofErr w:type="gramEnd"/>
      <w:r w:rsidRPr="000B49E1">
        <w:rPr>
          <w:rFonts w:asciiTheme="majorBidi" w:hAnsiTheme="majorBidi"/>
          <w:sz w:val="26"/>
          <w:vertAlign w:val="subscript"/>
          <w:lang w:val="en-GB"/>
        </w:rPr>
        <w:t xml:space="preserve"> </w:t>
      </w:r>
      <w:r w:rsidRPr="007F15D8">
        <w:rPr>
          <w:rFonts w:asciiTheme="majorBidi" w:hAnsiTheme="majorBidi"/>
          <w:sz w:val="26"/>
          <w:lang w:val="en-GB"/>
        </w:rPr>
        <w:t xml:space="preserve">is the share closed price at the end of </w:t>
      </w:r>
      <w:r w:rsidR="00C80A1B">
        <w:rPr>
          <w:rFonts w:asciiTheme="majorBidi" w:hAnsiTheme="majorBidi"/>
          <w:sz w:val="26"/>
          <w:lang w:val="en-GB"/>
        </w:rPr>
        <w:t xml:space="preserve">the </w:t>
      </w:r>
      <w:r w:rsidRPr="007F15D8">
        <w:rPr>
          <w:rFonts w:asciiTheme="majorBidi" w:hAnsiTheme="majorBidi"/>
          <w:sz w:val="26"/>
          <w:lang w:val="en-GB"/>
        </w:rPr>
        <w:t>year;</w:t>
      </w:r>
      <w:r w:rsidR="00960DD6" w:rsidRPr="007F15D8">
        <w:rPr>
          <w:rFonts w:asciiTheme="majorBidi" w:hAnsiTheme="majorBidi"/>
          <w:sz w:val="26"/>
          <w:lang w:val="en-GB"/>
        </w:rPr>
        <w:t xml:space="preserve"> E is</w:t>
      </w:r>
      <w:r w:rsidR="00463D7C" w:rsidRPr="007F15D8">
        <w:rPr>
          <w:rFonts w:asciiTheme="majorBidi" w:hAnsiTheme="majorBidi"/>
          <w:sz w:val="26"/>
          <w:lang w:val="en-GB"/>
        </w:rPr>
        <w:t xml:space="preserve"> </w:t>
      </w:r>
      <w:r w:rsidR="003A122F" w:rsidRPr="007F15D8">
        <w:rPr>
          <w:rFonts w:asciiTheme="majorBidi" w:hAnsiTheme="majorBidi"/>
          <w:sz w:val="26"/>
          <w:lang w:val="en-GB"/>
        </w:rPr>
        <w:t xml:space="preserve">the </w:t>
      </w:r>
      <w:r w:rsidR="00463D7C" w:rsidRPr="007F15D8">
        <w:rPr>
          <w:rFonts w:asciiTheme="majorBidi" w:hAnsiTheme="majorBidi"/>
          <w:sz w:val="26"/>
          <w:lang w:val="en-GB"/>
        </w:rPr>
        <w:t>earnings before extraordinary</w:t>
      </w:r>
      <w:r w:rsidR="001A193B" w:rsidRPr="007F15D8">
        <w:rPr>
          <w:rFonts w:asciiTheme="majorBidi" w:hAnsiTheme="majorBidi"/>
          <w:sz w:val="26"/>
          <w:lang w:val="en-GB"/>
        </w:rPr>
        <w:t xml:space="preserve"> </w:t>
      </w:r>
      <w:r w:rsidR="00960DD6" w:rsidRPr="007F15D8">
        <w:rPr>
          <w:rFonts w:asciiTheme="majorBidi" w:hAnsiTheme="majorBidi"/>
          <w:sz w:val="26"/>
          <w:lang w:val="en-GB"/>
        </w:rPr>
        <w:t xml:space="preserve">items in </w:t>
      </w:r>
      <w:r w:rsidR="00C80A1B">
        <w:rPr>
          <w:rFonts w:asciiTheme="majorBidi" w:hAnsiTheme="majorBidi"/>
          <w:sz w:val="26"/>
          <w:lang w:val="en-GB"/>
        </w:rPr>
        <w:t xml:space="preserve">the </w:t>
      </w:r>
      <w:r w:rsidR="00960DD6" w:rsidRPr="007F15D8">
        <w:rPr>
          <w:rFonts w:asciiTheme="majorBidi" w:hAnsiTheme="majorBidi"/>
          <w:sz w:val="26"/>
          <w:lang w:val="en-GB"/>
        </w:rPr>
        <w:t>previous year</w:t>
      </w:r>
      <w:r w:rsidR="003A122F" w:rsidRPr="007F15D8">
        <w:rPr>
          <w:rFonts w:asciiTheme="majorBidi" w:hAnsiTheme="majorBidi"/>
          <w:sz w:val="26"/>
          <w:lang w:val="en-GB"/>
        </w:rPr>
        <w:t>;</w:t>
      </w:r>
      <w:r w:rsidR="00960DD6" w:rsidRPr="007F15D8">
        <w:rPr>
          <w:rFonts w:asciiTheme="majorBidi" w:hAnsiTheme="majorBidi"/>
          <w:sz w:val="26"/>
          <w:lang w:val="en-GB"/>
        </w:rPr>
        <w:t xml:space="preserve"> </w:t>
      </w:r>
      <w:proofErr w:type="spellStart"/>
      <w:r w:rsidRPr="007F15D8">
        <w:rPr>
          <w:rFonts w:asciiTheme="majorBidi" w:hAnsiTheme="majorBidi"/>
          <w:sz w:val="26"/>
          <w:lang w:val="en-GB"/>
        </w:rPr>
        <w:t>ε</w:t>
      </w:r>
      <w:r w:rsidRPr="00446058">
        <w:rPr>
          <w:rFonts w:asciiTheme="majorBidi" w:hAnsiTheme="majorBidi"/>
          <w:sz w:val="26"/>
          <w:vertAlign w:val="subscript"/>
          <w:lang w:val="en-GB"/>
        </w:rPr>
        <w:t>i,t</w:t>
      </w:r>
      <w:proofErr w:type="spellEnd"/>
      <w:r w:rsidRPr="007F15D8">
        <w:rPr>
          <w:rFonts w:asciiTheme="majorBidi" w:hAnsiTheme="majorBidi"/>
          <w:sz w:val="26"/>
          <w:lang w:val="en-GB"/>
        </w:rPr>
        <w:t xml:space="preserve"> is the residuals. </w:t>
      </w:r>
      <w:r w:rsidR="00FA4DBD" w:rsidRPr="007F15D8">
        <w:rPr>
          <w:rFonts w:asciiTheme="majorBidi" w:hAnsiTheme="majorBidi"/>
          <w:sz w:val="26"/>
          <w:lang w:val="en-GB"/>
        </w:rPr>
        <w:t>The value</w:t>
      </w:r>
      <w:r w:rsidR="003A122F" w:rsidRPr="007F15D8">
        <w:rPr>
          <w:rFonts w:asciiTheme="majorBidi" w:hAnsiTheme="majorBidi"/>
          <w:sz w:val="26"/>
          <w:lang w:val="en-GB"/>
        </w:rPr>
        <w:t xml:space="preserve"> </w:t>
      </w:r>
      <w:r w:rsidR="00FA4DBD" w:rsidRPr="007F15D8">
        <w:rPr>
          <w:rFonts w:asciiTheme="majorBidi" w:hAnsiTheme="majorBidi"/>
          <w:sz w:val="26"/>
          <w:lang w:val="en-GB"/>
        </w:rPr>
        <w:t>relevance is the ERC</w:t>
      </w:r>
      <w:r w:rsidR="003A122F" w:rsidRPr="007F15D8">
        <w:rPr>
          <w:rFonts w:asciiTheme="majorBidi" w:hAnsiTheme="majorBidi"/>
          <w:sz w:val="26"/>
          <w:lang w:val="en-GB"/>
        </w:rPr>
        <w:t xml:space="preserve"> </w:t>
      </w:r>
      <w:r w:rsidR="00FA4DBD" w:rsidRPr="007F15D8">
        <w:rPr>
          <w:rFonts w:asciiTheme="majorBidi" w:hAnsiTheme="majorBidi"/>
          <w:sz w:val="26"/>
          <w:lang w:val="en-GB"/>
        </w:rPr>
        <w:t>w</w:t>
      </w:r>
      <w:r w:rsidR="007546F7" w:rsidRPr="007F15D8">
        <w:rPr>
          <w:rFonts w:asciiTheme="majorBidi" w:hAnsiTheme="majorBidi"/>
          <w:sz w:val="26"/>
          <w:lang w:val="en-GB"/>
        </w:rPr>
        <w:t xml:space="preserve">hich is the β in the equation. </w:t>
      </w:r>
      <w:r w:rsidR="003A122F" w:rsidRPr="007F15D8">
        <w:rPr>
          <w:rFonts w:asciiTheme="majorBidi" w:hAnsiTheme="majorBidi"/>
          <w:sz w:val="26"/>
          <w:lang w:val="en-GB"/>
        </w:rPr>
        <w:t>L</w:t>
      </w:r>
      <w:r w:rsidR="00094D36" w:rsidRPr="007F15D8">
        <w:rPr>
          <w:rFonts w:asciiTheme="majorBidi" w:hAnsiTheme="majorBidi"/>
          <w:sz w:val="26"/>
          <w:lang w:val="en-GB"/>
        </w:rPr>
        <w:t xml:space="preserve">arge β indicates more value-relevant </w:t>
      </w:r>
      <w:r w:rsidR="006B1C85" w:rsidRPr="007F15D8">
        <w:rPr>
          <w:rFonts w:asciiTheme="majorBidi" w:hAnsiTheme="majorBidi"/>
          <w:sz w:val="26"/>
          <w:lang w:val="en-GB"/>
        </w:rPr>
        <w:t>EQ</w:t>
      </w:r>
      <w:r w:rsidR="003A122F" w:rsidRPr="007F15D8">
        <w:rPr>
          <w:rFonts w:asciiTheme="majorBidi" w:hAnsiTheme="majorBidi"/>
          <w:sz w:val="26"/>
          <w:lang w:val="en-GB"/>
        </w:rPr>
        <w:t xml:space="preserve">; </w:t>
      </w:r>
      <w:r w:rsidR="00094D36" w:rsidRPr="007F15D8">
        <w:rPr>
          <w:rFonts w:asciiTheme="majorBidi" w:hAnsiTheme="majorBidi"/>
          <w:sz w:val="26"/>
          <w:lang w:val="en-GB"/>
        </w:rPr>
        <w:t>less β</w:t>
      </w:r>
      <w:r w:rsidR="003A122F" w:rsidRPr="007F15D8">
        <w:rPr>
          <w:rFonts w:asciiTheme="majorBidi" w:hAnsiTheme="majorBidi"/>
          <w:sz w:val="26"/>
          <w:lang w:val="en-GB"/>
        </w:rPr>
        <w:t>,</w:t>
      </w:r>
      <w:r w:rsidR="00094D36" w:rsidRPr="007F15D8">
        <w:rPr>
          <w:rFonts w:asciiTheme="majorBidi" w:hAnsiTheme="majorBidi"/>
          <w:sz w:val="26"/>
          <w:lang w:val="en-GB"/>
        </w:rPr>
        <w:t xml:space="preserve"> less value-relevant </w:t>
      </w:r>
      <w:r w:rsidR="006B1C85" w:rsidRPr="007F15D8">
        <w:rPr>
          <w:rFonts w:asciiTheme="majorBidi" w:hAnsiTheme="majorBidi"/>
          <w:sz w:val="26"/>
          <w:lang w:val="en-GB"/>
        </w:rPr>
        <w:t>EQ</w:t>
      </w:r>
      <w:r w:rsidR="00094D36" w:rsidRPr="007F15D8">
        <w:rPr>
          <w:rFonts w:asciiTheme="majorBidi" w:hAnsiTheme="majorBidi"/>
          <w:sz w:val="26"/>
          <w:lang w:val="en-GB"/>
        </w:rPr>
        <w:t>.</w:t>
      </w:r>
      <w:r w:rsidR="001F48F8" w:rsidRPr="007F15D8">
        <w:rPr>
          <w:rFonts w:asciiTheme="majorBidi" w:hAnsiTheme="majorBidi"/>
          <w:sz w:val="26"/>
          <w:lang w:val="en-GB"/>
        </w:rPr>
        <w:t xml:space="preserve"> </w:t>
      </w:r>
    </w:p>
    <w:p w14:paraId="30390F6C" w14:textId="0831AC28" w:rsidR="00977818" w:rsidRPr="007F15D8" w:rsidRDefault="00094D36" w:rsidP="00B730DC">
      <w:pPr>
        <w:snapToGrid w:val="0"/>
        <w:spacing w:after="0" w:line="360" w:lineRule="exact"/>
        <w:ind w:firstLineChars="200" w:firstLine="520"/>
        <w:jc w:val="both"/>
        <w:rPr>
          <w:rFonts w:asciiTheme="majorBidi" w:hAnsiTheme="majorBidi"/>
          <w:sz w:val="26"/>
        </w:rPr>
      </w:pPr>
      <w:r w:rsidRPr="007F15D8">
        <w:rPr>
          <w:rFonts w:asciiTheme="majorBidi" w:hAnsiTheme="majorBidi"/>
          <w:sz w:val="26"/>
        </w:rPr>
        <w:t xml:space="preserve">Following Ali </w:t>
      </w:r>
      <w:r w:rsidR="00523653">
        <w:rPr>
          <w:rFonts w:asciiTheme="majorBidi" w:hAnsiTheme="majorBidi"/>
          <w:sz w:val="26"/>
        </w:rPr>
        <w:t>and</w:t>
      </w:r>
      <w:r w:rsidRPr="007F15D8">
        <w:rPr>
          <w:rFonts w:asciiTheme="majorBidi" w:hAnsiTheme="majorBidi"/>
          <w:sz w:val="26"/>
        </w:rPr>
        <w:t xml:space="preserve"> Hwang (2000), the second proxy that we used is the relationship between earning</w:t>
      </w:r>
      <w:r w:rsidR="003A122F" w:rsidRPr="007F15D8">
        <w:rPr>
          <w:rFonts w:asciiTheme="majorBidi" w:hAnsiTheme="majorBidi"/>
          <w:sz w:val="26"/>
        </w:rPr>
        <w:t>s</w:t>
      </w:r>
      <w:r w:rsidRPr="007F15D8">
        <w:rPr>
          <w:rFonts w:asciiTheme="majorBidi" w:hAnsiTheme="majorBidi"/>
          <w:sz w:val="26"/>
        </w:rPr>
        <w:t>, book value</w:t>
      </w:r>
      <w:r w:rsidR="00C80A1B">
        <w:rPr>
          <w:rFonts w:asciiTheme="majorBidi" w:hAnsiTheme="majorBidi"/>
          <w:sz w:val="26"/>
        </w:rPr>
        <w:t>,</w:t>
      </w:r>
      <w:r w:rsidRPr="007F15D8">
        <w:rPr>
          <w:rFonts w:asciiTheme="majorBidi" w:hAnsiTheme="majorBidi"/>
          <w:sz w:val="26"/>
        </w:rPr>
        <w:t xml:space="preserve"> and share price. The value relevance is the explanatory power of </w:t>
      </w:r>
      <w:r w:rsidR="005C0337" w:rsidRPr="007F15D8">
        <w:rPr>
          <w:rFonts w:asciiTheme="majorBidi" w:hAnsiTheme="majorBidi"/>
          <w:sz w:val="26"/>
        </w:rPr>
        <w:t>R</w:t>
      </w:r>
      <w:r w:rsidR="005C0337" w:rsidRPr="007F15D8">
        <w:rPr>
          <w:rFonts w:asciiTheme="majorBidi" w:hAnsiTheme="majorBidi"/>
          <w:sz w:val="26"/>
          <w:vertAlign w:val="superscript"/>
        </w:rPr>
        <w:t>2</w:t>
      </w:r>
      <w:r w:rsidR="005C0337" w:rsidRPr="007F15D8">
        <w:rPr>
          <w:rFonts w:asciiTheme="majorBidi" w:hAnsiTheme="majorBidi"/>
          <w:sz w:val="26"/>
        </w:rPr>
        <w:t xml:space="preserve"> of </w:t>
      </w:r>
      <w:r w:rsidRPr="007F15D8">
        <w:rPr>
          <w:rFonts w:asciiTheme="majorBidi" w:hAnsiTheme="majorBidi"/>
          <w:sz w:val="26"/>
        </w:rPr>
        <w:t>earnings and book value of equity for stock returns as in the following equation</w:t>
      </w:r>
      <w:r w:rsidR="003A122F" w:rsidRPr="007F15D8">
        <w:rPr>
          <w:rFonts w:asciiTheme="majorBidi" w:hAnsiTheme="majorBidi"/>
          <w:sz w:val="26"/>
        </w:rPr>
        <w:t>:</w:t>
      </w:r>
      <w:r w:rsidRPr="007F15D8">
        <w:rPr>
          <w:rFonts w:asciiTheme="majorBidi" w:hAnsiTheme="majorBidi"/>
          <w:sz w:val="26"/>
        </w:rPr>
        <w:t xml:space="preserve"> </w:t>
      </w:r>
    </w:p>
    <w:p w14:paraId="134D6829" w14:textId="5F3909C8" w:rsidR="00094D36" w:rsidRPr="00A976CE" w:rsidRDefault="005C0337" w:rsidP="00B92006">
      <w:pPr>
        <w:snapToGrid w:val="0"/>
        <w:spacing w:after="0" w:line="460" w:lineRule="exact"/>
        <w:ind w:leftChars="400" w:left="880"/>
        <w:jc w:val="both"/>
        <w:rPr>
          <w:rFonts w:ascii="Cambria Math" w:hAnsi="Cambria Math"/>
          <w:i/>
          <w:sz w:val="26"/>
        </w:rPr>
      </w:pPr>
      <m:oMathPara>
        <m:oMath>
          <m:r>
            <w:rPr>
              <w:rFonts w:ascii="Cambria Math" w:hAnsi="Cambria Math" w:hint="eastAsia"/>
              <w:sz w:val="26"/>
            </w:rPr>
            <m:t xml:space="preserve">Pi,t=α+β1BVi,t+β2EPSi,t+εi,t                  </m:t>
          </m:r>
          <m:r>
            <w:rPr>
              <w:rFonts w:ascii="Cambria Math" w:hAnsi="Cambria Math"/>
              <w:sz w:val="26"/>
            </w:rPr>
            <m:t xml:space="preserve">        </m:t>
          </m:r>
          <m:r>
            <w:rPr>
              <w:rFonts w:ascii="Cambria Math" w:hAnsi="Cambria Math" w:hint="eastAsia"/>
              <w:sz w:val="26"/>
            </w:rPr>
            <m:t xml:space="preserve">                                  (3)</m:t>
          </m:r>
        </m:oMath>
      </m:oMathPara>
    </w:p>
    <w:p w14:paraId="1BA19E0D" w14:textId="456B6FF3" w:rsidR="001A193B" w:rsidRPr="007F15D8" w:rsidRDefault="00094D36" w:rsidP="00B725B6">
      <w:pPr>
        <w:autoSpaceDE w:val="0"/>
        <w:autoSpaceDN w:val="0"/>
        <w:adjustRightInd w:val="0"/>
        <w:snapToGrid w:val="0"/>
        <w:spacing w:after="0" w:line="360" w:lineRule="exact"/>
        <w:jc w:val="both"/>
        <w:rPr>
          <w:rFonts w:asciiTheme="majorBidi" w:hAnsiTheme="majorBidi"/>
          <w:sz w:val="26"/>
        </w:rPr>
      </w:pPr>
      <w:r w:rsidRPr="007F15D8">
        <w:rPr>
          <w:rFonts w:asciiTheme="majorBidi" w:hAnsiTheme="majorBidi"/>
          <w:sz w:val="26"/>
        </w:rPr>
        <w:t xml:space="preserve">Where for firm </w:t>
      </w:r>
      <w:proofErr w:type="spellStart"/>
      <w:r w:rsidRPr="007F15D8">
        <w:rPr>
          <w:rFonts w:asciiTheme="majorBidi" w:hAnsiTheme="majorBidi"/>
          <w:sz w:val="26"/>
        </w:rPr>
        <w:t>i</w:t>
      </w:r>
      <w:proofErr w:type="spellEnd"/>
      <w:r w:rsidRPr="007F15D8">
        <w:rPr>
          <w:rFonts w:asciiTheme="majorBidi" w:hAnsiTheme="majorBidi"/>
          <w:sz w:val="26"/>
        </w:rPr>
        <w:t xml:space="preserve"> and year t</w:t>
      </w:r>
      <w:r w:rsidRPr="007F15D8">
        <w:rPr>
          <w:rFonts w:asciiTheme="majorBidi" w:hAnsiTheme="majorBidi" w:cstheme="majorBidi"/>
          <w:sz w:val="26"/>
          <w:szCs w:val="26"/>
        </w:rPr>
        <w:t xml:space="preserve">, </w:t>
      </w:r>
      <w:r w:rsidR="007910BA" w:rsidRPr="007F15D8">
        <w:rPr>
          <w:rFonts w:asciiTheme="majorBidi" w:hAnsiTheme="majorBidi" w:cstheme="majorBidi"/>
          <w:sz w:val="26"/>
          <w:szCs w:val="26"/>
        </w:rPr>
        <w:t>α is Constant</w:t>
      </w:r>
      <w:r w:rsidR="007910BA" w:rsidRPr="007F15D8">
        <w:rPr>
          <w:rFonts w:asciiTheme="majorBidi" w:hAnsiTheme="majorBidi" w:cstheme="majorBidi"/>
        </w:rPr>
        <w:t xml:space="preserve">, </w:t>
      </w:r>
      <w:r w:rsidR="007910BA" w:rsidRPr="007F15D8">
        <w:rPr>
          <w:rFonts w:asciiTheme="majorBidi" w:hAnsiTheme="majorBidi" w:cstheme="majorBidi"/>
          <w:sz w:val="26"/>
          <w:szCs w:val="26"/>
        </w:rPr>
        <w:t>β is Beta</w:t>
      </w:r>
      <w:r w:rsidR="007910BA" w:rsidRPr="007F15D8">
        <w:rPr>
          <w:rFonts w:asciiTheme="majorBidi" w:hAnsiTheme="majorBidi"/>
          <w:sz w:val="26"/>
        </w:rPr>
        <w:t xml:space="preserve">, </w:t>
      </w:r>
      <w:r w:rsidRPr="007F15D8">
        <w:rPr>
          <w:rFonts w:asciiTheme="majorBidi" w:hAnsiTheme="majorBidi"/>
          <w:sz w:val="26"/>
        </w:rPr>
        <w:t>P</w:t>
      </w:r>
      <w:r w:rsidRPr="00446058">
        <w:rPr>
          <w:rFonts w:asciiTheme="majorBidi" w:hAnsiTheme="majorBidi"/>
          <w:sz w:val="26"/>
          <w:vertAlign w:val="subscript"/>
        </w:rPr>
        <w:t>i,</w:t>
      </w:r>
      <w:r w:rsidR="00BF54E4" w:rsidRPr="00446058">
        <w:rPr>
          <w:rFonts w:asciiTheme="majorBidi" w:hAnsiTheme="majorBidi"/>
          <w:sz w:val="26"/>
          <w:vertAlign w:val="subscript"/>
        </w:rPr>
        <w:t xml:space="preserve"> </w:t>
      </w:r>
      <w:r w:rsidRPr="00446058">
        <w:rPr>
          <w:rFonts w:asciiTheme="majorBidi" w:hAnsiTheme="majorBidi"/>
          <w:sz w:val="26"/>
          <w:vertAlign w:val="subscript"/>
        </w:rPr>
        <w:t>t</w:t>
      </w:r>
      <w:r w:rsidRPr="007F15D8">
        <w:rPr>
          <w:rFonts w:asciiTheme="majorBidi" w:hAnsiTheme="majorBidi"/>
          <w:sz w:val="26"/>
        </w:rPr>
        <w:t xml:space="preserve"> is the stock price at the end of </w:t>
      </w:r>
      <w:r w:rsidR="00C80A1B">
        <w:rPr>
          <w:rFonts w:asciiTheme="majorBidi" w:hAnsiTheme="majorBidi"/>
          <w:sz w:val="26"/>
        </w:rPr>
        <w:t xml:space="preserve">the </w:t>
      </w:r>
      <w:r w:rsidRPr="007F15D8">
        <w:rPr>
          <w:rFonts w:asciiTheme="majorBidi" w:hAnsiTheme="majorBidi"/>
          <w:sz w:val="26"/>
        </w:rPr>
        <w:t xml:space="preserve">year; </w:t>
      </w:r>
      <w:proofErr w:type="spellStart"/>
      <w:proofErr w:type="gramStart"/>
      <w:r w:rsidRPr="007F15D8">
        <w:rPr>
          <w:rFonts w:asciiTheme="majorBidi" w:hAnsiTheme="majorBidi"/>
          <w:sz w:val="26"/>
        </w:rPr>
        <w:t>BV</w:t>
      </w:r>
      <w:r w:rsidRPr="00446058">
        <w:rPr>
          <w:rFonts w:asciiTheme="majorBidi" w:hAnsiTheme="majorBidi"/>
          <w:sz w:val="26"/>
          <w:vertAlign w:val="subscript"/>
        </w:rPr>
        <w:t>i,t</w:t>
      </w:r>
      <w:proofErr w:type="spellEnd"/>
      <w:proofErr w:type="gramEnd"/>
      <w:r w:rsidRPr="007F15D8">
        <w:rPr>
          <w:rFonts w:asciiTheme="majorBidi" w:hAnsiTheme="majorBidi"/>
          <w:sz w:val="26"/>
        </w:rPr>
        <w:t xml:space="preserve"> is the book value of </w:t>
      </w:r>
      <w:r w:rsidR="00C80A1B">
        <w:rPr>
          <w:rFonts w:asciiTheme="majorBidi" w:hAnsiTheme="majorBidi"/>
          <w:sz w:val="26"/>
        </w:rPr>
        <w:t xml:space="preserve">the </w:t>
      </w:r>
      <w:r w:rsidRPr="007F15D8">
        <w:rPr>
          <w:rFonts w:asciiTheme="majorBidi" w:hAnsiTheme="majorBidi"/>
          <w:sz w:val="26"/>
        </w:rPr>
        <w:t xml:space="preserve">stock at the end of </w:t>
      </w:r>
      <w:r w:rsidR="00C80A1B">
        <w:rPr>
          <w:rFonts w:asciiTheme="majorBidi" w:hAnsiTheme="majorBidi"/>
          <w:sz w:val="26"/>
        </w:rPr>
        <w:t xml:space="preserve">the </w:t>
      </w:r>
      <w:r w:rsidRPr="007F15D8">
        <w:rPr>
          <w:rFonts w:asciiTheme="majorBidi" w:hAnsiTheme="majorBidi"/>
          <w:sz w:val="26"/>
        </w:rPr>
        <w:t xml:space="preserve">year; </w:t>
      </w:r>
      <w:proofErr w:type="spellStart"/>
      <w:r w:rsidRPr="007F15D8">
        <w:rPr>
          <w:rFonts w:asciiTheme="majorBidi" w:hAnsiTheme="majorBidi"/>
          <w:sz w:val="26"/>
        </w:rPr>
        <w:t>EPS</w:t>
      </w:r>
      <w:r w:rsidRPr="009E5933">
        <w:rPr>
          <w:rFonts w:asciiTheme="majorBidi" w:hAnsiTheme="majorBidi"/>
          <w:sz w:val="26"/>
          <w:vertAlign w:val="subscript"/>
        </w:rPr>
        <w:t>i,t</w:t>
      </w:r>
      <w:proofErr w:type="spellEnd"/>
      <w:r w:rsidRPr="007F15D8">
        <w:rPr>
          <w:rFonts w:asciiTheme="majorBidi" w:hAnsiTheme="majorBidi"/>
          <w:sz w:val="26"/>
        </w:rPr>
        <w:t xml:space="preserve"> is the earnings per share at the end of </w:t>
      </w:r>
      <w:r w:rsidR="00C80A1B">
        <w:rPr>
          <w:rFonts w:asciiTheme="majorBidi" w:hAnsiTheme="majorBidi"/>
          <w:sz w:val="26"/>
        </w:rPr>
        <w:t xml:space="preserve">the </w:t>
      </w:r>
      <w:r w:rsidRPr="007F15D8">
        <w:rPr>
          <w:rFonts w:asciiTheme="majorBidi" w:hAnsiTheme="majorBidi"/>
          <w:sz w:val="26"/>
        </w:rPr>
        <w:t xml:space="preserve">year; </w:t>
      </w:r>
      <w:proofErr w:type="spellStart"/>
      <w:r w:rsidRPr="007F15D8">
        <w:rPr>
          <w:rFonts w:asciiTheme="majorBidi" w:hAnsiTheme="majorBidi"/>
          <w:sz w:val="26"/>
        </w:rPr>
        <w:t>ε</w:t>
      </w:r>
      <w:r w:rsidRPr="00446058">
        <w:rPr>
          <w:rFonts w:asciiTheme="majorBidi" w:hAnsiTheme="majorBidi"/>
          <w:sz w:val="26"/>
          <w:vertAlign w:val="subscript"/>
        </w:rPr>
        <w:t>i,t</w:t>
      </w:r>
      <w:proofErr w:type="spellEnd"/>
      <w:r w:rsidRPr="007F15D8">
        <w:rPr>
          <w:rFonts w:asciiTheme="majorBidi" w:hAnsiTheme="majorBidi"/>
          <w:sz w:val="26"/>
        </w:rPr>
        <w:t xml:space="preserve"> is the </w:t>
      </w:r>
      <w:r w:rsidR="007546F7" w:rsidRPr="007F15D8">
        <w:rPr>
          <w:rFonts w:asciiTheme="majorBidi" w:hAnsiTheme="majorBidi"/>
          <w:sz w:val="26"/>
        </w:rPr>
        <w:t xml:space="preserve">residuals. </w:t>
      </w:r>
      <w:r w:rsidR="003A122F" w:rsidRPr="007F15D8">
        <w:rPr>
          <w:rFonts w:asciiTheme="majorBidi" w:hAnsiTheme="majorBidi"/>
          <w:sz w:val="26"/>
        </w:rPr>
        <w:t>L</w:t>
      </w:r>
      <w:r w:rsidR="001A193B" w:rsidRPr="007F15D8">
        <w:rPr>
          <w:rFonts w:asciiTheme="majorBidi" w:hAnsiTheme="majorBidi"/>
          <w:sz w:val="26"/>
        </w:rPr>
        <w:t>arge R</w:t>
      </w:r>
      <w:r w:rsidR="001A193B" w:rsidRPr="007F15D8">
        <w:rPr>
          <w:rFonts w:asciiTheme="majorBidi" w:hAnsiTheme="majorBidi"/>
          <w:sz w:val="26"/>
          <w:vertAlign w:val="superscript"/>
        </w:rPr>
        <w:t>2</w:t>
      </w:r>
      <w:r w:rsidR="001A193B" w:rsidRPr="007F15D8">
        <w:rPr>
          <w:rFonts w:asciiTheme="majorBidi" w:hAnsiTheme="majorBidi"/>
          <w:sz w:val="26"/>
        </w:rPr>
        <w:t xml:space="preserve"> indicates more value-relevant </w:t>
      </w:r>
      <w:r w:rsidR="006B1C85" w:rsidRPr="007F15D8">
        <w:rPr>
          <w:rFonts w:asciiTheme="majorBidi" w:hAnsiTheme="majorBidi"/>
          <w:sz w:val="26"/>
        </w:rPr>
        <w:t>EQ</w:t>
      </w:r>
      <w:r w:rsidR="003A122F" w:rsidRPr="007F15D8">
        <w:rPr>
          <w:rFonts w:asciiTheme="majorBidi" w:hAnsiTheme="majorBidi"/>
          <w:sz w:val="26"/>
        </w:rPr>
        <w:t>;</w:t>
      </w:r>
      <w:r w:rsidR="001A193B" w:rsidRPr="007F15D8">
        <w:rPr>
          <w:rFonts w:asciiTheme="majorBidi" w:hAnsiTheme="majorBidi"/>
          <w:sz w:val="26"/>
        </w:rPr>
        <w:t xml:space="preserve"> less R</w:t>
      </w:r>
      <w:r w:rsidR="001A193B" w:rsidRPr="007F15D8">
        <w:rPr>
          <w:rFonts w:asciiTheme="majorBidi" w:hAnsiTheme="majorBidi"/>
          <w:sz w:val="26"/>
          <w:vertAlign w:val="superscript"/>
        </w:rPr>
        <w:t>2</w:t>
      </w:r>
      <w:r w:rsidR="003A122F" w:rsidRPr="007F15D8">
        <w:rPr>
          <w:rFonts w:asciiTheme="majorBidi" w:hAnsiTheme="majorBidi"/>
          <w:sz w:val="26"/>
        </w:rPr>
        <w:t>,</w:t>
      </w:r>
      <w:r w:rsidR="001A193B" w:rsidRPr="007F15D8">
        <w:rPr>
          <w:rFonts w:asciiTheme="majorBidi" w:hAnsiTheme="majorBidi"/>
          <w:sz w:val="26"/>
        </w:rPr>
        <w:t xml:space="preserve"> less value-relevant </w:t>
      </w:r>
      <w:r w:rsidR="006B1C85" w:rsidRPr="007F15D8">
        <w:rPr>
          <w:rFonts w:asciiTheme="majorBidi" w:hAnsiTheme="majorBidi"/>
          <w:sz w:val="26"/>
        </w:rPr>
        <w:t>EQ</w:t>
      </w:r>
      <w:r w:rsidR="001A193B" w:rsidRPr="007F15D8">
        <w:rPr>
          <w:rFonts w:asciiTheme="majorBidi" w:hAnsiTheme="majorBidi"/>
          <w:sz w:val="26"/>
        </w:rPr>
        <w:t>.</w:t>
      </w:r>
      <w:r w:rsidR="001F48F8" w:rsidRPr="007F15D8">
        <w:rPr>
          <w:rFonts w:asciiTheme="majorBidi" w:hAnsiTheme="majorBidi"/>
          <w:sz w:val="26"/>
        </w:rPr>
        <w:t xml:space="preserve"> </w:t>
      </w:r>
    </w:p>
    <w:p w14:paraId="0769305E" w14:textId="3C2EA383" w:rsidR="005476C0" w:rsidRDefault="00816348" w:rsidP="007B380A">
      <w:pPr>
        <w:autoSpaceDE w:val="0"/>
        <w:autoSpaceDN w:val="0"/>
        <w:adjustRightInd w:val="0"/>
        <w:snapToGrid w:val="0"/>
        <w:spacing w:after="0" w:line="360" w:lineRule="exact"/>
        <w:ind w:firstLineChars="200" w:firstLine="520"/>
        <w:jc w:val="both"/>
        <w:rPr>
          <w:rFonts w:asciiTheme="majorBidi" w:hAnsiTheme="majorBidi" w:cstheme="majorBidi"/>
          <w:sz w:val="26"/>
          <w:szCs w:val="26"/>
        </w:rPr>
      </w:pPr>
      <w:r w:rsidRPr="007F15D8">
        <w:rPr>
          <w:rFonts w:asciiTheme="majorBidi" w:hAnsiTheme="majorBidi" w:cstheme="majorBidi"/>
          <w:sz w:val="26"/>
          <w:szCs w:val="26"/>
        </w:rPr>
        <w:t>Following the prior studies (e.g.</w:t>
      </w:r>
      <w:r w:rsidR="00C80A1B">
        <w:rPr>
          <w:rFonts w:asciiTheme="majorBidi" w:hAnsiTheme="majorBidi" w:cstheme="majorBidi"/>
          <w:sz w:val="26"/>
          <w:szCs w:val="26"/>
        </w:rPr>
        <w:t>,</w:t>
      </w:r>
      <w:r w:rsidRPr="007F15D8">
        <w:rPr>
          <w:rFonts w:asciiTheme="majorBidi" w:hAnsiTheme="majorBidi" w:cstheme="majorBidi"/>
          <w:sz w:val="26"/>
          <w:szCs w:val="26"/>
        </w:rPr>
        <w:t xml:space="preserve"> </w:t>
      </w:r>
      <w:proofErr w:type="spellStart"/>
      <w:r w:rsidR="007B380A" w:rsidRPr="007F15D8">
        <w:rPr>
          <w:rFonts w:asciiTheme="majorBidi" w:hAnsiTheme="majorBidi" w:cstheme="majorBidi"/>
          <w:sz w:val="26"/>
          <w:szCs w:val="26"/>
        </w:rPr>
        <w:t>Adetunji</w:t>
      </w:r>
      <w:proofErr w:type="spellEnd"/>
      <w:r w:rsidR="007B380A" w:rsidRPr="007F15D8">
        <w:rPr>
          <w:rFonts w:asciiTheme="majorBidi" w:hAnsiTheme="majorBidi" w:cstheme="majorBidi"/>
          <w:sz w:val="26"/>
          <w:szCs w:val="26"/>
        </w:rPr>
        <w:t>, 2016</w:t>
      </w:r>
      <w:r w:rsidR="007B380A">
        <w:rPr>
          <w:rFonts w:asciiTheme="majorBidi" w:hAnsiTheme="majorBidi" w:cstheme="majorBidi"/>
          <w:sz w:val="26"/>
          <w:szCs w:val="26"/>
        </w:rPr>
        <w:t xml:space="preserve">; </w:t>
      </w:r>
      <w:proofErr w:type="spellStart"/>
      <w:r w:rsidRPr="007F15D8">
        <w:rPr>
          <w:rFonts w:asciiTheme="majorBidi" w:hAnsiTheme="majorBidi" w:cstheme="majorBidi"/>
          <w:sz w:val="26"/>
          <w:szCs w:val="26"/>
        </w:rPr>
        <w:t>Perotti</w:t>
      </w:r>
      <w:proofErr w:type="spellEnd"/>
      <w:r w:rsidRPr="007F15D8">
        <w:rPr>
          <w:rFonts w:asciiTheme="majorBidi" w:hAnsiTheme="majorBidi" w:cstheme="majorBidi"/>
          <w:sz w:val="26"/>
          <w:szCs w:val="26"/>
        </w:rPr>
        <w:t xml:space="preserve"> </w:t>
      </w:r>
      <w:r w:rsidR="00523653">
        <w:rPr>
          <w:rFonts w:asciiTheme="majorBidi" w:hAnsiTheme="majorBidi" w:cstheme="majorBidi"/>
          <w:sz w:val="26"/>
          <w:szCs w:val="26"/>
        </w:rPr>
        <w:t>&amp;</w:t>
      </w:r>
      <w:r w:rsidR="007875AD">
        <w:rPr>
          <w:rFonts w:asciiTheme="majorBidi" w:hAnsiTheme="majorBidi" w:cstheme="majorBidi"/>
          <w:sz w:val="26"/>
          <w:szCs w:val="26"/>
        </w:rPr>
        <w:t xml:space="preserve"> </w:t>
      </w:r>
      <w:proofErr w:type="spellStart"/>
      <w:r w:rsidRPr="007F15D8">
        <w:rPr>
          <w:rFonts w:asciiTheme="majorBidi" w:hAnsiTheme="majorBidi" w:cstheme="majorBidi"/>
          <w:sz w:val="26"/>
          <w:szCs w:val="26"/>
        </w:rPr>
        <w:t>Wage</w:t>
      </w:r>
      <w:r w:rsidR="00A962D9">
        <w:rPr>
          <w:rFonts w:asciiTheme="majorBidi" w:hAnsiTheme="majorBidi" w:cstheme="majorBidi"/>
          <w:sz w:val="26"/>
          <w:szCs w:val="26"/>
        </w:rPr>
        <w:t>n</w:t>
      </w:r>
      <w:r w:rsidRPr="007F15D8">
        <w:rPr>
          <w:rFonts w:asciiTheme="majorBidi" w:hAnsiTheme="majorBidi" w:cstheme="majorBidi"/>
          <w:sz w:val="26"/>
          <w:szCs w:val="26"/>
        </w:rPr>
        <w:t>h</w:t>
      </w:r>
      <w:r w:rsidR="001C79FD">
        <w:rPr>
          <w:rFonts w:asciiTheme="majorBidi" w:hAnsiTheme="majorBidi" w:cstheme="majorBidi"/>
          <w:sz w:val="26"/>
          <w:szCs w:val="26"/>
        </w:rPr>
        <w:t>o</w:t>
      </w:r>
      <w:r w:rsidRPr="007F15D8">
        <w:rPr>
          <w:rFonts w:asciiTheme="majorBidi" w:hAnsiTheme="majorBidi" w:cstheme="majorBidi"/>
          <w:sz w:val="26"/>
          <w:szCs w:val="26"/>
        </w:rPr>
        <w:t>fer</w:t>
      </w:r>
      <w:proofErr w:type="spellEnd"/>
      <w:r w:rsidRPr="007F15D8">
        <w:rPr>
          <w:rFonts w:asciiTheme="majorBidi" w:hAnsiTheme="majorBidi" w:cstheme="majorBidi"/>
          <w:sz w:val="26"/>
          <w:szCs w:val="26"/>
        </w:rPr>
        <w:t xml:space="preserve">, 2014; </w:t>
      </w:r>
      <w:hyperlink r:id="rId9" w:tooltip="Aiman A. Ragab" w:history="1">
        <w:r w:rsidRPr="007F15D8">
          <w:rPr>
            <w:rFonts w:asciiTheme="majorBidi" w:hAnsiTheme="majorBidi" w:cstheme="majorBidi"/>
            <w:sz w:val="26"/>
            <w:szCs w:val="26"/>
          </w:rPr>
          <w:t>Ragab</w:t>
        </w:r>
      </w:hyperlink>
      <w:r w:rsidR="008D2E93" w:rsidRPr="007F15D8">
        <w:rPr>
          <w:rFonts w:asciiTheme="majorBidi" w:hAnsiTheme="majorBidi" w:cstheme="majorBidi"/>
          <w:sz w:val="26"/>
          <w:szCs w:val="26"/>
        </w:rPr>
        <w:t xml:space="preserve"> </w:t>
      </w:r>
      <w:r w:rsidR="007875AD">
        <w:rPr>
          <w:rFonts w:asciiTheme="majorBidi" w:hAnsiTheme="majorBidi" w:cstheme="majorBidi"/>
          <w:sz w:val="26"/>
          <w:szCs w:val="26"/>
        </w:rPr>
        <w:t xml:space="preserve">&amp; </w:t>
      </w:r>
      <w:hyperlink r:id="rId10" w:tooltip="Mohammad M. Omran" w:history="1">
        <w:r w:rsidRPr="007F15D8">
          <w:rPr>
            <w:rFonts w:asciiTheme="majorBidi" w:hAnsiTheme="majorBidi" w:cstheme="majorBidi"/>
            <w:sz w:val="26"/>
            <w:szCs w:val="26"/>
          </w:rPr>
          <w:t>Omran,</w:t>
        </w:r>
        <w:r w:rsidRPr="007F15D8">
          <w:t xml:space="preserve"> </w:t>
        </w:r>
      </w:hyperlink>
      <w:r w:rsidR="007B380A">
        <w:rPr>
          <w:rFonts w:asciiTheme="majorBidi" w:hAnsiTheme="majorBidi" w:cstheme="majorBidi"/>
          <w:sz w:val="26"/>
          <w:szCs w:val="26"/>
        </w:rPr>
        <w:t>2006</w:t>
      </w:r>
      <w:r w:rsidRPr="007F15D8">
        <w:rPr>
          <w:rFonts w:asciiTheme="majorBidi" w:hAnsiTheme="majorBidi" w:cstheme="majorBidi"/>
          <w:sz w:val="26"/>
          <w:szCs w:val="26"/>
        </w:rPr>
        <w:t>), t</w:t>
      </w:r>
      <w:r w:rsidR="005476C0" w:rsidRPr="007F15D8">
        <w:rPr>
          <w:rFonts w:asciiTheme="majorBidi" w:hAnsiTheme="majorBidi" w:cstheme="majorBidi"/>
          <w:sz w:val="26"/>
          <w:szCs w:val="26"/>
        </w:rPr>
        <w:t xml:space="preserve">his study uses two proxies </w:t>
      </w:r>
      <w:r w:rsidRPr="007F15D8">
        <w:rPr>
          <w:rFonts w:asciiTheme="majorBidi" w:hAnsiTheme="majorBidi" w:cstheme="majorBidi"/>
          <w:sz w:val="26"/>
          <w:szCs w:val="26"/>
        </w:rPr>
        <w:t>to measure</w:t>
      </w:r>
      <w:r w:rsidR="005476C0" w:rsidRPr="007F15D8">
        <w:rPr>
          <w:rFonts w:asciiTheme="majorBidi" w:hAnsiTheme="majorBidi" w:cstheme="majorBidi"/>
          <w:sz w:val="26"/>
          <w:szCs w:val="26"/>
        </w:rPr>
        <w:t xml:space="preserve"> VR</w:t>
      </w:r>
      <w:r w:rsidRPr="007F15D8">
        <w:rPr>
          <w:rFonts w:asciiTheme="majorBidi" w:hAnsiTheme="majorBidi" w:cstheme="majorBidi"/>
          <w:sz w:val="26"/>
          <w:szCs w:val="26"/>
        </w:rPr>
        <w:t xml:space="preserve"> as</w:t>
      </w:r>
      <w:r w:rsidR="005476C0" w:rsidRPr="007F15D8">
        <w:rPr>
          <w:rFonts w:asciiTheme="majorBidi" w:hAnsiTheme="majorBidi" w:cstheme="majorBidi"/>
          <w:sz w:val="26"/>
          <w:szCs w:val="26"/>
        </w:rPr>
        <w:t xml:space="preserve"> </w:t>
      </w:r>
      <w:r w:rsidRPr="007F15D8">
        <w:rPr>
          <w:rFonts w:asciiTheme="majorBidi" w:hAnsiTheme="majorBidi" w:cstheme="majorBidi"/>
          <w:sz w:val="26"/>
          <w:szCs w:val="26"/>
        </w:rPr>
        <w:t>t</w:t>
      </w:r>
      <w:r w:rsidR="000D0296" w:rsidRPr="007F15D8">
        <w:rPr>
          <w:rFonts w:asciiTheme="majorBidi" w:hAnsiTheme="majorBidi" w:cstheme="majorBidi"/>
          <w:sz w:val="26"/>
          <w:szCs w:val="26"/>
        </w:rPr>
        <w:t xml:space="preserve">he two proxies give </w:t>
      </w:r>
      <w:r w:rsidR="00C80A1B">
        <w:rPr>
          <w:rFonts w:asciiTheme="majorBidi" w:hAnsiTheme="majorBidi" w:cstheme="majorBidi"/>
          <w:sz w:val="26"/>
          <w:szCs w:val="26"/>
        </w:rPr>
        <w:t xml:space="preserve">a </w:t>
      </w:r>
      <w:r w:rsidR="000D0296" w:rsidRPr="007F15D8">
        <w:rPr>
          <w:rFonts w:asciiTheme="majorBidi" w:hAnsiTheme="majorBidi" w:cstheme="majorBidi"/>
          <w:sz w:val="26"/>
          <w:szCs w:val="26"/>
        </w:rPr>
        <w:t xml:space="preserve">comprehensive picture about the market reaction to accounting data.  </w:t>
      </w:r>
    </w:p>
    <w:p w14:paraId="3A03AFE5" w14:textId="77777777" w:rsidR="00A976CE" w:rsidRPr="007F15D8" w:rsidRDefault="00A976CE" w:rsidP="00A976CE">
      <w:pPr>
        <w:autoSpaceDE w:val="0"/>
        <w:autoSpaceDN w:val="0"/>
        <w:adjustRightInd w:val="0"/>
        <w:snapToGrid w:val="0"/>
        <w:spacing w:after="0" w:line="360" w:lineRule="exact"/>
        <w:ind w:firstLineChars="200" w:firstLine="520"/>
        <w:jc w:val="both"/>
        <w:rPr>
          <w:rFonts w:asciiTheme="majorBidi" w:hAnsiTheme="majorBidi" w:cstheme="majorBidi"/>
          <w:sz w:val="26"/>
          <w:szCs w:val="26"/>
        </w:rPr>
      </w:pPr>
    </w:p>
    <w:p w14:paraId="72307AEA" w14:textId="77777777" w:rsidR="00A976CE" w:rsidRPr="00A976CE" w:rsidRDefault="00E67A4B" w:rsidP="00B725B6">
      <w:pPr>
        <w:snapToGrid w:val="0"/>
        <w:spacing w:after="0" w:line="360" w:lineRule="exact"/>
        <w:jc w:val="both"/>
        <w:rPr>
          <w:rFonts w:asciiTheme="majorBidi" w:hAnsiTheme="majorBidi"/>
          <w:i/>
          <w:sz w:val="26"/>
        </w:rPr>
      </w:pPr>
      <w:r w:rsidRPr="00A976CE">
        <w:rPr>
          <w:rFonts w:asciiTheme="majorBidi" w:hAnsiTheme="majorBidi"/>
          <w:i/>
          <w:sz w:val="26"/>
        </w:rPr>
        <w:lastRenderedPageBreak/>
        <w:t xml:space="preserve">Model 4: </w:t>
      </w:r>
      <w:r w:rsidR="003A122F" w:rsidRPr="00A976CE">
        <w:rPr>
          <w:rFonts w:asciiTheme="majorBidi" w:hAnsiTheme="majorBidi"/>
          <w:i/>
          <w:sz w:val="26"/>
        </w:rPr>
        <w:t>ESI:</w:t>
      </w:r>
      <w:r w:rsidRPr="00A976CE">
        <w:rPr>
          <w:rFonts w:asciiTheme="majorBidi" w:hAnsiTheme="majorBidi"/>
          <w:i/>
          <w:sz w:val="26"/>
        </w:rPr>
        <w:t xml:space="preserve"> </w:t>
      </w:r>
    </w:p>
    <w:p w14:paraId="027BC7DB" w14:textId="519C1274" w:rsidR="00E67A4B" w:rsidRPr="007F15D8" w:rsidRDefault="00E67A4B" w:rsidP="00B730DC">
      <w:pPr>
        <w:snapToGrid w:val="0"/>
        <w:spacing w:after="0" w:line="360" w:lineRule="exact"/>
        <w:ind w:firstLineChars="200" w:firstLine="520"/>
        <w:jc w:val="both"/>
        <w:rPr>
          <w:rFonts w:asciiTheme="majorBidi" w:hAnsiTheme="majorBidi"/>
          <w:sz w:val="26"/>
        </w:rPr>
      </w:pPr>
      <w:r w:rsidRPr="007F15D8">
        <w:rPr>
          <w:rFonts w:asciiTheme="majorBidi" w:hAnsiTheme="majorBidi"/>
          <w:sz w:val="26"/>
        </w:rPr>
        <w:t xml:space="preserve">Following Barton </w:t>
      </w:r>
      <w:r w:rsidR="00523653">
        <w:rPr>
          <w:rFonts w:asciiTheme="majorBidi" w:hAnsiTheme="majorBidi"/>
          <w:sz w:val="26"/>
        </w:rPr>
        <w:t>and</w:t>
      </w:r>
      <w:r w:rsidRPr="007F15D8">
        <w:rPr>
          <w:rFonts w:asciiTheme="majorBidi" w:hAnsiTheme="majorBidi"/>
          <w:sz w:val="26"/>
        </w:rPr>
        <w:t xml:space="preserve"> </w:t>
      </w:r>
      <w:proofErr w:type="spellStart"/>
      <w:r w:rsidRPr="007F15D8">
        <w:rPr>
          <w:rFonts w:asciiTheme="majorBidi" w:hAnsiTheme="majorBidi"/>
          <w:sz w:val="26"/>
        </w:rPr>
        <w:t>Simko</w:t>
      </w:r>
      <w:proofErr w:type="spellEnd"/>
      <w:r w:rsidRPr="007F15D8">
        <w:rPr>
          <w:rFonts w:asciiTheme="majorBidi" w:hAnsiTheme="majorBidi"/>
          <w:sz w:val="26"/>
        </w:rPr>
        <w:t xml:space="preserve"> </w:t>
      </w:r>
      <w:r w:rsidR="003A122F" w:rsidRPr="007F15D8">
        <w:rPr>
          <w:rFonts w:asciiTheme="majorBidi" w:hAnsiTheme="majorBidi"/>
          <w:sz w:val="26"/>
        </w:rPr>
        <w:t>(</w:t>
      </w:r>
      <w:r w:rsidRPr="007F15D8">
        <w:rPr>
          <w:rFonts w:asciiTheme="majorBidi" w:hAnsiTheme="majorBidi"/>
          <w:sz w:val="26"/>
        </w:rPr>
        <w:t>2002)</w:t>
      </w:r>
      <w:r w:rsidR="003A122F" w:rsidRPr="007F15D8">
        <w:rPr>
          <w:rFonts w:asciiTheme="majorBidi" w:hAnsiTheme="majorBidi"/>
          <w:sz w:val="26"/>
        </w:rPr>
        <w:t>,</w:t>
      </w:r>
      <w:r w:rsidRPr="007F15D8">
        <w:rPr>
          <w:rFonts w:asciiTheme="majorBidi" w:hAnsiTheme="majorBidi"/>
          <w:sz w:val="26"/>
        </w:rPr>
        <w:t xml:space="preserve"> the equation of earnings surprise </w:t>
      </w:r>
      <w:r w:rsidR="00446058" w:rsidRPr="007F15D8">
        <w:rPr>
          <w:rFonts w:asciiTheme="majorBidi" w:hAnsiTheme="majorBidi"/>
          <w:sz w:val="26"/>
        </w:rPr>
        <w:t>is</w:t>
      </w:r>
      <w:r w:rsidR="00446058">
        <w:rPr>
          <w:rFonts w:ascii="新細明體" w:eastAsia="新細明體" w:hAnsi="新細明體"/>
          <w:sz w:val="26"/>
          <w:lang w:eastAsia="zh-TW"/>
        </w:rPr>
        <w:t xml:space="preserve"> </w:t>
      </w:r>
      <w:r w:rsidR="00446058" w:rsidRPr="007F15D8">
        <w:rPr>
          <w:rFonts w:asciiTheme="majorBidi" w:hAnsiTheme="majorBidi"/>
          <w:sz w:val="26"/>
        </w:rPr>
        <w:t>Earnings</w:t>
      </w:r>
      <w:r w:rsidRPr="007F15D8">
        <w:rPr>
          <w:rFonts w:asciiTheme="majorBidi" w:hAnsiTheme="majorBidi"/>
          <w:sz w:val="26"/>
        </w:rPr>
        <w:t xml:space="preserve"> Surprise Indicator= net operating assets at beginning / total sales</w:t>
      </w:r>
    </w:p>
    <w:p w14:paraId="61AEDF2B" w14:textId="6D67EB0C" w:rsidR="00E67A4B" w:rsidRPr="00A976CE" w:rsidRDefault="00E67A4B" w:rsidP="00B92006">
      <w:pPr>
        <w:snapToGrid w:val="0"/>
        <w:spacing w:beforeLines="50" w:before="120" w:after="0" w:line="360" w:lineRule="auto"/>
        <w:ind w:leftChars="400" w:left="880"/>
        <w:jc w:val="both"/>
        <w:rPr>
          <w:rFonts w:ascii="Cambria Math" w:hAnsi="Cambria Math"/>
          <w:i/>
          <w:sz w:val="26"/>
        </w:rPr>
      </w:pPr>
      <m:oMathPara>
        <m:oMath>
          <m:r>
            <w:rPr>
              <w:rFonts w:ascii="Cambria Math" w:hAnsi="Cambria Math" w:hint="eastAsia"/>
              <w:sz w:val="26"/>
            </w:rPr>
            <m:t>EQ(ESI)it=</m:t>
          </m:r>
          <m:f>
            <m:fPr>
              <m:ctrlPr>
                <w:rPr>
                  <w:rFonts w:ascii="Cambria Math" w:hAnsi="Cambria Math"/>
                  <w:i/>
                  <w:sz w:val="26"/>
                </w:rPr>
              </m:ctrlPr>
            </m:fPr>
            <m:num>
              <m:r>
                <w:rPr>
                  <w:rFonts w:ascii="Cambria Math" w:hAnsi="Cambria Math"/>
                  <w:sz w:val="26"/>
                </w:rPr>
                <m:t>SEit-CMSit+TDit</m:t>
              </m:r>
            </m:num>
            <m:den>
              <m:r>
                <w:rPr>
                  <w:rFonts w:ascii="Cambria Math" w:hAnsi="Cambria Math" w:hint="eastAsia"/>
                  <w:sz w:val="26"/>
                </w:rPr>
                <m:t>TSit</m:t>
              </m:r>
            </m:den>
          </m:f>
          <m:r>
            <w:rPr>
              <w:rFonts w:ascii="Cambria Math" w:hAnsi="Cambria Math" w:hint="eastAsia"/>
              <w:sz w:val="26"/>
            </w:rPr>
            <m:t xml:space="preserve">                  </m:t>
          </m:r>
          <m:r>
            <w:rPr>
              <w:rFonts w:ascii="Cambria Math" w:hAnsi="Cambria Math"/>
              <w:sz w:val="26"/>
            </w:rPr>
            <m:t xml:space="preserve">      </m:t>
          </m:r>
          <m:r>
            <w:rPr>
              <w:rFonts w:ascii="Cambria Math" w:hAnsi="Cambria Math" w:hint="eastAsia"/>
              <w:sz w:val="26"/>
            </w:rPr>
            <m:t xml:space="preserve">                                         (4)</m:t>
          </m:r>
        </m:oMath>
      </m:oMathPara>
    </w:p>
    <w:p w14:paraId="0CB460D3" w14:textId="1A2FD5E4" w:rsidR="00E67A4B" w:rsidRPr="007F15D8" w:rsidRDefault="00E67A4B" w:rsidP="00B725B6">
      <w:pPr>
        <w:snapToGrid w:val="0"/>
        <w:spacing w:after="0" w:line="360" w:lineRule="exact"/>
        <w:jc w:val="both"/>
        <w:rPr>
          <w:rFonts w:asciiTheme="majorBidi" w:hAnsiTheme="majorBidi"/>
          <w:sz w:val="26"/>
        </w:rPr>
      </w:pPr>
      <w:r w:rsidRPr="007F15D8">
        <w:rPr>
          <w:rFonts w:asciiTheme="majorBidi" w:hAnsiTheme="majorBidi"/>
          <w:sz w:val="26"/>
        </w:rPr>
        <w:t xml:space="preserve">Where ESI is </w:t>
      </w:r>
      <w:r w:rsidR="00C94562" w:rsidRPr="007F15D8">
        <w:rPr>
          <w:rFonts w:asciiTheme="majorBidi" w:hAnsiTheme="majorBidi"/>
          <w:sz w:val="26"/>
        </w:rPr>
        <w:t>earnings surprise indicator</w:t>
      </w:r>
      <w:r w:rsidRPr="007F15D8">
        <w:rPr>
          <w:rFonts w:asciiTheme="majorBidi" w:hAnsiTheme="majorBidi"/>
          <w:sz w:val="26"/>
        </w:rPr>
        <w:t xml:space="preserve">, SE is </w:t>
      </w:r>
      <w:r w:rsidR="00C94562" w:rsidRPr="007F15D8">
        <w:rPr>
          <w:rFonts w:asciiTheme="majorBidi" w:hAnsiTheme="majorBidi"/>
          <w:sz w:val="26"/>
        </w:rPr>
        <w:t>shareholder equity</w:t>
      </w:r>
      <w:r w:rsidRPr="007F15D8">
        <w:rPr>
          <w:rFonts w:asciiTheme="majorBidi" w:hAnsiTheme="majorBidi"/>
          <w:sz w:val="26"/>
        </w:rPr>
        <w:t xml:space="preserve">, CMS is </w:t>
      </w:r>
      <w:r w:rsidR="00C94562" w:rsidRPr="007F15D8">
        <w:rPr>
          <w:rFonts w:asciiTheme="majorBidi" w:hAnsiTheme="majorBidi"/>
          <w:sz w:val="26"/>
        </w:rPr>
        <w:t xml:space="preserve">cash </w:t>
      </w:r>
      <w:r w:rsidRPr="007F15D8">
        <w:rPr>
          <w:rFonts w:asciiTheme="majorBidi" w:hAnsiTheme="majorBidi"/>
          <w:sz w:val="26"/>
        </w:rPr>
        <w:t xml:space="preserve">and </w:t>
      </w:r>
      <w:r w:rsidR="00C94562" w:rsidRPr="007F15D8">
        <w:rPr>
          <w:rFonts w:asciiTheme="majorBidi" w:hAnsiTheme="majorBidi"/>
          <w:sz w:val="26"/>
        </w:rPr>
        <w:t>market securities</w:t>
      </w:r>
      <w:r w:rsidRPr="007F15D8">
        <w:rPr>
          <w:rFonts w:asciiTheme="majorBidi" w:hAnsiTheme="majorBidi"/>
          <w:sz w:val="26"/>
        </w:rPr>
        <w:t xml:space="preserve">, TD is </w:t>
      </w:r>
      <w:r w:rsidR="00C94562" w:rsidRPr="007F15D8">
        <w:rPr>
          <w:rFonts w:asciiTheme="majorBidi" w:hAnsiTheme="majorBidi"/>
          <w:sz w:val="26"/>
        </w:rPr>
        <w:t>total debts</w:t>
      </w:r>
      <w:r w:rsidR="00C80A1B">
        <w:rPr>
          <w:rFonts w:asciiTheme="majorBidi" w:hAnsiTheme="majorBidi"/>
          <w:sz w:val="26"/>
        </w:rPr>
        <w:t>,</w:t>
      </w:r>
      <w:r w:rsidR="00C94562" w:rsidRPr="007F15D8">
        <w:rPr>
          <w:rFonts w:asciiTheme="majorBidi" w:hAnsiTheme="majorBidi"/>
          <w:sz w:val="26"/>
        </w:rPr>
        <w:t xml:space="preserve"> </w:t>
      </w:r>
      <w:r w:rsidRPr="007F15D8">
        <w:rPr>
          <w:rFonts w:asciiTheme="majorBidi" w:hAnsiTheme="majorBidi"/>
          <w:sz w:val="26"/>
        </w:rPr>
        <w:t xml:space="preserve">and TS is total sales. The </w:t>
      </w:r>
      <w:r w:rsidR="003A122F" w:rsidRPr="007F15D8">
        <w:rPr>
          <w:rFonts w:asciiTheme="majorBidi" w:hAnsiTheme="majorBidi"/>
          <w:sz w:val="26"/>
        </w:rPr>
        <w:t>s</w:t>
      </w:r>
      <w:r w:rsidRPr="007F15D8">
        <w:rPr>
          <w:rFonts w:asciiTheme="majorBidi" w:hAnsiTheme="majorBidi"/>
          <w:sz w:val="26"/>
        </w:rPr>
        <w:t>maller the earnings surprise</w:t>
      </w:r>
      <w:r w:rsidR="003A122F" w:rsidRPr="007F15D8">
        <w:rPr>
          <w:rFonts w:asciiTheme="majorBidi" w:hAnsiTheme="majorBidi"/>
          <w:sz w:val="26"/>
        </w:rPr>
        <w:t>,</w:t>
      </w:r>
      <w:r w:rsidRPr="007F15D8">
        <w:rPr>
          <w:rFonts w:asciiTheme="majorBidi" w:hAnsiTheme="majorBidi"/>
          <w:sz w:val="26"/>
        </w:rPr>
        <w:t xml:space="preserve"> </w:t>
      </w:r>
      <w:r w:rsidR="003A122F" w:rsidRPr="007F15D8">
        <w:rPr>
          <w:rFonts w:asciiTheme="majorBidi" w:hAnsiTheme="majorBidi"/>
          <w:sz w:val="26"/>
        </w:rPr>
        <w:t xml:space="preserve">the </w:t>
      </w:r>
      <w:r w:rsidRPr="007F15D8">
        <w:rPr>
          <w:rFonts w:asciiTheme="majorBidi" w:hAnsiTheme="majorBidi"/>
          <w:sz w:val="26"/>
        </w:rPr>
        <w:t xml:space="preserve">higher </w:t>
      </w:r>
      <w:r w:rsidR="003A122F" w:rsidRPr="007F15D8">
        <w:rPr>
          <w:rFonts w:asciiTheme="majorBidi" w:hAnsiTheme="majorBidi"/>
          <w:sz w:val="26"/>
        </w:rPr>
        <w:t>the EQ</w:t>
      </w:r>
      <w:r w:rsidRPr="007F15D8">
        <w:rPr>
          <w:rFonts w:asciiTheme="majorBidi" w:hAnsiTheme="majorBidi"/>
          <w:sz w:val="26"/>
        </w:rPr>
        <w:t xml:space="preserve">; </w:t>
      </w:r>
      <w:r w:rsidR="003A122F" w:rsidRPr="007F15D8">
        <w:rPr>
          <w:rFonts w:asciiTheme="majorBidi" w:hAnsiTheme="majorBidi"/>
          <w:sz w:val="26"/>
        </w:rPr>
        <w:t xml:space="preserve">the </w:t>
      </w:r>
      <w:r w:rsidRPr="007F15D8">
        <w:rPr>
          <w:rFonts w:asciiTheme="majorBidi" w:hAnsiTheme="majorBidi"/>
          <w:sz w:val="26"/>
        </w:rPr>
        <w:t>greater the earnings surprise</w:t>
      </w:r>
      <w:r w:rsidR="003A122F" w:rsidRPr="007F15D8">
        <w:rPr>
          <w:rFonts w:asciiTheme="majorBidi" w:hAnsiTheme="majorBidi"/>
          <w:sz w:val="26"/>
        </w:rPr>
        <w:t>,</w:t>
      </w:r>
      <w:r w:rsidRPr="007F15D8">
        <w:rPr>
          <w:rFonts w:asciiTheme="majorBidi" w:hAnsiTheme="majorBidi"/>
          <w:sz w:val="26"/>
        </w:rPr>
        <w:t xml:space="preserve"> </w:t>
      </w:r>
      <w:r w:rsidR="003A122F" w:rsidRPr="007F15D8">
        <w:rPr>
          <w:rFonts w:asciiTheme="majorBidi" w:hAnsiTheme="majorBidi"/>
          <w:sz w:val="26"/>
        </w:rPr>
        <w:t xml:space="preserve">the </w:t>
      </w:r>
      <w:r w:rsidRPr="007F15D8">
        <w:rPr>
          <w:rFonts w:asciiTheme="majorBidi" w:hAnsiTheme="majorBidi"/>
          <w:sz w:val="26"/>
        </w:rPr>
        <w:t>poor</w:t>
      </w:r>
      <w:r w:rsidR="003A122F" w:rsidRPr="007F15D8">
        <w:rPr>
          <w:rFonts w:asciiTheme="majorBidi" w:hAnsiTheme="majorBidi"/>
          <w:sz w:val="26"/>
        </w:rPr>
        <w:t>er</w:t>
      </w:r>
      <w:r w:rsidRPr="007F15D8">
        <w:rPr>
          <w:rFonts w:asciiTheme="majorBidi" w:hAnsiTheme="majorBidi"/>
          <w:sz w:val="26"/>
        </w:rPr>
        <w:t xml:space="preserve"> </w:t>
      </w:r>
      <w:r w:rsidR="003A122F" w:rsidRPr="007F15D8">
        <w:rPr>
          <w:rFonts w:asciiTheme="majorBidi" w:hAnsiTheme="majorBidi"/>
          <w:sz w:val="26"/>
        </w:rPr>
        <w:t>the EQ.</w:t>
      </w:r>
    </w:p>
    <w:p w14:paraId="7EF32DDB" w14:textId="77777777" w:rsidR="001A193B" w:rsidRPr="007F15D8" w:rsidRDefault="001A193B" w:rsidP="00B725B6">
      <w:pPr>
        <w:pStyle w:val="Default"/>
        <w:snapToGrid w:val="0"/>
        <w:spacing w:line="360" w:lineRule="exact"/>
        <w:rPr>
          <w:rFonts w:asciiTheme="majorBidi" w:hAnsiTheme="majorBidi"/>
          <w:color w:val="auto"/>
          <w:sz w:val="26"/>
          <w:lang w:val="en-GB"/>
        </w:rPr>
      </w:pPr>
    </w:p>
    <w:p w14:paraId="4CE2D273" w14:textId="77777777" w:rsidR="00A976CE" w:rsidRPr="00A976CE" w:rsidRDefault="00733708" w:rsidP="00A976CE">
      <w:pPr>
        <w:snapToGrid w:val="0"/>
        <w:spacing w:after="0" w:line="360" w:lineRule="exact"/>
        <w:jc w:val="both"/>
        <w:rPr>
          <w:rFonts w:asciiTheme="majorBidi" w:hAnsiTheme="majorBidi"/>
          <w:i/>
          <w:sz w:val="26"/>
        </w:rPr>
      </w:pPr>
      <w:r w:rsidRPr="00A976CE">
        <w:rPr>
          <w:rFonts w:asciiTheme="majorBidi" w:hAnsiTheme="majorBidi"/>
          <w:i/>
          <w:sz w:val="26"/>
        </w:rPr>
        <w:t xml:space="preserve">Model </w:t>
      </w:r>
      <w:r w:rsidR="00E67A4B" w:rsidRPr="00A976CE">
        <w:rPr>
          <w:rFonts w:asciiTheme="majorBidi" w:hAnsiTheme="majorBidi"/>
          <w:i/>
          <w:sz w:val="26"/>
        </w:rPr>
        <w:t>5</w:t>
      </w:r>
      <w:r w:rsidRPr="00A976CE">
        <w:rPr>
          <w:rFonts w:asciiTheme="majorBidi" w:hAnsiTheme="majorBidi"/>
          <w:i/>
          <w:sz w:val="26"/>
        </w:rPr>
        <w:t>: Accrual Quality</w:t>
      </w:r>
      <w:r w:rsidR="003A122F" w:rsidRPr="00A976CE">
        <w:rPr>
          <w:rFonts w:asciiTheme="majorBidi" w:hAnsiTheme="majorBidi"/>
          <w:i/>
          <w:sz w:val="26"/>
        </w:rPr>
        <w:t>:</w:t>
      </w:r>
      <w:r w:rsidRPr="00A976CE">
        <w:rPr>
          <w:rFonts w:asciiTheme="majorBidi" w:hAnsiTheme="majorBidi"/>
          <w:i/>
          <w:sz w:val="26"/>
        </w:rPr>
        <w:t xml:space="preserve"> </w:t>
      </w:r>
    </w:p>
    <w:p w14:paraId="52331508" w14:textId="2F59221D" w:rsidR="00733708" w:rsidRPr="007F15D8" w:rsidRDefault="00733708" w:rsidP="00B730DC">
      <w:pPr>
        <w:snapToGrid w:val="0"/>
        <w:spacing w:after="0" w:line="360" w:lineRule="exact"/>
        <w:ind w:firstLineChars="200" w:firstLine="520"/>
        <w:jc w:val="both"/>
        <w:rPr>
          <w:rFonts w:asciiTheme="majorBidi" w:hAnsiTheme="majorBidi"/>
          <w:sz w:val="26"/>
        </w:rPr>
      </w:pPr>
      <w:r w:rsidRPr="007F15D8">
        <w:rPr>
          <w:rFonts w:asciiTheme="majorBidi" w:hAnsiTheme="majorBidi"/>
          <w:sz w:val="26"/>
        </w:rPr>
        <w:t xml:space="preserve">Following </w:t>
      </w:r>
      <w:proofErr w:type="spellStart"/>
      <w:r w:rsidR="00D80F75" w:rsidRPr="007F15D8">
        <w:rPr>
          <w:rFonts w:asciiTheme="majorBidi" w:hAnsiTheme="majorBidi"/>
          <w:sz w:val="26"/>
        </w:rPr>
        <w:t>Dechow</w:t>
      </w:r>
      <w:proofErr w:type="spellEnd"/>
      <w:r w:rsidR="00D80F75" w:rsidRPr="007F15D8">
        <w:rPr>
          <w:rFonts w:asciiTheme="majorBidi" w:hAnsiTheme="majorBidi"/>
          <w:sz w:val="26"/>
        </w:rPr>
        <w:t xml:space="preserve"> </w:t>
      </w:r>
      <w:r w:rsidR="00523653">
        <w:rPr>
          <w:rFonts w:asciiTheme="majorBidi" w:hAnsiTheme="majorBidi"/>
          <w:sz w:val="26"/>
        </w:rPr>
        <w:t>and</w:t>
      </w:r>
      <w:r w:rsidR="00D80F75" w:rsidRPr="007F15D8">
        <w:rPr>
          <w:rFonts w:asciiTheme="majorBidi" w:hAnsiTheme="majorBidi"/>
          <w:sz w:val="26"/>
        </w:rPr>
        <w:t xml:space="preserve"> </w:t>
      </w:r>
      <w:proofErr w:type="spellStart"/>
      <w:r w:rsidR="00D80F75" w:rsidRPr="007F15D8">
        <w:rPr>
          <w:rFonts w:asciiTheme="majorBidi" w:hAnsiTheme="majorBidi"/>
          <w:sz w:val="26"/>
        </w:rPr>
        <w:t>Dichev</w:t>
      </w:r>
      <w:proofErr w:type="spellEnd"/>
      <w:r w:rsidR="00D80F75" w:rsidRPr="007F15D8">
        <w:rPr>
          <w:rFonts w:asciiTheme="majorBidi" w:hAnsiTheme="majorBidi"/>
          <w:sz w:val="26"/>
        </w:rPr>
        <w:t xml:space="preserve"> (2002)</w:t>
      </w:r>
      <w:r w:rsidR="00262C81" w:rsidRPr="007F15D8">
        <w:rPr>
          <w:rFonts w:asciiTheme="majorBidi" w:hAnsiTheme="majorBidi"/>
          <w:sz w:val="26"/>
        </w:rPr>
        <w:t xml:space="preserve">, </w:t>
      </w:r>
      <w:r w:rsidRPr="007F15D8">
        <w:rPr>
          <w:rFonts w:asciiTheme="majorBidi" w:hAnsiTheme="majorBidi"/>
          <w:sz w:val="26"/>
        </w:rPr>
        <w:t xml:space="preserve">the equation </w:t>
      </w:r>
      <w:r w:rsidR="003A122F" w:rsidRPr="007F15D8">
        <w:rPr>
          <w:rFonts w:asciiTheme="majorBidi" w:hAnsiTheme="majorBidi"/>
          <w:sz w:val="26"/>
        </w:rPr>
        <w:t xml:space="preserve">below </w:t>
      </w:r>
      <w:r w:rsidRPr="007F15D8">
        <w:rPr>
          <w:rFonts w:asciiTheme="majorBidi" w:hAnsiTheme="majorBidi"/>
          <w:sz w:val="26"/>
        </w:rPr>
        <w:t xml:space="preserve">is used to measure the </w:t>
      </w:r>
      <w:r w:rsidR="007B3CC0" w:rsidRPr="007F15D8">
        <w:rPr>
          <w:rFonts w:asciiTheme="majorBidi" w:hAnsiTheme="majorBidi"/>
          <w:sz w:val="26"/>
        </w:rPr>
        <w:t>residual</w:t>
      </w:r>
      <w:r w:rsidR="007B105E" w:rsidRPr="007F15D8">
        <w:rPr>
          <w:rFonts w:asciiTheme="majorBidi" w:hAnsiTheme="majorBidi"/>
          <w:sz w:val="26"/>
        </w:rPr>
        <w:t xml:space="preserve"> of </w:t>
      </w:r>
      <w:r w:rsidRPr="007F15D8">
        <w:rPr>
          <w:rFonts w:asciiTheme="majorBidi" w:hAnsiTheme="majorBidi"/>
          <w:sz w:val="26"/>
        </w:rPr>
        <w:t>accrual quality:</w:t>
      </w:r>
    </w:p>
    <w:p w14:paraId="714F028E" w14:textId="4570A2B4" w:rsidR="00733708" w:rsidRPr="00A976CE" w:rsidRDefault="00A976CE" w:rsidP="00446058">
      <w:pPr>
        <w:adjustRightInd w:val="0"/>
        <w:snapToGrid w:val="0"/>
        <w:spacing w:after="0" w:line="460" w:lineRule="exact"/>
        <w:ind w:leftChars="200" w:left="440"/>
        <w:jc w:val="distribute"/>
        <w:rPr>
          <w:rFonts w:ascii="Cambria Math" w:hAnsi="Cambria Math"/>
          <w:i/>
          <w:sz w:val="26"/>
        </w:rPr>
      </w:pPr>
      <m:oMathPara>
        <m:oMath>
          <m:r>
            <w:rPr>
              <w:rFonts w:ascii="Cambria Math" w:hAnsi="Cambria Math" w:hint="eastAsia"/>
              <w:sz w:val="26"/>
            </w:rPr>
            <m:t>EQ</m:t>
          </m:r>
          <m:d>
            <m:dPr>
              <m:ctrlPr>
                <w:rPr>
                  <w:rFonts w:ascii="Cambria Math" w:hAnsi="Cambria Math"/>
                  <w:i/>
                  <w:sz w:val="26"/>
                </w:rPr>
              </m:ctrlPr>
            </m:dPr>
            <m:e>
              <m:r>
                <w:rPr>
                  <w:rFonts w:ascii="Cambria Math" w:hAnsi="Cambria Math" w:hint="eastAsia"/>
                  <w:sz w:val="26"/>
                </w:rPr>
                <m:t>VWCi,t</m:t>
              </m:r>
            </m:e>
          </m:d>
          <m:r>
            <w:rPr>
              <w:rFonts w:ascii="Cambria Math" w:hAnsi="Cambria Math" w:hint="eastAsia"/>
              <w:sz w:val="26"/>
            </w:rPr>
            <m:t>= α+β</m:t>
          </m:r>
          <m:r>
            <w:rPr>
              <w:rFonts w:ascii="Cambria Math" w:hAnsi="Cambria Math"/>
              <w:sz w:val="26"/>
            </w:rPr>
            <m:t>1CFOi,t-1 +</m:t>
          </m:r>
          <m:r>
            <w:rPr>
              <w:rFonts w:ascii="Cambria Math" w:hAnsi="Cambria Math" w:hint="eastAsia"/>
              <w:sz w:val="26"/>
            </w:rPr>
            <m:t xml:space="preserve">β2CFOi,t + 3CFOi,t+1 + εi,t </m:t>
          </m:r>
          <m:r>
            <w:rPr>
              <w:rFonts w:ascii="Cambria Math" w:hAnsi="Cambria Math"/>
              <w:sz w:val="26"/>
            </w:rPr>
            <m:t xml:space="preserve">    </m:t>
          </m:r>
          <m:r>
            <w:rPr>
              <w:rFonts w:ascii="Cambria Math" w:hAnsi="Cambria Math" w:hint="eastAsia"/>
              <w:sz w:val="26"/>
            </w:rPr>
            <m:t>(5)</m:t>
          </m:r>
        </m:oMath>
      </m:oMathPara>
    </w:p>
    <w:p w14:paraId="7F21F87E" w14:textId="237AE69B" w:rsidR="007B105E" w:rsidRDefault="00733708" w:rsidP="00B725B6">
      <w:pPr>
        <w:snapToGrid w:val="0"/>
        <w:spacing w:after="0" w:line="360" w:lineRule="exact"/>
        <w:jc w:val="both"/>
        <w:rPr>
          <w:rFonts w:asciiTheme="majorBidi" w:hAnsiTheme="majorBidi"/>
          <w:sz w:val="26"/>
        </w:rPr>
      </w:pPr>
      <w:r w:rsidRPr="007F15D8">
        <w:rPr>
          <w:rFonts w:asciiTheme="majorBidi" w:hAnsiTheme="majorBidi"/>
          <w:sz w:val="26"/>
        </w:rPr>
        <w:t xml:space="preserve">Where for firm </w:t>
      </w:r>
      <w:proofErr w:type="spellStart"/>
      <w:r w:rsidRPr="007F15D8">
        <w:rPr>
          <w:rFonts w:asciiTheme="majorBidi" w:hAnsiTheme="majorBidi"/>
          <w:sz w:val="26"/>
        </w:rPr>
        <w:t>i</w:t>
      </w:r>
      <w:proofErr w:type="spellEnd"/>
      <w:r w:rsidRPr="007F15D8">
        <w:rPr>
          <w:rFonts w:asciiTheme="majorBidi" w:hAnsiTheme="majorBidi"/>
          <w:sz w:val="26"/>
        </w:rPr>
        <w:t xml:space="preserve"> and year t</w:t>
      </w:r>
      <w:r w:rsidRPr="007F15D8">
        <w:rPr>
          <w:rFonts w:asciiTheme="majorBidi" w:hAnsiTheme="majorBidi" w:cstheme="majorBidi"/>
          <w:sz w:val="26"/>
          <w:szCs w:val="26"/>
        </w:rPr>
        <w:t>,</w:t>
      </w:r>
      <w:r w:rsidR="007910BA" w:rsidRPr="007F15D8">
        <w:rPr>
          <w:rFonts w:asciiTheme="majorBidi" w:hAnsiTheme="majorBidi" w:cstheme="majorBidi"/>
          <w:sz w:val="26"/>
          <w:szCs w:val="26"/>
        </w:rPr>
        <w:t xml:space="preserve"> α is Constant</w:t>
      </w:r>
      <w:r w:rsidR="007910BA" w:rsidRPr="007F15D8">
        <w:rPr>
          <w:rFonts w:asciiTheme="majorBidi" w:hAnsiTheme="majorBidi" w:cstheme="majorBidi"/>
        </w:rPr>
        <w:t xml:space="preserve">, </w:t>
      </w:r>
      <w:r w:rsidR="007910BA" w:rsidRPr="007F15D8">
        <w:rPr>
          <w:rFonts w:asciiTheme="majorBidi" w:hAnsiTheme="majorBidi" w:cstheme="majorBidi"/>
          <w:sz w:val="26"/>
          <w:szCs w:val="26"/>
        </w:rPr>
        <w:t>β is Beta</w:t>
      </w:r>
      <w:r w:rsidR="007910BA" w:rsidRPr="007F15D8">
        <w:rPr>
          <w:rFonts w:asciiTheme="majorBidi" w:hAnsiTheme="majorBidi"/>
          <w:sz w:val="26"/>
        </w:rPr>
        <w:t>,</w:t>
      </w:r>
      <w:r w:rsidRPr="007F15D8">
        <w:rPr>
          <w:rFonts w:asciiTheme="majorBidi" w:hAnsiTheme="majorBidi"/>
          <w:sz w:val="26"/>
        </w:rPr>
        <w:t xml:space="preserve"> </w:t>
      </w:r>
      <w:r w:rsidR="007B3CC0" w:rsidRPr="007F15D8">
        <w:rPr>
          <w:rFonts w:asciiTheme="majorBidi" w:hAnsiTheme="majorBidi"/>
          <w:sz w:val="26"/>
        </w:rPr>
        <w:t>VWC is the variation of working capital</w:t>
      </w:r>
      <w:r w:rsidRPr="007F15D8">
        <w:rPr>
          <w:rFonts w:asciiTheme="majorBidi" w:hAnsiTheme="majorBidi"/>
          <w:sz w:val="26"/>
        </w:rPr>
        <w:t>, CFO stand</w:t>
      </w:r>
      <w:r w:rsidR="003A122F" w:rsidRPr="007F15D8">
        <w:rPr>
          <w:rFonts w:asciiTheme="majorBidi" w:hAnsiTheme="majorBidi"/>
          <w:sz w:val="26"/>
        </w:rPr>
        <w:t>s</w:t>
      </w:r>
      <w:r w:rsidRPr="007F15D8">
        <w:rPr>
          <w:rFonts w:asciiTheme="majorBidi" w:hAnsiTheme="majorBidi"/>
          <w:sz w:val="26"/>
        </w:rPr>
        <w:t xml:space="preserve"> for operating cash flow</w:t>
      </w:r>
      <w:r w:rsidR="007B3CC0" w:rsidRPr="007F15D8">
        <w:rPr>
          <w:rFonts w:asciiTheme="majorBidi" w:hAnsiTheme="majorBidi"/>
          <w:sz w:val="26"/>
        </w:rPr>
        <w:t xml:space="preserve"> in the current year, CFO-1 is operating cash flow in the previous year</w:t>
      </w:r>
      <w:r w:rsidR="00C80A1B">
        <w:rPr>
          <w:rFonts w:asciiTheme="majorBidi" w:hAnsiTheme="majorBidi"/>
          <w:sz w:val="26"/>
        </w:rPr>
        <w:t>,</w:t>
      </w:r>
      <w:r w:rsidR="007B3CC0" w:rsidRPr="007F15D8">
        <w:rPr>
          <w:rFonts w:asciiTheme="majorBidi" w:hAnsiTheme="majorBidi"/>
          <w:sz w:val="26"/>
        </w:rPr>
        <w:t xml:space="preserve"> </w:t>
      </w:r>
      <w:r w:rsidRPr="007F15D8">
        <w:rPr>
          <w:rFonts w:asciiTheme="majorBidi" w:hAnsiTheme="majorBidi"/>
          <w:sz w:val="26"/>
        </w:rPr>
        <w:t xml:space="preserve">and </w:t>
      </w:r>
      <w:r w:rsidR="007B3CC0" w:rsidRPr="007F15D8">
        <w:rPr>
          <w:rFonts w:asciiTheme="majorBidi" w:hAnsiTheme="majorBidi"/>
          <w:sz w:val="26"/>
        </w:rPr>
        <w:t xml:space="preserve">CFO+1 is operating </w:t>
      </w:r>
      <w:r w:rsidR="007546F7" w:rsidRPr="007F15D8">
        <w:rPr>
          <w:rFonts w:asciiTheme="majorBidi" w:hAnsiTheme="majorBidi"/>
          <w:sz w:val="26"/>
        </w:rPr>
        <w:t xml:space="preserve">cash flow in the future year. </w:t>
      </w:r>
      <w:r w:rsidR="00C80A1B">
        <w:rPr>
          <w:rFonts w:asciiTheme="majorBidi" w:hAnsiTheme="majorBidi"/>
          <w:sz w:val="26"/>
        </w:rPr>
        <w:t xml:space="preserve"> A low residual of regression</w:t>
      </w:r>
      <w:r w:rsidR="007B105E" w:rsidRPr="007F15D8">
        <w:rPr>
          <w:rFonts w:asciiTheme="majorBidi" w:hAnsiTheme="majorBidi"/>
          <w:sz w:val="26"/>
        </w:rPr>
        <w:t xml:space="preserve"> </w:t>
      </w:r>
      <w:r w:rsidR="005506C1" w:rsidRPr="007F15D8">
        <w:rPr>
          <w:rFonts w:asciiTheme="majorBidi" w:hAnsiTheme="majorBidi"/>
          <w:sz w:val="26"/>
        </w:rPr>
        <w:t xml:space="preserve">indicates </w:t>
      </w:r>
      <w:r w:rsidR="007B105E" w:rsidRPr="007F15D8">
        <w:rPr>
          <w:rFonts w:asciiTheme="majorBidi" w:hAnsiTheme="majorBidi"/>
          <w:sz w:val="26"/>
        </w:rPr>
        <w:t xml:space="preserve">high </w:t>
      </w:r>
      <w:r w:rsidR="005506C1" w:rsidRPr="007F15D8">
        <w:rPr>
          <w:rFonts w:asciiTheme="majorBidi" w:hAnsiTheme="majorBidi"/>
          <w:sz w:val="26"/>
        </w:rPr>
        <w:t>EQ, and</w:t>
      </w:r>
      <w:r w:rsidR="007B105E" w:rsidRPr="007F15D8">
        <w:rPr>
          <w:rFonts w:asciiTheme="majorBidi" w:hAnsiTheme="majorBidi"/>
          <w:sz w:val="26"/>
        </w:rPr>
        <w:t xml:space="preserve"> </w:t>
      </w:r>
      <w:r w:rsidR="009076E0">
        <w:rPr>
          <w:rFonts w:asciiTheme="majorBidi" w:hAnsiTheme="majorBidi"/>
          <w:sz w:val="26"/>
        </w:rPr>
        <w:t xml:space="preserve">a </w:t>
      </w:r>
      <w:r w:rsidR="007B105E" w:rsidRPr="007F15D8">
        <w:rPr>
          <w:rFonts w:asciiTheme="majorBidi" w:hAnsiTheme="majorBidi"/>
          <w:sz w:val="26"/>
        </w:rPr>
        <w:t xml:space="preserve">high </w:t>
      </w:r>
      <w:r w:rsidR="00262C81" w:rsidRPr="007F15D8">
        <w:rPr>
          <w:rFonts w:asciiTheme="majorBidi" w:hAnsiTheme="majorBidi"/>
          <w:sz w:val="26"/>
        </w:rPr>
        <w:t xml:space="preserve">residual of regression </w:t>
      </w:r>
      <w:r w:rsidR="005506C1" w:rsidRPr="007F15D8">
        <w:rPr>
          <w:rFonts w:asciiTheme="majorBidi" w:hAnsiTheme="majorBidi"/>
          <w:sz w:val="26"/>
        </w:rPr>
        <w:t xml:space="preserve">means </w:t>
      </w:r>
      <w:r w:rsidR="007B105E" w:rsidRPr="007F15D8">
        <w:rPr>
          <w:rFonts w:asciiTheme="majorBidi" w:hAnsiTheme="majorBidi"/>
          <w:sz w:val="26"/>
        </w:rPr>
        <w:t xml:space="preserve">poor </w:t>
      </w:r>
      <w:r w:rsidR="005506C1" w:rsidRPr="007F15D8">
        <w:rPr>
          <w:rFonts w:asciiTheme="majorBidi" w:hAnsiTheme="majorBidi"/>
          <w:sz w:val="26"/>
        </w:rPr>
        <w:t>EQ</w:t>
      </w:r>
      <w:r w:rsidR="007B105E" w:rsidRPr="007F15D8">
        <w:rPr>
          <w:rFonts w:asciiTheme="majorBidi" w:hAnsiTheme="majorBidi"/>
          <w:sz w:val="26"/>
        </w:rPr>
        <w:t xml:space="preserve">. </w:t>
      </w:r>
    </w:p>
    <w:p w14:paraId="75B4440D" w14:textId="77777777" w:rsidR="00A976CE" w:rsidRPr="007F15D8" w:rsidRDefault="00A976CE" w:rsidP="00B725B6">
      <w:pPr>
        <w:snapToGrid w:val="0"/>
        <w:spacing w:after="0" w:line="360" w:lineRule="exact"/>
        <w:jc w:val="both"/>
        <w:rPr>
          <w:rFonts w:asciiTheme="majorBidi" w:hAnsiTheme="majorBidi"/>
          <w:sz w:val="26"/>
        </w:rPr>
      </w:pPr>
    </w:p>
    <w:p w14:paraId="64448284" w14:textId="77777777" w:rsidR="00A976CE" w:rsidRPr="00A976CE" w:rsidRDefault="00E67A4B" w:rsidP="00A976CE">
      <w:pPr>
        <w:snapToGrid w:val="0"/>
        <w:spacing w:after="0" w:line="360" w:lineRule="exact"/>
        <w:jc w:val="both"/>
        <w:rPr>
          <w:rFonts w:asciiTheme="majorBidi" w:hAnsiTheme="majorBidi"/>
          <w:i/>
          <w:sz w:val="26"/>
        </w:rPr>
      </w:pPr>
      <w:r w:rsidRPr="00A976CE">
        <w:rPr>
          <w:rFonts w:asciiTheme="majorBidi" w:hAnsiTheme="majorBidi"/>
          <w:i/>
          <w:sz w:val="26"/>
        </w:rPr>
        <w:t>Model 6</w:t>
      </w:r>
      <w:r w:rsidR="00733708" w:rsidRPr="00A976CE">
        <w:rPr>
          <w:rFonts w:asciiTheme="majorBidi" w:hAnsiTheme="majorBidi"/>
          <w:i/>
          <w:sz w:val="26"/>
        </w:rPr>
        <w:t>: Earnings Smoothness</w:t>
      </w:r>
      <w:r w:rsidR="005506C1" w:rsidRPr="00A976CE">
        <w:rPr>
          <w:rFonts w:asciiTheme="majorBidi" w:hAnsiTheme="majorBidi"/>
          <w:i/>
          <w:sz w:val="26"/>
        </w:rPr>
        <w:t>:</w:t>
      </w:r>
      <w:r w:rsidR="00733708" w:rsidRPr="00A976CE">
        <w:rPr>
          <w:rFonts w:asciiTheme="majorBidi" w:hAnsiTheme="majorBidi"/>
          <w:i/>
          <w:sz w:val="26"/>
        </w:rPr>
        <w:t xml:space="preserve"> </w:t>
      </w:r>
    </w:p>
    <w:p w14:paraId="5547042A" w14:textId="4E27B480" w:rsidR="00733708" w:rsidRPr="007F15D8" w:rsidRDefault="00733708" w:rsidP="00A976CE">
      <w:pPr>
        <w:snapToGrid w:val="0"/>
        <w:spacing w:after="0" w:line="360" w:lineRule="exact"/>
        <w:ind w:firstLineChars="200" w:firstLine="520"/>
        <w:jc w:val="both"/>
        <w:rPr>
          <w:rFonts w:asciiTheme="majorBidi" w:hAnsiTheme="majorBidi"/>
          <w:sz w:val="26"/>
        </w:rPr>
      </w:pPr>
      <w:r w:rsidRPr="007F15D8">
        <w:rPr>
          <w:rFonts w:asciiTheme="majorBidi" w:hAnsiTheme="majorBidi"/>
          <w:sz w:val="26"/>
        </w:rPr>
        <w:t xml:space="preserve">Following </w:t>
      </w:r>
      <w:proofErr w:type="spellStart"/>
      <w:r w:rsidRPr="007F15D8">
        <w:rPr>
          <w:rFonts w:asciiTheme="majorBidi" w:hAnsiTheme="majorBidi"/>
          <w:sz w:val="26"/>
        </w:rPr>
        <w:t>Dechow</w:t>
      </w:r>
      <w:proofErr w:type="spellEnd"/>
      <w:r w:rsidRPr="007F15D8">
        <w:rPr>
          <w:rFonts w:asciiTheme="majorBidi" w:hAnsiTheme="majorBidi"/>
          <w:sz w:val="26"/>
        </w:rPr>
        <w:t xml:space="preserve"> et al.</w:t>
      </w:r>
      <w:r w:rsidR="00944F99" w:rsidRPr="007F15D8">
        <w:rPr>
          <w:rFonts w:asciiTheme="majorBidi" w:hAnsiTheme="majorBidi"/>
          <w:sz w:val="26"/>
        </w:rPr>
        <w:t xml:space="preserve"> (</w:t>
      </w:r>
      <w:r w:rsidRPr="007F15D8">
        <w:rPr>
          <w:rFonts w:asciiTheme="majorBidi" w:hAnsiTheme="majorBidi"/>
          <w:sz w:val="26"/>
        </w:rPr>
        <w:t xml:space="preserve">2010), the equation of earnings smoothness which is used to measure the </w:t>
      </w:r>
      <w:r w:rsidR="006B1C85" w:rsidRPr="007F15D8">
        <w:rPr>
          <w:rFonts w:asciiTheme="majorBidi" w:hAnsiTheme="majorBidi"/>
          <w:sz w:val="26"/>
        </w:rPr>
        <w:t>EQ</w:t>
      </w:r>
      <w:r w:rsidR="005506C1" w:rsidRPr="007F15D8">
        <w:rPr>
          <w:rFonts w:asciiTheme="majorBidi" w:hAnsiTheme="majorBidi"/>
          <w:sz w:val="26"/>
        </w:rPr>
        <w:t xml:space="preserve"> is </w:t>
      </w:r>
    </w:p>
    <w:p w14:paraId="2A0D852A" w14:textId="0C842AA7" w:rsidR="00733708" w:rsidRPr="00A976CE" w:rsidRDefault="000D50EE" w:rsidP="007829C5">
      <w:pPr>
        <w:snapToGrid w:val="0"/>
        <w:spacing w:beforeLines="50" w:before="120" w:after="0" w:line="360" w:lineRule="auto"/>
        <w:ind w:leftChars="200" w:left="440"/>
        <w:jc w:val="both"/>
        <w:rPr>
          <w:rFonts w:ascii="Cambria Math" w:hAnsi="Cambria Math"/>
          <w:i/>
          <w:sz w:val="26"/>
        </w:rPr>
      </w:pPr>
      <m:oMathPara>
        <m:oMath>
          <m:r>
            <w:rPr>
              <w:rFonts w:ascii="Cambria Math" w:hAnsi="Cambria Math" w:hint="eastAsia"/>
              <w:sz w:val="26"/>
            </w:rPr>
            <m:t>EQ(</m:t>
          </m:r>
          <m:r>
            <w:rPr>
              <w:rFonts w:ascii="Cambria Math" w:hAnsi="Cambria Math"/>
              <w:sz w:val="26"/>
            </w:rPr>
            <m:t>SMit</m:t>
          </m:r>
          <m:r>
            <w:rPr>
              <w:rFonts w:ascii="Cambria Math" w:hAnsi="Cambria Math" w:hint="eastAsia"/>
              <w:sz w:val="26"/>
            </w:rPr>
            <m:t>)=</m:t>
          </m:r>
          <m:f>
            <m:fPr>
              <m:ctrlPr>
                <w:rPr>
                  <w:rFonts w:ascii="Cambria Math" w:hAnsi="Cambria Math"/>
                  <w:i/>
                  <w:sz w:val="26"/>
                </w:rPr>
              </m:ctrlPr>
            </m:fPr>
            <m:num>
              <m:r>
                <w:rPr>
                  <w:rFonts w:ascii="Cambria Math" w:hAnsi="Cambria Math" w:hint="eastAsia"/>
                  <w:sz w:val="26"/>
                </w:rPr>
                <m:t>SD of Earningsit</m:t>
              </m:r>
            </m:num>
            <m:den>
              <m:r>
                <w:rPr>
                  <w:rFonts w:ascii="Cambria Math" w:hAnsi="Cambria Math"/>
                  <w:sz w:val="26"/>
                </w:rPr>
                <m:t>SD of cash flowit</m:t>
              </m:r>
            </m:den>
          </m:f>
          <m:r>
            <w:rPr>
              <w:rFonts w:ascii="Cambria Math" w:hAnsi="Cambria Math" w:hint="eastAsia"/>
              <w:sz w:val="26"/>
            </w:rPr>
            <m:t xml:space="preserve">        </m:t>
          </m:r>
          <m:r>
            <w:rPr>
              <w:rFonts w:ascii="Cambria Math" w:eastAsia="新細明體" w:hAnsi="Cambria Math" w:hint="eastAsia"/>
              <w:sz w:val="26"/>
              <w:lang w:eastAsia="zh-TW"/>
            </w:rPr>
            <m:t xml:space="preserve">          </m:t>
          </m:r>
          <m:r>
            <w:rPr>
              <w:rFonts w:ascii="Cambria Math" w:eastAsia="新細明體" w:hAnsi="Cambria Math"/>
              <w:sz w:val="26"/>
              <w:lang w:eastAsia="zh-TW"/>
            </w:rPr>
            <m:t xml:space="preserve">      </m:t>
          </m:r>
          <m:r>
            <w:rPr>
              <w:rFonts w:ascii="Cambria Math" w:eastAsia="新細明體" w:hAnsi="Cambria Math" w:hint="eastAsia"/>
              <w:sz w:val="26"/>
              <w:lang w:eastAsia="zh-TW"/>
            </w:rPr>
            <m:t xml:space="preserve">             </m:t>
          </m:r>
          <m:r>
            <w:rPr>
              <w:rFonts w:ascii="Cambria Math" w:eastAsia="新細明體" w:hAnsi="Cambria Math"/>
              <w:sz w:val="26"/>
              <w:lang w:eastAsia="zh-TW"/>
            </w:rPr>
            <m:t xml:space="preserve">           </m:t>
          </m:r>
          <m:r>
            <w:rPr>
              <w:rFonts w:ascii="Cambria Math" w:eastAsia="新細明體" w:hAnsi="Cambria Math" w:hint="eastAsia"/>
              <w:sz w:val="26"/>
              <w:lang w:eastAsia="zh-TW"/>
            </w:rPr>
            <m:t xml:space="preserve">        </m:t>
          </m:r>
          <m:r>
            <w:rPr>
              <w:rFonts w:ascii="Cambria Math" w:hAnsi="Cambria Math" w:hint="eastAsia"/>
              <w:sz w:val="26"/>
            </w:rPr>
            <m:t xml:space="preserve">                         (6)</m:t>
          </m:r>
        </m:oMath>
      </m:oMathPara>
    </w:p>
    <w:p w14:paraId="02D8B431" w14:textId="47DED6FD" w:rsidR="00733708" w:rsidRDefault="00717FBB" w:rsidP="00B725B6">
      <w:pPr>
        <w:snapToGrid w:val="0"/>
        <w:spacing w:after="0" w:line="360" w:lineRule="exact"/>
        <w:jc w:val="both"/>
        <w:rPr>
          <w:rFonts w:asciiTheme="majorBidi" w:hAnsiTheme="majorBidi"/>
          <w:sz w:val="26"/>
        </w:rPr>
      </w:pPr>
      <w:r w:rsidRPr="007F15D8">
        <w:rPr>
          <w:rFonts w:asciiTheme="majorBidi" w:hAnsiTheme="majorBidi"/>
          <w:sz w:val="26"/>
        </w:rPr>
        <w:t xml:space="preserve">Where </w:t>
      </w:r>
      <w:r w:rsidR="00733708" w:rsidRPr="007F15D8">
        <w:rPr>
          <w:rFonts w:asciiTheme="majorBidi" w:hAnsiTheme="majorBidi" w:cstheme="majorBidi"/>
          <w:sz w:val="26"/>
          <w:szCs w:val="26"/>
        </w:rPr>
        <w:t>SM</w:t>
      </w:r>
      <w:r w:rsidR="00733708" w:rsidRPr="007F15D8">
        <w:rPr>
          <w:rFonts w:asciiTheme="majorBidi" w:hAnsiTheme="majorBidi"/>
          <w:sz w:val="26"/>
        </w:rPr>
        <w:t xml:space="preserve"> is earnings smoot</w:t>
      </w:r>
      <w:r w:rsidR="007546F7" w:rsidRPr="007F15D8">
        <w:rPr>
          <w:rFonts w:asciiTheme="majorBidi" w:hAnsiTheme="majorBidi"/>
          <w:sz w:val="26"/>
        </w:rPr>
        <w:t>hness</w:t>
      </w:r>
      <w:r w:rsidR="005506C1" w:rsidRPr="007F15D8">
        <w:rPr>
          <w:rFonts w:asciiTheme="majorBidi" w:hAnsiTheme="majorBidi"/>
          <w:sz w:val="26"/>
        </w:rPr>
        <w:t>;</w:t>
      </w:r>
      <w:r w:rsidR="007546F7" w:rsidRPr="007F15D8">
        <w:rPr>
          <w:rFonts w:asciiTheme="majorBidi" w:hAnsiTheme="majorBidi"/>
          <w:sz w:val="26"/>
        </w:rPr>
        <w:t xml:space="preserve"> SD</w:t>
      </w:r>
      <w:r w:rsidR="005506C1" w:rsidRPr="007F15D8">
        <w:rPr>
          <w:rFonts w:asciiTheme="majorBidi" w:hAnsiTheme="majorBidi"/>
          <w:sz w:val="26"/>
        </w:rPr>
        <w:t>,</w:t>
      </w:r>
      <w:r w:rsidR="007546F7" w:rsidRPr="007F15D8">
        <w:rPr>
          <w:rFonts w:asciiTheme="majorBidi" w:hAnsiTheme="majorBidi"/>
          <w:sz w:val="26"/>
        </w:rPr>
        <w:t xml:space="preserve"> standard deviation. </w:t>
      </w:r>
      <w:r w:rsidR="005506C1" w:rsidRPr="007F15D8">
        <w:rPr>
          <w:rFonts w:asciiTheme="majorBidi" w:hAnsiTheme="majorBidi"/>
          <w:sz w:val="26"/>
        </w:rPr>
        <w:t>L</w:t>
      </w:r>
      <w:r w:rsidR="003D2EAE" w:rsidRPr="007F15D8">
        <w:rPr>
          <w:rFonts w:asciiTheme="majorBidi" w:hAnsiTheme="majorBidi"/>
          <w:sz w:val="26"/>
        </w:rPr>
        <w:t xml:space="preserve">ower smoothness indicates good </w:t>
      </w:r>
      <w:r w:rsidR="006B1C85" w:rsidRPr="007F15D8">
        <w:rPr>
          <w:rFonts w:asciiTheme="majorBidi" w:hAnsiTheme="majorBidi"/>
          <w:sz w:val="26"/>
        </w:rPr>
        <w:t>EQ</w:t>
      </w:r>
      <w:r w:rsidR="003D2EAE" w:rsidRPr="007F15D8">
        <w:rPr>
          <w:rFonts w:asciiTheme="majorBidi" w:hAnsiTheme="majorBidi"/>
          <w:sz w:val="26"/>
        </w:rPr>
        <w:t xml:space="preserve">; higher smoothness indicates poor </w:t>
      </w:r>
      <w:r w:rsidR="006B1C85" w:rsidRPr="007F15D8">
        <w:rPr>
          <w:rFonts w:asciiTheme="majorBidi" w:hAnsiTheme="majorBidi"/>
          <w:sz w:val="26"/>
        </w:rPr>
        <w:t>EQ</w:t>
      </w:r>
      <w:r w:rsidR="005506C1" w:rsidRPr="007F15D8">
        <w:rPr>
          <w:rFonts w:asciiTheme="majorBidi" w:hAnsiTheme="majorBidi"/>
          <w:sz w:val="26"/>
        </w:rPr>
        <w:t>.</w:t>
      </w:r>
      <w:r w:rsidR="003D2EAE" w:rsidRPr="007F15D8">
        <w:rPr>
          <w:rFonts w:asciiTheme="majorBidi" w:hAnsiTheme="majorBidi"/>
          <w:sz w:val="26"/>
        </w:rPr>
        <w:t xml:space="preserve"> </w:t>
      </w:r>
    </w:p>
    <w:p w14:paraId="4AEA911C" w14:textId="77777777" w:rsidR="00A976CE" w:rsidRPr="007F15D8" w:rsidRDefault="00A976CE" w:rsidP="00B725B6">
      <w:pPr>
        <w:snapToGrid w:val="0"/>
        <w:spacing w:after="0" w:line="360" w:lineRule="exact"/>
        <w:jc w:val="both"/>
        <w:rPr>
          <w:rFonts w:asciiTheme="majorBidi" w:hAnsiTheme="majorBidi"/>
          <w:sz w:val="26"/>
        </w:rPr>
      </w:pPr>
    </w:p>
    <w:p w14:paraId="27F5E3D9" w14:textId="77777777" w:rsidR="00A976CE" w:rsidRPr="00A976CE" w:rsidRDefault="00FA4DBD" w:rsidP="00B725B6">
      <w:pPr>
        <w:snapToGrid w:val="0"/>
        <w:spacing w:after="0" w:line="360" w:lineRule="exact"/>
        <w:jc w:val="both"/>
        <w:rPr>
          <w:rFonts w:asciiTheme="majorBidi" w:hAnsiTheme="majorBidi"/>
          <w:i/>
          <w:sz w:val="26"/>
        </w:rPr>
      </w:pPr>
      <w:r w:rsidRPr="00A976CE">
        <w:rPr>
          <w:rFonts w:asciiTheme="majorBidi" w:hAnsiTheme="majorBidi"/>
          <w:i/>
          <w:sz w:val="26"/>
        </w:rPr>
        <w:t>Model 5</w:t>
      </w:r>
      <w:r w:rsidR="00733708" w:rsidRPr="00A976CE">
        <w:rPr>
          <w:rFonts w:asciiTheme="majorBidi" w:hAnsiTheme="majorBidi"/>
          <w:i/>
          <w:sz w:val="26"/>
        </w:rPr>
        <w:t xml:space="preserve">: </w:t>
      </w:r>
      <w:r w:rsidR="005506C1" w:rsidRPr="00A976CE">
        <w:rPr>
          <w:rFonts w:asciiTheme="majorBidi" w:hAnsiTheme="majorBidi"/>
          <w:i/>
          <w:sz w:val="26"/>
        </w:rPr>
        <w:t xml:space="preserve">Loss </w:t>
      </w:r>
      <w:r w:rsidR="00733708" w:rsidRPr="00A976CE">
        <w:rPr>
          <w:rFonts w:asciiTheme="majorBidi" w:hAnsiTheme="majorBidi"/>
          <w:i/>
          <w:sz w:val="26"/>
        </w:rPr>
        <w:t xml:space="preserve">Recognition </w:t>
      </w:r>
      <w:r w:rsidR="005506C1" w:rsidRPr="00A976CE">
        <w:rPr>
          <w:rFonts w:asciiTheme="majorBidi" w:hAnsiTheme="majorBidi"/>
          <w:i/>
          <w:sz w:val="26"/>
        </w:rPr>
        <w:t>Timeliness</w:t>
      </w:r>
      <w:r w:rsidR="00960DD6" w:rsidRPr="00A976CE">
        <w:rPr>
          <w:rFonts w:asciiTheme="majorBidi" w:hAnsiTheme="majorBidi"/>
          <w:i/>
          <w:sz w:val="26"/>
        </w:rPr>
        <w:t>:</w:t>
      </w:r>
      <w:r w:rsidR="00733708" w:rsidRPr="00A976CE">
        <w:rPr>
          <w:rFonts w:asciiTheme="majorBidi" w:hAnsiTheme="majorBidi"/>
          <w:i/>
          <w:sz w:val="26"/>
        </w:rPr>
        <w:t xml:space="preserve"> </w:t>
      </w:r>
    </w:p>
    <w:p w14:paraId="4E855C18" w14:textId="02EBB7C6" w:rsidR="00733708" w:rsidRPr="007F15D8" w:rsidRDefault="00733708" w:rsidP="00A976CE">
      <w:pPr>
        <w:snapToGrid w:val="0"/>
        <w:spacing w:after="0" w:line="360" w:lineRule="exact"/>
        <w:ind w:firstLineChars="200" w:firstLine="520"/>
        <w:jc w:val="both"/>
        <w:rPr>
          <w:rFonts w:asciiTheme="majorBidi" w:hAnsiTheme="majorBidi"/>
          <w:sz w:val="26"/>
        </w:rPr>
      </w:pPr>
      <w:r w:rsidRPr="007F15D8">
        <w:rPr>
          <w:rFonts w:asciiTheme="majorBidi" w:hAnsiTheme="majorBidi"/>
          <w:sz w:val="26"/>
        </w:rPr>
        <w:t xml:space="preserve">Following </w:t>
      </w:r>
      <w:proofErr w:type="spellStart"/>
      <w:r w:rsidRPr="007F15D8">
        <w:rPr>
          <w:rFonts w:asciiTheme="majorBidi" w:hAnsiTheme="majorBidi"/>
          <w:sz w:val="26"/>
        </w:rPr>
        <w:t>Dechow</w:t>
      </w:r>
      <w:proofErr w:type="spellEnd"/>
      <w:r w:rsidRPr="007F15D8">
        <w:rPr>
          <w:rFonts w:asciiTheme="majorBidi" w:hAnsiTheme="majorBidi"/>
          <w:sz w:val="26"/>
        </w:rPr>
        <w:t xml:space="preserve"> et al.</w:t>
      </w:r>
      <w:r w:rsidR="00944F99" w:rsidRPr="007F15D8">
        <w:rPr>
          <w:rFonts w:asciiTheme="majorBidi" w:hAnsiTheme="majorBidi"/>
          <w:sz w:val="26"/>
        </w:rPr>
        <w:t xml:space="preserve"> (</w:t>
      </w:r>
      <w:r w:rsidRPr="007F15D8">
        <w:rPr>
          <w:rFonts w:asciiTheme="majorBidi" w:hAnsiTheme="majorBidi"/>
          <w:sz w:val="26"/>
        </w:rPr>
        <w:t xml:space="preserve">2010), </w:t>
      </w:r>
      <w:r w:rsidR="005506C1" w:rsidRPr="007F15D8">
        <w:rPr>
          <w:rFonts w:asciiTheme="majorBidi" w:hAnsiTheme="majorBidi"/>
          <w:sz w:val="26"/>
        </w:rPr>
        <w:t xml:space="preserve">loss </w:t>
      </w:r>
      <w:r w:rsidRPr="007F15D8">
        <w:rPr>
          <w:rFonts w:asciiTheme="majorBidi" w:hAnsiTheme="majorBidi"/>
          <w:sz w:val="26"/>
        </w:rPr>
        <w:t xml:space="preserve">recognition </w:t>
      </w:r>
      <w:r w:rsidR="005506C1" w:rsidRPr="007F15D8">
        <w:rPr>
          <w:rFonts w:asciiTheme="majorBidi" w:hAnsiTheme="majorBidi"/>
          <w:sz w:val="26"/>
        </w:rPr>
        <w:t>timeliness</w:t>
      </w:r>
      <w:r w:rsidRPr="007F15D8">
        <w:rPr>
          <w:rFonts w:asciiTheme="majorBidi" w:hAnsiTheme="majorBidi"/>
          <w:sz w:val="26"/>
        </w:rPr>
        <w:t xml:space="preserve"> is measured in </w:t>
      </w:r>
      <w:r w:rsidR="005506C1" w:rsidRPr="007F15D8">
        <w:rPr>
          <w:rFonts w:asciiTheme="majorBidi" w:hAnsiTheme="majorBidi"/>
          <w:sz w:val="26"/>
        </w:rPr>
        <w:t>E</w:t>
      </w:r>
      <w:r w:rsidRPr="007F15D8">
        <w:rPr>
          <w:rFonts w:asciiTheme="majorBidi" w:hAnsiTheme="majorBidi"/>
          <w:sz w:val="26"/>
        </w:rPr>
        <w:t>quation</w:t>
      </w:r>
      <w:r w:rsidR="005506C1" w:rsidRPr="007F15D8">
        <w:rPr>
          <w:rFonts w:asciiTheme="majorBidi" w:hAnsiTheme="majorBidi"/>
          <w:sz w:val="26"/>
        </w:rPr>
        <w:t xml:space="preserve"> 7.</w:t>
      </w:r>
    </w:p>
    <w:p w14:paraId="224F899E" w14:textId="678B9F36" w:rsidR="00733708" w:rsidRPr="007F15D8" w:rsidRDefault="001F48F8" w:rsidP="00E21754">
      <w:pPr>
        <w:snapToGrid w:val="0"/>
        <w:spacing w:after="0" w:line="460" w:lineRule="exact"/>
        <w:ind w:leftChars="200" w:left="440"/>
        <w:jc w:val="both"/>
        <w:rPr>
          <w:rFonts w:asciiTheme="majorBidi" w:hAnsiTheme="majorBidi"/>
          <w:sz w:val="26"/>
        </w:rPr>
      </w:pPr>
      <m:oMathPara>
        <m:oMath>
          <m:r>
            <w:rPr>
              <w:rFonts w:ascii="Cambria Math" w:hAnsi="Cambria Math" w:hint="eastAsia"/>
              <w:sz w:val="26"/>
            </w:rPr>
            <m:t>EQ(</m:t>
          </m:r>
          <m:r>
            <m:rPr>
              <m:sty m:val="p"/>
            </m:rPr>
            <w:rPr>
              <w:rFonts w:ascii="Cambria Math" w:hAnsi="Cambria Math" w:hint="eastAsia"/>
              <w:sz w:val="26"/>
            </w:rPr>
            <m:t>TRL)it=</m:t>
          </m:r>
          <m:r>
            <m:rPr>
              <m:sty m:val="p"/>
            </m:rPr>
            <w:rPr>
              <w:rFonts w:ascii="Cambria Math" w:hAnsi="Cambria Math" w:hint="eastAsia"/>
              <w:sz w:val="26"/>
            </w:rPr>
            <m:t>α</m:t>
          </m:r>
          <m:r>
            <m:rPr>
              <m:sty m:val="p"/>
            </m:rPr>
            <w:rPr>
              <w:rFonts w:ascii="Cambria Math" w:hAnsi="Cambria Math" w:hint="eastAsia"/>
              <w:sz w:val="26"/>
            </w:rPr>
            <m:t>+</m:t>
          </m:r>
          <m:r>
            <m:rPr>
              <m:sty m:val="p"/>
            </m:rPr>
            <w:rPr>
              <w:rFonts w:ascii="Cambria Math" w:hAnsi="Cambria Math" w:hint="eastAsia"/>
              <w:sz w:val="26"/>
            </w:rPr>
            <m:t>α</m:t>
          </m:r>
          <m:r>
            <m:rPr>
              <m:sty m:val="p"/>
            </m:rPr>
            <w:rPr>
              <w:rFonts w:ascii="Cambria Math" w:hAnsi="Cambria Math" w:hint="eastAsia"/>
              <w:sz w:val="26"/>
            </w:rPr>
            <m:t>1Dt+</m:t>
          </m:r>
          <m:r>
            <m:rPr>
              <m:sty m:val="p"/>
            </m:rPr>
            <w:rPr>
              <w:rFonts w:ascii="Cambria Math" w:hAnsi="Cambria Math" w:hint="eastAsia"/>
              <w:sz w:val="26"/>
            </w:rPr>
            <m:t>β</m:t>
          </m:r>
          <m:r>
            <m:rPr>
              <m:sty m:val="p"/>
            </m:rPr>
            <w:rPr>
              <w:rFonts w:ascii="Cambria Math" w:hAnsi="Cambria Math" w:hint="eastAsia"/>
              <w:sz w:val="26"/>
            </w:rPr>
            <m:t>0Ret</m:t>
          </m:r>
          <m:r>
            <w:rPr>
              <w:rFonts w:ascii="Cambria Math" w:hAnsi="Cambria Math" w:hint="eastAsia"/>
              <w:sz w:val="26"/>
            </w:rPr>
            <m:t>t</m:t>
          </m:r>
          <m:r>
            <m:rPr>
              <m:sty m:val="p"/>
            </m:rPr>
            <w:rPr>
              <w:rFonts w:ascii="Cambria Math" w:hAnsi="Cambria Math" w:hint="eastAsia"/>
              <w:sz w:val="26"/>
            </w:rPr>
            <m:t>+</m:t>
          </m:r>
          <m:r>
            <m:rPr>
              <m:sty m:val="p"/>
            </m:rPr>
            <w:rPr>
              <w:rFonts w:ascii="Cambria Math" w:hAnsi="Cambria Math" w:hint="eastAsia"/>
              <w:sz w:val="26"/>
            </w:rPr>
            <m:t>β</m:t>
          </m:r>
          <m:r>
            <m:rPr>
              <m:sty m:val="p"/>
            </m:rPr>
            <w:rPr>
              <w:rFonts w:ascii="Cambria Math" w:hAnsi="Cambria Math" w:hint="eastAsia"/>
              <w:sz w:val="26"/>
            </w:rPr>
            <m:t>1</m:t>
          </m:r>
          <m:sSub>
            <m:sSubPr>
              <m:ctrlPr>
                <w:rPr>
                  <w:rFonts w:ascii="Cambria Math" w:hAnsi="Cambria Math"/>
                  <w:sz w:val="26"/>
                </w:rPr>
              </m:ctrlPr>
            </m:sSubPr>
            <m:e>
              <m:r>
                <m:rPr>
                  <m:sty m:val="p"/>
                </m:rPr>
                <w:rPr>
                  <w:rFonts w:ascii="Cambria Math" w:hAnsi="Cambria Math"/>
                  <w:sz w:val="26"/>
                </w:rPr>
                <m:t>Dt*Ret</m:t>
              </m:r>
            </m:e>
            <m:sub>
              <m:r>
                <w:rPr>
                  <w:rFonts w:ascii="Cambria Math" w:hAnsi="Cambria Math" w:hint="eastAsia"/>
                  <w:sz w:val="26"/>
                </w:rPr>
                <m:t>t</m:t>
              </m:r>
            </m:sub>
          </m:sSub>
          <m:r>
            <m:rPr>
              <m:sty m:val="p"/>
            </m:rPr>
            <w:rPr>
              <w:rFonts w:ascii="Cambria Math" w:hAnsi="Cambria Math" w:hint="eastAsia"/>
              <w:sz w:val="26"/>
            </w:rPr>
            <m:t>+</m:t>
          </m:r>
          <m:r>
            <m:rPr>
              <m:sty m:val="p"/>
            </m:rPr>
            <w:rPr>
              <w:rFonts w:ascii="Cambria Math" w:hAnsi="Cambria Math" w:hint="eastAsia"/>
              <w:sz w:val="26"/>
            </w:rPr>
            <m:t>ε</m:t>
          </m:r>
          <m:r>
            <m:rPr>
              <m:sty m:val="p"/>
            </m:rPr>
            <w:rPr>
              <w:rFonts w:ascii="Cambria Math" w:hAnsi="Cambria Math" w:hint="eastAsia"/>
              <w:sz w:val="26"/>
            </w:rPr>
            <m:t>i,</m:t>
          </m:r>
          <m:r>
            <w:rPr>
              <w:rFonts w:ascii="Cambria Math" w:hAnsi="Cambria Math" w:hint="eastAsia"/>
              <w:sz w:val="26"/>
            </w:rPr>
            <m:t>t</m:t>
          </m:r>
          <m:r>
            <m:rPr>
              <m:sty m:val="p"/>
            </m:rPr>
            <w:rPr>
              <w:rFonts w:ascii="Cambria Math" w:hAnsi="Cambria Math" w:hint="eastAsia"/>
              <w:sz w:val="26"/>
            </w:rPr>
            <m:t xml:space="preserve">           </m:t>
          </m:r>
          <m:r>
            <m:rPr>
              <m:sty m:val="p"/>
            </m:rPr>
            <w:rPr>
              <w:rFonts w:ascii="Cambria Math" w:hAnsi="Cambria Math"/>
              <w:sz w:val="26"/>
            </w:rPr>
            <m:t xml:space="preserve">        </m:t>
          </m:r>
          <m:r>
            <m:rPr>
              <m:sty m:val="p"/>
            </m:rPr>
            <w:rPr>
              <w:rFonts w:ascii="Cambria Math" w:eastAsia="新細明體" w:hAnsi="Cambria Math"/>
              <w:sz w:val="26"/>
              <w:lang w:eastAsia="zh-TW"/>
            </w:rPr>
            <m:t xml:space="preserve">  </m:t>
          </m:r>
          <m:r>
            <m:rPr>
              <m:sty m:val="p"/>
            </m:rPr>
            <w:rPr>
              <w:rFonts w:ascii="Cambria Math" w:eastAsia="新細明體" w:hAnsi="Cambria Math" w:hint="eastAsia"/>
              <w:sz w:val="26"/>
              <w:lang w:eastAsia="zh-TW"/>
            </w:rPr>
            <m:t xml:space="preserve">      </m:t>
          </m:r>
          <m:r>
            <m:rPr>
              <m:sty m:val="p"/>
            </m:rPr>
            <w:rPr>
              <w:rFonts w:ascii="Cambria Math" w:hAnsi="Cambria Math" w:hint="eastAsia"/>
              <w:sz w:val="26"/>
            </w:rPr>
            <m:t xml:space="preserve">   (7)</m:t>
          </m:r>
        </m:oMath>
      </m:oMathPara>
    </w:p>
    <w:p w14:paraId="441F63F0" w14:textId="0ED51314" w:rsidR="0007591F" w:rsidRPr="007F15D8" w:rsidRDefault="00733708" w:rsidP="00B725B6">
      <w:pPr>
        <w:snapToGrid w:val="0"/>
        <w:spacing w:after="0" w:line="360" w:lineRule="exact"/>
        <w:jc w:val="both"/>
        <w:rPr>
          <w:rFonts w:asciiTheme="majorBidi" w:hAnsiTheme="majorBidi"/>
          <w:sz w:val="26"/>
        </w:rPr>
      </w:pPr>
      <w:r w:rsidRPr="007F15D8">
        <w:rPr>
          <w:rFonts w:asciiTheme="majorBidi" w:hAnsiTheme="majorBidi"/>
          <w:sz w:val="26"/>
        </w:rPr>
        <w:t>Where Dt=1 if Rett&lt;0</w:t>
      </w:r>
      <w:r w:rsidR="005506C1" w:rsidRPr="007F15D8">
        <w:rPr>
          <w:rFonts w:asciiTheme="majorBidi" w:hAnsiTheme="majorBidi"/>
          <w:sz w:val="26"/>
        </w:rPr>
        <w:t>;</w:t>
      </w:r>
      <w:r w:rsidR="00AC0723" w:rsidRPr="007F15D8">
        <w:rPr>
          <w:rFonts w:asciiTheme="majorBidi" w:hAnsiTheme="majorBidi"/>
          <w:sz w:val="26"/>
        </w:rPr>
        <w:t xml:space="preserve"> otherwise</w:t>
      </w:r>
      <w:r w:rsidR="005506C1" w:rsidRPr="007F15D8">
        <w:rPr>
          <w:rFonts w:asciiTheme="majorBidi" w:hAnsiTheme="majorBidi"/>
          <w:sz w:val="26"/>
        </w:rPr>
        <w:t>,</w:t>
      </w:r>
      <w:r w:rsidR="00AC0723" w:rsidRPr="007F15D8">
        <w:rPr>
          <w:rFonts w:asciiTheme="majorBidi" w:hAnsiTheme="majorBidi"/>
          <w:sz w:val="26"/>
        </w:rPr>
        <w:t xml:space="preserve"> 0</w:t>
      </w:r>
      <w:r w:rsidRPr="007F15D8">
        <w:rPr>
          <w:rFonts w:asciiTheme="majorBidi" w:hAnsiTheme="majorBidi"/>
          <w:sz w:val="26"/>
        </w:rPr>
        <w:t xml:space="preserve">. </w:t>
      </w:r>
      <w:r w:rsidR="007910BA" w:rsidRPr="007F15D8">
        <w:rPr>
          <w:rFonts w:asciiTheme="majorBidi" w:hAnsiTheme="majorBidi" w:cstheme="majorBidi"/>
          <w:sz w:val="26"/>
          <w:szCs w:val="26"/>
        </w:rPr>
        <w:t>α is Constant</w:t>
      </w:r>
      <w:r w:rsidR="007910BA" w:rsidRPr="007F15D8">
        <w:rPr>
          <w:rFonts w:asciiTheme="majorBidi" w:hAnsiTheme="majorBidi" w:cstheme="majorBidi"/>
        </w:rPr>
        <w:t>,</w:t>
      </w:r>
      <w:r w:rsidR="00C80A1B">
        <w:rPr>
          <w:rFonts w:asciiTheme="majorBidi" w:hAnsiTheme="majorBidi" w:cstheme="majorBidi"/>
        </w:rPr>
        <w:t xml:space="preserve"> and</w:t>
      </w:r>
      <w:r w:rsidR="007910BA" w:rsidRPr="007F15D8">
        <w:rPr>
          <w:rFonts w:asciiTheme="majorBidi" w:hAnsiTheme="majorBidi" w:cstheme="majorBidi"/>
        </w:rPr>
        <w:t xml:space="preserve"> </w:t>
      </w:r>
      <w:r w:rsidR="007910BA" w:rsidRPr="007F15D8">
        <w:rPr>
          <w:rFonts w:asciiTheme="majorBidi" w:hAnsiTheme="majorBidi" w:cstheme="majorBidi"/>
          <w:sz w:val="26"/>
          <w:szCs w:val="26"/>
        </w:rPr>
        <w:t>h</w:t>
      </w:r>
      <w:r w:rsidRPr="007F15D8">
        <w:rPr>
          <w:rFonts w:asciiTheme="majorBidi" w:hAnsiTheme="majorBidi" w:cstheme="majorBidi"/>
          <w:sz w:val="26"/>
          <w:szCs w:val="26"/>
        </w:rPr>
        <w:t>igher</w:t>
      </w:r>
      <w:r w:rsidRPr="007F15D8">
        <w:rPr>
          <w:rFonts w:asciiTheme="majorBidi" w:hAnsiTheme="majorBidi"/>
          <w:sz w:val="26"/>
        </w:rPr>
        <w:t xml:space="preserve"> β1 implies more timely recognition of the incurred losses in earnings</w:t>
      </w:r>
      <w:r w:rsidR="003D2EAE" w:rsidRPr="007F15D8">
        <w:rPr>
          <w:rFonts w:asciiTheme="majorBidi" w:hAnsiTheme="majorBidi"/>
          <w:sz w:val="26"/>
        </w:rPr>
        <w:t xml:space="preserve">. </w:t>
      </w:r>
      <w:r w:rsidR="00BE7FF5" w:rsidRPr="007F15D8">
        <w:rPr>
          <w:rFonts w:asciiTheme="majorBidi" w:hAnsiTheme="majorBidi"/>
          <w:sz w:val="26"/>
        </w:rPr>
        <w:t xml:space="preserve"> </w:t>
      </w:r>
    </w:p>
    <w:p w14:paraId="6D86729B" w14:textId="77777777" w:rsidR="00A976CE" w:rsidRDefault="00E67A4B" w:rsidP="00B725B6">
      <w:pPr>
        <w:snapToGrid w:val="0"/>
        <w:spacing w:after="0" w:line="360" w:lineRule="exact"/>
        <w:jc w:val="both"/>
        <w:rPr>
          <w:rFonts w:asciiTheme="majorBidi" w:hAnsiTheme="majorBidi"/>
          <w:sz w:val="26"/>
        </w:rPr>
      </w:pPr>
      <w:r w:rsidRPr="007F15D8">
        <w:rPr>
          <w:rFonts w:asciiTheme="majorBidi" w:hAnsiTheme="majorBidi"/>
          <w:sz w:val="26"/>
        </w:rPr>
        <w:t>Model 8</w:t>
      </w:r>
      <w:r w:rsidR="00FA4DBD" w:rsidRPr="007F15D8">
        <w:rPr>
          <w:rFonts w:asciiTheme="majorBidi" w:hAnsiTheme="majorBidi"/>
          <w:sz w:val="26"/>
        </w:rPr>
        <w:t>: Conservatism</w:t>
      </w:r>
      <w:r w:rsidR="005506C1" w:rsidRPr="007F15D8">
        <w:rPr>
          <w:rFonts w:asciiTheme="majorBidi" w:hAnsiTheme="majorBidi"/>
          <w:sz w:val="26"/>
        </w:rPr>
        <w:t xml:space="preserve">: </w:t>
      </w:r>
    </w:p>
    <w:p w14:paraId="0349B4ED" w14:textId="52BA4023" w:rsidR="00D54C9B" w:rsidRPr="007F15D8" w:rsidRDefault="00FA4DBD" w:rsidP="00B730DC">
      <w:pPr>
        <w:snapToGrid w:val="0"/>
        <w:spacing w:after="0" w:line="360" w:lineRule="exact"/>
        <w:ind w:firstLineChars="200" w:firstLine="520"/>
        <w:jc w:val="both"/>
        <w:rPr>
          <w:rFonts w:asciiTheme="majorBidi" w:hAnsiTheme="majorBidi"/>
          <w:sz w:val="26"/>
        </w:rPr>
      </w:pPr>
      <w:r w:rsidRPr="007F15D8">
        <w:rPr>
          <w:rFonts w:asciiTheme="majorBidi" w:hAnsiTheme="majorBidi"/>
          <w:sz w:val="26"/>
        </w:rPr>
        <w:t xml:space="preserve">Following Ball </w:t>
      </w:r>
      <w:r w:rsidR="00523653">
        <w:rPr>
          <w:rFonts w:asciiTheme="majorBidi" w:hAnsiTheme="majorBidi"/>
          <w:sz w:val="26"/>
        </w:rPr>
        <w:t>and</w:t>
      </w:r>
      <w:r w:rsidRPr="007F15D8">
        <w:rPr>
          <w:rFonts w:asciiTheme="majorBidi" w:hAnsiTheme="majorBidi"/>
          <w:sz w:val="26"/>
        </w:rPr>
        <w:t xml:space="preserve"> </w:t>
      </w:r>
      <w:proofErr w:type="spellStart"/>
      <w:r w:rsidRPr="007F15D8">
        <w:rPr>
          <w:rFonts w:asciiTheme="majorBidi" w:hAnsiTheme="majorBidi"/>
          <w:sz w:val="26"/>
        </w:rPr>
        <w:t>Shivakumar</w:t>
      </w:r>
      <w:proofErr w:type="spellEnd"/>
      <w:r w:rsidRPr="007F15D8">
        <w:rPr>
          <w:rFonts w:asciiTheme="majorBidi" w:hAnsiTheme="majorBidi"/>
          <w:sz w:val="26"/>
        </w:rPr>
        <w:t xml:space="preserve"> (2005), we measure</w:t>
      </w:r>
      <w:r w:rsidR="005506C1" w:rsidRPr="007F15D8">
        <w:rPr>
          <w:rFonts w:asciiTheme="majorBidi" w:hAnsiTheme="majorBidi"/>
          <w:sz w:val="26"/>
        </w:rPr>
        <w:t>d</w:t>
      </w:r>
      <w:r w:rsidRPr="007F15D8">
        <w:rPr>
          <w:rFonts w:asciiTheme="majorBidi" w:hAnsiTheme="majorBidi"/>
          <w:sz w:val="26"/>
        </w:rPr>
        <w:t xml:space="preserve"> conservatism as the relationship between accruals and negative cash flows over the association between accruals and cash flows</w:t>
      </w:r>
      <w:r w:rsidR="00577EAC" w:rsidRPr="007F15D8">
        <w:rPr>
          <w:rFonts w:asciiTheme="majorBidi" w:hAnsiTheme="majorBidi"/>
          <w:sz w:val="26"/>
        </w:rPr>
        <w:t>.</w:t>
      </w:r>
    </w:p>
    <w:p w14:paraId="3DAE8732" w14:textId="60452230" w:rsidR="00D54C9B" w:rsidRPr="007F15D8" w:rsidRDefault="00842071" w:rsidP="00446058">
      <w:pPr>
        <w:snapToGrid w:val="0"/>
        <w:spacing w:beforeLines="50" w:before="120" w:after="0" w:line="360" w:lineRule="auto"/>
        <w:rPr>
          <w:rFonts w:asciiTheme="majorBidi" w:hAnsiTheme="majorBidi"/>
          <w:sz w:val="26"/>
        </w:rPr>
      </w:pPr>
      <m:oMathPara>
        <m:oMath>
          <m:f>
            <m:fPr>
              <m:ctrlPr>
                <w:rPr>
                  <w:rFonts w:ascii="Cambria Math" w:hAnsi="Cambria Math"/>
                  <w:i/>
                  <w:sz w:val="26"/>
                </w:rPr>
              </m:ctrlPr>
            </m:fPr>
            <m:num>
              <m:r>
                <w:rPr>
                  <w:rFonts w:ascii="Cambria Math" w:hAnsi="Cambria Math" w:hint="eastAsia"/>
                  <w:sz w:val="26"/>
                </w:rPr>
                <m:t>EQ</m:t>
              </m:r>
              <m:d>
                <m:dPr>
                  <m:ctrlPr>
                    <w:rPr>
                      <w:rFonts w:ascii="Cambria Math" w:hAnsi="Cambria Math"/>
                      <w:i/>
                      <w:sz w:val="26"/>
                    </w:rPr>
                  </m:ctrlPr>
                </m:dPr>
                <m:e>
                  <m:r>
                    <w:rPr>
                      <w:rFonts w:ascii="Cambria Math" w:hAnsi="Cambria Math" w:hint="eastAsia"/>
                      <w:sz w:val="26"/>
                    </w:rPr>
                    <m:t>Con</m:t>
                  </m:r>
                </m:e>
              </m:d>
              <m:r>
                <w:rPr>
                  <w:rFonts w:ascii="Cambria Math" w:hAnsi="Cambria Math" w:hint="eastAsia"/>
                  <w:sz w:val="26"/>
                </w:rPr>
                <m:t>it</m:t>
              </m:r>
            </m:num>
            <m:den>
              <m:r>
                <w:rPr>
                  <w:rFonts w:ascii="Cambria Math" w:hAnsi="Cambria Math" w:hint="eastAsia"/>
                  <w:sz w:val="26"/>
                </w:rPr>
                <m:t>TAit</m:t>
              </m:r>
            </m:den>
          </m:f>
          <m:r>
            <w:rPr>
              <w:rFonts w:ascii="Cambria Math" w:hAnsi="Cambria Math" w:hint="eastAsia"/>
              <w:sz w:val="26"/>
            </w:rPr>
            <m:t>=α+β1</m:t>
          </m:r>
          <m:f>
            <m:fPr>
              <m:ctrlPr>
                <w:rPr>
                  <w:rFonts w:ascii="Cambria Math" w:hAnsi="Cambria Math"/>
                  <w:i/>
                  <w:sz w:val="26"/>
                </w:rPr>
              </m:ctrlPr>
            </m:fPr>
            <m:num>
              <m:r>
                <w:rPr>
                  <w:rFonts w:ascii="Cambria Math" w:hAnsi="Cambria Math" w:hint="eastAsia"/>
                  <w:sz w:val="26"/>
                </w:rPr>
                <m:t>NCFOit</m:t>
              </m:r>
            </m:num>
            <m:den>
              <m:r>
                <w:rPr>
                  <w:rFonts w:ascii="Cambria Math" w:hAnsi="Cambria Math" w:hint="eastAsia"/>
                  <w:sz w:val="26"/>
                </w:rPr>
                <m:t>TAit</m:t>
              </m:r>
            </m:den>
          </m:f>
          <m:r>
            <w:rPr>
              <w:rFonts w:ascii="Cambria Math" w:hAnsi="Cambria Math" w:hint="eastAsia"/>
              <w:sz w:val="26"/>
            </w:rPr>
            <m:t>+β2</m:t>
          </m:r>
          <m:f>
            <m:fPr>
              <m:ctrlPr>
                <w:rPr>
                  <w:rFonts w:ascii="Cambria Math" w:hAnsi="Cambria Math"/>
                  <w:i/>
                  <w:sz w:val="26"/>
                </w:rPr>
              </m:ctrlPr>
            </m:fPr>
            <m:num>
              <m:r>
                <w:rPr>
                  <w:rFonts w:ascii="Cambria Math" w:hAnsi="Cambria Math" w:hint="eastAsia"/>
                  <w:sz w:val="26"/>
                </w:rPr>
                <m:t>CFOit</m:t>
              </m:r>
            </m:num>
            <m:den>
              <m:r>
                <w:rPr>
                  <w:rFonts w:ascii="Cambria Math" w:hAnsi="Cambria Math" w:hint="eastAsia"/>
                  <w:sz w:val="26"/>
                </w:rPr>
                <m:t>TAit</m:t>
              </m:r>
            </m:den>
          </m:f>
          <m:r>
            <w:rPr>
              <w:rFonts w:ascii="Cambria Math" w:hAnsi="Cambria Math" w:hint="eastAsia"/>
              <w:sz w:val="26"/>
            </w:rPr>
            <m:t>+β3</m:t>
          </m:r>
          <m:f>
            <m:fPr>
              <m:ctrlPr>
                <w:rPr>
                  <w:rFonts w:ascii="Cambria Math" w:hAnsi="Cambria Math"/>
                  <w:i/>
                  <w:sz w:val="26"/>
                </w:rPr>
              </m:ctrlPr>
            </m:fPr>
            <m:num>
              <m:r>
                <w:rPr>
                  <w:rFonts w:ascii="Cambria Math" w:hAnsi="Cambria Math" w:hint="eastAsia"/>
                  <w:sz w:val="26"/>
                </w:rPr>
                <m:t>NCFOit</m:t>
              </m:r>
            </m:num>
            <m:den>
              <m:r>
                <w:rPr>
                  <w:rFonts w:ascii="Cambria Math" w:hAnsi="Cambria Math" w:hint="eastAsia"/>
                  <w:sz w:val="26"/>
                </w:rPr>
                <m:t>TAit</m:t>
              </m:r>
            </m:den>
          </m:f>
          <m:r>
            <w:rPr>
              <w:rFonts w:ascii="Cambria Math" w:hAnsi="Cambria Math"/>
              <w:sz w:val="26"/>
            </w:rPr>
            <m:t>*</m:t>
          </m:r>
          <m:f>
            <m:fPr>
              <m:ctrlPr>
                <w:rPr>
                  <w:rFonts w:ascii="Cambria Math" w:hAnsi="Cambria Math"/>
                  <w:i/>
                  <w:sz w:val="26"/>
                </w:rPr>
              </m:ctrlPr>
            </m:fPr>
            <m:num>
              <m:r>
                <w:rPr>
                  <w:rFonts w:ascii="Cambria Math" w:hAnsi="Cambria Math" w:hint="eastAsia"/>
                  <w:sz w:val="26"/>
                </w:rPr>
                <m:t>CFOit</m:t>
              </m:r>
            </m:num>
            <m:den>
              <m:r>
                <w:rPr>
                  <w:rFonts w:ascii="Cambria Math" w:hAnsi="Cambria Math" w:hint="eastAsia"/>
                  <w:sz w:val="26"/>
                </w:rPr>
                <m:t>TAit</m:t>
              </m:r>
            </m:den>
          </m:f>
          <m:r>
            <w:rPr>
              <w:rFonts w:ascii="Cambria Math" w:hAnsi="Cambria Math" w:hint="eastAsia"/>
              <w:sz w:val="26"/>
            </w:rPr>
            <m:t>+</m:t>
          </m:r>
          <m:r>
            <m:rPr>
              <m:sty m:val="p"/>
            </m:rPr>
            <w:rPr>
              <w:rFonts w:ascii="Cambria Math" w:hAnsi="Cambria Math" w:hint="eastAsia"/>
              <w:sz w:val="26"/>
            </w:rPr>
            <m:t>ε</m:t>
          </m:r>
          <m:r>
            <m:rPr>
              <m:sty m:val="p"/>
            </m:rPr>
            <w:rPr>
              <w:rFonts w:ascii="Cambria Math" w:hAnsi="Cambria Math" w:hint="eastAsia"/>
              <w:sz w:val="26"/>
            </w:rPr>
            <m:t>i,</m:t>
          </m:r>
          <m:r>
            <w:rPr>
              <w:rFonts w:ascii="Cambria Math" w:hAnsi="Cambria Math" w:hint="eastAsia"/>
              <w:sz w:val="26"/>
            </w:rPr>
            <m:t>t(8)</m:t>
          </m:r>
        </m:oMath>
      </m:oMathPara>
    </w:p>
    <w:p w14:paraId="73A4CF08" w14:textId="573D6F2A" w:rsidR="003A2367" w:rsidRPr="007F15D8" w:rsidRDefault="00577EAC" w:rsidP="007829C5">
      <w:pPr>
        <w:pStyle w:val="Pa10"/>
        <w:snapToGrid w:val="0"/>
        <w:spacing w:line="360" w:lineRule="exact"/>
        <w:jc w:val="both"/>
        <w:rPr>
          <w:rFonts w:asciiTheme="majorBidi" w:hAnsiTheme="majorBidi"/>
          <w:sz w:val="26"/>
          <w:lang w:val="en-GB"/>
        </w:rPr>
      </w:pPr>
      <w:r w:rsidRPr="007F15D8">
        <w:rPr>
          <w:rFonts w:asciiTheme="majorBidi" w:hAnsiTheme="majorBidi"/>
          <w:sz w:val="26"/>
          <w:lang w:val="en-GB"/>
        </w:rPr>
        <w:t xml:space="preserve">Where for firm </w:t>
      </w:r>
      <w:proofErr w:type="spellStart"/>
      <w:r w:rsidRPr="007F15D8">
        <w:rPr>
          <w:rFonts w:asciiTheme="majorBidi" w:hAnsiTheme="majorBidi"/>
          <w:sz w:val="26"/>
          <w:lang w:val="en-GB"/>
        </w:rPr>
        <w:t>i</w:t>
      </w:r>
      <w:proofErr w:type="spellEnd"/>
      <w:r w:rsidRPr="007F15D8">
        <w:rPr>
          <w:rFonts w:asciiTheme="majorBidi" w:hAnsiTheme="majorBidi"/>
          <w:sz w:val="26"/>
          <w:lang w:val="en-GB"/>
        </w:rPr>
        <w:t xml:space="preserve"> and year t</w:t>
      </w:r>
      <w:r w:rsidRPr="007F15D8">
        <w:rPr>
          <w:rFonts w:asciiTheme="majorBidi" w:hAnsiTheme="majorBidi" w:cstheme="majorBidi"/>
          <w:sz w:val="26"/>
          <w:szCs w:val="26"/>
          <w:lang w:val="en-GB"/>
        </w:rPr>
        <w:t xml:space="preserve">, </w:t>
      </w:r>
      <w:r w:rsidR="007910BA" w:rsidRPr="007F15D8">
        <w:rPr>
          <w:rFonts w:asciiTheme="majorBidi" w:hAnsiTheme="majorBidi" w:cstheme="majorBidi"/>
          <w:sz w:val="26"/>
          <w:szCs w:val="26"/>
        </w:rPr>
        <w:t>α is Constant</w:t>
      </w:r>
      <w:r w:rsidR="007910BA" w:rsidRPr="007F15D8">
        <w:rPr>
          <w:rFonts w:asciiTheme="majorBidi" w:hAnsiTheme="majorBidi"/>
          <w:sz w:val="26"/>
        </w:rPr>
        <w:t>,</w:t>
      </w:r>
      <w:r w:rsidR="007910BA" w:rsidRPr="007F15D8">
        <w:rPr>
          <w:rFonts w:asciiTheme="majorBidi" w:hAnsiTheme="majorBidi"/>
          <w:sz w:val="26"/>
          <w:lang w:val="en-GB"/>
        </w:rPr>
        <w:t xml:space="preserve"> </w:t>
      </w:r>
      <w:r w:rsidR="003A5F19" w:rsidRPr="007F15D8">
        <w:rPr>
          <w:rFonts w:asciiTheme="majorBidi" w:hAnsiTheme="majorBidi"/>
          <w:sz w:val="26"/>
          <w:lang w:val="en-GB"/>
        </w:rPr>
        <w:t>EQ</w:t>
      </w:r>
      <w:r w:rsidR="00960DD6" w:rsidRPr="007F15D8">
        <w:rPr>
          <w:rFonts w:asciiTheme="majorBidi" w:hAnsiTheme="majorBidi"/>
          <w:sz w:val="26"/>
          <w:lang w:val="en-GB"/>
        </w:rPr>
        <w:t xml:space="preserve"> </w:t>
      </w:r>
      <w:r w:rsidR="003A5F19" w:rsidRPr="007F15D8">
        <w:rPr>
          <w:rFonts w:asciiTheme="majorBidi" w:hAnsiTheme="majorBidi"/>
          <w:sz w:val="26"/>
          <w:lang w:val="en-GB"/>
        </w:rPr>
        <w:t>(Con)</w:t>
      </w:r>
      <w:proofErr w:type="spellStart"/>
      <w:proofErr w:type="gramStart"/>
      <w:r w:rsidRPr="00446058">
        <w:rPr>
          <w:rFonts w:asciiTheme="majorBidi" w:hAnsiTheme="majorBidi"/>
          <w:sz w:val="26"/>
          <w:vertAlign w:val="subscript"/>
          <w:lang w:val="en-GB"/>
        </w:rPr>
        <w:t>i,t</w:t>
      </w:r>
      <w:proofErr w:type="spellEnd"/>
      <w:proofErr w:type="gramEnd"/>
      <w:r w:rsidRPr="007F15D8">
        <w:rPr>
          <w:rFonts w:asciiTheme="majorBidi" w:hAnsiTheme="majorBidi"/>
          <w:sz w:val="26"/>
          <w:lang w:val="en-GB"/>
        </w:rPr>
        <w:t xml:space="preserve"> is </w:t>
      </w:r>
      <w:r w:rsidR="005506C1" w:rsidRPr="007F15D8">
        <w:rPr>
          <w:rFonts w:asciiTheme="majorBidi" w:hAnsiTheme="majorBidi"/>
          <w:sz w:val="26"/>
          <w:lang w:val="en-GB"/>
        </w:rPr>
        <w:t xml:space="preserve">the </w:t>
      </w:r>
      <w:r w:rsidR="00960DD6" w:rsidRPr="007F15D8">
        <w:rPr>
          <w:rFonts w:asciiTheme="majorBidi" w:hAnsiTheme="majorBidi"/>
          <w:sz w:val="26"/>
          <w:lang w:val="en-GB"/>
        </w:rPr>
        <w:t>earnings</w:t>
      </w:r>
      <w:r w:rsidR="00B932EA" w:rsidRPr="007F15D8">
        <w:rPr>
          <w:rFonts w:asciiTheme="majorBidi" w:hAnsiTheme="majorBidi"/>
          <w:sz w:val="26"/>
          <w:lang w:val="en-GB"/>
        </w:rPr>
        <w:t xml:space="preserve">; </w:t>
      </w:r>
      <w:proofErr w:type="spellStart"/>
      <w:r w:rsidR="00B932EA" w:rsidRPr="007F15D8">
        <w:rPr>
          <w:rFonts w:asciiTheme="majorBidi" w:hAnsiTheme="majorBidi"/>
          <w:sz w:val="26"/>
          <w:lang w:val="en-GB"/>
        </w:rPr>
        <w:t>N</w:t>
      </w:r>
      <w:r w:rsidRPr="007F15D8">
        <w:rPr>
          <w:rFonts w:asciiTheme="majorBidi" w:hAnsiTheme="majorBidi"/>
          <w:sz w:val="26"/>
          <w:lang w:val="en-GB"/>
        </w:rPr>
        <w:t>CF</w:t>
      </w:r>
      <w:r w:rsidR="00B932EA" w:rsidRPr="007F15D8">
        <w:rPr>
          <w:rFonts w:asciiTheme="majorBidi" w:hAnsiTheme="majorBidi"/>
          <w:sz w:val="26"/>
          <w:lang w:val="en-GB"/>
        </w:rPr>
        <w:t>O</w:t>
      </w:r>
      <w:r w:rsidRPr="00446058">
        <w:rPr>
          <w:rFonts w:asciiTheme="majorBidi" w:hAnsiTheme="majorBidi"/>
          <w:sz w:val="26"/>
          <w:vertAlign w:val="subscript"/>
          <w:lang w:val="en-GB"/>
        </w:rPr>
        <w:t>i,t</w:t>
      </w:r>
      <w:proofErr w:type="spellEnd"/>
      <w:r w:rsidRPr="007F15D8">
        <w:rPr>
          <w:rFonts w:asciiTheme="majorBidi" w:hAnsiTheme="majorBidi"/>
          <w:sz w:val="26"/>
          <w:lang w:val="en-GB"/>
        </w:rPr>
        <w:t xml:space="preserve"> is a dummy v</w:t>
      </w:r>
      <w:r w:rsidR="00B932EA" w:rsidRPr="007F15D8">
        <w:rPr>
          <w:rFonts w:asciiTheme="majorBidi" w:hAnsiTheme="majorBidi"/>
          <w:sz w:val="26"/>
          <w:lang w:val="en-GB"/>
        </w:rPr>
        <w:t xml:space="preserve">ariable which takes 1 if </w:t>
      </w:r>
      <w:proofErr w:type="spellStart"/>
      <w:r w:rsidRPr="007F15D8">
        <w:rPr>
          <w:rFonts w:asciiTheme="majorBidi" w:hAnsiTheme="majorBidi"/>
          <w:sz w:val="26"/>
          <w:lang w:val="en-GB"/>
        </w:rPr>
        <w:t>C</w:t>
      </w:r>
      <w:r w:rsidR="00B932EA" w:rsidRPr="007F15D8">
        <w:rPr>
          <w:rFonts w:asciiTheme="majorBidi" w:hAnsiTheme="majorBidi"/>
          <w:sz w:val="26"/>
          <w:lang w:val="en-GB"/>
        </w:rPr>
        <w:t>FO</w:t>
      </w:r>
      <w:r w:rsidR="00B932EA" w:rsidRPr="00446058">
        <w:rPr>
          <w:rFonts w:asciiTheme="majorBidi" w:hAnsiTheme="majorBidi"/>
          <w:sz w:val="26"/>
          <w:vertAlign w:val="subscript"/>
          <w:lang w:val="en-GB"/>
        </w:rPr>
        <w:t>i,t</w:t>
      </w:r>
      <w:proofErr w:type="spellEnd"/>
      <w:r w:rsidR="00B932EA" w:rsidRPr="007F15D8">
        <w:rPr>
          <w:rFonts w:asciiTheme="majorBidi" w:hAnsiTheme="majorBidi"/>
          <w:sz w:val="26"/>
          <w:lang w:val="en-GB"/>
        </w:rPr>
        <w:t xml:space="preserve"> is negative</w:t>
      </w:r>
      <w:r w:rsidR="005506C1" w:rsidRPr="007F15D8">
        <w:rPr>
          <w:rFonts w:asciiTheme="majorBidi" w:hAnsiTheme="majorBidi"/>
          <w:sz w:val="26"/>
          <w:lang w:val="en-GB"/>
        </w:rPr>
        <w:t xml:space="preserve">; </w:t>
      </w:r>
      <w:r w:rsidR="00B932EA" w:rsidRPr="007F15D8">
        <w:rPr>
          <w:rFonts w:asciiTheme="majorBidi" w:hAnsiTheme="majorBidi"/>
          <w:sz w:val="26"/>
          <w:lang w:val="en-GB"/>
        </w:rPr>
        <w:t>otherwise</w:t>
      </w:r>
      <w:r w:rsidR="005506C1" w:rsidRPr="007F15D8">
        <w:rPr>
          <w:rFonts w:asciiTheme="majorBidi" w:hAnsiTheme="majorBidi"/>
          <w:sz w:val="26"/>
          <w:lang w:val="en-GB"/>
        </w:rPr>
        <w:t>,</w:t>
      </w:r>
      <w:r w:rsidR="00B932EA" w:rsidRPr="007F15D8">
        <w:rPr>
          <w:rFonts w:asciiTheme="majorBidi" w:hAnsiTheme="majorBidi"/>
          <w:sz w:val="26"/>
          <w:lang w:val="en-GB"/>
        </w:rPr>
        <w:t xml:space="preserve"> 0; </w:t>
      </w:r>
      <w:r w:rsidRPr="007F15D8">
        <w:rPr>
          <w:rFonts w:asciiTheme="majorBidi" w:hAnsiTheme="majorBidi"/>
          <w:sz w:val="26"/>
          <w:lang w:val="en-GB"/>
        </w:rPr>
        <w:t>CF</w:t>
      </w:r>
      <w:r w:rsidR="00B932EA" w:rsidRPr="007F15D8">
        <w:rPr>
          <w:rFonts w:asciiTheme="majorBidi" w:hAnsiTheme="majorBidi"/>
          <w:sz w:val="26"/>
          <w:lang w:val="en-GB"/>
        </w:rPr>
        <w:t>O</w:t>
      </w:r>
      <w:r w:rsidRPr="007F15D8">
        <w:rPr>
          <w:rFonts w:asciiTheme="majorBidi" w:hAnsiTheme="majorBidi"/>
          <w:sz w:val="26"/>
          <w:lang w:val="en-GB"/>
        </w:rPr>
        <w:t xml:space="preserve"> is operating cash flows; </w:t>
      </w:r>
      <w:proofErr w:type="spellStart"/>
      <w:r w:rsidRPr="007F15D8">
        <w:rPr>
          <w:rFonts w:asciiTheme="majorBidi" w:hAnsiTheme="majorBidi"/>
          <w:sz w:val="26"/>
          <w:lang w:val="en-GB"/>
        </w:rPr>
        <w:t>ε</w:t>
      </w:r>
      <w:r w:rsidRPr="00446058">
        <w:rPr>
          <w:rFonts w:asciiTheme="majorBidi" w:hAnsiTheme="majorBidi"/>
          <w:sz w:val="26"/>
          <w:vertAlign w:val="subscript"/>
          <w:lang w:val="en-GB"/>
        </w:rPr>
        <w:t>i,t</w:t>
      </w:r>
      <w:proofErr w:type="spellEnd"/>
      <w:r w:rsidRPr="007F15D8">
        <w:rPr>
          <w:rFonts w:asciiTheme="majorBidi" w:hAnsiTheme="majorBidi"/>
          <w:sz w:val="26"/>
          <w:lang w:val="en-GB"/>
        </w:rPr>
        <w:t xml:space="preserve"> is the residuals. </w:t>
      </w:r>
      <w:r w:rsidR="005506C1" w:rsidRPr="007F15D8">
        <w:rPr>
          <w:rFonts w:asciiTheme="majorBidi" w:hAnsiTheme="majorBidi"/>
          <w:sz w:val="26"/>
          <w:lang w:val="en-GB"/>
        </w:rPr>
        <w:t>T</w:t>
      </w:r>
      <w:r w:rsidRPr="007F15D8">
        <w:rPr>
          <w:rFonts w:asciiTheme="majorBidi" w:hAnsiTheme="majorBidi"/>
          <w:sz w:val="26"/>
          <w:lang w:val="en-GB"/>
        </w:rPr>
        <w:t xml:space="preserve">he degree of conservatism is the value of the incremental coefficient (β3) from Equation </w:t>
      </w:r>
      <w:r w:rsidR="00E67A4B" w:rsidRPr="007F15D8">
        <w:rPr>
          <w:rFonts w:asciiTheme="majorBidi" w:hAnsiTheme="majorBidi"/>
          <w:sz w:val="26"/>
          <w:lang w:val="en-GB"/>
        </w:rPr>
        <w:t>8</w:t>
      </w:r>
      <w:r w:rsidRPr="007F15D8">
        <w:rPr>
          <w:rFonts w:asciiTheme="majorBidi" w:hAnsiTheme="majorBidi"/>
          <w:sz w:val="26"/>
          <w:lang w:val="en-GB"/>
        </w:rPr>
        <w:t xml:space="preserve">. The larger (smaller) </w:t>
      </w:r>
      <w:r w:rsidR="005506C1" w:rsidRPr="007F15D8">
        <w:rPr>
          <w:rFonts w:asciiTheme="majorBidi" w:hAnsiTheme="majorBidi"/>
          <w:sz w:val="26"/>
          <w:lang w:val="en-GB"/>
        </w:rPr>
        <w:t xml:space="preserve">the </w:t>
      </w:r>
      <w:r w:rsidRPr="007F15D8">
        <w:rPr>
          <w:rFonts w:asciiTheme="majorBidi" w:hAnsiTheme="majorBidi"/>
          <w:sz w:val="26"/>
          <w:lang w:val="en-GB"/>
        </w:rPr>
        <w:t>value of the incremental coefficient (β3)</w:t>
      </w:r>
      <w:r w:rsidR="00C80A1B">
        <w:rPr>
          <w:rFonts w:asciiTheme="majorBidi" w:hAnsiTheme="majorBidi"/>
          <w:sz w:val="26"/>
          <w:lang w:val="en-GB"/>
        </w:rPr>
        <w:t xml:space="preserve"> is</w:t>
      </w:r>
      <w:r w:rsidRPr="007F15D8">
        <w:rPr>
          <w:rFonts w:asciiTheme="majorBidi" w:hAnsiTheme="majorBidi"/>
          <w:sz w:val="26"/>
          <w:lang w:val="en-GB"/>
        </w:rPr>
        <w:t>, the more (</w:t>
      </w:r>
      <w:r w:rsidR="0047416A" w:rsidRPr="007F15D8">
        <w:rPr>
          <w:rFonts w:asciiTheme="majorBidi" w:hAnsiTheme="majorBidi"/>
          <w:sz w:val="26"/>
          <w:lang w:val="en-GB"/>
        </w:rPr>
        <w:t xml:space="preserve">less) conservative </w:t>
      </w:r>
      <w:r w:rsidR="005506C1" w:rsidRPr="007F15D8">
        <w:rPr>
          <w:rFonts w:asciiTheme="majorBidi" w:hAnsiTheme="majorBidi"/>
          <w:sz w:val="26"/>
          <w:lang w:val="en-GB"/>
        </w:rPr>
        <w:t xml:space="preserve">the </w:t>
      </w:r>
      <w:r w:rsidR="0047416A" w:rsidRPr="007F15D8">
        <w:rPr>
          <w:rFonts w:asciiTheme="majorBidi" w:hAnsiTheme="majorBidi"/>
          <w:sz w:val="26"/>
          <w:lang w:val="en-GB"/>
        </w:rPr>
        <w:t>earnings</w:t>
      </w:r>
      <w:r w:rsidR="00C80A1B">
        <w:rPr>
          <w:rFonts w:asciiTheme="majorBidi" w:hAnsiTheme="majorBidi"/>
          <w:sz w:val="26"/>
          <w:lang w:val="en-GB"/>
        </w:rPr>
        <w:t xml:space="preserve"> are</w:t>
      </w:r>
      <w:r w:rsidR="0047416A" w:rsidRPr="007F15D8">
        <w:rPr>
          <w:rFonts w:asciiTheme="majorBidi" w:hAnsiTheme="majorBidi"/>
          <w:sz w:val="26"/>
          <w:lang w:val="en-GB"/>
        </w:rPr>
        <w:t>.</w:t>
      </w:r>
    </w:p>
    <w:p w14:paraId="24DE56B5" w14:textId="77777777" w:rsidR="00B725B6" w:rsidRDefault="00B725B6" w:rsidP="00B725B6">
      <w:pPr>
        <w:autoSpaceDE w:val="0"/>
        <w:autoSpaceDN w:val="0"/>
        <w:adjustRightInd w:val="0"/>
        <w:snapToGrid w:val="0"/>
        <w:spacing w:after="0" w:line="360" w:lineRule="exact"/>
        <w:jc w:val="both"/>
        <w:rPr>
          <w:rFonts w:asciiTheme="majorBidi" w:hAnsiTheme="majorBidi"/>
          <w:b/>
          <w:sz w:val="26"/>
        </w:rPr>
      </w:pPr>
    </w:p>
    <w:p w14:paraId="14A75E9E" w14:textId="4C1A37DF" w:rsidR="003A5F19" w:rsidRPr="007F15D8" w:rsidRDefault="00B0379B" w:rsidP="00B725B6">
      <w:pPr>
        <w:autoSpaceDE w:val="0"/>
        <w:autoSpaceDN w:val="0"/>
        <w:adjustRightInd w:val="0"/>
        <w:snapToGrid w:val="0"/>
        <w:spacing w:after="0" w:line="360" w:lineRule="exact"/>
        <w:jc w:val="both"/>
        <w:rPr>
          <w:rFonts w:asciiTheme="majorBidi" w:hAnsiTheme="majorBidi"/>
          <w:b/>
          <w:sz w:val="26"/>
        </w:rPr>
      </w:pPr>
      <w:r>
        <w:rPr>
          <w:rFonts w:asciiTheme="majorBidi" w:hAnsiTheme="majorBidi"/>
          <w:b/>
          <w:sz w:val="26"/>
        </w:rPr>
        <w:t>Measuring Foreign I</w:t>
      </w:r>
      <w:r w:rsidR="00341B1C" w:rsidRPr="007F15D8">
        <w:rPr>
          <w:rFonts w:asciiTheme="majorBidi" w:hAnsiTheme="majorBidi"/>
          <w:b/>
          <w:sz w:val="26"/>
        </w:rPr>
        <w:t>nvestors</w:t>
      </w:r>
    </w:p>
    <w:p w14:paraId="73E59ED9" w14:textId="2E9947C2" w:rsidR="003A2367" w:rsidRPr="007F15D8" w:rsidRDefault="003A2367" w:rsidP="00B725B6">
      <w:pPr>
        <w:autoSpaceDE w:val="0"/>
        <w:autoSpaceDN w:val="0"/>
        <w:adjustRightInd w:val="0"/>
        <w:snapToGrid w:val="0"/>
        <w:spacing w:after="0" w:line="360" w:lineRule="exact"/>
        <w:ind w:firstLine="510"/>
        <w:jc w:val="both"/>
        <w:rPr>
          <w:rFonts w:asciiTheme="majorBidi" w:hAnsiTheme="majorBidi"/>
          <w:sz w:val="26"/>
        </w:rPr>
      </w:pPr>
      <w:r w:rsidRPr="007F15D8">
        <w:rPr>
          <w:rFonts w:asciiTheme="majorBidi" w:hAnsiTheme="majorBidi"/>
          <w:sz w:val="26"/>
        </w:rPr>
        <w:t xml:space="preserve">Following An (2019), FI is </w:t>
      </w:r>
      <w:r w:rsidR="005506C1" w:rsidRPr="007F15D8">
        <w:rPr>
          <w:rFonts w:asciiTheme="majorBidi" w:hAnsiTheme="majorBidi"/>
          <w:sz w:val="26"/>
        </w:rPr>
        <w:t xml:space="preserve">the </w:t>
      </w:r>
      <w:r w:rsidRPr="007F15D8">
        <w:rPr>
          <w:rFonts w:asciiTheme="majorBidi" w:hAnsiTheme="majorBidi"/>
          <w:sz w:val="26"/>
        </w:rPr>
        <w:t>percentage of equity shares held by all foreign investors</w:t>
      </w:r>
      <w:r w:rsidR="000D50EE" w:rsidRPr="007F15D8">
        <w:rPr>
          <w:rFonts w:asciiTheme="majorBidi" w:hAnsiTheme="majorBidi"/>
          <w:sz w:val="26"/>
        </w:rPr>
        <w:t xml:space="preserve"> </w:t>
      </w:r>
      <w:r w:rsidR="005506C1" w:rsidRPr="007F15D8">
        <w:rPr>
          <w:rFonts w:asciiTheme="majorBidi" w:hAnsiTheme="majorBidi"/>
          <w:sz w:val="26"/>
        </w:rPr>
        <w:t>by</w:t>
      </w:r>
      <w:r w:rsidRPr="007F15D8">
        <w:rPr>
          <w:rFonts w:asciiTheme="majorBidi" w:hAnsiTheme="majorBidi"/>
          <w:sz w:val="26"/>
        </w:rPr>
        <w:t xml:space="preserve"> the end of the year, and </w:t>
      </w:r>
      <w:r w:rsidR="005506C1" w:rsidRPr="007F15D8">
        <w:rPr>
          <w:rFonts w:asciiTheme="majorBidi" w:hAnsiTheme="majorBidi"/>
          <w:sz w:val="26"/>
        </w:rPr>
        <w:t xml:space="preserve">it is </w:t>
      </w:r>
      <w:r w:rsidRPr="007F15D8">
        <w:rPr>
          <w:rFonts w:asciiTheme="majorBidi" w:hAnsiTheme="majorBidi"/>
          <w:sz w:val="26"/>
        </w:rPr>
        <w:t xml:space="preserve">calculated as the total number of shares held by </w:t>
      </w:r>
      <w:r w:rsidR="000D50EE" w:rsidRPr="007F15D8">
        <w:rPr>
          <w:rFonts w:asciiTheme="majorBidi" w:hAnsiTheme="majorBidi"/>
          <w:sz w:val="26"/>
        </w:rPr>
        <w:t>FI over</w:t>
      </w:r>
      <w:r w:rsidRPr="007F15D8">
        <w:rPr>
          <w:rFonts w:asciiTheme="majorBidi" w:hAnsiTheme="majorBidi"/>
          <w:sz w:val="26"/>
        </w:rPr>
        <w:t xml:space="preserve"> the total number of shares outstanding.</w:t>
      </w:r>
    </w:p>
    <w:p w14:paraId="4B0BE7AA" w14:textId="2F604CAC" w:rsidR="0007456E" w:rsidRPr="007F15D8" w:rsidRDefault="005506C1" w:rsidP="007B380A">
      <w:pPr>
        <w:autoSpaceDE w:val="0"/>
        <w:autoSpaceDN w:val="0"/>
        <w:adjustRightInd w:val="0"/>
        <w:snapToGrid w:val="0"/>
        <w:spacing w:after="0" w:line="360" w:lineRule="exact"/>
        <w:ind w:firstLine="510"/>
        <w:jc w:val="both"/>
        <w:rPr>
          <w:rFonts w:asciiTheme="majorBidi" w:hAnsiTheme="majorBidi"/>
          <w:sz w:val="26"/>
        </w:rPr>
      </w:pPr>
      <w:r w:rsidRPr="007F15D8">
        <w:rPr>
          <w:rFonts w:asciiTheme="majorBidi" w:hAnsiTheme="majorBidi"/>
          <w:sz w:val="26"/>
        </w:rPr>
        <w:t>T</w:t>
      </w:r>
      <w:r w:rsidR="000246A4" w:rsidRPr="007F15D8">
        <w:rPr>
          <w:rFonts w:asciiTheme="majorBidi" w:hAnsiTheme="majorBidi"/>
          <w:sz w:val="26"/>
        </w:rPr>
        <w:t>he study</w:t>
      </w:r>
      <w:r w:rsidR="003A2367" w:rsidRPr="007F15D8">
        <w:rPr>
          <w:rFonts w:asciiTheme="majorBidi" w:hAnsiTheme="majorBidi"/>
          <w:sz w:val="26"/>
        </w:rPr>
        <w:t xml:space="preserve"> use</w:t>
      </w:r>
      <w:r w:rsidR="000246A4" w:rsidRPr="007F15D8">
        <w:rPr>
          <w:rFonts w:asciiTheme="majorBidi" w:hAnsiTheme="majorBidi"/>
          <w:sz w:val="26"/>
        </w:rPr>
        <w:t>s</w:t>
      </w:r>
      <w:r w:rsidR="003A2367" w:rsidRPr="007F15D8">
        <w:rPr>
          <w:rFonts w:asciiTheme="majorBidi" w:hAnsiTheme="majorBidi"/>
          <w:sz w:val="26"/>
        </w:rPr>
        <w:t xml:space="preserve"> the below regression model</w:t>
      </w:r>
      <w:r w:rsidR="003A5F19" w:rsidRPr="007F15D8">
        <w:rPr>
          <w:rFonts w:asciiTheme="majorBidi" w:hAnsiTheme="majorBidi"/>
          <w:sz w:val="26"/>
        </w:rPr>
        <w:t>s</w:t>
      </w:r>
      <w:r w:rsidR="003A2367" w:rsidRPr="007F15D8">
        <w:rPr>
          <w:rFonts w:asciiTheme="majorBidi" w:hAnsiTheme="majorBidi"/>
          <w:sz w:val="26"/>
        </w:rPr>
        <w:t xml:space="preserve"> to investigate whether </w:t>
      </w:r>
      <w:r w:rsidR="006B1C85" w:rsidRPr="007F15D8">
        <w:rPr>
          <w:rFonts w:asciiTheme="majorBidi" w:hAnsiTheme="majorBidi"/>
          <w:sz w:val="26"/>
        </w:rPr>
        <w:t>EQ</w:t>
      </w:r>
      <w:r w:rsidR="003A5F19" w:rsidRPr="007F15D8">
        <w:rPr>
          <w:rFonts w:asciiTheme="majorBidi" w:hAnsiTheme="majorBidi"/>
          <w:sz w:val="26"/>
        </w:rPr>
        <w:t xml:space="preserve"> </w:t>
      </w:r>
      <w:r w:rsidRPr="007F15D8">
        <w:rPr>
          <w:rFonts w:asciiTheme="majorBidi" w:hAnsiTheme="majorBidi"/>
          <w:sz w:val="26"/>
        </w:rPr>
        <w:t xml:space="preserve">through </w:t>
      </w:r>
      <w:r w:rsidR="003A5F19" w:rsidRPr="007F15D8">
        <w:rPr>
          <w:rFonts w:asciiTheme="majorBidi" w:hAnsiTheme="majorBidi"/>
          <w:sz w:val="26"/>
        </w:rPr>
        <w:t xml:space="preserve">different proxies </w:t>
      </w:r>
      <w:r w:rsidR="003A2367" w:rsidRPr="007F15D8">
        <w:rPr>
          <w:rFonts w:asciiTheme="majorBidi" w:hAnsiTheme="majorBidi"/>
          <w:sz w:val="26"/>
        </w:rPr>
        <w:t>play</w:t>
      </w:r>
      <w:r w:rsidR="00C80A1B">
        <w:rPr>
          <w:rFonts w:asciiTheme="majorBidi" w:hAnsiTheme="majorBidi"/>
          <w:sz w:val="26"/>
        </w:rPr>
        <w:t>s</w:t>
      </w:r>
      <w:r w:rsidR="003A2367" w:rsidRPr="007F15D8">
        <w:rPr>
          <w:rFonts w:asciiTheme="majorBidi" w:hAnsiTheme="majorBidi"/>
          <w:sz w:val="26"/>
        </w:rPr>
        <w:t xml:space="preserve"> an active role </w:t>
      </w:r>
      <w:r w:rsidRPr="007F15D8">
        <w:rPr>
          <w:rFonts w:asciiTheme="majorBidi" w:hAnsiTheme="majorBidi"/>
          <w:sz w:val="26"/>
        </w:rPr>
        <w:t xml:space="preserve">in </w:t>
      </w:r>
      <w:r w:rsidR="003A5F19" w:rsidRPr="007F15D8">
        <w:rPr>
          <w:rFonts w:asciiTheme="majorBidi" w:hAnsiTheme="majorBidi"/>
          <w:sz w:val="26"/>
        </w:rPr>
        <w:t>attract</w:t>
      </w:r>
      <w:r w:rsidRPr="007F15D8">
        <w:rPr>
          <w:rFonts w:asciiTheme="majorBidi" w:hAnsiTheme="majorBidi"/>
          <w:sz w:val="26"/>
        </w:rPr>
        <w:t>ing</w:t>
      </w:r>
      <w:r w:rsidR="003A5F19" w:rsidRPr="007F15D8">
        <w:rPr>
          <w:rFonts w:asciiTheme="majorBidi" w:hAnsiTheme="majorBidi"/>
          <w:sz w:val="26"/>
        </w:rPr>
        <w:t xml:space="preserve"> more foreign investors. </w:t>
      </w:r>
      <w:r w:rsidRPr="007F15D8">
        <w:rPr>
          <w:rFonts w:asciiTheme="majorBidi" w:hAnsiTheme="majorBidi"/>
          <w:sz w:val="26"/>
        </w:rPr>
        <w:t>T</w:t>
      </w:r>
      <w:r w:rsidR="0007456E" w:rsidRPr="007F15D8">
        <w:rPr>
          <w:rFonts w:asciiTheme="majorBidi" w:hAnsiTheme="majorBidi"/>
          <w:sz w:val="26"/>
        </w:rPr>
        <w:t xml:space="preserve">o make the analysis robust, </w:t>
      </w:r>
      <w:r w:rsidRPr="007F15D8">
        <w:rPr>
          <w:rFonts w:asciiTheme="majorBidi" w:hAnsiTheme="majorBidi"/>
          <w:sz w:val="26"/>
        </w:rPr>
        <w:t xml:space="preserve">we </w:t>
      </w:r>
      <w:r w:rsidR="0007456E" w:rsidRPr="007F15D8">
        <w:rPr>
          <w:rFonts w:asciiTheme="majorBidi" w:hAnsiTheme="majorBidi"/>
          <w:sz w:val="26"/>
        </w:rPr>
        <w:t>use</w:t>
      </w:r>
      <w:r w:rsidRPr="007F15D8">
        <w:rPr>
          <w:rFonts w:asciiTheme="majorBidi" w:hAnsiTheme="majorBidi"/>
          <w:sz w:val="26"/>
        </w:rPr>
        <w:t>d</w:t>
      </w:r>
      <w:r w:rsidR="0007456E" w:rsidRPr="007F15D8">
        <w:rPr>
          <w:rFonts w:asciiTheme="majorBidi" w:hAnsiTheme="majorBidi"/>
          <w:sz w:val="26"/>
        </w:rPr>
        <w:t xml:space="preserve"> three control variables which are </w:t>
      </w:r>
      <w:r w:rsidRPr="007F15D8">
        <w:rPr>
          <w:rFonts w:asciiTheme="majorBidi" w:hAnsiTheme="majorBidi"/>
          <w:sz w:val="26"/>
        </w:rPr>
        <w:t xml:space="preserve">named </w:t>
      </w:r>
      <w:r w:rsidR="0007456E" w:rsidRPr="007F15D8">
        <w:rPr>
          <w:rFonts w:asciiTheme="majorBidi" w:hAnsiTheme="majorBidi"/>
          <w:sz w:val="26"/>
        </w:rPr>
        <w:t>in prior studies (e.g.</w:t>
      </w:r>
      <w:r w:rsidR="00C80A1B">
        <w:rPr>
          <w:rFonts w:asciiTheme="majorBidi" w:hAnsiTheme="majorBidi"/>
          <w:sz w:val="26"/>
        </w:rPr>
        <w:t>,</w:t>
      </w:r>
      <w:r w:rsidR="0007456E" w:rsidRPr="007F15D8">
        <w:rPr>
          <w:rFonts w:asciiTheme="majorBidi" w:hAnsiTheme="majorBidi"/>
          <w:sz w:val="26"/>
        </w:rPr>
        <w:t xml:space="preserve"> </w:t>
      </w:r>
      <w:r w:rsidR="007B380A" w:rsidRPr="007F15D8">
        <w:rPr>
          <w:rFonts w:asciiTheme="majorBidi" w:hAnsiTheme="majorBidi"/>
          <w:sz w:val="26"/>
        </w:rPr>
        <w:t>An (2019);</w:t>
      </w:r>
      <w:r w:rsidR="007B380A">
        <w:rPr>
          <w:rFonts w:asciiTheme="majorBidi" w:hAnsiTheme="majorBidi"/>
          <w:sz w:val="26"/>
        </w:rPr>
        <w:t xml:space="preserve"> </w:t>
      </w:r>
      <w:proofErr w:type="spellStart"/>
      <w:r w:rsidR="0007456E" w:rsidRPr="007F15D8">
        <w:rPr>
          <w:rFonts w:asciiTheme="majorBidi" w:hAnsiTheme="majorBidi"/>
          <w:sz w:val="26"/>
        </w:rPr>
        <w:t>Perotti</w:t>
      </w:r>
      <w:proofErr w:type="spellEnd"/>
      <w:r w:rsidR="0007456E" w:rsidRPr="007F15D8">
        <w:rPr>
          <w:rFonts w:asciiTheme="majorBidi" w:hAnsiTheme="majorBidi"/>
          <w:sz w:val="26"/>
        </w:rPr>
        <w:t xml:space="preserve"> </w:t>
      </w:r>
      <w:r w:rsidR="00523653">
        <w:rPr>
          <w:rFonts w:asciiTheme="majorBidi" w:hAnsiTheme="majorBidi"/>
          <w:sz w:val="26"/>
        </w:rPr>
        <w:t>and</w:t>
      </w:r>
      <w:r w:rsidR="007875AD">
        <w:rPr>
          <w:rFonts w:asciiTheme="majorBidi" w:hAnsiTheme="majorBidi"/>
          <w:sz w:val="26"/>
        </w:rPr>
        <w:t xml:space="preserve"> </w:t>
      </w:r>
      <w:proofErr w:type="spellStart"/>
      <w:r w:rsidR="00A962D9">
        <w:rPr>
          <w:rFonts w:asciiTheme="majorBidi" w:hAnsiTheme="majorBidi"/>
          <w:sz w:val="26"/>
        </w:rPr>
        <w:t>Wagenhofer</w:t>
      </w:r>
      <w:proofErr w:type="spellEnd"/>
      <w:r w:rsidR="00944F99" w:rsidRPr="007F15D8">
        <w:rPr>
          <w:rFonts w:asciiTheme="majorBidi" w:hAnsiTheme="majorBidi"/>
          <w:sz w:val="26"/>
        </w:rPr>
        <w:t xml:space="preserve"> (</w:t>
      </w:r>
      <w:r w:rsidR="0007456E" w:rsidRPr="007F15D8">
        <w:rPr>
          <w:rFonts w:asciiTheme="majorBidi" w:hAnsiTheme="majorBidi"/>
          <w:sz w:val="26"/>
        </w:rPr>
        <w:t xml:space="preserve">2014); Vo </w:t>
      </w:r>
      <w:r w:rsidR="00523653">
        <w:rPr>
          <w:rFonts w:asciiTheme="majorBidi" w:hAnsiTheme="majorBidi"/>
          <w:sz w:val="26"/>
        </w:rPr>
        <w:t>and</w:t>
      </w:r>
      <w:r w:rsidR="007875AD">
        <w:rPr>
          <w:rFonts w:asciiTheme="majorBidi" w:hAnsiTheme="majorBidi"/>
          <w:sz w:val="26"/>
        </w:rPr>
        <w:t xml:space="preserve"> </w:t>
      </w:r>
      <w:r w:rsidR="0007456E" w:rsidRPr="007F15D8">
        <w:rPr>
          <w:rFonts w:asciiTheme="majorBidi" w:hAnsiTheme="majorBidi"/>
          <w:sz w:val="26"/>
        </w:rPr>
        <w:t>Chu</w:t>
      </w:r>
      <w:r w:rsidR="00944F99" w:rsidRPr="007F15D8">
        <w:rPr>
          <w:rFonts w:asciiTheme="majorBidi" w:hAnsiTheme="majorBidi"/>
          <w:sz w:val="26"/>
        </w:rPr>
        <w:t xml:space="preserve"> (</w:t>
      </w:r>
      <w:r w:rsidR="0007456E" w:rsidRPr="007F15D8">
        <w:rPr>
          <w:rFonts w:asciiTheme="majorBidi" w:hAnsiTheme="majorBidi"/>
          <w:sz w:val="26"/>
        </w:rPr>
        <w:t>2019)). These variables are firm size (S), auditor type (Big4)</w:t>
      </w:r>
      <w:r w:rsidR="00C80A1B">
        <w:rPr>
          <w:rFonts w:asciiTheme="majorBidi" w:hAnsiTheme="majorBidi"/>
          <w:sz w:val="26"/>
        </w:rPr>
        <w:t>,</w:t>
      </w:r>
      <w:r w:rsidR="0007456E" w:rsidRPr="007F15D8">
        <w:rPr>
          <w:rFonts w:asciiTheme="majorBidi" w:hAnsiTheme="majorBidi"/>
          <w:sz w:val="26"/>
        </w:rPr>
        <w:t xml:space="preserve"> and leverage (R). Firm size is measured by </w:t>
      </w:r>
      <w:r w:rsidRPr="007F15D8">
        <w:rPr>
          <w:rFonts w:asciiTheme="majorBidi" w:hAnsiTheme="majorBidi"/>
          <w:sz w:val="26"/>
        </w:rPr>
        <w:t xml:space="preserve">the </w:t>
      </w:r>
      <w:r w:rsidR="0007456E" w:rsidRPr="007F15D8">
        <w:rPr>
          <w:rFonts w:asciiTheme="majorBidi" w:hAnsiTheme="majorBidi"/>
          <w:sz w:val="26"/>
        </w:rPr>
        <w:t>algorithm of total assets</w:t>
      </w:r>
      <w:r w:rsidRPr="007F15D8">
        <w:rPr>
          <w:rFonts w:asciiTheme="majorBidi" w:hAnsiTheme="majorBidi"/>
          <w:sz w:val="26"/>
        </w:rPr>
        <w:t xml:space="preserve">. Auditor </w:t>
      </w:r>
      <w:r w:rsidR="0007456E" w:rsidRPr="007F15D8">
        <w:rPr>
          <w:rFonts w:asciiTheme="majorBidi" w:hAnsiTheme="majorBidi"/>
          <w:sz w:val="26"/>
        </w:rPr>
        <w:t>type is measured by big 4 and non-big 4 audit firms</w:t>
      </w:r>
      <w:r w:rsidRPr="007F15D8">
        <w:rPr>
          <w:rFonts w:asciiTheme="majorBidi" w:hAnsiTheme="majorBidi"/>
          <w:sz w:val="26"/>
        </w:rPr>
        <w:t>.</w:t>
      </w:r>
      <w:r w:rsidR="0007456E" w:rsidRPr="007F15D8">
        <w:rPr>
          <w:rFonts w:asciiTheme="majorBidi" w:hAnsiTheme="majorBidi"/>
          <w:sz w:val="26"/>
        </w:rPr>
        <w:t xml:space="preserve"> </w:t>
      </w:r>
      <w:r w:rsidRPr="007F15D8">
        <w:rPr>
          <w:rFonts w:asciiTheme="majorBidi" w:hAnsiTheme="majorBidi"/>
          <w:sz w:val="26"/>
        </w:rPr>
        <w:t>L</w:t>
      </w:r>
      <w:r w:rsidR="0007456E" w:rsidRPr="007F15D8">
        <w:rPr>
          <w:rFonts w:asciiTheme="majorBidi" w:hAnsiTheme="majorBidi"/>
          <w:sz w:val="26"/>
        </w:rPr>
        <w:t xml:space="preserve">everage is measured by total assets </w:t>
      </w:r>
      <w:r w:rsidRPr="007F15D8">
        <w:rPr>
          <w:rFonts w:asciiTheme="majorBidi" w:hAnsiTheme="majorBidi"/>
          <w:sz w:val="26"/>
        </w:rPr>
        <w:t xml:space="preserve">divided </w:t>
      </w:r>
      <w:r w:rsidR="0007456E" w:rsidRPr="007F15D8">
        <w:rPr>
          <w:rFonts w:asciiTheme="majorBidi" w:hAnsiTheme="majorBidi"/>
          <w:sz w:val="26"/>
        </w:rPr>
        <w:t xml:space="preserve">by total liabilities. </w:t>
      </w:r>
    </w:p>
    <w:p w14:paraId="22C32FEA" w14:textId="77777777" w:rsidR="003A5F19" w:rsidRPr="007F15D8" w:rsidRDefault="003A5F19" w:rsidP="00B725B6">
      <w:pPr>
        <w:autoSpaceDE w:val="0"/>
        <w:autoSpaceDN w:val="0"/>
        <w:adjustRightInd w:val="0"/>
        <w:snapToGrid w:val="0"/>
        <w:spacing w:after="0" w:line="360" w:lineRule="exact"/>
        <w:jc w:val="both"/>
        <w:rPr>
          <w:rFonts w:asciiTheme="majorBidi" w:hAnsiTheme="majorBidi"/>
          <w:sz w:val="26"/>
        </w:rPr>
      </w:pPr>
    </w:p>
    <w:p w14:paraId="3511DE9A" w14:textId="4FA7AEB2" w:rsidR="003A5F19" w:rsidRPr="007F15D8" w:rsidRDefault="00B75B6E" w:rsidP="00B725B6">
      <w:pPr>
        <w:autoSpaceDE w:val="0"/>
        <w:autoSpaceDN w:val="0"/>
        <w:adjustRightInd w:val="0"/>
        <w:snapToGrid w:val="0"/>
        <w:spacing w:after="0" w:line="360" w:lineRule="exact"/>
        <w:jc w:val="both"/>
        <w:rPr>
          <w:rFonts w:asciiTheme="majorBidi" w:hAnsiTheme="majorBidi"/>
          <w:sz w:val="26"/>
        </w:rPr>
      </w:pPr>
      <w:r w:rsidRPr="007F15D8">
        <w:rPr>
          <w:rFonts w:asciiTheme="majorBidi" w:hAnsiTheme="majorBidi"/>
          <w:sz w:val="26"/>
        </w:rPr>
        <w:t xml:space="preserve">Model 1: Persistence (EQ-PER) and FI </w:t>
      </w:r>
    </w:p>
    <w:p w14:paraId="4A9294D9" w14:textId="29728804" w:rsidR="00B75B6E" w:rsidRPr="007F15D8" w:rsidRDefault="00B75B6E" w:rsidP="00B92006">
      <w:pPr>
        <w:snapToGrid w:val="0"/>
        <w:spacing w:after="0" w:line="460" w:lineRule="exact"/>
        <w:ind w:leftChars="400" w:left="880"/>
        <w:jc w:val="distribute"/>
        <w:rPr>
          <w:rFonts w:asciiTheme="majorBidi" w:hAnsiTheme="majorBidi"/>
          <w:sz w:val="26"/>
        </w:rPr>
      </w:pPr>
      <m:oMathPara>
        <m:oMath>
          <m:r>
            <w:rPr>
              <w:rFonts w:ascii="Cambria Math" w:hAnsi="Cambria Math" w:hint="eastAsia"/>
              <w:sz w:val="26"/>
            </w:rPr>
            <m:t>FIit=α+β1EQ</m:t>
          </m:r>
          <m:d>
            <m:dPr>
              <m:ctrlPr>
                <w:rPr>
                  <w:rFonts w:ascii="Cambria Math" w:hAnsi="Cambria Math"/>
                  <w:i/>
                  <w:sz w:val="26"/>
                </w:rPr>
              </m:ctrlPr>
            </m:dPr>
            <m:e>
              <m:r>
                <w:rPr>
                  <w:rFonts w:ascii="Cambria Math" w:hAnsi="Cambria Math" w:hint="eastAsia"/>
                  <w:sz w:val="26"/>
                </w:rPr>
                <m:t>PER</m:t>
              </m:r>
            </m:e>
          </m:d>
          <m:r>
            <w:rPr>
              <w:rFonts w:ascii="Cambria Math" w:hAnsi="Cambria Math" w:hint="eastAsia"/>
              <w:sz w:val="26"/>
            </w:rPr>
            <m:t>it+β2Sit+β3Big4it+β4Rit+</m:t>
          </m:r>
          <m:r>
            <m:rPr>
              <m:sty m:val="p"/>
            </m:rPr>
            <w:rPr>
              <w:rFonts w:ascii="Cambria Math" w:hAnsi="Cambria Math" w:hint="eastAsia"/>
              <w:sz w:val="26"/>
            </w:rPr>
            <m:t>ε</m:t>
          </m:r>
          <m:r>
            <m:rPr>
              <m:sty m:val="p"/>
            </m:rPr>
            <w:rPr>
              <w:rFonts w:ascii="Cambria Math" w:hAnsi="Cambria Math" w:hint="eastAsia"/>
              <w:sz w:val="26"/>
            </w:rPr>
            <m:t>i</m:t>
          </m:r>
          <m:r>
            <w:rPr>
              <w:rFonts w:ascii="Cambria Math" w:hAnsi="Cambria Math"/>
              <w:sz w:val="26"/>
            </w:rPr>
            <m:t>t      (1-1)</m:t>
          </m:r>
        </m:oMath>
      </m:oMathPara>
    </w:p>
    <w:p w14:paraId="74651448" w14:textId="77777777" w:rsidR="00B75B6E" w:rsidRPr="007F15D8" w:rsidRDefault="00B75B6E" w:rsidP="00B725B6">
      <w:pPr>
        <w:autoSpaceDE w:val="0"/>
        <w:autoSpaceDN w:val="0"/>
        <w:adjustRightInd w:val="0"/>
        <w:snapToGrid w:val="0"/>
        <w:spacing w:after="0" w:line="360" w:lineRule="exact"/>
        <w:jc w:val="both"/>
        <w:rPr>
          <w:rFonts w:asciiTheme="majorBidi" w:hAnsiTheme="majorBidi"/>
          <w:sz w:val="26"/>
        </w:rPr>
      </w:pPr>
    </w:p>
    <w:p w14:paraId="64C80AFC" w14:textId="79D51257" w:rsidR="00B75B6E" w:rsidRPr="007F15D8" w:rsidRDefault="00B75B6E" w:rsidP="00B725B6">
      <w:pPr>
        <w:autoSpaceDE w:val="0"/>
        <w:autoSpaceDN w:val="0"/>
        <w:adjustRightInd w:val="0"/>
        <w:snapToGrid w:val="0"/>
        <w:spacing w:after="0" w:line="360" w:lineRule="exact"/>
        <w:jc w:val="both"/>
        <w:rPr>
          <w:rFonts w:asciiTheme="majorBidi" w:hAnsiTheme="majorBidi"/>
          <w:sz w:val="26"/>
        </w:rPr>
      </w:pPr>
      <w:r w:rsidRPr="007F15D8">
        <w:rPr>
          <w:rFonts w:asciiTheme="majorBidi" w:hAnsiTheme="majorBidi"/>
          <w:sz w:val="26"/>
        </w:rPr>
        <w:t>Model 2: Predictability (EQ-P) and FI</w:t>
      </w:r>
    </w:p>
    <w:p w14:paraId="49CAE1C5" w14:textId="1F0E061C" w:rsidR="00B75B6E" w:rsidRPr="00AD4EF4" w:rsidRDefault="00B75B6E" w:rsidP="009A7E17">
      <w:pPr>
        <w:snapToGrid w:val="0"/>
        <w:spacing w:after="0" w:line="460" w:lineRule="exact"/>
        <w:ind w:leftChars="400" w:left="880"/>
        <w:jc w:val="distribute"/>
        <w:rPr>
          <w:rFonts w:ascii="Cambria Math" w:hAnsi="Cambria Math"/>
          <w:i/>
          <w:sz w:val="26"/>
        </w:rPr>
      </w:pPr>
      <m:oMathPara>
        <m:oMath>
          <m:r>
            <w:rPr>
              <w:rFonts w:ascii="Cambria Math" w:hAnsi="Cambria Math" w:hint="eastAsia"/>
              <w:sz w:val="26"/>
            </w:rPr>
            <m:t>FIit=α+β1EQ</m:t>
          </m:r>
          <m:d>
            <m:dPr>
              <m:ctrlPr>
                <w:rPr>
                  <w:rFonts w:ascii="Cambria Math" w:hAnsi="Cambria Math"/>
                  <w:i/>
                  <w:sz w:val="26"/>
                </w:rPr>
              </m:ctrlPr>
            </m:dPr>
            <m:e>
              <m:r>
                <w:rPr>
                  <w:rFonts w:ascii="Cambria Math" w:hAnsi="Cambria Math" w:hint="eastAsia"/>
                  <w:sz w:val="26"/>
                </w:rPr>
                <m:t>P</m:t>
              </m:r>
            </m:e>
          </m:d>
          <m:r>
            <w:rPr>
              <w:rFonts w:ascii="Cambria Math" w:hAnsi="Cambria Math" w:hint="eastAsia"/>
              <w:sz w:val="26"/>
            </w:rPr>
            <m:t>itβ2Sit+β3Big4it+β4Rit+εi</m:t>
          </m:r>
          <m:r>
            <w:rPr>
              <w:rFonts w:ascii="Cambria Math" w:hAnsi="Cambria Math"/>
              <w:sz w:val="26"/>
            </w:rPr>
            <m:t>t                   (1-2)</m:t>
          </m:r>
        </m:oMath>
      </m:oMathPara>
    </w:p>
    <w:p w14:paraId="07441E0F" w14:textId="77777777" w:rsidR="00B75B6E" w:rsidRPr="007F15D8" w:rsidRDefault="00B75B6E" w:rsidP="00B725B6">
      <w:pPr>
        <w:snapToGrid w:val="0"/>
        <w:spacing w:after="0" w:line="460" w:lineRule="exact"/>
        <w:jc w:val="both"/>
        <w:rPr>
          <w:rFonts w:asciiTheme="majorBidi" w:hAnsiTheme="majorBidi"/>
          <w:sz w:val="26"/>
        </w:rPr>
      </w:pPr>
    </w:p>
    <w:p w14:paraId="5B41D09B" w14:textId="6D3C564A" w:rsidR="00E67A4B" w:rsidRPr="007F15D8" w:rsidRDefault="00E67A4B" w:rsidP="00B725B6">
      <w:pPr>
        <w:autoSpaceDE w:val="0"/>
        <w:autoSpaceDN w:val="0"/>
        <w:adjustRightInd w:val="0"/>
        <w:snapToGrid w:val="0"/>
        <w:spacing w:after="0" w:line="360" w:lineRule="exact"/>
        <w:jc w:val="both"/>
        <w:rPr>
          <w:rFonts w:asciiTheme="majorBidi" w:hAnsiTheme="majorBidi"/>
          <w:sz w:val="26"/>
        </w:rPr>
      </w:pPr>
      <w:r w:rsidRPr="007F15D8">
        <w:rPr>
          <w:rFonts w:asciiTheme="majorBidi" w:hAnsiTheme="majorBidi"/>
          <w:sz w:val="26"/>
        </w:rPr>
        <w:t>Mod</w:t>
      </w:r>
      <w:r w:rsidR="005D4D6C" w:rsidRPr="007F15D8">
        <w:rPr>
          <w:rFonts w:asciiTheme="majorBidi" w:hAnsiTheme="majorBidi"/>
          <w:sz w:val="26"/>
        </w:rPr>
        <w:t>el 3</w:t>
      </w:r>
      <w:r w:rsidRPr="007F15D8">
        <w:rPr>
          <w:rFonts w:asciiTheme="majorBidi" w:hAnsiTheme="majorBidi"/>
          <w:sz w:val="26"/>
        </w:rPr>
        <w:t xml:space="preserve">: Value </w:t>
      </w:r>
      <w:r w:rsidR="005506C1" w:rsidRPr="007F15D8">
        <w:rPr>
          <w:rFonts w:asciiTheme="majorBidi" w:hAnsiTheme="majorBidi"/>
          <w:sz w:val="26"/>
        </w:rPr>
        <w:t xml:space="preserve">relevance </w:t>
      </w:r>
      <w:r w:rsidRPr="007F15D8">
        <w:rPr>
          <w:rFonts w:asciiTheme="majorBidi" w:hAnsiTheme="majorBidi"/>
          <w:sz w:val="26"/>
        </w:rPr>
        <w:t>(EQ-VR) and FI</w:t>
      </w:r>
    </w:p>
    <w:p w14:paraId="06ECBC21" w14:textId="3AE738CB" w:rsidR="00E67A4B" w:rsidRPr="00AD4EF4" w:rsidRDefault="00E67A4B" w:rsidP="009A7E17">
      <w:pPr>
        <w:snapToGrid w:val="0"/>
        <w:spacing w:after="0" w:line="460" w:lineRule="exact"/>
        <w:ind w:leftChars="400" w:left="880"/>
        <w:jc w:val="distribute"/>
        <w:rPr>
          <w:rFonts w:ascii="Cambria Math" w:hAnsi="Cambria Math"/>
          <w:i/>
          <w:sz w:val="26"/>
        </w:rPr>
      </w:pPr>
      <m:oMathPara>
        <m:oMath>
          <m:r>
            <w:rPr>
              <w:rFonts w:ascii="Cambria Math" w:hAnsi="Cambria Math" w:hint="eastAsia"/>
              <w:sz w:val="26"/>
            </w:rPr>
            <m:t>FIit=α+β1EQ</m:t>
          </m:r>
          <m:d>
            <m:dPr>
              <m:ctrlPr>
                <w:rPr>
                  <w:rFonts w:ascii="Cambria Math" w:hAnsi="Cambria Math"/>
                  <w:i/>
                  <w:sz w:val="26"/>
                </w:rPr>
              </m:ctrlPr>
            </m:dPr>
            <m:e>
              <m:r>
                <w:rPr>
                  <w:rFonts w:ascii="Cambria Math" w:hAnsi="Cambria Math" w:hint="eastAsia"/>
                  <w:sz w:val="26"/>
                </w:rPr>
                <m:t>VR</m:t>
              </m:r>
            </m:e>
          </m:d>
          <m:r>
            <w:rPr>
              <w:rFonts w:ascii="Cambria Math" w:hAnsi="Cambria Math" w:hint="eastAsia"/>
              <w:sz w:val="26"/>
            </w:rPr>
            <m:t>itβ2Sit+β3Big4it+β4Rit+εi</m:t>
          </m:r>
          <m:r>
            <w:rPr>
              <w:rFonts w:ascii="Cambria Math" w:hAnsi="Cambria Math"/>
              <w:sz w:val="26"/>
            </w:rPr>
            <m:t>t                 (1-3)</m:t>
          </m:r>
        </m:oMath>
      </m:oMathPara>
    </w:p>
    <w:p w14:paraId="42F9EE18" w14:textId="77777777" w:rsidR="00E67A4B" w:rsidRPr="007F15D8" w:rsidRDefault="00E67A4B" w:rsidP="00B725B6">
      <w:pPr>
        <w:autoSpaceDE w:val="0"/>
        <w:autoSpaceDN w:val="0"/>
        <w:adjustRightInd w:val="0"/>
        <w:snapToGrid w:val="0"/>
        <w:spacing w:after="0" w:line="360" w:lineRule="exact"/>
        <w:jc w:val="both"/>
        <w:rPr>
          <w:rFonts w:asciiTheme="majorBidi" w:hAnsiTheme="majorBidi"/>
          <w:sz w:val="26"/>
        </w:rPr>
      </w:pPr>
    </w:p>
    <w:p w14:paraId="092FD9BA" w14:textId="21A59269" w:rsidR="00E67A4B" w:rsidRPr="007F15D8" w:rsidRDefault="005D4D6C" w:rsidP="00B725B6">
      <w:pPr>
        <w:autoSpaceDE w:val="0"/>
        <w:autoSpaceDN w:val="0"/>
        <w:adjustRightInd w:val="0"/>
        <w:snapToGrid w:val="0"/>
        <w:spacing w:after="0" w:line="360" w:lineRule="exact"/>
        <w:rPr>
          <w:rFonts w:asciiTheme="majorBidi" w:hAnsiTheme="majorBidi"/>
          <w:sz w:val="26"/>
        </w:rPr>
      </w:pPr>
      <w:r w:rsidRPr="007F15D8">
        <w:rPr>
          <w:rFonts w:asciiTheme="majorBidi" w:hAnsiTheme="majorBidi"/>
          <w:sz w:val="26"/>
        </w:rPr>
        <w:t>Model 4</w:t>
      </w:r>
      <w:r w:rsidR="00E67A4B" w:rsidRPr="007F15D8">
        <w:rPr>
          <w:rFonts w:asciiTheme="majorBidi" w:hAnsiTheme="majorBidi"/>
          <w:sz w:val="26"/>
        </w:rPr>
        <w:t xml:space="preserve">: </w:t>
      </w:r>
      <w:r w:rsidR="001602EF" w:rsidRPr="007F15D8">
        <w:rPr>
          <w:rFonts w:asciiTheme="majorBidi" w:hAnsiTheme="majorBidi"/>
          <w:sz w:val="26"/>
        </w:rPr>
        <w:t>ERC</w:t>
      </w:r>
      <w:r w:rsidR="00E67A4B" w:rsidRPr="007F15D8">
        <w:rPr>
          <w:rFonts w:asciiTheme="majorBidi" w:hAnsiTheme="majorBidi"/>
          <w:sz w:val="26"/>
        </w:rPr>
        <w:t xml:space="preserve"> (EQ-ERC) and FI</w:t>
      </w:r>
    </w:p>
    <w:p w14:paraId="0BC0613B" w14:textId="562AD5FD" w:rsidR="00E67A4B" w:rsidRPr="00AD4EF4" w:rsidRDefault="00E67A4B" w:rsidP="009A7E17">
      <w:pPr>
        <w:snapToGrid w:val="0"/>
        <w:spacing w:after="0" w:line="460" w:lineRule="exact"/>
        <w:ind w:leftChars="400" w:left="880"/>
        <w:jc w:val="distribute"/>
        <w:rPr>
          <w:rFonts w:ascii="Cambria Math" w:hAnsi="Cambria Math"/>
          <w:i/>
          <w:sz w:val="26"/>
        </w:rPr>
      </w:pPr>
      <m:oMathPara>
        <m:oMath>
          <m:r>
            <w:rPr>
              <w:rFonts w:ascii="Cambria Math" w:hAnsi="Cambria Math" w:hint="eastAsia"/>
              <w:sz w:val="26"/>
            </w:rPr>
            <m:t>FIit=α+β1EQ</m:t>
          </m:r>
          <m:d>
            <m:dPr>
              <m:ctrlPr>
                <w:rPr>
                  <w:rFonts w:ascii="Cambria Math" w:hAnsi="Cambria Math"/>
                  <w:i/>
                  <w:sz w:val="26"/>
                </w:rPr>
              </m:ctrlPr>
            </m:dPr>
            <m:e>
              <m:r>
                <w:rPr>
                  <w:rFonts w:ascii="Cambria Math" w:hAnsi="Cambria Math" w:hint="eastAsia"/>
                  <w:sz w:val="26"/>
                </w:rPr>
                <m:t>ERC</m:t>
              </m:r>
            </m:e>
          </m:d>
          <m:r>
            <w:rPr>
              <w:rFonts w:ascii="Cambria Math" w:hAnsi="Cambria Math" w:hint="eastAsia"/>
              <w:sz w:val="26"/>
            </w:rPr>
            <m:t>itβ2Sit+β3Big4it+β4Rit+εi</m:t>
          </m:r>
          <m:r>
            <w:rPr>
              <w:rFonts w:ascii="Cambria Math" w:hAnsi="Cambria Math"/>
              <w:sz w:val="26"/>
            </w:rPr>
            <m:t>t              (1-4)</m:t>
          </m:r>
        </m:oMath>
      </m:oMathPara>
    </w:p>
    <w:p w14:paraId="6E5ED1CC" w14:textId="77777777" w:rsidR="00E67A4B" w:rsidRPr="007F15D8" w:rsidRDefault="00E67A4B" w:rsidP="00B725B6">
      <w:pPr>
        <w:autoSpaceDE w:val="0"/>
        <w:autoSpaceDN w:val="0"/>
        <w:adjustRightInd w:val="0"/>
        <w:snapToGrid w:val="0"/>
        <w:spacing w:after="0" w:line="360" w:lineRule="exact"/>
        <w:jc w:val="both"/>
        <w:rPr>
          <w:rFonts w:asciiTheme="majorBidi" w:hAnsiTheme="majorBidi"/>
          <w:sz w:val="26"/>
        </w:rPr>
      </w:pPr>
    </w:p>
    <w:p w14:paraId="46A3763F" w14:textId="1CC763F3" w:rsidR="00E67A4B" w:rsidRPr="007F15D8" w:rsidRDefault="005D4D6C" w:rsidP="00B725B6">
      <w:pPr>
        <w:autoSpaceDE w:val="0"/>
        <w:autoSpaceDN w:val="0"/>
        <w:adjustRightInd w:val="0"/>
        <w:snapToGrid w:val="0"/>
        <w:spacing w:after="0" w:line="360" w:lineRule="exact"/>
        <w:rPr>
          <w:rFonts w:asciiTheme="majorBidi" w:hAnsiTheme="majorBidi"/>
          <w:sz w:val="26"/>
        </w:rPr>
      </w:pPr>
      <w:r w:rsidRPr="007F15D8">
        <w:rPr>
          <w:rFonts w:asciiTheme="majorBidi" w:hAnsiTheme="majorBidi"/>
          <w:sz w:val="26"/>
        </w:rPr>
        <w:t>Model 5</w:t>
      </w:r>
      <w:r w:rsidR="00E67A4B" w:rsidRPr="007F15D8">
        <w:rPr>
          <w:rFonts w:asciiTheme="majorBidi" w:hAnsiTheme="majorBidi"/>
          <w:sz w:val="26"/>
        </w:rPr>
        <w:t xml:space="preserve">: </w:t>
      </w:r>
      <w:r w:rsidR="005506C1" w:rsidRPr="007F15D8">
        <w:rPr>
          <w:rFonts w:asciiTheme="majorBidi" w:hAnsiTheme="majorBidi"/>
          <w:sz w:val="26"/>
        </w:rPr>
        <w:t>L</w:t>
      </w:r>
      <w:r w:rsidR="00E67A4B" w:rsidRPr="007F15D8">
        <w:rPr>
          <w:rFonts w:asciiTheme="majorBidi" w:hAnsiTheme="majorBidi"/>
          <w:sz w:val="26"/>
        </w:rPr>
        <w:t>oss recognition</w:t>
      </w:r>
      <w:r w:rsidR="005506C1" w:rsidRPr="007F15D8">
        <w:rPr>
          <w:rFonts w:asciiTheme="majorBidi" w:hAnsiTheme="majorBidi"/>
          <w:sz w:val="26"/>
        </w:rPr>
        <w:t xml:space="preserve"> timeliness</w:t>
      </w:r>
      <w:r w:rsidR="00E67A4B" w:rsidRPr="007F15D8">
        <w:rPr>
          <w:rFonts w:asciiTheme="majorBidi" w:hAnsiTheme="majorBidi"/>
          <w:sz w:val="26"/>
        </w:rPr>
        <w:t xml:space="preserve"> (EQ-TRL) and FI</w:t>
      </w:r>
    </w:p>
    <w:p w14:paraId="07FC2189" w14:textId="5EC8CE8A" w:rsidR="00E67A4B" w:rsidRPr="00AD4EF4" w:rsidRDefault="00E67A4B" w:rsidP="009A7E17">
      <w:pPr>
        <w:snapToGrid w:val="0"/>
        <w:spacing w:after="0" w:line="460" w:lineRule="exact"/>
        <w:ind w:leftChars="400" w:left="880"/>
        <w:jc w:val="distribute"/>
        <w:rPr>
          <w:rFonts w:ascii="Cambria Math" w:hAnsi="Cambria Math"/>
          <w:i/>
          <w:sz w:val="26"/>
        </w:rPr>
      </w:pPr>
      <m:oMathPara>
        <m:oMath>
          <m:r>
            <w:rPr>
              <w:rFonts w:ascii="Cambria Math" w:hAnsi="Cambria Math" w:hint="eastAsia"/>
              <w:sz w:val="26"/>
            </w:rPr>
            <m:t>FIit=α+β1EQ</m:t>
          </m:r>
          <m:d>
            <m:dPr>
              <m:ctrlPr>
                <w:rPr>
                  <w:rFonts w:ascii="Cambria Math" w:hAnsi="Cambria Math"/>
                  <w:i/>
                  <w:sz w:val="26"/>
                </w:rPr>
              </m:ctrlPr>
            </m:dPr>
            <m:e>
              <m:r>
                <w:rPr>
                  <w:rFonts w:ascii="Cambria Math" w:hAnsi="Cambria Math" w:hint="eastAsia"/>
                  <w:sz w:val="26"/>
                </w:rPr>
                <m:t>TRL</m:t>
              </m:r>
            </m:e>
          </m:d>
          <m:r>
            <w:rPr>
              <w:rFonts w:ascii="Cambria Math" w:hAnsi="Cambria Math" w:hint="eastAsia"/>
              <w:sz w:val="26"/>
            </w:rPr>
            <m:t>itβ2Sit+β3Big4it+β4Rit+εi</m:t>
          </m:r>
          <m:r>
            <w:rPr>
              <w:rFonts w:ascii="Cambria Math" w:hAnsi="Cambria Math"/>
              <w:sz w:val="26"/>
            </w:rPr>
            <m:t>t              (1-5)</m:t>
          </m:r>
        </m:oMath>
      </m:oMathPara>
    </w:p>
    <w:p w14:paraId="6E9F45A8" w14:textId="77777777" w:rsidR="00E67A4B" w:rsidRPr="007F15D8" w:rsidRDefault="00E67A4B" w:rsidP="00B725B6">
      <w:pPr>
        <w:autoSpaceDE w:val="0"/>
        <w:autoSpaceDN w:val="0"/>
        <w:adjustRightInd w:val="0"/>
        <w:snapToGrid w:val="0"/>
        <w:spacing w:after="0" w:line="360" w:lineRule="exact"/>
        <w:jc w:val="both"/>
        <w:rPr>
          <w:rFonts w:asciiTheme="majorBidi" w:hAnsiTheme="majorBidi"/>
          <w:sz w:val="26"/>
        </w:rPr>
      </w:pPr>
    </w:p>
    <w:p w14:paraId="6F402368" w14:textId="6D108EFC" w:rsidR="00B75B6E" w:rsidRPr="007F15D8" w:rsidRDefault="005D4D6C" w:rsidP="00B725B6">
      <w:pPr>
        <w:autoSpaceDE w:val="0"/>
        <w:autoSpaceDN w:val="0"/>
        <w:adjustRightInd w:val="0"/>
        <w:snapToGrid w:val="0"/>
        <w:spacing w:after="0" w:line="360" w:lineRule="exact"/>
        <w:jc w:val="both"/>
        <w:rPr>
          <w:rFonts w:asciiTheme="majorBidi" w:hAnsiTheme="majorBidi"/>
          <w:sz w:val="26"/>
        </w:rPr>
      </w:pPr>
      <w:r w:rsidRPr="007F15D8">
        <w:rPr>
          <w:rFonts w:asciiTheme="majorBidi" w:hAnsiTheme="majorBidi"/>
          <w:sz w:val="26"/>
        </w:rPr>
        <w:t>Model 6</w:t>
      </w:r>
      <w:r w:rsidR="00B75B6E" w:rsidRPr="007F15D8">
        <w:rPr>
          <w:rFonts w:asciiTheme="majorBidi" w:hAnsiTheme="majorBidi"/>
          <w:sz w:val="26"/>
        </w:rPr>
        <w:t xml:space="preserve">: Accrual </w:t>
      </w:r>
      <w:r w:rsidR="005506C1" w:rsidRPr="007F15D8">
        <w:rPr>
          <w:rFonts w:asciiTheme="majorBidi" w:hAnsiTheme="majorBidi"/>
          <w:sz w:val="26"/>
        </w:rPr>
        <w:t xml:space="preserve">quality </w:t>
      </w:r>
      <w:r w:rsidR="00B75B6E" w:rsidRPr="007F15D8">
        <w:rPr>
          <w:rFonts w:asciiTheme="majorBidi" w:hAnsiTheme="majorBidi"/>
          <w:sz w:val="26"/>
        </w:rPr>
        <w:t>(EQ-AQ) and FI</w:t>
      </w:r>
    </w:p>
    <w:p w14:paraId="0A9B43D9" w14:textId="5DE3BDEF" w:rsidR="00B75B6E" w:rsidRPr="009A7E17" w:rsidRDefault="00B75B6E" w:rsidP="009A7E17">
      <w:pPr>
        <w:snapToGrid w:val="0"/>
        <w:spacing w:after="0" w:line="460" w:lineRule="exact"/>
        <w:ind w:leftChars="400" w:left="880"/>
        <w:jc w:val="distribute"/>
        <w:rPr>
          <w:rFonts w:ascii="Cambria Math" w:hAnsi="Cambria Math"/>
          <w:i/>
          <w:sz w:val="26"/>
        </w:rPr>
      </w:pPr>
      <m:oMathPara>
        <m:oMath>
          <m:r>
            <w:rPr>
              <w:rFonts w:ascii="Cambria Math" w:hAnsi="Cambria Math" w:hint="eastAsia"/>
              <w:sz w:val="26"/>
            </w:rPr>
            <w:lastRenderedPageBreak/>
            <m:t>FIit=α+β1EQ</m:t>
          </m:r>
          <m:d>
            <m:dPr>
              <m:ctrlPr>
                <w:rPr>
                  <w:rFonts w:ascii="Cambria Math" w:hAnsi="Cambria Math"/>
                  <w:i/>
                  <w:sz w:val="26"/>
                </w:rPr>
              </m:ctrlPr>
            </m:dPr>
            <m:e>
              <m:r>
                <w:rPr>
                  <w:rFonts w:ascii="Cambria Math" w:hAnsi="Cambria Math" w:hint="eastAsia"/>
                  <w:sz w:val="26"/>
                </w:rPr>
                <m:t>AQ</m:t>
              </m:r>
            </m:e>
          </m:d>
          <m:r>
            <w:rPr>
              <w:rFonts w:ascii="Cambria Math" w:hAnsi="Cambria Math" w:hint="eastAsia"/>
              <w:sz w:val="26"/>
            </w:rPr>
            <m:t>itβ2Sit+β3Big4it+β4Rit+εi</m:t>
          </m:r>
          <m:r>
            <w:rPr>
              <w:rFonts w:ascii="Cambria Math" w:hAnsi="Cambria Math"/>
              <w:sz w:val="26"/>
            </w:rPr>
            <m:t>t                (1-6)</m:t>
          </m:r>
        </m:oMath>
      </m:oMathPara>
    </w:p>
    <w:p w14:paraId="01868113" w14:textId="77777777" w:rsidR="007565F4" w:rsidRPr="007F15D8" w:rsidRDefault="007565F4" w:rsidP="00B725B6">
      <w:pPr>
        <w:autoSpaceDE w:val="0"/>
        <w:autoSpaceDN w:val="0"/>
        <w:adjustRightInd w:val="0"/>
        <w:snapToGrid w:val="0"/>
        <w:spacing w:after="0" w:line="360" w:lineRule="exact"/>
        <w:jc w:val="both"/>
        <w:rPr>
          <w:rFonts w:asciiTheme="majorBidi" w:hAnsiTheme="majorBidi"/>
          <w:sz w:val="26"/>
        </w:rPr>
      </w:pPr>
    </w:p>
    <w:p w14:paraId="201273F2" w14:textId="3B94C0D4" w:rsidR="007565F4" w:rsidRPr="007F15D8" w:rsidRDefault="005D4D6C" w:rsidP="00B725B6">
      <w:pPr>
        <w:autoSpaceDE w:val="0"/>
        <w:autoSpaceDN w:val="0"/>
        <w:adjustRightInd w:val="0"/>
        <w:snapToGrid w:val="0"/>
        <w:spacing w:after="0" w:line="360" w:lineRule="exact"/>
        <w:rPr>
          <w:rFonts w:asciiTheme="majorBidi" w:hAnsiTheme="majorBidi"/>
          <w:sz w:val="26"/>
        </w:rPr>
      </w:pPr>
      <w:r w:rsidRPr="007F15D8">
        <w:rPr>
          <w:rFonts w:asciiTheme="majorBidi" w:hAnsiTheme="majorBidi"/>
          <w:sz w:val="26"/>
        </w:rPr>
        <w:t>Model 7</w:t>
      </w:r>
      <w:r w:rsidR="00717FBB" w:rsidRPr="007F15D8">
        <w:rPr>
          <w:rFonts w:asciiTheme="majorBidi" w:hAnsiTheme="majorBidi"/>
          <w:sz w:val="26"/>
        </w:rPr>
        <w:t>: Earnings smoothness (EQ-</w:t>
      </w:r>
      <w:r w:rsidR="007565F4" w:rsidRPr="007F15D8">
        <w:rPr>
          <w:rFonts w:asciiTheme="majorBidi" w:hAnsiTheme="majorBidi" w:cstheme="majorBidi"/>
          <w:sz w:val="26"/>
          <w:szCs w:val="26"/>
        </w:rPr>
        <w:t>S</w:t>
      </w:r>
      <w:r w:rsidR="00717FBB" w:rsidRPr="007F15D8">
        <w:rPr>
          <w:rFonts w:asciiTheme="majorBidi" w:hAnsiTheme="majorBidi" w:cstheme="majorBidi"/>
          <w:sz w:val="26"/>
          <w:szCs w:val="26"/>
        </w:rPr>
        <w:t>M</w:t>
      </w:r>
      <w:r w:rsidR="007565F4" w:rsidRPr="007F15D8">
        <w:rPr>
          <w:rFonts w:asciiTheme="majorBidi" w:hAnsiTheme="majorBidi"/>
          <w:sz w:val="26"/>
        </w:rPr>
        <w:t>) and FI</w:t>
      </w:r>
    </w:p>
    <w:p w14:paraId="7EF6CDAC" w14:textId="2270CC9F" w:rsidR="007565F4" w:rsidRPr="00AD4EF4" w:rsidRDefault="007565F4" w:rsidP="009A7E17">
      <w:pPr>
        <w:snapToGrid w:val="0"/>
        <w:spacing w:after="0" w:line="460" w:lineRule="exact"/>
        <w:ind w:leftChars="400" w:left="880"/>
        <w:jc w:val="distribute"/>
        <w:rPr>
          <w:rFonts w:ascii="Cambria Math" w:hAnsi="Cambria Math"/>
          <w:i/>
          <w:sz w:val="26"/>
        </w:rPr>
      </w:pPr>
      <m:oMathPara>
        <m:oMath>
          <m:r>
            <w:rPr>
              <w:rFonts w:ascii="Cambria Math" w:hAnsi="Cambria Math" w:hint="eastAsia"/>
              <w:sz w:val="26"/>
            </w:rPr>
            <m:t>FIit=α+β1EQ</m:t>
          </m:r>
          <m:d>
            <m:dPr>
              <m:ctrlPr>
                <w:rPr>
                  <w:rFonts w:ascii="Cambria Math" w:hAnsi="Cambria Math"/>
                  <w:i/>
                  <w:sz w:val="26"/>
                </w:rPr>
              </m:ctrlPr>
            </m:dPr>
            <m:e>
              <m:r>
                <w:rPr>
                  <w:rFonts w:ascii="Cambria Math" w:hAnsi="Cambria Math"/>
                  <w:sz w:val="26"/>
                </w:rPr>
                <m:t>SM</m:t>
              </m:r>
            </m:e>
          </m:d>
          <m:r>
            <w:rPr>
              <w:rFonts w:ascii="Cambria Math" w:hAnsi="Cambria Math" w:hint="eastAsia"/>
              <w:sz w:val="26"/>
            </w:rPr>
            <m:t>itβ2Sit+β3Big4it+β4Rit+εi</m:t>
          </m:r>
          <m:r>
            <w:rPr>
              <w:rFonts w:ascii="Cambria Math" w:hAnsi="Cambria Math"/>
              <w:sz w:val="26"/>
            </w:rPr>
            <m:t>t               (1-7)</m:t>
          </m:r>
        </m:oMath>
      </m:oMathPara>
    </w:p>
    <w:p w14:paraId="5D3D451E" w14:textId="77777777" w:rsidR="007565F4" w:rsidRPr="007F15D8" w:rsidRDefault="007565F4" w:rsidP="00B725B6">
      <w:pPr>
        <w:autoSpaceDE w:val="0"/>
        <w:autoSpaceDN w:val="0"/>
        <w:adjustRightInd w:val="0"/>
        <w:snapToGrid w:val="0"/>
        <w:spacing w:after="0" w:line="360" w:lineRule="exact"/>
        <w:rPr>
          <w:rFonts w:asciiTheme="majorBidi" w:hAnsiTheme="majorBidi"/>
          <w:sz w:val="26"/>
        </w:rPr>
      </w:pPr>
    </w:p>
    <w:p w14:paraId="12917B46" w14:textId="21C8678A" w:rsidR="007565F4" w:rsidRPr="007F15D8" w:rsidRDefault="007565F4" w:rsidP="00B725B6">
      <w:pPr>
        <w:autoSpaceDE w:val="0"/>
        <w:autoSpaceDN w:val="0"/>
        <w:adjustRightInd w:val="0"/>
        <w:snapToGrid w:val="0"/>
        <w:spacing w:after="0" w:line="360" w:lineRule="exact"/>
        <w:rPr>
          <w:rFonts w:asciiTheme="majorBidi" w:hAnsiTheme="majorBidi"/>
          <w:sz w:val="26"/>
        </w:rPr>
      </w:pPr>
      <w:r w:rsidRPr="007F15D8">
        <w:rPr>
          <w:rFonts w:asciiTheme="majorBidi" w:hAnsiTheme="majorBidi"/>
          <w:sz w:val="26"/>
        </w:rPr>
        <w:t>M</w:t>
      </w:r>
      <w:r w:rsidR="00E67A4B" w:rsidRPr="007F15D8">
        <w:rPr>
          <w:rFonts w:asciiTheme="majorBidi" w:hAnsiTheme="majorBidi"/>
          <w:sz w:val="26"/>
        </w:rPr>
        <w:t>odel</w:t>
      </w:r>
      <w:r w:rsidR="005D4D6C" w:rsidRPr="007F15D8">
        <w:rPr>
          <w:rFonts w:asciiTheme="majorBidi" w:hAnsiTheme="majorBidi"/>
          <w:sz w:val="26"/>
        </w:rPr>
        <w:t xml:space="preserve"> 8</w:t>
      </w:r>
      <w:r w:rsidRPr="007F15D8">
        <w:rPr>
          <w:rFonts w:asciiTheme="majorBidi" w:hAnsiTheme="majorBidi"/>
          <w:sz w:val="26"/>
        </w:rPr>
        <w:t xml:space="preserve">: </w:t>
      </w:r>
      <w:r w:rsidR="00050C7C" w:rsidRPr="007F15D8">
        <w:rPr>
          <w:rFonts w:asciiTheme="majorBidi" w:hAnsiTheme="majorBidi"/>
          <w:sz w:val="26"/>
        </w:rPr>
        <w:t>ESI</w:t>
      </w:r>
      <w:r w:rsidRPr="007F15D8">
        <w:rPr>
          <w:rFonts w:asciiTheme="majorBidi" w:hAnsiTheme="majorBidi"/>
          <w:sz w:val="26"/>
        </w:rPr>
        <w:t xml:space="preserve"> (EQ-ESI) and FI</w:t>
      </w:r>
    </w:p>
    <w:p w14:paraId="7232EB11" w14:textId="4D44519A" w:rsidR="007565F4" w:rsidRPr="00AD4EF4" w:rsidRDefault="007565F4" w:rsidP="009A7E17">
      <w:pPr>
        <w:snapToGrid w:val="0"/>
        <w:spacing w:after="0" w:line="460" w:lineRule="exact"/>
        <w:ind w:leftChars="400" w:left="880"/>
        <w:jc w:val="distribute"/>
        <w:rPr>
          <w:rFonts w:ascii="Cambria Math" w:hAnsi="Cambria Math"/>
          <w:i/>
          <w:sz w:val="26"/>
        </w:rPr>
      </w:pPr>
      <m:oMathPara>
        <m:oMath>
          <m:r>
            <w:rPr>
              <w:rFonts w:ascii="Cambria Math" w:hAnsi="Cambria Math" w:hint="eastAsia"/>
              <w:sz w:val="26"/>
            </w:rPr>
            <m:t>FIit=α+β1EQ</m:t>
          </m:r>
          <m:d>
            <m:dPr>
              <m:ctrlPr>
                <w:rPr>
                  <w:rFonts w:ascii="Cambria Math" w:hAnsi="Cambria Math"/>
                  <w:i/>
                  <w:sz w:val="26"/>
                </w:rPr>
              </m:ctrlPr>
            </m:dPr>
            <m:e>
              <m:r>
                <w:rPr>
                  <w:rFonts w:ascii="Cambria Math" w:hAnsi="Cambria Math" w:hint="eastAsia"/>
                  <w:sz w:val="26"/>
                </w:rPr>
                <m:t>ESI</m:t>
              </m:r>
            </m:e>
          </m:d>
          <m:r>
            <w:rPr>
              <w:rFonts w:ascii="Cambria Math" w:hAnsi="Cambria Math" w:hint="eastAsia"/>
              <w:sz w:val="26"/>
            </w:rPr>
            <m:t>itβ2Sit+β3Big4it+β4Rit+εi</m:t>
          </m:r>
          <m:r>
            <w:rPr>
              <w:rFonts w:ascii="Cambria Math" w:hAnsi="Cambria Math"/>
              <w:sz w:val="26"/>
            </w:rPr>
            <m:t>t               (1-8)</m:t>
          </m:r>
        </m:oMath>
      </m:oMathPara>
    </w:p>
    <w:p w14:paraId="2670E5AF" w14:textId="77777777" w:rsidR="007565F4" w:rsidRPr="007F15D8" w:rsidRDefault="007565F4" w:rsidP="00B725B6">
      <w:pPr>
        <w:autoSpaceDE w:val="0"/>
        <w:autoSpaceDN w:val="0"/>
        <w:adjustRightInd w:val="0"/>
        <w:snapToGrid w:val="0"/>
        <w:spacing w:after="0" w:line="360" w:lineRule="exact"/>
        <w:jc w:val="both"/>
        <w:rPr>
          <w:rFonts w:asciiTheme="majorBidi" w:hAnsiTheme="majorBidi"/>
          <w:sz w:val="26"/>
        </w:rPr>
      </w:pPr>
    </w:p>
    <w:p w14:paraId="542843D0" w14:textId="69901A47" w:rsidR="007565F4" w:rsidRPr="007F15D8" w:rsidRDefault="005D4D6C" w:rsidP="00B725B6">
      <w:pPr>
        <w:autoSpaceDE w:val="0"/>
        <w:autoSpaceDN w:val="0"/>
        <w:adjustRightInd w:val="0"/>
        <w:snapToGrid w:val="0"/>
        <w:spacing w:after="0" w:line="360" w:lineRule="exact"/>
        <w:rPr>
          <w:rFonts w:asciiTheme="majorBidi" w:hAnsiTheme="majorBidi"/>
          <w:sz w:val="26"/>
        </w:rPr>
      </w:pPr>
      <w:r w:rsidRPr="007F15D8">
        <w:rPr>
          <w:rFonts w:asciiTheme="majorBidi" w:hAnsiTheme="majorBidi"/>
          <w:sz w:val="26"/>
        </w:rPr>
        <w:t>Model 9</w:t>
      </w:r>
      <w:r w:rsidR="007565F4" w:rsidRPr="007F15D8">
        <w:rPr>
          <w:rFonts w:asciiTheme="majorBidi" w:hAnsiTheme="majorBidi"/>
          <w:sz w:val="26"/>
        </w:rPr>
        <w:t>: Conservatism (EQ-CON) and FI</w:t>
      </w:r>
    </w:p>
    <w:p w14:paraId="27BE6937" w14:textId="34A5ABDC" w:rsidR="007565F4" w:rsidRPr="00AD4EF4" w:rsidRDefault="007565F4" w:rsidP="009A7E17">
      <w:pPr>
        <w:snapToGrid w:val="0"/>
        <w:spacing w:after="0" w:line="460" w:lineRule="exact"/>
        <w:ind w:leftChars="400" w:left="880"/>
        <w:jc w:val="distribute"/>
        <w:rPr>
          <w:rFonts w:ascii="Cambria Math" w:hAnsi="Cambria Math"/>
          <w:i/>
          <w:sz w:val="26"/>
        </w:rPr>
      </w:pPr>
      <m:oMathPara>
        <m:oMath>
          <m:r>
            <w:rPr>
              <w:rFonts w:ascii="Cambria Math" w:hAnsi="Cambria Math" w:hint="eastAsia"/>
              <w:sz w:val="26"/>
            </w:rPr>
            <m:t>FIit=α+β1EQ</m:t>
          </m:r>
          <m:d>
            <m:dPr>
              <m:ctrlPr>
                <w:rPr>
                  <w:rFonts w:ascii="Cambria Math" w:hAnsi="Cambria Math"/>
                  <w:i/>
                  <w:sz w:val="26"/>
                </w:rPr>
              </m:ctrlPr>
            </m:dPr>
            <m:e>
              <m:r>
                <w:rPr>
                  <w:rFonts w:ascii="Cambria Math" w:hAnsi="Cambria Math" w:hint="eastAsia"/>
                  <w:sz w:val="26"/>
                </w:rPr>
                <m:t>CON</m:t>
              </m:r>
            </m:e>
          </m:d>
          <m:r>
            <w:rPr>
              <w:rFonts w:ascii="Cambria Math" w:hAnsi="Cambria Math" w:hint="eastAsia"/>
              <w:sz w:val="26"/>
            </w:rPr>
            <m:t>itβ2Sit+β3Big4it+β4Rit+εi</m:t>
          </m:r>
          <m:r>
            <w:rPr>
              <w:rFonts w:ascii="Cambria Math" w:hAnsi="Cambria Math"/>
              <w:sz w:val="26"/>
            </w:rPr>
            <m:t>t             (1-9)</m:t>
          </m:r>
        </m:oMath>
      </m:oMathPara>
    </w:p>
    <w:p w14:paraId="0D81D566" w14:textId="422D3BCB" w:rsidR="00F73280" w:rsidRPr="007F15D8" w:rsidRDefault="00AD4EF4" w:rsidP="00B725B6">
      <w:pPr>
        <w:autoSpaceDE w:val="0"/>
        <w:autoSpaceDN w:val="0"/>
        <w:adjustRightInd w:val="0"/>
        <w:snapToGrid w:val="0"/>
        <w:spacing w:after="0" w:line="360" w:lineRule="exact"/>
        <w:jc w:val="both"/>
        <w:rPr>
          <w:rFonts w:asciiTheme="majorBidi" w:hAnsiTheme="majorBidi"/>
          <w:sz w:val="26"/>
        </w:rPr>
      </w:pPr>
      <w:r w:rsidRPr="00AD4EF4">
        <w:rPr>
          <w:rFonts w:asciiTheme="majorBidi" w:hAnsiTheme="majorBidi"/>
          <w:i/>
          <w:sz w:val="26"/>
        </w:rPr>
        <w:t>Note</w:t>
      </w:r>
      <w:r w:rsidRPr="00AD4EF4">
        <w:rPr>
          <w:rFonts w:asciiTheme="majorBidi" w:eastAsia="新細明體" w:hAnsiTheme="majorBidi" w:hint="eastAsia"/>
          <w:i/>
          <w:sz w:val="26"/>
          <w:lang w:eastAsia="zh-TW"/>
        </w:rPr>
        <w:t>.</w:t>
      </w:r>
      <w:r>
        <w:rPr>
          <w:rFonts w:asciiTheme="majorBidi" w:eastAsia="新細明體" w:hAnsiTheme="majorBidi"/>
          <w:sz w:val="26"/>
          <w:lang w:eastAsia="zh-TW"/>
        </w:rPr>
        <w:t xml:space="preserve"> </w:t>
      </w:r>
      <w:proofErr w:type="spellStart"/>
      <w:r w:rsidR="00F73280" w:rsidRPr="007F15D8">
        <w:rPr>
          <w:rFonts w:asciiTheme="majorBidi" w:hAnsiTheme="majorBidi"/>
          <w:sz w:val="26"/>
        </w:rPr>
        <w:t>i</w:t>
      </w:r>
      <w:proofErr w:type="spellEnd"/>
      <w:r w:rsidR="00F73280" w:rsidRPr="007F15D8">
        <w:rPr>
          <w:rFonts w:asciiTheme="majorBidi" w:hAnsiTheme="majorBidi"/>
          <w:sz w:val="26"/>
        </w:rPr>
        <w:t xml:space="preserve"> = firm, t = year</w:t>
      </w:r>
      <w:r w:rsidR="00F73280" w:rsidRPr="007F15D8">
        <w:rPr>
          <w:rFonts w:asciiTheme="majorBidi" w:hAnsiTheme="majorBidi" w:cstheme="majorBidi"/>
          <w:sz w:val="26"/>
          <w:szCs w:val="26"/>
        </w:rPr>
        <w:t>, α = constant</w:t>
      </w:r>
      <w:r w:rsidR="00F73280" w:rsidRPr="007F15D8">
        <w:rPr>
          <w:rFonts w:asciiTheme="majorBidi" w:hAnsiTheme="majorBidi" w:cstheme="majorBidi"/>
        </w:rPr>
        <w:t>, β</w:t>
      </w:r>
      <w:r w:rsidR="00F73280" w:rsidRPr="007F15D8">
        <w:rPr>
          <w:rFonts w:asciiTheme="majorBidi" w:hAnsiTheme="majorBidi" w:cstheme="majorBidi"/>
          <w:sz w:val="26"/>
          <w:szCs w:val="26"/>
        </w:rPr>
        <w:t xml:space="preserve"> =beta</w:t>
      </w:r>
    </w:p>
    <w:p w14:paraId="4ED736F9" w14:textId="77777777" w:rsidR="007565F4" w:rsidRPr="007F15D8" w:rsidRDefault="007565F4" w:rsidP="00B725B6">
      <w:pPr>
        <w:autoSpaceDE w:val="0"/>
        <w:autoSpaceDN w:val="0"/>
        <w:adjustRightInd w:val="0"/>
        <w:snapToGrid w:val="0"/>
        <w:spacing w:after="0" w:line="360" w:lineRule="exact"/>
        <w:jc w:val="both"/>
        <w:rPr>
          <w:rFonts w:asciiTheme="majorBidi" w:hAnsiTheme="majorBidi"/>
          <w:sz w:val="26"/>
        </w:rPr>
      </w:pPr>
    </w:p>
    <w:p w14:paraId="3164E00D" w14:textId="77777777" w:rsidR="007565F4" w:rsidRPr="007F15D8" w:rsidRDefault="00111843" w:rsidP="00B725B6">
      <w:pPr>
        <w:autoSpaceDE w:val="0"/>
        <w:autoSpaceDN w:val="0"/>
        <w:adjustRightInd w:val="0"/>
        <w:snapToGrid w:val="0"/>
        <w:spacing w:after="0" w:line="360" w:lineRule="exact"/>
        <w:jc w:val="center"/>
        <w:rPr>
          <w:rFonts w:asciiTheme="majorBidi" w:hAnsiTheme="majorBidi"/>
          <w:b/>
          <w:sz w:val="26"/>
        </w:rPr>
      </w:pPr>
      <w:r w:rsidRPr="007F15D8">
        <w:rPr>
          <w:rFonts w:asciiTheme="majorBidi" w:hAnsiTheme="majorBidi"/>
          <w:b/>
          <w:sz w:val="26"/>
        </w:rPr>
        <w:t>E</w:t>
      </w:r>
      <w:r w:rsidR="003A2A39" w:rsidRPr="007F15D8">
        <w:rPr>
          <w:rFonts w:asciiTheme="majorBidi" w:hAnsiTheme="majorBidi"/>
          <w:b/>
          <w:sz w:val="26"/>
        </w:rPr>
        <w:t>MPIRICAL RESULTS</w:t>
      </w:r>
    </w:p>
    <w:p w14:paraId="46012777" w14:textId="0064F2C2" w:rsidR="00717FBB" w:rsidRDefault="00385CD4" w:rsidP="00B730DC">
      <w:pPr>
        <w:autoSpaceDE w:val="0"/>
        <w:autoSpaceDN w:val="0"/>
        <w:adjustRightInd w:val="0"/>
        <w:snapToGrid w:val="0"/>
        <w:spacing w:after="0" w:line="360" w:lineRule="exact"/>
        <w:ind w:firstLine="510"/>
        <w:jc w:val="both"/>
        <w:rPr>
          <w:rFonts w:asciiTheme="majorBidi" w:hAnsiTheme="majorBidi" w:cstheme="majorBidi"/>
          <w:sz w:val="26"/>
          <w:szCs w:val="26"/>
        </w:rPr>
      </w:pPr>
      <w:r w:rsidRPr="007F15D8">
        <w:rPr>
          <w:rFonts w:asciiTheme="majorBidi" w:hAnsiTheme="majorBidi"/>
          <w:sz w:val="26"/>
        </w:rPr>
        <w:t>This section has two subsections</w:t>
      </w:r>
      <w:r w:rsidR="000273D8" w:rsidRPr="007F15D8">
        <w:rPr>
          <w:rFonts w:asciiTheme="majorBidi" w:hAnsiTheme="majorBidi"/>
          <w:sz w:val="26"/>
        </w:rPr>
        <w:t xml:space="preserve">: </w:t>
      </w:r>
      <w:r w:rsidRPr="007F15D8">
        <w:rPr>
          <w:rFonts w:asciiTheme="majorBidi" w:hAnsiTheme="majorBidi"/>
          <w:sz w:val="26"/>
        </w:rPr>
        <w:t xml:space="preserve">results of measuring </w:t>
      </w:r>
      <w:r w:rsidR="006B1C85" w:rsidRPr="007F15D8">
        <w:rPr>
          <w:rFonts w:asciiTheme="majorBidi" w:hAnsiTheme="majorBidi"/>
          <w:sz w:val="26"/>
        </w:rPr>
        <w:t>EQ</w:t>
      </w:r>
      <w:r w:rsidRPr="007F15D8">
        <w:rPr>
          <w:rFonts w:asciiTheme="majorBidi" w:hAnsiTheme="majorBidi"/>
          <w:sz w:val="26"/>
        </w:rPr>
        <w:t xml:space="preserve"> and re</w:t>
      </w:r>
      <w:r w:rsidR="006F15D5">
        <w:rPr>
          <w:rFonts w:asciiTheme="majorBidi" w:hAnsiTheme="majorBidi"/>
          <w:sz w:val="26"/>
        </w:rPr>
        <w:t>gression results</w:t>
      </w:r>
      <w:r w:rsidRPr="007F15D8">
        <w:rPr>
          <w:rFonts w:asciiTheme="majorBidi" w:hAnsiTheme="majorBidi"/>
          <w:sz w:val="26"/>
        </w:rPr>
        <w:t xml:space="preserve"> between each measure and </w:t>
      </w:r>
      <w:r w:rsidR="000273D8" w:rsidRPr="007F15D8">
        <w:rPr>
          <w:rFonts w:asciiTheme="majorBidi" w:hAnsiTheme="majorBidi"/>
          <w:sz w:val="26"/>
        </w:rPr>
        <w:t>FI</w:t>
      </w:r>
      <w:r w:rsidRPr="007F15D8">
        <w:rPr>
          <w:rFonts w:asciiTheme="majorBidi" w:hAnsiTheme="majorBidi"/>
          <w:sz w:val="26"/>
        </w:rPr>
        <w:t xml:space="preserve">. As discussed earlier, each measure of </w:t>
      </w:r>
      <w:r w:rsidR="006B1C85" w:rsidRPr="007F15D8">
        <w:rPr>
          <w:rFonts w:asciiTheme="majorBidi" w:hAnsiTheme="majorBidi"/>
          <w:sz w:val="26"/>
        </w:rPr>
        <w:t>EQ</w:t>
      </w:r>
      <w:r w:rsidRPr="007F15D8">
        <w:rPr>
          <w:rFonts w:asciiTheme="majorBidi" w:hAnsiTheme="majorBidi"/>
          <w:sz w:val="26"/>
        </w:rPr>
        <w:t xml:space="preserve"> has different variables, </w:t>
      </w:r>
      <w:r w:rsidR="000273D8" w:rsidRPr="007F15D8">
        <w:rPr>
          <w:rFonts w:asciiTheme="majorBidi" w:hAnsiTheme="majorBidi"/>
          <w:sz w:val="26"/>
        </w:rPr>
        <w:t>so</w:t>
      </w:r>
      <w:r w:rsidRPr="007F15D8">
        <w:rPr>
          <w:rFonts w:asciiTheme="majorBidi" w:hAnsiTheme="majorBidi"/>
          <w:sz w:val="26"/>
        </w:rPr>
        <w:t xml:space="preserve"> the results of descriptive statistics of </w:t>
      </w:r>
      <w:r w:rsidR="000273D8" w:rsidRPr="007F15D8">
        <w:rPr>
          <w:rFonts w:asciiTheme="majorBidi" w:hAnsiTheme="majorBidi"/>
          <w:sz w:val="26"/>
        </w:rPr>
        <w:t>each</w:t>
      </w:r>
      <w:r w:rsidRPr="007F15D8">
        <w:rPr>
          <w:rFonts w:asciiTheme="majorBidi" w:hAnsiTheme="majorBidi"/>
          <w:sz w:val="26"/>
        </w:rPr>
        <w:t xml:space="preserve"> measure </w:t>
      </w:r>
      <w:r w:rsidR="000273D8" w:rsidRPr="007F15D8">
        <w:rPr>
          <w:rFonts w:asciiTheme="majorBidi" w:hAnsiTheme="majorBidi"/>
          <w:sz w:val="26"/>
        </w:rPr>
        <w:t xml:space="preserve">are presented </w:t>
      </w:r>
      <w:r w:rsidRPr="007F15D8">
        <w:rPr>
          <w:rFonts w:asciiTheme="majorBidi" w:hAnsiTheme="majorBidi"/>
          <w:sz w:val="26"/>
        </w:rPr>
        <w:t xml:space="preserve">along with </w:t>
      </w:r>
      <w:r w:rsidR="00F03770" w:rsidRPr="007F15D8">
        <w:rPr>
          <w:rFonts w:asciiTheme="majorBidi" w:hAnsiTheme="majorBidi"/>
          <w:sz w:val="26"/>
        </w:rPr>
        <w:t xml:space="preserve">the </w:t>
      </w:r>
      <w:r w:rsidRPr="007F15D8">
        <w:rPr>
          <w:rFonts w:asciiTheme="majorBidi" w:hAnsiTheme="majorBidi"/>
          <w:sz w:val="26"/>
        </w:rPr>
        <w:t xml:space="preserve">measure itself. </w:t>
      </w:r>
      <w:r w:rsidR="000273D8" w:rsidRPr="007F15D8">
        <w:rPr>
          <w:rFonts w:asciiTheme="majorBidi" w:hAnsiTheme="majorBidi"/>
          <w:sz w:val="26"/>
        </w:rPr>
        <w:t>T</w:t>
      </w:r>
      <w:r w:rsidR="00F03770" w:rsidRPr="007F15D8">
        <w:rPr>
          <w:rFonts w:asciiTheme="majorBidi" w:hAnsiTheme="majorBidi"/>
          <w:sz w:val="26"/>
        </w:rPr>
        <w:t xml:space="preserve">o maximize the benefit of the results, </w:t>
      </w:r>
      <w:r w:rsidR="000273D8" w:rsidRPr="007F15D8">
        <w:rPr>
          <w:rFonts w:asciiTheme="majorBidi" w:hAnsiTheme="majorBidi"/>
          <w:sz w:val="26"/>
        </w:rPr>
        <w:t>we</w:t>
      </w:r>
      <w:r w:rsidR="00F03770" w:rsidRPr="007F15D8">
        <w:rPr>
          <w:rFonts w:asciiTheme="majorBidi" w:hAnsiTheme="majorBidi"/>
          <w:sz w:val="26"/>
        </w:rPr>
        <w:t xml:space="preserve"> present the result</w:t>
      </w:r>
      <w:r w:rsidR="000273D8" w:rsidRPr="007F15D8">
        <w:rPr>
          <w:rFonts w:asciiTheme="majorBidi" w:hAnsiTheme="majorBidi"/>
          <w:sz w:val="26"/>
        </w:rPr>
        <w:t>s</w:t>
      </w:r>
      <w:r w:rsidR="00F03770" w:rsidRPr="007F15D8">
        <w:rPr>
          <w:rFonts w:asciiTheme="majorBidi" w:hAnsiTheme="majorBidi"/>
          <w:sz w:val="26"/>
        </w:rPr>
        <w:t xml:space="preserve"> of measuring EQ and it</w:t>
      </w:r>
      <w:r w:rsidR="000273D8" w:rsidRPr="007F15D8">
        <w:rPr>
          <w:rFonts w:asciiTheme="majorBidi" w:hAnsiTheme="majorBidi"/>
          <w:sz w:val="26"/>
        </w:rPr>
        <w:t>s</w:t>
      </w:r>
      <w:r w:rsidR="00F03770" w:rsidRPr="007F15D8">
        <w:rPr>
          <w:rFonts w:asciiTheme="majorBidi" w:hAnsiTheme="majorBidi"/>
          <w:sz w:val="26"/>
        </w:rPr>
        <w:t xml:space="preserve"> effect on FI together. </w:t>
      </w:r>
      <w:r w:rsidR="000273D8" w:rsidRPr="007F15D8">
        <w:rPr>
          <w:rFonts w:asciiTheme="majorBidi" w:hAnsiTheme="majorBidi"/>
          <w:sz w:val="26"/>
        </w:rPr>
        <w:t>O</w:t>
      </w:r>
      <w:r w:rsidR="00B97428" w:rsidRPr="007F15D8">
        <w:rPr>
          <w:rFonts w:asciiTheme="majorBidi" w:hAnsiTheme="majorBidi"/>
          <w:sz w:val="26"/>
        </w:rPr>
        <w:t>nly the descriptive statistics of control variables and dependent variable</w:t>
      </w:r>
      <w:r w:rsidR="00C80A1B">
        <w:rPr>
          <w:rFonts w:asciiTheme="majorBidi" w:hAnsiTheme="majorBidi"/>
          <w:sz w:val="26"/>
        </w:rPr>
        <w:t>s</w:t>
      </w:r>
      <w:r w:rsidR="00B97428" w:rsidRPr="007F15D8">
        <w:rPr>
          <w:rFonts w:asciiTheme="majorBidi" w:hAnsiTheme="majorBidi"/>
          <w:sz w:val="26"/>
        </w:rPr>
        <w:t xml:space="preserve"> are presented in the beginning.</w:t>
      </w:r>
      <w:r w:rsidR="00333BC0" w:rsidRPr="007F15D8">
        <w:rPr>
          <w:rFonts w:asciiTheme="majorBidi" w:hAnsiTheme="majorBidi" w:cstheme="majorBidi"/>
          <w:sz w:val="26"/>
          <w:szCs w:val="26"/>
        </w:rPr>
        <w:t xml:space="preserve"> </w:t>
      </w:r>
      <w:r w:rsidR="00B05C8C" w:rsidRPr="007F15D8">
        <w:rPr>
          <w:rFonts w:asciiTheme="majorBidi" w:hAnsiTheme="majorBidi" w:cstheme="majorBidi"/>
          <w:sz w:val="26"/>
          <w:szCs w:val="26"/>
        </w:rPr>
        <w:t xml:space="preserve">Descriptive statistics </w:t>
      </w:r>
      <w:r w:rsidR="006F15D5">
        <w:rPr>
          <w:rFonts w:asciiTheme="majorBidi" w:hAnsiTheme="majorBidi" w:cstheme="majorBidi"/>
          <w:sz w:val="26"/>
          <w:szCs w:val="26"/>
        </w:rPr>
        <w:t>are</w:t>
      </w:r>
      <w:r w:rsidR="006F15D5" w:rsidRPr="007F15D8">
        <w:rPr>
          <w:rFonts w:asciiTheme="majorBidi" w:hAnsiTheme="majorBidi" w:cstheme="majorBidi"/>
          <w:sz w:val="26"/>
          <w:szCs w:val="26"/>
        </w:rPr>
        <w:t xml:space="preserve"> </w:t>
      </w:r>
      <w:r w:rsidR="00B05C8C" w:rsidRPr="007F15D8">
        <w:rPr>
          <w:rFonts w:asciiTheme="majorBidi" w:hAnsiTheme="majorBidi" w:cstheme="majorBidi"/>
          <w:sz w:val="26"/>
          <w:szCs w:val="26"/>
        </w:rPr>
        <w:t>used to describe data using numbers or statistical measures that may best represent all data collected during research</w:t>
      </w:r>
      <w:r w:rsidR="00A63AD2" w:rsidRPr="007F15D8">
        <w:rPr>
          <w:rFonts w:asciiTheme="majorBidi" w:hAnsiTheme="majorBidi" w:cstheme="majorBidi"/>
          <w:sz w:val="26"/>
          <w:szCs w:val="26"/>
        </w:rPr>
        <w:t xml:space="preserve"> and give a good picture </w:t>
      </w:r>
      <w:r w:rsidR="00AA156B" w:rsidRPr="007F15D8">
        <w:rPr>
          <w:rFonts w:asciiTheme="majorBidi" w:hAnsiTheme="majorBidi" w:cstheme="majorBidi"/>
          <w:sz w:val="26"/>
          <w:szCs w:val="26"/>
        </w:rPr>
        <w:t xml:space="preserve">of the </w:t>
      </w:r>
      <w:r w:rsidR="00A63AD2" w:rsidRPr="007F15D8">
        <w:rPr>
          <w:rFonts w:asciiTheme="majorBidi" w:hAnsiTheme="majorBidi" w:cstheme="majorBidi"/>
          <w:sz w:val="26"/>
          <w:szCs w:val="26"/>
        </w:rPr>
        <w:t>sample. The mean tells the average value</w:t>
      </w:r>
      <w:r w:rsidR="00C80A1B">
        <w:rPr>
          <w:rFonts w:asciiTheme="majorBidi" w:hAnsiTheme="majorBidi" w:cstheme="majorBidi"/>
          <w:sz w:val="26"/>
          <w:szCs w:val="26"/>
        </w:rPr>
        <w:t>,</w:t>
      </w:r>
      <w:r w:rsidR="00FE5D8E" w:rsidRPr="007F15D8">
        <w:rPr>
          <w:rFonts w:asciiTheme="majorBidi" w:hAnsiTheme="majorBidi" w:cstheme="majorBidi"/>
          <w:sz w:val="26"/>
          <w:szCs w:val="26"/>
        </w:rPr>
        <w:t xml:space="preserve"> which is a perfect representative figure for the data set to ensure that there are no extreme</w:t>
      </w:r>
      <w:r w:rsidR="00C40465" w:rsidRPr="007F15D8">
        <w:rPr>
          <w:rFonts w:asciiTheme="majorBidi" w:hAnsiTheme="majorBidi" w:cstheme="majorBidi"/>
          <w:sz w:val="26"/>
          <w:szCs w:val="26"/>
        </w:rPr>
        <w:t xml:space="preserve"> values in the data set</w:t>
      </w:r>
      <w:r w:rsidR="00021001" w:rsidRPr="007F15D8">
        <w:rPr>
          <w:rFonts w:asciiTheme="majorBidi" w:hAnsiTheme="majorBidi" w:cstheme="majorBidi"/>
          <w:sz w:val="26"/>
          <w:szCs w:val="26"/>
        </w:rPr>
        <w:t>. Also, standard deviation estimates the degree to which the value of a particular variable deviates from the mean</w:t>
      </w:r>
      <w:r w:rsidR="00C40465" w:rsidRPr="007F15D8">
        <w:rPr>
          <w:rFonts w:asciiTheme="majorBidi" w:hAnsiTheme="majorBidi" w:cstheme="majorBidi"/>
          <w:sz w:val="26"/>
          <w:szCs w:val="26"/>
        </w:rPr>
        <w:t xml:space="preserve"> (</w:t>
      </w:r>
      <w:proofErr w:type="spellStart"/>
      <w:r w:rsidR="00C40465" w:rsidRPr="007F15D8">
        <w:rPr>
          <w:rFonts w:asciiTheme="majorBidi" w:hAnsiTheme="majorBidi" w:cstheme="majorBidi"/>
          <w:sz w:val="26"/>
          <w:szCs w:val="26"/>
        </w:rPr>
        <w:t>Vanlalhriati</w:t>
      </w:r>
      <w:proofErr w:type="spellEnd"/>
      <w:r w:rsidR="00C40465" w:rsidRPr="007F15D8">
        <w:rPr>
          <w:rFonts w:asciiTheme="majorBidi" w:hAnsiTheme="majorBidi" w:cstheme="majorBidi"/>
          <w:sz w:val="26"/>
          <w:szCs w:val="26"/>
        </w:rPr>
        <w:t xml:space="preserve"> </w:t>
      </w:r>
      <w:r w:rsidR="00B730DC">
        <w:rPr>
          <w:rFonts w:asciiTheme="majorBidi" w:hAnsiTheme="majorBidi" w:cstheme="majorBidi"/>
          <w:sz w:val="26"/>
          <w:szCs w:val="26"/>
        </w:rPr>
        <w:t>&amp;</w:t>
      </w:r>
      <w:r w:rsidR="00C40465" w:rsidRPr="007F15D8">
        <w:rPr>
          <w:rFonts w:asciiTheme="majorBidi" w:hAnsiTheme="majorBidi" w:cstheme="majorBidi"/>
          <w:sz w:val="26"/>
          <w:szCs w:val="26"/>
        </w:rPr>
        <w:t xml:space="preserve"> Singh</w:t>
      </w:r>
      <w:r w:rsidR="00021001" w:rsidRPr="007F15D8">
        <w:rPr>
          <w:rFonts w:asciiTheme="majorBidi" w:hAnsiTheme="majorBidi" w:cstheme="majorBidi"/>
          <w:sz w:val="26"/>
          <w:szCs w:val="26"/>
        </w:rPr>
        <w:t>, 2015</w:t>
      </w:r>
      <w:r w:rsidR="00C40465" w:rsidRPr="007F15D8">
        <w:rPr>
          <w:rFonts w:asciiTheme="majorBidi" w:hAnsiTheme="majorBidi" w:cstheme="majorBidi"/>
          <w:sz w:val="26"/>
          <w:szCs w:val="26"/>
        </w:rPr>
        <w:t>)</w:t>
      </w:r>
      <w:r w:rsidR="00021001" w:rsidRPr="007F15D8">
        <w:rPr>
          <w:rFonts w:asciiTheme="majorBidi" w:hAnsiTheme="majorBidi" w:cstheme="majorBidi"/>
          <w:sz w:val="26"/>
          <w:szCs w:val="26"/>
        </w:rPr>
        <w:t xml:space="preserve">. </w:t>
      </w:r>
      <w:r w:rsidR="00717FBB" w:rsidRPr="007F15D8">
        <w:rPr>
          <w:rFonts w:asciiTheme="majorBidi" w:hAnsiTheme="majorBidi" w:cstheme="majorBidi"/>
          <w:sz w:val="26"/>
          <w:szCs w:val="26"/>
        </w:rPr>
        <w:t xml:space="preserve">Also, the value of standard deviation </w:t>
      </w:r>
      <w:r w:rsidR="004175B6" w:rsidRPr="007F15D8">
        <w:rPr>
          <w:rFonts w:asciiTheme="majorBidi" w:hAnsiTheme="majorBidi" w:cstheme="majorBidi"/>
          <w:sz w:val="26"/>
          <w:szCs w:val="26"/>
        </w:rPr>
        <w:t xml:space="preserve">is </w:t>
      </w:r>
      <w:r w:rsidR="00717FBB" w:rsidRPr="007F15D8">
        <w:rPr>
          <w:rFonts w:asciiTheme="majorBidi" w:hAnsiTheme="majorBidi" w:cstheme="majorBidi"/>
          <w:sz w:val="26"/>
          <w:szCs w:val="26"/>
        </w:rPr>
        <w:t>use</w:t>
      </w:r>
      <w:r w:rsidR="004175B6" w:rsidRPr="007F15D8">
        <w:rPr>
          <w:rFonts w:asciiTheme="majorBidi" w:hAnsiTheme="majorBidi" w:cstheme="majorBidi"/>
          <w:sz w:val="26"/>
          <w:szCs w:val="26"/>
        </w:rPr>
        <w:t>d</w:t>
      </w:r>
      <w:r w:rsidR="00717FBB" w:rsidRPr="007F15D8">
        <w:rPr>
          <w:rFonts w:asciiTheme="majorBidi" w:hAnsiTheme="majorBidi" w:cstheme="majorBidi"/>
          <w:sz w:val="26"/>
          <w:szCs w:val="26"/>
        </w:rPr>
        <w:t xml:space="preserve"> to measure the value of EQ in terms of smoothness. </w:t>
      </w:r>
      <w:r w:rsidR="00021001" w:rsidRPr="007F15D8">
        <w:rPr>
          <w:rFonts w:asciiTheme="majorBidi" w:hAnsiTheme="majorBidi" w:cstheme="majorBidi"/>
          <w:sz w:val="26"/>
          <w:szCs w:val="26"/>
        </w:rPr>
        <w:t>Correlation</w:t>
      </w:r>
      <w:r w:rsidR="00DF60DD" w:rsidRPr="007F15D8">
        <w:rPr>
          <w:rFonts w:asciiTheme="majorBidi" w:hAnsiTheme="majorBidi" w:cstheme="majorBidi"/>
          <w:sz w:val="26"/>
          <w:szCs w:val="26"/>
        </w:rPr>
        <w:t xml:space="preserve"> and regression </w:t>
      </w:r>
      <w:r w:rsidR="00AA156B" w:rsidRPr="007F15D8">
        <w:rPr>
          <w:rFonts w:asciiTheme="majorBidi" w:hAnsiTheme="majorBidi" w:cstheme="majorBidi"/>
          <w:sz w:val="26"/>
          <w:szCs w:val="26"/>
        </w:rPr>
        <w:t xml:space="preserve">are </w:t>
      </w:r>
      <w:r w:rsidR="00021001" w:rsidRPr="007F15D8">
        <w:rPr>
          <w:rFonts w:asciiTheme="majorBidi" w:hAnsiTheme="majorBidi" w:cstheme="majorBidi"/>
          <w:sz w:val="26"/>
          <w:szCs w:val="26"/>
        </w:rPr>
        <w:t>used</w:t>
      </w:r>
      <w:r w:rsidR="00DF60DD" w:rsidRPr="007F15D8">
        <w:rPr>
          <w:rFonts w:asciiTheme="majorBidi" w:hAnsiTheme="majorBidi" w:cstheme="majorBidi"/>
          <w:sz w:val="26"/>
          <w:szCs w:val="26"/>
        </w:rPr>
        <w:t xml:space="preserve"> in this study. Correlation </w:t>
      </w:r>
      <w:r w:rsidR="00AA156B" w:rsidRPr="007F15D8">
        <w:rPr>
          <w:rFonts w:asciiTheme="majorBidi" w:hAnsiTheme="majorBidi" w:cstheme="majorBidi"/>
          <w:sz w:val="26"/>
          <w:szCs w:val="26"/>
        </w:rPr>
        <w:t xml:space="preserve">is </w:t>
      </w:r>
      <w:r w:rsidR="00DF60DD" w:rsidRPr="007F15D8">
        <w:rPr>
          <w:rFonts w:asciiTheme="majorBidi" w:hAnsiTheme="majorBidi" w:cstheme="majorBidi"/>
          <w:sz w:val="26"/>
          <w:szCs w:val="26"/>
        </w:rPr>
        <w:t>used</w:t>
      </w:r>
      <w:r w:rsidR="00021001" w:rsidRPr="007F15D8">
        <w:rPr>
          <w:rFonts w:asciiTheme="majorBidi" w:hAnsiTheme="majorBidi" w:cstheme="majorBidi"/>
          <w:sz w:val="26"/>
          <w:szCs w:val="26"/>
        </w:rPr>
        <w:t xml:space="preserve"> to find the association between the EQ and F</w:t>
      </w:r>
      <w:r w:rsidR="00DF60DD" w:rsidRPr="007F15D8">
        <w:rPr>
          <w:rFonts w:asciiTheme="majorBidi" w:hAnsiTheme="majorBidi" w:cstheme="majorBidi"/>
          <w:sz w:val="26"/>
          <w:szCs w:val="26"/>
        </w:rPr>
        <w:t>I</w:t>
      </w:r>
      <w:r w:rsidR="00C80A1B">
        <w:rPr>
          <w:rFonts w:asciiTheme="majorBidi" w:hAnsiTheme="majorBidi" w:cstheme="majorBidi"/>
          <w:sz w:val="26"/>
          <w:szCs w:val="26"/>
        </w:rPr>
        <w:t>,</w:t>
      </w:r>
      <w:r w:rsidR="00DF60DD" w:rsidRPr="007F15D8">
        <w:rPr>
          <w:rFonts w:asciiTheme="majorBidi" w:hAnsiTheme="majorBidi" w:cstheme="majorBidi"/>
          <w:sz w:val="26"/>
          <w:szCs w:val="26"/>
        </w:rPr>
        <w:t xml:space="preserve"> and regression </w:t>
      </w:r>
      <w:r w:rsidR="00AA156B" w:rsidRPr="007F15D8">
        <w:rPr>
          <w:rFonts w:asciiTheme="majorBidi" w:hAnsiTheme="majorBidi" w:cstheme="majorBidi"/>
          <w:sz w:val="26"/>
          <w:szCs w:val="26"/>
        </w:rPr>
        <w:t xml:space="preserve">is </w:t>
      </w:r>
      <w:r w:rsidR="00DF60DD" w:rsidRPr="007F15D8">
        <w:rPr>
          <w:rFonts w:asciiTheme="majorBidi" w:hAnsiTheme="majorBidi" w:cstheme="majorBidi"/>
          <w:sz w:val="26"/>
          <w:szCs w:val="26"/>
        </w:rPr>
        <w:t xml:space="preserve">used to examine the effect of EQ on FI. </w:t>
      </w:r>
      <w:r w:rsidR="00B80EEA" w:rsidRPr="007F15D8">
        <w:rPr>
          <w:rFonts w:asciiTheme="majorBidi" w:hAnsiTheme="majorBidi" w:cstheme="majorBidi"/>
          <w:sz w:val="26"/>
          <w:szCs w:val="26"/>
        </w:rPr>
        <w:t xml:space="preserve">In </w:t>
      </w:r>
      <w:r w:rsidR="00C80A1B">
        <w:rPr>
          <w:rFonts w:asciiTheme="majorBidi" w:hAnsiTheme="majorBidi" w:cstheme="majorBidi"/>
          <w:sz w:val="26"/>
          <w:szCs w:val="26"/>
        </w:rPr>
        <w:t xml:space="preserve">the </w:t>
      </w:r>
      <w:r w:rsidR="00B80EEA" w:rsidRPr="007F15D8">
        <w:rPr>
          <w:rFonts w:asciiTheme="majorBidi" w:hAnsiTheme="majorBidi" w:cstheme="majorBidi"/>
          <w:sz w:val="26"/>
          <w:szCs w:val="26"/>
        </w:rPr>
        <w:t xml:space="preserve">regression model, GLS - panel data random effect regression model </w:t>
      </w:r>
      <w:r w:rsidR="00AA156B" w:rsidRPr="007F15D8">
        <w:rPr>
          <w:rFonts w:asciiTheme="majorBidi" w:hAnsiTheme="majorBidi" w:cstheme="majorBidi"/>
          <w:sz w:val="26"/>
          <w:szCs w:val="26"/>
        </w:rPr>
        <w:t xml:space="preserve">is </w:t>
      </w:r>
      <w:r w:rsidR="00B80EEA" w:rsidRPr="007F15D8">
        <w:rPr>
          <w:rFonts w:asciiTheme="majorBidi" w:hAnsiTheme="majorBidi" w:cstheme="majorBidi"/>
          <w:sz w:val="26"/>
          <w:szCs w:val="26"/>
        </w:rPr>
        <w:t>used to examine the effect of EQ on FI.</w:t>
      </w:r>
      <w:r w:rsidR="00097A0E" w:rsidRPr="007F15D8">
        <w:rPr>
          <w:rFonts w:asciiTheme="majorBidi" w:hAnsiTheme="majorBidi" w:cstheme="majorBidi"/>
          <w:sz w:val="26"/>
          <w:szCs w:val="26"/>
        </w:rPr>
        <w:t xml:space="preserve"> </w:t>
      </w:r>
      <w:r w:rsidR="00172AFD" w:rsidRPr="007F15D8">
        <w:rPr>
          <w:rFonts w:asciiTheme="majorBidi" w:hAnsiTheme="majorBidi" w:cstheme="majorBidi"/>
          <w:sz w:val="26"/>
          <w:szCs w:val="26"/>
        </w:rPr>
        <w:t>In some of the EQ proxies</w:t>
      </w:r>
      <w:r w:rsidR="00C80A1B">
        <w:rPr>
          <w:rFonts w:asciiTheme="majorBidi" w:hAnsiTheme="majorBidi" w:cstheme="majorBidi"/>
          <w:sz w:val="26"/>
          <w:szCs w:val="26"/>
        </w:rPr>
        <w:t>,</w:t>
      </w:r>
      <w:r w:rsidR="00172AFD" w:rsidRPr="007F15D8">
        <w:rPr>
          <w:rFonts w:asciiTheme="majorBidi" w:hAnsiTheme="majorBidi" w:cstheme="majorBidi"/>
          <w:sz w:val="26"/>
          <w:szCs w:val="26"/>
        </w:rPr>
        <w:t xml:space="preserve"> such as predictability and value relevance, the result is depend</w:t>
      </w:r>
      <w:r w:rsidR="00AA156B" w:rsidRPr="007F15D8">
        <w:rPr>
          <w:rFonts w:asciiTheme="majorBidi" w:hAnsiTheme="majorBidi" w:cstheme="majorBidi"/>
          <w:sz w:val="26"/>
          <w:szCs w:val="26"/>
        </w:rPr>
        <w:t>ent</w:t>
      </w:r>
      <w:r w:rsidR="00172AFD" w:rsidRPr="007F15D8">
        <w:rPr>
          <w:rFonts w:asciiTheme="majorBidi" w:hAnsiTheme="majorBidi" w:cstheme="majorBidi"/>
          <w:sz w:val="26"/>
          <w:szCs w:val="26"/>
        </w:rPr>
        <w:t xml:space="preserve"> on the value of R</w:t>
      </w:r>
      <w:r w:rsidR="00172AFD" w:rsidRPr="007F15D8">
        <w:rPr>
          <w:rFonts w:asciiTheme="majorBidi" w:hAnsiTheme="majorBidi" w:cstheme="majorBidi"/>
          <w:sz w:val="26"/>
          <w:szCs w:val="26"/>
          <w:vertAlign w:val="superscript"/>
        </w:rPr>
        <w:t xml:space="preserve">2 </w:t>
      </w:r>
      <w:r w:rsidR="00172AFD" w:rsidRPr="007F15D8">
        <w:rPr>
          <w:rFonts w:asciiTheme="majorBidi" w:hAnsiTheme="majorBidi" w:cstheme="majorBidi"/>
          <w:sz w:val="26"/>
          <w:szCs w:val="26"/>
        </w:rPr>
        <w:t xml:space="preserve">to determine whether the EQ is high or low. For example, </w:t>
      </w:r>
      <w:r w:rsidR="00C80A1B">
        <w:rPr>
          <w:rFonts w:asciiTheme="majorBidi" w:hAnsiTheme="majorBidi" w:cstheme="majorBidi"/>
          <w:sz w:val="26"/>
          <w:szCs w:val="26"/>
        </w:rPr>
        <w:t xml:space="preserve">a </w:t>
      </w:r>
      <w:r w:rsidR="00717FBB" w:rsidRPr="007F15D8">
        <w:rPr>
          <w:rFonts w:asciiTheme="majorBidi" w:hAnsiTheme="majorBidi" w:cstheme="majorBidi"/>
          <w:sz w:val="26"/>
          <w:szCs w:val="26"/>
        </w:rPr>
        <w:t>high value of R</w:t>
      </w:r>
      <w:r w:rsidR="00717FBB" w:rsidRPr="007F15D8">
        <w:rPr>
          <w:rFonts w:asciiTheme="majorBidi" w:hAnsiTheme="majorBidi" w:cstheme="majorBidi"/>
          <w:sz w:val="26"/>
          <w:szCs w:val="26"/>
          <w:vertAlign w:val="superscript"/>
        </w:rPr>
        <w:t>2</w:t>
      </w:r>
      <w:r w:rsidR="00717FBB" w:rsidRPr="007F15D8">
        <w:rPr>
          <w:rFonts w:asciiTheme="majorBidi" w:hAnsiTheme="majorBidi" w:cstheme="majorBidi"/>
          <w:sz w:val="26"/>
          <w:szCs w:val="26"/>
        </w:rPr>
        <w:t xml:space="preserve"> indicates more predictability and high EQ</w:t>
      </w:r>
      <w:r w:rsidR="00C80A1B">
        <w:rPr>
          <w:rFonts w:asciiTheme="majorBidi" w:hAnsiTheme="majorBidi" w:cstheme="majorBidi"/>
          <w:sz w:val="26"/>
          <w:szCs w:val="26"/>
        </w:rPr>
        <w:t>,</w:t>
      </w:r>
      <w:r w:rsidR="00717FBB" w:rsidRPr="007F15D8">
        <w:rPr>
          <w:rFonts w:asciiTheme="majorBidi" w:hAnsiTheme="majorBidi" w:cstheme="majorBidi"/>
          <w:sz w:val="26"/>
          <w:szCs w:val="26"/>
        </w:rPr>
        <w:t xml:space="preserve"> whereas </w:t>
      </w:r>
      <w:r w:rsidR="00C80A1B">
        <w:rPr>
          <w:rFonts w:asciiTheme="majorBidi" w:hAnsiTheme="majorBidi" w:cstheme="majorBidi"/>
          <w:sz w:val="26"/>
          <w:szCs w:val="26"/>
        </w:rPr>
        <w:t xml:space="preserve">a </w:t>
      </w:r>
      <w:r w:rsidR="00717FBB" w:rsidRPr="007F15D8">
        <w:rPr>
          <w:rFonts w:asciiTheme="majorBidi" w:hAnsiTheme="majorBidi" w:cstheme="majorBidi"/>
          <w:sz w:val="26"/>
          <w:szCs w:val="26"/>
        </w:rPr>
        <w:t>low value of R</w:t>
      </w:r>
      <w:r w:rsidR="00717FBB" w:rsidRPr="007F15D8">
        <w:rPr>
          <w:rFonts w:asciiTheme="majorBidi" w:hAnsiTheme="majorBidi" w:cstheme="majorBidi"/>
          <w:sz w:val="26"/>
          <w:szCs w:val="26"/>
          <w:vertAlign w:val="superscript"/>
        </w:rPr>
        <w:t>2</w:t>
      </w:r>
      <w:r w:rsidR="00717FBB" w:rsidRPr="007F15D8">
        <w:rPr>
          <w:rFonts w:asciiTheme="majorBidi" w:hAnsiTheme="majorBidi" w:cstheme="majorBidi"/>
          <w:sz w:val="26"/>
          <w:szCs w:val="26"/>
        </w:rPr>
        <w:t xml:space="preserve"> indicates low predictability and low EQ.</w:t>
      </w:r>
    </w:p>
    <w:p w14:paraId="3BC19FEB" w14:textId="77777777" w:rsidR="00A95E4E" w:rsidRPr="007F15D8" w:rsidRDefault="00A95E4E" w:rsidP="00B730DC">
      <w:pPr>
        <w:autoSpaceDE w:val="0"/>
        <w:autoSpaceDN w:val="0"/>
        <w:adjustRightInd w:val="0"/>
        <w:snapToGrid w:val="0"/>
        <w:spacing w:after="0" w:line="360" w:lineRule="exact"/>
        <w:ind w:firstLine="510"/>
        <w:jc w:val="both"/>
        <w:rPr>
          <w:rFonts w:asciiTheme="majorBidi" w:hAnsiTheme="majorBidi" w:cstheme="majorBidi"/>
          <w:sz w:val="26"/>
          <w:szCs w:val="26"/>
        </w:rPr>
      </w:pPr>
    </w:p>
    <w:p w14:paraId="7FBB0BE2" w14:textId="524D12E2" w:rsidR="00D5790E" w:rsidRPr="007F15D8" w:rsidRDefault="00371C80" w:rsidP="00B725B6">
      <w:pPr>
        <w:pStyle w:val="Default"/>
        <w:snapToGrid w:val="0"/>
        <w:spacing w:line="360" w:lineRule="exact"/>
        <w:jc w:val="both"/>
        <w:rPr>
          <w:rFonts w:asciiTheme="majorBidi" w:hAnsiTheme="majorBidi"/>
          <w:b/>
          <w:color w:val="auto"/>
          <w:sz w:val="26"/>
        </w:rPr>
      </w:pPr>
      <w:r>
        <w:rPr>
          <w:rFonts w:asciiTheme="majorBidi" w:hAnsiTheme="majorBidi"/>
          <w:b/>
          <w:color w:val="auto"/>
          <w:sz w:val="26"/>
        </w:rPr>
        <w:t>Descriptive S</w:t>
      </w:r>
      <w:r w:rsidR="00D5790E" w:rsidRPr="007F15D8">
        <w:rPr>
          <w:rFonts w:asciiTheme="majorBidi" w:hAnsiTheme="majorBidi"/>
          <w:b/>
          <w:color w:val="auto"/>
          <w:sz w:val="26"/>
        </w:rPr>
        <w:t xml:space="preserve">tatistics of </w:t>
      </w:r>
      <w:r w:rsidR="000273D8" w:rsidRPr="007F15D8">
        <w:rPr>
          <w:rFonts w:asciiTheme="majorBidi" w:hAnsiTheme="majorBidi"/>
          <w:b/>
          <w:color w:val="auto"/>
          <w:sz w:val="26"/>
        </w:rPr>
        <w:t>FI</w:t>
      </w:r>
      <w:r>
        <w:rPr>
          <w:rFonts w:asciiTheme="majorBidi" w:hAnsiTheme="majorBidi"/>
          <w:b/>
          <w:color w:val="auto"/>
          <w:sz w:val="26"/>
        </w:rPr>
        <w:t xml:space="preserve"> and Control V</w:t>
      </w:r>
      <w:r w:rsidR="00D5790E" w:rsidRPr="007F15D8">
        <w:rPr>
          <w:rFonts w:asciiTheme="majorBidi" w:hAnsiTheme="majorBidi"/>
          <w:b/>
          <w:color w:val="auto"/>
          <w:sz w:val="26"/>
        </w:rPr>
        <w:t xml:space="preserve">ariables </w:t>
      </w:r>
    </w:p>
    <w:p w14:paraId="196350DF" w14:textId="60917778" w:rsidR="00DD790D" w:rsidRDefault="00D5790E" w:rsidP="002E7CAC">
      <w:pPr>
        <w:autoSpaceDE w:val="0"/>
        <w:autoSpaceDN w:val="0"/>
        <w:adjustRightInd w:val="0"/>
        <w:snapToGrid w:val="0"/>
        <w:spacing w:after="0" w:line="360" w:lineRule="exact"/>
        <w:ind w:firstLineChars="200" w:firstLine="520"/>
        <w:jc w:val="both"/>
        <w:rPr>
          <w:rFonts w:ascii="Times New Roman" w:hAnsi="Times New Roman" w:cs="Times New Roman"/>
          <w:sz w:val="24"/>
          <w:szCs w:val="24"/>
        </w:rPr>
      </w:pPr>
      <w:r w:rsidRPr="007F15D8">
        <w:rPr>
          <w:rFonts w:asciiTheme="majorBidi" w:hAnsiTheme="majorBidi"/>
          <w:sz w:val="26"/>
        </w:rPr>
        <w:t xml:space="preserve">Table 3 shows the descriptive statistics of </w:t>
      </w:r>
      <w:r w:rsidR="000273D8" w:rsidRPr="007F15D8">
        <w:rPr>
          <w:rFonts w:asciiTheme="majorBidi" w:hAnsiTheme="majorBidi"/>
          <w:sz w:val="26"/>
        </w:rPr>
        <w:t xml:space="preserve">the </w:t>
      </w:r>
      <w:r w:rsidRPr="007F15D8">
        <w:rPr>
          <w:rFonts w:asciiTheme="majorBidi" w:hAnsiTheme="majorBidi"/>
          <w:sz w:val="26"/>
        </w:rPr>
        <w:t>dependent variable (</w:t>
      </w:r>
      <w:r w:rsidR="000273D8" w:rsidRPr="007F15D8">
        <w:rPr>
          <w:rFonts w:asciiTheme="majorBidi" w:hAnsiTheme="majorBidi"/>
          <w:sz w:val="26"/>
        </w:rPr>
        <w:t>FI</w:t>
      </w:r>
      <w:r w:rsidRPr="007F15D8">
        <w:rPr>
          <w:rFonts w:asciiTheme="majorBidi" w:hAnsiTheme="majorBidi"/>
          <w:sz w:val="26"/>
        </w:rPr>
        <w:t>) and control variables</w:t>
      </w:r>
      <w:r w:rsidR="00DD790D" w:rsidRPr="007F15D8">
        <w:rPr>
          <w:rFonts w:ascii="Times New Roman" w:hAnsi="Times New Roman" w:cs="Times New Roman"/>
          <w:sz w:val="24"/>
          <w:szCs w:val="24"/>
        </w:rPr>
        <w:t xml:space="preserve">. </w:t>
      </w:r>
    </w:p>
    <w:p w14:paraId="2A0CA55B" w14:textId="2D851A06" w:rsidR="00CA3B14" w:rsidRPr="002E7CAC" w:rsidRDefault="00952DC1" w:rsidP="00FA3651">
      <w:pPr>
        <w:snapToGrid w:val="0"/>
        <w:spacing w:afterLines="50" w:after="120" w:line="360" w:lineRule="exact"/>
        <w:jc w:val="both"/>
        <w:rPr>
          <w:rFonts w:asciiTheme="majorBidi" w:hAnsiTheme="majorBidi"/>
          <w:i/>
          <w:sz w:val="26"/>
        </w:rPr>
      </w:pPr>
      <w:r w:rsidRPr="002E7CAC">
        <w:rPr>
          <w:rFonts w:asciiTheme="majorBidi" w:hAnsiTheme="majorBidi"/>
          <w:b/>
          <w:sz w:val="26"/>
        </w:rPr>
        <w:lastRenderedPageBreak/>
        <w:t xml:space="preserve">Table </w:t>
      </w:r>
      <w:proofErr w:type="gramStart"/>
      <w:r w:rsidRPr="002E7CAC">
        <w:rPr>
          <w:rFonts w:asciiTheme="majorBidi" w:hAnsiTheme="majorBidi"/>
          <w:b/>
          <w:sz w:val="26"/>
        </w:rPr>
        <w:t>3</w:t>
      </w:r>
      <w:r w:rsidR="004465BD" w:rsidRPr="002E7CAC">
        <w:rPr>
          <w:rFonts w:asciiTheme="majorBidi" w:hAnsiTheme="majorBidi"/>
          <w:b/>
          <w:sz w:val="26"/>
        </w:rPr>
        <w:t xml:space="preserve"> </w:t>
      </w:r>
      <w:r w:rsidRPr="00FA3651">
        <w:rPr>
          <w:rFonts w:asciiTheme="majorBidi" w:hAnsiTheme="majorBidi"/>
          <w:sz w:val="26"/>
        </w:rPr>
        <w:t xml:space="preserve"> </w:t>
      </w:r>
      <w:r w:rsidRPr="002E7CAC">
        <w:rPr>
          <w:rFonts w:asciiTheme="majorBidi" w:hAnsiTheme="majorBidi"/>
          <w:i/>
          <w:sz w:val="26"/>
        </w:rPr>
        <w:t>Descriptive</w:t>
      </w:r>
      <w:proofErr w:type="gramEnd"/>
      <w:r w:rsidRPr="002E7CAC">
        <w:rPr>
          <w:rFonts w:asciiTheme="majorBidi" w:hAnsiTheme="majorBidi"/>
          <w:i/>
          <w:sz w:val="26"/>
        </w:rPr>
        <w:t xml:space="preserve"> Statistics of Foreign and Control Variables</w:t>
      </w:r>
    </w:p>
    <w:tbl>
      <w:tblPr>
        <w:tblStyle w:val="ab"/>
        <w:tblW w:w="5000" w:type="pct"/>
        <w:jc w:val="center"/>
        <w:tblBorders>
          <w:top w:val="single" w:sz="4" w:space="0" w:color="auto"/>
          <w:left w:val="none" w:sz="0" w:space="0" w:color="auto"/>
          <w:bottom w:val="single" w:sz="4" w:space="0" w:color="auto"/>
          <w:right w:val="none" w:sz="0" w:space="0" w:color="auto"/>
          <w:insideH w:val="single" w:sz="4" w:space="0" w:color="auto"/>
        </w:tblBorders>
        <w:tblLook w:val="04A0" w:firstRow="1" w:lastRow="0" w:firstColumn="1" w:lastColumn="0" w:noHBand="0" w:noVBand="1"/>
      </w:tblPr>
      <w:tblGrid>
        <w:gridCol w:w="952"/>
        <w:gridCol w:w="876"/>
        <w:gridCol w:w="948"/>
        <w:gridCol w:w="829"/>
        <w:gridCol w:w="1267"/>
        <w:gridCol w:w="949"/>
        <w:gridCol w:w="1069"/>
        <w:gridCol w:w="866"/>
        <w:gridCol w:w="1271"/>
      </w:tblGrid>
      <w:tr w:rsidR="009F6F7D" w:rsidRPr="00EA76AA" w14:paraId="6C239A7C" w14:textId="77777777" w:rsidTr="004C282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9" w:type="pct"/>
            <w:tcBorders>
              <w:bottom w:val="single" w:sz="4" w:space="0" w:color="auto"/>
              <w:right w:val="single" w:sz="4" w:space="0" w:color="auto"/>
            </w:tcBorders>
            <w:shd w:val="clear" w:color="auto" w:fill="auto"/>
            <w:vAlign w:val="center"/>
          </w:tcPr>
          <w:p w14:paraId="42305060" w14:textId="234C77A7" w:rsidR="009F6F7D" w:rsidRPr="00EA76AA" w:rsidRDefault="009F6F7D" w:rsidP="009F6F7D">
            <w:pPr>
              <w:autoSpaceDE w:val="0"/>
              <w:autoSpaceDN w:val="0"/>
              <w:adjustRightInd w:val="0"/>
              <w:jc w:val="center"/>
              <w:rPr>
                <w:rFonts w:asciiTheme="majorBidi" w:hAnsiTheme="majorBidi" w:cstheme="majorBidi"/>
                <w:b w:val="0"/>
                <w:bCs w:val="0"/>
                <w:color w:val="auto"/>
                <w:sz w:val="20"/>
                <w:szCs w:val="20"/>
              </w:rPr>
            </w:pPr>
            <w:r w:rsidRPr="00EA76AA">
              <w:rPr>
                <w:rFonts w:asciiTheme="majorBidi" w:hAnsiTheme="majorBidi" w:cstheme="majorBidi"/>
                <w:b w:val="0"/>
                <w:bCs w:val="0"/>
                <w:color w:val="auto"/>
                <w:sz w:val="20"/>
                <w:szCs w:val="20"/>
              </w:rPr>
              <w:t>Variable</w:t>
            </w:r>
          </w:p>
        </w:tc>
        <w:tc>
          <w:tcPr>
            <w:tcW w:w="487" w:type="pct"/>
            <w:tcBorders>
              <w:left w:val="single" w:sz="4" w:space="0" w:color="auto"/>
              <w:bottom w:val="single" w:sz="4" w:space="0" w:color="auto"/>
            </w:tcBorders>
            <w:shd w:val="clear" w:color="auto" w:fill="auto"/>
            <w:vAlign w:val="center"/>
            <w:hideMark/>
          </w:tcPr>
          <w:p w14:paraId="5288552E" w14:textId="1A514658" w:rsidR="009F6F7D" w:rsidRPr="00EA76AA" w:rsidRDefault="009F6F7D" w:rsidP="004465BD">
            <w:pPr>
              <w:autoSpaceDE w:val="0"/>
              <w:autoSpaceDN w:val="0"/>
              <w:adjustRightInd w:val="0"/>
              <w:snapToGrid w:val="0"/>
              <w:spacing w:line="320" w:lineRule="atLeast"/>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20"/>
                <w:szCs w:val="20"/>
              </w:rPr>
            </w:pPr>
            <w:r w:rsidRPr="00EA76AA">
              <w:rPr>
                <w:rFonts w:asciiTheme="majorBidi" w:hAnsiTheme="majorBidi" w:cstheme="majorBidi"/>
                <w:b w:val="0"/>
                <w:bCs w:val="0"/>
                <w:color w:val="auto"/>
                <w:sz w:val="20"/>
                <w:szCs w:val="20"/>
              </w:rPr>
              <w:t>Min</w:t>
            </w:r>
          </w:p>
        </w:tc>
        <w:tc>
          <w:tcPr>
            <w:tcW w:w="527" w:type="pct"/>
            <w:tcBorders>
              <w:bottom w:val="single" w:sz="4" w:space="0" w:color="auto"/>
            </w:tcBorders>
            <w:shd w:val="clear" w:color="auto" w:fill="auto"/>
            <w:vAlign w:val="center"/>
            <w:hideMark/>
          </w:tcPr>
          <w:p w14:paraId="5338AB8A" w14:textId="5D3346C4" w:rsidR="009F6F7D" w:rsidRPr="00EA76AA" w:rsidRDefault="009F6F7D" w:rsidP="004465BD">
            <w:pPr>
              <w:autoSpaceDE w:val="0"/>
              <w:autoSpaceDN w:val="0"/>
              <w:adjustRightInd w:val="0"/>
              <w:snapToGrid w:val="0"/>
              <w:spacing w:line="320" w:lineRule="atLeast"/>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20"/>
                <w:szCs w:val="20"/>
              </w:rPr>
            </w:pPr>
            <w:r w:rsidRPr="00EA76AA">
              <w:rPr>
                <w:rFonts w:asciiTheme="majorBidi" w:hAnsiTheme="majorBidi" w:cstheme="majorBidi"/>
                <w:b w:val="0"/>
                <w:bCs w:val="0"/>
                <w:color w:val="auto"/>
                <w:sz w:val="20"/>
                <w:szCs w:val="20"/>
              </w:rPr>
              <w:t>Max</w:t>
            </w:r>
          </w:p>
        </w:tc>
        <w:tc>
          <w:tcPr>
            <w:tcW w:w="461" w:type="pct"/>
            <w:tcBorders>
              <w:bottom w:val="single" w:sz="4" w:space="0" w:color="auto"/>
            </w:tcBorders>
            <w:shd w:val="clear" w:color="auto" w:fill="auto"/>
            <w:vAlign w:val="center"/>
            <w:hideMark/>
          </w:tcPr>
          <w:p w14:paraId="4019A134" w14:textId="77777777" w:rsidR="009F6F7D" w:rsidRPr="00EA76AA" w:rsidRDefault="009F6F7D" w:rsidP="004465BD">
            <w:pPr>
              <w:autoSpaceDE w:val="0"/>
              <w:autoSpaceDN w:val="0"/>
              <w:adjustRightInd w:val="0"/>
              <w:snapToGrid w:val="0"/>
              <w:spacing w:line="320" w:lineRule="atLeast"/>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20"/>
                <w:szCs w:val="20"/>
              </w:rPr>
            </w:pPr>
            <w:r w:rsidRPr="00EA76AA">
              <w:rPr>
                <w:rFonts w:asciiTheme="majorBidi" w:hAnsiTheme="majorBidi" w:cstheme="majorBidi"/>
                <w:b w:val="0"/>
                <w:bCs w:val="0"/>
                <w:color w:val="auto"/>
                <w:sz w:val="20"/>
                <w:szCs w:val="20"/>
              </w:rPr>
              <w:t>Mean</w:t>
            </w:r>
          </w:p>
        </w:tc>
        <w:tc>
          <w:tcPr>
            <w:tcW w:w="703" w:type="pct"/>
            <w:tcBorders>
              <w:bottom w:val="single" w:sz="4" w:space="0" w:color="auto"/>
            </w:tcBorders>
            <w:shd w:val="clear" w:color="auto" w:fill="auto"/>
            <w:vAlign w:val="center"/>
            <w:hideMark/>
          </w:tcPr>
          <w:p w14:paraId="324A1A17" w14:textId="77777777" w:rsidR="009F6F7D" w:rsidRPr="00EA76AA" w:rsidRDefault="009F6F7D" w:rsidP="004465BD">
            <w:pPr>
              <w:autoSpaceDE w:val="0"/>
              <w:autoSpaceDN w:val="0"/>
              <w:adjustRightInd w:val="0"/>
              <w:snapToGrid w:val="0"/>
              <w:spacing w:line="320" w:lineRule="atLeast"/>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20"/>
                <w:szCs w:val="20"/>
              </w:rPr>
            </w:pPr>
            <w:r w:rsidRPr="00EA76AA">
              <w:rPr>
                <w:rFonts w:asciiTheme="majorBidi" w:hAnsiTheme="majorBidi" w:cstheme="majorBidi"/>
                <w:b w:val="0"/>
                <w:bCs w:val="0"/>
                <w:color w:val="auto"/>
                <w:sz w:val="20"/>
                <w:szCs w:val="20"/>
              </w:rPr>
              <w:t>Std. Deviation</w:t>
            </w:r>
          </w:p>
        </w:tc>
        <w:tc>
          <w:tcPr>
            <w:tcW w:w="527" w:type="pct"/>
            <w:tcBorders>
              <w:bottom w:val="single" w:sz="4" w:space="0" w:color="auto"/>
            </w:tcBorders>
            <w:shd w:val="clear" w:color="auto" w:fill="auto"/>
            <w:vAlign w:val="center"/>
            <w:hideMark/>
          </w:tcPr>
          <w:p w14:paraId="5FD7A1CC" w14:textId="5A9FB809" w:rsidR="009F6F7D" w:rsidRPr="00EA76AA" w:rsidRDefault="009F6F7D" w:rsidP="004465BD">
            <w:pPr>
              <w:autoSpaceDE w:val="0"/>
              <w:autoSpaceDN w:val="0"/>
              <w:adjustRightInd w:val="0"/>
              <w:snapToGrid w:val="0"/>
              <w:spacing w:line="320" w:lineRule="atLeast"/>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20"/>
                <w:szCs w:val="20"/>
              </w:rPr>
            </w:pPr>
            <w:r w:rsidRPr="00EA76AA">
              <w:rPr>
                <w:rFonts w:asciiTheme="majorBidi" w:hAnsiTheme="majorBidi" w:cstheme="majorBidi"/>
                <w:b w:val="0"/>
                <w:bCs w:val="0"/>
                <w:color w:val="auto"/>
                <w:sz w:val="20"/>
                <w:szCs w:val="20"/>
              </w:rPr>
              <w:t>Min</w:t>
            </w:r>
          </w:p>
        </w:tc>
        <w:tc>
          <w:tcPr>
            <w:tcW w:w="593" w:type="pct"/>
            <w:tcBorders>
              <w:bottom w:val="single" w:sz="4" w:space="0" w:color="auto"/>
            </w:tcBorders>
            <w:shd w:val="clear" w:color="auto" w:fill="auto"/>
            <w:vAlign w:val="center"/>
            <w:hideMark/>
          </w:tcPr>
          <w:p w14:paraId="6E66E6D9" w14:textId="3DDC0352" w:rsidR="009F6F7D" w:rsidRPr="00EA76AA" w:rsidRDefault="009F6F7D" w:rsidP="004465BD">
            <w:pPr>
              <w:autoSpaceDE w:val="0"/>
              <w:autoSpaceDN w:val="0"/>
              <w:adjustRightInd w:val="0"/>
              <w:snapToGrid w:val="0"/>
              <w:spacing w:line="320" w:lineRule="atLeast"/>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20"/>
                <w:szCs w:val="20"/>
              </w:rPr>
            </w:pPr>
            <w:r w:rsidRPr="00EA76AA">
              <w:rPr>
                <w:rFonts w:asciiTheme="majorBidi" w:hAnsiTheme="majorBidi" w:cstheme="majorBidi"/>
                <w:b w:val="0"/>
                <w:bCs w:val="0"/>
                <w:color w:val="auto"/>
                <w:sz w:val="20"/>
                <w:szCs w:val="20"/>
              </w:rPr>
              <w:t>Max</w:t>
            </w:r>
          </w:p>
        </w:tc>
        <w:tc>
          <w:tcPr>
            <w:tcW w:w="468" w:type="pct"/>
            <w:tcBorders>
              <w:bottom w:val="single" w:sz="4" w:space="0" w:color="auto"/>
            </w:tcBorders>
            <w:shd w:val="clear" w:color="auto" w:fill="auto"/>
            <w:vAlign w:val="center"/>
            <w:hideMark/>
          </w:tcPr>
          <w:p w14:paraId="7CB30791" w14:textId="77777777" w:rsidR="009F6F7D" w:rsidRPr="00EA76AA" w:rsidRDefault="009F6F7D" w:rsidP="004465BD">
            <w:pPr>
              <w:autoSpaceDE w:val="0"/>
              <w:autoSpaceDN w:val="0"/>
              <w:adjustRightInd w:val="0"/>
              <w:snapToGrid w:val="0"/>
              <w:spacing w:line="320" w:lineRule="atLeast"/>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20"/>
                <w:szCs w:val="20"/>
              </w:rPr>
            </w:pPr>
            <w:r w:rsidRPr="00EA76AA">
              <w:rPr>
                <w:rFonts w:asciiTheme="majorBidi" w:hAnsiTheme="majorBidi" w:cstheme="majorBidi"/>
                <w:b w:val="0"/>
                <w:bCs w:val="0"/>
                <w:color w:val="auto"/>
                <w:sz w:val="20"/>
                <w:szCs w:val="20"/>
              </w:rPr>
              <w:t>Mean</w:t>
            </w:r>
          </w:p>
        </w:tc>
        <w:tc>
          <w:tcPr>
            <w:tcW w:w="705" w:type="pct"/>
            <w:tcBorders>
              <w:bottom w:val="single" w:sz="4" w:space="0" w:color="auto"/>
            </w:tcBorders>
            <w:shd w:val="clear" w:color="auto" w:fill="auto"/>
            <w:vAlign w:val="center"/>
            <w:hideMark/>
          </w:tcPr>
          <w:p w14:paraId="7B3645E0" w14:textId="77777777" w:rsidR="009F6F7D" w:rsidRPr="00EA76AA" w:rsidRDefault="009F6F7D" w:rsidP="004465BD">
            <w:pPr>
              <w:autoSpaceDE w:val="0"/>
              <w:autoSpaceDN w:val="0"/>
              <w:adjustRightInd w:val="0"/>
              <w:snapToGrid w:val="0"/>
              <w:spacing w:line="320" w:lineRule="atLeast"/>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20"/>
                <w:szCs w:val="20"/>
              </w:rPr>
            </w:pPr>
            <w:r w:rsidRPr="00EA76AA">
              <w:rPr>
                <w:rFonts w:asciiTheme="majorBidi" w:hAnsiTheme="majorBidi" w:cstheme="majorBidi"/>
                <w:b w:val="0"/>
                <w:bCs w:val="0"/>
                <w:color w:val="auto"/>
                <w:sz w:val="20"/>
                <w:szCs w:val="20"/>
              </w:rPr>
              <w:t>Std. Deviation</w:t>
            </w:r>
          </w:p>
        </w:tc>
      </w:tr>
      <w:tr w:rsidR="009F6F7D" w:rsidRPr="00EA76AA" w14:paraId="511ABA45" w14:textId="77777777" w:rsidTr="009F6F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9" w:type="pct"/>
            <w:tcBorders>
              <w:top w:val="single" w:sz="4" w:space="0" w:color="auto"/>
              <w:left w:val="nil"/>
              <w:bottom w:val="single" w:sz="4" w:space="0" w:color="auto"/>
            </w:tcBorders>
            <w:shd w:val="clear" w:color="auto" w:fill="auto"/>
            <w:vAlign w:val="center"/>
          </w:tcPr>
          <w:p w14:paraId="32A5461B" w14:textId="77777777" w:rsidR="009F6F7D" w:rsidRPr="00EA76AA" w:rsidRDefault="009F6F7D" w:rsidP="009F6F7D">
            <w:pPr>
              <w:autoSpaceDE w:val="0"/>
              <w:autoSpaceDN w:val="0"/>
              <w:adjustRightInd w:val="0"/>
              <w:spacing w:line="320" w:lineRule="atLeast"/>
              <w:ind w:left="60" w:right="60"/>
              <w:jc w:val="center"/>
              <w:rPr>
                <w:rFonts w:asciiTheme="majorBidi" w:hAnsiTheme="majorBidi" w:cstheme="majorBidi"/>
                <w:b w:val="0"/>
                <w:bCs w:val="0"/>
                <w:sz w:val="20"/>
                <w:szCs w:val="20"/>
              </w:rPr>
            </w:pPr>
          </w:p>
        </w:tc>
        <w:tc>
          <w:tcPr>
            <w:tcW w:w="2178" w:type="pct"/>
            <w:gridSpan w:val="4"/>
            <w:tcBorders>
              <w:top w:val="single" w:sz="4" w:space="0" w:color="auto"/>
              <w:bottom w:val="single" w:sz="4" w:space="0" w:color="auto"/>
            </w:tcBorders>
            <w:vAlign w:val="center"/>
            <w:hideMark/>
          </w:tcPr>
          <w:p w14:paraId="097F4CC2" w14:textId="77777777" w:rsidR="009F6F7D" w:rsidRPr="00EA76AA" w:rsidRDefault="009F6F7D" w:rsidP="004465BD">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KSA</w:t>
            </w:r>
          </w:p>
        </w:tc>
        <w:tc>
          <w:tcPr>
            <w:tcW w:w="2293" w:type="pct"/>
            <w:gridSpan w:val="4"/>
            <w:tcBorders>
              <w:top w:val="single" w:sz="4" w:space="0" w:color="auto"/>
              <w:bottom w:val="single" w:sz="4" w:space="0" w:color="auto"/>
              <w:right w:val="nil"/>
            </w:tcBorders>
            <w:vAlign w:val="center"/>
            <w:hideMark/>
          </w:tcPr>
          <w:p w14:paraId="73B064DF" w14:textId="242FA292" w:rsidR="009F6F7D" w:rsidRPr="00EA76AA" w:rsidRDefault="009F6F7D" w:rsidP="004465BD">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QAT</w:t>
            </w:r>
          </w:p>
        </w:tc>
      </w:tr>
      <w:tr w:rsidR="009F6F7D" w:rsidRPr="00EA76AA" w14:paraId="6663C777" w14:textId="77777777" w:rsidTr="009F6F7D">
        <w:trPr>
          <w:jc w:val="center"/>
        </w:trPr>
        <w:tc>
          <w:tcPr>
            <w:cnfStyle w:val="001000000000" w:firstRow="0" w:lastRow="0" w:firstColumn="1" w:lastColumn="0" w:oddVBand="0" w:evenVBand="0" w:oddHBand="0" w:evenHBand="0" w:firstRowFirstColumn="0" w:firstRowLastColumn="0" w:lastRowFirstColumn="0" w:lastRowLastColumn="0"/>
            <w:tcW w:w="529" w:type="pct"/>
            <w:tcBorders>
              <w:top w:val="single" w:sz="4" w:space="0" w:color="auto"/>
              <w:right w:val="single" w:sz="4" w:space="0" w:color="auto"/>
            </w:tcBorders>
            <w:vAlign w:val="center"/>
          </w:tcPr>
          <w:p w14:paraId="0968BB44" w14:textId="77777777" w:rsidR="00CA3B14" w:rsidRPr="00EA76AA" w:rsidRDefault="00CA3B14" w:rsidP="009F6F7D">
            <w:pPr>
              <w:autoSpaceDE w:val="0"/>
              <w:autoSpaceDN w:val="0"/>
              <w:adjustRightInd w:val="0"/>
              <w:spacing w:line="320" w:lineRule="atLeast"/>
              <w:ind w:left="60" w:right="60"/>
              <w:jc w:val="center"/>
              <w:rPr>
                <w:rFonts w:asciiTheme="majorBidi" w:hAnsiTheme="majorBidi" w:cstheme="majorBidi"/>
                <w:b w:val="0"/>
                <w:bCs w:val="0"/>
                <w:sz w:val="20"/>
                <w:szCs w:val="20"/>
              </w:rPr>
            </w:pPr>
            <w:r w:rsidRPr="00EA76AA">
              <w:rPr>
                <w:rFonts w:asciiTheme="majorBidi" w:hAnsiTheme="majorBidi" w:cstheme="majorBidi"/>
                <w:b w:val="0"/>
                <w:bCs w:val="0"/>
                <w:sz w:val="20"/>
                <w:szCs w:val="20"/>
              </w:rPr>
              <w:t>FI</w:t>
            </w:r>
          </w:p>
        </w:tc>
        <w:tc>
          <w:tcPr>
            <w:tcW w:w="487" w:type="pct"/>
            <w:tcBorders>
              <w:top w:val="single" w:sz="4" w:space="0" w:color="auto"/>
              <w:left w:val="single" w:sz="4" w:space="0" w:color="auto"/>
            </w:tcBorders>
            <w:vAlign w:val="center"/>
          </w:tcPr>
          <w:p w14:paraId="11E4DD26" w14:textId="56474EF6" w:rsidR="00CA3B14" w:rsidRPr="00EA76AA" w:rsidRDefault="00F563CB" w:rsidP="004465B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0</w:t>
            </w:r>
            <w:r w:rsidR="00CA3B14" w:rsidRPr="00EA76AA">
              <w:rPr>
                <w:rFonts w:asciiTheme="majorBidi" w:hAnsiTheme="majorBidi" w:cstheme="majorBidi"/>
                <w:sz w:val="20"/>
                <w:szCs w:val="20"/>
              </w:rPr>
              <w:t>.00</w:t>
            </w:r>
          </w:p>
        </w:tc>
        <w:tc>
          <w:tcPr>
            <w:tcW w:w="527" w:type="pct"/>
            <w:tcBorders>
              <w:top w:val="single" w:sz="4" w:space="0" w:color="auto"/>
            </w:tcBorders>
            <w:vAlign w:val="center"/>
          </w:tcPr>
          <w:p w14:paraId="1404AC2F" w14:textId="4831445C" w:rsidR="00CA3B14" w:rsidRPr="00EA76AA" w:rsidRDefault="00F563CB" w:rsidP="004465B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0</w:t>
            </w:r>
            <w:r w:rsidR="00CA3B14" w:rsidRPr="00EA76AA">
              <w:rPr>
                <w:rFonts w:asciiTheme="majorBidi" w:hAnsiTheme="majorBidi" w:cstheme="majorBidi"/>
                <w:sz w:val="20"/>
                <w:szCs w:val="20"/>
              </w:rPr>
              <w:t>.50</w:t>
            </w:r>
          </w:p>
        </w:tc>
        <w:tc>
          <w:tcPr>
            <w:tcW w:w="461" w:type="pct"/>
            <w:tcBorders>
              <w:top w:val="single" w:sz="4" w:space="0" w:color="auto"/>
            </w:tcBorders>
            <w:vAlign w:val="center"/>
          </w:tcPr>
          <w:p w14:paraId="124E5574" w14:textId="2518571D" w:rsidR="00CA3B14" w:rsidRPr="00EA76AA" w:rsidRDefault="00F563CB" w:rsidP="004465B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0</w:t>
            </w:r>
            <w:r w:rsidR="00CA3B14" w:rsidRPr="00EA76AA">
              <w:rPr>
                <w:rFonts w:asciiTheme="majorBidi" w:hAnsiTheme="majorBidi" w:cstheme="majorBidi"/>
                <w:sz w:val="20"/>
                <w:szCs w:val="20"/>
              </w:rPr>
              <w:t>.0188</w:t>
            </w:r>
          </w:p>
        </w:tc>
        <w:tc>
          <w:tcPr>
            <w:tcW w:w="703" w:type="pct"/>
            <w:tcBorders>
              <w:top w:val="single" w:sz="4" w:space="0" w:color="auto"/>
            </w:tcBorders>
            <w:vAlign w:val="center"/>
          </w:tcPr>
          <w:p w14:paraId="6230F677" w14:textId="30C89EFA" w:rsidR="00CA3B14" w:rsidRPr="00EA76AA" w:rsidRDefault="00F563CB" w:rsidP="004465B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0</w:t>
            </w:r>
            <w:r w:rsidR="00701C32" w:rsidRPr="00EA76AA">
              <w:rPr>
                <w:rFonts w:asciiTheme="majorBidi" w:hAnsiTheme="majorBidi" w:cstheme="majorBidi"/>
                <w:sz w:val="20"/>
                <w:szCs w:val="20"/>
              </w:rPr>
              <w:t>.078</w:t>
            </w:r>
          </w:p>
        </w:tc>
        <w:tc>
          <w:tcPr>
            <w:tcW w:w="527" w:type="pct"/>
            <w:tcBorders>
              <w:top w:val="single" w:sz="4" w:space="0" w:color="auto"/>
            </w:tcBorders>
            <w:vAlign w:val="center"/>
          </w:tcPr>
          <w:p w14:paraId="0B6C1D55" w14:textId="01504ED1" w:rsidR="00CA3B14" w:rsidRPr="00EA76AA" w:rsidRDefault="00F563CB" w:rsidP="004465B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0</w:t>
            </w:r>
            <w:r w:rsidR="00701C32" w:rsidRPr="00EA76AA">
              <w:rPr>
                <w:rFonts w:asciiTheme="majorBidi" w:hAnsiTheme="majorBidi" w:cstheme="majorBidi"/>
                <w:sz w:val="20"/>
                <w:szCs w:val="20"/>
              </w:rPr>
              <w:t>.00</w:t>
            </w:r>
          </w:p>
        </w:tc>
        <w:tc>
          <w:tcPr>
            <w:tcW w:w="593" w:type="pct"/>
            <w:tcBorders>
              <w:top w:val="single" w:sz="4" w:space="0" w:color="auto"/>
            </w:tcBorders>
            <w:vAlign w:val="center"/>
          </w:tcPr>
          <w:p w14:paraId="4DAE0126" w14:textId="06E2CB70" w:rsidR="00CA3B14" w:rsidRPr="00EA76AA" w:rsidRDefault="00F563CB" w:rsidP="004465B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0</w:t>
            </w:r>
            <w:r w:rsidR="00701C32" w:rsidRPr="00EA76AA">
              <w:rPr>
                <w:rFonts w:asciiTheme="majorBidi" w:hAnsiTheme="majorBidi" w:cstheme="majorBidi"/>
                <w:sz w:val="20"/>
                <w:szCs w:val="20"/>
              </w:rPr>
              <w:t>.036</w:t>
            </w:r>
          </w:p>
        </w:tc>
        <w:tc>
          <w:tcPr>
            <w:tcW w:w="468" w:type="pct"/>
            <w:tcBorders>
              <w:top w:val="single" w:sz="4" w:space="0" w:color="auto"/>
            </w:tcBorders>
            <w:vAlign w:val="center"/>
          </w:tcPr>
          <w:p w14:paraId="276EDC48" w14:textId="45A34B4F" w:rsidR="00CA3B14" w:rsidRPr="00EA76AA" w:rsidRDefault="00F563CB" w:rsidP="004465B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0</w:t>
            </w:r>
            <w:r w:rsidR="00CA3B14" w:rsidRPr="00EA76AA">
              <w:rPr>
                <w:rFonts w:asciiTheme="majorBidi" w:hAnsiTheme="majorBidi" w:cstheme="majorBidi"/>
                <w:sz w:val="20"/>
                <w:szCs w:val="20"/>
              </w:rPr>
              <w:t>.00083</w:t>
            </w:r>
          </w:p>
        </w:tc>
        <w:tc>
          <w:tcPr>
            <w:tcW w:w="705" w:type="pct"/>
            <w:tcBorders>
              <w:top w:val="single" w:sz="4" w:space="0" w:color="auto"/>
            </w:tcBorders>
            <w:vAlign w:val="center"/>
          </w:tcPr>
          <w:p w14:paraId="630588F3" w14:textId="4CD609F7" w:rsidR="00CA3B14" w:rsidRPr="00EA76AA" w:rsidRDefault="00F563CB" w:rsidP="004465B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0</w:t>
            </w:r>
            <w:r w:rsidR="00701C32" w:rsidRPr="00EA76AA">
              <w:rPr>
                <w:rFonts w:asciiTheme="majorBidi" w:hAnsiTheme="majorBidi" w:cstheme="majorBidi"/>
                <w:sz w:val="20"/>
                <w:szCs w:val="20"/>
              </w:rPr>
              <w:t>.005</w:t>
            </w:r>
          </w:p>
        </w:tc>
      </w:tr>
      <w:tr w:rsidR="007F15D8" w:rsidRPr="00EA76AA" w14:paraId="6E31AE45" w14:textId="77777777" w:rsidTr="009F6F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9" w:type="pct"/>
            <w:tcBorders>
              <w:top w:val="none" w:sz="0" w:space="0" w:color="auto"/>
              <w:left w:val="none" w:sz="0" w:space="0" w:color="auto"/>
              <w:bottom w:val="none" w:sz="0" w:space="0" w:color="auto"/>
              <w:right w:val="single" w:sz="4" w:space="0" w:color="auto"/>
            </w:tcBorders>
            <w:vAlign w:val="center"/>
            <w:hideMark/>
          </w:tcPr>
          <w:p w14:paraId="1CE7FD5E" w14:textId="77777777" w:rsidR="00CA3B14" w:rsidRPr="00EA76AA" w:rsidRDefault="00CA3B14" w:rsidP="009F6F7D">
            <w:pPr>
              <w:autoSpaceDE w:val="0"/>
              <w:autoSpaceDN w:val="0"/>
              <w:adjustRightInd w:val="0"/>
              <w:spacing w:line="320" w:lineRule="atLeast"/>
              <w:ind w:left="60" w:right="60"/>
              <w:jc w:val="center"/>
              <w:rPr>
                <w:rFonts w:asciiTheme="majorBidi" w:hAnsiTheme="majorBidi" w:cstheme="majorBidi"/>
                <w:b w:val="0"/>
                <w:bCs w:val="0"/>
                <w:sz w:val="20"/>
                <w:szCs w:val="20"/>
              </w:rPr>
            </w:pPr>
            <w:r w:rsidRPr="00EA76AA">
              <w:rPr>
                <w:rFonts w:asciiTheme="majorBidi" w:hAnsiTheme="majorBidi" w:cstheme="majorBidi"/>
                <w:b w:val="0"/>
                <w:bCs w:val="0"/>
                <w:sz w:val="20"/>
                <w:szCs w:val="20"/>
              </w:rPr>
              <w:t>BIG4</w:t>
            </w:r>
          </w:p>
        </w:tc>
        <w:tc>
          <w:tcPr>
            <w:tcW w:w="487" w:type="pct"/>
            <w:tcBorders>
              <w:top w:val="none" w:sz="0" w:space="0" w:color="auto"/>
              <w:left w:val="single" w:sz="4" w:space="0" w:color="auto"/>
              <w:bottom w:val="none" w:sz="0" w:space="0" w:color="auto"/>
            </w:tcBorders>
            <w:vAlign w:val="center"/>
          </w:tcPr>
          <w:p w14:paraId="0AEFD086" w14:textId="08AD07D1" w:rsidR="00CA3B14" w:rsidRPr="00EA76AA" w:rsidRDefault="00F563CB" w:rsidP="004465B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0</w:t>
            </w:r>
            <w:r w:rsidR="00CA3B14" w:rsidRPr="00EA76AA">
              <w:rPr>
                <w:rFonts w:asciiTheme="majorBidi" w:hAnsiTheme="majorBidi" w:cstheme="majorBidi"/>
                <w:sz w:val="20"/>
                <w:szCs w:val="20"/>
              </w:rPr>
              <w:t>.00</w:t>
            </w:r>
          </w:p>
        </w:tc>
        <w:tc>
          <w:tcPr>
            <w:tcW w:w="527" w:type="pct"/>
            <w:tcBorders>
              <w:top w:val="none" w:sz="0" w:space="0" w:color="auto"/>
              <w:bottom w:val="none" w:sz="0" w:space="0" w:color="auto"/>
            </w:tcBorders>
            <w:vAlign w:val="center"/>
          </w:tcPr>
          <w:p w14:paraId="2D1F6233" w14:textId="77777777" w:rsidR="00CA3B14" w:rsidRPr="00EA76AA" w:rsidRDefault="00CA3B14" w:rsidP="004465B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4.00</w:t>
            </w:r>
          </w:p>
        </w:tc>
        <w:tc>
          <w:tcPr>
            <w:tcW w:w="461" w:type="pct"/>
            <w:tcBorders>
              <w:top w:val="none" w:sz="0" w:space="0" w:color="auto"/>
              <w:bottom w:val="none" w:sz="0" w:space="0" w:color="auto"/>
            </w:tcBorders>
            <w:vAlign w:val="center"/>
          </w:tcPr>
          <w:p w14:paraId="2806F6E0" w14:textId="31D2B746" w:rsidR="00CA3B14" w:rsidRPr="00EA76AA" w:rsidRDefault="00F563CB" w:rsidP="004465B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0</w:t>
            </w:r>
            <w:r w:rsidR="00701C32" w:rsidRPr="00EA76AA">
              <w:rPr>
                <w:rFonts w:asciiTheme="majorBidi" w:hAnsiTheme="majorBidi" w:cstheme="majorBidi"/>
                <w:sz w:val="20"/>
                <w:szCs w:val="20"/>
              </w:rPr>
              <w:t>.672</w:t>
            </w:r>
          </w:p>
        </w:tc>
        <w:tc>
          <w:tcPr>
            <w:tcW w:w="703" w:type="pct"/>
            <w:tcBorders>
              <w:top w:val="none" w:sz="0" w:space="0" w:color="auto"/>
              <w:bottom w:val="none" w:sz="0" w:space="0" w:color="auto"/>
            </w:tcBorders>
            <w:vAlign w:val="center"/>
          </w:tcPr>
          <w:p w14:paraId="2E39B9A1" w14:textId="1B87B1B7" w:rsidR="00CA3B14" w:rsidRPr="00EA76AA" w:rsidRDefault="00F563CB" w:rsidP="004465B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0</w:t>
            </w:r>
            <w:r w:rsidR="00701C32" w:rsidRPr="00EA76AA">
              <w:rPr>
                <w:rFonts w:asciiTheme="majorBidi" w:hAnsiTheme="majorBidi" w:cstheme="majorBidi"/>
                <w:sz w:val="20"/>
                <w:szCs w:val="20"/>
              </w:rPr>
              <w:t>.499</w:t>
            </w:r>
          </w:p>
        </w:tc>
        <w:tc>
          <w:tcPr>
            <w:tcW w:w="527" w:type="pct"/>
            <w:tcBorders>
              <w:top w:val="none" w:sz="0" w:space="0" w:color="auto"/>
              <w:bottom w:val="none" w:sz="0" w:space="0" w:color="auto"/>
            </w:tcBorders>
            <w:vAlign w:val="center"/>
          </w:tcPr>
          <w:p w14:paraId="77932F8D" w14:textId="00EC5E1A" w:rsidR="00CA3B14" w:rsidRPr="00EA76AA" w:rsidRDefault="00F563CB" w:rsidP="004465B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0</w:t>
            </w:r>
            <w:r w:rsidR="00701C32" w:rsidRPr="00EA76AA">
              <w:rPr>
                <w:rFonts w:asciiTheme="majorBidi" w:hAnsiTheme="majorBidi" w:cstheme="majorBidi"/>
                <w:sz w:val="20"/>
                <w:szCs w:val="20"/>
              </w:rPr>
              <w:t>.000</w:t>
            </w:r>
          </w:p>
        </w:tc>
        <w:tc>
          <w:tcPr>
            <w:tcW w:w="593" w:type="pct"/>
            <w:tcBorders>
              <w:top w:val="none" w:sz="0" w:space="0" w:color="auto"/>
              <w:bottom w:val="none" w:sz="0" w:space="0" w:color="auto"/>
            </w:tcBorders>
            <w:vAlign w:val="center"/>
          </w:tcPr>
          <w:p w14:paraId="64941ACC" w14:textId="2D432DCE" w:rsidR="00CA3B14" w:rsidRPr="00EA76AA" w:rsidRDefault="00CA3B14" w:rsidP="004465B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1</w:t>
            </w:r>
            <w:r w:rsidR="00701C32" w:rsidRPr="00EA76AA">
              <w:rPr>
                <w:rFonts w:asciiTheme="majorBidi" w:hAnsiTheme="majorBidi" w:cstheme="majorBidi"/>
                <w:sz w:val="20"/>
                <w:szCs w:val="20"/>
              </w:rPr>
              <w:t>.00</w:t>
            </w:r>
          </w:p>
        </w:tc>
        <w:tc>
          <w:tcPr>
            <w:tcW w:w="468" w:type="pct"/>
            <w:tcBorders>
              <w:top w:val="none" w:sz="0" w:space="0" w:color="auto"/>
              <w:bottom w:val="none" w:sz="0" w:space="0" w:color="auto"/>
            </w:tcBorders>
            <w:vAlign w:val="center"/>
          </w:tcPr>
          <w:p w14:paraId="20D4F793" w14:textId="248CE911" w:rsidR="00CA3B14" w:rsidRPr="00EA76AA" w:rsidRDefault="00F563CB" w:rsidP="004465B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0</w:t>
            </w:r>
            <w:r w:rsidR="00701C32" w:rsidRPr="00EA76AA">
              <w:rPr>
                <w:rFonts w:asciiTheme="majorBidi" w:hAnsiTheme="majorBidi" w:cstheme="majorBidi"/>
                <w:sz w:val="20"/>
                <w:szCs w:val="20"/>
              </w:rPr>
              <w:t>.936</w:t>
            </w:r>
          </w:p>
        </w:tc>
        <w:tc>
          <w:tcPr>
            <w:tcW w:w="705" w:type="pct"/>
            <w:tcBorders>
              <w:top w:val="none" w:sz="0" w:space="0" w:color="auto"/>
              <w:bottom w:val="none" w:sz="0" w:space="0" w:color="auto"/>
              <w:right w:val="none" w:sz="0" w:space="0" w:color="auto"/>
            </w:tcBorders>
            <w:vAlign w:val="center"/>
          </w:tcPr>
          <w:p w14:paraId="252A98B9" w14:textId="4A492BEF" w:rsidR="00CA3B14" w:rsidRPr="00EA76AA" w:rsidRDefault="00F563CB" w:rsidP="004465B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0</w:t>
            </w:r>
            <w:r w:rsidR="00701C32" w:rsidRPr="00EA76AA">
              <w:rPr>
                <w:rFonts w:asciiTheme="majorBidi" w:hAnsiTheme="majorBidi" w:cstheme="majorBidi"/>
                <w:sz w:val="20"/>
                <w:szCs w:val="20"/>
              </w:rPr>
              <w:t>.245</w:t>
            </w:r>
          </w:p>
        </w:tc>
      </w:tr>
      <w:tr w:rsidR="009F6F7D" w:rsidRPr="00EA76AA" w14:paraId="71E3BFC5" w14:textId="77777777" w:rsidTr="009F6F7D">
        <w:trPr>
          <w:jc w:val="center"/>
        </w:trPr>
        <w:tc>
          <w:tcPr>
            <w:cnfStyle w:val="001000000000" w:firstRow="0" w:lastRow="0" w:firstColumn="1" w:lastColumn="0" w:oddVBand="0" w:evenVBand="0" w:oddHBand="0" w:evenHBand="0" w:firstRowFirstColumn="0" w:firstRowLastColumn="0" w:lastRowFirstColumn="0" w:lastRowLastColumn="0"/>
            <w:tcW w:w="529" w:type="pct"/>
            <w:tcBorders>
              <w:right w:val="single" w:sz="4" w:space="0" w:color="auto"/>
            </w:tcBorders>
            <w:vAlign w:val="center"/>
            <w:hideMark/>
          </w:tcPr>
          <w:p w14:paraId="02F78EB2" w14:textId="77777777" w:rsidR="00CA3B14" w:rsidRPr="00EA76AA" w:rsidRDefault="00CA3B14" w:rsidP="009F6F7D">
            <w:pPr>
              <w:autoSpaceDE w:val="0"/>
              <w:autoSpaceDN w:val="0"/>
              <w:adjustRightInd w:val="0"/>
              <w:spacing w:line="320" w:lineRule="atLeast"/>
              <w:ind w:left="60" w:right="60"/>
              <w:jc w:val="center"/>
              <w:rPr>
                <w:rFonts w:asciiTheme="majorBidi" w:hAnsiTheme="majorBidi" w:cstheme="majorBidi"/>
                <w:b w:val="0"/>
                <w:bCs w:val="0"/>
                <w:sz w:val="20"/>
                <w:szCs w:val="20"/>
              </w:rPr>
            </w:pPr>
            <w:r w:rsidRPr="00EA76AA">
              <w:rPr>
                <w:rFonts w:asciiTheme="majorBidi" w:hAnsiTheme="majorBidi" w:cstheme="majorBidi"/>
                <w:b w:val="0"/>
                <w:bCs w:val="0"/>
                <w:sz w:val="20"/>
                <w:szCs w:val="20"/>
              </w:rPr>
              <w:t>R</w:t>
            </w:r>
          </w:p>
        </w:tc>
        <w:tc>
          <w:tcPr>
            <w:tcW w:w="487" w:type="pct"/>
            <w:tcBorders>
              <w:left w:val="single" w:sz="4" w:space="0" w:color="auto"/>
            </w:tcBorders>
            <w:vAlign w:val="center"/>
          </w:tcPr>
          <w:p w14:paraId="6E29FF6E" w14:textId="7111853C" w:rsidR="00CA3B14" w:rsidRPr="00EA76AA" w:rsidRDefault="00F563CB" w:rsidP="004465B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0</w:t>
            </w:r>
            <w:r w:rsidR="00CA3B14" w:rsidRPr="00EA76AA">
              <w:rPr>
                <w:rFonts w:asciiTheme="majorBidi" w:hAnsiTheme="majorBidi" w:cstheme="majorBidi"/>
                <w:sz w:val="20"/>
                <w:szCs w:val="20"/>
              </w:rPr>
              <w:t>.01</w:t>
            </w:r>
          </w:p>
        </w:tc>
        <w:tc>
          <w:tcPr>
            <w:tcW w:w="527" w:type="pct"/>
            <w:vAlign w:val="center"/>
          </w:tcPr>
          <w:p w14:paraId="5C3904B7" w14:textId="77777777" w:rsidR="00CA3B14" w:rsidRPr="00EA76AA" w:rsidRDefault="00CA3B14" w:rsidP="004465B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6.44</w:t>
            </w:r>
          </w:p>
        </w:tc>
        <w:tc>
          <w:tcPr>
            <w:tcW w:w="461" w:type="pct"/>
            <w:vAlign w:val="center"/>
          </w:tcPr>
          <w:p w14:paraId="1276C4AA" w14:textId="7BCDB3B2" w:rsidR="00CA3B14" w:rsidRPr="00EA76AA" w:rsidRDefault="00F563CB" w:rsidP="004465B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0</w:t>
            </w:r>
            <w:r w:rsidR="00701C32" w:rsidRPr="00EA76AA">
              <w:rPr>
                <w:rFonts w:asciiTheme="majorBidi" w:hAnsiTheme="majorBidi" w:cstheme="majorBidi"/>
                <w:sz w:val="20"/>
                <w:szCs w:val="20"/>
              </w:rPr>
              <w:t>.889</w:t>
            </w:r>
          </w:p>
        </w:tc>
        <w:tc>
          <w:tcPr>
            <w:tcW w:w="703" w:type="pct"/>
            <w:vAlign w:val="center"/>
          </w:tcPr>
          <w:p w14:paraId="71635B9C" w14:textId="3FB98B9A" w:rsidR="00CA3B14" w:rsidRPr="00EA76AA" w:rsidRDefault="00F563CB" w:rsidP="004465B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0</w:t>
            </w:r>
            <w:r w:rsidR="00701C32" w:rsidRPr="00EA76AA">
              <w:rPr>
                <w:rFonts w:asciiTheme="majorBidi" w:hAnsiTheme="majorBidi" w:cstheme="majorBidi"/>
                <w:sz w:val="20"/>
                <w:szCs w:val="20"/>
              </w:rPr>
              <w:t>.920</w:t>
            </w:r>
          </w:p>
        </w:tc>
        <w:tc>
          <w:tcPr>
            <w:tcW w:w="527" w:type="pct"/>
            <w:vAlign w:val="center"/>
          </w:tcPr>
          <w:p w14:paraId="0BBE762C" w14:textId="577D99B1" w:rsidR="00CA3B14" w:rsidRPr="00EA76AA" w:rsidRDefault="00701C32" w:rsidP="004465B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-67.02</w:t>
            </w:r>
          </w:p>
        </w:tc>
        <w:tc>
          <w:tcPr>
            <w:tcW w:w="593" w:type="pct"/>
            <w:vAlign w:val="center"/>
          </w:tcPr>
          <w:p w14:paraId="24C82B43" w14:textId="28229BA1" w:rsidR="00CA3B14" w:rsidRPr="00EA76AA" w:rsidRDefault="00701C32" w:rsidP="004465B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20.45</w:t>
            </w:r>
          </w:p>
        </w:tc>
        <w:tc>
          <w:tcPr>
            <w:tcW w:w="468" w:type="pct"/>
            <w:vAlign w:val="center"/>
          </w:tcPr>
          <w:p w14:paraId="2E306270" w14:textId="219B834A" w:rsidR="00CA3B14" w:rsidRPr="00EA76AA" w:rsidRDefault="00701C32" w:rsidP="004465B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-10.28</w:t>
            </w:r>
          </w:p>
        </w:tc>
        <w:tc>
          <w:tcPr>
            <w:tcW w:w="705" w:type="pct"/>
            <w:vAlign w:val="center"/>
          </w:tcPr>
          <w:p w14:paraId="113D25E7" w14:textId="74275C8B" w:rsidR="00CA3B14" w:rsidRPr="00EA76AA" w:rsidRDefault="00F563CB" w:rsidP="004465B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0</w:t>
            </w:r>
            <w:r w:rsidR="00701C32" w:rsidRPr="00EA76AA">
              <w:rPr>
                <w:rFonts w:asciiTheme="majorBidi" w:hAnsiTheme="majorBidi" w:cstheme="majorBidi"/>
                <w:sz w:val="20"/>
                <w:szCs w:val="20"/>
              </w:rPr>
              <w:t>.939</w:t>
            </w:r>
          </w:p>
        </w:tc>
      </w:tr>
      <w:tr w:rsidR="007F15D8" w:rsidRPr="00EA76AA" w14:paraId="1604574E" w14:textId="77777777" w:rsidTr="009F6F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9" w:type="pct"/>
            <w:tcBorders>
              <w:top w:val="none" w:sz="0" w:space="0" w:color="auto"/>
              <w:left w:val="none" w:sz="0" w:space="0" w:color="auto"/>
              <w:bottom w:val="none" w:sz="0" w:space="0" w:color="auto"/>
              <w:right w:val="single" w:sz="4" w:space="0" w:color="auto"/>
            </w:tcBorders>
            <w:vAlign w:val="center"/>
            <w:hideMark/>
          </w:tcPr>
          <w:p w14:paraId="4940D2E4" w14:textId="77777777" w:rsidR="00CA3B14" w:rsidRPr="00EA76AA" w:rsidRDefault="00CA3B14" w:rsidP="009F6F7D">
            <w:pPr>
              <w:autoSpaceDE w:val="0"/>
              <w:autoSpaceDN w:val="0"/>
              <w:adjustRightInd w:val="0"/>
              <w:spacing w:line="320" w:lineRule="atLeast"/>
              <w:ind w:left="60" w:right="60"/>
              <w:jc w:val="center"/>
              <w:rPr>
                <w:rFonts w:asciiTheme="majorBidi" w:hAnsiTheme="majorBidi" w:cstheme="majorBidi"/>
                <w:b w:val="0"/>
                <w:bCs w:val="0"/>
                <w:sz w:val="20"/>
                <w:szCs w:val="20"/>
              </w:rPr>
            </w:pPr>
            <w:r w:rsidRPr="00EA76AA">
              <w:rPr>
                <w:rFonts w:asciiTheme="majorBidi" w:hAnsiTheme="majorBidi" w:cstheme="majorBidi"/>
                <w:b w:val="0"/>
                <w:bCs w:val="0"/>
                <w:sz w:val="20"/>
                <w:szCs w:val="20"/>
              </w:rPr>
              <w:t>S</w:t>
            </w:r>
          </w:p>
        </w:tc>
        <w:tc>
          <w:tcPr>
            <w:tcW w:w="487" w:type="pct"/>
            <w:tcBorders>
              <w:top w:val="none" w:sz="0" w:space="0" w:color="auto"/>
              <w:left w:val="single" w:sz="4" w:space="0" w:color="auto"/>
              <w:bottom w:val="none" w:sz="0" w:space="0" w:color="auto"/>
            </w:tcBorders>
            <w:vAlign w:val="center"/>
          </w:tcPr>
          <w:p w14:paraId="56E74513" w14:textId="77777777" w:rsidR="00CA3B14" w:rsidRPr="00EA76AA" w:rsidRDefault="00CA3B14" w:rsidP="004465B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1.14</w:t>
            </w:r>
          </w:p>
        </w:tc>
        <w:tc>
          <w:tcPr>
            <w:tcW w:w="527" w:type="pct"/>
            <w:tcBorders>
              <w:top w:val="none" w:sz="0" w:space="0" w:color="auto"/>
              <w:bottom w:val="none" w:sz="0" w:space="0" w:color="auto"/>
            </w:tcBorders>
            <w:vAlign w:val="center"/>
          </w:tcPr>
          <w:p w14:paraId="0151D85A" w14:textId="77777777" w:rsidR="00CA3B14" w:rsidRPr="00EA76AA" w:rsidRDefault="00CA3B14" w:rsidP="004465B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5.17</w:t>
            </w:r>
          </w:p>
        </w:tc>
        <w:tc>
          <w:tcPr>
            <w:tcW w:w="461" w:type="pct"/>
            <w:tcBorders>
              <w:top w:val="none" w:sz="0" w:space="0" w:color="auto"/>
              <w:bottom w:val="none" w:sz="0" w:space="0" w:color="auto"/>
            </w:tcBorders>
            <w:vAlign w:val="center"/>
          </w:tcPr>
          <w:p w14:paraId="3BE59E22" w14:textId="31A136C4" w:rsidR="00CA3B14" w:rsidRPr="00EA76AA" w:rsidRDefault="00701C32" w:rsidP="004465B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2.865</w:t>
            </w:r>
          </w:p>
        </w:tc>
        <w:tc>
          <w:tcPr>
            <w:tcW w:w="703" w:type="pct"/>
            <w:tcBorders>
              <w:top w:val="none" w:sz="0" w:space="0" w:color="auto"/>
              <w:bottom w:val="none" w:sz="0" w:space="0" w:color="auto"/>
            </w:tcBorders>
            <w:vAlign w:val="center"/>
          </w:tcPr>
          <w:p w14:paraId="72F042FC" w14:textId="4C2D6FC8" w:rsidR="00CA3B14" w:rsidRPr="00EA76AA" w:rsidRDefault="00F563CB" w:rsidP="004465B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0</w:t>
            </w:r>
            <w:r w:rsidR="00701C32" w:rsidRPr="00EA76AA">
              <w:rPr>
                <w:rFonts w:asciiTheme="majorBidi" w:hAnsiTheme="majorBidi" w:cstheme="majorBidi"/>
                <w:sz w:val="20"/>
                <w:szCs w:val="20"/>
              </w:rPr>
              <w:t>.712</w:t>
            </w:r>
          </w:p>
        </w:tc>
        <w:tc>
          <w:tcPr>
            <w:tcW w:w="527" w:type="pct"/>
            <w:tcBorders>
              <w:top w:val="none" w:sz="0" w:space="0" w:color="auto"/>
              <w:bottom w:val="none" w:sz="0" w:space="0" w:color="auto"/>
            </w:tcBorders>
            <w:vAlign w:val="center"/>
          </w:tcPr>
          <w:p w14:paraId="0646B18A" w14:textId="62ED3ADA" w:rsidR="00CA3B14" w:rsidRPr="00EA76AA" w:rsidRDefault="00701C32" w:rsidP="004465B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1.84</w:t>
            </w:r>
          </w:p>
        </w:tc>
        <w:tc>
          <w:tcPr>
            <w:tcW w:w="593" w:type="pct"/>
            <w:tcBorders>
              <w:top w:val="none" w:sz="0" w:space="0" w:color="auto"/>
              <w:bottom w:val="none" w:sz="0" w:space="0" w:color="auto"/>
            </w:tcBorders>
            <w:vAlign w:val="center"/>
          </w:tcPr>
          <w:p w14:paraId="6115B580" w14:textId="3F9124F8" w:rsidR="00CA3B14" w:rsidRPr="00EA76AA" w:rsidRDefault="00701C32" w:rsidP="004465B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4.55</w:t>
            </w:r>
          </w:p>
        </w:tc>
        <w:tc>
          <w:tcPr>
            <w:tcW w:w="468" w:type="pct"/>
            <w:tcBorders>
              <w:top w:val="none" w:sz="0" w:space="0" w:color="auto"/>
              <w:bottom w:val="none" w:sz="0" w:space="0" w:color="auto"/>
            </w:tcBorders>
            <w:vAlign w:val="center"/>
          </w:tcPr>
          <w:p w14:paraId="18E0DC73" w14:textId="0C1E63BB" w:rsidR="00CA3B14" w:rsidRPr="00EA76AA" w:rsidRDefault="00701C32" w:rsidP="004465B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3.25</w:t>
            </w:r>
          </w:p>
        </w:tc>
        <w:tc>
          <w:tcPr>
            <w:tcW w:w="705" w:type="pct"/>
            <w:tcBorders>
              <w:top w:val="none" w:sz="0" w:space="0" w:color="auto"/>
              <w:bottom w:val="none" w:sz="0" w:space="0" w:color="auto"/>
              <w:right w:val="none" w:sz="0" w:space="0" w:color="auto"/>
            </w:tcBorders>
            <w:vAlign w:val="center"/>
          </w:tcPr>
          <w:p w14:paraId="0575DF4E" w14:textId="25162FD7" w:rsidR="00CA3B14" w:rsidRPr="00EA76AA" w:rsidRDefault="00F563CB" w:rsidP="004465B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0</w:t>
            </w:r>
            <w:r w:rsidR="00701C32" w:rsidRPr="00EA76AA">
              <w:rPr>
                <w:rFonts w:asciiTheme="majorBidi" w:hAnsiTheme="majorBidi" w:cstheme="majorBidi"/>
                <w:sz w:val="20"/>
                <w:szCs w:val="20"/>
              </w:rPr>
              <w:t>.629</w:t>
            </w:r>
          </w:p>
        </w:tc>
      </w:tr>
      <w:tr w:rsidR="007F15D8" w:rsidRPr="00EA76AA" w14:paraId="453BC934" w14:textId="77777777" w:rsidTr="009F6F7D">
        <w:trPr>
          <w:jc w:val="center"/>
        </w:trPr>
        <w:tc>
          <w:tcPr>
            <w:cnfStyle w:val="001000000000" w:firstRow="0" w:lastRow="0" w:firstColumn="1" w:lastColumn="0" w:oddVBand="0" w:evenVBand="0" w:oddHBand="0" w:evenHBand="0" w:firstRowFirstColumn="0" w:firstRowLastColumn="0" w:lastRowFirstColumn="0" w:lastRowLastColumn="0"/>
            <w:tcW w:w="529" w:type="pct"/>
            <w:tcBorders>
              <w:bottom w:val="single" w:sz="4" w:space="0" w:color="auto"/>
            </w:tcBorders>
            <w:vAlign w:val="center"/>
          </w:tcPr>
          <w:p w14:paraId="3F960601" w14:textId="77777777" w:rsidR="00CA3B14" w:rsidRPr="00EA76AA" w:rsidRDefault="00CA3B14" w:rsidP="009F6F7D">
            <w:pPr>
              <w:autoSpaceDE w:val="0"/>
              <w:autoSpaceDN w:val="0"/>
              <w:adjustRightInd w:val="0"/>
              <w:spacing w:line="320" w:lineRule="atLeast"/>
              <w:ind w:left="60" w:right="60"/>
              <w:jc w:val="center"/>
              <w:rPr>
                <w:rFonts w:asciiTheme="majorBidi" w:hAnsiTheme="majorBidi" w:cstheme="majorBidi"/>
                <w:b w:val="0"/>
                <w:bCs w:val="0"/>
                <w:sz w:val="20"/>
                <w:szCs w:val="20"/>
              </w:rPr>
            </w:pPr>
          </w:p>
        </w:tc>
        <w:tc>
          <w:tcPr>
            <w:tcW w:w="2178" w:type="pct"/>
            <w:gridSpan w:val="4"/>
            <w:vAlign w:val="center"/>
            <w:hideMark/>
          </w:tcPr>
          <w:p w14:paraId="797136D1" w14:textId="6EC7DAF1" w:rsidR="00CA3B14" w:rsidRPr="00EA76AA" w:rsidRDefault="00CA3B14" w:rsidP="004465BD">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OM</w:t>
            </w:r>
            <w:r w:rsidR="00701C32" w:rsidRPr="00EA76AA">
              <w:rPr>
                <w:rFonts w:asciiTheme="majorBidi" w:hAnsiTheme="majorBidi" w:cstheme="majorBidi"/>
                <w:sz w:val="20"/>
                <w:szCs w:val="20"/>
              </w:rPr>
              <w:t>N</w:t>
            </w:r>
          </w:p>
        </w:tc>
        <w:tc>
          <w:tcPr>
            <w:tcW w:w="2293" w:type="pct"/>
            <w:gridSpan w:val="4"/>
            <w:vAlign w:val="center"/>
            <w:hideMark/>
          </w:tcPr>
          <w:p w14:paraId="0750E3B2" w14:textId="3B3AE00C" w:rsidR="00CA3B14" w:rsidRPr="00EA76AA" w:rsidRDefault="00CA3B14" w:rsidP="004465BD">
            <w:pPr>
              <w:autoSpaceDE w:val="0"/>
              <w:autoSpaceDN w:val="0"/>
              <w:adjustRightInd w:val="0"/>
              <w:spacing w:line="320" w:lineRule="atLeast"/>
              <w:ind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B</w:t>
            </w:r>
            <w:r w:rsidR="00F844FA" w:rsidRPr="00EA76AA">
              <w:rPr>
                <w:rFonts w:asciiTheme="majorBidi" w:hAnsiTheme="majorBidi" w:cstheme="majorBidi"/>
                <w:sz w:val="20"/>
                <w:szCs w:val="20"/>
              </w:rPr>
              <w:t>A</w:t>
            </w:r>
            <w:r w:rsidRPr="00EA76AA">
              <w:rPr>
                <w:rFonts w:asciiTheme="majorBidi" w:hAnsiTheme="majorBidi" w:cstheme="majorBidi"/>
                <w:sz w:val="20"/>
                <w:szCs w:val="20"/>
              </w:rPr>
              <w:t>H</w:t>
            </w:r>
          </w:p>
        </w:tc>
      </w:tr>
      <w:tr w:rsidR="007F15D8" w:rsidRPr="00EA76AA" w14:paraId="03A089EC" w14:textId="77777777" w:rsidTr="009F6F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9" w:type="pct"/>
            <w:tcBorders>
              <w:top w:val="none" w:sz="0" w:space="0" w:color="auto"/>
              <w:left w:val="none" w:sz="0" w:space="0" w:color="auto"/>
              <w:bottom w:val="none" w:sz="0" w:space="0" w:color="auto"/>
              <w:right w:val="single" w:sz="4" w:space="0" w:color="auto"/>
            </w:tcBorders>
            <w:vAlign w:val="center"/>
          </w:tcPr>
          <w:p w14:paraId="21A2A9CF" w14:textId="77777777" w:rsidR="00CA3B14" w:rsidRPr="00EA76AA" w:rsidRDefault="00CA3B14" w:rsidP="009F6F7D">
            <w:pPr>
              <w:autoSpaceDE w:val="0"/>
              <w:autoSpaceDN w:val="0"/>
              <w:adjustRightInd w:val="0"/>
              <w:spacing w:line="320" w:lineRule="atLeast"/>
              <w:ind w:left="60" w:right="60"/>
              <w:jc w:val="center"/>
              <w:rPr>
                <w:rFonts w:asciiTheme="majorBidi" w:hAnsiTheme="majorBidi" w:cstheme="majorBidi"/>
                <w:b w:val="0"/>
                <w:bCs w:val="0"/>
                <w:sz w:val="20"/>
                <w:szCs w:val="20"/>
              </w:rPr>
            </w:pPr>
            <w:r w:rsidRPr="00EA76AA">
              <w:rPr>
                <w:rFonts w:asciiTheme="majorBidi" w:hAnsiTheme="majorBidi" w:cstheme="majorBidi"/>
                <w:b w:val="0"/>
                <w:bCs w:val="0"/>
                <w:sz w:val="20"/>
                <w:szCs w:val="20"/>
              </w:rPr>
              <w:t>FI</w:t>
            </w:r>
          </w:p>
        </w:tc>
        <w:tc>
          <w:tcPr>
            <w:tcW w:w="487" w:type="pct"/>
            <w:tcBorders>
              <w:top w:val="none" w:sz="0" w:space="0" w:color="auto"/>
              <w:left w:val="single" w:sz="4" w:space="0" w:color="auto"/>
              <w:bottom w:val="none" w:sz="0" w:space="0" w:color="auto"/>
            </w:tcBorders>
            <w:vAlign w:val="center"/>
          </w:tcPr>
          <w:p w14:paraId="78591C79" w14:textId="324C5169" w:rsidR="00CA3B14" w:rsidRPr="00EA76AA" w:rsidRDefault="00F563CB" w:rsidP="004465B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0</w:t>
            </w:r>
            <w:r w:rsidR="00701C32" w:rsidRPr="00EA76AA">
              <w:rPr>
                <w:rFonts w:asciiTheme="majorBidi" w:hAnsiTheme="majorBidi" w:cstheme="majorBidi"/>
                <w:sz w:val="20"/>
                <w:szCs w:val="20"/>
              </w:rPr>
              <w:t>.00</w:t>
            </w:r>
          </w:p>
        </w:tc>
        <w:tc>
          <w:tcPr>
            <w:tcW w:w="527" w:type="pct"/>
            <w:tcBorders>
              <w:top w:val="none" w:sz="0" w:space="0" w:color="auto"/>
              <w:bottom w:val="none" w:sz="0" w:space="0" w:color="auto"/>
            </w:tcBorders>
            <w:vAlign w:val="center"/>
          </w:tcPr>
          <w:p w14:paraId="0DA64998" w14:textId="1D73A781" w:rsidR="00CA3B14" w:rsidRPr="00EA76AA" w:rsidRDefault="00F563CB" w:rsidP="004465B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0</w:t>
            </w:r>
            <w:r w:rsidR="00701C32" w:rsidRPr="00EA76AA">
              <w:rPr>
                <w:rFonts w:asciiTheme="majorBidi" w:hAnsiTheme="majorBidi" w:cstheme="majorBidi"/>
                <w:sz w:val="20"/>
                <w:szCs w:val="20"/>
              </w:rPr>
              <w:t>.74</w:t>
            </w:r>
          </w:p>
        </w:tc>
        <w:tc>
          <w:tcPr>
            <w:tcW w:w="461" w:type="pct"/>
            <w:tcBorders>
              <w:top w:val="none" w:sz="0" w:space="0" w:color="auto"/>
              <w:bottom w:val="none" w:sz="0" w:space="0" w:color="auto"/>
            </w:tcBorders>
            <w:vAlign w:val="center"/>
          </w:tcPr>
          <w:p w14:paraId="3F61F49B" w14:textId="56BD2BF6" w:rsidR="00CA3B14" w:rsidRPr="00EA76AA" w:rsidRDefault="00F563CB" w:rsidP="004465B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0</w:t>
            </w:r>
            <w:r w:rsidR="00701C32" w:rsidRPr="00EA76AA">
              <w:rPr>
                <w:rFonts w:asciiTheme="majorBidi" w:hAnsiTheme="majorBidi" w:cstheme="majorBidi"/>
                <w:sz w:val="20"/>
                <w:szCs w:val="20"/>
              </w:rPr>
              <w:t>.064</w:t>
            </w:r>
          </w:p>
        </w:tc>
        <w:tc>
          <w:tcPr>
            <w:tcW w:w="703" w:type="pct"/>
            <w:tcBorders>
              <w:top w:val="none" w:sz="0" w:space="0" w:color="auto"/>
              <w:bottom w:val="none" w:sz="0" w:space="0" w:color="auto"/>
            </w:tcBorders>
            <w:vAlign w:val="center"/>
          </w:tcPr>
          <w:p w14:paraId="2BF1B47A" w14:textId="06262786" w:rsidR="00CA3B14" w:rsidRPr="00EA76AA" w:rsidRDefault="00F563CB" w:rsidP="004465B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0</w:t>
            </w:r>
            <w:r w:rsidR="00701C32" w:rsidRPr="00EA76AA">
              <w:rPr>
                <w:rFonts w:asciiTheme="majorBidi" w:hAnsiTheme="majorBidi" w:cstheme="majorBidi"/>
                <w:sz w:val="20"/>
                <w:szCs w:val="20"/>
              </w:rPr>
              <w:t>.168</w:t>
            </w:r>
          </w:p>
        </w:tc>
        <w:tc>
          <w:tcPr>
            <w:tcW w:w="527" w:type="pct"/>
            <w:tcBorders>
              <w:top w:val="none" w:sz="0" w:space="0" w:color="auto"/>
              <w:bottom w:val="none" w:sz="0" w:space="0" w:color="auto"/>
            </w:tcBorders>
            <w:vAlign w:val="center"/>
          </w:tcPr>
          <w:p w14:paraId="72A581D0" w14:textId="7F0BDDE6" w:rsidR="00CA3B14" w:rsidRPr="00EA76AA" w:rsidRDefault="00F563CB" w:rsidP="004465B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0</w:t>
            </w:r>
            <w:r w:rsidR="00701C32" w:rsidRPr="00EA76AA">
              <w:rPr>
                <w:rFonts w:asciiTheme="majorBidi" w:hAnsiTheme="majorBidi" w:cstheme="majorBidi"/>
                <w:sz w:val="20"/>
                <w:szCs w:val="20"/>
              </w:rPr>
              <w:t>.00</w:t>
            </w:r>
          </w:p>
        </w:tc>
        <w:tc>
          <w:tcPr>
            <w:tcW w:w="593" w:type="pct"/>
            <w:tcBorders>
              <w:top w:val="none" w:sz="0" w:space="0" w:color="auto"/>
              <w:bottom w:val="none" w:sz="0" w:space="0" w:color="auto"/>
            </w:tcBorders>
            <w:vAlign w:val="center"/>
          </w:tcPr>
          <w:p w14:paraId="5271EC11" w14:textId="7B356B81" w:rsidR="00CA3B14" w:rsidRPr="00EA76AA" w:rsidRDefault="00701C32" w:rsidP="004465B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.100</w:t>
            </w:r>
          </w:p>
        </w:tc>
        <w:tc>
          <w:tcPr>
            <w:tcW w:w="468" w:type="pct"/>
            <w:tcBorders>
              <w:top w:val="none" w:sz="0" w:space="0" w:color="auto"/>
              <w:bottom w:val="none" w:sz="0" w:space="0" w:color="auto"/>
            </w:tcBorders>
            <w:vAlign w:val="center"/>
          </w:tcPr>
          <w:p w14:paraId="777A2A67" w14:textId="0C5B190A" w:rsidR="00CA3B14" w:rsidRPr="00EA76AA" w:rsidRDefault="00701C32" w:rsidP="004465B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.0198</w:t>
            </w:r>
          </w:p>
        </w:tc>
        <w:tc>
          <w:tcPr>
            <w:tcW w:w="705" w:type="pct"/>
            <w:tcBorders>
              <w:top w:val="none" w:sz="0" w:space="0" w:color="auto"/>
              <w:bottom w:val="none" w:sz="0" w:space="0" w:color="auto"/>
              <w:right w:val="none" w:sz="0" w:space="0" w:color="auto"/>
            </w:tcBorders>
            <w:vAlign w:val="center"/>
          </w:tcPr>
          <w:p w14:paraId="24B9B6A4" w14:textId="5F3621F2" w:rsidR="00CA3B14" w:rsidRPr="00EA76AA" w:rsidRDefault="00F563CB" w:rsidP="004465B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0</w:t>
            </w:r>
            <w:r w:rsidR="00701C32" w:rsidRPr="00EA76AA">
              <w:rPr>
                <w:rFonts w:asciiTheme="majorBidi" w:hAnsiTheme="majorBidi" w:cstheme="majorBidi"/>
                <w:sz w:val="20"/>
                <w:szCs w:val="20"/>
              </w:rPr>
              <w:t>.033</w:t>
            </w:r>
          </w:p>
        </w:tc>
      </w:tr>
      <w:tr w:rsidR="009F6F7D" w:rsidRPr="00EA76AA" w14:paraId="6878CE0E" w14:textId="77777777" w:rsidTr="009F6F7D">
        <w:trPr>
          <w:jc w:val="center"/>
        </w:trPr>
        <w:tc>
          <w:tcPr>
            <w:cnfStyle w:val="001000000000" w:firstRow="0" w:lastRow="0" w:firstColumn="1" w:lastColumn="0" w:oddVBand="0" w:evenVBand="0" w:oddHBand="0" w:evenHBand="0" w:firstRowFirstColumn="0" w:firstRowLastColumn="0" w:lastRowFirstColumn="0" w:lastRowLastColumn="0"/>
            <w:tcW w:w="529" w:type="pct"/>
            <w:tcBorders>
              <w:right w:val="single" w:sz="4" w:space="0" w:color="auto"/>
            </w:tcBorders>
            <w:vAlign w:val="center"/>
            <w:hideMark/>
          </w:tcPr>
          <w:p w14:paraId="40D7DC21" w14:textId="77777777" w:rsidR="00CA3B14" w:rsidRPr="00EA76AA" w:rsidRDefault="00CA3B14" w:rsidP="009F6F7D">
            <w:pPr>
              <w:autoSpaceDE w:val="0"/>
              <w:autoSpaceDN w:val="0"/>
              <w:adjustRightInd w:val="0"/>
              <w:spacing w:line="320" w:lineRule="atLeast"/>
              <w:ind w:left="60" w:right="60"/>
              <w:jc w:val="center"/>
              <w:rPr>
                <w:rFonts w:asciiTheme="majorBidi" w:hAnsiTheme="majorBidi" w:cstheme="majorBidi"/>
                <w:b w:val="0"/>
                <w:bCs w:val="0"/>
                <w:sz w:val="20"/>
                <w:szCs w:val="20"/>
              </w:rPr>
            </w:pPr>
            <w:r w:rsidRPr="00EA76AA">
              <w:rPr>
                <w:rFonts w:asciiTheme="majorBidi" w:hAnsiTheme="majorBidi" w:cstheme="majorBidi"/>
                <w:b w:val="0"/>
                <w:bCs w:val="0"/>
                <w:sz w:val="20"/>
                <w:szCs w:val="20"/>
              </w:rPr>
              <w:t>BIG4</w:t>
            </w:r>
          </w:p>
        </w:tc>
        <w:tc>
          <w:tcPr>
            <w:tcW w:w="487" w:type="pct"/>
            <w:tcBorders>
              <w:left w:val="single" w:sz="4" w:space="0" w:color="auto"/>
            </w:tcBorders>
            <w:vAlign w:val="center"/>
          </w:tcPr>
          <w:p w14:paraId="3424BD13" w14:textId="34DC0934" w:rsidR="00CA3B14" w:rsidRPr="00EA76AA" w:rsidRDefault="00F563CB" w:rsidP="004465B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0</w:t>
            </w:r>
            <w:r w:rsidR="00701C32" w:rsidRPr="00EA76AA">
              <w:rPr>
                <w:rFonts w:asciiTheme="majorBidi" w:hAnsiTheme="majorBidi" w:cstheme="majorBidi"/>
                <w:sz w:val="20"/>
                <w:szCs w:val="20"/>
              </w:rPr>
              <w:t>.00</w:t>
            </w:r>
          </w:p>
        </w:tc>
        <w:tc>
          <w:tcPr>
            <w:tcW w:w="527" w:type="pct"/>
            <w:vAlign w:val="center"/>
          </w:tcPr>
          <w:p w14:paraId="007648A4" w14:textId="79EF7637" w:rsidR="00CA3B14" w:rsidRPr="00EA76AA" w:rsidRDefault="00701C32" w:rsidP="004465B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1.00</w:t>
            </w:r>
          </w:p>
        </w:tc>
        <w:tc>
          <w:tcPr>
            <w:tcW w:w="461" w:type="pct"/>
            <w:vAlign w:val="center"/>
          </w:tcPr>
          <w:p w14:paraId="54CD5AAC" w14:textId="78EDD2CE" w:rsidR="00CA3B14" w:rsidRPr="00EA76AA" w:rsidRDefault="00F563CB" w:rsidP="004465B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0</w:t>
            </w:r>
            <w:r w:rsidR="00701C32" w:rsidRPr="00EA76AA">
              <w:rPr>
                <w:rFonts w:asciiTheme="majorBidi" w:hAnsiTheme="majorBidi" w:cstheme="majorBidi"/>
                <w:sz w:val="20"/>
                <w:szCs w:val="20"/>
              </w:rPr>
              <w:t>.643</w:t>
            </w:r>
          </w:p>
        </w:tc>
        <w:tc>
          <w:tcPr>
            <w:tcW w:w="703" w:type="pct"/>
            <w:vAlign w:val="center"/>
          </w:tcPr>
          <w:p w14:paraId="651C60EF" w14:textId="00C6E752" w:rsidR="00CA3B14" w:rsidRPr="00EA76AA" w:rsidRDefault="00F563CB" w:rsidP="004465B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0</w:t>
            </w:r>
            <w:r w:rsidR="00701C32" w:rsidRPr="00EA76AA">
              <w:rPr>
                <w:rFonts w:asciiTheme="majorBidi" w:hAnsiTheme="majorBidi" w:cstheme="majorBidi"/>
                <w:sz w:val="20"/>
                <w:szCs w:val="20"/>
              </w:rPr>
              <w:t>.480</w:t>
            </w:r>
          </w:p>
        </w:tc>
        <w:tc>
          <w:tcPr>
            <w:tcW w:w="527" w:type="pct"/>
            <w:vAlign w:val="center"/>
          </w:tcPr>
          <w:p w14:paraId="0CBF9E13" w14:textId="054CB466" w:rsidR="00CA3B14" w:rsidRPr="00EA76AA" w:rsidRDefault="00F563CB" w:rsidP="004465B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0</w:t>
            </w:r>
            <w:r w:rsidR="00701C32" w:rsidRPr="00EA76AA">
              <w:rPr>
                <w:rFonts w:asciiTheme="majorBidi" w:hAnsiTheme="majorBidi" w:cstheme="majorBidi"/>
                <w:sz w:val="20"/>
                <w:szCs w:val="20"/>
              </w:rPr>
              <w:t>.00</w:t>
            </w:r>
          </w:p>
        </w:tc>
        <w:tc>
          <w:tcPr>
            <w:tcW w:w="593" w:type="pct"/>
            <w:vAlign w:val="center"/>
          </w:tcPr>
          <w:p w14:paraId="2E1FEBF0" w14:textId="45E61021" w:rsidR="00CA3B14" w:rsidRPr="00EA76AA" w:rsidRDefault="00701C32" w:rsidP="004465B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1.00</w:t>
            </w:r>
          </w:p>
        </w:tc>
        <w:tc>
          <w:tcPr>
            <w:tcW w:w="468" w:type="pct"/>
            <w:vAlign w:val="center"/>
          </w:tcPr>
          <w:p w14:paraId="19AB1009" w14:textId="4326BB81" w:rsidR="00CA3B14" w:rsidRPr="00EA76AA" w:rsidRDefault="00701C32" w:rsidP="004465B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.838</w:t>
            </w:r>
          </w:p>
        </w:tc>
        <w:tc>
          <w:tcPr>
            <w:tcW w:w="705" w:type="pct"/>
            <w:vAlign w:val="center"/>
          </w:tcPr>
          <w:p w14:paraId="5292E570" w14:textId="3AC12EC2" w:rsidR="00CA3B14" w:rsidRPr="00EA76AA" w:rsidRDefault="00F563CB" w:rsidP="004465B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0</w:t>
            </w:r>
            <w:r w:rsidR="00701C32" w:rsidRPr="00EA76AA">
              <w:rPr>
                <w:rFonts w:asciiTheme="majorBidi" w:hAnsiTheme="majorBidi" w:cstheme="majorBidi"/>
                <w:sz w:val="20"/>
                <w:szCs w:val="20"/>
              </w:rPr>
              <w:t>.371</w:t>
            </w:r>
          </w:p>
        </w:tc>
      </w:tr>
      <w:tr w:rsidR="007F15D8" w:rsidRPr="00EA76AA" w14:paraId="1911EDC1" w14:textId="77777777" w:rsidTr="009F6F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9" w:type="pct"/>
            <w:tcBorders>
              <w:top w:val="none" w:sz="0" w:space="0" w:color="auto"/>
              <w:left w:val="none" w:sz="0" w:space="0" w:color="auto"/>
              <w:bottom w:val="none" w:sz="0" w:space="0" w:color="auto"/>
              <w:right w:val="single" w:sz="4" w:space="0" w:color="auto"/>
            </w:tcBorders>
            <w:vAlign w:val="center"/>
            <w:hideMark/>
          </w:tcPr>
          <w:p w14:paraId="7D85DD27" w14:textId="77777777" w:rsidR="00CA3B14" w:rsidRPr="00EA76AA" w:rsidRDefault="00CA3B14" w:rsidP="009F6F7D">
            <w:pPr>
              <w:autoSpaceDE w:val="0"/>
              <w:autoSpaceDN w:val="0"/>
              <w:adjustRightInd w:val="0"/>
              <w:spacing w:line="320" w:lineRule="atLeast"/>
              <w:ind w:left="60" w:right="60"/>
              <w:jc w:val="center"/>
              <w:rPr>
                <w:rFonts w:asciiTheme="majorBidi" w:hAnsiTheme="majorBidi" w:cstheme="majorBidi"/>
                <w:b w:val="0"/>
                <w:bCs w:val="0"/>
                <w:sz w:val="20"/>
                <w:szCs w:val="20"/>
              </w:rPr>
            </w:pPr>
            <w:r w:rsidRPr="00EA76AA">
              <w:rPr>
                <w:rFonts w:asciiTheme="majorBidi" w:hAnsiTheme="majorBidi" w:cstheme="majorBidi"/>
                <w:b w:val="0"/>
                <w:bCs w:val="0"/>
                <w:sz w:val="20"/>
                <w:szCs w:val="20"/>
              </w:rPr>
              <w:t>R</w:t>
            </w:r>
          </w:p>
        </w:tc>
        <w:tc>
          <w:tcPr>
            <w:tcW w:w="487" w:type="pct"/>
            <w:tcBorders>
              <w:top w:val="none" w:sz="0" w:space="0" w:color="auto"/>
              <w:left w:val="single" w:sz="4" w:space="0" w:color="auto"/>
              <w:bottom w:val="none" w:sz="0" w:space="0" w:color="auto"/>
            </w:tcBorders>
            <w:vAlign w:val="center"/>
          </w:tcPr>
          <w:p w14:paraId="13821ADB" w14:textId="77777777" w:rsidR="00CA3B14" w:rsidRPr="00EA76AA" w:rsidRDefault="00CA3B14" w:rsidP="004465B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-710.0</w:t>
            </w:r>
          </w:p>
        </w:tc>
        <w:tc>
          <w:tcPr>
            <w:tcW w:w="527" w:type="pct"/>
            <w:tcBorders>
              <w:top w:val="none" w:sz="0" w:space="0" w:color="auto"/>
              <w:bottom w:val="none" w:sz="0" w:space="0" w:color="auto"/>
            </w:tcBorders>
            <w:vAlign w:val="center"/>
          </w:tcPr>
          <w:p w14:paraId="014CF670" w14:textId="3C3C1DF7" w:rsidR="00CA3B14" w:rsidRPr="00EA76AA" w:rsidRDefault="00F844FA" w:rsidP="004465B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189</w:t>
            </w:r>
          </w:p>
        </w:tc>
        <w:tc>
          <w:tcPr>
            <w:tcW w:w="461" w:type="pct"/>
            <w:tcBorders>
              <w:top w:val="none" w:sz="0" w:space="0" w:color="auto"/>
              <w:bottom w:val="none" w:sz="0" w:space="0" w:color="auto"/>
            </w:tcBorders>
            <w:vAlign w:val="center"/>
          </w:tcPr>
          <w:p w14:paraId="0096E6FB" w14:textId="77777777" w:rsidR="00CA3B14" w:rsidRPr="00EA76AA" w:rsidRDefault="00CA3B14" w:rsidP="004465B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-8.021</w:t>
            </w:r>
          </w:p>
        </w:tc>
        <w:tc>
          <w:tcPr>
            <w:tcW w:w="703" w:type="pct"/>
            <w:tcBorders>
              <w:top w:val="none" w:sz="0" w:space="0" w:color="auto"/>
              <w:bottom w:val="none" w:sz="0" w:space="0" w:color="auto"/>
            </w:tcBorders>
            <w:vAlign w:val="center"/>
          </w:tcPr>
          <w:p w14:paraId="3827D8D1" w14:textId="77777777" w:rsidR="00CA3B14" w:rsidRPr="00EA76AA" w:rsidRDefault="00CA3B14" w:rsidP="004465B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262.8</w:t>
            </w:r>
          </w:p>
        </w:tc>
        <w:tc>
          <w:tcPr>
            <w:tcW w:w="527" w:type="pct"/>
            <w:tcBorders>
              <w:top w:val="none" w:sz="0" w:space="0" w:color="auto"/>
              <w:bottom w:val="none" w:sz="0" w:space="0" w:color="auto"/>
            </w:tcBorders>
            <w:vAlign w:val="center"/>
          </w:tcPr>
          <w:p w14:paraId="6BB5A0A7" w14:textId="6AB159A2" w:rsidR="00CA3B14" w:rsidRPr="00EA76AA" w:rsidRDefault="00F563CB" w:rsidP="004465B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0</w:t>
            </w:r>
            <w:r w:rsidR="00701C32" w:rsidRPr="00EA76AA">
              <w:rPr>
                <w:rFonts w:asciiTheme="majorBidi" w:hAnsiTheme="majorBidi" w:cstheme="majorBidi"/>
                <w:sz w:val="20"/>
                <w:szCs w:val="20"/>
              </w:rPr>
              <w:t>.038</w:t>
            </w:r>
          </w:p>
        </w:tc>
        <w:tc>
          <w:tcPr>
            <w:tcW w:w="593" w:type="pct"/>
            <w:tcBorders>
              <w:top w:val="none" w:sz="0" w:space="0" w:color="auto"/>
              <w:bottom w:val="none" w:sz="0" w:space="0" w:color="auto"/>
            </w:tcBorders>
            <w:vAlign w:val="center"/>
          </w:tcPr>
          <w:p w14:paraId="31E10647" w14:textId="4A6FC311" w:rsidR="00CA3B14" w:rsidRPr="00EA76AA" w:rsidRDefault="00701C32" w:rsidP="004465B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1.47</w:t>
            </w:r>
          </w:p>
        </w:tc>
        <w:tc>
          <w:tcPr>
            <w:tcW w:w="468" w:type="pct"/>
            <w:tcBorders>
              <w:top w:val="none" w:sz="0" w:space="0" w:color="auto"/>
              <w:bottom w:val="none" w:sz="0" w:space="0" w:color="auto"/>
            </w:tcBorders>
            <w:vAlign w:val="center"/>
          </w:tcPr>
          <w:p w14:paraId="20BAA2F1" w14:textId="42929963" w:rsidR="00CA3B14" w:rsidRPr="00EA76AA" w:rsidRDefault="00701C32" w:rsidP="004465B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.369</w:t>
            </w:r>
          </w:p>
        </w:tc>
        <w:tc>
          <w:tcPr>
            <w:tcW w:w="705" w:type="pct"/>
            <w:tcBorders>
              <w:top w:val="none" w:sz="0" w:space="0" w:color="auto"/>
              <w:bottom w:val="none" w:sz="0" w:space="0" w:color="auto"/>
              <w:right w:val="none" w:sz="0" w:space="0" w:color="auto"/>
            </w:tcBorders>
            <w:vAlign w:val="center"/>
          </w:tcPr>
          <w:p w14:paraId="3309C687" w14:textId="202BAD42" w:rsidR="00CA3B14" w:rsidRPr="00EA76AA" w:rsidRDefault="00F563CB" w:rsidP="004465B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0</w:t>
            </w:r>
            <w:r w:rsidR="00701C32" w:rsidRPr="00EA76AA">
              <w:rPr>
                <w:rFonts w:asciiTheme="majorBidi" w:hAnsiTheme="majorBidi" w:cstheme="majorBidi"/>
                <w:sz w:val="20"/>
                <w:szCs w:val="20"/>
              </w:rPr>
              <w:t>.327</w:t>
            </w:r>
          </w:p>
        </w:tc>
      </w:tr>
      <w:tr w:rsidR="009F6F7D" w:rsidRPr="00EA76AA" w14:paraId="5365D3BF" w14:textId="77777777" w:rsidTr="009F6F7D">
        <w:trPr>
          <w:jc w:val="center"/>
        </w:trPr>
        <w:tc>
          <w:tcPr>
            <w:cnfStyle w:val="001000000000" w:firstRow="0" w:lastRow="0" w:firstColumn="1" w:lastColumn="0" w:oddVBand="0" w:evenVBand="0" w:oddHBand="0" w:evenHBand="0" w:firstRowFirstColumn="0" w:firstRowLastColumn="0" w:lastRowFirstColumn="0" w:lastRowLastColumn="0"/>
            <w:tcW w:w="529" w:type="pct"/>
            <w:tcBorders>
              <w:right w:val="single" w:sz="4" w:space="0" w:color="auto"/>
            </w:tcBorders>
            <w:vAlign w:val="center"/>
            <w:hideMark/>
          </w:tcPr>
          <w:p w14:paraId="5FDACE3E" w14:textId="77777777" w:rsidR="00CA3B14" w:rsidRPr="00EA76AA" w:rsidRDefault="00CA3B14" w:rsidP="009F6F7D">
            <w:pPr>
              <w:autoSpaceDE w:val="0"/>
              <w:autoSpaceDN w:val="0"/>
              <w:adjustRightInd w:val="0"/>
              <w:spacing w:line="320" w:lineRule="atLeast"/>
              <w:ind w:left="60" w:right="60"/>
              <w:jc w:val="center"/>
              <w:rPr>
                <w:rFonts w:asciiTheme="majorBidi" w:hAnsiTheme="majorBidi" w:cstheme="majorBidi"/>
                <w:b w:val="0"/>
                <w:bCs w:val="0"/>
                <w:sz w:val="20"/>
                <w:szCs w:val="20"/>
              </w:rPr>
            </w:pPr>
            <w:r w:rsidRPr="00EA76AA">
              <w:rPr>
                <w:rFonts w:asciiTheme="majorBidi" w:hAnsiTheme="majorBidi" w:cstheme="majorBidi"/>
                <w:b w:val="0"/>
                <w:bCs w:val="0"/>
                <w:sz w:val="20"/>
                <w:szCs w:val="20"/>
              </w:rPr>
              <w:t>S</w:t>
            </w:r>
          </w:p>
        </w:tc>
        <w:tc>
          <w:tcPr>
            <w:tcW w:w="487" w:type="pct"/>
            <w:tcBorders>
              <w:left w:val="single" w:sz="4" w:space="0" w:color="auto"/>
            </w:tcBorders>
            <w:vAlign w:val="center"/>
          </w:tcPr>
          <w:p w14:paraId="68270526" w14:textId="7859E47B" w:rsidR="00CA3B14" w:rsidRPr="00EA76AA" w:rsidRDefault="00F563CB" w:rsidP="004465B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0</w:t>
            </w:r>
            <w:r w:rsidR="00701C32" w:rsidRPr="00EA76AA">
              <w:rPr>
                <w:rFonts w:asciiTheme="majorBidi" w:hAnsiTheme="majorBidi" w:cstheme="majorBidi"/>
                <w:sz w:val="20"/>
                <w:szCs w:val="20"/>
              </w:rPr>
              <w:t>.674</w:t>
            </w:r>
          </w:p>
        </w:tc>
        <w:tc>
          <w:tcPr>
            <w:tcW w:w="527" w:type="pct"/>
            <w:vAlign w:val="center"/>
          </w:tcPr>
          <w:p w14:paraId="3BFD80D6" w14:textId="32EC62CE" w:rsidR="00CA3B14" w:rsidRPr="00EA76AA" w:rsidRDefault="00701C32" w:rsidP="004465B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3.47</w:t>
            </w:r>
          </w:p>
        </w:tc>
        <w:tc>
          <w:tcPr>
            <w:tcW w:w="461" w:type="pct"/>
            <w:vAlign w:val="center"/>
          </w:tcPr>
          <w:p w14:paraId="07445927" w14:textId="3EBE1BEB" w:rsidR="00CA3B14" w:rsidRPr="00EA76AA" w:rsidRDefault="007E2357" w:rsidP="004465B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1.82</w:t>
            </w:r>
          </w:p>
        </w:tc>
        <w:tc>
          <w:tcPr>
            <w:tcW w:w="703" w:type="pct"/>
            <w:vAlign w:val="center"/>
          </w:tcPr>
          <w:p w14:paraId="641CE49D" w14:textId="69A4EBA2" w:rsidR="00CA3B14" w:rsidRPr="00EA76AA" w:rsidRDefault="00F563CB" w:rsidP="004465B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0</w:t>
            </w:r>
            <w:r w:rsidR="00701C32" w:rsidRPr="00EA76AA">
              <w:rPr>
                <w:rFonts w:asciiTheme="majorBidi" w:hAnsiTheme="majorBidi" w:cstheme="majorBidi"/>
                <w:sz w:val="20"/>
                <w:szCs w:val="20"/>
              </w:rPr>
              <w:t>.601</w:t>
            </w:r>
          </w:p>
        </w:tc>
        <w:tc>
          <w:tcPr>
            <w:tcW w:w="527" w:type="pct"/>
            <w:vAlign w:val="center"/>
          </w:tcPr>
          <w:p w14:paraId="437B44C2" w14:textId="42DC96F4" w:rsidR="00CA3B14" w:rsidRPr="00EA76AA" w:rsidRDefault="00701C32" w:rsidP="004465B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1.09</w:t>
            </w:r>
          </w:p>
        </w:tc>
        <w:tc>
          <w:tcPr>
            <w:tcW w:w="593" w:type="pct"/>
            <w:vAlign w:val="center"/>
          </w:tcPr>
          <w:p w14:paraId="6B09ABA1" w14:textId="50D55146" w:rsidR="00CA3B14" w:rsidRPr="00EA76AA" w:rsidRDefault="00701C32" w:rsidP="004465B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3.63</w:t>
            </w:r>
          </w:p>
        </w:tc>
        <w:tc>
          <w:tcPr>
            <w:tcW w:w="468" w:type="pct"/>
            <w:vAlign w:val="center"/>
          </w:tcPr>
          <w:p w14:paraId="6D0A2191" w14:textId="1B6F24DC" w:rsidR="00CA3B14" w:rsidRPr="00EA76AA" w:rsidRDefault="00701C32" w:rsidP="004465B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2.32</w:t>
            </w:r>
          </w:p>
        </w:tc>
        <w:tc>
          <w:tcPr>
            <w:tcW w:w="705" w:type="pct"/>
            <w:vAlign w:val="center"/>
          </w:tcPr>
          <w:p w14:paraId="38B6AF0A" w14:textId="46A27C37" w:rsidR="00CA3B14" w:rsidRPr="00EA76AA" w:rsidRDefault="00F563CB" w:rsidP="004465B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0</w:t>
            </w:r>
            <w:r w:rsidR="00701C32" w:rsidRPr="00EA76AA">
              <w:rPr>
                <w:rFonts w:asciiTheme="majorBidi" w:hAnsiTheme="majorBidi" w:cstheme="majorBidi"/>
                <w:sz w:val="20"/>
                <w:szCs w:val="20"/>
              </w:rPr>
              <w:t>.696</w:t>
            </w:r>
          </w:p>
        </w:tc>
      </w:tr>
      <w:tr w:rsidR="007F15D8" w:rsidRPr="00EA76AA" w14:paraId="50F96CB7" w14:textId="77777777" w:rsidTr="009F6F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9" w:type="pct"/>
            <w:tcBorders>
              <w:top w:val="none" w:sz="0" w:space="0" w:color="auto"/>
              <w:left w:val="none" w:sz="0" w:space="0" w:color="auto"/>
              <w:bottom w:val="single" w:sz="4" w:space="0" w:color="auto"/>
            </w:tcBorders>
            <w:vAlign w:val="center"/>
          </w:tcPr>
          <w:p w14:paraId="04791A4F" w14:textId="77777777" w:rsidR="00CA3B14" w:rsidRPr="00EA76AA" w:rsidRDefault="00CA3B14" w:rsidP="009F6F7D">
            <w:pPr>
              <w:autoSpaceDE w:val="0"/>
              <w:autoSpaceDN w:val="0"/>
              <w:adjustRightInd w:val="0"/>
              <w:spacing w:line="320" w:lineRule="atLeast"/>
              <w:ind w:right="60"/>
              <w:jc w:val="center"/>
              <w:rPr>
                <w:rFonts w:asciiTheme="majorBidi" w:hAnsiTheme="majorBidi" w:cstheme="majorBidi"/>
                <w:b w:val="0"/>
                <w:bCs w:val="0"/>
                <w:sz w:val="20"/>
                <w:szCs w:val="20"/>
              </w:rPr>
            </w:pPr>
          </w:p>
        </w:tc>
        <w:tc>
          <w:tcPr>
            <w:tcW w:w="2178" w:type="pct"/>
            <w:gridSpan w:val="4"/>
            <w:tcBorders>
              <w:top w:val="none" w:sz="0" w:space="0" w:color="auto"/>
              <w:bottom w:val="none" w:sz="0" w:space="0" w:color="auto"/>
            </w:tcBorders>
            <w:vAlign w:val="center"/>
            <w:hideMark/>
          </w:tcPr>
          <w:p w14:paraId="34F30CF6" w14:textId="1C5D40D5" w:rsidR="00CA3B14" w:rsidRPr="00EA76AA" w:rsidRDefault="00701C32" w:rsidP="004465BD">
            <w:pPr>
              <w:autoSpaceDE w:val="0"/>
              <w:autoSpaceDN w:val="0"/>
              <w:adjustRightInd w:val="0"/>
              <w:spacing w:line="320" w:lineRule="atLeast"/>
              <w:ind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KUW</w:t>
            </w:r>
          </w:p>
        </w:tc>
        <w:tc>
          <w:tcPr>
            <w:tcW w:w="2293" w:type="pct"/>
            <w:gridSpan w:val="4"/>
            <w:tcBorders>
              <w:top w:val="none" w:sz="0" w:space="0" w:color="auto"/>
              <w:bottom w:val="none" w:sz="0" w:space="0" w:color="auto"/>
              <w:right w:val="none" w:sz="0" w:space="0" w:color="auto"/>
            </w:tcBorders>
            <w:vAlign w:val="center"/>
            <w:hideMark/>
          </w:tcPr>
          <w:p w14:paraId="6B44FF0C" w14:textId="77777777" w:rsidR="00CA3B14" w:rsidRPr="00EA76AA" w:rsidRDefault="00CA3B14" w:rsidP="004465BD">
            <w:pPr>
              <w:autoSpaceDE w:val="0"/>
              <w:autoSpaceDN w:val="0"/>
              <w:adjustRightInd w:val="0"/>
              <w:spacing w:line="320" w:lineRule="atLeast"/>
              <w:ind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UAE</w:t>
            </w:r>
          </w:p>
        </w:tc>
      </w:tr>
      <w:tr w:rsidR="007F15D8" w:rsidRPr="00EA76AA" w14:paraId="56A759D9" w14:textId="77777777" w:rsidTr="009F6F7D">
        <w:trPr>
          <w:jc w:val="center"/>
        </w:trPr>
        <w:tc>
          <w:tcPr>
            <w:cnfStyle w:val="001000000000" w:firstRow="0" w:lastRow="0" w:firstColumn="1" w:lastColumn="0" w:oddVBand="0" w:evenVBand="0" w:oddHBand="0" w:evenHBand="0" w:firstRowFirstColumn="0" w:firstRowLastColumn="0" w:lastRowFirstColumn="0" w:lastRowLastColumn="0"/>
            <w:tcW w:w="529" w:type="pct"/>
            <w:tcBorders>
              <w:right w:val="single" w:sz="4" w:space="0" w:color="auto"/>
            </w:tcBorders>
            <w:vAlign w:val="center"/>
          </w:tcPr>
          <w:p w14:paraId="0BCC7DFA" w14:textId="77777777" w:rsidR="00CA3B14" w:rsidRPr="00EA76AA" w:rsidRDefault="00CA3B14" w:rsidP="009F6F7D">
            <w:pPr>
              <w:autoSpaceDE w:val="0"/>
              <w:autoSpaceDN w:val="0"/>
              <w:adjustRightInd w:val="0"/>
              <w:spacing w:line="320" w:lineRule="atLeast"/>
              <w:ind w:left="60" w:right="60"/>
              <w:jc w:val="center"/>
              <w:rPr>
                <w:rFonts w:asciiTheme="majorBidi" w:hAnsiTheme="majorBidi" w:cstheme="majorBidi"/>
                <w:b w:val="0"/>
                <w:bCs w:val="0"/>
                <w:sz w:val="20"/>
                <w:szCs w:val="20"/>
              </w:rPr>
            </w:pPr>
            <w:r w:rsidRPr="00EA76AA">
              <w:rPr>
                <w:rFonts w:asciiTheme="majorBidi" w:hAnsiTheme="majorBidi" w:cstheme="majorBidi"/>
                <w:b w:val="0"/>
                <w:bCs w:val="0"/>
                <w:sz w:val="20"/>
                <w:szCs w:val="20"/>
              </w:rPr>
              <w:t>FI</w:t>
            </w:r>
          </w:p>
        </w:tc>
        <w:tc>
          <w:tcPr>
            <w:tcW w:w="487" w:type="pct"/>
            <w:tcBorders>
              <w:left w:val="single" w:sz="4" w:space="0" w:color="auto"/>
            </w:tcBorders>
            <w:vAlign w:val="center"/>
          </w:tcPr>
          <w:p w14:paraId="3F099CF6" w14:textId="2B9F45A9" w:rsidR="00CA3B14" w:rsidRPr="00EA76AA" w:rsidRDefault="00F563CB" w:rsidP="004465B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0</w:t>
            </w:r>
            <w:r w:rsidR="00CA3B14" w:rsidRPr="00EA76AA">
              <w:rPr>
                <w:rFonts w:asciiTheme="majorBidi" w:hAnsiTheme="majorBidi" w:cstheme="majorBidi"/>
                <w:sz w:val="20"/>
                <w:szCs w:val="20"/>
              </w:rPr>
              <w:t>.00</w:t>
            </w:r>
          </w:p>
        </w:tc>
        <w:tc>
          <w:tcPr>
            <w:tcW w:w="527" w:type="pct"/>
            <w:vAlign w:val="center"/>
          </w:tcPr>
          <w:p w14:paraId="6ED76B98" w14:textId="77777777" w:rsidR="00CA3B14" w:rsidRPr="00EA76AA" w:rsidRDefault="00CA3B14" w:rsidP="004465B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2.00</w:t>
            </w:r>
          </w:p>
        </w:tc>
        <w:tc>
          <w:tcPr>
            <w:tcW w:w="461" w:type="pct"/>
            <w:vAlign w:val="center"/>
          </w:tcPr>
          <w:p w14:paraId="5947AB71" w14:textId="7FDE83C1" w:rsidR="00CA3B14" w:rsidRPr="00EA76AA" w:rsidRDefault="00701C32" w:rsidP="004465B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.0409</w:t>
            </w:r>
          </w:p>
        </w:tc>
        <w:tc>
          <w:tcPr>
            <w:tcW w:w="703" w:type="pct"/>
            <w:vAlign w:val="center"/>
          </w:tcPr>
          <w:p w14:paraId="2D88E665" w14:textId="76F0A48E" w:rsidR="00CA3B14" w:rsidRPr="00EA76AA" w:rsidRDefault="00F563CB" w:rsidP="004465B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0</w:t>
            </w:r>
            <w:r w:rsidR="00701C32" w:rsidRPr="00EA76AA">
              <w:rPr>
                <w:rFonts w:asciiTheme="majorBidi" w:hAnsiTheme="majorBidi" w:cstheme="majorBidi"/>
                <w:sz w:val="20"/>
                <w:szCs w:val="20"/>
              </w:rPr>
              <w:t>.784</w:t>
            </w:r>
          </w:p>
        </w:tc>
        <w:tc>
          <w:tcPr>
            <w:tcW w:w="527" w:type="pct"/>
            <w:vAlign w:val="center"/>
          </w:tcPr>
          <w:p w14:paraId="77FB6A15" w14:textId="6A73FF09" w:rsidR="00CA3B14" w:rsidRPr="00EA76AA" w:rsidRDefault="00F563CB" w:rsidP="004465B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0</w:t>
            </w:r>
            <w:r w:rsidR="00CA3B14" w:rsidRPr="00EA76AA">
              <w:rPr>
                <w:rFonts w:asciiTheme="majorBidi" w:hAnsiTheme="majorBidi" w:cstheme="majorBidi"/>
                <w:sz w:val="20"/>
                <w:szCs w:val="20"/>
              </w:rPr>
              <w:t>.00</w:t>
            </w:r>
          </w:p>
        </w:tc>
        <w:tc>
          <w:tcPr>
            <w:tcW w:w="593" w:type="pct"/>
            <w:vAlign w:val="center"/>
          </w:tcPr>
          <w:p w14:paraId="0321AD15" w14:textId="0D5F250E" w:rsidR="00CA3B14" w:rsidRPr="00EA76AA" w:rsidRDefault="00F563CB" w:rsidP="004465B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0</w:t>
            </w:r>
            <w:r w:rsidR="00CA3B14" w:rsidRPr="00EA76AA">
              <w:rPr>
                <w:rFonts w:asciiTheme="majorBidi" w:hAnsiTheme="majorBidi" w:cstheme="majorBidi"/>
                <w:sz w:val="20"/>
                <w:szCs w:val="20"/>
              </w:rPr>
              <w:t>.20</w:t>
            </w:r>
          </w:p>
        </w:tc>
        <w:tc>
          <w:tcPr>
            <w:tcW w:w="468" w:type="pct"/>
            <w:vAlign w:val="center"/>
          </w:tcPr>
          <w:p w14:paraId="3DF99F13" w14:textId="1AF055CB" w:rsidR="00CA3B14" w:rsidRPr="00EA76AA" w:rsidRDefault="00F563CB" w:rsidP="004465B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0</w:t>
            </w:r>
            <w:r w:rsidR="00CA3B14" w:rsidRPr="00EA76AA">
              <w:rPr>
                <w:rFonts w:asciiTheme="majorBidi" w:hAnsiTheme="majorBidi" w:cstheme="majorBidi"/>
                <w:sz w:val="20"/>
                <w:szCs w:val="20"/>
              </w:rPr>
              <w:t>.0323</w:t>
            </w:r>
          </w:p>
        </w:tc>
        <w:tc>
          <w:tcPr>
            <w:tcW w:w="705" w:type="pct"/>
            <w:vAlign w:val="center"/>
          </w:tcPr>
          <w:p w14:paraId="2C586855" w14:textId="62842F82" w:rsidR="00CA3B14" w:rsidRPr="00EA76AA" w:rsidRDefault="00F563CB" w:rsidP="004465B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0</w:t>
            </w:r>
            <w:r w:rsidR="00701C32" w:rsidRPr="00EA76AA">
              <w:rPr>
                <w:rFonts w:asciiTheme="majorBidi" w:hAnsiTheme="majorBidi" w:cstheme="majorBidi"/>
                <w:sz w:val="20"/>
                <w:szCs w:val="20"/>
              </w:rPr>
              <w:t>.055</w:t>
            </w:r>
          </w:p>
        </w:tc>
      </w:tr>
      <w:tr w:rsidR="007F15D8" w:rsidRPr="00EA76AA" w14:paraId="1E090A47" w14:textId="77777777" w:rsidTr="009F6F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9" w:type="pct"/>
            <w:tcBorders>
              <w:top w:val="none" w:sz="0" w:space="0" w:color="auto"/>
              <w:left w:val="none" w:sz="0" w:space="0" w:color="auto"/>
              <w:bottom w:val="none" w:sz="0" w:space="0" w:color="auto"/>
              <w:right w:val="single" w:sz="4" w:space="0" w:color="auto"/>
            </w:tcBorders>
            <w:vAlign w:val="center"/>
            <w:hideMark/>
          </w:tcPr>
          <w:p w14:paraId="6D2EB2EB" w14:textId="77777777" w:rsidR="00CA3B14" w:rsidRPr="00EA76AA" w:rsidRDefault="00CA3B14" w:rsidP="009F6F7D">
            <w:pPr>
              <w:autoSpaceDE w:val="0"/>
              <w:autoSpaceDN w:val="0"/>
              <w:adjustRightInd w:val="0"/>
              <w:spacing w:line="320" w:lineRule="atLeast"/>
              <w:ind w:left="60" w:right="60"/>
              <w:jc w:val="center"/>
              <w:rPr>
                <w:rFonts w:asciiTheme="majorBidi" w:hAnsiTheme="majorBidi" w:cstheme="majorBidi"/>
                <w:b w:val="0"/>
                <w:bCs w:val="0"/>
                <w:sz w:val="20"/>
                <w:szCs w:val="20"/>
              </w:rPr>
            </w:pPr>
            <w:r w:rsidRPr="00EA76AA">
              <w:rPr>
                <w:rFonts w:asciiTheme="majorBidi" w:hAnsiTheme="majorBidi" w:cstheme="majorBidi"/>
                <w:b w:val="0"/>
                <w:bCs w:val="0"/>
                <w:sz w:val="20"/>
                <w:szCs w:val="20"/>
              </w:rPr>
              <w:t>BIG4</w:t>
            </w:r>
          </w:p>
        </w:tc>
        <w:tc>
          <w:tcPr>
            <w:tcW w:w="487" w:type="pct"/>
            <w:tcBorders>
              <w:top w:val="none" w:sz="0" w:space="0" w:color="auto"/>
              <w:left w:val="single" w:sz="4" w:space="0" w:color="auto"/>
              <w:bottom w:val="none" w:sz="0" w:space="0" w:color="auto"/>
            </w:tcBorders>
            <w:vAlign w:val="center"/>
          </w:tcPr>
          <w:p w14:paraId="3392E073" w14:textId="18402B5B" w:rsidR="00CA3B14" w:rsidRPr="00EA76AA" w:rsidRDefault="00F563CB" w:rsidP="004465B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0</w:t>
            </w:r>
            <w:r w:rsidR="00CA3B14" w:rsidRPr="00EA76AA">
              <w:rPr>
                <w:rFonts w:asciiTheme="majorBidi" w:hAnsiTheme="majorBidi" w:cstheme="majorBidi"/>
                <w:sz w:val="20"/>
                <w:szCs w:val="20"/>
              </w:rPr>
              <w:t>.00</w:t>
            </w:r>
          </w:p>
        </w:tc>
        <w:tc>
          <w:tcPr>
            <w:tcW w:w="527" w:type="pct"/>
            <w:tcBorders>
              <w:top w:val="none" w:sz="0" w:space="0" w:color="auto"/>
              <w:bottom w:val="none" w:sz="0" w:space="0" w:color="auto"/>
            </w:tcBorders>
            <w:vAlign w:val="center"/>
          </w:tcPr>
          <w:p w14:paraId="24B97804" w14:textId="77777777" w:rsidR="00CA3B14" w:rsidRPr="00EA76AA" w:rsidRDefault="00CA3B14" w:rsidP="004465B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1.00</w:t>
            </w:r>
          </w:p>
        </w:tc>
        <w:tc>
          <w:tcPr>
            <w:tcW w:w="461" w:type="pct"/>
            <w:tcBorders>
              <w:top w:val="none" w:sz="0" w:space="0" w:color="auto"/>
              <w:bottom w:val="none" w:sz="0" w:space="0" w:color="auto"/>
            </w:tcBorders>
            <w:vAlign w:val="center"/>
          </w:tcPr>
          <w:p w14:paraId="7A3DFBEE" w14:textId="1C8543A4" w:rsidR="00CA3B14" w:rsidRPr="00EA76AA" w:rsidRDefault="00701C32" w:rsidP="004465B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.661</w:t>
            </w:r>
          </w:p>
        </w:tc>
        <w:tc>
          <w:tcPr>
            <w:tcW w:w="703" w:type="pct"/>
            <w:tcBorders>
              <w:top w:val="none" w:sz="0" w:space="0" w:color="auto"/>
              <w:bottom w:val="none" w:sz="0" w:space="0" w:color="auto"/>
            </w:tcBorders>
            <w:vAlign w:val="center"/>
          </w:tcPr>
          <w:p w14:paraId="36F6C86E" w14:textId="08E5C6D0" w:rsidR="00CA3B14" w:rsidRPr="00EA76AA" w:rsidRDefault="00F563CB" w:rsidP="004465B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0</w:t>
            </w:r>
            <w:r w:rsidR="00701C32" w:rsidRPr="00EA76AA">
              <w:rPr>
                <w:rFonts w:asciiTheme="majorBidi" w:hAnsiTheme="majorBidi" w:cstheme="majorBidi"/>
                <w:sz w:val="20"/>
                <w:szCs w:val="20"/>
              </w:rPr>
              <w:t>.477</w:t>
            </w:r>
          </w:p>
        </w:tc>
        <w:tc>
          <w:tcPr>
            <w:tcW w:w="527" w:type="pct"/>
            <w:tcBorders>
              <w:top w:val="none" w:sz="0" w:space="0" w:color="auto"/>
              <w:bottom w:val="none" w:sz="0" w:space="0" w:color="auto"/>
            </w:tcBorders>
            <w:vAlign w:val="center"/>
          </w:tcPr>
          <w:p w14:paraId="3473FE40" w14:textId="607CE000" w:rsidR="00CA3B14" w:rsidRPr="00EA76AA" w:rsidRDefault="00F563CB" w:rsidP="004465B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0</w:t>
            </w:r>
            <w:r w:rsidR="00CA3B14" w:rsidRPr="00EA76AA">
              <w:rPr>
                <w:rFonts w:asciiTheme="majorBidi" w:hAnsiTheme="majorBidi" w:cstheme="majorBidi"/>
                <w:sz w:val="20"/>
                <w:szCs w:val="20"/>
              </w:rPr>
              <w:t>.00</w:t>
            </w:r>
          </w:p>
        </w:tc>
        <w:tc>
          <w:tcPr>
            <w:tcW w:w="593" w:type="pct"/>
            <w:tcBorders>
              <w:top w:val="none" w:sz="0" w:space="0" w:color="auto"/>
              <w:bottom w:val="none" w:sz="0" w:space="0" w:color="auto"/>
            </w:tcBorders>
            <w:vAlign w:val="center"/>
          </w:tcPr>
          <w:p w14:paraId="60EDB25E" w14:textId="77777777" w:rsidR="00CA3B14" w:rsidRPr="00EA76AA" w:rsidRDefault="00CA3B14" w:rsidP="004465B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1.00</w:t>
            </w:r>
          </w:p>
        </w:tc>
        <w:tc>
          <w:tcPr>
            <w:tcW w:w="468" w:type="pct"/>
            <w:tcBorders>
              <w:top w:val="none" w:sz="0" w:space="0" w:color="auto"/>
              <w:bottom w:val="none" w:sz="0" w:space="0" w:color="auto"/>
            </w:tcBorders>
            <w:vAlign w:val="center"/>
          </w:tcPr>
          <w:p w14:paraId="19E0A72D" w14:textId="1117FE21" w:rsidR="00CA3B14" w:rsidRPr="00EA76AA" w:rsidRDefault="00F563CB" w:rsidP="004465B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0</w:t>
            </w:r>
            <w:r w:rsidR="00701C32" w:rsidRPr="00EA76AA">
              <w:rPr>
                <w:rFonts w:asciiTheme="majorBidi" w:hAnsiTheme="majorBidi" w:cstheme="majorBidi"/>
                <w:sz w:val="20"/>
                <w:szCs w:val="20"/>
              </w:rPr>
              <w:t>.778</w:t>
            </w:r>
          </w:p>
        </w:tc>
        <w:tc>
          <w:tcPr>
            <w:tcW w:w="705" w:type="pct"/>
            <w:tcBorders>
              <w:top w:val="none" w:sz="0" w:space="0" w:color="auto"/>
              <w:bottom w:val="none" w:sz="0" w:space="0" w:color="auto"/>
              <w:right w:val="none" w:sz="0" w:space="0" w:color="auto"/>
            </w:tcBorders>
            <w:vAlign w:val="center"/>
          </w:tcPr>
          <w:p w14:paraId="5A7A39D2" w14:textId="041F6CCA" w:rsidR="00CA3B14" w:rsidRPr="00EA76AA" w:rsidRDefault="00F563CB" w:rsidP="004465B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0</w:t>
            </w:r>
            <w:r w:rsidR="00701C32" w:rsidRPr="00EA76AA">
              <w:rPr>
                <w:rFonts w:asciiTheme="majorBidi" w:hAnsiTheme="majorBidi" w:cstheme="majorBidi"/>
                <w:sz w:val="20"/>
                <w:szCs w:val="20"/>
              </w:rPr>
              <w:t>.417</w:t>
            </w:r>
          </w:p>
        </w:tc>
      </w:tr>
      <w:tr w:rsidR="009F6F7D" w:rsidRPr="00EA76AA" w14:paraId="4986679C" w14:textId="77777777" w:rsidTr="009F6F7D">
        <w:trPr>
          <w:jc w:val="center"/>
        </w:trPr>
        <w:tc>
          <w:tcPr>
            <w:cnfStyle w:val="001000000000" w:firstRow="0" w:lastRow="0" w:firstColumn="1" w:lastColumn="0" w:oddVBand="0" w:evenVBand="0" w:oddHBand="0" w:evenHBand="0" w:firstRowFirstColumn="0" w:firstRowLastColumn="0" w:lastRowFirstColumn="0" w:lastRowLastColumn="0"/>
            <w:tcW w:w="529" w:type="pct"/>
            <w:tcBorders>
              <w:right w:val="single" w:sz="4" w:space="0" w:color="auto"/>
            </w:tcBorders>
            <w:vAlign w:val="center"/>
            <w:hideMark/>
          </w:tcPr>
          <w:p w14:paraId="5BDC093A" w14:textId="77777777" w:rsidR="00CA3B14" w:rsidRPr="00EA76AA" w:rsidRDefault="00CA3B14" w:rsidP="009F6F7D">
            <w:pPr>
              <w:autoSpaceDE w:val="0"/>
              <w:autoSpaceDN w:val="0"/>
              <w:adjustRightInd w:val="0"/>
              <w:spacing w:line="320" w:lineRule="atLeast"/>
              <w:ind w:left="60" w:right="60"/>
              <w:jc w:val="center"/>
              <w:rPr>
                <w:rFonts w:asciiTheme="majorBidi" w:hAnsiTheme="majorBidi" w:cstheme="majorBidi"/>
                <w:b w:val="0"/>
                <w:bCs w:val="0"/>
                <w:sz w:val="20"/>
                <w:szCs w:val="20"/>
              </w:rPr>
            </w:pPr>
            <w:r w:rsidRPr="00EA76AA">
              <w:rPr>
                <w:rFonts w:asciiTheme="majorBidi" w:hAnsiTheme="majorBidi" w:cstheme="majorBidi"/>
                <w:b w:val="0"/>
                <w:bCs w:val="0"/>
                <w:sz w:val="20"/>
                <w:szCs w:val="20"/>
              </w:rPr>
              <w:t>R</w:t>
            </w:r>
          </w:p>
        </w:tc>
        <w:tc>
          <w:tcPr>
            <w:tcW w:w="487" w:type="pct"/>
            <w:tcBorders>
              <w:left w:val="single" w:sz="4" w:space="0" w:color="auto"/>
            </w:tcBorders>
            <w:vAlign w:val="center"/>
          </w:tcPr>
          <w:p w14:paraId="235AE232" w14:textId="70CBF60E" w:rsidR="00CA3B14" w:rsidRPr="00EA76AA" w:rsidRDefault="00F563CB" w:rsidP="004465B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0</w:t>
            </w:r>
            <w:r w:rsidR="00CA3B14" w:rsidRPr="00EA76AA">
              <w:rPr>
                <w:rFonts w:asciiTheme="majorBidi" w:hAnsiTheme="majorBidi" w:cstheme="majorBidi"/>
                <w:sz w:val="20"/>
                <w:szCs w:val="20"/>
              </w:rPr>
              <w:t>.00</w:t>
            </w:r>
          </w:p>
        </w:tc>
        <w:tc>
          <w:tcPr>
            <w:tcW w:w="527" w:type="pct"/>
            <w:vAlign w:val="center"/>
          </w:tcPr>
          <w:p w14:paraId="70A44FC2" w14:textId="77777777" w:rsidR="00CA3B14" w:rsidRPr="00EA76AA" w:rsidRDefault="00CA3B14" w:rsidP="004465B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4.74</w:t>
            </w:r>
          </w:p>
        </w:tc>
        <w:tc>
          <w:tcPr>
            <w:tcW w:w="461" w:type="pct"/>
            <w:vAlign w:val="center"/>
          </w:tcPr>
          <w:p w14:paraId="6A94BD23" w14:textId="77777777" w:rsidR="00CA3B14" w:rsidRPr="00EA76AA" w:rsidRDefault="00CA3B14" w:rsidP="004465B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1.325</w:t>
            </w:r>
          </w:p>
        </w:tc>
        <w:tc>
          <w:tcPr>
            <w:tcW w:w="703" w:type="pct"/>
            <w:vAlign w:val="center"/>
          </w:tcPr>
          <w:p w14:paraId="6728C4B3" w14:textId="7EDB1EA0" w:rsidR="00CA3B14" w:rsidRPr="00EA76AA" w:rsidRDefault="00701C32" w:rsidP="004465B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1.261</w:t>
            </w:r>
          </w:p>
        </w:tc>
        <w:tc>
          <w:tcPr>
            <w:tcW w:w="527" w:type="pct"/>
            <w:vAlign w:val="center"/>
          </w:tcPr>
          <w:p w14:paraId="220EF0D4" w14:textId="31AA39B1" w:rsidR="00CA3B14" w:rsidRPr="00EA76AA" w:rsidRDefault="00F563CB" w:rsidP="004465B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0</w:t>
            </w:r>
            <w:r w:rsidR="00CA3B14" w:rsidRPr="00EA76AA">
              <w:rPr>
                <w:rFonts w:asciiTheme="majorBidi" w:hAnsiTheme="majorBidi" w:cstheme="majorBidi"/>
                <w:sz w:val="20"/>
                <w:szCs w:val="20"/>
              </w:rPr>
              <w:t>.04</w:t>
            </w:r>
          </w:p>
        </w:tc>
        <w:tc>
          <w:tcPr>
            <w:tcW w:w="593" w:type="pct"/>
            <w:vAlign w:val="center"/>
          </w:tcPr>
          <w:p w14:paraId="3239BAC6" w14:textId="77777777" w:rsidR="00CA3B14" w:rsidRPr="00EA76AA" w:rsidRDefault="00CA3B14" w:rsidP="004465B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13.84</w:t>
            </w:r>
          </w:p>
        </w:tc>
        <w:tc>
          <w:tcPr>
            <w:tcW w:w="468" w:type="pct"/>
            <w:vAlign w:val="center"/>
          </w:tcPr>
          <w:p w14:paraId="6BBF1BE3" w14:textId="3FF8ADF4" w:rsidR="00CA3B14" w:rsidRPr="00EA76AA" w:rsidRDefault="00701C32" w:rsidP="004465B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1.33</w:t>
            </w:r>
          </w:p>
        </w:tc>
        <w:tc>
          <w:tcPr>
            <w:tcW w:w="705" w:type="pct"/>
            <w:vAlign w:val="center"/>
          </w:tcPr>
          <w:p w14:paraId="1D9DCB21" w14:textId="7294D19E" w:rsidR="00CA3B14" w:rsidRPr="00EA76AA" w:rsidRDefault="00701C32" w:rsidP="004465B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2.305</w:t>
            </w:r>
          </w:p>
        </w:tc>
      </w:tr>
      <w:tr w:rsidR="007F15D8" w:rsidRPr="00EA76AA" w14:paraId="244F17EB" w14:textId="77777777" w:rsidTr="009F6F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9" w:type="pct"/>
            <w:tcBorders>
              <w:top w:val="none" w:sz="0" w:space="0" w:color="auto"/>
              <w:left w:val="none" w:sz="0" w:space="0" w:color="auto"/>
              <w:bottom w:val="none" w:sz="0" w:space="0" w:color="auto"/>
              <w:right w:val="single" w:sz="4" w:space="0" w:color="auto"/>
            </w:tcBorders>
            <w:vAlign w:val="center"/>
            <w:hideMark/>
          </w:tcPr>
          <w:p w14:paraId="4441B578" w14:textId="77777777" w:rsidR="00CA3B14" w:rsidRPr="00EA76AA" w:rsidRDefault="00CA3B14" w:rsidP="009F6F7D">
            <w:pPr>
              <w:autoSpaceDE w:val="0"/>
              <w:autoSpaceDN w:val="0"/>
              <w:adjustRightInd w:val="0"/>
              <w:spacing w:line="320" w:lineRule="atLeast"/>
              <w:ind w:left="60" w:right="60"/>
              <w:jc w:val="center"/>
              <w:rPr>
                <w:rFonts w:asciiTheme="majorBidi" w:hAnsiTheme="majorBidi" w:cstheme="majorBidi"/>
                <w:b w:val="0"/>
                <w:bCs w:val="0"/>
                <w:sz w:val="20"/>
                <w:szCs w:val="20"/>
              </w:rPr>
            </w:pPr>
            <w:r w:rsidRPr="00EA76AA">
              <w:rPr>
                <w:rFonts w:asciiTheme="majorBidi" w:hAnsiTheme="majorBidi" w:cstheme="majorBidi"/>
                <w:b w:val="0"/>
                <w:bCs w:val="0"/>
                <w:sz w:val="20"/>
                <w:szCs w:val="20"/>
              </w:rPr>
              <w:t>S</w:t>
            </w:r>
          </w:p>
        </w:tc>
        <w:tc>
          <w:tcPr>
            <w:tcW w:w="487" w:type="pct"/>
            <w:tcBorders>
              <w:top w:val="none" w:sz="0" w:space="0" w:color="auto"/>
              <w:left w:val="single" w:sz="4" w:space="0" w:color="auto"/>
              <w:bottom w:val="none" w:sz="0" w:space="0" w:color="auto"/>
            </w:tcBorders>
            <w:vAlign w:val="center"/>
          </w:tcPr>
          <w:p w14:paraId="27DBA8B8" w14:textId="77777777" w:rsidR="00CA3B14" w:rsidRPr="00EA76AA" w:rsidRDefault="00CA3B14" w:rsidP="004465B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1.56</w:t>
            </w:r>
          </w:p>
        </w:tc>
        <w:tc>
          <w:tcPr>
            <w:tcW w:w="527" w:type="pct"/>
            <w:tcBorders>
              <w:top w:val="none" w:sz="0" w:space="0" w:color="auto"/>
              <w:bottom w:val="none" w:sz="0" w:space="0" w:color="auto"/>
            </w:tcBorders>
            <w:vAlign w:val="center"/>
          </w:tcPr>
          <w:p w14:paraId="30E45271" w14:textId="77777777" w:rsidR="00CA3B14" w:rsidRPr="00EA76AA" w:rsidRDefault="00CA3B14" w:rsidP="004465B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3.58</w:t>
            </w:r>
          </w:p>
        </w:tc>
        <w:tc>
          <w:tcPr>
            <w:tcW w:w="461" w:type="pct"/>
            <w:tcBorders>
              <w:top w:val="none" w:sz="0" w:space="0" w:color="auto"/>
              <w:bottom w:val="none" w:sz="0" w:space="0" w:color="auto"/>
            </w:tcBorders>
            <w:vAlign w:val="center"/>
          </w:tcPr>
          <w:p w14:paraId="423B8A59" w14:textId="77777777" w:rsidR="00CA3B14" w:rsidRPr="00EA76AA" w:rsidRDefault="00CA3B14" w:rsidP="004465B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2.646</w:t>
            </w:r>
          </w:p>
        </w:tc>
        <w:tc>
          <w:tcPr>
            <w:tcW w:w="703" w:type="pct"/>
            <w:tcBorders>
              <w:top w:val="none" w:sz="0" w:space="0" w:color="auto"/>
              <w:bottom w:val="none" w:sz="0" w:space="0" w:color="auto"/>
            </w:tcBorders>
            <w:vAlign w:val="center"/>
          </w:tcPr>
          <w:p w14:paraId="0137553F" w14:textId="7208CA57" w:rsidR="00CA3B14" w:rsidRPr="00EA76AA" w:rsidRDefault="00F563CB" w:rsidP="004465B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0</w:t>
            </w:r>
            <w:r w:rsidR="00701C32" w:rsidRPr="00EA76AA">
              <w:rPr>
                <w:rFonts w:asciiTheme="majorBidi" w:hAnsiTheme="majorBidi" w:cstheme="majorBidi"/>
                <w:sz w:val="20"/>
                <w:szCs w:val="20"/>
              </w:rPr>
              <w:t>.617</w:t>
            </w:r>
          </w:p>
        </w:tc>
        <w:tc>
          <w:tcPr>
            <w:tcW w:w="527" w:type="pct"/>
            <w:tcBorders>
              <w:top w:val="none" w:sz="0" w:space="0" w:color="auto"/>
              <w:bottom w:val="none" w:sz="0" w:space="0" w:color="auto"/>
            </w:tcBorders>
            <w:vAlign w:val="center"/>
          </w:tcPr>
          <w:p w14:paraId="42CE0E5B" w14:textId="77777777" w:rsidR="00CA3B14" w:rsidRPr="00EA76AA" w:rsidRDefault="00CA3B14" w:rsidP="004465B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1.99</w:t>
            </w:r>
          </w:p>
        </w:tc>
        <w:tc>
          <w:tcPr>
            <w:tcW w:w="593" w:type="pct"/>
            <w:tcBorders>
              <w:top w:val="none" w:sz="0" w:space="0" w:color="auto"/>
              <w:bottom w:val="none" w:sz="0" w:space="0" w:color="auto"/>
            </w:tcBorders>
            <w:vAlign w:val="center"/>
          </w:tcPr>
          <w:p w14:paraId="760982F0" w14:textId="77777777" w:rsidR="00CA3B14" w:rsidRPr="00EA76AA" w:rsidRDefault="00CA3B14" w:rsidP="004465B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4.68</w:t>
            </w:r>
          </w:p>
        </w:tc>
        <w:tc>
          <w:tcPr>
            <w:tcW w:w="468" w:type="pct"/>
            <w:tcBorders>
              <w:top w:val="none" w:sz="0" w:space="0" w:color="auto"/>
              <w:bottom w:val="none" w:sz="0" w:space="0" w:color="auto"/>
            </w:tcBorders>
            <w:vAlign w:val="center"/>
          </w:tcPr>
          <w:p w14:paraId="65F11A3C" w14:textId="2BAFEEEF" w:rsidR="00CA3B14" w:rsidRPr="00EA76AA" w:rsidRDefault="00701C32" w:rsidP="004465B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3.063</w:t>
            </w:r>
          </w:p>
        </w:tc>
        <w:tc>
          <w:tcPr>
            <w:tcW w:w="705" w:type="pct"/>
            <w:tcBorders>
              <w:top w:val="none" w:sz="0" w:space="0" w:color="auto"/>
              <w:bottom w:val="none" w:sz="0" w:space="0" w:color="auto"/>
              <w:right w:val="none" w:sz="0" w:space="0" w:color="auto"/>
            </w:tcBorders>
            <w:vAlign w:val="center"/>
          </w:tcPr>
          <w:p w14:paraId="6D88631C" w14:textId="449D3DB3" w:rsidR="00CA3B14" w:rsidRPr="00EA76AA" w:rsidRDefault="00F563CB" w:rsidP="004465B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A76AA">
              <w:rPr>
                <w:rFonts w:asciiTheme="majorBidi" w:hAnsiTheme="majorBidi" w:cstheme="majorBidi"/>
                <w:sz w:val="20"/>
                <w:szCs w:val="20"/>
              </w:rPr>
              <w:t>0</w:t>
            </w:r>
            <w:r w:rsidR="00701C32" w:rsidRPr="00EA76AA">
              <w:rPr>
                <w:rFonts w:asciiTheme="majorBidi" w:hAnsiTheme="majorBidi" w:cstheme="majorBidi"/>
                <w:sz w:val="20"/>
                <w:szCs w:val="20"/>
              </w:rPr>
              <w:t>.622</w:t>
            </w:r>
          </w:p>
        </w:tc>
      </w:tr>
    </w:tbl>
    <w:p w14:paraId="19B2F9D4" w14:textId="77777777" w:rsidR="00B725B6" w:rsidRDefault="00B725B6" w:rsidP="00B0379B">
      <w:pPr>
        <w:pStyle w:val="Default"/>
        <w:ind w:firstLine="510"/>
        <w:jc w:val="both"/>
        <w:rPr>
          <w:rFonts w:asciiTheme="majorBidi" w:hAnsiTheme="majorBidi"/>
          <w:color w:val="auto"/>
          <w:sz w:val="26"/>
        </w:rPr>
      </w:pPr>
    </w:p>
    <w:p w14:paraId="2744580B" w14:textId="7198C900" w:rsidR="00097A0E" w:rsidRPr="00B725B6" w:rsidRDefault="00D5790E" w:rsidP="00B725B6">
      <w:pPr>
        <w:pStyle w:val="Default"/>
        <w:spacing w:line="360" w:lineRule="exact"/>
        <w:ind w:firstLine="510"/>
        <w:jc w:val="both"/>
        <w:rPr>
          <w:rFonts w:asciiTheme="majorBidi" w:hAnsiTheme="majorBidi" w:cstheme="majorBidi"/>
          <w:color w:val="auto"/>
          <w:sz w:val="26"/>
          <w:szCs w:val="26"/>
        </w:rPr>
      </w:pPr>
      <w:r w:rsidRPr="00B725B6">
        <w:rPr>
          <w:rFonts w:asciiTheme="majorBidi" w:hAnsiTheme="majorBidi"/>
          <w:color w:val="auto"/>
          <w:sz w:val="26"/>
          <w:szCs w:val="26"/>
        </w:rPr>
        <w:t xml:space="preserve">The </w:t>
      </w:r>
      <w:r w:rsidR="000273D8" w:rsidRPr="00B725B6">
        <w:rPr>
          <w:rFonts w:asciiTheme="majorBidi" w:hAnsiTheme="majorBidi"/>
          <w:color w:val="auto"/>
          <w:sz w:val="26"/>
          <w:szCs w:val="26"/>
        </w:rPr>
        <w:t>mean of FI</w:t>
      </w:r>
      <w:r w:rsidRPr="00B725B6">
        <w:rPr>
          <w:rFonts w:asciiTheme="majorBidi" w:hAnsiTheme="majorBidi"/>
          <w:color w:val="auto"/>
          <w:sz w:val="26"/>
          <w:szCs w:val="26"/>
        </w:rPr>
        <w:t xml:space="preserve"> is very low in all GCC countries as it is between 0.</w:t>
      </w:r>
      <w:r w:rsidRPr="00B725B6">
        <w:rPr>
          <w:rFonts w:asciiTheme="majorBidi" w:hAnsiTheme="majorBidi" w:cstheme="majorBidi"/>
          <w:color w:val="auto"/>
          <w:sz w:val="26"/>
          <w:szCs w:val="26"/>
        </w:rPr>
        <w:t>0</w:t>
      </w:r>
      <w:r w:rsidR="00701C32" w:rsidRPr="00B725B6">
        <w:rPr>
          <w:rFonts w:asciiTheme="majorBidi" w:hAnsiTheme="majorBidi" w:cstheme="majorBidi"/>
          <w:color w:val="auto"/>
          <w:sz w:val="26"/>
          <w:szCs w:val="26"/>
        </w:rPr>
        <w:t>0</w:t>
      </w:r>
      <w:r w:rsidRPr="00B725B6">
        <w:rPr>
          <w:rFonts w:asciiTheme="majorBidi" w:hAnsiTheme="majorBidi" w:cstheme="majorBidi"/>
          <w:color w:val="auto"/>
          <w:sz w:val="26"/>
          <w:szCs w:val="26"/>
        </w:rPr>
        <w:t>083</w:t>
      </w:r>
      <w:r w:rsidRPr="00B725B6">
        <w:rPr>
          <w:rFonts w:asciiTheme="majorBidi" w:hAnsiTheme="majorBidi"/>
          <w:color w:val="auto"/>
          <w:sz w:val="26"/>
          <w:szCs w:val="26"/>
        </w:rPr>
        <w:t xml:space="preserve"> (Qatar) and 0.0643 (Oman)</w:t>
      </w:r>
      <w:r w:rsidR="00701C32" w:rsidRPr="00B725B6">
        <w:rPr>
          <w:rFonts w:asciiTheme="majorBidi" w:hAnsiTheme="majorBidi"/>
          <w:color w:val="auto"/>
          <w:sz w:val="26"/>
          <w:szCs w:val="26"/>
        </w:rPr>
        <w:t xml:space="preserve">. </w:t>
      </w:r>
      <w:r w:rsidR="00701C32" w:rsidRPr="00B725B6">
        <w:rPr>
          <w:rFonts w:asciiTheme="majorBidi" w:hAnsiTheme="majorBidi" w:cstheme="majorBidi"/>
          <w:color w:val="auto"/>
          <w:sz w:val="26"/>
          <w:szCs w:val="26"/>
        </w:rPr>
        <w:t>The highest mean is in Oman (0.0643), K</w:t>
      </w:r>
      <w:r w:rsidR="00F844FA" w:rsidRPr="00B725B6">
        <w:rPr>
          <w:rFonts w:asciiTheme="majorBidi" w:hAnsiTheme="majorBidi" w:cstheme="majorBidi"/>
          <w:color w:val="auto"/>
          <w:sz w:val="26"/>
          <w:szCs w:val="26"/>
        </w:rPr>
        <w:t>UW (0.0409), UAE (0.0323), BAH (0.0198), KSA (0.0188) and finally QAT (0.00083)</w:t>
      </w:r>
      <w:r w:rsidRPr="00B725B6">
        <w:rPr>
          <w:rFonts w:asciiTheme="majorBidi" w:hAnsiTheme="majorBidi" w:cstheme="majorBidi"/>
          <w:color w:val="auto"/>
          <w:sz w:val="26"/>
          <w:szCs w:val="26"/>
        </w:rPr>
        <w:t>.</w:t>
      </w:r>
      <w:r w:rsidR="00F844FA" w:rsidRPr="00B725B6">
        <w:rPr>
          <w:rFonts w:asciiTheme="majorBidi" w:hAnsiTheme="majorBidi" w:cstheme="majorBidi"/>
          <w:color w:val="auto"/>
          <w:sz w:val="26"/>
          <w:szCs w:val="26"/>
        </w:rPr>
        <w:t xml:space="preserve"> This indicates that FI is very low in GCC</w:t>
      </w:r>
      <w:r w:rsidR="00C80A1B">
        <w:rPr>
          <w:rFonts w:asciiTheme="majorBidi" w:hAnsiTheme="majorBidi" w:cstheme="majorBidi"/>
          <w:color w:val="auto"/>
          <w:sz w:val="26"/>
          <w:szCs w:val="26"/>
        </w:rPr>
        <w:t>,</w:t>
      </w:r>
      <w:r w:rsidR="00F844FA" w:rsidRPr="00B725B6">
        <w:rPr>
          <w:rFonts w:asciiTheme="majorBidi" w:hAnsiTheme="majorBidi" w:cstheme="majorBidi"/>
          <w:color w:val="auto"/>
          <w:sz w:val="26"/>
          <w:szCs w:val="26"/>
        </w:rPr>
        <w:t xml:space="preserve"> but OMN has the better capital market for FI during the period of the study. </w:t>
      </w:r>
      <w:r w:rsidR="000273D8" w:rsidRPr="00B725B6">
        <w:rPr>
          <w:rFonts w:asciiTheme="majorBidi" w:hAnsiTheme="majorBidi"/>
          <w:color w:val="auto"/>
          <w:sz w:val="26"/>
          <w:szCs w:val="26"/>
        </w:rPr>
        <w:t>F</w:t>
      </w:r>
      <w:r w:rsidRPr="00B725B6">
        <w:rPr>
          <w:rFonts w:asciiTheme="majorBidi" w:hAnsiTheme="majorBidi"/>
          <w:color w:val="auto"/>
          <w:sz w:val="26"/>
          <w:szCs w:val="26"/>
        </w:rPr>
        <w:t xml:space="preserve">irm sizes </w:t>
      </w:r>
      <w:r w:rsidR="00F844FA" w:rsidRPr="00B725B6">
        <w:rPr>
          <w:rFonts w:asciiTheme="majorBidi" w:hAnsiTheme="majorBidi" w:cstheme="majorBidi"/>
          <w:color w:val="auto"/>
          <w:sz w:val="26"/>
          <w:szCs w:val="26"/>
        </w:rPr>
        <w:t xml:space="preserve">(S) </w:t>
      </w:r>
      <w:r w:rsidRPr="00B725B6">
        <w:rPr>
          <w:rFonts w:asciiTheme="majorBidi" w:hAnsiTheme="majorBidi"/>
          <w:color w:val="auto"/>
          <w:sz w:val="26"/>
          <w:szCs w:val="26"/>
        </w:rPr>
        <w:t>have mean va</w:t>
      </w:r>
      <w:r w:rsidR="007E2357" w:rsidRPr="00B725B6">
        <w:rPr>
          <w:rFonts w:asciiTheme="majorBidi" w:hAnsiTheme="majorBidi"/>
          <w:color w:val="auto"/>
          <w:sz w:val="26"/>
          <w:szCs w:val="26"/>
        </w:rPr>
        <w:t>lues between 1.</w:t>
      </w:r>
      <w:r w:rsidR="007E2357" w:rsidRPr="00B725B6">
        <w:rPr>
          <w:rFonts w:asciiTheme="majorBidi" w:hAnsiTheme="majorBidi" w:cstheme="majorBidi"/>
          <w:color w:val="auto"/>
          <w:sz w:val="26"/>
          <w:szCs w:val="26"/>
        </w:rPr>
        <w:t>82</w:t>
      </w:r>
      <w:r w:rsidR="007E2357" w:rsidRPr="00B725B6">
        <w:rPr>
          <w:rFonts w:asciiTheme="majorBidi" w:hAnsiTheme="majorBidi"/>
          <w:color w:val="auto"/>
          <w:sz w:val="26"/>
          <w:szCs w:val="26"/>
        </w:rPr>
        <w:t xml:space="preserve"> (Oman) and 3.</w:t>
      </w:r>
      <w:r w:rsidR="007E2357" w:rsidRPr="00B725B6">
        <w:rPr>
          <w:rFonts w:asciiTheme="majorBidi" w:hAnsiTheme="majorBidi" w:cstheme="majorBidi"/>
          <w:color w:val="auto"/>
          <w:sz w:val="26"/>
          <w:szCs w:val="26"/>
        </w:rPr>
        <w:t>25</w:t>
      </w:r>
      <w:r w:rsidRPr="00B725B6">
        <w:rPr>
          <w:rFonts w:asciiTheme="majorBidi" w:hAnsiTheme="majorBidi"/>
          <w:color w:val="auto"/>
          <w:sz w:val="26"/>
          <w:szCs w:val="26"/>
        </w:rPr>
        <w:t xml:space="preserve"> (Qatar). With this range, firms have adequate assets to sustain their growth and survival. </w:t>
      </w:r>
      <w:r w:rsidR="007E2357" w:rsidRPr="00B725B6">
        <w:rPr>
          <w:rFonts w:asciiTheme="majorBidi" w:hAnsiTheme="majorBidi" w:cstheme="majorBidi"/>
          <w:color w:val="auto"/>
          <w:sz w:val="26"/>
          <w:szCs w:val="26"/>
        </w:rPr>
        <w:t xml:space="preserve">These results indicate that Qatari firms offer </w:t>
      </w:r>
      <w:r w:rsidR="00C80A1B">
        <w:rPr>
          <w:rFonts w:asciiTheme="majorBidi" w:hAnsiTheme="majorBidi" w:cstheme="majorBidi"/>
          <w:color w:val="auto"/>
          <w:sz w:val="26"/>
          <w:szCs w:val="26"/>
        </w:rPr>
        <w:t xml:space="preserve">a </w:t>
      </w:r>
      <w:r w:rsidR="007E2357" w:rsidRPr="00B725B6">
        <w:rPr>
          <w:rFonts w:asciiTheme="majorBidi" w:hAnsiTheme="majorBidi" w:cstheme="majorBidi"/>
          <w:color w:val="auto"/>
          <w:sz w:val="26"/>
          <w:szCs w:val="26"/>
        </w:rPr>
        <w:t xml:space="preserve">strong </w:t>
      </w:r>
      <w:r w:rsidR="00B94A88" w:rsidRPr="00B725B6">
        <w:rPr>
          <w:rFonts w:asciiTheme="majorBidi" w:hAnsiTheme="majorBidi" w:cstheme="majorBidi"/>
          <w:color w:val="auto"/>
          <w:sz w:val="26"/>
          <w:szCs w:val="26"/>
        </w:rPr>
        <w:t>asserts</w:t>
      </w:r>
      <w:r w:rsidR="007E2357" w:rsidRPr="00B725B6">
        <w:rPr>
          <w:rFonts w:asciiTheme="majorBidi" w:hAnsiTheme="majorBidi" w:cstheme="majorBidi"/>
          <w:color w:val="auto"/>
          <w:sz w:val="26"/>
          <w:szCs w:val="26"/>
        </w:rPr>
        <w:t xml:space="preserve"> structure </w:t>
      </w:r>
      <w:r w:rsidR="00C80A1B" w:rsidRPr="00B725B6">
        <w:rPr>
          <w:rFonts w:asciiTheme="majorBidi" w:hAnsiTheme="majorBidi" w:cstheme="majorBidi"/>
          <w:color w:val="auto"/>
          <w:sz w:val="26"/>
          <w:szCs w:val="26"/>
        </w:rPr>
        <w:t>th</w:t>
      </w:r>
      <w:r w:rsidR="00C80A1B">
        <w:rPr>
          <w:rFonts w:asciiTheme="majorBidi" w:hAnsiTheme="majorBidi" w:cstheme="majorBidi"/>
          <w:color w:val="auto"/>
          <w:sz w:val="26"/>
          <w:szCs w:val="26"/>
        </w:rPr>
        <w:t>a</w:t>
      </w:r>
      <w:r w:rsidR="00C80A1B" w:rsidRPr="00B725B6">
        <w:rPr>
          <w:rFonts w:asciiTheme="majorBidi" w:hAnsiTheme="majorBidi" w:cstheme="majorBidi"/>
          <w:color w:val="auto"/>
          <w:sz w:val="26"/>
          <w:szCs w:val="26"/>
        </w:rPr>
        <w:t xml:space="preserve">n </w:t>
      </w:r>
      <w:r w:rsidR="007E2357" w:rsidRPr="00B725B6">
        <w:rPr>
          <w:rFonts w:asciiTheme="majorBidi" w:hAnsiTheme="majorBidi" w:cstheme="majorBidi"/>
          <w:color w:val="auto"/>
          <w:sz w:val="26"/>
          <w:szCs w:val="26"/>
        </w:rPr>
        <w:t>UAE, KSA, KUW, B</w:t>
      </w:r>
      <w:r w:rsidR="004D0177" w:rsidRPr="00B725B6">
        <w:rPr>
          <w:rFonts w:asciiTheme="majorBidi" w:hAnsiTheme="majorBidi" w:cstheme="majorBidi"/>
          <w:color w:val="auto"/>
          <w:sz w:val="26"/>
          <w:szCs w:val="26"/>
        </w:rPr>
        <w:t>AH</w:t>
      </w:r>
      <w:r w:rsidR="00AA156B" w:rsidRPr="00B725B6">
        <w:rPr>
          <w:rFonts w:asciiTheme="majorBidi" w:hAnsiTheme="majorBidi" w:cstheme="majorBidi"/>
          <w:color w:val="auto"/>
          <w:sz w:val="26"/>
          <w:szCs w:val="26"/>
        </w:rPr>
        <w:t>,</w:t>
      </w:r>
      <w:r w:rsidR="007E2357" w:rsidRPr="00B725B6">
        <w:rPr>
          <w:rFonts w:asciiTheme="majorBidi" w:hAnsiTheme="majorBidi" w:cstheme="majorBidi"/>
          <w:color w:val="auto"/>
          <w:sz w:val="26"/>
          <w:szCs w:val="26"/>
        </w:rPr>
        <w:t xml:space="preserve"> and the lowest is in OMN. </w:t>
      </w:r>
      <w:r w:rsidRPr="00B725B6">
        <w:rPr>
          <w:rFonts w:asciiTheme="majorBidi" w:hAnsiTheme="majorBidi"/>
          <w:color w:val="auto"/>
          <w:sz w:val="26"/>
          <w:szCs w:val="26"/>
        </w:rPr>
        <w:t>The mean of risk is between 1.33 (</w:t>
      </w:r>
      <w:r w:rsidR="000B7741" w:rsidRPr="00B725B6">
        <w:rPr>
          <w:rFonts w:asciiTheme="majorBidi" w:hAnsiTheme="majorBidi" w:cstheme="majorBidi"/>
          <w:color w:val="auto"/>
          <w:sz w:val="26"/>
          <w:szCs w:val="26"/>
        </w:rPr>
        <w:t>UAE</w:t>
      </w:r>
      <w:r w:rsidR="000B7741" w:rsidRPr="00B725B6">
        <w:rPr>
          <w:rFonts w:asciiTheme="majorBidi" w:hAnsiTheme="majorBidi"/>
          <w:color w:val="auto"/>
          <w:sz w:val="26"/>
          <w:szCs w:val="26"/>
        </w:rPr>
        <w:t>) and –10.</w:t>
      </w:r>
      <w:r w:rsidR="000B7741" w:rsidRPr="00B725B6">
        <w:rPr>
          <w:rFonts w:asciiTheme="majorBidi" w:hAnsiTheme="majorBidi" w:cstheme="majorBidi"/>
          <w:color w:val="auto"/>
          <w:sz w:val="26"/>
          <w:szCs w:val="26"/>
        </w:rPr>
        <w:t>28</w:t>
      </w:r>
      <w:r w:rsidRPr="00B725B6">
        <w:rPr>
          <w:rFonts w:asciiTheme="majorBidi" w:hAnsiTheme="majorBidi"/>
          <w:color w:val="auto"/>
          <w:sz w:val="26"/>
          <w:szCs w:val="26"/>
        </w:rPr>
        <w:t xml:space="preserve"> (Qatar), suggesting th</w:t>
      </w:r>
      <w:r w:rsidR="000B7741" w:rsidRPr="00B725B6">
        <w:rPr>
          <w:rFonts w:asciiTheme="majorBidi" w:hAnsiTheme="majorBidi"/>
          <w:color w:val="auto"/>
          <w:sz w:val="26"/>
          <w:szCs w:val="26"/>
        </w:rPr>
        <w:t xml:space="preserve">at risk is high in this sample </w:t>
      </w:r>
      <w:r w:rsidRPr="00B725B6">
        <w:rPr>
          <w:rFonts w:asciiTheme="majorBidi" w:hAnsiTheme="majorBidi"/>
          <w:color w:val="auto"/>
          <w:sz w:val="26"/>
          <w:szCs w:val="26"/>
        </w:rPr>
        <w:t>because of the nature of the sample (non</w:t>
      </w:r>
      <w:r w:rsidR="006460A7" w:rsidRPr="00B725B6">
        <w:rPr>
          <w:rFonts w:asciiTheme="majorBidi" w:hAnsiTheme="majorBidi"/>
          <w:color w:val="auto"/>
          <w:sz w:val="26"/>
          <w:szCs w:val="26"/>
        </w:rPr>
        <w:t>-</w:t>
      </w:r>
      <w:r w:rsidRPr="00B725B6">
        <w:rPr>
          <w:rFonts w:asciiTheme="majorBidi" w:hAnsiTheme="majorBidi"/>
          <w:color w:val="auto"/>
          <w:sz w:val="26"/>
          <w:szCs w:val="26"/>
        </w:rPr>
        <w:t>financial firms) and the situation in the GCC region.</w:t>
      </w:r>
      <w:r w:rsidRPr="00B725B6">
        <w:rPr>
          <w:rFonts w:asciiTheme="majorBidi" w:hAnsiTheme="majorBidi" w:cstheme="majorBidi"/>
          <w:color w:val="auto"/>
          <w:sz w:val="26"/>
          <w:szCs w:val="26"/>
        </w:rPr>
        <w:t xml:space="preserve"> </w:t>
      </w:r>
      <w:r w:rsidR="00F844FA" w:rsidRPr="00B725B6">
        <w:rPr>
          <w:rFonts w:asciiTheme="majorBidi" w:hAnsiTheme="majorBidi" w:cstheme="majorBidi"/>
          <w:color w:val="auto"/>
          <w:sz w:val="26"/>
          <w:szCs w:val="26"/>
        </w:rPr>
        <w:t>The highest mean of risk is</w:t>
      </w:r>
      <w:r w:rsidR="000B7741" w:rsidRPr="00B725B6">
        <w:rPr>
          <w:rFonts w:asciiTheme="majorBidi" w:hAnsiTheme="majorBidi" w:cstheme="majorBidi"/>
          <w:color w:val="auto"/>
          <w:sz w:val="26"/>
          <w:szCs w:val="26"/>
        </w:rPr>
        <w:t xml:space="preserve"> in UAE</w:t>
      </w:r>
      <w:r w:rsidR="00C80A1B">
        <w:rPr>
          <w:rFonts w:asciiTheme="majorBidi" w:hAnsiTheme="majorBidi" w:cstheme="majorBidi"/>
          <w:color w:val="auto"/>
          <w:sz w:val="26"/>
          <w:szCs w:val="26"/>
        </w:rPr>
        <w:t>,</w:t>
      </w:r>
      <w:r w:rsidR="000B7741" w:rsidRPr="00B725B6">
        <w:rPr>
          <w:rFonts w:asciiTheme="majorBidi" w:hAnsiTheme="majorBidi" w:cstheme="majorBidi"/>
          <w:color w:val="auto"/>
          <w:sz w:val="26"/>
          <w:szCs w:val="26"/>
        </w:rPr>
        <w:t xml:space="preserve"> which is around 133%, then KUW (132.5%), KSA (88.9%), BAH (36.9%)</w:t>
      </w:r>
      <w:r w:rsidR="00C80A1B">
        <w:rPr>
          <w:rFonts w:asciiTheme="majorBidi" w:hAnsiTheme="majorBidi" w:cstheme="majorBidi"/>
          <w:color w:val="auto"/>
          <w:sz w:val="26"/>
          <w:szCs w:val="26"/>
        </w:rPr>
        <w:t>,</w:t>
      </w:r>
      <w:r w:rsidR="000B7741" w:rsidRPr="00B725B6">
        <w:rPr>
          <w:rFonts w:asciiTheme="majorBidi" w:hAnsiTheme="majorBidi" w:cstheme="majorBidi"/>
          <w:color w:val="auto"/>
          <w:sz w:val="26"/>
          <w:szCs w:val="26"/>
        </w:rPr>
        <w:t xml:space="preserve"> and the lowest mean of risk is in QAT (-10.28)</w:t>
      </w:r>
      <w:r w:rsidR="00C80A1B">
        <w:rPr>
          <w:rFonts w:asciiTheme="majorBidi" w:hAnsiTheme="majorBidi" w:cstheme="majorBidi"/>
          <w:color w:val="auto"/>
          <w:sz w:val="26"/>
          <w:szCs w:val="26"/>
        </w:rPr>
        <w:t>,</w:t>
      </w:r>
      <w:r w:rsidR="000B7741" w:rsidRPr="00B725B6">
        <w:rPr>
          <w:rFonts w:asciiTheme="majorBidi" w:hAnsiTheme="majorBidi" w:cstheme="majorBidi"/>
          <w:color w:val="auto"/>
          <w:sz w:val="26"/>
          <w:szCs w:val="26"/>
        </w:rPr>
        <w:t xml:space="preserve"> and OMN (-8.021) which means that QAT and OMN are the best of GCC countries for investment.</w:t>
      </w:r>
      <w:r w:rsidR="000B7741" w:rsidRPr="00B725B6">
        <w:rPr>
          <w:rFonts w:asciiTheme="majorBidi" w:hAnsiTheme="majorBidi"/>
          <w:color w:val="auto"/>
          <w:sz w:val="26"/>
          <w:szCs w:val="26"/>
        </w:rPr>
        <w:t xml:space="preserve"> </w:t>
      </w:r>
      <w:r w:rsidRPr="00B725B6">
        <w:rPr>
          <w:rFonts w:asciiTheme="majorBidi" w:hAnsiTheme="majorBidi"/>
          <w:color w:val="auto"/>
          <w:sz w:val="26"/>
          <w:szCs w:val="26"/>
        </w:rPr>
        <w:t xml:space="preserve">All GCC countries prefer to hire big 4 audit firms as the highest mean </w:t>
      </w:r>
      <w:r w:rsidR="000273D8" w:rsidRPr="00B725B6">
        <w:rPr>
          <w:rFonts w:asciiTheme="majorBidi" w:hAnsiTheme="majorBidi"/>
          <w:color w:val="auto"/>
          <w:sz w:val="26"/>
          <w:szCs w:val="26"/>
        </w:rPr>
        <w:t xml:space="preserve">is for </w:t>
      </w:r>
      <w:r w:rsidRPr="00B725B6">
        <w:rPr>
          <w:rFonts w:asciiTheme="majorBidi" w:hAnsiTheme="majorBidi"/>
          <w:color w:val="auto"/>
          <w:sz w:val="26"/>
          <w:szCs w:val="26"/>
        </w:rPr>
        <w:t>Qatar</w:t>
      </w:r>
      <w:r w:rsidR="00C80A1B">
        <w:rPr>
          <w:rFonts w:asciiTheme="majorBidi" w:hAnsiTheme="majorBidi"/>
          <w:color w:val="auto"/>
          <w:sz w:val="26"/>
          <w:szCs w:val="26"/>
        </w:rPr>
        <w:t>,</w:t>
      </w:r>
      <w:r w:rsidRPr="00B725B6">
        <w:rPr>
          <w:rFonts w:asciiTheme="majorBidi" w:hAnsiTheme="majorBidi"/>
          <w:color w:val="auto"/>
          <w:sz w:val="26"/>
          <w:szCs w:val="26"/>
        </w:rPr>
        <w:t xml:space="preserve"> which is around 94% and the lowest one </w:t>
      </w:r>
      <w:r w:rsidR="000273D8" w:rsidRPr="00B725B6">
        <w:rPr>
          <w:rFonts w:asciiTheme="majorBidi" w:hAnsiTheme="majorBidi"/>
          <w:color w:val="auto"/>
          <w:sz w:val="26"/>
          <w:szCs w:val="26"/>
        </w:rPr>
        <w:t xml:space="preserve">is </w:t>
      </w:r>
      <w:r w:rsidR="000273D8" w:rsidRPr="00B725B6">
        <w:rPr>
          <w:rFonts w:asciiTheme="majorBidi" w:hAnsiTheme="majorBidi" w:cstheme="majorBidi"/>
          <w:color w:val="auto"/>
          <w:sz w:val="26"/>
          <w:szCs w:val="26"/>
        </w:rPr>
        <w:t>for</w:t>
      </w:r>
      <w:r w:rsidR="005C11B1" w:rsidRPr="00B725B6">
        <w:rPr>
          <w:rFonts w:asciiTheme="majorBidi" w:hAnsiTheme="majorBidi" w:cstheme="majorBidi"/>
          <w:color w:val="auto"/>
          <w:sz w:val="26"/>
          <w:szCs w:val="26"/>
        </w:rPr>
        <w:t xml:space="preserve"> </w:t>
      </w:r>
      <w:r w:rsidRPr="00B725B6">
        <w:rPr>
          <w:rFonts w:asciiTheme="majorBidi" w:hAnsiTheme="majorBidi" w:cstheme="majorBidi"/>
          <w:color w:val="auto"/>
          <w:sz w:val="26"/>
          <w:szCs w:val="26"/>
        </w:rPr>
        <w:t>Oman</w:t>
      </w:r>
      <w:r w:rsidR="00C80A1B">
        <w:rPr>
          <w:rFonts w:asciiTheme="majorBidi" w:hAnsiTheme="majorBidi" w:cstheme="majorBidi"/>
          <w:color w:val="auto"/>
          <w:sz w:val="26"/>
          <w:szCs w:val="26"/>
        </w:rPr>
        <w:t>,</w:t>
      </w:r>
      <w:r w:rsidRPr="00B725B6">
        <w:rPr>
          <w:rFonts w:asciiTheme="majorBidi" w:hAnsiTheme="majorBidi" w:cstheme="majorBidi"/>
          <w:color w:val="auto"/>
          <w:sz w:val="26"/>
          <w:szCs w:val="26"/>
        </w:rPr>
        <w:t xml:space="preserve"> which is around 64%. </w:t>
      </w:r>
      <w:r w:rsidR="000B7741" w:rsidRPr="00B725B6">
        <w:rPr>
          <w:rFonts w:asciiTheme="majorBidi" w:hAnsiTheme="majorBidi" w:cstheme="majorBidi"/>
          <w:color w:val="auto"/>
          <w:sz w:val="26"/>
          <w:szCs w:val="26"/>
        </w:rPr>
        <w:t xml:space="preserve">These results indicate that </w:t>
      </w:r>
      <w:r w:rsidR="007E2357" w:rsidRPr="00B725B6">
        <w:rPr>
          <w:rFonts w:asciiTheme="majorBidi" w:hAnsiTheme="majorBidi" w:cstheme="majorBidi"/>
          <w:color w:val="auto"/>
          <w:sz w:val="26"/>
          <w:szCs w:val="26"/>
        </w:rPr>
        <w:t xml:space="preserve">the GCC non-financial firms </w:t>
      </w:r>
      <w:r w:rsidR="007E2357" w:rsidRPr="00B725B6">
        <w:rPr>
          <w:rFonts w:asciiTheme="majorBidi" w:hAnsiTheme="majorBidi" w:cstheme="majorBidi"/>
          <w:color w:val="auto"/>
          <w:sz w:val="26"/>
          <w:szCs w:val="26"/>
          <w:lang w:val="en-GB"/>
        </w:rPr>
        <w:t>prefer to hire the Big 4 audit firms to audit their financial statements</w:t>
      </w:r>
      <w:r w:rsidR="007E2357" w:rsidRPr="00B725B6">
        <w:rPr>
          <w:rFonts w:asciiTheme="majorBidi" w:hAnsiTheme="majorBidi" w:cstheme="majorBidi"/>
          <w:color w:val="auto"/>
          <w:sz w:val="26"/>
          <w:szCs w:val="26"/>
        </w:rPr>
        <w:t xml:space="preserve"> because they strongly believe </w:t>
      </w:r>
      <w:r w:rsidR="00097A0E" w:rsidRPr="00B725B6">
        <w:rPr>
          <w:rFonts w:asciiTheme="majorBidi" w:hAnsiTheme="majorBidi" w:cstheme="majorBidi"/>
          <w:color w:val="auto"/>
          <w:sz w:val="26"/>
          <w:szCs w:val="26"/>
        </w:rPr>
        <w:t>that Big 4 audit fir</w:t>
      </w:r>
      <w:r w:rsidR="007E2357" w:rsidRPr="00B725B6">
        <w:rPr>
          <w:rFonts w:asciiTheme="majorBidi" w:hAnsiTheme="majorBidi" w:cstheme="majorBidi"/>
          <w:color w:val="auto"/>
          <w:sz w:val="26"/>
          <w:szCs w:val="26"/>
        </w:rPr>
        <w:t>m</w:t>
      </w:r>
      <w:r w:rsidR="00097A0E" w:rsidRPr="00B725B6">
        <w:rPr>
          <w:rFonts w:asciiTheme="majorBidi" w:hAnsiTheme="majorBidi" w:cstheme="majorBidi"/>
          <w:color w:val="auto"/>
          <w:sz w:val="26"/>
          <w:szCs w:val="26"/>
        </w:rPr>
        <w:t>s</w:t>
      </w:r>
      <w:r w:rsidR="007E2357" w:rsidRPr="00B725B6">
        <w:rPr>
          <w:rFonts w:asciiTheme="majorBidi" w:hAnsiTheme="majorBidi" w:cstheme="majorBidi"/>
          <w:color w:val="auto"/>
          <w:sz w:val="26"/>
          <w:szCs w:val="26"/>
        </w:rPr>
        <w:t xml:space="preserve"> offer high audit quality.</w:t>
      </w:r>
      <w:r w:rsidR="00097A0E" w:rsidRPr="00B725B6">
        <w:rPr>
          <w:rFonts w:asciiTheme="majorBidi" w:hAnsiTheme="majorBidi" w:cstheme="majorBidi"/>
          <w:color w:val="auto"/>
          <w:sz w:val="26"/>
          <w:szCs w:val="26"/>
        </w:rPr>
        <w:t xml:space="preserve"> Accordingly, the descriptive statistics of this research give </w:t>
      </w:r>
      <w:r w:rsidR="00C80A1B">
        <w:rPr>
          <w:rFonts w:asciiTheme="majorBidi" w:hAnsiTheme="majorBidi" w:cstheme="majorBidi"/>
          <w:color w:val="auto"/>
          <w:sz w:val="26"/>
          <w:szCs w:val="26"/>
        </w:rPr>
        <w:t xml:space="preserve">a </w:t>
      </w:r>
      <w:r w:rsidR="00097A0E" w:rsidRPr="00B725B6">
        <w:rPr>
          <w:rFonts w:asciiTheme="majorBidi" w:hAnsiTheme="majorBidi" w:cstheme="majorBidi"/>
          <w:color w:val="auto"/>
          <w:sz w:val="26"/>
          <w:szCs w:val="26"/>
        </w:rPr>
        <w:t xml:space="preserve">good presentation </w:t>
      </w:r>
      <w:r w:rsidR="009076E0">
        <w:rPr>
          <w:rFonts w:asciiTheme="majorBidi" w:hAnsiTheme="majorBidi" w:cstheme="majorBidi"/>
          <w:color w:val="auto"/>
          <w:sz w:val="26"/>
          <w:szCs w:val="26"/>
        </w:rPr>
        <w:t>of</w:t>
      </w:r>
      <w:r w:rsidR="009076E0" w:rsidRPr="00B725B6">
        <w:rPr>
          <w:rFonts w:asciiTheme="majorBidi" w:hAnsiTheme="majorBidi" w:cstheme="majorBidi"/>
          <w:color w:val="auto"/>
          <w:sz w:val="26"/>
          <w:szCs w:val="26"/>
        </w:rPr>
        <w:t xml:space="preserve"> </w:t>
      </w:r>
      <w:r w:rsidR="009076E0">
        <w:rPr>
          <w:rFonts w:asciiTheme="majorBidi" w:hAnsiTheme="majorBidi" w:cstheme="majorBidi"/>
          <w:color w:val="auto"/>
          <w:sz w:val="26"/>
          <w:szCs w:val="26"/>
        </w:rPr>
        <w:t xml:space="preserve">the </w:t>
      </w:r>
      <w:r w:rsidR="00097A0E" w:rsidRPr="00B725B6">
        <w:rPr>
          <w:rFonts w:asciiTheme="majorBidi" w:hAnsiTheme="majorBidi" w:cstheme="majorBidi"/>
          <w:color w:val="auto"/>
          <w:sz w:val="26"/>
          <w:szCs w:val="26"/>
        </w:rPr>
        <w:t>data</w:t>
      </w:r>
      <w:r w:rsidR="00C80A1B">
        <w:rPr>
          <w:rFonts w:asciiTheme="majorBidi" w:hAnsiTheme="majorBidi" w:cstheme="majorBidi"/>
          <w:color w:val="auto"/>
          <w:sz w:val="26"/>
          <w:szCs w:val="26"/>
        </w:rPr>
        <w:t>,</w:t>
      </w:r>
      <w:r w:rsidR="00097A0E" w:rsidRPr="00B725B6">
        <w:rPr>
          <w:rFonts w:asciiTheme="majorBidi" w:hAnsiTheme="majorBidi" w:cstheme="majorBidi"/>
          <w:color w:val="auto"/>
          <w:sz w:val="26"/>
          <w:szCs w:val="26"/>
        </w:rPr>
        <w:t xml:space="preserve"> and we can process the data </w:t>
      </w:r>
      <w:r w:rsidR="008572A5" w:rsidRPr="00B725B6">
        <w:rPr>
          <w:rFonts w:asciiTheme="majorBidi" w:hAnsiTheme="majorBidi" w:cstheme="majorBidi"/>
          <w:color w:val="auto"/>
          <w:sz w:val="26"/>
          <w:szCs w:val="26"/>
        </w:rPr>
        <w:t xml:space="preserve">for analysis. </w:t>
      </w:r>
      <w:r w:rsidR="00097A0E" w:rsidRPr="00B725B6">
        <w:rPr>
          <w:rFonts w:asciiTheme="majorBidi" w:hAnsiTheme="majorBidi" w:cstheme="majorBidi"/>
          <w:color w:val="auto"/>
          <w:sz w:val="26"/>
          <w:szCs w:val="26"/>
        </w:rPr>
        <w:t xml:space="preserve">   </w:t>
      </w:r>
    </w:p>
    <w:p w14:paraId="3553D832" w14:textId="32B7B053" w:rsidR="00717FBB" w:rsidRPr="00B725B6" w:rsidRDefault="00717FBB" w:rsidP="00B725B6">
      <w:pPr>
        <w:autoSpaceDE w:val="0"/>
        <w:autoSpaceDN w:val="0"/>
        <w:adjustRightInd w:val="0"/>
        <w:spacing w:after="0" w:line="360" w:lineRule="exact"/>
        <w:jc w:val="both"/>
        <w:rPr>
          <w:rFonts w:ascii="Times New Roman" w:hAnsi="Times New Roman"/>
          <w:sz w:val="26"/>
          <w:szCs w:val="26"/>
        </w:rPr>
      </w:pPr>
    </w:p>
    <w:p w14:paraId="57DCB285" w14:textId="38FA222D" w:rsidR="00314A1C" w:rsidRPr="00B725B6" w:rsidRDefault="003A2A39" w:rsidP="00B725B6">
      <w:pPr>
        <w:tabs>
          <w:tab w:val="left" w:pos="4536"/>
        </w:tabs>
        <w:autoSpaceDE w:val="0"/>
        <w:autoSpaceDN w:val="0"/>
        <w:adjustRightInd w:val="0"/>
        <w:spacing w:after="0" w:line="360" w:lineRule="exact"/>
        <w:jc w:val="both"/>
        <w:rPr>
          <w:rFonts w:ascii="Times New Roman" w:hAnsi="Times New Roman"/>
          <w:b/>
          <w:sz w:val="26"/>
          <w:szCs w:val="26"/>
        </w:rPr>
      </w:pPr>
      <w:r w:rsidRPr="00B725B6">
        <w:rPr>
          <w:rFonts w:ascii="Times New Roman" w:hAnsi="Times New Roman"/>
          <w:b/>
          <w:sz w:val="26"/>
          <w:szCs w:val="26"/>
        </w:rPr>
        <w:t>Measuring</w:t>
      </w:r>
      <w:r w:rsidR="00262C81" w:rsidRPr="00B725B6">
        <w:rPr>
          <w:rFonts w:ascii="Times New Roman" w:hAnsi="Times New Roman"/>
          <w:b/>
          <w:sz w:val="26"/>
          <w:szCs w:val="26"/>
        </w:rPr>
        <w:t xml:space="preserve"> and </w:t>
      </w:r>
      <w:r w:rsidR="00A76FEF" w:rsidRPr="00B725B6">
        <w:rPr>
          <w:rFonts w:ascii="Times New Roman" w:hAnsi="Times New Roman"/>
          <w:b/>
          <w:sz w:val="26"/>
          <w:szCs w:val="26"/>
        </w:rPr>
        <w:t>Analysis of EQ</w:t>
      </w:r>
      <w:r w:rsidR="000273D8" w:rsidRPr="00B725B6">
        <w:rPr>
          <w:rFonts w:ascii="Times New Roman" w:hAnsi="Times New Roman"/>
          <w:b/>
          <w:sz w:val="26"/>
          <w:szCs w:val="26"/>
        </w:rPr>
        <w:t>-</w:t>
      </w:r>
      <w:r w:rsidR="00A76FEF" w:rsidRPr="00B725B6">
        <w:rPr>
          <w:rFonts w:ascii="Times New Roman" w:hAnsi="Times New Roman"/>
          <w:b/>
          <w:sz w:val="26"/>
          <w:szCs w:val="26"/>
        </w:rPr>
        <w:t>PER</w:t>
      </w:r>
      <w:r w:rsidR="001361AB" w:rsidRPr="00B725B6">
        <w:rPr>
          <w:rFonts w:ascii="Times New Roman" w:hAnsi="Times New Roman"/>
          <w:b/>
          <w:sz w:val="26"/>
          <w:szCs w:val="26"/>
        </w:rPr>
        <w:t xml:space="preserve"> and FI</w:t>
      </w:r>
      <w:r w:rsidR="00A76FEF" w:rsidRPr="00B725B6">
        <w:rPr>
          <w:rFonts w:ascii="Times New Roman" w:hAnsi="Times New Roman"/>
          <w:b/>
          <w:sz w:val="26"/>
          <w:szCs w:val="26"/>
        </w:rPr>
        <w:t xml:space="preserve"> </w:t>
      </w:r>
    </w:p>
    <w:p w14:paraId="48B98077" w14:textId="4A48D5ED" w:rsidR="0043345C" w:rsidRPr="00B725B6" w:rsidRDefault="00262C81" w:rsidP="00B725B6">
      <w:pPr>
        <w:spacing w:after="0" w:line="360" w:lineRule="exact"/>
        <w:ind w:firstLine="510"/>
        <w:jc w:val="both"/>
        <w:rPr>
          <w:rFonts w:ascii="Times New Roman" w:hAnsi="Times New Roman"/>
          <w:sz w:val="26"/>
          <w:szCs w:val="26"/>
        </w:rPr>
      </w:pPr>
      <w:r w:rsidRPr="00B725B6">
        <w:rPr>
          <w:rFonts w:ascii="Times New Roman" w:hAnsi="Times New Roman"/>
          <w:sz w:val="26"/>
          <w:szCs w:val="26"/>
        </w:rPr>
        <w:lastRenderedPageBreak/>
        <w:t xml:space="preserve">The required information to calculate the persistence of </w:t>
      </w:r>
      <w:r w:rsidR="000273D8" w:rsidRPr="00B725B6">
        <w:rPr>
          <w:rFonts w:ascii="Times New Roman" w:hAnsi="Times New Roman"/>
          <w:sz w:val="26"/>
          <w:szCs w:val="26"/>
        </w:rPr>
        <w:t xml:space="preserve">EQ </w:t>
      </w:r>
      <w:r w:rsidRPr="00B725B6">
        <w:rPr>
          <w:rFonts w:ascii="Times New Roman" w:hAnsi="Times New Roman"/>
          <w:sz w:val="26"/>
          <w:szCs w:val="26"/>
        </w:rPr>
        <w:t xml:space="preserve">is the NIBE in the current year and in the previous year. Table </w:t>
      </w:r>
      <w:r w:rsidR="00EB7C77" w:rsidRPr="00B725B6">
        <w:rPr>
          <w:rFonts w:ascii="Times New Roman" w:hAnsi="Times New Roman"/>
          <w:sz w:val="26"/>
          <w:szCs w:val="26"/>
        </w:rPr>
        <w:t>4</w:t>
      </w:r>
      <w:r w:rsidRPr="00B725B6">
        <w:rPr>
          <w:rFonts w:ascii="Times New Roman" w:hAnsi="Times New Roman"/>
          <w:sz w:val="26"/>
          <w:szCs w:val="26"/>
        </w:rPr>
        <w:t xml:space="preserve"> shows</w:t>
      </w:r>
      <w:r w:rsidR="00DC053A" w:rsidRPr="00B725B6">
        <w:rPr>
          <w:rFonts w:ascii="Times New Roman" w:hAnsi="Times New Roman"/>
          <w:sz w:val="26"/>
          <w:szCs w:val="26"/>
        </w:rPr>
        <w:t xml:space="preserve"> the mean, </w:t>
      </w:r>
      <w:r w:rsidRPr="00B725B6">
        <w:rPr>
          <w:rFonts w:ascii="Times New Roman" w:hAnsi="Times New Roman"/>
          <w:sz w:val="26"/>
          <w:szCs w:val="26"/>
        </w:rPr>
        <w:t>SD</w:t>
      </w:r>
      <w:r w:rsidR="00C80A1B">
        <w:rPr>
          <w:rFonts w:ascii="Times New Roman" w:hAnsi="Times New Roman"/>
          <w:sz w:val="26"/>
          <w:szCs w:val="26"/>
        </w:rPr>
        <w:t>,</w:t>
      </w:r>
      <w:r w:rsidR="00DC053A" w:rsidRPr="00B725B6">
        <w:rPr>
          <w:rFonts w:ascii="Times New Roman" w:hAnsi="Times New Roman"/>
          <w:sz w:val="26"/>
          <w:szCs w:val="26"/>
        </w:rPr>
        <w:t xml:space="preserve"> and correlation</w:t>
      </w:r>
      <w:r w:rsidRPr="00B725B6">
        <w:rPr>
          <w:rFonts w:ascii="Times New Roman" w:hAnsi="Times New Roman"/>
          <w:sz w:val="26"/>
          <w:szCs w:val="26"/>
        </w:rPr>
        <w:t xml:space="preserve"> of the variables of persistence. </w:t>
      </w:r>
    </w:p>
    <w:p w14:paraId="2879BF0B" w14:textId="77777777" w:rsidR="000243B0" w:rsidRPr="00B725B6" w:rsidRDefault="000243B0" w:rsidP="00B725B6">
      <w:pPr>
        <w:spacing w:after="0" w:line="360" w:lineRule="exact"/>
        <w:ind w:firstLine="360"/>
        <w:jc w:val="both"/>
        <w:rPr>
          <w:rFonts w:ascii="Times New Roman" w:hAnsi="Times New Roman"/>
          <w:sz w:val="26"/>
          <w:szCs w:val="26"/>
        </w:rPr>
      </w:pPr>
    </w:p>
    <w:p w14:paraId="341F4CDB" w14:textId="58135B0D" w:rsidR="00CA3B14" w:rsidRPr="00FA3651" w:rsidRDefault="00CA3B14" w:rsidP="00FA3651">
      <w:pPr>
        <w:snapToGrid w:val="0"/>
        <w:spacing w:afterLines="50" w:after="120" w:line="360" w:lineRule="exact"/>
        <w:jc w:val="both"/>
        <w:rPr>
          <w:rFonts w:asciiTheme="majorBidi" w:hAnsiTheme="majorBidi"/>
          <w:sz w:val="26"/>
        </w:rPr>
      </w:pPr>
      <w:r w:rsidRPr="002E7CAC">
        <w:rPr>
          <w:rFonts w:asciiTheme="majorBidi" w:hAnsiTheme="majorBidi"/>
          <w:b/>
          <w:sz w:val="26"/>
        </w:rPr>
        <w:t xml:space="preserve">Table </w:t>
      </w:r>
      <w:proofErr w:type="gramStart"/>
      <w:r w:rsidRPr="002E7CAC">
        <w:rPr>
          <w:rFonts w:asciiTheme="majorBidi" w:hAnsiTheme="majorBidi"/>
          <w:b/>
          <w:sz w:val="26"/>
        </w:rPr>
        <w:t>4</w:t>
      </w:r>
      <w:r w:rsidR="004465BD" w:rsidRPr="00FA3651">
        <w:rPr>
          <w:rFonts w:asciiTheme="majorBidi" w:hAnsiTheme="majorBidi"/>
          <w:sz w:val="26"/>
        </w:rPr>
        <w:t xml:space="preserve"> </w:t>
      </w:r>
      <w:r w:rsidRPr="00FA3651">
        <w:rPr>
          <w:rFonts w:asciiTheme="majorBidi" w:hAnsiTheme="majorBidi"/>
          <w:sz w:val="26"/>
        </w:rPr>
        <w:t xml:space="preserve"> </w:t>
      </w:r>
      <w:r w:rsidR="00B0379B" w:rsidRPr="002E7CAC">
        <w:rPr>
          <w:rFonts w:asciiTheme="majorBidi" w:hAnsiTheme="majorBidi"/>
          <w:i/>
          <w:sz w:val="26"/>
        </w:rPr>
        <w:t>Descriptive</w:t>
      </w:r>
      <w:proofErr w:type="gramEnd"/>
      <w:r w:rsidR="00B0379B" w:rsidRPr="002E7CAC">
        <w:rPr>
          <w:rFonts w:asciiTheme="majorBidi" w:hAnsiTheme="majorBidi"/>
          <w:i/>
          <w:sz w:val="26"/>
        </w:rPr>
        <w:t xml:space="preserve"> Statistics and Measuring of Earnings P</w:t>
      </w:r>
      <w:r w:rsidRPr="002E7CAC">
        <w:rPr>
          <w:rFonts w:asciiTheme="majorBidi" w:hAnsiTheme="majorBidi"/>
          <w:i/>
          <w:sz w:val="26"/>
        </w:rPr>
        <w:t>ersistence</w:t>
      </w:r>
    </w:p>
    <w:tbl>
      <w:tblPr>
        <w:tblStyle w:val="a9"/>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
        <w:gridCol w:w="1011"/>
        <w:gridCol w:w="1013"/>
        <w:gridCol w:w="1011"/>
        <w:gridCol w:w="1125"/>
        <w:gridCol w:w="1081"/>
        <w:gridCol w:w="1125"/>
        <w:gridCol w:w="1573"/>
      </w:tblGrid>
      <w:tr w:rsidR="007F15D8" w:rsidRPr="00EA76AA" w14:paraId="3FA34EAF" w14:textId="77777777" w:rsidTr="007C66A6">
        <w:trPr>
          <w:trHeight w:val="340"/>
          <w:jc w:val="center"/>
        </w:trPr>
        <w:tc>
          <w:tcPr>
            <w:tcW w:w="603" w:type="pct"/>
            <w:vMerge w:val="restart"/>
            <w:tcBorders>
              <w:top w:val="single" w:sz="4" w:space="0" w:color="auto"/>
            </w:tcBorders>
            <w:vAlign w:val="center"/>
          </w:tcPr>
          <w:p w14:paraId="3C6AB433" w14:textId="77777777" w:rsidR="002E6F92" w:rsidRPr="00EA76AA" w:rsidRDefault="002E6F92" w:rsidP="00B725B6">
            <w:pPr>
              <w:jc w:val="center"/>
              <w:rPr>
                <w:rFonts w:asciiTheme="majorBidi" w:hAnsiTheme="majorBidi" w:cstheme="majorBidi"/>
                <w:sz w:val="20"/>
                <w:szCs w:val="20"/>
              </w:rPr>
            </w:pPr>
          </w:p>
          <w:p w14:paraId="648FEE0E" w14:textId="77777777" w:rsidR="002E6F92" w:rsidRPr="00EA76AA" w:rsidRDefault="002E6F92" w:rsidP="00B725B6">
            <w:pPr>
              <w:jc w:val="center"/>
              <w:rPr>
                <w:rFonts w:asciiTheme="majorBidi" w:hAnsiTheme="majorBidi" w:cstheme="majorBidi"/>
                <w:sz w:val="20"/>
                <w:szCs w:val="20"/>
              </w:rPr>
            </w:pPr>
            <w:r w:rsidRPr="00EA76AA">
              <w:rPr>
                <w:rFonts w:asciiTheme="majorBidi" w:hAnsiTheme="majorBidi" w:cstheme="majorBidi"/>
                <w:sz w:val="20"/>
                <w:szCs w:val="20"/>
              </w:rPr>
              <w:t>Country</w:t>
            </w:r>
          </w:p>
        </w:tc>
        <w:tc>
          <w:tcPr>
            <w:tcW w:w="1121" w:type="pct"/>
            <w:gridSpan w:val="2"/>
            <w:tcBorders>
              <w:top w:val="single" w:sz="4" w:space="0" w:color="auto"/>
            </w:tcBorders>
            <w:vAlign w:val="center"/>
          </w:tcPr>
          <w:p w14:paraId="00AC6DA6" w14:textId="77777777" w:rsidR="002E6F92" w:rsidRPr="00EA76AA" w:rsidRDefault="002E6F92" w:rsidP="00B725B6">
            <w:pPr>
              <w:jc w:val="center"/>
              <w:rPr>
                <w:rFonts w:asciiTheme="majorBidi" w:hAnsiTheme="majorBidi" w:cstheme="majorBidi"/>
                <w:sz w:val="20"/>
                <w:szCs w:val="20"/>
              </w:rPr>
            </w:pPr>
            <w:r w:rsidRPr="00EA76AA">
              <w:rPr>
                <w:rFonts w:asciiTheme="majorBidi" w:hAnsiTheme="majorBidi" w:cstheme="majorBidi"/>
                <w:sz w:val="20"/>
                <w:szCs w:val="20"/>
              </w:rPr>
              <w:t>NBIE</w:t>
            </w:r>
          </w:p>
        </w:tc>
        <w:tc>
          <w:tcPr>
            <w:tcW w:w="1183" w:type="pct"/>
            <w:gridSpan w:val="2"/>
            <w:tcBorders>
              <w:top w:val="single" w:sz="4" w:space="0" w:color="auto"/>
            </w:tcBorders>
            <w:vAlign w:val="center"/>
          </w:tcPr>
          <w:p w14:paraId="71F7359F" w14:textId="77777777" w:rsidR="002E6F92" w:rsidRPr="00EA76AA" w:rsidRDefault="002E6F92" w:rsidP="00B725B6">
            <w:pPr>
              <w:jc w:val="center"/>
              <w:rPr>
                <w:rFonts w:asciiTheme="majorBidi" w:hAnsiTheme="majorBidi" w:cstheme="majorBidi"/>
                <w:sz w:val="20"/>
                <w:szCs w:val="20"/>
              </w:rPr>
            </w:pPr>
            <w:r w:rsidRPr="00EA76AA">
              <w:rPr>
                <w:rFonts w:asciiTheme="majorBidi" w:hAnsiTheme="majorBidi" w:cstheme="majorBidi"/>
                <w:sz w:val="20"/>
                <w:szCs w:val="20"/>
              </w:rPr>
              <w:t>NBIE-1</w:t>
            </w:r>
          </w:p>
        </w:tc>
        <w:tc>
          <w:tcPr>
            <w:tcW w:w="599" w:type="pct"/>
            <w:vMerge w:val="restart"/>
            <w:tcBorders>
              <w:top w:val="single" w:sz="4" w:space="0" w:color="auto"/>
            </w:tcBorders>
            <w:vAlign w:val="center"/>
          </w:tcPr>
          <w:p w14:paraId="33D0F712" w14:textId="77777777" w:rsidR="002E6F92" w:rsidRPr="00EA76AA" w:rsidRDefault="002E6F92" w:rsidP="00B725B6">
            <w:pPr>
              <w:jc w:val="center"/>
              <w:rPr>
                <w:rFonts w:asciiTheme="majorBidi" w:hAnsiTheme="majorBidi" w:cstheme="majorBidi"/>
                <w:sz w:val="20"/>
                <w:szCs w:val="20"/>
              </w:rPr>
            </w:pPr>
            <w:r w:rsidRPr="00EA76AA">
              <w:rPr>
                <w:rFonts w:asciiTheme="majorBidi" w:hAnsiTheme="majorBidi" w:cstheme="majorBidi"/>
                <w:sz w:val="20"/>
                <w:szCs w:val="20"/>
              </w:rPr>
              <w:t>R</w:t>
            </w:r>
          </w:p>
        </w:tc>
        <w:tc>
          <w:tcPr>
            <w:tcW w:w="623" w:type="pct"/>
            <w:vMerge w:val="restart"/>
            <w:tcBorders>
              <w:top w:val="single" w:sz="4" w:space="0" w:color="auto"/>
            </w:tcBorders>
            <w:vAlign w:val="center"/>
          </w:tcPr>
          <w:p w14:paraId="72A3388A" w14:textId="77777777" w:rsidR="002E6F92" w:rsidRPr="00EA76AA" w:rsidRDefault="002E6F92" w:rsidP="00B725B6">
            <w:pPr>
              <w:jc w:val="center"/>
              <w:rPr>
                <w:rFonts w:asciiTheme="majorBidi" w:hAnsiTheme="majorBidi" w:cstheme="majorBidi"/>
                <w:sz w:val="20"/>
                <w:szCs w:val="20"/>
              </w:rPr>
            </w:pPr>
            <w:r w:rsidRPr="00EA76AA">
              <w:rPr>
                <w:rFonts w:asciiTheme="majorBidi" w:hAnsiTheme="majorBidi" w:cstheme="majorBidi"/>
                <w:sz w:val="20"/>
                <w:szCs w:val="20"/>
              </w:rPr>
              <w:t>P-value</w:t>
            </w:r>
          </w:p>
        </w:tc>
        <w:tc>
          <w:tcPr>
            <w:tcW w:w="872" w:type="pct"/>
            <w:vMerge w:val="restart"/>
            <w:tcBorders>
              <w:top w:val="single" w:sz="4" w:space="0" w:color="auto"/>
            </w:tcBorders>
            <w:vAlign w:val="center"/>
          </w:tcPr>
          <w:p w14:paraId="7ABCFF83" w14:textId="77777777" w:rsidR="002E6F92" w:rsidRPr="00EA76AA" w:rsidRDefault="002E6F92" w:rsidP="00B725B6">
            <w:pPr>
              <w:jc w:val="center"/>
              <w:rPr>
                <w:rFonts w:asciiTheme="majorBidi" w:hAnsiTheme="majorBidi" w:cstheme="majorBidi"/>
                <w:sz w:val="20"/>
                <w:szCs w:val="20"/>
              </w:rPr>
            </w:pPr>
            <w:r w:rsidRPr="00EA76AA">
              <w:rPr>
                <w:rFonts w:asciiTheme="majorBidi" w:hAnsiTheme="majorBidi" w:cstheme="majorBidi"/>
                <w:sz w:val="20"/>
                <w:szCs w:val="20"/>
              </w:rPr>
              <w:t>EQ(PER): β</w:t>
            </w:r>
          </w:p>
        </w:tc>
      </w:tr>
      <w:tr w:rsidR="007F15D8" w:rsidRPr="00EA76AA" w14:paraId="4C8B62EF" w14:textId="77777777" w:rsidTr="007C66A6">
        <w:trPr>
          <w:trHeight w:val="340"/>
          <w:jc w:val="center"/>
        </w:trPr>
        <w:tc>
          <w:tcPr>
            <w:tcW w:w="603" w:type="pct"/>
            <w:vMerge/>
            <w:tcBorders>
              <w:bottom w:val="single" w:sz="4" w:space="0" w:color="auto"/>
            </w:tcBorders>
            <w:vAlign w:val="center"/>
          </w:tcPr>
          <w:p w14:paraId="770E606B" w14:textId="77777777" w:rsidR="002E6F92" w:rsidRPr="00EA76AA" w:rsidRDefault="002E6F92" w:rsidP="00B725B6">
            <w:pPr>
              <w:jc w:val="center"/>
              <w:rPr>
                <w:rFonts w:asciiTheme="majorBidi" w:hAnsiTheme="majorBidi" w:cstheme="majorBidi"/>
                <w:sz w:val="20"/>
                <w:szCs w:val="20"/>
              </w:rPr>
            </w:pPr>
          </w:p>
        </w:tc>
        <w:tc>
          <w:tcPr>
            <w:tcW w:w="560" w:type="pct"/>
            <w:tcBorders>
              <w:bottom w:val="single" w:sz="4" w:space="0" w:color="auto"/>
            </w:tcBorders>
            <w:vAlign w:val="center"/>
          </w:tcPr>
          <w:p w14:paraId="7D95E8B2" w14:textId="77777777" w:rsidR="002E6F92" w:rsidRPr="00EA76AA" w:rsidRDefault="002E6F92" w:rsidP="00B725B6">
            <w:pPr>
              <w:jc w:val="center"/>
              <w:rPr>
                <w:rFonts w:asciiTheme="majorBidi" w:hAnsiTheme="majorBidi" w:cstheme="majorBidi"/>
                <w:sz w:val="20"/>
                <w:szCs w:val="20"/>
              </w:rPr>
            </w:pPr>
            <w:r w:rsidRPr="00EA76AA">
              <w:rPr>
                <w:rFonts w:asciiTheme="majorBidi" w:hAnsiTheme="majorBidi" w:cstheme="majorBidi"/>
                <w:sz w:val="20"/>
                <w:szCs w:val="20"/>
              </w:rPr>
              <w:t>Mean</w:t>
            </w:r>
          </w:p>
        </w:tc>
        <w:tc>
          <w:tcPr>
            <w:tcW w:w="560" w:type="pct"/>
            <w:tcBorders>
              <w:bottom w:val="single" w:sz="4" w:space="0" w:color="auto"/>
            </w:tcBorders>
            <w:vAlign w:val="center"/>
          </w:tcPr>
          <w:p w14:paraId="7B0CF05E" w14:textId="77777777" w:rsidR="002E6F92" w:rsidRPr="00EA76AA" w:rsidRDefault="002E6F92" w:rsidP="00B725B6">
            <w:pPr>
              <w:jc w:val="center"/>
              <w:rPr>
                <w:rFonts w:asciiTheme="majorBidi" w:hAnsiTheme="majorBidi" w:cstheme="majorBidi"/>
                <w:sz w:val="20"/>
                <w:szCs w:val="20"/>
              </w:rPr>
            </w:pPr>
            <w:r w:rsidRPr="00EA76AA">
              <w:rPr>
                <w:rFonts w:asciiTheme="majorBidi" w:hAnsiTheme="majorBidi" w:cstheme="majorBidi"/>
                <w:sz w:val="20"/>
                <w:szCs w:val="20"/>
              </w:rPr>
              <w:t>SD</w:t>
            </w:r>
          </w:p>
        </w:tc>
        <w:tc>
          <w:tcPr>
            <w:tcW w:w="560" w:type="pct"/>
            <w:tcBorders>
              <w:bottom w:val="single" w:sz="4" w:space="0" w:color="auto"/>
            </w:tcBorders>
            <w:vAlign w:val="center"/>
          </w:tcPr>
          <w:p w14:paraId="3A6E4228" w14:textId="77777777" w:rsidR="002E6F92" w:rsidRPr="00EA76AA" w:rsidRDefault="002E6F92" w:rsidP="00B725B6">
            <w:pPr>
              <w:jc w:val="center"/>
              <w:rPr>
                <w:rFonts w:asciiTheme="majorBidi" w:hAnsiTheme="majorBidi" w:cstheme="majorBidi"/>
                <w:sz w:val="20"/>
                <w:szCs w:val="20"/>
              </w:rPr>
            </w:pPr>
            <w:r w:rsidRPr="00EA76AA">
              <w:rPr>
                <w:rFonts w:asciiTheme="majorBidi" w:hAnsiTheme="majorBidi" w:cstheme="majorBidi"/>
                <w:sz w:val="20"/>
                <w:szCs w:val="20"/>
              </w:rPr>
              <w:t>Mean</w:t>
            </w:r>
          </w:p>
        </w:tc>
        <w:tc>
          <w:tcPr>
            <w:tcW w:w="623" w:type="pct"/>
            <w:tcBorders>
              <w:bottom w:val="single" w:sz="4" w:space="0" w:color="auto"/>
            </w:tcBorders>
            <w:vAlign w:val="center"/>
          </w:tcPr>
          <w:p w14:paraId="32ECC3AF" w14:textId="77777777" w:rsidR="002E6F92" w:rsidRPr="00EA76AA" w:rsidRDefault="002E6F92" w:rsidP="00B725B6">
            <w:pPr>
              <w:jc w:val="center"/>
              <w:rPr>
                <w:rFonts w:asciiTheme="majorBidi" w:hAnsiTheme="majorBidi" w:cstheme="majorBidi"/>
                <w:sz w:val="20"/>
                <w:szCs w:val="20"/>
              </w:rPr>
            </w:pPr>
            <w:r w:rsidRPr="00EA76AA">
              <w:rPr>
                <w:rFonts w:asciiTheme="majorBidi" w:hAnsiTheme="majorBidi" w:cstheme="majorBidi"/>
                <w:sz w:val="20"/>
                <w:szCs w:val="20"/>
              </w:rPr>
              <w:t>SD</w:t>
            </w:r>
          </w:p>
        </w:tc>
        <w:tc>
          <w:tcPr>
            <w:tcW w:w="599" w:type="pct"/>
            <w:vMerge/>
            <w:tcBorders>
              <w:bottom w:val="single" w:sz="4" w:space="0" w:color="auto"/>
            </w:tcBorders>
            <w:vAlign w:val="center"/>
          </w:tcPr>
          <w:p w14:paraId="401BF188" w14:textId="77777777" w:rsidR="002E6F92" w:rsidRPr="00EA76AA" w:rsidRDefault="002E6F92" w:rsidP="00B725B6">
            <w:pPr>
              <w:jc w:val="center"/>
              <w:rPr>
                <w:rFonts w:asciiTheme="majorBidi" w:hAnsiTheme="majorBidi" w:cstheme="majorBidi"/>
                <w:sz w:val="20"/>
                <w:szCs w:val="20"/>
              </w:rPr>
            </w:pPr>
          </w:p>
        </w:tc>
        <w:tc>
          <w:tcPr>
            <w:tcW w:w="623" w:type="pct"/>
            <w:vMerge/>
            <w:tcBorders>
              <w:bottom w:val="single" w:sz="4" w:space="0" w:color="auto"/>
            </w:tcBorders>
            <w:vAlign w:val="center"/>
          </w:tcPr>
          <w:p w14:paraId="0B0DC9E6" w14:textId="77777777" w:rsidR="002E6F92" w:rsidRPr="00EA76AA" w:rsidRDefault="002E6F92" w:rsidP="00B725B6">
            <w:pPr>
              <w:jc w:val="center"/>
              <w:rPr>
                <w:rFonts w:asciiTheme="majorBidi" w:hAnsiTheme="majorBidi" w:cstheme="majorBidi"/>
                <w:sz w:val="20"/>
                <w:szCs w:val="20"/>
              </w:rPr>
            </w:pPr>
          </w:p>
        </w:tc>
        <w:tc>
          <w:tcPr>
            <w:tcW w:w="872" w:type="pct"/>
            <w:vMerge/>
            <w:tcBorders>
              <w:bottom w:val="single" w:sz="4" w:space="0" w:color="auto"/>
            </w:tcBorders>
            <w:vAlign w:val="center"/>
          </w:tcPr>
          <w:p w14:paraId="2B0727B7" w14:textId="77777777" w:rsidR="002E6F92" w:rsidRPr="00EA76AA" w:rsidRDefault="002E6F92" w:rsidP="00B725B6">
            <w:pPr>
              <w:jc w:val="center"/>
              <w:rPr>
                <w:rFonts w:asciiTheme="majorBidi" w:hAnsiTheme="majorBidi" w:cstheme="majorBidi"/>
                <w:sz w:val="20"/>
                <w:szCs w:val="20"/>
              </w:rPr>
            </w:pPr>
          </w:p>
        </w:tc>
      </w:tr>
      <w:tr w:rsidR="007F15D8" w:rsidRPr="00EA76AA" w14:paraId="12A9FE70" w14:textId="77777777" w:rsidTr="007C66A6">
        <w:trPr>
          <w:trHeight w:val="340"/>
          <w:jc w:val="center"/>
        </w:trPr>
        <w:tc>
          <w:tcPr>
            <w:tcW w:w="603" w:type="pct"/>
            <w:tcBorders>
              <w:top w:val="single" w:sz="4" w:space="0" w:color="auto"/>
              <w:bottom w:val="single" w:sz="4" w:space="0" w:color="auto"/>
            </w:tcBorders>
            <w:vAlign w:val="center"/>
          </w:tcPr>
          <w:p w14:paraId="1A5F414B" w14:textId="77777777" w:rsidR="002E6F92" w:rsidRPr="00EA76AA" w:rsidRDefault="002E6F92" w:rsidP="00B725B6">
            <w:pPr>
              <w:jc w:val="center"/>
              <w:rPr>
                <w:rFonts w:asciiTheme="majorBidi" w:hAnsiTheme="majorBidi" w:cstheme="majorBidi"/>
                <w:sz w:val="20"/>
                <w:szCs w:val="20"/>
              </w:rPr>
            </w:pPr>
            <w:r w:rsidRPr="00EA76AA">
              <w:rPr>
                <w:rFonts w:asciiTheme="majorBidi" w:hAnsiTheme="majorBidi" w:cstheme="majorBidi"/>
                <w:sz w:val="20"/>
                <w:szCs w:val="20"/>
              </w:rPr>
              <w:t>KSA</w:t>
            </w:r>
          </w:p>
        </w:tc>
        <w:tc>
          <w:tcPr>
            <w:tcW w:w="560" w:type="pct"/>
            <w:tcBorders>
              <w:top w:val="single" w:sz="4" w:space="0" w:color="auto"/>
              <w:bottom w:val="single" w:sz="4" w:space="0" w:color="auto"/>
            </w:tcBorders>
            <w:vAlign w:val="center"/>
          </w:tcPr>
          <w:p w14:paraId="5358A540" w14:textId="77777777" w:rsidR="002E6F92" w:rsidRPr="00EA76AA" w:rsidRDefault="002E6F92" w:rsidP="00B725B6">
            <w:pPr>
              <w:jc w:val="center"/>
              <w:rPr>
                <w:rFonts w:asciiTheme="majorBidi" w:hAnsiTheme="majorBidi" w:cstheme="majorBidi"/>
                <w:sz w:val="20"/>
                <w:szCs w:val="20"/>
              </w:rPr>
            </w:pPr>
            <w:r w:rsidRPr="00EA76AA">
              <w:rPr>
                <w:rFonts w:asciiTheme="majorBidi" w:hAnsiTheme="majorBidi" w:cstheme="majorBidi"/>
                <w:sz w:val="20"/>
                <w:szCs w:val="20"/>
              </w:rPr>
              <w:t>1.61</w:t>
            </w:r>
          </w:p>
        </w:tc>
        <w:tc>
          <w:tcPr>
            <w:tcW w:w="560" w:type="pct"/>
            <w:tcBorders>
              <w:top w:val="single" w:sz="4" w:space="0" w:color="auto"/>
              <w:bottom w:val="single" w:sz="4" w:space="0" w:color="auto"/>
            </w:tcBorders>
            <w:vAlign w:val="center"/>
          </w:tcPr>
          <w:p w14:paraId="0AC85B46" w14:textId="77777777" w:rsidR="002E6F92" w:rsidRPr="00EA76AA" w:rsidRDefault="002E6F92" w:rsidP="00B725B6">
            <w:pPr>
              <w:jc w:val="center"/>
              <w:rPr>
                <w:rFonts w:asciiTheme="majorBidi" w:hAnsiTheme="majorBidi" w:cstheme="majorBidi"/>
                <w:sz w:val="20"/>
                <w:szCs w:val="20"/>
              </w:rPr>
            </w:pPr>
            <w:r w:rsidRPr="00EA76AA">
              <w:rPr>
                <w:rFonts w:asciiTheme="majorBidi" w:hAnsiTheme="majorBidi" w:cstheme="majorBidi"/>
                <w:sz w:val="20"/>
                <w:szCs w:val="20"/>
              </w:rPr>
              <w:t>0.784</w:t>
            </w:r>
          </w:p>
        </w:tc>
        <w:tc>
          <w:tcPr>
            <w:tcW w:w="560" w:type="pct"/>
            <w:tcBorders>
              <w:top w:val="single" w:sz="4" w:space="0" w:color="auto"/>
              <w:bottom w:val="single" w:sz="4" w:space="0" w:color="auto"/>
            </w:tcBorders>
            <w:vAlign w:val="center"/>
          </w:tcPr>
          <w:p w14:paraId="436249CC" w14:textId="77777777" w:rsidR="002E6F92" w:rsidRPr="00EA76AA" w:rsidRDefault="002E6F92" w:rsidP="00B725B6">
            <w:pPr>
              <w:jc w:val="center"/>
              <w:rPr>
                <w:rFonts w:asciiTheme="majorBidi" w:hAnsiTheme="majorBidi" w:cstheme="majorBidi"/>
                <w:sz w:val="20"/>
                <w:szCs w:val="20"/>
              </w:rPr>
            </w:pPr>
            <w:r w:rsidRPr="00EA76AA">
              <w:rPr>
                <w:rFonts w:asciiTheme="majorBidi" w:hAnsiTheme="majorBidi" w:cstheme="majorBidi"/>
                <w:sz w:val="20"/>
                <w:szCs w:val="20"/>
              </w:rPr>
              <w:t>2.32</w:t>
            </w:r>
          </w:p>
        </w:tc>
        <w:tc>
          <w:tcPr>
            <w:tcW w:w="623" w:type="pct"/>
            <w:tcBorders>
              <w:top w:val="single" w:sz="4" w:space="0" w:color="auto"/>
              <w:bottom w:val="single" w:sz="4" w:space="0" w:color="auto"/>
            </w:tcBorders>
            <w:vAlign w:val="center"/>
          </w:tcPr>
          <w:p w14:paraId="2CB5E7E2" w14:textId="77777777" w:rsidR="002E6F92" w:rsidRPr="00EA76AA" w:rsidRDefault="002E6F92" w:rsidP="00B725B6">
            <w:pPr>
              <w:jc w:val="center"/>
              <w:rPr>
                <w:rFonts w:asciiTheme="majorBidi" w:hAnsiTheme="majorBidi" w:cstheme="majorBidi"/>
                <w:sz w:val="20"/>
                <w:szCs w:val="20"/>
              </w:rPr>
            </w:pPr>
            <w:r w:rsidRPr="00EA76AA">
              <w:rPr>
                <w:rFonts w:asciiTheme="majorBidi" w:hAnsiTheme="majorBidi" w:cstheme="majorBidi"/>
                <w:sz w:val="20"/>
                <w:szCs w:val="20"/>
              </w:rPr>
              <w:t>12.89</w:t>
            </w:r>
          </w:p>
        </w:tc>
        <w:tc>
          <w:tcPr>
            <w:tcW w:w="599" w:type="pct"/>
            <w:tcBorders>
              <w:top w:val="single" w:sz="4" w:space="0" w:color="auto"/>
              <w:bottom w:val="single" w:sz="4" w:space="0" w:color="auto"/>
            </w:tcBorders>
            <w:vAlign w:val="center"/>
          </w:tcPr>
          <w:p w14:paraId="598D9B99" w14:textId="77777777" w:rsidR="002E6F92" w:rsidRPr="00EA76AA" w:rsidRDefault="002E6F92" w:rsidP="00B725B6">
            <w:pPr>
              <w:jc w:val="center"/>
              <w:rPr>
                <w:rFonts w:asciiTheme="majorBidi" w:hAnsiTheme="majorBidi" w:cstheme="majorBidi"/>
                <w:sz w:val="20"/>
                <w:szCs w:val="20"/>
              </w:rPr>
            </w:pPr>
            <w:r w:rsidRPr="00EA76AA">
              <w:rPr>
                <w:rFonts w:asciiTheme="majorBidi" w:hAnsiTheme="majorBidi" w:cstheme="majorBidi"/>
                <w:sz w:val="20"/>
                <w:szCs w:val="20"/>
              </w:rPr>
              <w:t>0.329**</w:t>
            </w:r>
          </w:p>
        </w:tc>
        <w:tc>
          <w:tcPr>
            <w:tcW w:w="623" w:type="pct"/>
            <w:tcBorders>
              <w:top w:val="single" w:sz="4" w:space="0" w:color="auto"/>
              <w:bottom w:val="single" w:sz="4" w:space="0" w:color="auto"/>
            </w:tcBorders>
            <w:vAlign w:val="center"/>
          </w:tcPr>
          <w:p w14:paraId="289715E6" w14:textId="77777777" w:rsidR="002E6F92" w:rsidRPr="00EA76AA" w:rsidRDefault="002E6F92" w:rsidP="00B725B6">
            <w:pPr>
              <w:jc w:val="center"/>
              <w:rPr>
                <w:rFonts w:asciiTheme="majorBidi" w:hAnsiTheme="majorBidi" w:cstheme="majorBidi"/>
                <w:sz w:val="20"/>
                <w:szCs w:val="20"/>
              </w:rPr>
            </w:pPr>
            <w:r w:rsidRPr="00EA76AA">
              <w:rPr>
                <w:rFonts w:asciiTheme="majorBidi" w:hAnsiTheme="majorBidi" w:cstheme="majorBidi"/>
                <w:sz w:val="20"/>
                <w:szCs w:val="20"/>
              </w:rPr>
              <w:t>0.000</w:t>
            </w:r>
          </w:p>
        </w:tc>
        <w:tc>
          <w:tcPr>
            <w:tcW w:w="872" w:type="pct"/>
            <w:tcBorders>
              <w:top w:val="single" w:sz="4" w:space="0" w:color="auto"/>
              <w:bottom w:val="single" w:sz="4" w:space="0" w:color="auto"/>
            </w:tcBorders>
            <w:vAlign w:val="center"/>
          </w:tcPr>
          <w:p w14:paraId="472FDFD0" w14:textId="77777777" w:rsidR="002E6F92" w:rsidRPr="00EA76AA" w:rsidRDefault="002E6F92" w:rsidP="00B725B6">
            <w:pPr>
              <w:jc w:val="center"/>
              <w:rPr>
                <w:rFonts w:asciiTheme="majorBidi" w:hAnsiTheme="majorBidi" w:cstheme="majorBidi"/>
                <w:sz w:val="20"/>
                <w:szCs w:val="20"/>
              </w:rPr>
            </w:pPr>
            <w:r w:rsidRPr="00EA76AA">
              <w:rPr>
                <w:rFonts w:asciiTheme="majorBidi" w:hAnsiTheme="majorBidi" w:cstheme="majorBidi"/>
                <w:sz w:val="20"/>
                <w:szCs w:val="20"/>
              </w:rPr>
              <w:t>0.333**</w:t>
            </w:r>
          </w:p>
        </w:tc>
      </w:tr>
      <w:tr w:rsidR="007F15D8" w:rsidRPr="00EA76AA" w14:paraId="2A7FA206" w14:textId="77777777" w:rsidTr="007C66A6">
        <w:trPr>
          <w:trHeight w:val="340"/>
          <w:jc w:val="center"/>
        </w:trPr>
        <w:tc>
          <w:tcPr>
            <w:tcW w:w="603" w:type="pct"/>
            <w:tcBorders>
              <w:top w:val="single" w:sz="4" w:space="0" w:color="auto"/>
              <w:bottom w:val="single" w:sz="4" w:space="0" w:color="auto"/>
            </w:tcBorders>
            <w:vAlign w:val="center"/>
          </w:tcPr>
          <w:p w14:paraId="1E92DA4B" w14:textId="77777777" w:rsidR="002E6F92" w:rsidRPr="00EA76AA" w:rsidRDefault="002E6F92" w:rsidP="00B725B6">
            <w:pPr>
              <w:jc w:val="center"/>
              <w:rPr>
                <w:rFonts w:asciiTheme="majorBidi" w:hAnsiTheme="majorBidi" w:cstheme="majorBidi"/>
                <w:sz w:val="20"/>
                <w:szCs w:val="20"/>
              </w:rPr>
            </w:pPr>
            <w:r w:rsidRPr="00EA76AA">
              <w:rPr>
                <w:rFonts w:asciiTheme="majorBidi" w:hAnsiTheme="majorBidi" w:cstheme="majorBidi"/>
                <w:sz w:val="20"/>
                <w:szCs w:val="20"/>
              </w:rPr>
              <w:t>OMN</w:t>
            </w:r>
          </w:p>
        </w:tc>
        <w:tc>
          <w:tcPr>
            <w:tcW w:w="560" w:type="pct"/>
            <w:tcBorders>
              <w:top w:val="single" w:sz="4" w:space="0" w:color="auto"/>
              <w:bottom w:val="single" w:sz="4" w:space="0" w:color="auto"/>
            </w:tcBorders>
            <w:vAlign w:val="center"/>
          </w:tcPr>
          <w:p w14:paraId="02CD2D4A" w14:textId="77777777" w:rsidR="002E6F92" w:rsidRPr="00EA76AA" w:rsidRDefault="002E6F92" w:rsidP="00B725B6">
            <w:pPr>
              <w:jc w:val="center"/>
              <w:rPr>
                <w:rFonts w:asciiTheme="majorBidi" w:hAnsiTheme="majorBidi" w:cstheme="majorBidi"/>
                <w:sz w:val="20"/>
                <w:szCs w:val="20"/>
              </w:rPr>
            </w:pPr>
            <w:r w:rsidRPr="00EA76AA">
              <w:rPr>
                <w:rFonts w:asciiTheme="majorBidi" w:hAnsiTheme="majorBidi" w:cstheme="majorBidi"/>
                <w:sz w:val="20"/>
                <w:szCs w:val="20"/>
              </w:rPr>
              <w:t>0.615</w:t>
            </w:r>
          </w:p>
        </w:tc>
        <w:tc>
          <w:tcPr>
            <w:tcW w:w="560" w:type="pct"/>
            <w:tcBorders>
              <w:top w:val="single" w:sz="4" w:space="0" w:color="auto"/>
              <w:bottom w:val="single" w:sz="4" w:space="0" w:color="auto"/>
            </w:tcBorders>
            <w:vAlign w:val="center"/>
          </w:tcPr>
          <w:p w14:paraId="144F32A6" w14:textId="77777777" w:rsidR="002E6F92" w:rsidRPr="00EA76AA" w:rsidRDefault="002E6F92" w:rsidP="00B725B6">
            <w:pPr>
              <w:jc w:val="center"/>
              <w:rPr>
                <w:rFonts w:asciiTheme="majorBidi" w:hAnsiTheme="majorBidi" w:cstheme="majorBidi"/>
                <w:sz w:val="20"/>
                <w:szCs w:val="20"/>
              </w:rPr>
            </w:pPr>
            <w:r w:rsidRPr="00EA76AA">
              <w:rPr>
                <w:rFonts w:asciiTheme="majorBidi" w:hAnsiTheme="majorBidi" w:cstheme="majorBidi"/>
                <w:sz w:val="20"/>
                <w:szCs w:val="20"/>
              </w:rPr>
              <w:t>0.738</w:t>
            </w:r>
          </w:p>
        </w:tc>
        <w:tc>
          <w:tcPr>
            <w:tcW w:w="560" w:type="pct"/>
            <w:tcBorders>
              <w:top w:val="single" w:sz="4" w:space="0" w:color="auto"/>
              <w:bottom w:val="single" w:sz="4" w:space="0" w:color="auto"/>
            </w:tcBorders>
            <w:vAlign w:val="center"/>
          </w:tcPr>
          <w:p w14:paraId="3D56B7B7" w14:textId="77777777" w:rsidR="002E6F92" w:rsidRPr="00EA76AA" w:rsidRDefault="002E6F92" w:rsidP="00B725B6">
            <w:pPr>
              <w:jc w:val="center"/>
              <w:rPr>
                <w:rFonts w:asciiTheme="majorBidi" w:hAnsiTheme="majorBidi" w:cstheme="majorBidi"/>
                <w:sz w:val="20"/>
                <w:szCs w:val="20"/>
              </w:rPr>
            </w:pPr>
            <w:r w:rsidRPr="00EA76AA">
              <w:rPr>
                <w:rFonts w:asciiTheme="majorBidi" w:hAnsiTheme="majorBidi" w:cstheme="majorBidi"/>
                <w:sz w:val="20"/>
                <w:szCs w:val="20"/>
              </w:rPr>
              <w:t>0.084</w:t>
            </w:r>
          </w:p>
        </w:tc>
        <w:tc>
          <w:tcPr>
            <w:tcW w:w="623" w:type="pct"/>
            <w:tcBorders>
              <w:top w:val="single" w:sz="4" w:space="0" w:color="auto"/>
              <w:bottom w:val="single" w:sz="4" w:space="0" w:color="auto"/>
            </w:tcBorders>
            <w:vAlign w:val="center"/>
          </w:tcPr>
          <w:p w14:paraId="42D2B4CE" w14:textId="77777777" w:rsidR="002E6F92" w:rsidRPr="00EA76AA" w:rsidRDefault="002E6F92" w:rsidP="00B725B6">
            <w:pPr>
              <w:jc w:val="center"/>
              <w:rPr>
                <w:rFonts w:asciiTheme="majorBidi" w:hAnsiTheme="majorBidi" w:cstheme="majorBidi"/>
                <w:sz w:val="20"/>
                <w:szCs w:val="20"/>
              </w:rPr>
            </w:pPr>
            <w:r w:rsidRPr="00EA76AA">
              <w:rPr>
                <w:rFonts w:asciiTheme="majorBidi" w:hAnsiTheme="majorBidi" w:cstheme="majorBidi"/>
                <w:sz w:val="20"/>
                <w:szCs w:val="20"/>
              </w:rPr>
              <w:t>0.736</w:t>
            </w:r>
          </w:p>
        </w:tc>
        <w:tc>
          <w:tcPr>
            <w:tcW w:w="599" w:type="pct"/>
            <w:tcBorders>
              <w:top w:val="single" w:sz="4" w:space="0" w:color="auto"/>
              <w:bottom w:val="single" w:sz="4" w:space="0" w:color="auto"/>
            </w:tcBorders>
            <w:vAlign w:val="center"/>
          </w:tcPr>
          <w:p w14:paraId="286F2E0F" w14:textId="77777777" w:rsidR="002E6F92" w:rsidRPr="00EA76AA" w:rsidRDefault="002E6F92" w:rsidP="00B725B6">
            <w:pPr>
              <w:jc w:val="center"/>
              <w:rPr>
                <w:rFonts w:asciiTheme="majorBidi" w:hAnsiTheme="majorBidi" w:cstheme="majorBidi"/>
                <w:sz w:val="20"/>
                <w:szCs w:val="20"/>
              </w:rPr>
            </w:pPr>
            <w:r w:rsidRPr="00EA76AA">
              <w:rPr>
                <w:rFonts w:asciiTheme="majorBidi" w:hAnsiTheme="majorBidi" w:cstheme="majorBidi"/>
                <w:sz w:val="20"/>
                <w:szCs w:val="20"/>
              </w:rPr>
              <w:t>0.618**</w:t>
            </w:r>
          </w:p>
        </w:tc>
        <w:tc>
          <w:tcPr>
            <w:tcW w:w="623" w:type="pct"/>
            <w:tcBorders>
              <w:top w:val="single" w:sz="4" w:space="0" w:color="auto"/>
              <w:bottom w:val="single" w:sz="4" w:space="0" w:color="auto"/>
            </w:tcBorders>
            <w:vAlign w:val="center"/>
          </w:tcPr>
          <w:p w14:paraId="4C46CC84" w14:textId="77777777" w:rsidR="002E6F92" w:rsidRPr="00EA76AA" w:rsidRDefault="002E6F92" w:rsidP="00B725B6">
            <w:pPr>
              <w:jc w:val="center"/>
              <w:rPr>
                <w:rFonts w:asciiTheme="majorBidi" w:hAnsiTheme="majorBidi" w:cstheme="majorBidi"/>
                <w:sz w:val="20"/>
                <w:szCs w:val="20"/>
              </w:rPr>
            </w:pPr>
            <w:r w:rsidRPr="00EA76AA">
              <w:rPr>
                <w:rFonts w:asciiTheme="majorBidi" w:hAnsiTheme="majorBidi" w:cstheme="majorBidi"/>
                <w:sz w:val="20"/>
                <w:szCs w:val="20"/>
              </w:rPr>
              <w:t>0.000</w:t>
            </w:r>
          </w:p>
        </w:tc>
        <w:tc>
          <w:tcPr>
            <w:tcW w:w="872" w:type="pct"/>
            <w:tcBorders>
              <w:top w:val="single" w:sz="4" w:space="0" w:color="auto"/>
              <w:bottom w:val="single" w:sz="4" w:space="0" w:color="auto"/>
            </w:tcBorders>
            <w:vAlign w:val="center"/>
          </w:tcPr>
          <w:p w14:paraId="5320C057" w14:textId="77777777" w:rsidR="002E6F92" w:rsidRPr="00EA76AA" w:rsidRDefault="002E6F92" w:rsidP="00B725B6">
            <w:pPr>
              <w:jc w:val="center"/>
              <w:rPr>
                <w:rFonts w:asciiTheme="majorBidi" w:hAnsiTheme="majorBidi" w:cstheme="majorBidi"/>
                <w:sz w:val="20"/>
                <w:szCs w:val="20"/>
              </w:rPr>
            </w:pPr>
            <w:r w:rsidRPr="00EA76AA">
              <w:rPr>
                <w:rFonts w:asciiTheme="majorBidi" w:hAnsiTheme="majorBidi" w:cstheme="majorBidi"/>
                <w:sz w:val="20"/>
                <w:szCs w:val="20"/>
              </w:rPr>
              <w:t>0.610**</w:t>
            </w:r>
          </w:p>
        </w:tc>
      </w:tr>
      <w:tr w:rsidR="007F15D8" w:rsidRPr="00EA76AA" w14:paraId="3868D36A" w14:textId="77777777" w:rsidTr="007C66A6">
        <w:trPr>
          <w:trHeight w:val="340"/>
          <w:jc w:val="center"/>
        </w:trPr>
        <w:tc>
          <w:tcPr>
            <w:tcW w:w="603" w:type="pct"/>
            <w:tcBorders>
              <w:top w:val="single" w:sz="4" w:space="0" w:color="auto"/>
              <w:bottom w:val="single" w:sz="4" w:space="0" w:color="auto"/>
            </w:tcBorders>
            <w:vAlign w:val="center"/>
          </w:tcPr>
          <w:p w14:paraId="7D77808A" w14:textId="77777777" w:rsidR="002E6F92" w:rsidRPr="00EA76AA" w:rsidRDefault="002E6F92" w:rsidP="00B725B6">
            <w:pPr>
              <w:jc w:val="center"/>
              <w:rPr>
                <w:rFonts w:asciiTheme="majorBidi" w:hAnsiTheme="majorBidi" w:cstheme="majorBidi"/>
                <w:sz w:val="20"/>
                <w:szCs w:val="20"/>
              </w:rPr>
            </w:pPr>
            <w:r w:rsidRPr="00EA76AA">
              <w:rPr>
                <w:rFonts w:asciiTheme="majorBidi" w:hAnsiTheme="majorBidi" w:cstheme="majorBidi"/>
                <w:sz w:val="20"/>
                <w:szCs w:val="20"/>
              </w:rPr>
              <w:t>QAT</w:t>
            </w:r>
          </w:p>
        </w:tc>
        <w:tc>
          <w:tcPr>
            <w:tcW w:w="560" w:type="pct"/>
            <w:tcBorders>
              <w:top w:val="single" w:sz="4" w:space="0" w:color="auto"/>
              <w:bottom w:val="single" w:sz="4" w:space="0" w:color="auto"/>
            </w:tcBorders>
            <w:vAlign w:val="center"/>
          </w:tcPr>
          <w:p w14:paraId="6C8B2F75" w14:textId="77777777" w:rsidR="002E6F92" w:rsidRPr="00EA76AA" w:rsidRDefault="002E6F92" w:rsidP="00B725B6">
            <w:pPr>
              <w:jc w:val="center"/>
              <w:rPr>
                <w:rFonts w:asciiTheme="majorBidi" w:hAnsiTheme="majorBidi" w:cstheme="majorBidi"/>
                <w:sz w:val="20"/>
                <w:szCs w:val="20"/>
              </w:rPr>
            </w:pPr>
            <w:r w:rsidRPr="00EA76AA">
              <w:rPr>
                <w:rFonts w:asciiTheme="majorBidi" w:hAnsiTheme="majorBidi" w:cstheme="majorBidi"/>
                <w:sz w:val="20"/>
                <w:szCs w:val="20"/>
              </w:rPr>
              <w:t>1.99</w:t>
            </w:r>
          </w:p>
        </w:tc>
        <w:tc>
          <w:tcPr>
            <w:tcW w:w="560" w:type="pct"/>
            <w:tcBorders>
              <w:top w:val="single" w:sz="4" w:space="0" w:color="auto"/>
              <w:bottom w:val="single" w:sz="4" w:space="0" w:color="auto"/>
            </w:tcBorders>
            <w:vAlign w:val="center"/>
          </w:tcPr>
          <w:p w14:paraId="32A88920" w14:textId="77777777" w:rsidR="002E6F92" w:rsidRPr="00EA76AA" w:rsidRDefault="002E6F92" w:rsidP="00B725B6">
            <w:pPr>
              <w:jc w:val="center"/>
              <w:rPr>
                <w:rFonts w:asciiTheme="majorBidi" w:hAnsiTheme="majorBidi" w:cstheme="majorBidi"/>
                <w:sz w:val="20"/>
                <w:szCs w:val="20"/>
              </w:rPr>
            </w:pPr>
            <w:r w:rsidRPr="00EA76AA">
              <w:rPr>
                <w:rFonts w:asciiTheme="majorBidi" w:hAnsiTheme="majorBidi" w:cstheme="majorBidi"/>
                <w:sz w:val="20"/>
                <w:szCs w:val="20"/>
              </w:rPr>
              <w:t>0.550</w:t>
            </w:r>
          </w:p>
        </w:tc>
        <w:tc>
          <w:tcPr>
            <w:tcW w:w="560" w:type="pct"/>
            <w:tcBorders>
              <w:top w:val="single" w:sz="4" w:space="0" w:color="auto"/>
              <w:bottom w:val="single" w:sz="4" w:space="0" w:color="auto"/>
            </w:tcBorders>
            <w:vAlign w:val="center"/>
          </w:tcPr>
          <w:p w14:paraId="06A16094" w14:textId="77777777" w:rsidR="002E6F92" w:rsidRPr="00EA76AA" w:rsidRDefault="002E6F92" w:rsidP="00B725B6">
            <w:pPr>
              <w:jc w:val="center"/>
              <w:rPr>
                <w:rFonts w:asciiTheme="majorBidi" w:hAnsiTheme="majorBidi" w:cstheme="majorBidi"/>
                <w:sz w:val="20"/>
                <w:szCs w:val="20"/>
              </w:rPr>
            </w:pPr>
            <w:r w:rsidRPr="00EA76AA">
              <w:rPr>
                <w:rFonts w:asciiTheme="majorBidi" w:hAnsiTheme="majorBidi" w:cstheme="majorBidi"/>
                <w:sz w:val="20"/>
                <w:szCs w:val="20"/>
              </w:rPr>
              <w:t>1.15</w:t>
            </w:r>
          </w:p>
        </w:tc>
        <w:tc>
          <w:tcPr>
            <w:tcW w:w="623" w:type="pct"/>
            <w:tcBorders>
              <w:top w:val="single" w:sz="4" w:space="0" w:color="auto"/>
              <w:bottom w:val="single" w:sz="4" w:space="0" w:color="auto"/>
            </w:tcBorders>
            <w:vAlign w:val="center"/>
          </w:tcPr>
          <w:p w14:paraId="7802B9F8" w14:textId="77777777" w:rsidR="002E6F92" w:rsidRPr="00EA76AA" w:rsidRDefault="002E6F92" w:rsidP="00B725B6">
            <w:pPr>
              <w:jc w:val="center"/>
              <w:rPr>
                <w:rFonts w:asciiTheme="majorBidi" w:hAnsiTheme="majorBidi" w:cstheme="majorBidi"/>
                <w:sz w:val="20"/>
                <w:szCs w:val="20"/>
              </w:rPr>
            </w:pPr>
            <w:r w:rsidRPr="00EA76AA">
              <w:rPr>
                <w:rFonts w:asciiTheme="majorBidi" w:hAnsiTheme="majorBidi" w:cstheme="majorBidi"/>
                <w:sz w:val="20"/>
                <w:szCs w:val="20"/>
              </w:rPr>
              <w:t>0.632</w:t>
            </w:r>
          </w:p>
        </w:tc>
        <w:tc>
          <w:tcPr>
            <w:tcW w:w="599" w:type="pct"/>
            <w:tcBorders>
              <w:top w:val="single" w:sz="4" w:space="0" w:color="auto"/>
              <w:bottom w:val="single" w:sz="4" w:space="0" w:color="auto"/>
            </w:tcBorders>
            <w:vAlign w:val="center"/>
          </w:tcPr>
          <w:p w14:paraId="1BA565BE" w14:textId="77777777" w:rsidR="002E6F92" w:rsidRPr="00EA76AA" w:rsidRDefault="002E6F92" w:rsidP="00B725B6">
            <w:pPr>
              <w:jc w:val="center"/>
              <w:rPr>
                <w:rFonts w:asciiTheme="majorBidi" w:hAnsiTheme="majorBidi" w:cstheme="majorBidi"/>
                <w:sz w:val="20"/>
                <w:szCs w:val="20"/>
              </w:rPr>
            </w:pPr>
            <w:r w:rsidRPr="00EA76AA">
              <w:rPr>
                <w:rFonts w:asciiTheme="majorBidi" w:hAnsiTheme="majorBidi" w:cstheme="majorBidi"/>
                <w:sz w:val="20"/>
                <w:szCs w:val="20"/>
              </w:rPr>
              <w:t>0.607**</w:t>
            </w:r>
          </w:p>
        </w:tc>
        <w:tc>
          <w:tcPr>
            <w:tcW w:w="623" w:type="pct"/>
            <w:tcBorders>
              <w:top w:val="single" w:sz="4" w:space="0" w:color="auto"/>
              <w:bottom w:val="single" w:sz="4" w:space="0" w:color="auto"/>
            </w:tcBorders>
            <w:vAlign w:val="center"/>
          </w:tcPr>
          <w:p w14:paraId="333CED3C" w14:textId="77777777" w:rsidR="002E6F92" w:rsidRPr="00EA76AA" w:rsidRDefault="002E6F92" w:rsidP="00B725B6">
            <w:pPr>
              <w:jc w:val="center"/>
              <w:rPr>
                <w:rFonts w:asciiTheme="majorBidi" w:hAnsiTheme="majorBidi" w:cstheme="majorBidi"/>
                <w:sz w:val="20"/>
                <w:szCs w:val="20"/>
              </w:rPr>
            </w:pPr>
            <w:r w:rsidRPr="00EA76AA">
              <w:rPr>
                <w:rFonts w:asciiTheme="majorBidi" w:hAnsiTheme="majorBidi" w:cstheme="majorBidi"/>
                <w:sz w:val="20"/>
                <w:szCs w:val="20"/>
              </w:rPr>
              <w:t>0.000</w:t>
            </w:r>
          </w:p>
        </w:tc>
        <w:tc>
          <w:tcPr>
            <w:tcW w:w="872" w:type="pct"/>
            <w:tcBorders>
              <w:top w:val="single" w:sz="4" w:space="0" w:color="auto"/>
              <w:bottom w:val="single" w:sz="4" w:space="0" w:color="auto"/>
            </w:tcBorders>
            <w:vAlign w:val="center"/>
          </w:tcPr>
          <w:p w14:paraId="4365EE03" w14:textId="77777777" w:rsidR="002E6F92" w:rsidRPr="00EA76AA" w:rsidRDefault="002E6F92" w:rsidP="00B725B6">
            <w:pPr>
              <w:jc w:val="center"/>
              <w:rPr>
                <w:rFonts w:asciiTheme="majorBidi" w:hAnsiTheme="majorBidi" w:cstheme="majorBidi"/>
                <w:sz w:val="20"/>
                <w:szCs w:val="20"/>
              </w:rPr>
            </w:pPr>
            <w:r w:rsidRPr="00EA76AA">
              <w:rPr>
                <w:rFonts w:asciiTheme="majorBidi" w:hAnsiTheme="majorBidi" w:cstheme="majorBidi"/>
                <w:sz w:val="20"/>
                <w:szCs w:val="20"/>
              </w:rPr>
              <w:t>0.490**</w:t>
            </w:r>
          </w:p>
        </w:tc>
      </w:tr>
      <w:tr w:rsidR="007F15D8" w:rsidRPr="00EA76AA" w14:paraId="554442B7" w14:textId="77777777" w:rsidTr="007C66A6">
        <w:trPr>
          <w:trHeight w:val="340"/>
          <w:jc w:val="center"/>
        </w:trPr>
        <w:tc>
          <w:tcPr>
            <w:tcW w:w="603" w:type="pct"/>
            <w:tcBorders>
              <w:top w:val="single" w:sz="4" w:space="0" w:color="auto"/>
              <w:bottom w:val="single" w:sz="4" w:space="0" w:color="auto"/>
            </w:tcBorders>
            <w:vAlign w:val="center"/>
          </w:tcPr>
          <w:p w14:paraId="288359AF" w14:textId="77777777" w:rsidR="002E6F92" w:rsidRPr="00EA76AA" w:rsidRDefault="002E6F92" w:rsidP="00B725B6">
            <w:pPr>
              <w:jc w:val="center"/>
              <w:rPr>
                <w:rFonts w:asciiTheme="majorBidi" w:hAnsiTheme="majorBidi" w:cstheme="majorBidi"/>
                <w:sz w:val="20"/>
                <w:szCs w:val="20"/>
              </w:rPr>
            </w:pPr>
            <w:r w:rsidRPr="00EA76AA">
              <w:rPr>
                <w:rFonts w:asciiTheme="majorBidi" w:hAnsiTheme="majorBidi" w:cstheme="majorBidi"/>
                <w:sz w:val="20"/>
                <w:szCs w:val="20"/>
              </w:rPr>
              <w:t>BAH</w:t>
            </w:r>
          </w:p>
        </w:tc>
        <w:tc>
          <w:tcPr>
            <w:tcW w:w="560" w:type="pct"/>
            <w:tcBorders>
              <w:top w:val="single" w:sz="4" w:space="0" w:color="auto"/>
              <w:bottom w:val="single" w:sz="4" w:space="0" w:color="auto"/>
            </w:tcBorders>
            <w:vAlign w:val="center"/>
          </w:tcPr>
          <w:p w14:paraId="52144FB0" w14:textId="77777777" w:rsidR="002E6F92" w:rsidRPr="00EA76AA" w:rsidRDefault="002E6F92" w:rsidP="00B725B6">
            <w:pPr>
              <w:jc w:val="center"/>
              <w:rPr>
                <w:rFonts w:asciiTheme="majorBidi" w:hAnsiTheme="majorBidi" w:cstheme="majorBidi"/>
                <w:sz w:val="20"/>
                <w:szCs w:val="20"/>
              </w:rPr>
            </w:pPr>
            <w:r w:rsidRPr="00EA76AA">
              <w:rPr>
                <w:rFonts w:asciiTheme="majorBidi" w:hAnsiTheme="majorBidi" w:cstheme="majorBidi"/>
                <w:sz w:val="20"/>
                <w:szCs w:val="20"/>
              </w:rPr>
              <w:t>1.20</w:t>
            </w:r>
          </w:p>
        </w:tc>
        <w:tc>
          <w:tcPr>
            <w:tcW w:w="560" w:type="pct"/>
            <w:tcBorders>
              <w:top w:val="single" w:sz="4" w:space="0" w:color="auto"/>
              <w:bottom w:val="single" w:sz="4" w:space="0" w:color="auto"/>
            </w:tcBorders>
            <w:vAlign w:val="center"/>
          </w:tcPr>
          <w:p w14:paraId="7041E6DB" w14:textId="77777777" w:rsidR="002E6F92" w:rsidRPr="00EA76AA" w:rsidRDefault="002E6F92" w:rsidP="00B725B6">
            <w:pPr>
              <w:jc w:val="center"/>
              <w:rPr>
                <w:rFonts w:asciiTheme="majorBidi" w:hAnsiTheme="majorBidi" w:cstheme="majorBidi"/>
                <w:sz w:val="20"/>
                <w:szCs w:val="20"/>
              </w:rPr>
            </w:pPr>
            <w:r w:rsidRPr="00EA76AA">
              <w:rPr>
                <w:rFonts w:asciiTheme="majorBidi" w:hAnsiTheme="majorBidi" w:cstheme="majorBidi"/>
                <w:sz w:val="20"/>
                <w:szCs w:val="20"/>
              </w:rPr>
              <w:t>0.720</w:t>
            </w:r>
          </w:p>
        </w:tc>
        <w:tc>
          <w:tcPr>
            <w:tcW w:w="560" w:type="pct"/>
            <w:tcBorders>
              <w:top w:val="single" w:sz="4" w:space="0" w:color="auto"/>
              <w:bottom w:val="single" w:sz="4" w:space="0" w:color="auto"/>
            </w:tcBorders>
            <w:vAlign w:val="center"/>
          </w:tcPr>
          <w:p w14:paraId="2B424A2F" w14:textId="77777777" w:rsidR="002E6F92" w:rsidRPr="00EA76AA" w:rsidRDefault="002E6F92" w:rsidP="00B725B6">
            <w:pPr>
              <w:jc w:val="center"/>
              <w:rPr>
                <w:rFonts w:asciiTheme="majorBidi" w:hAnsiTheme="majorBidi" w:cstheme="majorBidi"/>
                <w:sz w:val="20"/>
                <w:szCs w:val="20"/>
              </w:rPr>
            </w:pPr>
            <w:r w:rsidRPr="00EA76AA">
              <w:rPr>
                <w:rFonts w:asciiTheme="majorBidi" w:hAnsiTheme="majorBidi" w:cstheme="majorBidi"/>
                <w:sz w:val="20"/>
                <w:szCs w:val="20"/>
              </w:rPr>
              <w:t>0.213</w:t>
            </w:r>
          </w:p>
        </w:tc>
        <w:tc>
          <w:tcPr>
            <w:tcW w:w="623" w:type="pct"/>
            <w:tcBorders>
              <w:top w:val="single" w:sz="4" w:space="0" w:color="auto"/>
              <w:bottom w:val="single" w:sz="4" w:space="0" w:color="auto"/>
            </w:tcBorders>
            <w:vAlign w:val="center"/>
          </w:tcPr>
          <w:p w14:paraId="2924B2D6" w14:textId="77777777" w:rsidR="002E6F92" w:rsidRPr="00EA76AA" w:rsidRDefault="002E6F92" w:rsidP="00B725B6">
            <w:pPr>
              <w:jc w:val="center"/>
              <w:rPr>
                <w:rFonts w:asciiTheme="majorBidi" w:hAnsiTheme="majorBidi" w:cstheme="majorBidi"/>
                <w:sz w:val="20"/>
                <w:szCs w:val="20"/>
              </w:rPr>
            </w:pPr>
            <w:r w:rsidRPr="00EA76AA">
              <w:rPr>
                <w:rFonts w:asciiTheme="majorBidi" w:hAnsiTheme="majorBidi" w:cstheme="majorBidi"/>
                <w:sz w:val="20"/>
                <w:szCs w:val="20"/>
              </w:rPr>
              <w:t>0.846</w:t>
            </w:r>
          </w:p>
        </w:tc>
        <w:tc>
          <w:tcPr>
            <w:tcW w:w="599" w:type="pct"/>
            <w:tcBorders>
              <w:top w:val="single" w:sz="4" w:space="0" w:color="auto"/>
              <w:bottom w:val="single" w:sz="4" w:space="0" w:color="auto"/>
            </w:tcBorders>
            <w:vAlign w:val="center"/>
          </w:tcPr>
          <w:p w14:paraId="7FED7356" w14:textId="77777777" w:rsidR="002E6F92" w:rsidRPr="00EA76AA" w:rsidRDefault="002E6F92" w:rsidP="00B725B6">
            <w:pPr>
              <w:jc w:val="center"/>
              <w:rPr>
                <w:rFonts w:asciiTheme="majorBidi" w:hAnsiTheme="majorBidi" w:cstheme="majorBidi"/>
                <w:sz w:val="20"/>
                <w:szCs w:val="20"/>
              </w:rPr>
            </w:pPr>
            <w:r w:rsidRPr="00EA76AA">
              <w:rPr>
                <w:rFonts w:asciiTheme="majorBidi" w:hAnsiTheme="majorBidi" w:cstheme="majorBidi"/>
                <w:sz w:val="20"/>
                <w:szCs w:val="20"/>
              </w:rPr>
              <w:t>0.628**</w:t>
            </w:r>
          </w:p>
        </w:tc>
        <w:tc>
          <w:tcPr>
            <w:tcW w:w="623" w:type="pct"/>
            <w:tcBorders>
              <w:top w:val="single" w:sz="4" w:space="0" w:color="auto"/>
              <w:bottom w:val="single" w:sz="4" w:space="0" w:color="auto"/>
            </w:tcBorders>
            <w:vAlign w:val="center"/>
          </w:tcPr>
          <w:p w14:paraId="536EA1E7" w14:textId="77777777" w:rsidR="002E6F92" w:rsidRPr="00EA76AA" w:rsidRDefault="002E6F92" w:rsidP="00B725B6">
            <w:pPr>
              <w:jc w:val="center"/>
              <w:rPr>
                <w:rFonts w:asciiTheme="majorBidi" w:hAnsiTheme="majorBidi" w:cstheme="majorBidi"/>
                <w:sz w:val="20"/>
                <w:szCs w:val="20"/>
              </w:rPr>
            </w:pPr>
            <w:r w:rsidRPr="00EA76AA">
              <w:rPr>
                <w:rFonts w:asciiTheme="majorBidi" w:hAnsiTheme="majorBidi" w:cstheme="majorBidi"/>
                <w:sz w:val="20"/>
                <w:szCs w:val="20"/>
              </w:rPr>
              <w:t>0.000</w:t>
            </w:r>
          </w:p>
        </w:tc>
        <w:tc>
          <w:tcPr>
            <w:tcW w:w="872" w:type="pct"/>
            <w:tcBorders>
              <w:top w:val="single" w:sz="4" w:space="0" w:color="auto"/>
              <w:bottom w:val="single" w:sz="4" w:space="0" w:color="auto"/>
            </w:tcBorders>
            <w:vAlign w:val="center"/>
          </w:tcPr>
          <w:p w14:paraId="5645F7E7" w14:textId="77777777" w:rsidR="002E6F92" w:rsidRPr="00EA76AA" w:rsidRDefault="002E6F92" w:rsidP="00B725B6">
            <w:pPr>
              <w:jc w:val="center"/>
              <w:rPr>
                <w:rFonts w:asciiTheme="majorBidi" w:hAnsiTheme="majorBidi" w:cstheme="majorBidi"/>
                <w:sz w:val="20"/>
                <w:szCs w:val="20"/>
              </w:rPr>
            </w:pPr>
            <w:r w:rsidRPr="00EA76AA">
              <w:rPr>
                <w:rFonts w:asciiTheme="majorBidi" w:hAnsiTheme="majorBidi" w:cstheme="majorBidi"/>
                <w:sz w:val="20"/>
                <w:szCs w:val="20"/>
              </w:rPr>
              <w:t>0.504**</w:t>
            </w:r>
          </w:p>
        </w:tc>
      </w:tr>
      <w:tr w:rsidR="007F15D8" w:rsidRPr="00EA76AA" w14:paraId="16456EAB" w14:textId="77777777" w:rsidTr="007C66A6">
        <w:trPr>
          <w:trHeight w:val="340"/>
          <w:jc w:val="center"/>
        </w:trPr>
        <w:tc>
          <w:tcPr>
            <w:tcW w:w="603" w:type="pct"/>
            <w:tcBorders>
              <w:top w:val="single" w:sz="4" w:space="0" w:color="auto"/>
              <w:bottom w:val="single" w:sz="4" w:space="0" w:color="auto"/>
            </w:tcBorders>
            <w:vAlign w:val="center"/>
          </w:tcPr>
          <w:p w14:paraId="36C0529A" w14:textId="77777777" w:rsidR="002E6F92" w:rsidRPr="00EA76AA" w:rsidRDefault="002E6F92" w:rsidP="00B725B6">
            <w:pPr>
              <w:jc w:val="center"/>
              <w:rPr>
                <w:rFonts w:asciiTheme="majorBidi" w:hAnsiTheme="majorBidi" w:cstheme="majorBidi"/>
                <w:sz w:val="20"/>
                <w:szCs w:val="20"/>
              </w:rPr>
            </w:pPr>
            <w:r w:rsidRPr="00EA76AA">
              <w:rPr>
                <w:rFonts w:asciiTheme="majorBidi" w:hAnsiTheme="majorBidi" w:cstheme="majorBidi"/>
                <w:sz w:val="20"/>
                <w:szCs w:val="20"/>
              </w:rPr>
              <w:t>KUW</w:t>
            </w:r>
          </w:p>
        </w:tc>
        <w:tc>
          <w:tcPr>
            <w:tcW w:w="560" w:type="pct"/>
            <w:tcBorders>
              <w:top w:val="single" w:sz="4" w:space="0" w:color="auto"/>
              <w:bottom w:val="single" w:sz="4" w:space="0" w:color="auto"/>
            </w:tcBorders>
            <w:vAlign w:val="center"/>
          </w:tcPr>
          <w:p w14:paraId="0B2DBBE9" w14:textId="77777777" w:rsidR="002E6F92" w:rsidRPr="00EA76AA" w:rsidRDefault="002E6F92" w:rsidP="00B725B6">
            <w:pPr>
              <w:jc w:val="center"/>
              <w:rPr>
                <w:rFonts w:asciiTheme="majorBidi" w:hAnsiTheme="majorBidi" w:cstheme="majorBidi"/>
                <w:sz w:val="20"/>
                <w:szCs w:val="20"/>
              </w:rPr>
            </w:pPr>
            <w:r w:rsidRPr="00EA76AA">
              <w:rPr>
                <w:rFonts w:asciiTheme="majorBidi" w:hAnsiTheme="majorBidi" w:cstheme="majorBidi"/>
                <w:sz w:val="20"/>
                <w:szCs w:val="20"/>
              </w:rPr>
              <w:t>1.12</w:t>
            </w:r>
          </w:p>
        </w:tc>
        <w:tc>
          <w:tcPr>
            <w:tcW w:w="560" w:type="pct"/>
            <w:tcBorders>
              <w:top w:val="single" w:sz="4" w:space="0" w:color="auto"/>
              <w:bottom w:val="single" w:sz="4" w:space="0" w:color="auto"/>
            </w:tcBorders>
            <w:vAlign w:val="center"/>
          </w:tcPr>
          <w:p w14:paraId="748E8493" w14:textId="77777777" w:rsidR="002E6F92" w:rsidRPr="00EA76AA" w:rsidRDefault="002E6F92" w:rsidP="00B725B6">
            <w:pPr>
              <w:jc w:val="center"/>
              <w:rPr>
                <w:rFonts w:asciiTheme="majorBidi" w:hAnsiTheme="majorBidi" w:cstheme="majorBidi"/>
                <w:sz w:val="20"/>
                <w:szCs w:val="20"/>
              </w:rPr>
            </w:pPr>
            <w:r w:rsidRPr="00EA76AA">
              <w:rPr>
                <w:rFonts w:asciiTheme="majorBidi" w:hAnsiTheme="majorBidi" w:cstheme="majorBidi"/>
                <w:sz w:val="20"/>
                <w:szCs w:val="20"/>
              </w:rPr>
              <w:t>0.730</w:t>
            </w:r>
          </w:p>
        </w:tc>
        <w:tc>
          <w:tcPr>
            <w:tcW w:w="560" w:type="pct"/>
            <w:tcBorders>
              <w:top w:val="single" w:sz="4" w:space="0" w:color="auto"/>
              <w:bottom w:val="single" w:sz="4" w:space="0" w:color="auto"/>
            </w:tcBorders>
            <w:vAlign w:val="center"/>
          </w:tcPr>
          <w:p w14:paraId="1A80FEAE" w14:textId="77777777" w:rsidR="002E6F92" w:rsidRPr="00EA76AA" w:rsidRDefault="002E6F92" w:rsidP="00B725B6">
            <w:pPr>
              <w:jc w:val="center"/>
              <w:rPr>
                <w:rFonts w:asciiTheme="majorBidi" w:hAnsiTheme="majorBidi" w:cstheme="majorBidi"/>
                <w:sz w:val="20"/>
                <w:szCs w:val="20"/>
              </w:rPr>
            </w:pPr>
            <w:r w:rsidRPr="00EA76AA">
              <w:rPr>
                <w:rFonts w:asciiTheme="majorBidi" w:hAnsiTheme="majorBidi" w:cstheme="majorBidi"/>
                <w:sz w:val="20"/>
                <w:szCs w:val="20"/>
              </w:rPr>
              <w:t>0.504</w:t>
            </w:r>
          </w:p>
        </w:tc>
        <w:tc>
          <w:tcPr>
            <w:tcW w:w="623" w:type="pct"/>
            <w:tcBorders>
              <w:top w:val="single" w:sz="4" w:space="0" w:color="auto"/>
              <w:bottom w:val="single" w:sz="4" w:space="0" w:color="auto"/>
            </w:tcBorders>
            <w:vAlign w:val="center"/>
          </w:tcPr>
          <w:p w14:paraId="61B715AD" w14:textId="77777777" w:rsidR="002E6F92" w:rsidRPr="00EA76AA" w:rsidRDefault="002E6F92" w:rsidP="00B725B6">
            <w:pPr>
              <w:jc w:val="center"/>
              <w:rPr>
                <w:rFonts w:asciiTheme="majorBidi" w:hAnsiTheme="majorBidi" w:cstheme="majorBidi"/>
                <w:sz w:val="20"/>
                <w:szCs w:val="20"/>
              </w:rPr>
            </w:pPr>
            <w:r w:rsidRPr="00EA76AA">
              <w:rPr>
                <w:rFonts w:asciiTheme="majorBidi" w:hAnsiTheme="majorBidi" w:cstheme="majorBidi"/>
                <w:sz w:val="20"/>
                <w:szCs w:val="20"/>
              </w:rPr>
              <w:t>0.919</w:t>
            </w:r>
          </w:p>
        </w:tc>
        <w:tc>
          <w:tcPr>
            <w:tcW w:w="599" w:type="pct"/>
            <w:tcBorders>
              <w:top w:val="single" w:sz="4" w:space="0" w:color="auto"/>
              <w:bottom w:val="single" w:sz="4" w:space="0" w:color="auto"/>
            </w:tcBorders>
            <w:vAlign w:val="center"/>
          </w:tcPr>
          <w:p w14:paraId="47C77E17" w14:textId="77777777" w:rsidR="002E6F92" w:rsidRPr="00EA76AA" w:rsidRDefault="002E6F92" w:rsidP="00B725B6">
            <w:pPr>
              <w:jc w:val="center"/>
              <w:rPr>
                <w:rFonts w:asciiTheme="majorBidi" w:hAnsiTheme="majorBidi" w:cstheme="majorBidi"/>
                <w:sz w:val="20"/>
                <w:szCs w:val="20"/>
              </w:rPr>
            </w:pPr>
            <w:r w:rsidRPr="00EA76AA">
              <w:rPr>
                <w:rFonts w:asciiTheme="majorBidi" w:hAnsiTheme="majorBidi" w:cstheme="majorBidi"/>
                <w:sz w:val="20"/>
                <w:szCs w:val="20"/>
              </w:rPr>
              <w:t>0.621**</w:t>
            </w:r>
          </w:p>
        </w:tc>
        <w:tc>
          <w:tcPr>
            <w:tcW w:w="623" w:type="pct"/>
            <w:tcBorders>
              <w:top w:val="single" w:sz="4" w:space="0" w:color="auto"/>
              <w:bottom w:val="single" w:sz="4" w:space="0" w:color="auto"/>
            </w:tcBorders>
            <w:vAlign w:val="center"/>
          </w:tcPr>
          <w:p w14:paraId="4B3D15F1" w14:textId="77777777" w:rsidR="002E6F92" w:rsidRPr="00EA76AA" w:rsidRDefault="002E6F92" w:rsidP="00B725B6">
            <w:pPr>
              <w:jc w:val="center"/>
              <w:rPr>
                <w:rFonts w:asciiTheme="majorBidi" w:hAnsiTheme="majorBidi" w:cstheme="majorBidi"/>
                <w:sz w:val="20"/>
                <w:szCs w:val="20"/>
              </w:rPr>
            </w:pPr>
            <w:r w:rsidRPr="00EA76AA">
              <w:rPr>
                <w:rFonts w:asciiTheme="majorBidi" w:hAnsiTheme="majorBidi" w:cstheme="majorBidi"/>
                <w:sz w:val="20"/>
                <w:szCs w:val="20"/>
              </w:rPr>
              <w:t>0.000</w:t>
            </w:r>
          </w:p>
        </w:tc>
        <w:tc>
          <w:tcPr>
            <w:tcW w:w="872" w:type="pct"/>
            <w:tcBorders>
              <w:top w:val="single" w:sz="4" w:space="0" w:color="auto"/>
              <w:bottom w:val="single" w:sz="4" w:space="0" w:color="auto"/>
            </w:tcBorders>
            <w:vAlign w:val="center"/>
          </w:tcPr>
          <w:p w14:paraId="017F9360" w14:textId="77777777" w:rsidR="002E6F92" w:rsidRPr="00EA76AA" w:rsidRDefault="002E6F92" w:rsidP="00B725B6">
            <w:pPr>
              <w:jc w:val="center"/>
              <w:rPr>
                <w:rFonts w:asciiTheme="majorBidi" w:hAnsiTheme="majorBidi" w:cstheme="majorBidi"/>
                <w:sz w:val="20"/>
                <w:szCs w:val="20"/>
              </w:rPr>
            </w:pPr>
            <w:r w:rsidRPr="00EA76AA">
              <w:rPr>
                <w:rFonts w:asciiTheme="majorBidi" w:hAnsiTheme="majorBidi" w:cstheme="majorBidi"/>
                <w:sz w:val="20"/>
                <w:szCs w:val="20"/>
              </w:rPr>
              <w:t>0.518**</w:t>
            </w:r>
          </w:p>
        </w:tc>
      </w:tr>
      <w:tr w:rsidR="007F15D8" w:rsidRPr="00EA76AA" w14:paraId="402CFD2F" w14:textId="77777777" w:rsidTr="007C66A6">
        <w:trPr>
          <w:trHeight w:val="340"/>
          <w:jc w:val="center"/>
        </w:trPr>
        <w:tc>
          <w:tcPr>
            <w:tcW w:w="603" w:type="pct"/>
            <w:tcBorders>
              <w:top w:val="single" w:sz="4" w:space="0" w:color="auto"/>
              <w:bottom w:val="single" w:sz="4" w:space="0" w:color="auto"/>
            </w:tcBorders>
            <w:vAlign w:val="center"/>
          </w:tcPr>
          <w:p w14:paraId="00B350B8" w14:textId="77777777" w:rsidR="002E6F92" w:rsidRPr="00EA76AA" w:rsidRDefault="002E6F92" w:rsidP="00B725B6">
            <w:pPr>
              <w:jc w:val="center"/>
              <w:rPr>
                <w:rFonts w:asciiTheme="majorBidi" w:hAnsiTheme="majorBidi" w:cstheme="majorBidi"/>
                <w:sz w:val="20"/>
                <w:szCs w:val="20"/>
              </w:rPr>
            </w:pPr>
            <w:r w:rsidRPr="00EA76AA">
              <w:rPr>
                <w:rFonts w:asciiTheme="majorBidi" w:hAnsiTheme="majorBidi" w:cstheme="majorBidi"/>
                <w:sz w:val="20"/>
                <w:szCs w:val="20"/>
              </w:rPr>
              <w:t>UAE</w:t>
            </w:r>
          </w:p>
        </w:tc>
        <w:tc>
          <w:tcPr>
            <w:tcW w:w="560" w:type="pct"/>
            <w:tcBorders>
              <w:top w:val="single" w:sz="4" w:space="0" w:color="auto"/>
              <w:bottom w:val="single" w:sz="4" w:space="0" w:color="auto"/>
            </w:tcBorders>
            <w:vAlign w:val="center"/>
          </w:tcPr>
          <w:p w14:paraId="7A2C6377" w14:textId="77777777" w:rsidR="002E6F92" w:rsidRPr="00EA76AA" w:rsidRDefault="002E6F92" w:rsidP="00B725B6">
            <w:pPr>
              <w:jc w:val="center"/>
              <w:rPr>
                <w:rFonts w:asciiTheme="majorBidi" w:hAnsiTheme="majorBidi" w:cstheme="majorBidi"/>
                <w:sz w:val="20"/>
                <w:szCs w:val="20"/>
              </w:rPr>
            </w:pPr>
            <w:r w:rsidRPr="00EA76AA">
              <w:rPr>
                <w:rFonts w:asciiTheme="majorBidi" w:hAnsiTheme="majorBidi" w:cstheme="majorBidi"/>
                <w:sz w:val="20"/>
                <w:szCs w:val="20"/>
              </w:rPr>
              <w:t>1.65</w:t>
            </w:r>
          </w:p>
        </w:tc>
        <w:tc>
          <w:tcPr>
            <w:tcW w:w="560" w:type="pct"/>
            <w:tcBorders>
              <w:top w:val="single" w:sz="4" w:space="0" w:color="auto"/>
              <w:bottom w:val="single" w:sz="4" w:space="0" w:color="auto"/>
            </w:tcBorders>
            <w:vAlign w:val="center"/>
          </w:tcPr>
          <w:p w14:paraId="13F0D2C5" w14:textId="77777777" w:rsidR="002E6F92" w:rsidRPr="00EA76AA" w:rsidRDefault="002E6F92" w:rsidP="00B725B6">
            <w:pPr>
              <w:jc w:val="center"/>
              <w:rPr>
                <w:rFonts w:asciiTheme="majorBidi" w:hAnsiTheme="majorBidi" w:cstheme="majorBidi"/>
                <w:sz w:val="20"/>
                <w:szCs w:val="20"/>
              </w:rPr>
            </w:pPr>
            <w:r w:rsidRPr="00EA76AA">
              <w:rPr>
                <w:rFonts w:asciiTheme="majorBidi" w:hAnsiTheme="majorBidi" w:cstheme="majorBidi"/>
                <w:sz w:val="20"/>
                <w:szCs w:val="20"/>
              </w:rPr>
              <w:t>0.643</w:t>
            </w:r>
          </w:p>
        </w:tc>
        <w:tc>
          <w:tcPr>
            <w:tcW w:w="560" w:type="pct"/>
            <w:tcBorders>
              <w:top w:val="single" w:sz="4" w:space="0" w:color="auto"/>
              <w:bottom w:val="single" w:sz="4" w:space="0" w:color="auto"/>
            </w:tcBorders>
            <w:vAlign w:val="center"/>
          </w:tcPr>
          <w:p w14:paraId="18D280A6" w14:textId="77777777" w:rsidR="002E6F92" w:rsidRPr="00EA76AA" w:rsidRDefault="002E6F92" w:rsidP="00B725B6">
            <w:pPr>
              <w:jc w:val="center"/>
              <w:rPr>
                <w:rFonts w:asciiTheme="majorBidi" w:hAnsiTheme="majorBidi" w:cstheme="majorBidi"/>
                <w:sz w:val="20"/>
                <w:szCs w:val="20"/>
              </w:rPr>
            </w:pPr>
            <w:r w:rsidRPr="00EA76AA">
              <w:rPr>
                <w:rFonts w:asciiTheme="majorBidi" w:hAnsiTheme="majorBidi" w:cstheme="majorBidi"/>
                <w:sz w:val="20"/>
                <w:szCs w:val="20"/>
              </w:rPr>
              <w:t>1.099</w:t>
            </w:r>
          </w:p>
        </w:tc>
        <w:tc>
          <w:tcPr>
            <w:tcW w:w="623" w:type="pct"/>
            <w:tcBorders>
              <w:top w:val="single" w:sz="4" w:space="0" w:color="auto"/>
              <w:bottom w:val="single" w:sz="4" w:space="0" w:color="auto"/>
            </w:tcBorders>
            <w:vAlign w:val="center"/>
          </w:tcPr>
          <w:p w14:paraId="5E9E12CE" w14:textId="77777777" w:rsidR="002E6F92" w:rsidRPr="00EA76AA" w:rsidRDefault="002E6F92" w:rsidP="00B725B6">
            <w:pPr>
              <w:jc w:val="center"/>
              <w:rPr>
                <w:rFonts w:asciiTheme="majorBidi" w:hAnsiTheme="majorBidi" w:cstheme="majorBidi"/>
                <w:sz w:val="20"/>
                <w:szCs w:val="20"/>
              </w:rPr>
            </w:pPr>
            <w:r w:rsidRPr="00EA76AA">
              <w:rPr>
                <w:rFonts w:asciiTheme="majorBidi" w:hAnsiTheme="majorBidi" w:cstheme="majorBidi"/>
                <w:sz w:val="20"/>
                <w:szCs w:val="20"/>
              </w:rPr>
              <w:t>0.810</w:t>
            </w:r>
          </w:p>
        </w:tc>
        <w:tc>
          <w:tcPr>
            <w:tcW w:w="599" w:type="pct"/>
            <w:tcBorders>
              <w:top w:val="single" w:sz="4" w:space="0" w:color="auto"/>
              <w:bottom w:val="single" w:sz="4" w:space="0" w:color="auto"/>
            </w:tcBorders>
            <w:vAlign w:val="center"/>
          </w:tcPr>
          <w:p w14:paraId="71445302" w14:textId="77777777" w:rsidR="002E6F92" w:rsidRPr="00EA76AA" w:rsidRDefault="002E6F92" w:rsidP="00B725B6">
            <w:pPr>
              <w:jc w:val="center"/>
              <w:rPr>
                <w:rFonts w:asciiTheme="majorBidi" w:hAnsiTheme="majorBidi" w:cstheme="majorBidi"/>
                <w:sz w:val="20"/>
                <w:szCs w:val="20"/>
              </w:rPr>
            </w:pPr>
            <w:r w:rsidRPr="00EA76AA">
              <w:rPr>
                <w:rFonts w:asciiTheme="majorBidi" w:hAnsiTheme="majorBidi" w:cstheme="majorBidi"/>
                <w:sz w:val="20"/>
                <w:szCs w:val="20"/>
              </w:rPr>
              <w:t>0.466**</w:t>
            </w:r>
          </w:p>
        </w:tc>
        <w:tc>
          <w:tcPr>
            <w:tcW w:w="623" w:type="pct"/>
            <w:tcBorders>
              <w:top w:val="single" w:sz="4" w:space="0" w:color="auto"/>
              <w:bottom w:val="single" w:sz="4" w:space="0" w:color="auto"/>
            </w:tcBorders>
            <w:vAlign w:val="center"/>
          </w:tcPr>
          <w:p w14:paraId="65315C53" w14:textId="77777777" w:rsidR="002E6F92" w:rsidRPr="00EA76AA" w:rsidRDefault="002E6F92" w:rsidP="00B725B6">
            <w:pPr>
              <w:jc w:val="center"/>
              <w:rPr>
                <w:rFonts w:asciiTheme="majorBidi" w:hAnsiTheme="majorBidi" w:cstheme="majorBidi"/>
                <w:sz w:val="20"/>
                <w:szCs w:val="20"/>
              </w:rPr>
            </w:pPr>
            <w:r w:rsidRPr="00EA76AA">
              <w:rPr>
                <w:rFonts w:asciiTheme="majorBidi" w:hAnsiTheme="majorBidi" w:cstheme="majorBidi"/>
                <w:sz w:val="20"/>
                <w:szCs w:val="20"/>
              </w:rPr>
              <w:t>0.000</w:t>
            </w:r>
          </w:p>
        </w:tc>
        <w:tc>
          <w:tcPr>
            <w:tcW w:w="872" w:type="pct"/>
            <w:tcBorders>
              <w:top w:val="single" w:sz="4" w:space="0" w:color="auto"/>
              <w:bottom w:val="single" w:sz="4" w:space="0" w:color="auto"/>
            </w:tcBorders>
            <w:vAlign w:val="center"/>
          </w:tcPr>
          <w:p w14:paraId="31AFCBDF" w14:textId="77777777" w:rsidR="002E6F92" w:rsidRPr="00EA76AA" w:rsidRDefault="002E6F92" w:rsidP="00B725B6">
            <w:pPr>
              <w:jc w:val="center"/>
              <w:rPr>
                <w:rFonts w:asciiTheme="majorBidi" w:hAnsiTheme="majorBidi" w:cstheme="majorBidi"/>
                <w:sz w:val="20"/>
                <w:szCs w:val="20"/>
              </w:rPr>
            </w:pPr>
            <w:r w:rsidRPr="00EA76AA">
              <w:rPr>
                <w:rFonts w:asciiTheme="majorBidi" w:hAnsiTheme="majorBidi" w:cstheme="majorBidi"/>
                <w:sz w:val="20"/>
                <w:szCs w:val="20"/>
              </w:rPr>
              <w:t>0.405**</w:t>
            </w:r>
          </w:p>
        </w:tc>
      </w:tr>
    </w:tbl>
    <w:p w14:paraId="2BF649D6" w14:textId="497B6E1B" w:rsidR="002E6F92" w:rsidRPr="009A5CAB" w:rsidRDefault="00215E9A" w:rsidP="00B725B6">
      <w:pPr>
        <w:spacing w:after="0" w:line="360" w:lineRule="exact"/>
        <w:rPr>
          <w:szCs w:val="24"/>
        </w:rPr>
      </w:pPr>
      <w:r w:rsidRPr="00215E9A">
        <w:rPr>
          <w:rFonts w:asciiTheme="majorBidi" w:hAnsiTheme="majorBidi" w:cstheme="majorBidi"/>
          <w:i/>
          <w:szCs w:val="24"/>
        </w:rPr>
        <w:t>Note.</w:t>
      </w:r>
      <w:r>
        <w:rPr>
          <w:rFonts w:asciiTheme="majorBidi" w:hAnsiTheme="majorBidi" w:cstheme="majorBidi"/>
          <w:szCs w:val="24"/>
        </w:rPr>
        <w:t xml:space="preserve"> </w:t>
      </w:r>
      <w:r w:rsidR="002E6F92" w:rsidRPr="009A5CAB">
        <w:rPr>
          <w:rFonts w:asciiTheme="majorBidi" w:hAnsiTheme="majorBidi" w:cstheme="majorBidi"/>
          <w:szCs w:val="24"/>
        </w:rPr>
        <w:t>** Correlation is significant at the 0.01 level (2-tailed).</w:t>
      </w:r>
    </w:p>
    <w:p w14:paraId="6B4D1F65" w14:textId="77777777" w:rsidR="004465BD" w:rsidRDefault="004465BD" w:rsidP="00B725B6">
      <w:pPr>
        <w:spacing w:after="0" w:line="360" w:lineRule="exact"/>
        <w:ind w:firstLine="510"/>
        <w:jc w:val="both"/>
        <w:rPr>
          <w:rFonts w:ascii="Times New Roman" w:hAnsi="Times New Roman"/>
          <w:sz w:val="26"/>
        </w:rPr>
      </w:pPr>
    </w:p>
    <w:p w14:paraId="1317B766" w14:textId="58207D52" w:rsidR="00EB7C77" w:rsidRPr="007F15D8" w:rsidRDefault="0058447F" w:rsidP="001C79FD">
      <w:pPr>
        <w:spacing w:after="0" w:line="360" w:lineRule="exact"/>
        <w:ind w:firstLine="510"/>
        <w:jc w:val="both"/>
      </w:pPr>
      <w:r w:rsidRPr="007F15D8">
        <w:rPr>
          <w:rFonts w:ascii="Times New Roman" w:hAnsi="Times New Roman"/>
          <w:sz w:val="26"/>
        </w:rPr>
        <w:t xml:space="preserve">As shown in </w:t>
      </w:r>
      <w:r w:rsidR="000273D8" w:rsidRPr="007F15D8">
        <w:rPr>
          <w:rFonts w:ascii="Times New Roman" w:hAnsi="Times New Roman"/>
          <w:sz w:val="26"/>
        </w:rPr>
        <w:t xml:space="preserve">Table </w:t>
      </w:r>
      <w:r w:rsidR="00EB7C77" w:rsidRPr="007F15D8">
        <w:rPr>
          <w:rFonts w:ascii="Times New Roman" w:hAnsi="Times New Roman"/>
          <w:sz w:val="26"/>
        </w:rPr>
        <w:t>4</w:t>
      </w:r>
      <w:r w:rsidRPr="007F15D8">
        <w:rPr>
          <w:rFonts w:ascii="Times New Roman" w:hAnsi="Times New Roman"/>
          <w:sz w:val="26"/>
        </w:rPr>
        <w:t xml:space="preserve">, </w:t>
      </w:r>
      <w:r w:rsidR="00FE6B23" w:rsidRPr="007F15D8">
        <w:rPr>
          <w:rFonts w:ascii="Times New Roman" w:hAnsi="Times New Roman"/>
          <w:sz w:val="26"/>
        </w:rPr>
        <w:t>all means of NIBE are positive</w:t>
      </w:r>
      <w:r w:rsidR="000273D8" w:rsidRPr="007F15D8">
        <w:rPr>
          <w:rFonts w:ascii="Times New Roman" w:hAnsi="Times New Roman"/>
          <w:sz w:val="26"/>
        </w:rPr>
        <w:t>.</w:t>
      </w:r>
      <w:r w:rsidR="00FE6B23" w:rsidRPr="007F15D8">
        <w:rPr>
          <w:rFonts w:ascii="Times New Roman" w:hAnsi="Times New Roman"/>
          <w:sz w:val="26"/>
        </w:rPr>
        <w:t xml:space="preserve"> </w:t>
      </w:r>
      <w:r w:rsidR="000273D8" w:rsidRPr="007F15D8">
        <w:rPr>
          <w:rFonts w:ascii="Times New Roman" w:hAnsi="Times New Roman"/>
          <w:sz w:val="26"/>
        </w:rPr>
        <w:t>T</w:t>
      </w:r>
      <w:r w:rsidR="00FE6B23" w:rsidRPr="007F15D8">
        <w:rPr>
          <w:rFonts w:ascii="Times New Roman" w:hAnsi="Times New Roman"/>
          <w:sz w:val="26"/>
        </w:rPr>
        <w:t>he highest mean is for Qata</w:t>
      </w:r>
      <w:r w:rsidR="003E0836" w:rsidRPr="007F15D8">
        <w:rPr>
          <w:rFonts w:ascii="Times New Roman" w:hAnsi="Times New Roman"/>
          <w:sz w:val="26"/>
        </w:rPr>
        <w:t>r</w:t>
      </w:r>
      <w:r w:rsidR="00FE6B23" w:rsidRPr="007F15D8">
        <w:rPr>
          <w:rFonts w:ascii="Times New Roman" w:hAnsi="Times New Roman"/>
          <w:sz w:val="26"/>
        </w:rPr>
        <w:t xml:space="preserve"> (1.99)</w:t>
      </w:r>
      <w:r w:rsidR="000273D8" w:rsidRPr="007F15D8">
        <w:rPr>
          <w:rFonts w:ascii="Times New Roman" w:hAnsi="Times New Roman"/>
          <w:sz w:val="26"/>
        </w:rPr>
        <w:t>,</w:t>
      </w:r>
      <w:r w:rsidR="00FE6B23" w:rsidRPr="007F15D8">
        <w:rPr>
          <w:rFonts w:ascii="Times New Roman" w:hAnsi="Times New Roman"/>
          <w:sz w:val="26"/>
        </w:rPr>
        <w:t xml:space="preserve"> and the lowest is for Oman (0.615). T</w:t>
      </w:r>
      <w:r w:rsidRPr="007F15D8">
        <w:rPr>
          <w:rFonts w:ascii="Times New Roman" w:hAnsi="Times New Roman"/>
          <w:sz w:val="26"/>
        </w:rPr>
        <w:t xml:space="preserve">he NIBE and NIBE-1 </w:t>
      </w:r>
      <w:r w:rsidR="00C80A1B">
        <w:rPr>
          <w:rFonts w:ascii="Times New Roman" w:hAnsi="Times New Roman"/>
          <w:sz w:val="26"/>
        </w:rPr>
        <w:t>are</w:t>
      </w:r>
      <w:r w:rsidR="00C80A1B" w:rsidRPr="007F15D8">
        <w:rPr>
          <w:rFonts w:ascii="Times New Roman" w:hAnsi="Times New Roman"/>
          <w:sz w:val="26"/>
        </w:rPr>
        <w:t xml:space="preserve"> </w:t>
      </w:r>
      <w:r w:rsidRPr="007F15D8">
        <w:rPr>
          <w:rFonts w:ascii="Times New Roman" w:hAnsi="Times New Roman"/>
          <w:sz w:val="26"/>
        </w:rPr>
        <w:t>positively correlated in all GCC countries</w:t>
      </w:r>
      <w:r w:rsidR="00A14C62" w:rsidRPr="007F15D8">
        <w:rPr>
          <w:rFonts w:ascii="Times New Roman" w:hAnsi="Times New Roman"/>
          <w:sz w:val="26"/>
        </w:rPr>
        <w:t xml:space="preserve"> at </w:t>
      </w:r>
      <w:r w:rsidR="000273D8" w:rsidRPr="007F15D8">
        <w:rPr>
          <w:rFonts w:ascii="Times New Roman" w:hAnsi="Times New Roman"/>
          <w:sz w:val="26"/>
        </w:rPr>
        <w:t>the</w:t>
      </w:r>
      <w:r w:rsidR="00A14C62" w:rsidRPr="007F15D8">
        <w:rPr>
          <w:rFonts w:ascii="Times New Roman" w:hAnsi="Times New Roman"/>
          <w:sz w:val="26"/>
        </w:rPr>
        <w:t xml:space="preserve"> significant</w:t>
      </w:r>
      <w:r w:rsidR="000273D8" w:rsidRPr="007F15D8">
        <w:rPr>
          <w:rFonts w:ascii="Times New Roman" w:hAnsi="Times New Roman"/>
          <w:sz w:val="26"/>
        </w:rPr>
        <w:t xml:space="preserve"> level of</w:t>
      </w:r>
      <w:r w:rsidR="00A14C62" w:rsidRPr="007F15D8">
        <w:rPr>
          <w:rFonts w:ascii="Times New Roman" w:hAnsi="Times New Roman"/>
          <w:sz w:val="26"/>
        </w:rPr>
        <w:t xml:space="preserve"> 0.000. The correlation is </w:t>
      </w:r>
      <w:r w:rsidR="00C80A1B" w:rsidRPr="007F15D8">
        <w:rPr>
          <w:rFonts w:ascii="Times New Roman" w:hAnsi="Times New Roman"/>
          <w:sz w:val="26"/>
        </w:rPr>
        <w:t>qui</w:t>
      </w:r>
      <w:r w:rsidR="00C80A1B">
        <w:rPr>
          <w:rFonts w:ascii="Times New Roman" w:hAnsi="Times New Roman"/>
          <w:sz w:val="26"/>
        </w:rPr>
        <w:t>te</w:t>
      </w:r>
      <w:r w:rsidR="00C80A1B" w:rsidRPr="007F15D8">
        <w:rPr>
          <w:rFonts w:ascii="Times New Roman" w:hAnsi="Times New Roman"/>
          <w:sz w:val="26"/>
        </w:rPr>
        <w:t xml:space="preserve"> </w:t>
      </w:r>
      <w:r w:rsidR="00A14C62" w:rsidRPr="007F15D8">
        <w:rPr>
          <w:rFonts w:ascii="Times New Roman" w:hAnsi="Times New Roman"/>
          <w:sz w:val="26"/>
        </w:rPr>
        <w:t>high to conclude that earnings are stable and high. The highest correlation is in Bah</w:t>
      </w:r>
      <w:r w:rsidR="00EC38AF" w:rsidRPr="007F15D8">
        <w:rPr>
          <w:rFonts w:ascii="Times New Roman" w:hAnsi="Times New Roman"/>
          <w:sz w:val="26"/>
        </w:rPr>
        <w:t>rain (0.628) (p-value&lt;0.01)</w:t>
      </w:r>
      <w:r w:rsidR="000273D8" w:rsidRPr="007F15D8">
        <w:rPr>
          <w:rFonts w:ascii="Times New Roman" w:hAnsi="Times New Roman"/>
          <w:sz w:val="26"/>
        </w:rPr>
        <w:t>,</w:t>
      </w:r>
      <w:r w:rsidR="00EC38AF" w:rsidRPr="007F15D8">
        <w:rPr>
          <w:rFonts w:ascii="Times New Roman" w:hAnsi="Times New Roman"/>
          <w:sz w:val="26"/>
        </w:rPr>
        <w:t xml:space="preserve"> and the lowest one is in KSA (0.329) (p-value&lt;0.01). </w:t>
      </w:r>
      <w:r w:rsidR="00A76FEF" w:rsidRPr="007F15D8">
        <w:rPr>
          <w:rFonts w:ascii="Times New Roman" w:hAnsi="Times New Roman"/>
          <w:sz w:val="26"/>
        </w:rPr>
        <w:t xml:space="preserve">The criterion which is used to rank the </w:t>
      </w:r>
      <w:r w:rsidR="006B1C85" w:rsidRPr="007F15D8">
        <w:rPr>
          <w:rFonts w:ascii="Times New Roman" w:hAnsi="Times New Roman"/>
          <w:sz w:val="26"/>
        </w:rPr>
        <w:t>EQ</w:t>
      </w:r>
      <w:r w:rsidR="00A76FEF" w:rsidRPr="007F15D8">
        <w:rPr>
          <w:rFonts w:ascii="Times New Roman" w:hAnsi="Times New Roman"/>
          <w:sz w:val="26"/>
        </w:rPr>
        <w:t xml:space="preserve"> measured by persistence is the value of slope-coefficient β.  </w:t>
      </w:r>
      <w:r w:rsidR="000273D8" w:rsidRPr="007F15D8">
        <w:rPr>
          <w:rFonts w:ascii="Times New Roman" w:hAnsi="Times New Roman"/>
          <w:sz w:val="26"/>
        </w:rPr>
        <w:t>The</w:t>
      </w:r>
      <w:r w:rsidR="00A76FEF" w:rsidRPr="007F15D8">
        <w:rPr>
          <w:rFonts w:ascii="Times New Roman" w:hAnsi="Times New Roman"/>
          <w:sz w:val="26"/>
        </w:rPr>
        <w:t xml:space="preserve"> value of β in </w:t>
      </w:r>
      <w:r w:rsidR="001970BD" w:rsidRPr="007F15D8">
        <w:rPr>
          <w:rFonts w:ascii="Times New Roman" w:hAnsi="Times New Roman"/>
          <w:sz w:val="26"/>
        </w:rPr>
        <w:t>Oman</w:t>
      </w:r>
      <w:r w:rsidR="00A76FEF" w:rsidRPr="007F15D8">
        <w:rPr>
          <w:rFonts w:ascii="Times New Roman" w:hAnsi="Times New Roman"/>
          <w:sz w:val="26"/>
        </w:rPr>
        <w:t xml:space="preserve"> is </w:t>
      </w:r>
      <w:r w:rsidR="00805E2E" w:rsidRPr="007F15D8">
        <w:rPr>
          <w:rFonts w:ascii="Times New Roman" w:hAnsi="Times New Roman"/>
          <w:sz w:val="26"/>
        </w:rPr>
        <w:t>closer</w:t>
      </w:r>
      <w:r w:rsidR="00A76FEF" w:rsidRPr="007F15D8">
        <w:rPr>
          <w:rFonts w:ascii="Times New Roman" w:hAnsi="Times New Roman"/>
          <w:sz w:val="26"/>
        </w:rPr>
        <w:t xml:space="preserve"> to </w:t>
      </w:r>
      <w:r w:rsidR="00805E2E" w:rsidRPr="007F15D8">
        <w:rPr>
          <w:rFonts w:ascii="Times New Roman" w:hAnsi="Times New Roman"/>
          <w:sz w:val="26"/>
        </w:rPr>
        <w:t>one</w:t>
      </w:r>
      <w:r w:rsidR="00A76FEF" w:rsidRPr="007F15D8">
        <w:rPr>
          <w:rFonts w:ascii="Times New Roman" w:hAnsi="Times New Roman"/>
          <w:sz w:val="26"/>
        </w:rPr>
        <w:t xml:space="preserve"> than the other countries</w:t>
      </w:r>
      <w:r w:rsidR="000273D8" w:rsidRPr="007F15D8">
        <w:rPr>
          <w:rFonts w:ascii="Times New Roman" w:hAnsi="Times New Roman"/>
          <w:sz w:val="26"/>
        </w:rPr>
        <w:t>.</w:t>
      </w:r>
      <w:r w:rsidR="00805E2E" w:rsidRPr="007F15D8">
        <w:rPr>
          <w:rFonts w:ascii="Times New Roman" w:hAnsi="Times New Roman"/>
          <w:sz w:val="26"/>
        </w:rPr>
        <w:t xml:space="preserve"> </w:t>
      </w:r>
      <w:r w:rsidR="000273D8" w:rsidRPr="007F15D8">
        <w:rPr>
          <w:rFonts w:ascii="Times New Roman" w:hAnsi="Times New Roman"/>
          <w:sz w:val="26"/>
        </w:rPr>
        <w:t xml:space="preserve">Although </w:t>
      </w:r>
      <w:r w:rsidR="00805E2E" w:rsidRPr="007F15D8">
        <w:rPr>
          <w:rFonts w:ascii="Times New Roman" w:hAnsi="Times New Roman"/>
          <w:sz w:val="26"/>
        </w:rPr>
        <w:t xml:space="preserve">the </w:t>
      </w:r>
      <w:r w:rsidR="00805E2E" w:rsidRPr="007F15D8">
        <w:rPr>
          <w:rFonts w:ascii="Times New Roman" w:hAnsi="Times New Roman" w:cs="Times New Roman"/>
          <w:sz w:val="26"/>
          <w:szCs w:val="26"/>
        </w:rPr>
        <w:t>value</w:t>
      </w:r>
      <w:r w:rsidR="009B35EB" w:rsidRPr="007F15D8">
        <w:rPr>
          <w:rFonts w:ascii="Times New Roman" w:hAnsi="Times New Roman" w:cs="Times New Roman"/>
          <w:sz w:val="26"/>
          <w:szCs w:val="26"/>
        </w:rPr>
        <w:t>s</w:t>
      </w:r>
      <w:r w:rsidR="00805E2E" w:rsidRPr="007F15D8">
        <w:rPr>
          <w:rFonts w:ascii="Times New Roman" w:hAnsi="Times New Roman"/>
          <w:sz w:val="26"/>
        </w:rPr>
        <w:t xml:space="preserve"> for t</w:t>
      </w:r>
      <w:r w:rsidR="001970BD" w:rsidRPr="007F15D8">
        <w:rPr>
          <w:rFonts w:ascii="Times New Roman" w:hAnsi="Times New Roman"/>
          <w:sz w:val="26"/>
        </w:rPr>
        <w:t>he</w:t>
      </w:r>
      <w:r w:rsidR="00805E2E" w:rsidRPr="007F15D8">
        <w:rPr>
          <w:rFonts w:ascii="Times New Roman" w:hAnsi="Times New Roman"/>
          <w:sz w:val="26"/>
        </w:rPr>
        <w:t xml:space="preserve"> other countries are good</w:t>
      </w:r>
      <w:r w:rsidR="000273D8" w:rsidRPr="007F15D8">
        <w:rPr>
          <w:rFonts w:ascii="Times New Roman" w:hAnsi="Times New Roman"/>
          <w:sz w:val="26"/>
        </w:rPr>
        <w:t>,</w:t>
      </w:r>
      <w:r w:rsidR="00805E2E" w:rsidRPr="007F15D8">
        <w:rPr>
          <w:rFonts w:ascii="Times New Roman" w:hAnsi="Times New Roman"/>
          <w:sz w:val="26"/>
        </w:rPr>
        <w:t xml:space="preserve"> the value of β in </w:t>
      </w:r>
      <w:r w:rsidR="001970BD" w:rsidRPr="007F15D8">
        <w:rPr>
          <w:rFonts w:ascii="Times New Roman" w:hAnsi="Times New Roman"/>
          <w:sz w:val="26"/>
        </w:rPr>
        <w:t>KSA</w:t>
      </w:r>
      <w:r w:rsidR="00805E2E" w:rsidRPr="007F15D8">
        <w:rPr>
          <w:rFonts w:ascii="Times New Roman" w:hAnsi="Times New Roman"/>
          <w:sz w:val="26"/>
        </w:rPr>
        <w:t xml:space="preserve"> is closer to zero than the other countries. This result means that the earnings of </w:t>
      </w:r>
      <w:r w:rsidR="001970BD" w:rsidRPr="007F15D8">
        <w:rPr>
          <w:rFonts w:ascii="Times New Roman" w:hAnsi="Times New Roman"/>
          <w:sz w:val="26"/>
        </w:rPr>
        <w:t>Omani</w:t>
      </w:r>
      <w:r w:rsidR="00805E2E" w:rsidRPr="007F15D8">
        <w:rPr>
          <w:rFonts w:ascii="Times New Roman" w:hAnsi="Times New Roman"/>
          <w:sz w:val="26"/>
        </w:rPr>
        <w:t xml:space="preserve"> firms (and other countries except for </w:t>
      </w:r>
      <w:r w:rsidR="001970BD" w:rsidRPr="007F15D8">
        <w:rPr>
          <w:rFonts w:ascii="Times New Roman" w:hAnsi="Times New Roman"/>
          <w:sz w:val="26"/>
        </w:rPr>
        <w:t>KSA</w:t>
      </w:r>
      <w:r w:rsidR="00805E2E" w:rsidRPr="007F15D8">
        <w:rPr>
          <w:rFonts w:ascii="Times New Roman" w:hAnsi="Times New Roman"/>
          <w:sz w:val="26"/>
        </w:rPr>
        <w:t xml:space="preserve">) are more persistent and </w:t>
      </w:r>
      <w:r w:rsidR="0011610E" w:rsidRPr="007F15D8">
        <w:rPr>
          <w:rFonts w:ascii="Times New Roman" w:hAnsi="Times New Roman"/>
          <w:sz w:val="26"/>
        </w:rPr>
        <w:t>sustainable</w:t>
      </w:r>
      <w:r w:rsidR="00805E2E" w:rsidRPr="007F15D8">
        <w:rPr>
          <w:rFonts w:ascii="Times New Roman" w:hAnsi="Times New Roman"/>
          <w:sz w:val="26"/>
        </w:rPr>
        <w:t>. Hence, we expect that the</w:t>
      </w:r>
      <w:r w:rsidR="000273D8" w:rsidRPr="007F15D8">
        <w:rPr>
          <w:rFonts w:ascii="Times New Roman" w:hAnsi="Times New Roman"/>
          <w:sz w:val="26"/>
        </w:rPr>
        <w:t xml:space="preserve"> </w:t>
      </w:r>
      <w:r w:rsidR="00F72273" w:rsidRPr="007F15D8">
        <w:rPr>
          <w:rFonts w:ascii="Times New Roman" w:hAnsi="Times New Roman"/>
          <w:sz w:val="26"/>
        </w:rPr>
        <w:t xml:space="preserve">decision </w:t>
      </w:r>
      <w:r w:rsidR="000273D8" w:rsidRPr="007F15D8">
        <w:rPr>
          <w:rFonts w:ascii="Times New Roman" w:hAnsi="Times New Roman"/>
          <w:sz w:val="26"/>
        </w:rPr>
        <w:t>usefulness of</w:t>
      </w:r>
      <w:r w:rsidR="00805E2E" w:rsidRPr="007F15D8">
        <w:rPr>
          <w:rFonts w:ascii="Times New Roman" w:hAnsi="Times New Roman"/>
          <w:sz w:val="26"/>
        </w:rPr>
        <w:t xml:space="preserve"> </w:t>
      </w:r>
      <w:r w:rsidR="006B1C85" w:rsidRPr="007F15D8">
        <w:rPr>
          <w:rFonts w:ascii="Times New Roman" w:hAnsi="Times New Roman"/>
          <w:sz w:val="26"/>
        </w:rPr>
        <w:t>EQ</w:t>
      </w:r>
      <w:r w:rsidR="00805E2E" w:rsidRPr="007F15D8">
        <w:rPr>
          <w:rFonts w:ascii="Times New Roman" w:hAnsi="Times New Roman"/>
          <w:sz w:val="26"/>
        </w:rPr>
        <w:t xml:space="preserve"> is high</w:t>
      </w:r>
      <w:r w:rsidR="000273D8" w:rsidRPr="007F15D8">
        <w:rPr>
          <w:rFonts w:ascii="Times New Roman" w:hAnsi="Times New Roman"/>
          <w:sz w:val="26"/>
        </w:rPr>
        <w:t xml:space="preserve"> and </w:t>
      </w:r>
      <w:r w:rsidR="00805E2E" w:rsidRPr="007F15D8">
        <w:rPr>
          <w:rFonts w:ascii="Times New Roman" w:hAnsi="Times New Roman"/>
          <w:sz w:val="26"/>
        </w:rPr>
        <w:t>thus provide</w:t>
      </w:r>
      <w:r w:rsidR="00C80A1B">
        <w:rPr>
          <w:rFonts w:ascii="Times New Roman" w:hAnsi="Times New Roman"/>
          <w:sz w:val="26"/>
        </w:rPr>
        <w:t>s</w:t>
      </w:r>
      <w:r w:rsidR="00805E2E" w:rsidRPr="007F15D8">
        <w:rPr>
          <w:rFonts w:ascii="Times New Roman" w:hAnsi="Times New Roman"/>
          <w:sz w:val="26"/>
        </w:rPr>
        <w:t xml:space="preserve"> valuable financial information to stakeholders</w:t>
      </w:r>
      <w:r w:rsidR="000273D8" w:rsidRPr="007F15D8">
        <w:rPr>
          <w:rFonts w:ascii="Times New Roman" w:hAnsi="Times New Roman"/>
          <w:sz w:val="26"/>
        </w:rPr>
        <w:t>,</w:t>
      </w:r>
      <w:r w:rsidR="00805E2E" w:rsidRPr="007F15D8">
        <w:rPr>
          <w:rFonts w:ascii="Times New Roman" w:hAnsi="Times New Roman"/>
          <w:sz w:val="26"/>
        </w:rPr>
        <w:t xml:space="preserve"> including foreign investors.</w:t>
      </w:r>
      <w:r w:rsidR="003E0836" w:rsidRPr="007F15D8">
        <w:rPr>
          <w:rFonts w:ascii="Times New Roman" w:hAnsi="Times New Roman"/>
          <w:sz w:val="26"/>
        </w:rPr>
        <w:t xml:space="preserve"> These results are different from the results of </w:t>
      </w:r>
      <w:proofErr w:type="gramStart"/>
      <w:r w:rsidR="003E0836" w:rsidRPr="007F15D8">
        <w:rPr>
          <w:rFonts w:ascii="Times New Roman" w:hAnsi="Times New Roman"/>
          <w:sz w:val="26"/>
        </w:rPr>
        <w:t>An</w:t>
      </w:r>
      <w:proofErr w:type="gramEnd"/>
      <w:r w:rsidR="003E0836" w:rsidRPr="007F15D8">
        <w:rPr>
          <w:rFonts w:ascii="Times New Roman" w:hAnsi="Times New Roman"/>
          <w:sz w:val="26"/>
        </w:rPr>
        <w:t xml:space="preserve"> (2017) </w:t>
      </w:r>
      <w:r w:rsidR="007875AD">
        <w:rPr>
          <w:rFonts w:ascii="Times New Roman" w:hAnsi="Times New Roman"/>
          <w:sz w:val="26"/>
        </w:rPr>
        <w:t>which</w:t>
      </w:r>
      <w:r w:rsidR="003E0836" w:rsidRPr="007F15D8">
        <w:rPr>
          <w:rFonts w:ascii="Times New Roman" w:hAnsi="Times New Roman"/>
          <w:sz w:val="26"/>
        </w:rPr>
        <w:t xml:space="preserve"> </w:t>
      </w:r>
      <w:r w:rsidR="000273D8" w:rsidRPr="007F15D8">
        <w:rPr>
          <w:rFonts w:ascii="Times New Roman" w:hAnsi="Times New Roman"/>
          <w:sz w:val="26"/>
        </w:rPr>
        <w:t xml:space="preserve">found </w:t>
      </w:r>
      <w:r w:rsidR="003E0836" w:rsidRPr="007F15D8">
        <w:rPr>
          <w:rFonts w:ascii="Times New Roman" w:hAnsi="Times New Roman"/>
          <w:sz w:val="26"/>
        </w:rPr>
        <w:t>the value of β</w:t>
      </w:r>
      <w:r w:rsidR="00263AF0" w:rsidRPr="007F15D8">
        <w:rPr>
          <w:rFonts w:ascii="Times New Roman" w:hAnsi="Times New Roman"/>
          <w:sz w:val="26"/>
        </w:rPr>
        <w:t xml:space="preserve"> in Korea very close to zero</w:t>
      </w:r>
      <w:r w:rsidR="000273D8" w:rsidRPr="007F15D8">
        <w:rPr>
          <w:rFonts w:ascii="Times New Roman" w:hAnsi="Times New Roman"/>
          <w:sz w:val="26"/>
        </w:rPr>
        <w:t>.</w:t>
      </w:r>
      <w:r w:rsidR="00263AF0" w:rsidRPr="007F15D8">
        <w:rPr>
          <w:rFonts w:ascii="Times New Roman" w:hAnsi="Times New Roman"/>
          <w:sz w:val="26"/>
        </w:rPr>
        <w:t xml:space="preserve"> </w:t>
      </w:r>
      <w:r w:rsidR="000273D8" w:rsidRPr="007F15D8">
        <w:rPr>
          <w:rFonts w:ascii="Times New Roman" w:hAnsi="Times New Roman"/>
          <w:sz w:val="26"/>
        </w:rPr>
        <w:t>Our</w:t>
      </w:r>
      <w:r w:rsidR="00263AF0" w:rsidRPr="007F15D8">
        <w:rPr>
          <w:rFonts w:ascii="Times New Roman" w:hAnsi="Times New Roman"/>
          <w:sz w:val="26"/>
        </w:rPr>
        <w:t xml:space="preserve"> results a</w:t>
      </w:r>
      <w:r w:rsidR="006F15D5">
        <w:rPr>
          <w:rFonts w:ascii="Times New Roman" w:hAnsi="Times New Roman"/>
          <w:sz w:val="26"/>
        </w:rPr>
        <w:t>lign</w:t>
      </w:r>
      <w:r w:rsidR="00263AF0" w:rsidRPr="007F15D8">
        <w:rPr>
          <w:rFonts w:ascii="Times New Roman" w:hAnsi="Times New Roman"/>
          <w:sz w:val="26"/>
        </w:rPr>
        <w:t xml:space="preserve"> with </w:t>
      </w:r>
      <w:r w:rsidR="000273D8" w:rsidRPr="007F15D8">
        <w:rPr>
          <w:rFonts w:ascii="Times New Roman" w:hAnsi="Times New Roman"/>
          <w:sz w:val="26"/>
        </w:rPr>
        <w:t xml:space="preserve">those of </w:t>
      </w:r>
      <w:proofErr w:type="spellStart"/>
      <w:r w:rsidR="00263AF0" w:rsidRPr="007F15D8">
        <w:rPr>
          <w:rFonts w:ascii="Times New Roman" w:hAnsi="Times New Roman"/>
          <w:sz w:val="26"/>
        </w:rPr>
        <w:t>Ahn</w:t>
      </w:r>
      <w:proofErr w:type="spellEnd"/>
      <w:r w:rsidR="00263AF0" w:rsidRPr="007F15D8">
        <w:rPr>
          <w:rFonts w:ascii="Times New Roman" w:hAnsi="Times New Roman"/>
          <w:sz w:val="26"/>
        </w:rPr>
        <w:t xml:space="preserve"> </w:t>
      </w:r>
      <w:r w:rsidR="00523653">
        <w:rPr>
          <w:rFonts w:ascii="Times New Roman" w:hAnsi="Times New Roman"/>
          <w:sz w:val="26"/>
        </w:rPr>
        <w:t>and</w:t>
      </w:r>
      <w:r w:rsidR="00263AF0" w:rsidRPr="007F15D8">
        <w:rPr>
          <w:rFonts w:ascii="Times New Roman" w:hAnsi="Times New Roman"/>
          <w:sz w:val="26"/>
        </w:rPr>
        <w:t xml:space="preserve"> Kwon</w:t>
      </w:r>
      <w:r w:rsidR="00DA1890" w:rsidRPr="007F15D8">
        <w:rPr>
          <w:rFonts w:ascii="Times New Roman" w:hAnsi="Times New Roman"/>
          <w:sz w:val="26"/>
        </w:rPr>
        <w:t xml:space="preserve"> (2010)</w:t>
      </w:r>
      <w:r w:rsidR="00C80A1B">
        <w:rPr>
          <w:rFonts w:ascii="Times New Roman" w:hAnsi="Times New Roman"/>
          <w:sz w:val="26"/>
        </w:rPr>
        <w:t>,</w:t>
      </w:r>
      <w:r w:rsidR="00DA1890" w:rsidRPr="007F15D8">
        <w:rPr>
          <w:rFonts w:ascii="Times New Roman" w:hAnsi="Times New Roman"/>
          <w:sz w:val="26"/>
        </w:rPr>
        <w:t xml:space="preserve"> </w:t>
      </w:r>
      <w:r w:rsidR="007875AD">
        <w:rPr>
          <w:rFonts w:ascii="Times New Roman" w:hAnsi="Times New Roman"/>
          <w:sz w:val="26"/>
        </w:rPr>
        <w:t>which</w:t>
      </w:r>
      <w:r w:rsidR="00263AF0" w:rsidRPr="007F15D8">
        <w:rPr>
          <w:rFonts w:ascii="Times New Roman" w:hAnsi="Times New Roman"/>
          <w:sz w:val="26"/>
        </w:rPr>
        <w:t xml:space="preserve"> </w:t>
      </w:r>
      <w:r w:rsidR="000273D8" w:rsidRPr="007F15D8">
        <w:rPr>
          <w:rFonts w:ascii="Times New Roman" w:hAnsi="Times New Roman"/>
          <w:sz w:val="26"/>
        </w:rPr>
        <w:t xml:space="preserve">found </w:t>
      </w:r>
      <w:r w:rsidR="00263AF0" w:rsidRPr="007F15D8">
        <w:rPr>
          <w:rFonts w:ascii="Times New Roman" w:hAnsi="Times New Roman"/>
          <w:sz w:val="26"/>
        </w:rPr>
        <w:t xml:space="preserve">that earnings are highly </w:t>
      </w:r>
      <w:r w:rsidR="000273D8" w:rsidRPr="007F15D8">
        <w:rPr>
          <w:rFonts w:ascii="Times New Roman" w:hAnsi="Times New Roman"/>
          <w:sz w:val="26"/>
        </w:rPr>
        <w:t xml:space="preserve">persistent </w:t>
      </w:r>
      <w:r w:rsidR="00DA1890" w:rsidRPr="007F15D8">
        <w:rPr>
          <w:rFonts w:ascii="Times New Roman" w:hAnsi="Times New Roman"/>
          <w:sz w:val="26"/>
        </w:rPr>
        <w:t>in Korea due to the high levels of cash flows.</w:t>
      </w:r>
      <w:r w:rsidR="00EB7C77" w:rsidRPr="007F15D8">
        <w:rPr>
          <w:sz w:val="26"/>
        </w:rPr>
        <w:t xml:space="preserve"> </w:t>
      </w:r>
    </w:p>
    <w:p w14:paraId="0FE38D1D" w14:textId="6F7BD837" w:rsidR="00D5790E" w:rsidRPr="007F15D8" w:rsidRDefault="000273D8" w:rsidP="006F15D5">
      <w:pPr>
        <w:spacing w:after="0" w:line="360" w:lineRule="exact"/>
        <w:ind w:firstLineChars="200" w:firstLine="520"/>
        <w:jc w:val="both"/>
        <w:rPr>
          <w:rFonts w:ascii="Times New Roman" w:hAnsi="Times New Roman"/>
          <w:sz w:val="26"/>
        </w:rPr>
      </w:pPr>
      <w:r w:rsidRPr="007F15D8">
        <w:rPr>
          <w:rFonts w:ascii="Times New Roman" w:hAnsi="Times New Roman"/>
          <w:sz w:val="26"/>
        </w:rPr>
        <w:t xml:space="preserve">Table </w:t>
      </w:r>
      <w:r w:rsidR="00EB7C77" w:rsidRPr="007F15D8">
        <w:rPr>
          <w:rFonts w:ascii="Times New Roman" w:hAnsi="Times New Roman"/>
          <w:sz w:val="26"/>
        </w:rPr>
        <w:t xml:space="preserve">5 shows the regression results of </w:t>
      </w:r>
      <w:r w:rsidR="00A41BCF" w:rsidRPr="007F15D8">
        <w:rPr>
          <w:rFonts w:ascii="Times New Roman" w:hAnsi="Times New Roman"/>
          <w:sz w:val="26"/>
        </w:rPr>
        <w:t xml:space="preserve">the </w:t>
      </w:r>
      <w:r w:rsidR="00EB7C77" w:rsidRPr="007F15D8">
        <w:rPr>
          <w:rFonts w:ascii="Times New Roman" w:hAnsi="Times New Roman"/>
          <w:sz w:val="26"/>
        </w:rPr>
        <w:t>effect</w:t>
      </w:r>
      <w:r w:rsidR="00A41BCF" w:rsidRPr="007F15D8">
        <w:rPr>
          <w:rFonts w:ascii="Times New Roman" w:hAnsi="Times New Roman"/>
          <w:sz w:val="26"/>
        </w:rPr>
        <w:t xml:space="preserve"> of EQ-PER on FI</w:t>
      </w:r>
      <w:r w:rsidR="00EB7C77" w:rsidRPr="007F15D8">
        <w:rPr>
          <w:rFonts w:ascii="Times New Roman" w:hAnsi="Times New Roman"/>
          <w:sz w:val="26"/>
        </w:rPr>
        <w:t>.</w:t>
      </w:r>
    </w:p>
    <w:p w14:paraId="6D75781A" w14:textId="77777777" w:rsidR="00745739" w:rsidRDefault="00745739" w:rsidP="00B725B6">
      <w:pPr>
        <w:autoSpaceDE w:val="0"/>
        <w:autoSpaceDN w:val="0"/>
        <w:adjustRightInd w:val="0"/>
        <w:spacing w:after="0" w:line="360" w:lineRule="exact"/>
        <w:jc w:val="center"/>
        <w:rPr>
          <w:rFonts w:ascii="Times New Roman" w:hAnsi="Times New Roman"/>
          <w:bCs/>
          <w:sz w:val="26"/>
          <w:szCs w:val="26"/>
        </w:rPr>
      </w:pPr>
    </w:p>
    <w:p w14:paraId="0D56B3BA" w14:textId="77777777" w:rsidR="009076E0" w:rsidRDefault="009076E0">
      <w:pPr>
        <w:rPr>
          <w:rFonts w:asciiTheme="majorBidi" w:hAnsiTheme="majorBidi"/>
          <w:b/>
          <w:sz w:val="26"/>
        </w:rPr>
      </w:pPr>
      <w:r>
        <w:rPr>
          <w:rFonts w:asciiTheme="majorBidi" w:hAnsiTheme="majorBidi"/>
          <w:b/>
          <w:sz w:val="26"/>
        </w:rPr>
        <w:br w:type="page"/>
      </w:r>
    </w:p>
    <w:p w14:paraId="12BD1ACD" w14:textId="1886FAF8" w:rsidR="00E40A40" w:rsidRPr="00FA3651" w:rsidRDefault="00E40A40" w:rsidP="00FA3651">
      <w:pPr>
        <w:snapToGrid w:val="0"/>
        <w:spacing w:afterLines="50" w:after="120" w:line="360" w:lineRule="exact"/>
        <w:jc w:val="both"/>
        <w:rPr>
          <w:rFonts w:asciiTheme="majorBidi" w:hAnsiTheme="majorBidi"/>
          <w:sz w:val="26"/>
        </w:rPr>
      </w:pPr>
      <w:r w:rsidRPr="002E7CAC">
        <w:rPr>
          <w:rFonts w:asciiTheme="majorBidi" w:hAnsiTheme="majorBidi"/>
          <w:b/>
          <w:sz w:val="26"/>
        </w:rPr>
        <w:lastRenderedPageBreak/>
        <w:t xml:space="preserve">Table </w:t>
      </w:r>
      <w:proofErr w:type="gramStart"/>
      <w:r w:rsidRPr="002E7CAC">
        <w:rPr>
          <w:rFonts w:asciiTheme="majorBidi" w:hAnsiTheme="majorBidi"/>
          <w:b/>
          <w:sz w:val="26"/>
        </w:rPr>
        <w:t>5</w:t>
      </w:r>
      <w:r w:rsidR="00C11B06" w:rsidRPr="00FA3651">
        <w:rPr>
          <w:rFonts w:asciiTheme="majorBidi" w:hAnsiTheme="majorBidi"/>
          <w:sz w:val="26"/>
        </w:rPr>
        <w:t xml:space="preserve"> </w:t>
      </w:r>
      <w:r w:rsidRPr="00FA3651">
        <w:rPr>
          <w:rFonts w:asciiTheme="majorBidi" w:hAnsiTheme="majorBidi"/>
          <w:sz w:val="26"/>
        </w:rPr>
        <w:t xml:space="preserve"> </w:t>
      </w:r>
      <w:r w:rsidRPr="002E7CAC">
        <w:rPr>
          <w:rFonts w:asciiTheme="majorBidi" w:hAnsiTheme="majorBidi"/>
          <w:i/>
          <w:sz w:val="26"/>
        </w:rPr>
        <w:t>Regression</w:t>
      </w:r>
      <w:proofErr w:type="gramEnd"/>
      <w:r w:rsidRPr="002E7CAC">
        <w:rPr>
          <w:rFonts w:asciiTheme="majorBidi" w:hAnsiTheme="majorBidi"/>
          <w:i/>
          <w:sz w:val="26"/>
        </w:rPr>
        <w:t xml:space="preserve"> Results between PER and FI</w:t>
      </w:r>
    </w:p>
    <w:tbl>
      <w:tblPr>
        <w:tblStyle w:val="a9"/>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741"/>
        <w:gridCol w:w="625"/>
        <w:gridCol w:w="741"/>
        <w:gridCol w:w="625"/>
        <w:gridCol w:w="741"/>
        <w:gridCol w:w="626"/>
        <w:gridCol w:w="741"/>
        <w:gridCol w:w="626"/>
        <w:gridCol w:w="741"/>
        <w:gridCol w:w="626"/>
        <w:gridCol w:w="741"/>
        <w:gridCol w:w="623"/>
      </w:tblGrid>
      <w:tr w:rsidR="007F15D8" w:rsidRPr="00B725B6" w14:paraId="3A49D87B" w14:textId="77777777" w:rsidTr="00215E9A">
        <w:trPr>
          <w:trHeight w:val="340"/>
          <w:jc w:val="center"/>
        </w:trPr>
        <w:tc>
          <w:tcPr>
            <w:tcW w:w="460" w:type="pct"/>
            <w:vMerge w:val="restart"/>
            <w:tcBorders>
              <w:top w:val="single" w:sz="4" w:space="0" w:color="auto"/>
              <w:bottom w:val="single" w:sz="4" w:space="0" w:color="auto"/>
              <w:right w:val="single" w:sz="4" w:space="0" w:color="auto"/>
              <w:tl2br w:val="single" w:sz="4" w:space="0" w:color="auto"/>
            </w:tcBorders>
            <w:vAlign w:val="center"/>
          </w:tcPr>
          <w:p w14:paraId="7BB9E357" w14:textId="0C6303C1" w:rsidR="00E40A40" w:rsidRPr="004C2820" w:rsidRDefault="004C2820" w:rsidP="004C2820">
            <w:pPr>
              <w:adjustRightInd w:val="0"/>
              <w:snapToGrid w:val="0"/>
              <w:rPr>
                <w:rFonts w:ascii="Times New Roman" w:hAnsi="Times New Roman" w:cs="Times New Roman"/>
                <w:sz w:val="16"/>
              </w:rPr>
            </w:pPr>
            <w:r>
              <w:rPr>
                <w:rFonts w:ascii="Times New Roman" w:hAnsi="Times New Roman" w:cs="Times New Roman"/>
                <w:sz w:val="16"/>
              </w:rPr>
              <w:t xml:space="preserve">  </w:t>
            </w:r>
            <w:r w:rsidR="00E40A40" w:rsidRPr="004C2820">
              <w:rPr>
                <w:rFonts w:ascii="Times New Roman" w:hAnsi="Times New Roman" w:cs="Times New Roman"/>
                <w:sz w:val="16"/>
              </w:rPr>
              <w:t>Country</w:t>
            </w:r>
          </w:p>
          <w:p w14:paraId="25537BA4" w14:textId="77777777" w:rsidR="00E40A40" w:rsidRPr="004C2820" w:rsidRDefault="00E40A40" w:rsidP="004C2820">
            <w:pPr>
              <w:adjustRightInd w:val="0"/>
              <w:snapToGrid w:val="0"/>
              <w:rPr>
                <w:rFonts w:ascii="Times New Roman" w:hAnsi="Times New Roman" w:cs="Times New Roman"/>
                <w:sz w:val="16"/>
              </w:rPr>
            </w:pPr>
          </w:p>
          <w:p w14:paraId="0EBAFFF3" w14:textId="77777777" w:rsidR="00E40A40" w:rsidRPr="004C2820" w:rsidRDefault="00E40A40" w:rsidP="004C2820">
            <w:pPr>
              <w:adjustRightInd w:val="0"/>
              <w:snapToGrid w:val="0"/>
              <w:rPr>
                <w:rFonts w:ascii="Times New Roman" w:hAnsi="Times New Roman" w:cs="Times New Roman"/>
                <w:sz w:val="16"/>
              </w:rPr>
            </w:pPr>
            <w:r w:rsidRPr="004C2820">
              <w:rPr>
                <w:rFonts w:ascii="Times New Roman" w:hAnsi="Times New Roman" w:cs="Times New Roman"/>
                <w:sz w:val="16"/>
              </w:rPr>
              <w:t>Variables</w:t>
            </w:r>
          </w:p>
        </w:tc>
        <w:tc>
          <w:tcPr>
            <w:tcW w:w="757" w:type="pct"/>
            <w:gridSpan w:val="2"/>
            <w:tcBorders>
              <w:top w:val="single" w:sz="4" w:space="0" w:color="auto"/>
              <w:left w:val="single" w:sz="4" w:space="0" w:color="auto"/>
              <w:bottom w:val="single" w:sz="4" w:space="0" w:color="auto"/>
            </w:tcBorders>
            <w:vAlign w:val="center"/>
          </w:tcPr>
          <w:p w14:paraId="36F9B7B0"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KSA</w:t>
            </w:r>
          </w:p>
        </w:tc>
        <w:tc>
          <w:tcPr>
            <w:tcW w:w="757" w:type="pct"/>
            <w:gridSpan w:val="2"/>
            <w:tcBorders>
              <w:top w:val="single" w:sz="4" w:space="0" w:color="auto"/>
              <w:bottom w:val="single" w:sz="4" w:space="0" w:color="auto"/>
            </w:tcBorders>
            <w:vAlign w:val="center"/>
          </w:tcPr>
          <w:p w14:paraId="2508AD6F"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OMN</w:t>
            </w:r>
          </w:p>
        </w:tc>
        <w:tc>
          <w:tcPr>
            <w:tcW w:w="757" w:type="pct"/>
            <w:gridSpan w:val="2"/>
            <w:tcBorders>
              <w:top w:val="single" w:sz="4" w:space="0" w:color="auto"/>
              <w:bottom w:val="single" w:sz="4" w:space="0" w:color="auto"/>
            </w:tcBorders>
            <w:vAlign w:val="center"/>
          </w:tcPr>
          <w:p w14:paraId="58F254A3"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QAT</w:t>
            </w:r>
          </w:p>
        </w:tc>
        <w:tc>
          <w:tcPr>
            <w:tcW w:w="757" w:type="pct"/>
            <w:gridSpan w:val="2"/>
            <w:tcBorders>
              <w:top w:val="single" w:sz="4" w:space="0" w:color="auto"/>
              <w:bottom w:val="single" w:sz="4" w:space="0" w:color="auto"/>
            </w:tcBorders>
            <w:vAlign w:val="center"/>
          </w:tcPr>
          <w:p w14:paraId="63A5DED5"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BAH</w:t>
            </w:r>
          </w:p>
        </w:tc>
        <w:tc>
          <w:tcPr>
            <w:tcW w:w="757" w:type="pct"/>
            <w:gridSpan w:val="2"/>
            <w:tcBorders>
              <w:top w:val="single" w:sz="4" w:space="0" w:color="auto"/>
              <w:bottom w:val="single" w:sz="4" w:space="0" w:color="auto"/>
            </w:tcBorders>
            <w:vAlign w:val="center"/>
          </w:tcPr>
          <w:p w14:paraId="6D62879D" w14:textId="5980E2DA" w:rsidR="00E40A40" w:rsidRPr="00B725B6" w:rsidRDefault="00634217"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KUW</w:t>
            </w:r>
          </w:p>
        </w:tc>
        <w:tc>
          <w:tcPr>
            <w:tcW w:w="756" w:type="pct"/>
            <w:gridSpan w:val="2"/>
            <w:tcBorders>
              <w:top w:val="single" w:sz="4" w:space="0" w:color="auto"/>
              <w:bottom w:val="single" w:sz="4" w:space="0" w:color="auto"/>
            </w:tcBorders>
            <w:vAlign w:val="center"/>
          </w:tcPr>
          <w:p w14:paraId="77F983FF"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UAE</w:t>
            </w:r>
          </w:p>
        </w:tc>
      </w:tr>
      <w:tr w:rsidR="004C2820" w:rsidRPr="00B725B6" w14:paraId="3D97D7B5" w14:textId="77777777" w:rsidTr="00215E9A">
        <w:trPr>
          <w:trHeight w:val="150"/>
          <w:jc w:val="center"/>
        </w:trPr>
        <w:tc>
          <w:tcPr>
            <w:tcW w:w="460" w:type="pct"/>
            <w:vMerge/>
            <w:tcBorders>
              <w:top w:val="single" w:sz="4" w:space="0" w:color="auto"/>
              <w:bottom w:val="single" w:sz="4" w:space="0" w:color="auto"/>
              <w:right w:val="single" w:sz="4" w:space="0" w:color="auto"/>
              <w:tl2br w:val="single" w:sz="4" w:space="0" w:color="auto"/>
            </w:tcBorders>
            <w:vAlign w:val="center"/>
          </w:tcPr>
          <w:p w14:paraId="3E02B07D" w14:textId="77777777" w:rsidR="00E40A40" w:rsidRPr="00B725B6" w:rsidRDefault="00E40A40" w:rsidP="004C2820">
            <w:pPr>
              <w:autoSpaceDE w:val="0"/>
              <w:autoSpaceDN w:val="0"/>
              <w:adjustRightInd w:val="0"/>
              <w:jc w:val="center"/>
              <w:rPr>
                <w:rFonts w:ascii="Times New Roman" w:hAnsi="Times New Roman" w:cs="Times New Roman"/>
                <w:noProof/>
                <w:sz w:val="18"/>
                <w:szCs w:val="18"/>
              </w:rPr>
            </w:pPr>
          </w:p>
        </w:tc>
        <w:tc>
          <w:tcPr>
            <w:tcW w:w="410" w:type="pct"/>
            <w:tcBorders>
              <w:top w:val="single" w:sz="4" w:space="0" w:color="auto"/>
              <w:left w:val="single" w:sz="4" w:space="0" w:color="auto"/>
              <w:bottom w:val="single" w:sz="4" w:space="0" w:color="auto"/>
            </w:tcBorders>
            <w:vAlign w:val="center"/>
          </w:tcPr>
          <w:p w14:paraId="08398208"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B</w:t>
            </w:r>
          </w:p>
        </w:tc>
        <w:tc>
          <w:tcPr>
            <w:tcW w:w="346" w:type="pct"/>
            <w:tcBorders>
              <w:top w:val="single" w:sz="4" w:space="0" w:color="auto"/>
              <w:bottom w:val="single" w:sz="4" w:space="0" w:color="auto"/>
            </w:tcBorders>
            <w:vAlign w:val="center"/>
          </w:tcPr>
          <w:p w14:paraId="213E1F7C"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t-value</w:t>
            </w:r>
          </w:p>
        </w:tc>
        <w:tc>
          <w:tcPr>
            <w:tcW w:w="410" w:type="pct"/>
            <w:tcBorders>
              <w:top w:val="single" w:sz="4" w:space="0" w:color="auto"/>
              <w:bottom w:val="single" w:sz="4" w:space="0" w:color="auto"/>
            </w:tcBorders>
            <w:vAlign w:val="center"/>
          </w:tcPr>
          <w:p w14:paraId="674AA2D3"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B</w:t>
            </w:r>
          </w:p>
        </w:tc>
        <w:tc>
          <w:tcPr>
            <w:tcW w:w="346" w:type="pct"/>
            <w:tcBorders>
              <w:top w:val="single" w:sz="4" w:space="0" w:color="auto"/>
              <w:bottom w:val="single" w:sz="4" w:space="0" w:color="auto"/>
            </w:tcBorders>
            <w:vAlign w:val="center"/>
          </w:tcPr>
          <w:p w14:paraId="35555D22"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t-value</w:t>
            </w:r>
          </w:p>
        </w:tc>
        <w:tc>
          <w:tcPr>
            <w:tcW w:w="410" w:type="pct"/>
            <w:tcBorders>
              <w:top w:val="single" w:sz="4" w:space="0" w:color="auto"/>
              <w:bottom w:val="single" w:sz="4" w:space="0" w:color="auto"/>
            </w:tcBorders>
            <w:vAlign w:val="center"/>
          </w:tcPr>
          <w:p w14:paraId="26E2AB15"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B</w:t>
            </w:r>
          </w:p>
        </w:tc>
        <w:tc>
          <w:tcPr>
            <w:tcW w:w="346" w:type="pct"/>
            <w:tcBorders>
              <w:top w:val="single" w:sz="4" w:space="0" w:color="auto"/>
              <w:bottom w:val="single" w:sz="4" w:space="0" w:color="auto"/>
            </w:tcBorders>
            <w:vAlign w:val="center"/>
          </w:tcPr>
          <w:p w14:paraId="60CA1447"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t-value</w:t>
            </w:r>
          </w:p>
        </w:tc>
        <w:tc>
          <w:tcPr>
            <w:tcW w:w="410" w:type="pct"/>
            <w:tcBorders>
              <w:top w:val="single" w:sz="4" w:space="0" w:color="auto"/>
              <w:bottom w:val="single" w:sz="4" w:space="0" w:color="auto"/>
            </w:tcBorders>
            <w:vAlign w:val="center"/>
          </w:tcPr>
          <w:p w14:paraId="4378C4DB"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B</w:t>
            </w:r>
          </w:p>
        </w:tc>
        <w:tc>
          <w:tcPr>
            <w:tcW w:w="347" w:type="pct"/>
            <w:tcBorders>
              <w:top w:val="single" w:sz="4" w:space="0" w:color="auto"/>
              <w:bottom w:val="single" w:sz="4" w:space="0" w:color="auto"/>
            </w:tcBorders>
            <w:vAlign w:val="center"/>
          </w:tcPr>
          <w:p w14:paraId="0B24CFF7"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t-value</w:t>
            </w:r>
          </w:p>
        </w:tc>
        <w:tc>
          <w:tcPr>
            <w:tcW w:w="410" w:type="pct"/>
            <w:tcBorders>
              <w:top w:val="single" w:sz="4" w:space="0" w:color="auto"/>
              <w:bottom w:val="single" w:sz="4" w:space="0" w:color="auto"/>
            </w:tcBorders>
            <w:vAlign w:val="center"/>
          </w:tcPr>
          <w:p w14:paraId="1E4AF85F"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B</w:t>
            </w:r>
          </w:p>
        </w:tc>
        <w:tc>
          <w:tcPr>
            <w:tcW w:w="347" w:type="pct"/>
            <w:tcBorders>
              <w:top w:val="single" w:sz="4" w:space="0" w:color="auto"/>
              <w:bottom w:val="single" w:sz="4" w:space="0" w:color="auto"/>
            </w:tcBorders>
            <w:vAlign w:val="center"/>
          </w:tcPr>
          <w:p w14:paraId="3D270C7C"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t-value</w:t>
            </w:r>
          </w:p>
        </w:tc>
        <w:tc>
          <w:tcPr>
            <w:tcW w:w="410" w:type="pct"/>
            <w:tcBorders>
              <w:top w:val="single" w:sz="4" w:space="0" w:color="auto"/>
              <w:bottom w:val="single" w:sz="4" w:space="0" w:color="auto"/>
            </w:tcBorders>
            <w:vAlign w:val="center"/>
          </w:tcPr>
          <w:p w14:paraId="1E16BED3"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B</w:t>
            </w:r>
          </w:p>
        </w:tc>
        <w:tc>
          <w:tcPr>
            <w:tcW w:w="346" w:type="pct"/>
            <w:tcBorders>
              <w:top w:val="single" w:sz="4" w:space="0" w:color="auto"/>
              <w:bottom w:val="single" w:sz="4" w:space="0" w:color="auto"/>
            </w:tcBorders>
            <w:vAlign w:val="center"/>
          </w:tcPr>
          <w:p w14:paraId="69A36CF5"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t-value</w:t>
            </w:r>
          </w:p>
        </w:tc>
      </w:tr>
      <w:tr w:rsidR="004C2820" w:rsidRPr="00B725B6" w14:paraId="4F17DC0C" w14:textId="77777777" w:rsidTr="00215E9A">
        <w:trPr>
          <w:jc w:val="center"/>
        </w:trPr>
        <w:tc>
          <w:tcPr>
            <w:tcW w:w="460" w:type="pct"/>
            <w:tcBorders>
              <w:top w:val="single" w:sz="4" w:space="0" w:color="auto"/>
              <w:bottom w:val="single" w:sz="4" w:space="0" w:color="auto"/>
              <w:right w:val="single" w:sz="4" w:space="0" w:color="auto"/>
            </w:tcBorders>
            <w:vAlign w:val="center"/>
          </w:tcPr>
          <w:p w14:paraId="053B1964" w14:textId="305196A0" w:rsidR="00E40A40" w:rsidRPr="00B725B6" w:rsidRDefault="00E40A40" w:rsidP="004C2820">
            <w:pPr>
              <w:tabs>
                <w:tab w:val="left" w:pos="4536"/>
              </w:tabs>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EQ</w:t>
            </w:r>
            <w:r w:rsidR="004C2820">
              <w:rPr>
                <w:rFonts w:ascii="Times New Roman" w:hAnsi="Times New Roman" w:cs="Times New Roman"/>
                <w:sz w:val="18"/>
                <w:szCs w:val="18"/>
              </w:rPr>
              <w:t xml:space="preserve"> </w:t>
            </w:r>
            <w:r w:rsidRPr="00B725B6">
              <w:rPr>
                <w:rFonts w:ascii="Times New Roman" w:hAnsi="Times New Roman" w:cs="Times New Roman"/>
                <w:sz w:val="18"/>
                <w:szCs w:val="18"/>
              </w:rPr>
              <w:t>(PER)</w:t>
            </w:r>
          </w:p>
        </w:tc>
        <w:tc>
          <w:tcPr>
            <w:tcW w:w="410" w:type="pct"/>
            <w:tcBorders>
              <w:top w:val="single" w:sz="4" w:space="0" w:color="auto"/>
              <w:left w:val="single" w:sz="4" w:space="0" w:color="auto"/>
              <w:bottom w:val="single" w:sz="4" w:space="0" w:color="auto"/>
            </w:tcBorders>
            <w:vAlign w:val="center"/>
          </w:tcPr>
          <w:p w14:paraId="4749D49D"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-0.001</w:t>
            </w:r>
          </w:p>
          <w:p w14:paraId="766E6938"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(0.148)</w:t>
            </w:r>
          </w:p>
        </w:tc>
        <w:tc>
          <w:tcPr>
            <w:tcW w:w="346" w:type="pct"/>
            <w:tcBorders>
              <w:top w:val="single" w:sz="4" w:space="0" w:color="auto"/>
              <w:bottom w:val="single" w:sz="4" w:space="0" w:color="auto"/>
            </w:tcBorders>
            <w:vAlign w:val="center"/>
          </w:tcPr>
          <w:p w14:paraId="04C76F8D" w14:textId="77777777" w:rsidR="00E40A40" w:rsidRPr="00B725B6" w:rsidRDefault="00E40A40" w:rsidP="00B725B6">
            <w:pPr>
              <w:jc w:val="center"/>
              <w:rPr>
                <w:rFonts w:ascii="Times New Roman" w:hAnsi="Times New Roman" w:cs="Times New Roman"/>
                <w:sz w:val="18"/>
                <w:szCs w:val="18"/>
              </w:rPr>
            </w:pPr>
            <w:r w:rsidRPr="00B725B6">
              <w:rPr>
                <w:rFonts w:ascii="Times New Roman" w:hAnsi="Times New Roman" w:cs="Times New Roman"/>
                <w:sz w:val="18"/>
                <w:szCs w:val="18"/>
              </w:rPr>
              <w:t>-1.45</w:t>
            </w:r>
          </w:p>
          <w:p w14:paraId="720F1E68" w14:textId="77777777" w:rsidR="00E40A40" w:rsidRPr="00B725B6" w:rsidRDefault="00E40A40" w:rsidP="00B725B6">
            <w:pPr>
              <w:jc w:val="center"/>
              <w:rPr>
                <w:rFonts w:ascii="Times New Roman" w:hAnsi="Times New Roman" w:cs="Times New Roman"/>
                <w:sz w:val="18"/>
                <w:szCs w:val="18"/>
              </w:rPr>
            </w:pPr>
          </w:p>
        </w:tc>
        <w:tc>
          <w:tcPr>
            <w:tcW w:w="410" w:type="pct"/>
            <w:tcBorders>
              <w:top w:val="single" w:sz="4" w:space="0" w:color="auto"/>
              <w:bottom w:val="single" w:sz="4" w:space="0" w:color="auto"/>
            </w:tcBorders>
            <w:vAlign w:val="center"/>
          </w:tcPr>
          <w:p w14:paraId="490E5FBC"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0.031</w:t>
            </w:r>
          </w:p>
          <w:p w14:paraId="477B9520"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(0.029)</w:t>
            </w:r>
          </w:p>
        </w:tc>
        <w:tc>
          <w:tcPr>
            <w:tcW w:w="346" w:type="pct"/>
            <w:tcBorders>
              <w:top w:val="single" w:sz="4" w:space="0" w:color="auto"/>
              <w:bottom w:val="single" w:sz="4" w:space="0" w:color="auto"/>
            </w:tcBorders>
            <w:vAlign w:val="center"/>
          </w:tcPr>
          <w:p w14:paraId="6B14C0B1" w14:textId="77777777" w:rsidR="00E40A40" w:rsidRPr="00B725B6" w:rsidRDefault="00E40A40" w:rsidP="00B725B6">
            <w:pPr>
              <w:jc w:val="center"/>
              <w:rPr>
                <w:rFonts w:ascii="Times New Roman" w:hAnsi="Times New Roman" w:cs="Times New Roman"/>
                <w:sz w:val="18"/>
                <w:szCs w:val="18"/>
              </w:rPr>
            </w:pPr>
            <w:r w:rsidRPr="00B725B6">
              <w:rPr>
                <w:rFonts w:ascii="Times New Roman" w:hAnsi="Times New Roman" w:cs="Times New Roman"/>
                <w:sz w:val="18"/>
                <w:szCs w:val="18"/>
              </w:rPr>
              <w:t>2.183</w:t>
            </w:r>
          </w:p>
        </w:tc>
        <w:tc>
          <w:tcPr>
            <w:tcW w:w="410" w:type="pct"/>
            <w:tcBorders>
              <w:top w:val="single" w:sz="4" w:space="0" w:color="auto"/>
              <w:bottom w:val="single" w:sz="4" w:space="0" w:color="auto"/>
            </w:tcBorders>
            <w:vAlign w:val="center"/>
          </w:tcPr>
          <w:p w14:paraId="16313EDD"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0.001</w:t>
            </w:r>
          </w:p>
          <w:p w14:paraId="7A4561CC"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(0.672)</w:t>
            </w:r>
          </w:p>
        </w:tc>
        <w:tc>
          <w:tcPr>
            <w:tcW w:w="346" w:type="pct"/>
            <w:tcBorders>
              <w:top w:val="single" w:sz="4" w:space="0" w:color="auto"/>
              <w:bottom w:val="single" w:sz="4" w:space="0" w:color="auto"/>
            </w:tcBorders>
            <w:vAlign w:val="center"/>
          </w:tcPr>
          <w:p w14:paraId="52C5D42E"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0.426</w:t>
            </w:r>
          </w:p>
        </w:tc>
        <w:tc>
          <w:tcPr>
            <w:tcW w:w="410" w:type="pct"/>
            <w:tcBorders>
              <w:top w:val="single" w:sz="4" w:space="0" w:color="auto"/>
              <w:bottom w:val="single" w:sz="4" w:space="0" w:color="auto"/>
            </w:tcBorders>
            <w:vAlign w:val="center"/>
          </w:tcPr>
          <w:p w14:paraId="0A69D955"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0.006</w:t>
            </w:r>
          </w:p>
          <w:p w14:paraId="19C34595"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(0.520)</w:t>
            </w:r>
          </w:p>
        </w:tc>
        <w:tc>
          <w:tcPr>
            <w:tcW w:w="347" w:type="pct"/>
            <w:tcBorders>
              <w:top w:val="single" w:sz="4" w:space="0" w:color="auto"/>
              <w:bottom w:val="single" w:sz="4" w:space="0" w:color="auto"/>
            </w:tcBorders>
            <w:vAlign w:val="center"/>
          </w:tcPr>
          <w:p w14:paraId="73512557"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0.605</w:t>
            </w:r>
          </w:p>
        </w:tc>
        <w:tc>
          <w:tcPr>
            <w:tcW w:w="410" w:type="pct"/>
            <w:tcBorders>
              <w:top w:val="single" w:sz="4" w:space="0" w:color="auto"/>
              <w:bottom w:val="single" w:sz="4" w:space="0" w:color="auto"/>
            </w:tcBorders>
            <w:vAlign w:val="center"/>
          </w:tcPr>
          <w:p w14:paraId="0B126E00"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-0.297</w:t>
            </w:r>
          </w:p>
          <w:p w14:paraId="5D129EFC"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(0.247)</w:t>
            </w:r>
          </w:p>
        </w:tc>
        <w:tc>
          <w:tcPr>
            <w:tcW w:w="347" w:type="pct"/>
            <w:tcBorders>
              <w:top w:val="single" w:sz="4" w:space="0" w:color="auto"/>
              <w:bottom w:val="single" w:sz="4" w:space="0" w:color="auto"/>
            </w:tcBorders>
            <w:vAlign w:val="center"/>
          </w:tcPr>
          <w:p w14:paraId="2E6A1119"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-1.172</w:t>
            </w:r>
          </w:p>
        </w:tc>
        <w:tc>
          <w:tcPr>
            <w:tcW w:w="410" w:type="pct"/>
            <w:tcBorders>
              <w:top w:val="single" w:sz="4" w:space="0" w:color="auto"/>
              <w:bottom w:val="single" w:sz="4" w:space="0" w:color="auto"/>
            </w:tcBorders>
            <w:vAlign w:val="center"/>
          </w:tcPr>
          <w:p w14:paraId="361EC6F9"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0.024</w:t>
            </w:r>
          </w:p>
          <w:p w14:paraId="55C3FE98"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(0.190)</w:t>
            </w:r>
          </w:p>
        </w:tc>
        <w:tc>
          <w:tcPr>
            <w:tcW w:w="346" w:type="pct"/>
            <w:tcBorders>
              <w:top w:val="single" w:sz="4" w:space="0" w:color="auto"/>
              <w:bottom w:val="single" w:sz="4" w:space="0" w:color="auto"/>
            </w:tcBorders>
            <w:vAlign w:val="center"/>
          </w:tcPr>
          <w:p w14:paraId="5B0AF9A3"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1.319</w:t>
            </w:r>
          </w:p>
        </w:tc>
      </w:tr>
      <w:tr w:rsidR="004C2820" w:rsidRPr="00B725B6" w14:paraId="1928D765" w14:textId="77777777" w:rsidTr="00215E9A">
        <w:trPr>
          <w:jc w:val="center"/>
        </w:trPr>
        <w:tc>
          <w:tcPr>
            <w:tcW w:w="460" w:type="pct"/>
            <w:tcBorders>
              <w:top w:val="single" w:sz="4" w:space="0" w:color="auto"/>
              <w:bottom w:val="single" w:sz="4" w:space="0" w:color="auto"/>
              <w:right w:val="single" w:sz="4" w:space="0" w:color="auto"/>
            </w:tcBorders>
            <w:vAlign w:val="center"/>
          </w:tcPr>
          <w:p w14:paraId="61619F89" w14:textId="77777777" w:rsidR="00E40A40" w:rsidRPr="00B725B6" w:rsidRDefault="00E40A40" w:rsidP="004C2820">
            <w:pPr>
              <w:tabs>
                <w:tab w:val="left" w:pos="4536"/>
              </w:tabs>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Big4</w:t>
            </w:r>
          </w:p>
        </w:tc>
        <w:tc>
          <w:tcPr>
            <w:tcW w:w="410" w:type="pct"/>
            <w:tcBorders>
              <w:top w:val="single" w:sz="4" w:space="0" w:color="auto"/>
              <w:left w:val="single" w:sz="4" w:space="0" w:color="auto"/>
              <w:bottom w:val="single" w:sz="4" w:space="0" w:color="auto"/>
            </w:tcBorders>
            <w:vAlign w:val="center"/>
          </w:tcPr>
          <w:p w14:paraId="7932292D"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-0.013</w:t>
            </w:r>
          </w:p>
          <w:p w14:paraId="14629E75"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(0.037)</w:t>
            </w:r>
          </w:p>
        </w:tc>
        <w:tc>
          <w:tcPr>
            <w:tcW w:w="346" w:type="pct"/>
            <w:tcBorders>
              <w:top w:val="single" w:sz="4" w:space="0" w:color="auto"/>
              <w:bottom w:val="single" w:sz="4" w:space="0" w:color="auto"/>
            </w:tcBorders>
            <w:vAlign w:val="center"/>
          </w:tcPr>
          <w:p w14:paraId="2665B2C4" w14:textId="77777777" w:rsidR="00E40A40" w:rsidRPr="00B725B6" w:rsidRDefault="00E40A40" w:rsidP="00B725B6">
            <w:pPr>
              <w:jc w:val="center"/>
              <w:rPr>
                <w:rFonts w:ascii="Times New Roman" w:hAnsi="Times New Roman" w:cs="Times New Roman"/>
                <w:sz w:val="18"/>
                <w:szCs w:val="18"/>
              </w:rPr>
            </w:pPr>
            <w:r w:rsidRPr="00B725B6">
              <w:rPr>
                <w:rFonts w:ascii="Times New Roman" w:hAnsi="Times New Roman" w:cs="Times New Roman"/>
                <w:sz w:val="18"/>
                <w:szCs w:val="18"/>
              </w:rPr>
              <w:t>-2.06</w:t>
            </w:r>
          </w:p>
          <w:p w14:paraId="2687CEE3" w14:textId="77777777" w:rsidR="00E40A40" w:rsidRPr="00B725B6" w:rsidRDefault="00E40A40" w:rsidP="00B725B6">
            <w:pPr>
              <w:jc w:val="center"/>
              <w:rPr>
                <w:rFonts w:ascii="Times New Roman" w:hAnsi="Times New Roman" w:cs="Times New Roman"/>
                <w:sz w:val="18"/>
                <w:szCs w:val="18"/>
              </w:rPr>
            </w:pPr>
          </w:p>
        </w:tc>
        <w:tc>
          <w:tcPr>
            <w:tcW w:w="410" w:type="pct"/>
            <w:tcBorders>
              <w:top w:val="single" w:sz="4" w:space="0" w:color="auto"/>
              <w:bottom w:val="single" w:sz="4" w:space="0" w:color="auto"/>
            </w:tcBorders>
            <w:vAlign w:val="center"/>
          </w:tcPr>
          <w:p w14:paraId="4318B175"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0.042</w:t>
            </w:r>
          </w:p>
          <w:p w14:paraId="255CAAED"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(0.000)</w:t>
            </w:r>
          </w:p>
        </w:tc>
        <w:tc>
          <w:tcPr>
            <w:tcW w:w="346" w:type="pct"/>
            <w:tcBorders>
              <w:top w:val="single" w:sz="4" w:space="0" w:color="auto"/>
              <w:bottom w:val="single" w:sz="4" w:space="0" w:color="auto"/>
            </w:tcBorders>
            <w:vAlign w:val="center"/>
          </w:tcPr>
          <w:p w14:paraId="6F15FC45" w14:textId="77777777" w:rsidR="00E40A40" w:rsidRPr="00B725B6" w:rsidRDefault="00E40A40" w:rsidP="00B725B6">
            <w:pPr>
              <w:jc w:val="center"/>
              <w:rPr>
                <w:rFonts w:ascii="Times New Roman" w:hAnsi="Times New Roman" w:cs="Times New Roman"/>
                <w:sz w:val="18"/>
                <w:szCs w:val="18"/>
              </w:rPr>
            </w:pPr>
            <w:r w:rsidRPr="00B725B6">
              <w:rPr>
                <w:rFonts w:ascii="Times New Roman" w:hAnsi="Times New Roman" w:cs="Times New Roman"/>
                <w:sz w:val="18"/>
                <w:szCs w:val="18"/>
              </w:rPr>
              <w:t>4.112</w:t>
            </w:r>
          </w:p>
        </w:tc>
        <w:tc>
          <w:tcPr>
            <w:tcW w:w="410" w:type="pct"/>
            <w:tcBorders>
              <w:top w:val="single" w:sz="4" w:space="0" w:color="auto"/>
              <w:bottom w:val="single" w:sz="4" w:space="0" w:color="auto"/>
            </w:tcBorders>
            <w:vAlign w:val="center"/>
          </w:tcPr>
          <w:p w14:paraId="397BC96B" w14:textId="10AC9DFE" w:rsidR="00E40A40" w:rsidRPr="00B725B6" w:rsidRDefault="00FD4287"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-0.404</w:t>
            </w:r>
          </w:p>
        </w:tc>
        <w:tc>
          <w:tcPr>
            <w:tcW w:w="346" w:type="pct"/>
            <w:tcBorders>
              <w:top w:val="single" w:sz="4" w:space="0" w:color="auto"/>
              <w:bottom w:val="single" w:sz="4" w:space="0" w:color="auto"/>
            </w:tcBorders>
            <w:vAlign w:val="center"/>
          </w:tcPr>
          <w:p w14:paraId="5CEAEC81" w14:textId="4935D717" w:rsidR="00E40A40" w:rsidRPr="00B725B6" w:rsidRDefault="00FD4287"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0.130</w:t>
            </w:r>
          </w:p>
        </w:tc>
        <w:tc>
          <w:tcPr>
            <w:tcW w:w="410" w:type="pct"/>
            <w:tcBorders>
              <w:top w:val="single" w:sz="4" w:space="0" w:color="auto"/>
              <w:bottom w:val="single" w:sz="4" w:space="0" w:color="auto"/>
            </w:tcBorders>
            <w:vAlign w:val="center"/>
          </w:tcPr>
          <w:p w14:paraId="3B7FFA83"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0.08</w:t>
            </w:r>
          </w:p>
          <w:p w14:paraId="37BA51C7"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(0.000)</w:t>
            </w:r>
          </w:p>
        </w:tc>
        <w:tc>
          <w:tcPr>
            <w:tcW w:w="347" w:type="pct"/>
            <w:tcBorders>
              <w:top w:val="single" w:sz="4" w:space="0" w:color="auto"/>
              <w:bottom w:val="single" w:sz="4" w:space="0" w:color="auto"/>
            </w:tcBorders>
            <w:vAlign w:val="center"/>
          </w:tcPr>
          <w:p w14:paraId="01DFFF23"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4.756</w:t>
            </w:r>
          </w:p>
        </w:tc>
        <w:tc>
          <w:tcPr>
            <w:tcW w:w="410" w:type="pct"/>
            <w:tcBorders>
              <w:top w:val="single" w:sz="4" w:space="0" w:color="auto"/>
              <w:bottom w:val="single" w:sz="4" w:space="0" w:color="auto"/>
            </w:tcBorders>
            <w:vAlign w:val="center"/>
          </w:tcPr>
          <w:p w14:paraId="094B8BE7"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-0.121</w:t>
            </w:r>
          </w:p>
          <w:p w14:paraId="3242DA83"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(0.608)</w:t>
            </w:r>
          </w:p>
        </w:tc>
        <w:tc>
          <w:tcPr>
            <w:tcW w:w="347" w:type="pct"/>
            <w:tcBorders>
              <w:top w:val="single" w:sz="4" w:space="0" w:color="auto"/>
              <w:bottom w:val="single" w:sz="4" w:space="0" w:color="auto"/>
            </w:tcBorders>
            <w:vAlign w:val="center"/>
          </w:tcPr>
          <w:p w14:paraId="49C5A9E6"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-0.516</w:t>
            </w:r>
          </w:p>
        </w:tc>
        <w:tc>
          <w:tcPr>
            <w:tcW w:w="410" w:type="pct"/>
            <w:tcBorders>
              <w:top w:val="single" w:sz="4" w:space="0" w:color="auto"/>
              <w:bottom w:val="single" w:sz="4" w:space="0" w:color="auto"/>
            </w:tcBorders>
            <w:vAlign w:val="center"/>
          </w:tcPr>
          <w:p w14:paraId="3F13B0BD"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0.013</w:t>
            </w:r>
          </w:p>
          <w:p w14:paraId="71700C16"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(0.366)</w:t>
            </w:r>
          </w:p>
        </w:tc>
        <w:tc>
          <w:tcPr>
            <w:tcW w:w="346" w:type="pct"/>
            <w:tcBorders>
              <w:top w:val="single" w:sz="4" w:space="0" w:color="auto"/>
              <w:bottom w:val="single" w:sz="4" w:space="0" w:color="auto"/>
            </w:tcBorders>
            <w:vAlign w:val="center"/>
          </w:tcPr>
          <w:p w14:paraId="728CA87E"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0.908</w:t>
            </w:r>
          </w:p>
        </w:tc>
      </w:tr>
      <w:tr w:rsidR="004C2820" w:rsidRPr="00B725B6" w14:paraId="5B5F6093" w14:textId="77777777" w:rsidTr="00215E9A">
        <w:trPr>
          <w:jc w:val="center"/>
        </w:trPr>
        <w:tc>
          <w:tcPr>
            <w:tcW w:w="460" w:type="pct"/>
            <w:tcBorders>
              <w:top w:val="single" w:sz="4" w:space="0" w:color="auto"/>
              <w:bottom w:val="single" w:sz="4" w:space="0" w:color="auto"/>
              <w:right w:val="single" w:sz="4" w:space="0" w:color="auto"/>
            </w:tcBorders>
            <w:vAlign w:val="center"/>
          </w:tcPr>
          <w:p w14:paraId="4EDC0DA4" w14:textId="77777777" w:rsidR="00E40A40" w:rsidRPr="00B725B6" w:rsidRDefault="00E40A40" w:rsidP="004C2820">
            <w:pPr>
              <w:tabs>
                <w:tab w:val="left" w:pos="4536"/>
              </w:tabs>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Risk</w:t>
            </w:r>
          </w:p>
        </w:tc>
        <w:tc>
          <w:tcPr>
            <w:tcW w:w="410" w:type="pct"/>
            <w:tcBorders>
              <w:top w:val="single" w:sz="4" w:space="0" w:color="auto"/>
              <w:left w:val="single" w:sz="4" w:space="0" w:color="auto"/>
              <w:bottom w:val="single" w:sz="4" w:space="0" w:color="auto"/>
            </w:tcBorders>
            <w:vAlign w:val="center"/>
          </w:tcPr>
          <w:p w14:paraId="6B041F26"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0.010</w:t>
            </w:r>
          </w:p>
          <w:p w14:paraId="182BD517"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(0.003)</w:t>
            </w:r>
          </w:p>
        </w:tc>
        <w:tc>
          <w:tcPr>
            <w:tcW w:w="346" w:type="pct"/>
            <w:tcBorders>
              <w:top w:val="single" w:sz="4" w:space="0" w:color="auto"/>
              <w:bottom w:val="single" w:sz="4" w:space="0" w:color="auto"/>
            </w:tcBorders>
            <w:vAlign w:val="center"/>
          </w:tcPr>
          <w:p w14:paraId="649A9690" w14:textId="77777777" w:rsidR="00E40A40" w:rsidRPr="00B725B6" w:rsidRDefault="00E40A40" w:rsidP="00B725B6">
            <w:pPr>
              <w:jc w:val="center"/>
              <w:rPr>
                <w:rFonts w:ascii="Times New Roman" w:hAnsi="Times New Roman" w:cs="Times New Roman"/>
                <w:sz w:val="18"/>
                <w:szCs w:val="18"/>
              </w:rPr>
            </w:pPr>
            <w:r w:rsidRPr="00B725B6">
              <w:rPr>
                <w:rFonts w:ascii="Times New Roman" w:hAnsi="Times New Roman" w:cs="Times New Roman"/>
                <w:sz w:val="18"/>
                <w:szCs w:val="18"/>
              </w:rPr>
              <w:t>2.95</w:t>
            </w:r>
          </w:p>
        </w:tc>
        <w:tc>
          <w:tcPr>
            <w:tcW w:w="410" w:type="pct"/>
            <w:tcBorders>
              <w:top w:val="single" w:sz="4" w:space="0" w:color="auto"/>
              <w:bottom w:val="single" w:sz="4" w:space="0" w:color="auto"/>
            </w:tcBorders>
            <w:vAlign w:val="center"/>
          </w:tcPr>
          <w:p w14:paraId="198F0FE5"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0.011</w:t>
            </w:r>
          </w:p>
          <w:p w14:paraId="20618827"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(0.776)</w:t>
            </w:r>
          </w:p>
        </w:tc>
        <w:tc>
          <w:tcPr>
            <w:tcW w:w="346" w:type="pct"/>
            <w:tcBorders>
              <w:top w:val="single" w:sz="4" w:space="0" w:color="auto"/>
              <w:bottom w:val="single" w:sz="4" w:space="0" w:color="auto"/>
            </w:tcBorders>
            <w:vAlign w:val="center"/>
          </w:tcPr>
          <w:p w14:paraId="58B11057" w14:textId="77777777" w:rsidR="00E40A40" w:rsidRPr="00B725B6" w:rsidRDefault="00E40A40" w:rsidP="00B725B6">
            <w:pPr>
              <w:jc w:val="center"/>
              <w:rPr>
                <w:rFonts w:ascii="Times New Roman" w:hAnsi="Times New Roman" w:cs="Times New Roman"/>
                <w:sz w:val="18"/>
                <w:szCs w:val="18"/>
              </w:rPr>
            </w:pPr>
            <w:r w:rsidRPr="00B725B6">
              <w:rPr>
                <w:rFonts w:ascii="Times New Roman" w:hAnsi="Times New Roman" w:cs="Times New Roman"/>
                <w:sz w:val="18"/>
                <w:szCs w:val="18"/>
              </w:rPr>
              <w:t>0.285</w:t>
            </w:r>
          </w:p>
        </w:tc>
        <w:tc>
          <w:tcPr>
            <w:tcW w:w="410" w:type="pct"/>
            <w:tcBorders>
              <w:top w:val="single" w:sz="4" w:space="0" w:color="auto"/>
              <w:bottom w:val="single" w:sz="4" w:space="0" w:color="auto"/>
            </w:tcBorders>
            <w:vAlign w:val="center"/>
          </w:tcPr>
          <w:p w14:paraId="1BCCC115"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7.3</w:t>
            </w:r>
          </w:p>
          <w:p w14:paraId="1918168D"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(0.621)</w:t>
            </w:r>
          </w:p>
        </w:tc>
        <w:tc>
          <w:tcPr>
            <w:tcW w:w="346" w:type="pct"/>
            <w:tcBorders>
              <w:top w:val="single" w:sz="4" w:space="0" w:color="auto"/>
              <w:bottom w:val="single" w:sz="4" w:space="0" w:color="auto"/>
            </w:tcBorders>
            <w:vAlign w:val="center"/>
          </w:tcPr>
          <w:p w14:paraId="4C25E37B"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0.496</w:t>
            </w:r>
          </w:p>
        </w:tc>
        <w:tc>
          <w:tcPr>
            <w:tcW w:w="410" w:type="pct"/>
            <w:tcBorders>
              <w:top w:val="single" w:sz="4" w:space="0" w:color="auto"/>
              <w:bottom w:val="single" w:sz="4" w:space="0" w:color="auto"/>
            </w:tcBorders>
            <w:vAlign w:val="center"/>
          </w:tcPr>
          <w:p w14:paraId="6494D1BA"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-0.032</w:t>
            </w:r>
          </w:p>
          <w:p w14:paraId="3C3EC9ED"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(0.003)</w:t>
            </w:r>
          </w:p>
        </w:tc>
        <w:tc>
          <w:tcPr>
            <w:tcW w:w="347" w:type="pct"/>
            <w:tcBorders>
              <w:top w:val="single" w:sz="4" w:space="0" w:color="auto"/>
              <w:bottom w:val="single" w:sz="4" w:space="0" w:color="auto"/>
            </w:tcBorders>
            <w:vAlign w:val="center"/>
          </w:tcPr>
          <w:p w14:paraId="4FD55E84"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-3.123</w:t>
            </w:r>
          </w:p>
        </w:tc>
        <w:tc>
          <w:tcPr>
            <w:tcW w:w="410" w:type="pct"/>
            <w:tcBorders>
              <w:top w:val="single" w:sz="4" w:space="0" w:color="auto"/>
              <w:bottom w:val="single" w:sz="4" w:space="0" w:color="auto"/>
            </w:tcBorders>
            <w:vAlign w:val="center"/>
          </w:tcPr>
          <w:p w14:paraId="4797CA7D"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-0.011</w:t>
            </w:r>
          </w:p>
          <w:p w14:paraId="254003C4"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(0.897)</w:t>
            </w:r>
          </w:p>
        </w:tc>
        <w:tc>
          <w:tcPr>
            <w:tcW w:w="347" w:type="pct"/>
            <w:tcBorders>
              <w:top w:val="single" w:sz="4" w:space="0" w:color="auto"/>
              <w:bottom w:val="single" w:sz="4" w:space="0" w:color="auto"/>
            </w:tcBorders>
            <w:vAlign w:val="center"/>
          </w:tcPr>
          <w:p w14:paraId="23DD2E54"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-0.130</w:t>
            </w:r>
          </w:p>
        </w:tc>
        <w:tc>
          <w:tcPr>
            <w:tcW w:w="410" w:type="pct"/>
            <w:tcBorders>
              <w:top w:val="single" w:sz="4" w:space="0" w:color="auto"/>
              <w:bottom w:val="single" w:sz="4" w:space="0" w:color="auto"/>
            </w:tcBorders>
            <w:vAlign w:val="center"/>
          </w:tcPr>
          <w:p w14:paraId="774701DD"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-0.003</w:t>
            </w:r>
          </w:p>
          <w:p w14:paraId="7A1F61B5"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(0.516)</w:t>
            </w:r>
          </w:p>
        </w:tc>
        <w:tc>
          <w:tcPr>
            <w:tcW w:w="346" w:type="pct"/>
            <w:tcBorders>
              <w:top w:val="single" w:sz="4" w:space="0" w:color="auto"/>
              <w:bottom w:val="single" w:sz="4" w:space="0" w:color="auto"/>
            </w:tcBorders>
            <w:vAlign w:val="center"/>
          </w:tcPr>
          <w:p w14:paraId="20F468A6"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-0.651</w:t>
            </w:r>
          </w:p>
        </w:tc>
      </w:tr>
      <w:tr w:rsidR="004C2820" w:rsidRPr="00B725B6" w14:paraId="490B771D" w14:textId="77777777" w:rsidTr="00215E9A">
        <w:trPr>
          <w:jc w:val="center"/>
        </w:trPr>
        <w:tc>
          <w:tcPr>
            <w:tcW w:w="460" w:type="pct"/>
            <w:tcBorders>
              <w:top w:val="single" w:sz="4" w:space="0" w:color="auto"/>
              <w:bottom w:val="single" w:sz="4" w:space="0" w:color="auto"/>
              <w:right w:val="single" w:sz="4" w:space="0" w:color="auto"/>
            </w:tcBorders>
            <w:vAlign w:val="center"/>
          </w:tcPr>
          <w:p w14:paraId="7508D10C" w14:textId="77777777" w:rsidR="00E40A40" w:rsidRPr="00B725B6" w:rsidRDefault="00E40A40" w:rsidP="004C2820">
            <w:pPr>
              <w:tabs>
                <w:tab w:val="left" w:pos="4536"/>
              </w:tabs>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Size</w:t>
            </w:r>
          </w:p>
        </w:tc>
        <w:tc>
          <w:tcPr>
            <w:tcW w:w="410" w:type="pct"/>
            <w:tcBorders>
              <w:top w:val="single" w:sz="4" w:space="0" w:color="auto"/>
              <w:left w:val="single" w:sz="4" w:space="0" w:color="auto"/>
              <w:bottom w:val="single" w:sz="4" w:space="0" w:color="auto"/>
            </w:tcBorders>
            <w:vAlign w:val="center"/>
          </w:tcPr>
          <w:p w14:paraId="6E48BDE8"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0.004</w:t>
            </w:r>
          </w:p>
          <w:p w14:paraId="77AA538E"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(0.334)</w:t>
            </w:r>
          </w:p>
        </w:tc>
        <w:tc>
          <w:tcPr>
            <w:tcW w:w="346" w:type="pct"/>
            <w:tcBorders>
              <w:top w:val="single" w:sz="4" w:space="0" w:color="auto"/>
              <w:bottom w:val="single" w:sz="4" w:space="0" w:color="auto"/>
            </w:tcBorders>
            <w:vAlign w:val="center"/>
          </w:tcPr>
          <w:p w14:paraId="5C546C8A" w14:textId="77777777" w:rsidR="00E40A40" w:rsidRPr="00B725B6" w:rsidRDefault="00E40A40" w:rsidP="00B725B6">
            <w:pPr>
              <w:jc w:val="center"/>
              <w:rPr>
                <w:rFonts w:ascii="Times New Roman" w:hAnsi="Times New Roman" w:cs="Times New Roman"/>
                <w:sz w:val="18"/>
                <w:szCs w:val="18"/>
              </w:rPr>
            </w:pPr>
            <w:r w:rsidRPr="00B725B6">
              <w:rPr>
                <w:rFonts w:ascii="Times New Roman" w:hAnsi="Times New Roman" w:cs="Times New Roman"/>
                <w:sz w:val="18"/>
                <w:szCs w:val="18"/>
              </w:rPr>
              <w:t>.966</w:t>
            </w:r>
          </w:p>
        </w:tc>
        <w:tc>
          <w:tcPr>
            <w:tcW w:w="410" w:type="pct"/>
            <w:tcBorders>
              <w:top w:val="single" w:sz="4" w:space="0" w:color="auto"/>
              <w:bottom w:val="single" w:sz="4" w:space="0" w:color="auto"/>
            </w:tcBorders>
            <w:vAlign w:val="center"/>
          </w:tcPr>
          <w:p w14:paraId="2DD4D103" w14:textId="77777777" w:rsidR="00E40A40" w:rsidRPr="00B725B6" w:rsidRDefault="00E40A40" w:rsidP="00B725B6">
            <w:pPr>
              <w:tabs>
                <w:tab w:val="left" w:pos="4536"/>
              </w:tabs>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0.031</w:t>
            </w:r>
          </w:p>
          <w:p w14:paraId="586322A0" w14:textId="77777777" w:rsidR="00E40A40" w:rsidRPr="00B725B6" w:rsidRDefault="00E40A40" w:rsidP="00B725B6">
            <w:pPr>
              <w:tabs>
                <w:tab w:val="left" w:pos="4536"/>
              </w:tabs>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(0.000)</w:t>
            </w:r>
          </w:p>
        </w:tc>
        <w:tc>
          <w:tcPr>
            <w:tcW w:w="346" w:type="pct"/>
            <w:tcBorders>
              <w:top w:val="single" w:sz="4" w:space="0" w:color="auto"/>
              <w:bottom w:val="single" w:sz="4" w:space="0" w:color="auto"/>
            </w:tcBorders>
            <w:vAlign w:val="center"/>
          </w:tcPr>
          <w:p w14:paraId="6E34395A" w14:textId="77777777" w:rsidR="00E40A40" w:rsidRPr="00B725B6" w:rsidRDefault="00E40A40" w:rsidP="00B725B6">
            <w:pPr>
              <w:jc w:val="center"/>
              <w:rPr>
                <w:rFonts w:ascii="Times New Roman" w:hAnsi="Times New Roman" w:cs="Times New Roman"/>
                <w:sz w:val="18"/>
                <w:szCs w:val="18"/>
              </w:rPr>
            </w:pPr>
            <w:r w:rsidRPr="00B725B6">
              <w:rPr>
                <w:rFonts w:ascii="Times New Roman" w:hAnsi="Times New Roman" w:cs="Times New Roman"/>
                <w:sz w:val="18"/>
                <w:szCs w:val="18"/>
              </w:rPr>
              <w:t>3.848</w:t>
            </w:r>
          </w:p>
        </w:tc>
        <w:tc>
          <w:tcPr>
            <w:tcW w:w="410" w:type="pct"/>
            <w:tcBorders>
              <w:top w:val="single" w:sz="4" w:space="0" w:color="auto"/>
              <w:bottom w:val="single" w:sz="4" w:space="0" w:color="auto"/>
            </w:tcBorders>
            <w:vAlign w:val="center"/>
          </w:tcPr>
          <w:p w14:paraId="64891ABE" w14:textId="77777777" w:rsidR="00E40A40" w:rsidRPr="00B725B6" w:rsidRDefault="00E40A40" w:rsidP="00B725B6">
            <w:pPr>
              <w:tabs>
                <w:tab w:val="left" w:pos="4536"/>
              </w:tabs>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-0.004</w:t>
            </w:r>
          </w:p>
          <w:p w14:paraId="7AD3DE56" w14:textId="77777777" w:rsidR="00E40A40" w:rsidRPr="00B725B6" w:rsidRDefault="00E40A40" w:rsidP="00B725B6">
            <w:pPr>
              <w:tabs>
                <w:tab w:val="left" w:pos="4536"/>
              </w:tabs>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(0.001)</w:t>
            </w:r>
          </w:p>
        </w:tc>
        <w:tc>
          <w:tcPr>
            <w:tcW w:w="346" w:type="pct"/>
            <w:tcBorders>
              <w:top w:val="single" w:sz="4" w:space="0" w:color="auto"/>
              <w:bottom w:val="single" w:sz="4" w:space="0" w:color="auto"/>
            </w:tcBorders>
            <w:vAlign w:val="center"/>
          </w:tcPr>
          <w:p w14:paraId="2D0577FD"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-3.618</w:t>
            </w:r>
          </w:p>
        </w:tc>
        <w:tc>
          <w:tcPr>
            <w:tcW w:w="410" w:type="pct"/>
            <w:tcBorders>
              <w:top w:val="single" w:sz="4" w:space="0" w:color="auto"/>
              <w:bottom w:val="single" w:sz="4" w:space="0" w:color="auto"/>
            </w:tcBorders>
            <w:vAlign w:val="center"/>
          </w:tcPr>
          <w:p w14:paraId="45D8EA5E" w14:textId="77777777" w:rsidR="00E40A40" w:rsidRPr="00B725B6" w:rsidRDefault="00E40A40" w:rsidP="00B725B6">
            <w:pPr>
              <w:tabs>
                <w:tab w:val="left" w:pos="4536"/>
              </w:tabs>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-0.022</w:t>
            </w:r>
          </w:p>
          <w:p w14:paraId="2DA4009A" w14:textId="77777777" w:rsidR="00E40A40" w:rsidRPr="00B725B6" w:rsidRDefault="00E40A40" w:rsidP="00B725B6">
            <w:pPr>
              <w:tabs>
                <w:tab w:val="left" w:pos="4536"/>
              </w:tabs>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(0.000)</w:t>
            </w:r>
          </w:p>
        </w:tc>
        <w:tc>
          <w:tcPr>
            <w:tcW w:w="347" w:type="pct"/>
            <w:tcBorders>
              <w:top w:val="single" w:sz="4" w:space="0" w:color="auto"/>
              <w:bottom w:val="single" w:sz="4" w:space="0" w:color="auto"/>
            </w:tcBorders>
            <w:vAlign w:val="center"/>
          </w:tcPr>
          <w:p w14:paraId="07B7CF5E"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-3.922</w:t>
            </w:r>
          </w:p>
        </w:tc>
        <w:tc>
          <w:tcPr>
            <w:tcW w:w="410" w:type="pct"/>
            <w:tcBorders>
              <w:top w:val="single" w:sz="4" w:space="0" w:color="auto"/>
              <w:bottom w:val="single" w:sz="4" w:space="0" w:color="auto"/>
            </w:tcBorders>
            <w:vAlign w:val="center"/>
          </w:tcPr>
          <w:p w14:paraId="319AFE33" w14:textId="77777777" w:rsidR="00E40A40" w:rsidRPr="00B725B6" w:rsidRDefault="00E40A40" w:rsidP="00B725B6">
            <w:pPr>
              <w:tabs>
                <w:tab w:val="left" w:pos="4536"/>
              </w:tabs>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0.553</w:t>
            </w:r>
          </w:p>
          <w:p w14:paraId="2216B515" w14:textId="77777777" w:rsidR="00E40A40" w:rsidRPr="00B725B6" w:rsidRDefault="00E40A40" w:rsidP="00B725B6">
            <w:pPr>
              <w:tabs>
                <w:tab w:val="left" w:pos="4536"/>
              </w:tabs>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(0.007)</w:t>
            </w:r>
          </w:p>
        </w:tc>
        <w:tc>
          <w:tcPr>
            <w:tcW w:w="347" w:type="pct"/>
            <w:tcBorders>
              <w:top w:val="single" w:sz="4" w:space="0" w:color="auto"/>
              <w:bottom w:val="single" w:sz="4" w:space="0" w:color="auto"/>
            </w:tcBorders>
            <w:vAlign w:val="center"/>
          </w:tcPr>
          <w:p w14:paraId="5C2DB634" w14:textId="77777777" w:rsidR="00E40A40" w:rsidRPr="00B725B6" w:rsidRDefault="00E40A40" w:rsidP="00B725B6">
            <w:pPr>
              <w:jc w:val="center"/>
              <w:rPr>
                <w:rFonts w:ascii="Times New Roman" w:hAnsi="Times New Roman" w:cs="Times New Roman"/>
                <w:sz w:val="18"/>
                <w:szCs w:val="18"/>
              </w:rPr>
            </w:pPr>
            <w:r w:rsidRPr="00B725B6">
              <w:rPr>
                <w:rFonts w:ascii="Times New Roman" w:hAnsi="Times New Roman" w:cs="Times New Roman"/>
                <w:sz w:val="18"/>
                <w:szCs w:val="18"/>
              </w:rPr>
              <w:t>2.824</w:t>
            </w:r>
          </w:p>
        </w:tc>
        <w:tc>
          <w:tcPr>
            <w:tcW w:w="410" w:type="pct"/>
            <w:tcBorders>
              <w:top w:val="single" w:sz="4" w:space="0" w:color="auto"/>
              <w:bottom w:val="single" w:sz="4" w:space="0" w:color="auto"/>
            </w:tcBorders>
            <w:vAlign w:val="center"/>
          </w:tcPr>
          <w:p w14:paraId="60B3BEFB" w14:textId="77777777" w:rsidR="00E40A40" w:rsidRPr="00B725B6" w:rsidRDefault="00E40A40" w:rsidP="00B725B6">
            <w:pPr>
              <w:tabs>
                <w:tab w:val="left" w:pos="4536"/>
              </w:tabs>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0.003</w:t>
            </w:r>
          </w:p>
          <w:p w14:paraId="6AB29812" w14:textId="77777777" w:rsidR="00E40A40" w:rsidRPr="00B725B6" w:rsidRDefault="00E40A40" w:rsidP="00B725B6">
            <w:pPr>
              <w:tabs>
                <w:tab w:val="left" w:pos="4536"/>
              </w:tabs>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(0.792)</w:t>
            </w:r>
          </w:p>
        </w:tc>
        <w:tc>
          <w:tcPr>
            <w:tcW w:w="346" w:type="pct"/>
            <w:tcBorders>
              <w:top w:val="single" w:sz="4" w:space="0" w:color="auto"/>
              <w:bottom w:val="single" w:sz="4" w:space="0" w:color="auto"/>
            </w:tcBorders>
            <w:vAlign w:val="center"/>
          </w:tcPr>
          <w:p w14:paraId="6080D22A"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0.265</w:t>
            </w:r>
          </w:p>
        </w:tc>
      </w:tr>
      <w:tr w:rsidR="007F15D8" w:rsidRPr="00B725B6" w14:paraId="597DD304" w14:textId="77777777" w:rsidTr="00215E9A">
        <w:trPr>
          <w:jc w:val="center"/>
        </w:trPr>
        <w:tc>
          <w:tcPr>
            <w:tcW w:w="460" w:type="pct"/>
            <w:tcBorders>
              <w:top w:val="single" w:sz="4" w:space="0" w:color="auto"/>
              <w:bottom w:val="single" w:sz="4" w:space="0" w:color="auto"/>
              <w:right w:val="single" w:sz="4" w:space="0" w:color="auto"/>
            </w:tcBorders>
            <w:vAlign w:val="center"/>
          </w:tcPr>
          <w:p w14:paraId="57E575EA" w14:textId="77777777" w:rsidR="00E40A40" w:rsidRPr="00B725B6" w:rsidRDefault="00E40A40" w:rsidP="004C2820">
            <w:pPr>
              <w:tabs>
                <w:tab w:val="left" w:pos="4536"/>
              </w:tabs>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R (Model)</w:t>
            </w:r>
          </w:p>
        </w:tc>
        <w:tc>
          <w:tcPr>
            <w:tcW w:w="757" w:type="pct"/>
            <w:gridSpan w:val="2"/>
            <w:tcBorders>
              <w:top w:val="single" w:sz="4" w:space="0" w:color="auto"/>
              <w:left w:val="single" w:sz="4" w:space="0" w:color="auto"/>
              <w:bottom w:val="single" w:sz="4" w:space="0" w:color="auto"/>
            </w:tcBorders>
            <w:vAlign w:val="center"/>
          </w:tcPr>
          <w:p w14:paraId="18E97ECE"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0.136</w:t>
            </w:r>
          </w:p>
        </w:tc>
        <w:tc>
          <w:tcPr>
            <w:tcW w:w="757" w:type="pct"/>
            <w:gridSpan w:val="2"/>
            <w:tcBorders>
              <w:top w:val="single" w:sz="4" w:space="0" w:color="auto"/>
              <w:bottom w:val="single" w:sz="4" w:space="0" w:color="auto"/>
            </w:tcBorders>
            <w:vAlign w:val="center"/>
          </w:tcPr>
          <w:p w14:paraId="50B274C9"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0.226**</w:t>
            </w:r>
          </w:p>
        </w:tc>
        <w:tc>
          <w:tcPr>
            <w:tcW w:w="757" w:type="pct"/>
            <w:gridSpan w:val="2"/>
            <w:tcBorders>
              <w:top w:val="single" w:sz="4" w:space="0" w:color="auto"/>
              <w:bottom w:val="single" w:sz="4" w:space="0" w:color="auto"/>
            </w:tcBorders>
            <w:vAlign w:val="center"/>
          </w:tcPr>
          <w:p w14:paraId="69371597"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0.390**</w:t>
            </w:r>
          </w:p>
        </w:tc>
        <w:tc>
          <w:tcPr>
            <w:tcW w:w="757" w:type="pct"/>
            <w:gridSpan w:val="2"/>
            <w:tcBorders>
              <w:top w:val="single" w:sz="4" w:space="0" w:color="auto"/>
              <w:bottom w:val="single" w:sz="4" w:space="0" w:color="auto"/>
            </w:tcBorders>
            <w:vAlign w:val="center"/>
          </w:tcPr>
          <w:p w14:paraId="01442224"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0.609**</w:t>
            </w:r>
          </w:p>
        </w:tc>
        <w:tc>
          <w:tcPr>
            <w:tcW w:w="757" w:type="pct"/>
            <w:gridSpan w:val="2"/>
            <w:tcBorders>
              <w:top w:val="single" w:sz="4" w:space="0" w:color="auto"/>
              <w:bottom w:val="single" w:sz="4" w:space="0" w:color="auto"/>
            </w:tcBorders>
            <w:vAlign w:val="center"/>
          </w:tcPr>
          <w:p w14:paraId="2DDE8237"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0.417*</w:t>
            </w:r>
          </w:p>
        </w:tc>
        <w:tc>
          <w:tcPr>
            <w:tcW w:w="756" w:type="pct"/>
            <w:gridSpan w:val="2"/>
            <w:tcBorders>
              <w:top w:val="single" w:sz="4" w:space="0" w:color="auto"/>
              <w:bottom w:val="single" w:sz="4" w:space="0" w:color="auto"/>
            </w:tcBorders>
            <w:vAlign w:val="center"/>
          </w:tcPr>
          <w:p w14:paraId="4C36483B"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0.196</w:t>
            </w:r>
          </w:p>
        </w:tc>
      </w:tr>
      <w:tr w:rsidR="007F15D8" w:rsidRPr="00B725B6" w14:paraId="11078EBE" w14:textId="77777777" w:rsidTr="00215E9A">
        <w:trPr>
          <w:trHeight w:val="340"/>
          <w:jc w:val="center"/>
        </w:trPr>
        <w:tc>
          <w:tcPr>
            <w:tcW w:w="460" w:type="pct"/>
            <w:tcBorders>
              <w:top w:val="single" w:sz="4" w:space="0" w:color="auto"/>
              <w:bottom w:val="single" w:sz="4" w:space="0" w:color="auto"/>
              <w:right w:val="single" w:sz="4" w:space="0" w:color="auto"/>
            </w:tcBorders>
            <w:vAlign w:val="center"/>
          </w:tcPr>
          <w:p w14:paraId="4B151EDD" w14:textId="77777777" w:rsidR="00E40A40" w:rsidRPr="00B725B6" w:rsidRDefault="00E40A40" w:rsidP="004C2820">
            <w:pPr>
              <w:tabs>
                <w:tab w:val="left" w:pos="4536"/>
              </w:tabs>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R</w:t>
            </w:r>
            <w:r w:rsidRPr="00B725B6">
              <w:rPr>
                <w:rFonts w:ascii="Times New Roman" w:hAnsi="Times New Roman" w:cs="Times New Roman"/>
                <w:sz w:val="18"/>
                <w:szCs w:val="18"/>
                <w:vertAlign w:val="superscript"/>
              </w:rPr>
              <w:t>2</w:t>
            </w:r>
          </w:p>
        </w:tc>
        <w:tc>
          <w:tcPr>
            <w:tcW w:w="757" w:type="pct"/>
            <w:gridSpan w:val="2"/>
            <w:tcBorders>
              <w:top w:val="single" w:sz="4" w:space="0" w:color="auto"/>
              <w:left w:val="single" w:sz="4" w:space="0" w:color="auto"/>
              <w:bottom w:val="single" w:sz="4" w:space="0" w:color="auto"/>
            </w:tcBorders>
            <w:vAlign w:val="center"/>
          </w:tcPr>
          <w:p w14:paraId="044DD908"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0.019</w:t>
            </w:r>
          </w:p>
        </w:tc>
        <w:tc>
          <w:tcPr>
            <w:tcW w:w="757" w:type="pct"/>
            <w:gridSpan w:val="2"/>
            <w:tcBorders>
              <w:top w:val="single" w:sz="4" w:space="0" w:color="auto"/>
              <w:bottom w:val="single" w:sz="4" w:space="0" w:color="auto"/>
            </w:tcBorders>
            <w:vAlign w:val="center"/>
          </w:tcPr>
          <w:p w14:paraId="398BCC17"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0.051</w:t>
            </w:r>
          </w:p>
        </w:tc>
        <w:tc>
          <w:tcPr>
            <w:tcW w:w="757" w:type="pct"/>
            <w:gridSpan w:val="2"/>
            <w:tcBorders>
              <w:top w:val="single" w:sz="4" w:space="0" w:color="auto"/>
              <w:bottom w:val="single" w:sz="4" w:space="0" w:color="auto"/>
            </w:tcBorders>
            <w:vAlign w:val="center"/>
          </w:tcPr>
          <w:p w14:paraId="4321736F"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0.152</w:t>
            </w:r>
          </w:p>
        </w:tc>
        <w:tc>
          <w:tcPr>
            <w:tcW w:w="757" w:type="pct"/>
            <w:gridSpan w:val="2"/>
            <w:tcBorders>
              <w:top w:val="single" w:sz="4" w:space="0" w:color="auto"/>
              <w:bottom w:val="single" w:sz="4" w:space="0" w:color="auto"/>
            </w:tcBorders>
            <w:vAlign w:val="center"/>
          </w:tcPr>
          <w:p w14:paraId="7556446F"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0.371</w:t>
            </w:r>
          </w:p>
        </w:tc>
        <w:tc>
          <w:tcPr>
            <w:tcW w:w="757" w:type="pct"/>
            <w:gridSpan w:val="2"/>
            <w:tcBorders>
              <w:top w:val="single" w:sz="4" w:space="0" w:color="auto"/>
              <w:bottom w:val="single" w:sz="4" w:space="0" w:color="auto"/>
            </w:tcBorders>
            <w:vAlign w:val="center"/>
          </w:tcPr>
          <w:p w14:paraId="098C51BC"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0.174</w:t>
            </w:r>
          </w:p>
        </w:tc>
        <w:tc>
          <w:tcPr>
            <w:tcW w:w="756" w:type="pct"/>
            <w:gridSpan w:val="2"/>
            <w:tcBorders>
              <w:top w:val="single" w:sz="4" w:space="0" w:color="auto"/>
              <w:bottom w:val="single" w:sz="4" w:space="0" w:color="auto"/>
            </w:tcBorders>
            <w:vAlign w:val="center"/>
          </w:tcPr>
          <w:p w14:paraId="67285311"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0.038</w:t>
            </w:r>
          </w:p>
        </w:tc>
      </w:tr>
      <w:tr w:rsidR="007F15D8" w:rsidRPr="00B725B6" w14:paraId="3C2350A9" w14:textId="77777777" w:rsidTr="00215E9A">
        <w:trPr>
          <w:trHeight w:val="340"/>
          <w:jc w:val="center"/>
        </w:trPr>
        <w:tc>
          <w:tcPr>
            <w:tcW w:w="460" w:type="pct"/>
            <w:tcBorders>
              <w:top w:val="single" w:sz="4" w:space="0" w:color="auto"/>
              <w:bottom w:val="single" w:sz="4" w:space="0" w:color="auto"/>
              <w:right w:val="single" w:sz="4" w:space="0" w:color="auto"/>
            </w:tcBorders>
            <w:vAlign w:val="center"/>
          </w:tcPr>
          <w:p w14:paraId="69FBC126" w14:textId="77777777" w:rsidR="00E40A40" w:rsidRPr="00B725B6" w:rsidRDefault="00E40A40" w:rsidP="004C2820">
            <w:pPr>
              <w:tabs>
                <w:tab w:val="left" w:pos="4536"/>
              </w:tabs>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F-value</w:t>
            </w:r>
          </w:p>
        </w:tc>
        <w:tc>
          <w:tcPr>
            <w:tcW w:w="757" w:type="pct"/>
            <w:gridSpan w:val="2"/>
            <w:tcBorders>
              <w:top w:val="single" w:sz="4" w:space="0" w:color="auto"/>
              <w:left w:val="single" w:sz="4" w:space="0" w:color="auto"/>
              <w:bottom w:val="single" w:sz="4" w:space="0" w:color="auto"/>
            </w:tcBorders>
            <w:vAlign w:val="center"/>
          </w:tcPr>
          <w:p w14:paraId="7A2DBC7F"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3.329</w:t>
            </w:r>
          </w:p>
        </w:tc>
        <w:tc>
          <w:tcPr>
            <w:tcW w:w="757" w:type="pct"/>
            <w:gridSpan w:val="2"/>
            <w:tcBorders>
              <w:top w:val="single" w:sz="4" w:space="0" w:color="auto"/>
              <w:bottom w:val="single" w:sz="4" w:space="0" w:color="auto"/>
            </w:tcBorders>
            <w:vAlign w:val="center"/>
          </w:tcPr>
          <w:p w14:paraId="47A55157"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8.605</w:t>
            </w:r>
          </w:p>
        </w:tc>
        <w:tc>
          <w:tcPr>
            <w:tcW w:w="757" w:type="pct"/>
            <w:gridSpan w:val="2"/>
            <w:tcBorders>
              <w:top w:val="single" w:sz="4" w:space="0" w:color="auto"/>
              <w:bottom w:val="single" w:sz="4" w:space="0" w:color="auto"/>
            </w:tcBorders>
            <w:vAlign w:val="center"/>
          </w:tcPr>
          <w:p w14:paraId="2C2E6487"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4.436</w:t>
            </w:r>
          </w:p>
        </w:tc>
        <w:tc>
          <w:tcPr>
            <w:tcW w:w="757" w:type="pct"/>
            <w:gridSpan w:val="2"/>
            <w:tcBorders>
              <w:top w:val="single" w:sz="4" w:space="0" w:color="auto"/>
              <w:bottom w:val="single" w:sz="4" w:space="0" w:color="auto"/>
            </w:tcBorders>
            <w:vAlign w:val="center"/>
          </w:tcPr>
          <w:p w14:paraId="0AD3546E"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10.170</w:t>
            </w:r>
          </w:p>
        </w:tc>
        <w:tc>
          <w:tcPr>
            <w:tcW w:w="757" w:type="pct"/>
            <w:gridSpan w:val="2"/>
            <w:tcBorders>
              <w:top w:val="single" w:sz="4" w:space="0" w:color="auto"/>
              <w:bottom w:val="single" w:sz="4" w:space="0" w:color="auto"/>
            </w:tcBorders>
            <w:vAlign w:val="center"/>
          </w:tcPr>
          <w:p w14:paraId="685ABB14"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2.577</w:t>
            </w:r>
          </w:p>
        </w:tc>
        <w:tc>
          <w:tcPr>
            <w:tcW w:w="756" w:type="pct"/>
            <w:gridSpan w:val="2"/>
            <w:tcBorders>
              <w:top w:val="single" w:sz="4" w:space="0" w:color="auto"/>
              <w:bottom w:val="single" w:sz="4" w:space="0" w:color="auto"/>
            </w:tcBorders>
            <w:vAlign w:val="center"/>
          </w:tcPr>
          <w:p w14:paraId="7BC7D42A"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1.137</w:t>
            </w:r>
          </w:p>
        </w:tc>
      </w:tr>
      <w:tr w:rsidR="007F15D8" w:rsidRPr="00B725B6" w14:paraId="46351711" w14:textId="77777777" w:rsidTr="00215E9A">
        <w:trPr>
          <w:trHeight w:val="340"/>
          <w:jc w:val="center"/>
        </w:trPr>
        <w:tc>
          <w:tcPr>
            <w:tcW w:w="460" w:type="pct"/>
            <w:tcBorders>
              <w:top w:val="single" w:sz="4" w:space="0" w:color="auto"/>
              <w:bottom w:val="single" w:sz="4" w:space="0" w:color="auto"/>
              <w:right w:val="single" w:sz="4" w:space="0" w:color="auto"/>
            </w:tcBorders>
            <w:vAlign w:val="center"/>
          </w:tcPr>
          <w:p w14:paraId="31DA318C" w14:textId="77777777" w:rsidR="00E40A40" w:rsidRPr="00B725B6" w:rsidRDefault="00E40A40" w:rsidP="004C2820">
            <w:pPr>
              <w:tabs>
                <w:tab w:val="left" w:pos="4536"/>
              </w:tabs>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Sig.</w:t>
            </w:r>
          </w:p>
        </w:tc>
        <w:tc>
          <w:tcPr>
            <w:tcW w:w="757" w:type="pct"/>
            <w:gridSpan w:val="2"/>
            <w:tcBorders>
              <w:top w:val="single" w:sz="4" w:space="0" w:color="auto"/>
              <w:left w:val="single" w:sz="4" w:space="0" w:color="auto"/>
              <w:bottom w:val="single" w:sz="4" w:space="0" w:color="auto"/>
            </w:tcBorders>
            <w:vAlign w:val="center"/>
          </w:tcPr>
          <w:p w14:paraId="1AAB8CA5"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0.010</w:t>
            </w:r>
          </w:p>
        </w:tc>
        <w:tc>
          <w:tcPr>
            <w:tcW w:w="757" w:type="pct"/>
            <w:gridSpan w:val="2"/>
            <w:tcBorders>
              <w:top w:val="single" w:sz="4" w:space="0" w:color="auto"/>
              <w:bottom w:val="single" w:sz="4" w:space="0" w:color="auto"/>
            </w:tcBorders>
            <w:vAlign w:val="center"/>
          </w:tcPr>
          <w:p w14:paraId="423F660A"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0.000</w:t>
            </w:r>
          </w:p>
        </w:tc>
        <w:tc>
          <w:tcPr>
            <w:tcW w:w="757" w:type="pct"/>
            <w:gridSpan w:val="2"/>
            <w:tcBorders>
              <w:top w:val="single" w:sz="4" w:space="0" w:color="auto"/>
              <w:bottom w:val="single" w:sz="4" w:space="0" w:color="auto"/>
            </w:tcBorders>
            <w:vAlign w:val="center"/>
          </w:tcPr>
          <w:p w14:paraId="153A6E25"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0.006</w:t>
            </w:r>
          </w:p>
        </w:tc>
        <w:tc>
          <w:tcPr>
            <w:tcW w:w="757" w:type="pct"/>
            <w:gridSpan w:val="2"/>
            <w:tcBorders>
              <w:top w:val="single" w:sz="4" w:space="0" w:color="auto"/>
              <w:bottom w:val="single" w:sz="4" w:space="0" w:color="auto"/>
            </w:tcBorders>
            <w:vAlign w:val="center"/>
          </w:tcPr>
          <w:p w14:paraId="7DA0331E"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0.000</w:t>
            </w:r>
          </w:p>
        </w:tc>
        <w:tc>
          <w:tcPr>
            <w:tcW w:w="757" w:type="pct"/>
            <w:gridSpan w:val="2"/>
            <w:tcBorders>
              <w:top w:val="single" w:sz="4" w:space="0" w:color="auto"/>
              <w:bottom w:val="single" w:sz="4" w:space="0" w:color="auto"/>
            </w:tcBorders>
            <w:vAlign w:val="center"/>
          </w:tcPr>
          <w:p w14:paraId="05D5F027"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0.049</w:t>
            </w:r>
          </w:p>
        </w:tc>
        <w:tc>
          <w:tcPr>
            <w:tcW w:w="756" w:type="pct"/>
            <w:gridSpan w:val="2"/>
            <w:tcBorders>
              <w:top w:val="single" w:sz="4" w:space="0" w:color="auto"/>
              <w:bottom w:val="single" w:sz="4" w:space="0" w:color="auto"/>
            </w:tcBorders>
            <w:vAlign w:val="center"/>
          </w:tcPr>
          <w:p w14:paraId="7B6AAB28" w14:textId="77777777" w:rsidR="00E40A40" w:rsidRPr="00B725B6" w:rsidRDefault="00E40A40" w:rsidP="00B725B6">
            <w:pPr>
              <w:autoSpaceDE w:val="0"/>
              <w:autoSpaceDN w:val="0"/>
              <w:adjustRightInd w:val="0"/>
              <w:jc w:val="center"/>
              <w:rPr>
                <w:rFonts w:ascii="Times New Roman" w:hAnsi="Times New Roman" w:cs="Times New Roman"/>
                <w:sz w:val="18"/>
                <w:szCs w:val="18"/>
              </w:rPr>
            </w:pPr>
            <w:r w:rsidRPr="00B725B6">
              <w:rPr>
                <w:rFonts w:ascii="Times New Roman" w:hAnsi="Times New Roman" w:cs="Times New Roman"/>
                <w:sz w:val="18"/>
                <w:szCs w:val="18"/>
              </w:rPr>
              <w:t>0.343</w:t>
            </w:r>
          </w:p>
        </w:tc>
      </w:tr>
    </w:tbl>
    <w:p w14:paraId="48412027" w14:textId="2E183DBB" w:rsidR="00FD4287" w:rsidRPr="009A5CAB" w:rsidRDefault="00215E9A" w:rsidP="00B725B6">
      <w:pPr>
        <w:autoSpaceDE w:val="0"/>
        <w:autoSpaceDN w:val="0"/>
        <w:adjustRightInd w:val="0"/>
        <w:spacing w:after="0" w:line="360" w:lineRule="exact"/>
        <w:rPr>
          <w:rFonts w:asciiTheme="majorBidi" w:hAnsiTheme="majorBidi" w:cstheme="majorBidi"/>
          <w:szCs w:val="16"/>
        </w:rPr>
      </w:pPr>
      <w:proofErr w:type="gramStart"/>
      <w:r w:rsidRPr="00215E9A">
        <w:rPr>
          <w:rFonts w:asciiTheme="majorBidi" w:hAnsiTheme="majorBidi" w:cstheme="majorBidi"/>
          <w:i/>
          <w:szCs w:val="24"/>
        </w:rPr>
        <w:t>Note.</w:t>
      </w:r>
      <w:r w:rsidR="00FD4287" w:rsidRPr="009A5CAB">
        <w:rPr>
          <w:rFonts w:asciiTheme="majorBidi" w:hAnsiTheme="majorBidi" w:cstheme="majorBidi"/>
          <w:szCs w:val="16"/>
        </w:rPr>
        <w:t>*</w:t>
      </w:r>
      <w:proofErr w:type="gramEnd"/>
      <w:r w:rsidR="00FD4287" w:rsidRPr="009A5CAB">
        <w:rPr>
          <w:rFonts w:asciiTheme="majorBidi" w:hAnsiTheme="majorBidi" w:cstheme="majorBidi"/>
          <w:szCs w:val="16"/>
        </w:rPr>
        <w:t>*Correlation is significant at the 0.01 level (2-tailed).</w:t>
      </w:r>
    </w:p>
    <w:p w14:paraId="362F1B8F" w14:textId="4085F835" w:rsidR="00FD4287" w:rsidRPr="009A5CAB" w:rsidRDefault="00FD4287" w:rsidP="00B725B6">
      <w:pPr>
        <w:autoSpaceDE w:val="0"/>
        <w:autoSpaceDN w:val="0"/>
        <w:adjustRightInd w:val="0"/>
        <w:spacing w:after="0" w:line="360" w:lineRule="exact"/>
        <w:rPr>
          <w:rFonts w:asciiTheme="majorBidi" w:hAnsiTheme="majorBidi" w:cstheme="majorBidi"/>
          <w:szCs w:val="16"/>
        </w:rPr>
      </w:pPr>
      <w:r w:rsidRPr="009A5CAB">
        <w:rPr>
          <w:rFonts w:asciiTheme="majorBidi" w:hAnsiTheme="majorBidi" w:cstheme="majorBidi"/>
          <w:szCs w:val="16"/>
        </w:rPr>
        <w:t>*Correlation is significant at the 0.05 level (2-tailed).</w:t>
      </w:r>
    </w:p>
    <w:p w14:paraId="6E8FE5B7" w14:textId="77777777" w:rsidR="00B725B6" w:rsidRPr="00B725B6" w:rsidRDefault="00B725B6" w:rsidP="00B725B6">
      <w:pPr>
        <w:autoSpaceDE w:val="0"/>
        <w:autoSpaceDN w:val="0"/>
        <w:adjustRightInd w:val="0"/>
        <w:spacing w:after="0" w:line="360" w:lineRule="exact"/>
        <w:rPr>
          <w:rFonts w:asciiTheme="majorBidi" w:hAnsiTheme="majorBidi" w:cstheme="majorBidi"/>
          <w:sz w:val="24"/>
          <w:szCs w:val="16"/>
        </w:rPr>
      </w:pPr>
    </w:p>
    <w:p w14:paraId="245BEF2B" w14:textId="2576B9E8" w:rsidR="00D5790E" w:rsidRPr="007F15D8" w:rsidRDefault="00D5790E" w:rsidP="00B725B6">
      <w:pPr>
        <w:autoSpaceDE w:val="0"/>
        <w:autoSpaceDN w:val="0"/>
        <w:adjustRightInd w:val="0"/>
        <w:spacing w:after="0" w:line="360" w:lineRule="exact"/>
        <w:ind w:firstLine="510"/>
        <w:jc w:val="both"/>
        <w:rPr>
          <w:rFonts w:ascii="Times New Roman" w:hAnsi="Times New Roman"/>
          <w:sz w:val="26"/>
        </w:rPr>
      </w:pPr>
      <w:r w:rsidRPr="007F15D8">
        <w:rPr>
          <w:rFonts w:ascii="Times New Roman" w:hAnsi="Times New Roman"/>
          <w:sz w:val="26"/>
        </w:rPr>
        <w:t xml:space="preserve">Table </w:t>
      </w:r>
      <w:r w:rsidR="00EB7C77" w:rsidRPr="007F15D8">
        <w:rPr>
          <w:rFonts w:ascii="Times New Roman" w:hAnsi="Times New Roman"/>
          <w:sz w:val="26"/>
        </w:rPr>
        <w:t>5</w:t>
      </w:r>
      <w:r w:rsidRPr="007F15D8">
        <w:rPr>
          <w:rFonts w:ascii="Times New Roman" w:hAnsi="Times New Roman"/>
          <w:sz w:val="26"/>
        </w:rPr>
        <w:t xml:space="preserve"> shows that the regression model in KSA, Oman, Qatar</w:t>
      </w:r>
      <w:r w:rsidR="00C80A1B">
        <w:rPr>
          <w:rFonts w:ascii="Times New Roman" w:hAnsi="Times New Roman"/>
          <w:sz w:val="26"/>
        </w:rPr>
        <w:t>,</w:t>
      </w:r>
      <w:r w:rsidRPr="007F15D8">
        <w:rPr>
          <w:rFonts w:ascii="Times New Roman" w:hAnsi="Times New Roman"/>
          <w:sz w:val="26"/>
        </w:rPr>
        <w:t xml:space="preserve"> </w:t>
      </w:r>
      <w:r w:rsidR="00A41BCF" w:rsidRPr="007F15D8">
        <w:rPr>
          <w:rFonts w:ascii="Times New Roman" w:hAnsi="Times New Roman"/>
          <w:sz w:val="26"/>
        </w:rPr>
        <w:t xml:space="preserve">and </w:t>
      </w:r>
      <w:r w:rsidRPr="007F15D8">
        <w:rPr>
          <w:rFonts w:ascii="Times New Roman" w:hAnsi="Times New Roman"/>
          <w:sz w:val="26"/>
        </w:rPr>
        <w:t xml:space="preserve">Bahrain </w:t>
      </w:r>
      <w:proofErr w:type="gramStart"/>
      <w:r w:rsidRPr="007F15D8">
        <w:rPr>
          <w:rFonts w:ascii="Times New Roman" w:hAnsi="Times New Roman"/>
          <w:sz w:val="26"/>
        </w:rPr>
        <w:t>is</w:t>
      </w:r>
      <w:proofErr w:type="gramEnd"/>
      <w:r w:rsidRPr="007F15D8">
        <w:rPr>
          <w:rFonts w:ascii="Times New Roman" w:hAnsi="Times New Roman"/>
          <w:sz w:val="26"/>
        </w:rPr>
        <w:t xml:space="preserve"> significant at 0.01 and Kuwait at 0.05 (but not in UAE)</w:t>
      </w:r>
      <w:r w:rsidR="00A41BCF" w:rsidRPr="007F15D8">
        <w:rPr>
          <w:rFonts w:ascii="Times New Roman" w:hAnsi="Times New Roman"/>
          <w:sz w:val="26"/>
        </w:rPr>
        <w:t>.</w:t>
      </w:r>
      <w:r w:rsidRPr="007F15D8">
        <w:rPr>
          <w:rFonts w:ascii="Times New Roman" w:hAnsi="Times New Roman"/>
          <w:sz w:val="26"/>
        </w:rPr>
        <w:t xml:space="preserve"> </w:t>
      </w:r>
      <w:r w:rsidR="00A41BCF" w:rsidRPr="007F15D8">
        <w:rPr>
          <w:rFonts w:ascii="Times New Roman" w:hAnsi="Times New Roman"/>
          <w:sz w:val="26"/>
        </w:rPr>
        <w:t>However, EQ-</w:t>
      </w:r>
      <w:r w:rsidRPr="007F15D8">
        <w:rPr>
          <w:rFonts w:ascii="Times New Roman" w:hAnsi="Times New Roman"/>
          <w:sz w:val="26"/>
        </w:rPr>
        <w:t xml:space="preserve">PER has </w:t>
      </w:r>
      <w:r w:rsidR="00C80A1B">
        <w:rPr>
          <w:rFonts w:ascii="Times New Roman" w:hAnsi="Times New Roman"/>
          <w:sz w:val="26"/>
        </w:rPr>
        <w:t xml:space="preserve">a </w:t>
      </w:r>
      <w:r w:rsidRPr="007F15D8">
        <w:rPr>
          <w:rFonts w:ascii="Times New Roman" w:hAnsi="Times New Roman"/>
          <w:sz w:val="26"/>
        </w:rPr>
        <w:t>significantly positive effect on attracting foreign investors only in Oman as the coefficient is 0.031 (p-value&lt;0.05)</w:t>
      </w:r>
      <w:r w:rsidR="00A41BCF" w:rsidRPr="007F15D8">
        <w:rPr>
          <w:rFonts w:ascii="Times New Roman" w:hAnsi="Times New Roman"/>
          <w:sz w:val="26"/>
        </w:rPr>
        <w:t>,</w:t>
      </w:r>
      <w:r w:rsidRPr="007F15D8">
        <w:rPr>
          <w:rFonts w:ascii="Times New Roman" w:hAnsi="Times New Roman"/>
          <w:sz w:val="26"/>
        </w:rPr>
        <w:t xml:space="preserve"> and </w:t>
      </w:r>
      <w:r w:rsidR="00A41BCF" w:rsidRPr="007F15D8">
        <w:rPr>
          <w:rFonts w:ascii="Times New Roman" w:hAnsi="Times New Roman"/>
          <w:sz w:val="26"/>
        </w:rPr>
        <w:t xml:space="preserve">the </w:t>
      </w:r>
      <w:r w:rsidRPr="007F15D8">
        <w:rPr>
          <w:rFonts w:ascii="Times New Roman" w:hAnsi="Times New Roman"/>
          <w:sz w:val="26"/>
        </w:rPr>
        <w:t>R</w:t>
      </w:r>
      <w:r w:rsidRPr="007F15D8">
        <w:rPr>
          <w:rFonts w:ascii="Times New Roman" w:hAnsi="Times New Roman"/>
          <w:sz w:val="26"/>
          <w:vertAlign w:val="superscript"/>
        </w:rPr>
        <w:t>2</w:t>
      </w:r>
      <w:r w:rsidRPr="007F15D8">
        <w:rPr>
          <w:rFonts w:ascii="Times New Roman" w:hAnsi="Times New Roman"/>
          <w:sz w:val="26"/>
        </w:rPr>
        <w:t xml:space="preserve"> of </w:t>
      </w:r>
      <w:r w:rsidR="00A41BCF" w:rsidRPr="007F15D8">
        <w:rPr>
          <w:rFonts w:ascii="Times New Roman" w:hAnsi="Times New Roman"/>
          <w:sz w:val="26"/>
        </w:rPr>
        <w:t>EQ-</w:t>
      </w:r>
      <w:r w:rsidRPr="007F15D8">
        <w:rPr>
          <w:rFonts w:ascii="Times New Roman" w:hAnsi="Times New Roman"/>
          <w:sz w:val="26"/>
        </w:rPr>
        <w:t>PER explain</w:t>
      </w:r>
      <w:r w:rsidR="00A41BCF" w:rsidRPr="007F15D8">
        <w:rPr>
          <w:rFonts w:ascii="Times New Roman" w:hAnsi="Times New Roman"/>
          <w:sz w:val="26"/>
        </w:rPr>
        <w:t>s</w:t>
      </w:r>
      <w:r w:rsidRPr="007F15D8">
        <w:rPr>
          <w:rFonts w:ascii="Times New Roman" w:hAnsi="Times New Roman"/>
          <w:sz w:val="26"/>
        </w:rPr>
        <w:t xml:space="preserve"> 5.1% of </w:t>
      </w:r>
      <w:r w:rsidR="00C80A1B">
        <w:rPr>
          <w:rFonts w:ascii="Times New Roman" w:hAnsi="Times New Roman"/>
          <w:sz w:val="26"/>
        </w:rPr>
        <w:t xml:space="preserve">the </w:t>
      </w:r>
      <w:r w:rsidRPr="007F15D8">
        <w:rPr>
          <w:rFonts w:ascii="Times New Roman" w:hAnsi="Times New Roman"/>
          <w:sz w:val="26"/>
        </w:rPr>
        <w:t xml:space="preserve">variation </w:t>
      </w:r>
      <w:r w:rsidR="009076E0">
        <w:rPr>
          <w:rFonts w:ascii="Times New Roman" w:hAnsi="Times New Roman"/>
          <w:sz w:val="26"/>
        </w:rPr>
        <w:t>in</w:t>
      </w:r>
      <w:r w:rsidR="009076E0" w:rsidRPr="007F15D8">
        <w:rPr>
          <w:rFonts w:ascii="Times New Roman" w:hAnsi="Times New Roman"/>
          <w:sz w:val="26"/>
        </w:rPr>
        <w:t xml:space="preserve"> </w:t>
      </w:r>
      <w:r w:rsidRPr="007F15D8">
        <w:rPr>
          <w:rFonts w:ascii="Times New Roman" w:hAnsi="Times New Roman"/>
          <w:sz w:val="26"/>
        </w:rPr>
        <w:t xml:space="preserve">attracting foreign investors. This result indicates that the sustainability of earnings in Oman will attract more foreign investors. H1 is accepted </w:t>
      </w:r>
      <w:r w:rsidR="001361AB" w:rsidRPr="007F15D8">
        <w:rPr>
          <w:rFonts w:ascii="Times New Roman" w:hAnsi="Times New Roman"/>
          <w:sz w:val="26"/>
        </w:rPr>
        <w:t xml:space="preserve">only </w:t>
      </w:r>
      <w:r w:rsidRPr="007F15D8">
        <w:rPr>
          <w:rFonts w:ascii="Times New Roman" w:hAnsi="Times New Roman"/>
          <w:sz w:val="26"/>
        </w:rPr>
        <w:t xml:space="preserve">in Oman but not in other GCC countries. </w:t>
      </w:r>
      <w:r w:rsidR="00A41BCF" w:rsidRPr="007F15D8">
        <w:rPr>
          <w:rFonts w:ascii="Times New Roman" w:hAnsi="Times New Roman"/>
          <w:sz w:val="26"/>
        </w:rPr>
        <w:t>T</w:t>
      </w:r>
      <w:r w:rsidRPr="007F15D8">
        <w:rPr>
          <w:rFonts w:ascii="Times New Roman" w:hAnsi="Times New Roman"/>
          <w:sz w:val="26"/>
        </w:rPr>
        <w:t>o provide useful information to foreign investor</w:t>
      </w:r>
      <w:r w:rsidR="00A41BCF" w:rsidRPr="007F15D8">
        <w:rPr>
          <w:rFonts w:ascii="Times New Roman" w:hAnsi="Times New Roman"/>
          <w:sz w:val="26"/>
        </w:rPr>
        <w:t>s</w:t>
      </w:r>
      <w:r w:rsidRPr="007F15D8">
        <w:rPr>
          <w:rFonts w:ascii="Times New Roman" w:hAnsi="Times New Roman"/>
          <w:sz w:val="26"/>
        </w:rPr>
        <w:t xml:space="preserve">, the sustainability of earnings </w:t>
      </w:r>
      <w:r w:rsidR="00A41BCF" w:rsidRPr="007F15D8">
        <w:rPr>
          <w:rFonts w:ascii="Times New Roman" w:hAnsi="Times New Roman"/>
          <w:sz w:val="26"/>
        </w:rPr>
        <w:t xml:space="preserve">appears </w:t>
      </w:r>
      <w:r w:rsidRPr="007F15D8">
        <w:rPr>
          <w:rFonts w:ascii="Times New Roman" w:hAnsi="Times New Roman"/>
          <w:sz w:val="26"/>
        </w:rPr>
        <w:t>only with large firms and firms audited by big 4 audit firms as the coefficients (0.031 and 0.042</w:t>
      </w:r>
      <w:r w:rsidR="00A41BCF" w:rsidRPr="007F15D8">
        <w:rPr>
          <w:rFonts w:ascii="Times New Roman" w:hAnsi="Times New Roman"/>
          <w:sz w:val="26"/>
        </w:rPr>
        <w:t>,</w:t>
      </w:r>
      <w:r w:rsidRPr="007F15D8">
        <w:rPr>
          <w:rFonts w:ascii="Times New Roman" w:hAnsi="Times New Roman"/>
          <w:sz w:val="26"/>
        </w:rPr>
        <w:t xml:space="preserve"> respectively) are significant at 0.01.  </w:t>
      </w:r>
    </w:p>
    <w:p w14:paraId="75F30BA6" w14:textId="1F0A50C0" w:rsidR="00D5790E" w:rsidRPr="007F15D8" w:rsidRDefault="00D5790E" w:rsidP="001C79FD">
      <w:pPr>
        <w:autoSpaceDE w:val="0"/>
        <w:autoSpaceDN w:val="0"/>
        <w:adjustRightInd w:val="0"/>
        <w:spacing w:after="0" w:line="360" w:lineRule="exact"/>
        <w:ind w:firstLine="450"/>
        <w:jc w:val="both"/>
        <w:rPr>
          <w:rFonts w:ascii="Times New Roman" w:hAnsi="Times New Roman"/>
          <w:sz w:val="26"/>
        </w:rPr>
      </w:pPr>
      <w:r w:rsidRPr="007F15D8">
        <w:rPr>
          <w:rFonts w:ascii="Times New Roman" w:hAnsi="Times New Roman"/>
          <w:sz w:val="26"/>
        </w:rPr>
        <w:t xml:space="preserve">The result of this study is not in line with </w:t>
      </w:r>
      <w:r w:rsidR="00A41BCF" w:rsidRPr="007F15D8">
        <w:rPr>
          <w:rFonts w:ascii="Times New Roman" w:hAnsi="Times New Roman"/>
          <w:sz w:val="26"/>
        </w:rPr>
        <w:t xml:space="preserve">that of </w:t>
      </w:r>
      <w:proofErr w:type="spellStart"/>
      <w:r w:rsidRPr="007F15D8">
        <w:rPr>
          <w:rFonts w:ascii="Times New Roman" w:hAnsi="Times New Roman"/>
          <w:sz w:val="26"/>
        </w:rPr>
        <w:t>Ahn</w:t>
      </w:r>
      <w:proofErr w:type="spellEnd"/>
      <w:r w:rsidRPr="007F15D8">
        <w:rPr>
          <w:rFonts w:ascii="Times New Roman" w:hAnsi="Times New Roman"/>
          <w:sz w:val="26"/>
        </w:rPr>
        <w:t xml:space="preserve"> </w:t>
      </w:r>
      <w:r w:rsidR="00523653">
        <w:rPr>
          <w:rFonts w:ascii="Times New Roman" w:hAnsi="Times New Roman"/>
          <w:sz w:val="26"/>
        </w:rPr>
        <w:t>and</w:t>
      </w:r>
      <w:r w:rsidRPr="007F15D8">
        <w:rPr>
          <w:rFonts w:ascii="Times New Roman" w:hAnsi="Times New Roman"/>
          <w:sz w:val="26"/>
        </w:rPr>
        <w:t xml:space="preserve"> Kwon (2010)</w:t>
      </w:r>
      <w:r w:rsidR="00C80A1B">
        <w:rPr>
          <w:rFonts w:ascii="Times New Roman" w:hAnsi="Times New Roman"/>
          <w:sz w:val="26"/>
        </w:rPr>
        <w:t>,</w:t>
      </w:r>
      <w:r w:rsidRPr="007F15D8">
        <w:rPr>
          <w:rFonts w:ascii="Times New Roman" w:hAnsi="Times New Roman"/>
          <w:sz w:val="26"/>
        </w:rPr>
        <w:t xml:space="preserve"> </w:t>
      </w:r>
      <w:r w:rsidR="007875AD">
        <w:rPr>
          <w:rFonts w:ascii="Times New Roman" w:hAnsi="Times New Roman"/>
          <w:sz w:val="26"/>
        </w:rPr>
        <w:t>which</w:t>
      </w:r>
      <w:r w:rsidRPr="007F15D8">
        <w:rPr>
          <w:rFonts w:ascii="Times New Roman" w:hAnsi="Times New Roman"/>
          <w:sz w:val="26"/>
        </w:rPr>
        <w:t xml:space="preserve"> </w:t>
      </w:r>
      <w:r w:rsidR="00A41BCF" w:rsidRPr="007F15D8">
        <w:rPr>
          <w:rFonts w:ascii="Times New Roman" w:hAnsi="Times New Roman"/>
          <w:sz w:val="26"/>
        </w:rPr>
        <w:t xml:space="preserve">found </w:t>
      </w:r>
      <w:r w:rsidRPr="007F15D8">
        <w:rPr>
          <w:rFonts w:ascii="Times New Roman" w:hAnsi="Times New Roman"/>
          <w:sz w:val="26"/>
        </w:rPr>
        <w:t>that Korean investor</w:t>
      </w:r>
      <w:r w:rsidR="00A41BCF" w:rsidRPr="007F15D8">
        <w:rPr>
          <w:rFonts w:ascii="Times New Roman" w:hAnsi="Times New Roman"/>
          <w:sz w:val="26"/>
        </w:rPr>
        <w:t>s</w:t>
      </w:r>
      <w:r w:rsidRPr="007F15D8">
        <w:rPr>
          <w:rFonts w:ascii="Times New Roman" w:hAnsi="Times New Roman"/>
          <w:sz w:val="26"/>
        </w:rPr>
        <w:t xml:space="preserve"> </w:t>
      </w:r>
      <w:r w:rsidR="00A41BCF" w:rsidRPr="007F15D8">
        <w:rPr>
          <w:rFonts w:ascii="Times New Roman" w:hAnsi="Times New Roman"/>
          <w:sz w:val="26"/>
        </w:rPr>
        <w:t xml:space="preserve">do </w:t>
      </w:r>
      <w:r w:rsidRPr="007F15D8">
        <w:rPr>
          <w:rFonts w:ascii="Times New Roman" w:hAnsi="Times New Roman"/>
          <w:sz w:val="26"/>
        </w:rPr>
        <w:t xml:space="preserve">not have any reaction to the persistence of earnings. </w:t>
      </w:r>
      <w:r w:rsidR="00A41BCF" w:rsidRPr="007F15D8">
        <w:rPr>
          <w:rFonts w:ascii="Times New Roman" w:hAnsi="Times New Roman"/>
          <w:sz w:val="26"/>
        </w:rPr>
        <w:t>T</w:t>
      </w:r>
      <w:r w:rsidRPr="007F15D8">
        <w:rPr>
          <w:rFonts w:ascii="Times New Roman" w:hAnsi="Times New Roman"/>
          <w:sz w:val="26"/>
        </w:rPr>
        <w:t xml:space="preserve">his result is </w:t>
      </w:r>
      <w:r w:rsidR="00A41BCF" w:rsidRPr="007F15D8">
        <w:rPr>
          <w:rFonts w:ascii="Times New Roman" w:hAnsi="Times New Roman"/>
          <w:sz w:val="26"/>
        </w:rPr>
        <w:t xml:space="preserve">also </w:t>
      </w:r>
      <w:r w:rsidRPr="007F15D8">
        <w:rPr>
          <w:rFonts w:ascii="Times New Roman" w:hAnsi="Times New Roman"/>
          <w:sz w:val="26"/>
        </w:rPr>
        <w:t xml:space="preserve">not in line with </w:t>
      </w:r>
      <w:r w:rsidR="00A41BCF" w:rsidRPr="007F15D8">
        <w:rPr>
          <w:rFonts w:ascii="Times New Roman" w:hAnsi="Times New Roman"/>
          <w:sz w:val="26"/>
        </w:rPr>
        <w:t xml:space="preserve">that of </w:t>
      </w:r>
      <w:r w:rsidRPr="007F15D8">
        <w:rPr>
          <w:rFonts w:ascii="Times New Roman" w:hAnsi="Times New Roman"/>
          <w:sz w:val="26"/>
        </w:rPr>
        <w:t>Wang (2014)</w:t>
      </w:r>
      <w:r w:rsidR="00C80A1B">
        <w:rPr>
          <w:rFonts w:ascii="Times New Roman" w:hAnsi="Times New Roman"/>
          <w:sz w:val="26"/>
        </w:rPr>
        <w:t>,</w:t>
      </w:r>
      <w:r w:rsidRPr="007F15D8">
        <w:rPr>
          <w:rFonts w:ascii="Times New Roman" w:hAnsi="Times New Roman"/>
          <w:sz w:val="26"/>
        </w:rPr>
        <w:t xml:space="preserve"> </w:t>
      </w:r>
      <w:r w:rsidR="007875AD">
        <w:rPr>
          <w:rFonts w:ascii="Times New Roman" w:hAnsi="Times New Roman"/>
          <w:sz w:val="26"/>
        </w:rPr>
        <w:t>which</w:t>
      </w:r>
      <w:r w:rsidRPr="007F15D8">
        <w:rPr>
          <w:rFonts w:ascii="Times New Roman" w:hAnsi="Times New Roman"/>
          <w:sz w:val="26"/>
        </w:rPr>
        <w:t xml:space="preserve"> </w:t>
      </w:r>
      <w:r w:rsidR="00A41BCF" w:rsidRPr="007F15D8">
        <w:rPr>
          <w:rFonts w:ascii="Times New Roman" w:hAnsi="Times New Roman"/>
          <w:sz w:val="26"/>
        </w:rPr>
        <w:t xml:space="preserve">found </w:t>
      </w:r>
      <w:r w:rsidRPr="007F15D8">
        <w:rPr>
          <w:rFonts w:ascii="Times New Roman" w:hAnsi="Times New Roman"/>
          <w:sz w:val="26"/>
        </w:rPr>
        <w:t xml:space="preserve">that </w:t>
      </w:r>
      <w:r w:rsidR="00A41BCF" w:rsidRPr="007F15D8">
        <w:rPr>
          <w:rFonts w:ascii="Times New Roman" w:hAnsi="Times New Roman"/>
          <w:sz w:val="26"/>
        </w:rPr>
        <w:t xml:space="preserve">a </w:t>
      </w:r>
      <w:r w:rsidRPr="007F15D8">
        <w:rPr>
          <w:rFonts w:ascii="Times New Roman" w:hAnsi="Times New Roman"/>
          <w:sz w:val="26"/>
        </w:rPr>
        <w:t>high degree of persistence is not real as the reaction of investor</w:t>
      </w:r>
      <w:r w:rsidR="00C80A1B">
        <w:rPr>
          <w:rFonts w:ascii="Times New Roman" w:hAnsi="Times New Roman"/>
          <w:sz w:val="26"/>
        </w:rPr>
        <w:t>s</w:t>
      </w:r>
      <w:r w:rsidRPr="007F15D8">
        <w:rPr>
          <w:rFonts w:ascii="Times New Roman" w:hAnsi="Times New Roman"/>
          <w:sz w:val="26"/>
        </w:rPr>
        <w:t xml:space="preserve"> is negative. The result of this measure in Oman is in line with Ben-Nasr et al.</w:t>
      </w:r>
      <w:r w:rsidR="00944F99" w:rsidRPr="007F15D8">
        <w:rPr>
          <w:rFonts w:ascii="Times New Roman" w:hAnsi="Times New Roman"/>
          <w:sz w:val="26"/>
        </w:rPr>
        <w:t xml:space="preserve"> (</w:t>
      </w:r>
      <w:r w:rsidRPr="007F15D8">
        <w:rPr>
          <w:rFonts w:ascii="Times New Roman" w:hAnsi="Times New Roman"/>
          <w:sz w:val="26"/>
        </w:rPr>
        <w:t>2015)</w:t>
      </w:r>
      <w:r w:rsidR="00C80A1B">
        <w:rPr>
          <w:rFonts w:ascii="Times New Roman" w:hAnsi="Times New Roman"/>
          <w:sz w:val="26"/>
        </w:rPr>
        <w:t>,</w:t>
      </w:r>
      <w:r w:rsidRPr="007F15D8">
        <w:rPr>
          <w:rFonts w:ascii="Times New Roman" w:hAnsi="Times New Roman"/>
          <w:sz w:val="26"/>
        </w:rPr>
        <w:t xml:space="preserve"> </w:t>
      </w:r>
      <w:r w:rsidR="007875AD">
        <w:rPr>
          <w:rFonts w:ascii="Times New Roman" w:hAnsi="Times New Roman"/>
          <w:sz w:val="26"/>
        </w:rPr>
        <w:t>which</w:t>
      </w:r>
      <w:r w:rsidRPr="007F15D8">
        <w:rPr>
          <w:rFonts w:ascii="Times New Roman" w:hAnsi="Times New Roman"/>
          <w:sz w:val="26"/>
        </w:rPr>
        <w:t xml:space="preserve"> </w:t>
      </w:r>
      <w:r w:rsidR="00A41BCF" w:rsidRPr="007F15D8">
        <w:rPr>
          <w:rFonts w:ascii="Times New Roman" w:hAnsi="Times New Roman"/>
          <w:sz w:val="26"/>
        </w:rPr>
        <w:t xml:space="preserve">found </w:t>
      </w:r>
      <w:r w:rsidRPr="007F15D8">
        <w:rPr>
          <w:rFonts w:ascii="Times New Roman" w:hAnsi="Times New Roman"/>
          <w:sz w:val="26"/>
        </w:rPr>
        <w:t>that FI is associated with more earnings persistence.</w:t>
      </w:r>
      <w:r w:rsidR="001F48F8" w:rsidRPr="007F15D8">
        <w:rPr>
          <w:rFonts w:ascii="Times New Roman" w:hAnsi="Times New Roman"/>
          <w:sz w:val="26"/>
        </w:rPr>
        <w:t xml:space="preserve"> </w:t>
      </w:r>
    </w:p>
    <w:p w14:paraId="0812E701" w14:textId="77777777" w:rsidR="00D5790E" w:rsidRPr="007F15D8" w:rsidRDefault="00D5790E" w:rsidP="00B725B6">
      <w:pPr>
        <w:tabs>
          <w:tab w:val="left" w:pos="4536"/>
        </w:tabs>
        <w:autoSpaceDE w:val="0"/>
        <w:autoSpaceDN w:val="0"/>
        <w:adjustRightInd w:val="0"/>
        <w:spacing w:after="0" w:line="360" w:lineRule="exact"/>
        <w:jc w:val="both"/>
        <w:rPr>
          <w:rFonts w:ascii="Times New Roman" w:hAnsi="Times New Roman"/>
          <w:b/>
          <w:sz w:val="26"/>
        </w:rPr>
      </w:pPr>
    </w:p>
    <w:p w14:paraId="5834C30A" w14:textId="107D947A" w:rsidR="007244AE" w:rsidRPr="007F15D8" w:rsidRDefault="003A2A39" w:rsidP="00B725B6">
      <w:pPr>
        <w:tabs>
          <w:tab w:val="left" w:pos="4536"/>
        </w:tabs>
        <w:autoSpaceDE w:val="0"/>
        <w:autoSpaceDN w:val="0"/>
        <w:adjustRightInd w:val="0"/>
        <w:spacing w:after="0" w:line="360" w:lineRule="exact"/>
        <w:jc w:val="both"/>
        <w:rPr>
          <w:rFonts w:ascii="Times New Roman" w:hAnsi="Times New Roman"/>
          <w:b/>
          <w:sz w:val="26"/>
        </w:rPr>
      </w:pPr>
      <w:r w:rsidRPr="007F15D8">
        <w:rPr>
          <w:rFonts w:ascii="Times New Roman" w:hAnsi="Times New Roman"/>
          <w:b/>
          <w:sz w:val="26"/>
        </w:rPr>
        <w:t>Measuring</w:t>
      </w:r>
      <w:r w:rsidR="001B6859" w:rsidRPr="007F15D8">
        <w:rPr>
          <w:rFonts w:ascii="Times New Roman" w:hAnsi="Times New Roman"/>
          <w:b/>
          <w:sz w:val="26"/>
        </w:rPr>
        <w:t xml:space="preserve"> and </w:t>
      </w:r>
      <w:r w:rsidR="007244AE" w:rsidRPr="007F15D8">
        <w:rPr>
          <w:rFonts w:ascii="Times New Roman" w:hAnsi="Times New Roman"/>
          <w:b/>
          <w:sz w:val="26"/>
        </w:rPr>
        <w:t>Analysis of EQ</w:t>
      </w:r>
      <w:r w:rsidR="00A41BCF" w:rsidRPr="007F15D8">
        <w:rPr>
          <w:rFonts w:ascii="Times New Roman" w:hAnsi="Times New Roman"/>
          <w:b/>
          <w:sz w:val="26"/>
        </w:rPr>
        <w:t>-</w:t>
      </w:r>
      <w:r w:rsidR="007244AE" w:rsidRPr="007F15D8">
        <w:rPr>
          <w:rFonts w:ascii="Times New Roman" w:hAnsi="Times New Roman"/>
          <w:b/>
          <w:sz w:val="26"/>
        </w:rPr>
        <w:t>P</w:t>
      </w:r>
      <w:r w:rsidR="001361AB" w:rsidRPr="007F15D8">
        <w:rPr>
          <w:rFonts w:ascii="Times New Roman" w:hAnsi="Times New Roman"/>
          <w:b/>
          <w:sz w:val="26"/>
        </w:rPr>
        <w:t xml:space="preserve"> and FI</w:t>
      </w:r>
      <w:r w:rsidR="007244AE" w:rsidRPr="007F15D8">
        <w:rPr>
          <w:rFonts w:ascii="Times New Roman" w:hAnsi="Times New Roman"/>
          <w:b/>
          <w:sz w:val="26"/>
        </w:rPr>
        <w:t xml:space="preserve"> </w:t>
      </w:r>
    </w:p>
    <w:p w14:paraId="7B2B40E1" w14:textId="6254B528" w:rsidR="001970BD" w:rsidRPr="007F15D8" w:rsidRDefault="001970BD" w:rsidP="00B725B6">
      <w:pPr>
        <w:spacing w:after="0" w:line="360" w:lineRule="exact"/>
        <w:ind w:firstLine="450"/>
        <w:jc w:val="both"/>
        <w:rPr>
          <w:rFonts w:ascii="Times New Roman" w:hAnsi="Times New Roman"/>
          <w:sz w:val="26"/>
        </w:rPr>
      </w:pPr>
      <w:r w:rsidRPr="007F15D8">
        <w:rPr>
          <w:rFonts w:ascii="Times New Roman" w:hAnsi="Times New Roman"/>
          <w:sz w:val="26"/>
        </w:rPr>
        <w:t xml:space="preserve">The required information to calculate the predictability of earnings is the same as the information </w:t>
      </w:r>
      <w:r w:rsidR="009076E0" w:rsidRPr="007F15D8">
        <w:rPr>
          <w:rFonts w:ascii="Times New Roman" w:hAnsi="Times New Roman"/>
          <w:sz w:val="26"/>
        </w:rPr>
        <w:t>o</w:t>
      </w:r>
      <w:r w:rsidR="009076E0">
        <w:rPr>
          <w:rFonts w:ascii="Times New Roman" w:hAnsi="Times New Roman"/>
          <w:sz w:val="26"/>
        </w:rPr>
        <w:t>n</w:t>
      </w:r>
      <w:r w:rsidR="009076E0" w:rsidRPr="007F15D8">
        <w:rPr>
          <w:rFonts w:ascii="Times New Roman" w:hAnsi="Times New Roman"/>
          <w:sz w:val="26"/>
        </w:rPr>
        <w:t xml:space="preserve"> </w:t>
      </w:r>
      <w:r w:rsidRPr="007F15D8">
        <w:rPr>
          <w:rFonts w:ascii="Times New Roman" w:hAnsi="Times New Roman"/>
          <w:sz w:val="26"/>
        </w:rPr>
        <w:t xml:space="preserve">persistence. Table </w:t>
      </w:r>
      <w:r w:rsidR="00EB7C77" w:rsidRPr="007F15D8">
        <w:rPr>
          <w:rFonts w:ascii="Times New Roman" w:hAnsi="Times New Roman"/>
          <w:sz w:val="26"/>
        </w:rPr>
        <w:t>6</w:t>
      </w:r>
      <w:r w:rsidRPr="007F15D8">
        <w:rPr>
          <w:rFonts w:ascii="Times New Roman" w:hAnsi="Times New Roman"/>
          <w:sz w:val="26"/>
        </w:rPr>
        <w:t xml:space="preserve"> shows </w:t>
      </w:r>
      <w:r w:rsidR="00A41BCF" w:rsidRPr="007F15D8">
        <w:rPr>
          <w:rFonts w:ascii="Times New Roman" w:hAnsi="Times New Roman"/>
          <w:sz w:val="26"/>
        </w:rPr>
        <w:t xml:space="preserve">the </w:t>
      </w:r>
      <w:r w:rsidRPr="007F15D8">
        <w:rPr>
          <w:rFonts w:ascii="Times New Roman" w:hAnsi="Times New Roman"/>
          <w:sz w:val="26"/>
        </w:rPr>
        <w:t xml:space="preserve">regression of predictability in </w:t>
      </w:r>
      <w:r w:rsidR="00A41BCF" w:rsidRPr="007F15D8">
        <w:rPr>
          <w:rFonts w:ascii="Times New Roman" w:hAnsi="Times New Roman"/>
          <w:sz w:val="26"/>
        </w:rPr>
        <w:t xml:space="preserve">Equation </w:t>
      </w:r>
      <w:r w:rsidRPr="007F15D8">
        <w:rPr>
          <w:rFonts w:ascii="Times New Roman" w:hAnsi="Times New Roman"/>
          <w:sz w:val="26"/>
        </w:rPr>
        <w:t>1</w:t>
      </w:r>
      <w:r w:rsidR="00A41BCF" w:rsidRPr="007F15D8">
        <w:rPr>
          <w:rFonts w:ascii="Times New Roman" w:hAnsi="Times New Roman"/>
          <w:sz w:val="26"/>
        </w:rPr>
        <w:t xml:space="preserve">. </w:t>
      </w:r>
    </w:p>
    <w:p w14:paraId="60A272A0" w14:textId="5B7E0C7F" w:rsidR="00B725B6" w:rsidRDefault="00B725B6">
      <w:pPr>
        <w:rPr>
          <w:rFonts w:ascii="Times New Roman" w:hAnsi="Times New Roman"/>
          <w:bCs/>
          <w:sz w:val="26"/>
          <w:szCs w:val="26"/>
        </w:rPr>
      </w:pPr>
    </w:p>
    <w:p w14:paraId="0467ADE6" w14:textId="77777777" w:rsidR="009076E0" w:rsidRDefault="009076E0">
      <w:pPr>
        <w:rPr>
          <w:rFonts w:asciiTheme="majorBidi" w:hAnsiTheme="majorBidi"/>
          <w:b/>
          <w:sz w:val="26"/>
        </w:rPr>
      </w:pPr>
      <w:r>
        <w:rPr>
          <w:rFonts w:asciiTheme="majorBidi" w:hAnsiTheme="majorBidi"/>
          <w:b/>
          <w:sz w:val="26"/>
        </w:rPr>
        <w:br w:type="page"/>
      </w:r>
    </w:p>
    <w:p w14:paraId="5BA8D014" w14:textId="0153BC33" w:rsidR="00E40A40" w:rsidRPr="00FA3651" w:rsidRDefault="00E40A40" w:rsidP="00FA3651">
      <w:pPr>
        <w:snapToGrid w:val="0"/>
        <w:spacing w:afterLines="50" w:after="120" w:line="360" w:lineRule="exact"/>
        <w:jc w:val="both"/>
        <w:rPr>
          <w:rFonts w:asciiTheme="majorBidi" w:hAnsiTheme="majorBidi"/>
          <w:sz w:val="26"/>
        </w:rPr>
      </w:pPr>
      <w:r w:rsidRPr="002E7CAC">
        <w:rPr>
          <w:rFonts w:asciiTheme="majorBidi" w:hAnsiTheme="majorBidi"/>
          <w:b/>
          <w:sz w:val="26"/>
        </w:rPr>
        <w:lastRenderedPageBreak/>
        <w:t xml:space="preserve">Table </w:t>
      </w:r>
      <w:proofErr w:type="gramStart"/>
      <w:r w:rsidRPr="002E7CAC">
        <w:rPr>
          <w:rFonts w:asciiTheme="majorBidi" w:hAnsiTheme="majorBidi"/>
          <w:b/>
          <w:sz w:val="26"/>
        </w:rPr>
        <w:t>6</w:t>
      </w:r>
      <w:r w:rsidR="002E7CAC">
        <w:rPr>
          <w:rFonts w:asciiTheme="majorBidi" w:hAnsiTheme="majorBidi"/>
          <w:sz w:val="26"/>
        </w:rPr>
        <w:t xml:space="preserve"> </w:t>
      </w:r>
      <w:r w:rsidRPr="00FA3651">
        <w:rPr>
          <w:rFonts w:asciiTheme="majorBidi" w:hAnsiTheme="majorBidi"/>
          <w:sz w:val="26"/>
        </w:rPr>
        <w:t xml:space="preserve"> </w:t>
      </w:r>
      <w:r w:rsidRPr="002E7CAC">
        <w:rPr>
          <w:rFonts w:asciiTheme="majorBidi" w:hAnsiTheme="majorBidi"/>
          <w:i/>
          <w:sz w:val="26"/>
        </w:rPr>
        <w:t>Results</w:t>
      </w:r>
      <w:proofErr w:type="gramEnd"/>
      <w:r w:rsidRPr="002E7CAC">
        <w:rPr>
          <w:rFonts w:asciiTheme="majorBidi" w:hAnsiTheme="majorBidi"/>
          <w:i/>
          <w:sz w:val="26"/>
        </w:rPr>
        <w:t xml:space="preserve"> of Measuring Predictability</w:t>
      </w:r>
    </w:p>
    <w:tbl>
      <w:tblPr>
        <w:tblStyle w:val="a9"/>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234"/>
        <w:gridCol w:w="1233"/>
        <w:gridCol w:w="1058"/>
        <w:gridCol w:w="1233"/>
        <w:gridCol w:w="1233"/>
        <w:gridCol w:w="1233"/>
      </w:tblGrid>
      <w:tr w:rsidR="007F15D8" w:rsidRPr="00EA76AA" w14:paraId="3971EA28" w14:textId="77777777" w:rsidTr="009E5933">
        <w:trPr>
          <w:trHeight w:val="340"/>
          <w:jc w:val="center"/>
        </w:trPr>
        <w:tc>
          <w:tcPr>
            <w:tcW w:w="998" w:type="pct"/>
            <w:tcBorders>
              <w:top w:val="single" w:sz="4" w:space="0" w:color="auto"/>
              <w:bottom w:val="single" w:sz="4" w:space="0" w:color="auto"/>
              <w:right w:val="single" w:sz="4" w:space="0" w:color="auto"/>
              <w:tl2br w:val="single" w:sz="4" w:space="0" w:color="auto"/>
            </w:tcBorders>
            <w:vAlign w:val="bottom"/>
          </w:tcPr>
          <w:p w14:paraId="76540F54" w14:textId="4028B5AD" w:rsidR="00B725B6" w:rsidRDefault="00B725B6" w:rsidP="00B725B6">
            <w:pPr>
              <w:autoSpaceDE w:val="0"/>
              <w:autoSpaceDN w:val="0"/>
              <w:adjustRightInd w:val="0"/>
              <w:jc w:val="both"/>
              <w:rPr>
                <w:rFonts w:ascii="新細明體" w:eastAsia="新細明體" w:hAnsi="新細明體" w:cs="Times New Roman"/>
                <w:sz w:val="20"/>
                <w:szCs w:val="20"/>
                <w:lang w:eastAsia="zh-TW"/>
              </w:rPr>
            </w:pPr>
            <w:r>
              <w:rPr>
                <w:rFonts w:ascii="新細明體" w:eastAsia="新細明體" w:hAnsi="新細明體" w:cs="Times New Roman" w:hint="eastAsia"/>
                <w:sz w:val="20"/>
                <w:szCs w:val="20"/>
                <w:lang w:eastAsia="zh-TW"/>
              </w:rPr>
              <w:t xml:space="preserve">                </w:t>
            </w:r>
            <w:r w:rsidR="00E40A40" w:rsidRPr="00EA76AA">
              <w:rPr>
                <w:rFonts w:ascii="Times New Roman" w:hAnsi="Times New Roman" w:cs="Times New Roman"/>
                <w:sz w:val="20"/>
                <w:szCs w:val="20"/>
              </w:rPr>
              <w:t>Country</w:t>
            </w:r>
          </w:p>
          <w:p w14:paraId="76437025" w14:textId="17BCEF18" w:rsidR="00E40A40" w:rsidRPr="00EA76AA" w:rsidRDefault="00E40A40" w:rsidP="00B725B6">
            <w:pPr>
              <w:autoSpaceDE w:val="0"/>
              <w:autoSpaceDN w:val="0"/>
              <w:adjustRightInd w:val="0"/>
              <w:jc w:val="both"/>
              <w:rPr>
                <w:rFonts w:ascii="Times New Roman" w:hAnsi="Times New Roman" w:cs="Times New Roman"/>
                <w:sz w:val="20"/>
                <w:szCs w:val="20"/>
              </w:rPr>
            </w:pPr>
            <w:r w:rsidRPr="00EA76AA">
              <w:rPr>
                <w:rFonts w:ascii="Times New Roman" w:hAnsi="Times New Roman" w:cs="Times New Roman"/>
                <w:sz w:val="20"/>
                <w:szCs w:val="20"/>
              </w:rPr>
              <w:t>Variable</w:t>
            </w:r>
          </w:p>
        </w:tc>
        <w:tc>
          <w:tcPr>
            <w:tcW w:w="683" w:type="pct"/>
            <w:tcBorders>
              <w:top w:val="single" w:sz="4" w:space="0" w:color="auto"/>
              <w:left w:val="single" w:sz="4" w:space="0" w:color="auto"/>
              <w:bottom w:val="single" w:sz="4" w:space="0" w:color="auto"/>
              <w:right w:val="single" w:sz="4" w:space="0" w:color="auto"/>
            </w:tcBorders>
            <w:vAlign w:val="center"/>
          </w:tcPr>
          <w:p w14:paraId="14323654" w14:textId="77777777" w:rsidR="00E40A40" w:rsidRPr="00EA76AA" w:rsidRDefault="00E40A40" w:rsidP="009A5CAB">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KSA</w:t>
            </w:r>
          </w:p>
        </w:tc>
        <w:tc>
          <w:tcPr>
            <w:tcW w:w="683" w:type="pct"/>
            <w:tcBorders>
              <w:top w:val="single" w:sz="4" w:space="0" w:color="auto"/>
              <w:left w:val="single" w:sz="4" w:space="0" w:color="auto"/>
              <w:bottom w:val="single" w:sz="4" w:space="0" w:color="auto"/>
              <w:right w:val="single" w:sz="4" w:space="0" w:color="auto"/>
            </w:tcBorders>
            <w:vAlign w:val="center"/>
          </w:tcPr>
          <w:p w14:paraId="655AE3CB" w14:textId="77777777" w:rsidR="00E40A40" w:rsidRPr="00EA76AA" w:rsidRDefault="00E40A40" w:rsidP="009A5CAB">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OMN</w:t>
            </w:r>
          </w:p>
        </w:tc>
        <w:tc>
          <w:tcPr>
            <w:tcW w:w="586" w:type="pct"/>
            <w:tcBorders>
              <w:top w:val="single" w:sz="4" w:space="0" w:color="auto"/>
              <w:left w:val="single" w:sz="4" w:space="0" w:color="auto"/>
              <w:bottom w:val="single" w:sz="4" w:space="0" w:color="auto"/>
              <w:right w:val="single" w:sz="4" w:space="0" w:color="auto"/>
            </w:tcBorders>
            <w:vAlign w:val="center"/>
          </w:tcPr>
          <w:p w14:paraId="6AE1D42F" w14:textId="77777777" w:rsidR="00E40A40" w:rsidRPr="00EA76AA" w:rsidRDefault="00E40A40" w:rsidP="009A5CAB">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QAT</w:t>
            </w:r>
          </w:p>
        </w:tc>
        <w:tc>
          <w:tcPr>
            <w:tcW w:w="683" w:type="pct"/>
            <w:tcBorders>
              <w:top w:val="single" w:sz="4" w:space="0" w:color="auto"/>
              <w:left w:val="single" w:sz="4" w:space="0" w:color="auto"/>
              <w:bottom w:val="single" w:sz="4" w:space="0" w:color="auto"/>
              <w:right w:val="single" w:sz="4" w:space="0" w:color="auto"/>
            </w:tcBorders>
            <w:vAlign w:val="center"/>
          </w:tcPr>
          <w:p w14:paraId="74960F6C" w14:textId="77777777" w:rsidR="00E40A40" w:rsidRPr="00EA76AA" w:rsidRDefault="00E40A40" w:rsidP="009A5CAB">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BAH</w:t>
            </w:r>
          </w:p>
        </w:tc>
        <w:tc>
          <w:tcPr>
            <w:tcW w:w="683" w:type="pct"/>
            <w:tcBorders>
              <w:top w:val="single" w:sz="4" w:space="0" w:color="auto"/>
              <w:left w:val="single" w:sz="4" w:space="0" w:color="auto"/>
              <w:bottom w:val="single" w:sz="4" w:space="0" w:color="auto"/>
              <w:right w:val="single" w:sz="4" w:space="0" w:color="auto"/>
            </w:tcBorders>
            <w:vAlign w:val="center"/>
          </w:tcPr>
          <w:p w14:paraId="3BDAA848" w14:textId="2C504D17" w:rsidR="00E40A40" w:rsidRPr="00EA76AA" w:rsidRDefault="00E40A40" w:rsidP="009A5CAB">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K</w:t>
            </w:r>
            <w:r w:rsidR="004175B6" w:rsidRPr="00EA76AA">
              <w:rPr>
                <w:rFonts w:ascii="Times New Roman" w:hAnsi="Times New Roman" w:cs="Times New Roman"/>
                <w:sz w:val="20"/>
                <w:szCs w:val="20"/>
              </w:rPr>
              <w:t>UW</w:t>
            </w:r>
          </w:p>
        </w:tc>
        <w:tc>
          <w:tcPr>
            <w:tcW w:w="683" w:type="pct"/>
            <w:tcBorders>
              <w:top w:val="single" w:sz="4" w:space="0" w:color="auto"/>
              <w:left w:val="single" w:sz="4" w:space="0" w:color="auto"/>
              <w:bottom w:val="single" w:sz="4" w:space="0" w:color="auto"/>
            </w:tcBorders>
            <w:vAlign w:val="center"/>
          </w:tcPr>
          <w:p w14:paraId="4E76AA59" w14:textId="77777777" w:rsidR="00E40A40" w:rsidRPr="00EA76AA" w:rsidRDefault="00E40A40" w:rsidP="009A5CAB">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UAE</w:t>
            </w:r>
          </w:p>
        </w:tc>
      </w:tr>
      <w:tr w:rsidR="007F15D8" w:rsidRPr="00EA76AA" w14:paraId="098125BB" w14:textId="77777777" w:rsidTr="009E5933">
        <w:trPr>
          <w:trHeight w:val="340"/>
          <w:jc w:val="center"/>
        </w:trPr>
        <w:tc>
          <w:tcPr>
            <w:tcW w:w="998" w:type="pct"/>
            <w:tcBorders>
              <w:top w:val="single" w:sz="4" w:space="0" w:color="auto"/>
              <w:bottom w:val="single" w:sz="4" w:space="0" w:color="auto"/>
              <w:right w:val="single" w:sz="4" w:space="0" w:color="auto"/>
            </w:tcBorders>
            <w:vAlign w:val="center"/>
          </w:tcPr>
          <w:p w14:paraId="6230C17E" w14:textId="77777777" w:rsidR="00E40A40" w:rsidRPr="00EA76AA" w:rsidRDefault="00E40A40" w:rsidP="009A5CAB">
            <w:pPr>
              <w:tabs>
                <w:tab w:val="left" w:pos="4536"/>
              </w:tabs>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EQ(P)-R</w:t>
            </w:r>
            <w:r w:rsidRPr="00EA76AA">
              <w:rPr>
                <w:rFonts w:ascii="Times New Roman" w:hAnsi="Times New Roman" w:cs="Times New Roman"/>
                <w:sz w:val="20"/>
                <w:szCs w:val="20"/>
                <w:vertAlign w:val="superscript"/>
              </w:rPr>
              <w:t>2</w:t>
            </w:r>
          </w:p>
        </w:tc>
        <w:tc>
          <w:tcPr>
            <w:tcW w:w="683" w:type="pct"/>
            <w:tcBorders>
              <w:top w:val="single" w:sz="4" w:space="0" w:color="auto"/>
              <w:left w:val="single" w:sz="4" w:space="0" w:color="auto"/>
              <w:bottom w:val="single" w:sz="4" w:space="0" w:color="auto"/>
              <w:right w:val="single" w:sz="4" w:space="0" w:color="auto"/>
            </w:tcBorders>
            <w:vAlign w:val="center"/>
          </w:tcPr>
          <w:p w14:paraId="037BEB20" w14:textId="77777777" w:rsidR="00E40A40" w:rsidRPr="00EA76AA" w:rsidRDefault="00E40A40" w:rsidP="009A5CAB">
            <w:pPr>
              <w:tabs>
                <w:tab w:val="left" w:pos="4536"/>
              </w:tabs>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10.8%</w:t>
            </w:r>
          </w:p>
        </w:tc>
        <w:tc>
          <w:tcPr>
            <w:tcW w:w="683" w:type="pct"/>
            <w:tcBorders>
              <w:top w:val="single" w:sz="4" w:space="0" w:color="auto"/>
              <w:left w:val="single" w:sz="4" w:space="0" w:color="auto"/>
              <w:bottom w:val="single" w:sz="4" w:space="0" w:color="auto"/>
              <w:right w:val="single" w:sz="4" w:space="0" w:color="auto"/>
            </w:tcBorders>
            <w:vAlign w:val="center"/>
          </w:tcPr>
          <w:p w14:paraId="43F7D0C3" w14:textId="77777777" w:rsidR="00E40A40" w:rsidRPr="00EA76AA" w:rsidRDefault="00E40A40" w:rsidP="009A5CAB">
            <w:pPr>
              <w:tabs>
                <w:tab w:val="left" w:pos="4536"/>
              </w:tabs>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38.2%</w:t>
            </w:r>
          </w:p>
        </w:tc>
        <w:tc>
          <w:tcPr>
            <w:tcW w:w="586" w:type="pct"/>
            <w:tcBorders>
              <w:top w:val="single" w:sz="4" w:space="0" w:color="auto"/>
              <w:left w:val="single" w:sz="4" w:space="0" w:color="auto"/>
              <w:bottom w:val="single" w:sz="4" w:space="0" w:color="auto"/>
              <w:right w:val="single" w:sz="4" w:space="0" w:color="auto"/>
            </w:tcBorders>
            <w:vAlign w:val="center"/>
          </w:tcPr>
          <w:p w14:paraId="1510B424" w14:textId="77777777" w:rsidR="00E40A40" w:rsidRPr="00EA76AA" w:rsidRDefault="00E40A40" w:rsidP="009A5CAB">
            <w:pPr>
              <w:tabs>
                <w:tab w:val="left" w:pos="4536"/>
              </w:tabs>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36.8%</w:t>
            </w:r>
          </w:p>
        </w:tc>
        <w:tc>
          <w:tcPr>
            <w:tcW w:w="683" w:type="pct"/>
            <w:tcBorders>
              <w:top w:val="single" w:sz="4" w:space="0" w:color="auto"/>
              <w:left w:val="single" w:sz="4" w:space="0" w:color="auto"/>
              <w:bottom w:val="single" w:sz="4" w:space="0" w:color="auto"/>
              <w:right w:val="single" w:sz="4" w:space="0" w:color="auto"/>
            </w:tcBorders>
            <w:vAlign w:val="center"/>
          </w:tcPr>
          <w:p w14:paraId="3CDB80C0" w14:textId="77777777" w:rsidR="00E40A40" w:rsidRPr="00EA76AA" w:rsidRDefault="00E40A40" w:rsidP="009A5CAB">
            <w:pPr>
              <w:tabs>
                <w:tab w:val="left" w:pos="4536"/>
              </w:tabs>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39.4%</w:t>
            </w:r>
          </w:p>
        </w:tc>
        <w:tc>
          <w:tcPr>
            <w:tcW w:w="683" w:type="pct"/>
            <w:tcBorders>
              <w:top w:val="single" w:sz="4" w:space="0" w:color="auto"/>
              <w:left w:val="single" w:sz="4" w:space="0" w:color="auto"/>
              <w:bottom w:val="single" w:sz="4" w:space="0" w:color="auto"/>
              <w:right w:val="single" w:sz="4" w:space="0" w:color="auto"/>
            </w:tcBorders>
            <w:vAlign w:val="center"/>
          </w:tcPr>
          <w:p w14:paraId="4BE71E04" w14:textId="77777777" w:rsidR="00E40A40" w:rsidRPr="00EA76AA" w:rsidRDefault="00E40A40" w:rsidP="009A5CAB">
            <w:pPr>
              <w:tabs>
                <w:tab w:val="left" w:pos="4536"/>
              </w:tabs>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38.6%</w:t>
            </w:r>
          </w:p>
        </w:tc>
        <w:tc>
          <w:tcPr>
            <w:tcW w:w="683" w:type="pct"/>
            <w:tcBorders>
              <w:top w:val="single" w:sz="4" w:space="0" w:color="auto"/>
              <w:left w:val="single" w:sz="4" w:space="0" w:color="auto"/>
              <w:bottom w:val="single" w:sz="4" w:space="0" w:color="auto"/>
            </w:tcBorders>
            <w:vAlign w:val="center"/>
          </w:tcPr>
          <w:p w14:paraId="7C77583D" w14:textId="77777777" w:rsidR="00E40A40" w:rsidRPr="00EA76AA" w:rsidRDefault="00E40A40" w:rsidP="009A5CAB">
            <w:pPr>
              <w:tabs>
                <w:tab w:val="left" w:pos="4536"/>
              </w:tabs>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21.8%</w:t>
            </w:r>
          </w:p>
        </w:tc>
      </w:tr>
    </w:tbl>
    <w:p w14:paraId="599CDCF4" w14:textId="77777777" w:rsidR="00B725B6" w:rsidRDefault="00B725B6" w:rsidP="00B0379B">
      <w:pPr>
        <w:autoSpaceDE w:val="0"/>
        <w:autoSpaceDN w:val="0"/>
        <w:adjustRightInd w:val="0"/>
        <w:spacing w:after="0" w:line="240" w:lineRule="auto"/>
        <w:ind w:firstLine="510"/>
        <w:jc w:val="both"/>
        <w:rPr>
          <w:rFonts w:ascii="Times New Roman" w:hAnsi="Times New Roman"/>
          <w:sz w:val="26"/>
        </w:rPr>
      </w:pPr>
    </w:p>
    <w:p w14:paraId="4B0A8702" w14:textId="7CFFA22F" w:rsidR="00DA1890" w:rsidRPr="007F15D8" w:rsidRDefault="007244AE" w:rsidP="00B725B6">
      <w:pPr>
        <w:autoSpaceDE w:val="0"/>
        <w:autoSpaceDN w:val="0"/>
        <w:adjustRightInd w:val="0"/>
        <w:spacing w:after="0" w:line="360" w:lineRule="exact"/>
        <w:ind w:firstLine="510"/>
        <w:jc w:val="both"/>
        <w:rPr>
          <w:rFonts w:ascii="Times New Roman" w:hAnsi="Times New Roman"/>
          <w:sz w:val="26"/>
        </w:rPr>
      </w:pPr>
      <w:r w:rsidRPr="007F15D8">
        <w:rPr>
          <w:rFonts w:ascii="Times New Roman" w:hAnsi="Times New Roman"/>
          <w:sz w:val="26"/>
        </w:rPr>
        <w:t xml:space="preserve">The criterion used to rank </w:t>
      </w:r>
      <w:r w:rsidR="006B1C85" w:rsidRPr="007F15D8">
        <w:rPr>
          <w:rFonts w:ascii="Times New Roman" w:hAnsi="Times New Roman"/>
          <w:sz w:val="26"/>
        </w:rPr>
        <w:t>EQ</w:t>
      </w:r>
      <w:r w:rsidRPr="007F15D8">
        <w:rPr>
          <w:rFonts w:ascii="Times New Roman" w:hAnsi="Times New Roman"/>
          <w:sz w:val="26"/>
        </w:rPr>
        <w:t xml:space="preserve"> measured by R</w:t>
      </w:r>
      <w:r w:rsidRPr="007F15D8">
        <w:rPr>
          <w:rFonts w:ascii="Times New Roman" w:hAnsi="Times New Roman"/>
          <w:sz w:val="26"/>
          <w:vertAlign w:val="superscript"/>
        </w:rPr>
        <w:t>2</w:t>
      </w:r>
      <w:r w:rsidRPr="007F15D8">
        <w:rPr>
          <w:rFonts w:ascii="Times New Roman" w:hAnsi="Times New Roman"/>
          <w:sz w:val="26"/>
        </w:rPr>
        <w:t xml:space="preserve"> </w:t>
      </w:r>
      <w:r w:rsidR="00A41BCF" w:rsidRPr="007F15D8">
        <w:rPr>
          <w:rFonts w:ascii="Times New Roman" w:hAnsi="Times New Roman"/>
          <w:sz w:val="26"/>
        </w:rPr>
        <w:t>i</w:t>
      </w:r>
      <w:r w:rsidRPr="007F15D8">
        <w:rPr>
          <w:rFonts w:ascii="Times New Roman" w:hAnsi="Times New Roman"/>
          <w:sz w:val="26"/>
        </w:rPr>
        <w:t xml:space="preserve">s calculated </w:t>
      </w:r>
      <w:r w:rsidR="00A41BCF" w:rsidRPr="007F15D8">
        <w:rPr>
          <w:rFonts w:ascii="Times New Roman" w:hAnsi="Times New Roman"/>
          <w:sz w:val="26"/>
        </w:rPr>
        <w:t xml:space="preserve">as </w:t>
      </w:r>
      <w:r w:rsidRPr="007F15D8">
        <w:rPr>
          <w:rFonts w:ascii="Times New Roman" w:hAnsi="Times New Roman"/>
          <w:sz w:val="26"/>
        </w:rPr>
        <w:t>in EQ</w:t>
      </w:r>
      <w:r w:rsidR="00A41BCF" w:rsidRPr="007F15D8">
        <w:rPr>
          <w:rFonts w:ascii="Times New Roman" w:hAnsi="Times New Roman"/>
          <w:sz w:val="26"/>
        </w:rPr>
        <w:t>-</w:t>
      </w:r>
      <w:r w:rsidRPr="007F15D8">
        <w:rPr>
          <w:rFonts w:ascii="Times New Roman" w:hAnsi="Times New Roman"/>
          <w:sz w:val="26"/>
        </w:rPr>
        <w:t xml:space="preserve">PER. </w:t>
      </w:r>
      <w:r w:rsidR="000E4287" w:rsidRPr="007F15D8">
        <w:rPr>
          <w:rFonts w:ascii="Times New Roman" w:hAnsi="Times New Roman"/>
          <w:sz w:val="26"/>
        </w:rPr>
        <w:t>Generally, t</w:t>
      </w:r>
      <w:r w:rsidRPr="007F15D8">
        <w:rPr>
          <w:rFonts w:ascii="Times New Roman" w:hAnsi="Times New Roman"/>
          <w:sz w:val="26"/>
        </w:rPr>
        <w:t xml:space="preserve">he results of </w:t>
      </w:r>
      <w:r w:rsidR="00A41BCF" w:rsidRPr="007F15D8">
        <w:rPr>
          <w:rFonts w:ascii="Times New Roman" w:hAnsi="Times New Roman"/>
          <w:sz w:val="26"/>
        </w:rPr>
        <w:t xml:space="preserve">Table </w:t>
      </w:r>
      <w:r w:rsidR="001361AB" w:rsidRPr="007F15D8">
        <w:rPr>
          <w:rFonts w:ascii="Times New Roman" w:hAnsi="Times New Roman"/>
          <w:sz w:val="26"/>
        </w:rPr>
        <w:t>6</w:t>
      </w:r>
      <w:r w:rsidRPr="007F15D8">
        <w:rPr>
          <w:rFonts w:ascii="Times New Roman" w:hAnsi="Times New Roman"/>
          <w:sz w:val="26"/>
        </w:rPr>
        <w:t xml:space="preserve"> indicate that </w:t>
      </w:r>
      <w:r w:rsidR="000E4287" w:rsidRPr="007F15D8">
        <w:rPr>
          <w:rFonts w:ascii="Times New Roman" w:hAnsi="Times New Roman"/>
          <w:sz w:val="26"/>
        </w:rPr>
        <w:t>R</w:t>
      </w:r>
      <w:r w:rsidR="00D748F7" w:rsidRPr="007F15D8">
        <w:rPr>
          <w:rFonts w:ascii="Times New Roman" w:hAnsi="Times New Roman"/>
          <w:sz w:val="26"/>
          <w:vertAlign w:val="superscript"/>
        </w:rPr>
        <w:t xml:space="preserve">2 </w:t>
      </w:r>
      <w:r w:rsidR="000E4287" w:rsidRPr="007F15D8">
        <w:rPr>
          <w:rFonts w:ascii="Times New Roman" w:hAnsi="Times New Roman"/>
          <w:sz w:val="26"/>
        </w:rPr>
        <w:t>is low in all six GCC countries</w:t>
      </w:r>
      <w:r w:rsidR="00A41BCF" w:rsidRPr="007F15D8">
        <w:rPr>
          <w:rFonts w:ascii="Times New Roman" w:hAnsi="Times New Roman"/>
          <w:sz w:val="26"/>
        </w:rPr>
        <w:t>.</w:t>
      </w:r>
      <w:r w:rsidR="000E4287" w:rsidRPr="007F15D8">
        <w:rPr>
          <w:rFonts w:ascii="Times New Roman" w:hAnsi="Times New Roman"/>
          <w:sz w:val="26"/>
        </w:rPr>
        <w:t xml:space="preserve"> </w:t>
      </w:r>
      <w:r w:rsidR="00A41BCF" w:rsidRPr="007F15D8">
        <w:rPr>
          <w:rFonts w:ascii="Times New Roman" w:hAnsi="Times New Roman"/>
          <w:sz w:val="26"/>
        </w:rPr>
        <w:t>T</w:t>
      </w:r>
      <w:r w:rsidRPr="007F15D8">
        <w:rPr>
          <w:rFonts w:ascii="Times New Roman" w:hAnsi="Times New Roman"/>
          <w:sz w:val="26"/>
        </w:rPr>
        <w:t xml:space="preserve">he first rank is </w:t>
      </w:r>
      <w:r w:rsidR="001970BD" w:rsidRPr="007F15D8">
        <w:rPr>
          <w:rFonts w:ascii="Times New Roman" w:hAnsi="Times New Roman"/>
          <w:sz w:val="26"/>
        </w:rPr>
        <w:t xml:space="preserve">Bahrain </w:t>
      </w:r>
      <w:r w:rsidRPr="007F15D8">
        <w:rPr>
          <w:rFonts w:ascii="Times New Roman" w:hAnsi="Times New Roman"/>
          <w:sz w:val="26"/>
        </w:rPr>
        <w:t xml:space="preserve">as </w:t>
      </w:r>
      <w:r w:rsidR="00A41BCF" w:rsidRPr="007F15D8">
        <w:rPr>
          <w:rFonts w:ascii="Times New Roman" w:hAnsi="Times New Roman"/>
          <w:sz w:val="26"/>
        </w:rPr>
        <w:t xml:space="preserve">its </w:t>
      </w:r>
      <w:r w:rsidRPr="007F15D8">
        <w:rPr>
          <w:rFonts w:ascii="Times New Roman" w:hAnsi="Times New Roman"/>
          <w:sz w:val="26"/>
        </w:rPr>
        <w:t>R</w:t>
      </w:r>
      <w:r w:rsidRPr="007F15D8">
        <w:rPr>
          <w:rFonts w:ascii="Times New Roman" w:hAnsi="Times New Roman"/>
          <w:sz w:val="26"/>
          <w:vertAlign w:val="superscript"/>
        </w:rPr>
        <w:t>2</w:t>
      </w:r>
      <w:r w:rsidRPr="007F15D8">
        <w:rPr>
          <w:rFonts w:ascii="Times New Roman" w:hAnsi="Times New Roman"/>
          <w:sz w:val="26"/>
        </w:rPr>
        <w:t xml:space="preserve"> is the highest one among the other countries (</w:t>
      </w:r>
      <w:r w:rsidR="001970BD" w:rsidRPr="007F15D8">
        <w:rPr>
          <w:rFonts w:ascii="Times New Roman" w:hAnsi="Times New Roman"/>
          <w:sz w:val="26"/>
        </w:rPr>
        <w:t>39.4</w:t>
      </w:r>
      <w:r w:rsidRPr="007F15D8">
        <w:rPr>
          <w:rFonts w:ascii="Times New Roman" w:hAnsi="Times New Roman"/>
          <w:sz w:val="26"/>
        </w:rPr>
        <w:t>%) then the second rank is Kuwait (</w:t>
      </w:r>
      <w:r w:rsidR="001970BD" w:rsidRPr="007F15D8">
        <w:rPr>
          <w:rFonts w:ascii="Times New Roman" w:hAnsi="Times New Roman"/>
          <w:sz w:val="26"/>
        </w:rPr>
        <w:t>38.6</w:t>
      </w:r>
      <w:r w:rsidRPr="007F15D8">
        <w:rPr>
          <w:rFonts w:ascii="Times New Roman" w:hAnsi="Times New Roman"/>
          <w:sz w:val="26"/>
        </w:rPr>
        <w:t>%)</w:t>
      </w:r>
      <w:r w:rsidR="001B6859" w:rsidRPr="007F15D8">
        <w:rPr>
          <w:rFonts w:ascii="Times New Roman" w:hAnsi="Times New Roman"/>
          <w:sz w:val="26"/>
        </w:rPr>
        <w:t xml:space="preserve">, </w:t>
      </w:r>
      <w:r w:rsidR="00A41BCF" w:rsidRPr="007F15D8">
        <w:rPr>
          <w:rFonts w:ascii="Times New Roman" w:hAnsi="Times New Roman"/>
          <w:sz w:val="26"/>
        </w:rPr>
        <w:t xml:space="preserve">followed by </w:t>
      </w:r>
      <w:r w:rsidR="001970BD" w:rsidRPr="007F15D8">
        <w:rPr>
          <w:rFonts w:ascii="Times New Roman" w:hAnsi="Times New Roman"/>
          <w:sz w:val="26"/>
        </w:rPr>
        <w:t>Oman</w:t>
      </w:r>
      <w:r w:rsidR="001B6859" w:rsidRPr="007F15D8">
        <w:rPr>
          <w:rFonts w:ascii="Times New Roman" w:hAnsi="Times New Roman"/>
          <w:sz w:val="26"/>
        </w:rPr>
        <w:t xml:space="preserve"> (38.2%)</w:t>
      </w:r>
      <w:r w:rsidR="00A41BCF" w:rsidRPr="007F15D8">
        <w:rPr>
          <w:rFonts w:ascii="Times New Roman" w:hAnsi="Times New Roman"/>
          <w:sz w:val="26"/>
        </w:rPr>
        <w:t xml:space="preserve"> and</w:t>
      </w:r>
      <w:r w:rsidR="001B6859" w:rsidRPr="007F15D8">
        <w:rPr>
          <w:rFonts w:ascii="Times New Roman" w:hAnsi="Times New Roman"/>
          <w:sz w:val="26"/>
        </w:rPr>
        <w:t xml:space="preserve"> then Qatar </w:t>
      </w:r>
      <w:r w:rsidR="001970BD" w:rsidRPr="007F15D8">
        <w:rPr>
          <w:rFonts w:ascii="Times New Roman" w:hAnsi="Times New Roman"/>
          <w:sz w:val="26"/>
        </w:rPr>
        <w:t>(3</w:t>
      </w:r>
      <w:r w:rsidR="001B6859" w:rsidRPr="007F15D8">
        <w:rPr>
          <w:rFonts w:ascii="Times New Roman" w:hAnsi="Times New Roman"/>
          <w:sz w:val="26"/>
        </w:rPr>
        <w:t>6</w:t>
      </w:r>
      <w:r w:rsidR="001970BD" w:rsidRPr="007F15D8">
        <w:rPr>
          <w:rFonts w:ascii="Times New Roman" w:hAnsi="Times New Roman"/>
          <w:sz w:val="26"/>
        </w:rPr>
        <w:t>.</w:t>
      </w:r>
      <w:r w:rsidR="001B6859" w:rsidRPr="007F15D8">
        <w:rPr>
          <w:rFonts w:ascii="Times New Roman" w:hAnsi="Times New Roman"/>
          <w:sz w:val="26"/>
        </w:rPr>
        <w:t>8</w:t>
      </w:r>
      <w:r w:rsidR="001970BD" w:rsidRPr="007F15D8">
        <w:rPr>
          <w:rFonts w:ascii="Times New Roman" w:hAnsi="Times New Roman"/>
          <w:sz w:val="26"/>
        </w:rPr>
        <w:t>%)</w:t>
      </w:r>
      <w:r w:rsidRPr="007F15D8">
        <w:rPr>
          <w:rFonts w:ascii="Times New Roman" w:hAnsi="Times New Roman"/>
          <w:sz w:val="26"/>
        </w:rPr>
        <w:t xml:space="preserve">. </w:t>
      </w:r>
      <w:r w:rsidR="00A41BCF" w:rsidRPr="007F15D8">
        <w:rPr>
          <w:rFonts w:ascii="Times New Roman" w:hAnsi="Times New Roman"/>
          <w:sz w:val="26"/>
        </w:rPr>
        <w:t xml:space="preserve">The </w:t>
      </w:r>
      <w:r w:rsidRPr="007F15D8">
        <w:rPr>
          <w:rFonts w:ascii="Times New Roman" w:hAnsi="Times New Roman"/>
          <w:sz w:val="26"/>
        </w:rPr>
        <w:t>R</w:t>
      </w:r>
      <w:r w:rsidRPr="007F15D8">
        <w:rPr>
          <w:rFonts w:ascii="Times New Roman" w:hAnsi="Times New Roman"/>
          <w:sz w:val="26"/>
          <w:vertAlign w:val="superscript"/>
        </w:rPr>
        <w:t>2</w:t>
      </w:r>
      <w:r w:rsidRPr="007F15D8">
        <w:rPr>
          <w:rFonts w:ascii="Times New Roman" w:hAnsi="Times New Roman"/>
          <w:sz w:val="26"/>
        </w:rPr>
        <w:t xml:space="preserve"> for the other </w:t>
      </w:r>
      <w:r w:rsidR="001B6859" w:rsidRPr="007F15D8">
        <w:rPr>
          <w:rFonts w:ascii="Times New Roman" w:hAnsi="Times New Roman"/>
          <w:sz w:val="26"/>
        </w:rPr>
        <w:t xml:space="preserve">two countries (KSA and UAE) </w:t>
      </w:r>
      <w:r w:rsidRPr="007F15D8">
        <w:rPr>
          <w:rFonts w:ascii="Times New Roman" w:hAnsi="Times New Roman"/>
          <w:sz w:val="26"/>
        </w:rPr>
        <w:t>is low</w:t>
      </w:r>
      <w:r w:rsidR="00A41BCF" w:rsidRPr="007F15D8">
        <w:rPr>
          <w:rFonts w:ascii="Times New Roman" w:hAnsi="Times New Roman"/>
          <w:sz w:val="26"/>
        </w:rPr>
        <w:t>,</w:t>
      </w:r>
      <w:r w:rsidRPr="007F15D8">
        <w:rPr>
          <w:rFonts w:ascii="Times New Roman" w:hAnsi="Times New Roman"/>
          <w:sz w:val="26"/>
        </w:rPr>
        <w:t xml:space="preserve"> and the lowest one is for</w:t>
      </w:r>
      <w:r w:rsidR="001B6859" w:rsidRPr="007F15D8">
        <w:rPr>
          <w:rFonts w:ascii="Times New Roman" w:hAnsi="Times New Roman"/>
          <w:sz w:val="26"/>
        </w:rPr>
        <w:t xml:space="preserve"> KSA</w:t>
      </w:r>
      <w:r w:rsidRPr="007F15D8">
        <w:rPr>
          <w:rFonts w:ascii="Times New Roman" w:hAnsi="Times New Roman"/>
          <w:sz w:val="26"/>
        </w:rPr>
        <w:t xml:space="preserve"> (1</w:t>
      </w:r>
      <w:r w:rsidR="001B6859" w:rsidRPr="007F15D8">
        <w:rPr>
          <w:rFonts w:ascii="Times New Roman" w:hAnsi="Times New Roman"/>
          <w:sz w:val="26"/>
        </w:rPr>
        <w:t>0.8</w:t>
      </w:r>
      <w:r w:rsidRPr="007F15D8">
        <w:rPr>
          <w:rFonts w:ascii="Times New Roman" w:hAnsi="Times New Roman"/>
          <w:sz w:val="26"/>
        </w:rPr>
        <w:t xml:space="preserve">%). These results indicate that the predictive value of earnings is more in </w:t>
      </w:r>
      <w:r w:rsidR="001B6859" w:rsidRPr="007F15D8">
        <w:rPr>
          <w:rFonts w:ascii="Times New Roman" w:hAnsi="Times New Roman"/>
          <w:sz w:val="26"/>
        </w:rPr>
        <w:t>Bahrain, Kuwait, Oman</w:t>
      </w:r>
      <w:r w:rsidR="0023144D">
        <w:rPr>
          <w:rFonts w:ascii="Times New Roman" w:hAnsi="Times New Roman"/>
          <w:sz w:val="26"/>
        </w:rPr>
        <w:t>,</w:t>
      </w:r>
      <w:r w:rsidR="001B6859" w:rsidRPr="007F15D8">
        <w:rPr>
          <w:rFonts w:ascii="Times New Roman" w:hAnsi="Times New Roman"/>
          <w:sz w:val="26"/>
        </w:rPr>
        <w:t xml:space="preserve"> </w:t>
      </w:r>
      <w:r w:rsidRPr="007F15D8">
        <w:rPr>
          <w:rFonts w:ascii="Times New Roman" w:hAnsi="Times New Roman"/>
          <w:sz w:val="26"/>
        </w:rPr>
        <w:t>and</w:t>
      </w:r>
      <w:r w:rsidR="001B6859" w:rsidRPr="007F15D8">
        <w:rPr>
          <w:rFonts w:ascii="Times New Roman" w:hAnsi="Times New Roman"/>
          <w:sz w:val="26"/>
        </w:rPr>
        <w:t xml:space="preserve"> Qatar</w:t>
      </w:r>
      <w:r w:rsidR="00A41BCF" w:rsidRPr="007F15D8">
        <w:rPr>
          <w:rFonts w:ascii="Times New Roman" w:hAnsi="Times New Roman"/>
          <w:sz w:val="26"/>
        </w:rPr>
        <w:t>,</w:t>
      </w:r>
      <w:r w:rsidRPr="007F15D8">
        <w:rPr>
          <w:rFonts w:ascii="Times New Roman" w:hAnsi="Times New Roman"/>
          <w:sz w:val="26"/>
        </w:rPr>
        <w:t xml:space="preserve"> </w:t>
      </w:r>
      <w:r w:rsidR="00A41BCF" w:rsidRPr="007F15D8">
        <w:rPr>
          <w:rFonts w:ascii="Times New Roman" w:hAnsi="Times New Roman"/>
          <w:sz w:val="26"/>
        </w:rPr>
        <w:t>but</w:t>
      </w:r>
      <w:r w:rsidRPr="007F15D8">
        <w:rPr>
          <w:rFonts w:ascii="Times New Roman" w:hAnsi="Times New Roman"/>
          <w:sz w:val="26"/>
        </w:rPr>
        <w:t xml:space="preserve"> it is low in the </w:t>
      </w:r>
      <w:r w:rsidR="001B6859" w:rsidRPr="007F15D8">
        <w:rPr>
          <w:rFonts w:ascii="Times New Roman" w:hAnsi="Times New Roman"/>
          <w:sz w:val="26"/>
        </w:rPr>
        <w:t>KSA and UAE</w:t>
      </w:r>
      <w:r w:rsidRPr="007F15D8">
        <w:rPr>
          <w:rFonts w:ascii="Times New Roman" w:hAnsi="Times New Roman"/>
          <w:sz w:val="26"/>
        </w:rPr>
        <w:t xml:space="preserve">. </w:t>
      </w:r>
      <w:r w:rsidR="0011610E" w:rsidRPr="007F15D8">
        <w:rPr>
          <w:rFonts w:ascii="Times New Roman" w:hAnsi="Times New Roman"/>
          <w:sz w:val="26"/>
        </w:rPr>
        <w:t xml:space="preserve">In general, the predictive value of earnings in GCC </w:t>
      </w:r>
      <w:r w:rsidR="009A4680" w:rsidRPr="007F15D8">
        <w:rPr>
          <w:rFonts w:ascii="Times New Roman" w:hAnsi="Times New Roman"/>
          <w:sz w:val="26"/>
        </w:rPr>
        <w:t>countries</w:t>
      </w:r>
      <w:r w:rsidR="0011610E" w:rsidRPr="007F15D8">
        <w:rPr>
          <w:rFonts w:ascii="Times New Roman" w:hAnsi="Times New Roman"/>
          <w:sz w:val="26"/>
        </w:rPr>
        <w:t xml:space="preserve"> as measured by R</w:t>
      </w:r>
      <w:r w:rsidR="0011610E" w:rsidRPr="007F15D8">
        <w:rPr>
          <w:rFonts w:ascii="Times New Roman" w:hAnsi="Times New Roman"/>
          <w:sz w:val="26"/>
          <w:vertAlign w:val="superscript"/>
        </w:rPr>
        <w:t>2</w:t>
      </w:r>
      <w:r w:rsidR="0011610E" w:rsidRPr="007F15D8">
        <w:rPr>
          <w:rFonts w:ascii="Times New Roman" w:hAnsi="Times New Roman"/>
          <w:sz w:val="26"/>
        </w:rPr>
        <w:t xml:space="preserve"> is below 50%</w:t>
      </w:r>
      <w:r w:rsidR="0023144D">
        <w:rPr>
          <w:rFonts w:ascii="Times New Roman" w:hAnsi="Times New Roman"/>
          <w:sz w:val="26"/>
        </w:rPr>
        <w:t>,</w:t>
      </w:r>
      <w:r w:rsidR="0011610E" w:rsidRPr="007F15D8">
        <w:rPr>
          <w:rFonts w:ascii="Times New Roman" w:hAnsi="Times New Roman"/>
          <w:sz w:val="26"/>
        </w:rPr>
        <w:t xml:space="preserve"> which </w:t>
      </w:r>
      <w:r w:rsidR="00A41BCF" w:rsidRPr="007F15D8">
        <w:rPr>
          <w:rFonts w:ascii="Times New Roman" w:hAnsi="Times New Roman"/>
          <w:sz w:val="26"/>
        </w:rPr>
        <w:t xml:space="preserve">is </w:t>
      </w:r>
      <w:r w:rsidR="0011610E" w:rsidRPr="007F15D8">
        <w:rPr>
          <w:rFonts w:ascii="Times New Roman" w:hAnsi="Times New Roman"/>
          <w:sz w:val="26"/>
        </w:rPr>
        <w:t xml:space="preserve">low. </w:t>
      </w:r>
      <w:r w:rsidRPr="007F15D8">
        <w:rPr>
          <w:rFonts w:ascii="Times New Roman" w:hAnsi="Times New Roman"/>
          <w:sz w:val="26"/>
        </w:rPr>
        <w:t xml:space="preserve">The </w:t>
      </w:r>
      <w:r w:rsidR="006B1C85" w:rsidRPr="007F15D8">
        <w:rPr>
          <w:rFonts w:ascii="Times New Roman" w:hAnsi="Times New Roman"/>
          <w:sz w:val="26"/>
        </w:rPr>
        <w:t>EQ</w:t>
      </w:r>
      <w:r w:rsidRPr="007F15D8">
        <w:rPr>
          <w:rFonts w:ascii="Times New Roman" w:hAnsi="Times New Roman"/>
          <w:sz w:val="26"/>
        </w:rPr>
        <w:t xml:space="preserve"> </w:t>
      </w:r>
      <w:r w:rsidR="000E4287" w:rsidRPr="007F15D8">
        <w:rPr>
          <w:rFonts w:ascii="Times New Roman" w:hAnsi="Times New Roman"/>
          <w:sz w:val="26"/>
        </w:rPr>
        <w:t xml:space="preserve">measured by predictability </w:t>
      </w:r>
      <w:r w:rsidR="00A41BCF" w:rsidRPr="007F15D8">
        <w:rPr>
          <w:rFonts w:ascii="Times New Roman" w:hAnsi="Times New Roman"/>
          <w:sz w:val="26"/>
        </w:rPr>
        <w:t xml:space="preserve">may </w:t>
      </w:r>
      <w:r w:rsidR="000E4287" w:rsidRPr="007F15D8">
        <w:rPr>
          <w:rFonts w:ascii="Times New Roman" w:hAnsi="Times New Roman"/>
          <w:sz w:val="26"/>
        </w:rPr>
        <w:t xml:space="preserve">not help </w:t>
      </w:r>
      <w:r w:rsidR="00A41BCF" w:rsidRPr="007F15D8">
        <w:rPr>
          <w:rFonts w:ascii="Times New Roman" w:hAnsi="Times New Roman"/>
          <w:sz w:val="26"/>
        </w:rPr>
        <w:t>investors</w:t>
      </w:r>
      <w:r w:rsidR="000E4287" w:rsidRPr="007F15D8">
        <w:rPr>
          <w:rFonts w:ascii="Times New Roman" w:hAnsi="Times New Roman"/>
          <w:sz w:val="26"/>
        </w:rPr>
        <w:t xml:space="preserve"> decide about their investment in the future. </w:t>
      </w:r>
    </w:p>
    <w:p w14:paraId="6DEA323D" w14:textId="167EC4FF" w:rsidR="007244AE" w:rsidRPr="00C950E1" w:rsidRDefault="00DA1890" w:rsidP="00D26FCE">
      <w:pPr>
        <w:autoSpaceDE w:val="0"/>
        <w:autoSpaceDN w:val="0"/>
        <w:adjustRightInd w:val="0"/>
        <w:spacing w:after="0" w:line="360" w:lineRule="exact"/>
        <w:ind w:firstLine="510"/>
        <w:jc w:val="both"/>
        <w:rPr>
          <w:rFonts w:ascii="Times New Roman" w:hAnsi="Times New Roman"/>
          <w:sz w:val="26"/>
        </w:rPr>
      </w:pPr>
      <w:r w:rsidRPr="007875AD">
        <w:rPr>
          <w:rFonts w:ascii="Times New Roman" w:hAnsi="Times New Roman"/>
          <w:sz w:val="26"/>
        </w:rPr>
        <w:t>Th</w:t>
      </w:r>
      <w:r w:rsidRPr="00C950E1">
        <w:rPr>
          <w:rFonts w:ascii="Times New Roman" w:hAnsi="Times New Roman"/>
          <w:sz w:val="26"/>
        </w:rPr>
        <w:t xml:space="preserve">e result of this study </w:t>
      </w:r>
      <w:r w:rsidR="0011610E" w:rsidRPr="00C950E1">
        <w:rPr>
          <w:rFonts w:ascii="Times New Roman" w:hAnsi="Times New Roman"/>
          <w:sz w:val="26"/>
        </w:rPr>
        <w:t xml:space="preserve">is inconsistent with Holt </w:t>
      </w:r>
      <w:r w:rsidR="00944F99" w:rsidRPr="00C950E1">
        <w:rPr>
          <w:rFonts w:ascii="Times New Roman" w:hAnsi="Times New Roman"/>
          <w:sz w:val="26"/>
        </w:rPr>
        <w:t>(</w:t>
      </w:r>
      <w:r w:rsidR="0011610E" w:rsidRPr="00C950E1">
        <w:rPr>
          <w:rFonts w:ascii="Times New Roman" w:hAnsi="Times New Roman"/>
          <w:sz w:val="26"/>
        </w:rPr>
        <w:t>2013)</w:t>
      </w:r>
      <w:r w:rsidR="0023144D" w:rsidRPr="00C950E1">
        <w:rPr>
          <w:rFonts w:ascii="Times New Roman" w:hAnsi="Times New Roman"/>
          <w:sz w:val="26"/>
        </w:rPr>
        <w:t>,</w:t>
      </w:r>
      <w:r w:rsidR="0011610E" w:rsidRPr="00C950E1">
        <w:rPr>
          <w:rFonts w:ascii="Times New Roman" w:hAnsi="Times New Roman"/>
          <w:sz w:val="26"/>
        </w:rPr>
        <w:t xml:space="preserve"> </w:t>
      </w:r>
      <w:r w:rsidR="007875AD">
        <w:rPr>
          <w:rFonts w:ascii="Times New Roman" w:hAnsi="Times New Roman"/>
          <w:sz w:val="26"/>
        </w:rPr>
        <w:t>which</w:t>
      </w:r>
      <w:r w:rsidR="00A41BCF" w:rsidRPr="007875AD">
        <w:rPr>
          <w:rFonts w:ascii="Times New Roman" w:hAnsi="Times New Roman"/>
          <w:sz w:val="26"/>
        </w:rPr>
        <w:t xml:space="preserve"> found</w:t>
      </w:r>
      <w:r w:rsidR="0011610E" w:rsidRPr="00C950E1">
        <w:rPr>
          <w:rFonts w:ascii="Times New Roman" w:hAnsi="Times New Roman"/>
          <w:sz w:val="26"/>
        </w:rPr>
        <w:t xml:space="preserve"> that predictability is a good indicator to predict future earnings </w:t>
      </w:r>
      <w:r w:rsidR="00A41BCF" w:rsidRPr="00C950E1">
        <w:rPr>
          <w:rFonts w:ascii="Times New Roman" w:hAnsi="Times New Roman"/>
          <w:sz w:val="26"/>
        </w:rPr>
        <w:t xml:space="preserve">when </w:t>
      </w:r>
      <w:r w:rsidR="0011610E" w:rsidRPr="00C950E1">
        <w:rPr>
          <w:rFonts w:ascii="Times New Roman" w:hAnsi="Times New Roman"/>
          <w:sz w:val="26"/>
        </w:rPr>
        <w:t>the average of R</w:t>
      </w:r>
      <w:r w:rsidR="00BC4673" w:rsidRPr="00C950E1">
        <w:rPr>
          <w:rFonts w:ascii="Times New Roman" w:hAnsi="Times New Roman"/>
          <w:sz w:val="26"/>
          <w:vertAlign w:val="superscript"/>
        </w:rPr>
        <w:t>2</w:t>
      </w:r>
      <w:r w:rsidR="0011610E" w:rsidRPr="00C950E1">
        <w:rPr>
          <w:rFonts w:ascii="Times New Roman" w:hAnsi="Times New Roman"/>
          <w:sz w:val="26"/>
        </w:rPr>
        <w:t xml:space="preserve"> is around 70%.</w:t>
      </w:r>
      <w:r w:rsidR="001F48F8" w:rsidRPr="00C950E1">
        <w:rPr>
          <w:rFonts w:ascii="Times New Roman" w:hAnsi="Times New Roman"/>
          <w:sz w:val="26"/>
        </w:rPr>
        <w:t xml:space="preserve">  </w:t>
      </w:r>
      <w:r w:rsidR="007244AE" w:rsidRPr="00C950E1">
        <w:rPr>
          <w:rFonts w:ascii="Times New Roman" w:hAnsi="Times New Roman"/>
          <w:sz w:val="26"/>
        </w:rPr>
        <w:t xml:space="preserve"> </w:t>
      </w:r>
    </w:p>
    <w:p w14:paraId="4C96382F" w14:textId="1B4F206C" w:rsidR="00D5790E" w:rsidRDefault="00D5790E" w:rsidP="002E7CAC">
      <w:pPr>
        <w:autoSpaceDE w:val="0"/>
        <w:autoSpaceDN w:val="0"/>
        <w:adjustRightInd w:val="0"/>
        <w:spacing w:after="0" w:line="360" w:lineRule="exact"/>
        <w:ind w:firstLineChars="200" w:firstLine="520"/>
        <w:jc w:val="both"/>
        <w:rPr>
          <w:rFonts w:ascii="Times New Roman" w:hAnsi="Times New Roman"/>
          <w:sz w:val="26"/>
        </w:rPr>
      </w:pPr>
      <w:r w:rsidRPr="00C950E1">
        <w:rPr>
          <w:rFonts w:ascii="Times New Roman" w:hAnsi="Times New Roman"/>
          <w:sz w:val="26"/>
        </w:rPr>
        <w:t xml:space="preserve">Table </w:t>
      </w:r>
      <w:r w:rsidR="00EB7C77" w:rsidRPr="00C950E1">
        <w:rPr>
          <w:rFonts w:ascii="Times New Roman" w:hAnsi="Times New Roman"/>
          <w:sz w:val="26"/>
        </w:rPr>
        <w:t>7</w:t>
      </w:r>
      <w:r w:rsidRPr="00C950E1">
        <w:rPr>
          <w:rFonts w:ascii="Times New Roman" w:hAnsi="Times New Roman"/>
          <w:sz w:val="26"/>
        </w:rPr>
        <w:t xml:space="preserve"> shows the results of </w:t>
      </w:r>
      <w:r w:rsidR="0046067A" w:rsidRPr="00B94A88">
        <w:rPr>
          <w:rFonts w:ascii="Times New Roman" w:hAnsi="Times New Roman"/>
          <w:sz w:val="26"/>
        </w:rPr>
        <w:t xml:space="preserve">the </w:t>
      </w:r>
      <w:r w:rsidRPr="007875AD">
        <w:rPr>
          <w:rFonts w:ascii="Times New Roman" w:hAnsi="Times New Roman"/>
          <w:sz w:val="26"/>
        </w:rPr>
        <w:t xml:space="preserve">regression between </w:t>
      </w:r>
      <w:r w:rsidR="00A41BCF" w:rsidRPr="00C950E1">
        <w:rPr>
          <w:rFonts w:ascii="Times New Roman" w:hAnsi="Times New Roman"/>
          <w:sz w:val="26"/>
        </w:rPr>
        <w:t xml:space="preserve">EQ-P </w:t>
      </w:r>
      <w:r w:rsidRPr="00C950E1">
        <w:rPr>
          <w:rFonts w:ascii="Times New Roman" w:hAnsi="Times New Roman"/>
          <w:sz w:val="26"/>
        </w:rPr>
        <w:t xml:space="preserve">and </w:t>
      </w:r>
      <w:r w:rsidR="00A41BCF" w:rsidRPr="00C950E1">
        <w:rPr>
          <w:rFonts w:ascii="Times New Roman" w:hAnsi="Times New Roman"/>
          <w:sz w:val="26"/>
        </w:rPr>
        <w:t>FI</w:t>
      </w:r>
      <w:r w:rsidRPr="00C950E1">
        <w:rPr>
          <w:rFonts w:ascii="Times New Roman" w:hAnsi="Times New Roman"/>
          <w:sz w:val="26"/>
        </w:rPr>
        <w:t>.</w:t>
      </w:r>
    </w:p>
    <w:p w14:paraId="5AD54F1D" w14:textId="77777777" w:rsidR="00B725B6" w:rsidRPr="007F15D8" w:rsidRDefault="00B725B6" w:rsidP="00B725B6">
      <w:pPr>
        <w:autoSpaceDE w:val="0"/>
        <w:autoSpaceDN w:val="0"/>
        <w:adjustRightInd w:val="0"/>
        <w:spacing w:after="0" w:line="360" w:lineRule="exact"/>
        <w:jc w:val="both"/>
        <w:rPr>
          <w:rFonts w:ascii="Times New Roman" w:hAnsi="Times New Roman"/>
          <w:b/>
          <w:sz w:val="26"/>
        </w:rPr>
      </w:pPr>
    </w:p>
    <w:p w14:paraId="784D4C83" w14:textId="38612F66" w:rsidR="00E40A40" w:rsidRPr="002E7CAC" w:rsidRDefault="00E40A40" w:rsidP="00FA3651">
      <w:pPr>
        <w:snapToGrid w:val="0"/>
        <w:spacing w:afterLines="50" w:after="120" w:line="360" w:lineRule="exact"/>
        <w:jc w:val="both"/>
        <w:rPr>
          <w:rFonts w:asciiTheme="majorBidi" w:hAnsiTheme="majorBidi"/>
          <w:i/>
          <w:sz w:val="26"/>
        </w:rPr>
      </w:pPr>
      <w:r w:rsidRPr="002E7CAC">
        <w:rPr>
          <w:rFonts w:asciiTheme="majorBidi" w:hAnsiTheme="majorBidi"/>
          <w:b/>
          <w:sz w:val="26"/>
        </w:rPr>
        <w:t xml:space="preserve">Table </w:t>
      </w:r>
      <w:proofErr w:type="gramStart"/>
      <w:r w:rsidRPr="002E7CAC">
        <w:rPr>
          <w:rFonts w:asciiTheme="majorBidi" w:hAnsiTheme="majorBidi"/>
          <w:b/>
          <w:sz w:val="26"/>
        </w:rPr>
        <w:t>7</w:t>
      </w:r>
      <w:r w:rsidR="002E7CAC">
        <w:rPr>
          <w:rFonts w:asciiTheme="majorBidi" w:hAnsiTheme="majorBidi"/>
          <w:sz w:val="26"/>
        </w:rPr>
        <w:t xml:space="preserve"> </w:t>
      </w:r>
      <w:r w:rsidRPr="00FA3651">
        <w:rPr>
          <w:rFonts w:asciiTheme="majorBidi" w:hAnsiTheme="majorBidi"/>
          <w:sz w:val="26"/>
        </w:rPr>
        <w:t xml:space="preserve"> </w:t>
      </w:r>
      <w:r w:rsidRPr="002E7CAC">
        <w:rPr>
          <w:rFonts w:asciiTheme="majorBidi" w:hAnsiTheme="majorBidi"/>
          <w:i/>
          <w:sz w:val="26"/>
        </w:rPr>
        <w:t>Results</w:t>
      </w:r>
      <w:proofErr w:type="gramEnd"/>
      <w:r w:rsidRPr="002E7CAC">
        <w:rPr>
          <w:rFonts w:asciiTheme="majorBidi" w:hAnsiTheme="majorBidi"/>
          <w:i/>
          <w:sz w:val="26"/>
        </w:rPr>
        <w:t xml:space="preserve"> of </w:t>
      </w:r>
      <w:r w:rsidR="003D7038">
        <w:rPr>
          <w:rFonts w:asciiTheme="majorBidi" w:hAnsiTheme="majorBidi"/>
          <w:i/>
          <w:sz w:val="26"/>
        </w:rPr>
        <w:t>R</w:t>
      </w:r>
      <w:r w:rsidRPr="002E7CAC">
        <w:rPr>
          <w:rFonts w:asciiTheme="majorBidi" w:hAnsiTheme="majorBidi"/>
          <w:i/>
          <w:sz w:val="26"/>
        </w:rPr>
        <w:t>egression between P and FI</w:t>
      </w:r>
    </w:p>
    <w:tbl>
      <w:tblPr>
        <w:tblStyle w:val="a9"/>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
        <w:gridCol w:w="696"/>
        <w:gridCol w:w="677"/>
        <w:gridCol w:w="697"/>
        <w:gridCol w:w="677"/>
        <w:gridCol w:w="697"/>
        <w:gridCol w:w="677"/>
        <w:gridCol w:w="697"/>
        <w:gridCol w:w="677"/>
        <w:gridCol w:w="713"/>
        <w:gridCol w:w="607"/>
        <w:gridCol w:w="699"/>
        <w:gridCol w:w="607"/>
      </w:tblGrid>
      <w:tr w:rsidR="007F15D8" w:rsidRPr="00B725B6" w14:paraId="0A7DFC29" w14:textId="77777777" w:rsidTr="009E5933">
        <w:trPr>
          <w:trHeight w:val="340"/>
          <w:jc w:val="center"/>
        </w:trPr>
        <w:tc>
          <w:tcPr>
            <w:tcW w:w="502" w:type="pct"/>
            <w:vMerge w:val="restart"/>
            <w:tcBorders>
              <w:top w:val="single" w:sz="4" w:space="0" w:color="auto"/>
              <w:right w:val="single" w:sz="4" w:space="0" w:color="auto"/>
              <w:tl2br w:val="single" w:sz="4" w:space="0" w:color="auto"/>
            </w:tcBorders>
            <w:vAlign w:val="center"/>
          </w:tcPr>
          <w:p w14:paraId="487D3639" w14:textId="145E3587" w:rsidR="00E40A40" w:rsidRPr="00B725B6" w:rsidRDefault="00B725B6" w:rsidP="00A152B0">
            <w:pPr>
              <w:widowControl w:val="0"/>
              <w:autoSpaceDE w:val="0"/>
              <w:autoSpaceDN w:val="0"/>
              <w:adjustRightInd w:val="0"/>
              <w:snapToGrid w:val="0"/>
              <w:rPr>
                <w:rFonts w:ascii="Times New Roman" w:hAnsi="Times New Roman" w:cs="Times New Roman"/>
                <w:sz w:val="18"/>
                <w:szCs w:val="20"/>
              </w:rPr>
            </w:pPr>
            <w:r>
              <w:rPr>
                <w:rFonts w:ascii="新細明體" w:eastAsia="新細明體" w:hAnsi="新細明體" w:cs="Times New Roman" w:hint="eastAsia"/>
                <w:sz w:val="18"/>
                <w:szCs w:val="20"/>
                <w:lang w:eastAsia="zh-TW"/>
              </w:rPr>
              <w:t xml:space="preserve"> </w:t>
            </w:r>
            <w:r w:rsidR="00A152B0">
              <w:rPr>
                <w:rFonts w:ascii="新細明體" w:eastAsia="新細明體" w:hAnsi="新細明體" w:cs="Times New Roman"/>
                <w:sz w:val="18"/>
                <w:szCs w:val="20"/>
                <w:lang w:eastAsia="zh-TW"/>
              </w:rPr>
              <w:t xml:space="preserve"> </w:t>
            </w:r>
            <w:r w:rsidR="00E40A40" w:rsidRPr="00B725B6">
              <w:rPr>
                <w:rFonts w:ascii="Times New Roman" w:hAnsi="Times New Roman" w:cs="Times New Roman"/>
                <w:sz w:val="18"/>
                <w:szCs w:val="20"/>
              </w:rPr>
              <w:t>Country</w:t>
            </w:r>
          </w:p>
          <w:p w14:paraId="069613A2" w14:textId="77777777" w:rsidR="00E40A40" w:rsidRPr="00B725B6" w:rsidRDefault="00E40A40" w:rsidP="00A152B0">
            <w:pPr>
              <w:widowControl w:val="0"/>
              <w:autoSpaceDE w:val="0"/>
              <w:autoSpaceDN w:val="0"/>
              <w:adjustRightInd w:val="0"/>
              <w:snapToGrid w:val="0"/>
              <w:rPr>
                <w:rFonts w:ascii="Times New Roman" w:hAnsi="Times New Roman" w:cs="Times New Roman"/>
                <w:sz w:val="18"/>
                <w:szCs w:val="20"/>
              </w:rPr>
            </w:pPr>
          </w:p>
          <w:p w14:paraId="467BE90B" w14:textId="77777777" w:rsidR="00E40A40" w:rsidRPr="00B725B6" w:rsidRDefault="00E40A40" w:rsidP="00A152B0">
            <w:pPr>
              <w:widowControl w:val="0"/>
              <w:autoSpaceDE w:val="0"/>
              <w:autoSpaceDN w:val="0"/>
              <w:adjustRightInd w:val="0"/>
              <w:snapToGrid w:val="0"/>
              <w:rPr>
                <w:rFonts w:ascii="Times New Roman" w:hAnsi="Times New Roman" w:cs="Times New Roman"/>
                <w:sz w:val="18"/>
                <w:szCs w:val="20"/>
              </w:rPr>
            </w:pPr>
            <w:r w:rsidRPr="00B725B6">
              <w:rPr>
                <w:rFonts w:ascii="Times New Roman" w:hAnsi="Times New Roman" w:cs="Times New Roman"/>
                <w:sz w:val="18"/>
                <w:szCs w:val="20"/>
              </w:rPr>
              <w:t>Variables</w:t>
            </w:r>
          </w:p>
        </w:tc>
        <w:tc>
          <w:tcPr>
            <w:tcW w:w="761" w:type="pct"/>
            <w:gridSpan w:val="2"/>
            <w:tcBorders>
              <w:top w:val="single" w:sz="4" w:space="0" w:color="auto"/>
              <w:left w:val="single" w:sz="4" w:space="0" w:color="auto"/>
              <w:bottom w:val="single" w:sz="4" w:space="0" w:color="auto"/>
            </w:tcBorders>
            <w:vAlign w:val="center"/>
          </w:tcPr>
          <w:p w14:paraId="1AA837DF" w14:textId="77777777" w:rsidR="00E40A40" w:rsidRPr="00B725B6" w:rsidRDefault="00E40A40" w:rsidP="00B725B6">
            <w:pPr>
              <w:autoSpaceDE w:val="0"/>
              <w:autoSpaceDN w:val="0"/>
              <w:adjustRightInd w:val="0"/>
              <w:jc w:val="center"/>
              <w:rPr>
                <w:rFonts w:ascii="Times New Roman" w:hAnsi="Times New Roman" w:cs="Times New Roman"/>
                <w:sz w:val="18"/>
                <w:szCs w:val="20"/>
              </w:rPr>
            </w:pPr>
            <w:r w:rsidRPr="00B725B6">
              <w:rPr>
                <w:rFonts w:ascii="Times New Roman" w:hAnsi="Times New Roman" w:cs="Times New Roman"/>
                <w:sz w:val="18"/>
                <w:szCs w:val="20"/>
              </w:rPr>
              <w:t>KSA</w:t>
            </w:r>
          </w:p>
        </w:tc>
        <w:tc>
          <w:tcPr>
            <w:tcW w:w="761" w:type="pct"/>
            <w:gridSpan w:val="2"/>
            <w:tcBorders>
              <w:top w:val="single" w:sz="4" w:space="0" w:color="auto"/>
              <w:bottom w:val="single" w:sz="4" w:space="0" w:color="auto"/>
            </w:tcBorders>
            <w:vAlign w:val="center"/>
          </w:tcPr>
          <w:p w14:paraId="42741691" w14:textId="77777777" w:rsidR="00E40A40" w:rsidRPr="00B725B6" w:rsidRDefault="00E40A40" w:rsidP="00B725B6">
            <w:pPr>
              <w:autoSpaceDE w:val="0"/>
              <w:autoSpaceDN w:val="0"/>
              <w:adjustRightInd w:val="0"/>
              <w:jc w:val="center"/>
              <w:rPr>
                <w:rFonts w:ascii="Times New Roman" w:hAnsi="Times New Roman" w:cs="Times New Roman"/>
                <w:sz w:val="18"/>
                <w:szCs w:val="20"/>
              </w:rPr>
            </w:pPr>
            <w:r w:rsidRPr="00B725B6">
              <w:rPr>
                <w:rFonts w:ascii="Times New Roman" w:hAnsi="Times New Roman" w:cs="Times New Roman"/>
                <w:sz w:val="18"/>
                <w:szCs w:val="20"/>
              </w:rPr>
              <w:t>OMN</w:t>
            </w:r>
          </w:p>
        </w:tc>
        <w:tc>
          <w:tcPr>
            <w:tcW w:w="761" w:type="pct"/>
            <w:gridSpan w:val="2"/>
            <w:tcBorders>
              <w:top w:val="single" w:sz="4" w:space="0" w:color="auto"/>
              <w:bottom w:val="single" w:sz="4" w:space="0" w:color="auto"/>
            </w:tcBorders>
            <w:vAlign w:val="center"/>
          </w:tcPr>
          <w:p w14:paraId="7A92871F" w14:textId="77777777" w:rsidR="00E40A40" w:rsidRPr="00B725B6" w:rsidRDefault="00E40A40" w:rsidP="00B725B6">
            <w:pPr>
              <w:autoSpaceDE w:val="0"/>
              <w:autoSpaceDN w:val="0"/>
              <w:adjustRightInd w:val="0"/>
              <w:jc w:val="center"/>
              <w:rPr>
                <w:rFonts w:ascii="Times New Roman" w:hAnsi="Times New Roman" w:cs="Times New Roman"/>
                <w:sz w:val="18"/>
                <w:szCs w:val="20"/>
              </w:rPr>
            </w:pPr>
            <w:r w:rsidRPr="00B725B6">
              <w:rPr>
                <w:rFonts w:ascii="Times New Roman" w:hAnsi="Times New Roman" w:cs="Times New Roman"/>
                <w:sz w:val="18"/>
                <w:szCs w:val="20"/>
              </w:rPr>
              <w:t>QAT</w:t>
            </w:r>
          </w:p>
        </w:tc>
        <w:tc>
          <w:tcPr>
            <w:tcW w:w="761" w:type="pct"/>
            <w:gridSpan w:val="2"/>
            <w:tcBorders>
              <w:top w:val="single" w:sz="4" w:space="0" w:color="auto"/>
              <w:bottom w:val="single" w:sz="4" w:space="0" w:color="auto"/>
            </w:tcBorders>
            <w:vAlign w:val="center"/>
          </w:tcPr>
          <w:p w14:paraId="6256B748" w14:textId="77777777" w:rsidR="00E40A40" w:rsidRPr="00B725B6" w:rsidRDefault="00E40A40" w:rsidP="00B725B6">
            <w:pPr>
              <w:autoSpaceDE w:val="0"/>
              <w:autoSpaceDN w:val="0"/>
              <w:adjustRightInd w:val="0"/>
              <w:jc w:val="center"/>
              <w:rPr>
                <w:rFonts w:ascii="Times New Roman" w:hAnsi="Times New Roman" w:cs="Times New Roman"/>
                <w:sz w:val="18"/>
                <w:szCs w:val="20"/>
              </w:rPr>
            </w:pPr>
            <w:r w:rsidRPr="00B725B6">
              <w:rPr>
                <w:rFonts w:ascii="Times New Roman" w:hAnsi="Times New Roman" w:cs="Times New Roman"/>
                <w:sz w:val="18"/>
                <w:szCs w:val="20"/>
              </w:rPr>
              <w:t>BAH</w:t>
            </w:r>
          </w:p>
        </w:tc>
        <w:tc>
          <w:tcPr>
            <w:tcW w:w="731" w:type="pct"/>
            <w:gridSpan w:val="2"/>
            <w:tcBorders>
              <w:top w:val="single" w:sz="4" w:space="0" w:color="auto"/>
              <w:bottom w:val="single" w:sz="4" w:space="0" w:color="auto"/>
            </w:tcBorders>
            <w:vAlign w:val="center"/>
          </w:tcPr>
          <w:p w14:paraId="33C22B49" w14:textId="67E8A49A" w:rsidR="00E40A40" w:rsidRPr="00B725B6" w:rsidRDefault="00844E36" w:rsidP="00B725B6">
            <w:pPr>
              <w:autoSpaceDE w:val="0"/>
              <w:autoSpaceDN w:val="0"/>
              <w:adjustRightInd w:val="0"/>
              <w:jc w:val="center"/>
              <w:rPr>
                <w:rFonts w:ascii="Times New Roman" w:hAnsi="Times New Roman" w:cs="Times New Roman"/>
                <w:sz w:val="18"/>
                <w:szCs w:val="20"/>
              </w:rPr>
            </w:pPr>
            <w:r w:rsidRPr="00B725B6">
              <w:rPr>
                <w:rFonts w:ascii="Times New Roman" w:hAnsi="Times New Roman" w:cs="Times New Roman"/>
                <w:sz w:val="18"/>
                <w:szCs w:val="20"/>
              </w:rPr>
              <w:t>KUW</w:t>
            </w:r>
          </w:p>
        </w:tc>
        <w:tc>
          <w:tcPr>
            <w:tcW w:w="723" w:type="pct"/>
            <w:gridSpan w:val="2"/>
            <w:tcBorders>
              <w:top w:val="single" w:sz="4" w:space="0" w:color="auto"/>
              <w:bottom w:val="single" w:sz="4" w:space="0" w:color="auto"/>
            </w:tcBorders>
            <w:vAlign w:val="center"/>
          </w:tcPr>
          <w:p w14:paraId="3B03591A" w14:textId="77777777" w:rsidR="00E40A40" w:rsidRPr="00B725B6" w:rsidRDefault="00E40A40" w:rsidP="00B725B6">
            <w:pPr>
              <w:autoSpaceDE w:val="0"/>
              <w:autoSpaceDN w:val="0"/>
              <w:adjustRightInd w:val="0"/>
              <w:jc w:val="center"/>
              <w:rPr>
                <w:rFonts w:ascii="Times New Roman" w:hAnsi="Times New Roman" w:cs="Times New Roman"/>
                <w:sz w:val="18"/>
                <w:szCs w:val="20"/>
              </w:rPr>
            </w:pPr>
            <w:r w:rsidRPr="00B725B6">
              <w:rPr>
                <w:rFonts w:ascii="Times New Roman" w:hAnsi="Times New Roman" w:cs="Times New Roman"/>
                <w:sz w:val="18"/>
                <w:szCs w:val="20"/>
              </w:rPr>
              <w:t>UAE</w:t>
            </w:r>
          </w:p>
        </w:tc>
      </w:tr>
      <w:tr w:rsidR="007F15D8" w:rsidRPr="00B725B6" w14:paraId="22145AB4" w14:textId="77777777" w:rsidTr="009E5933">
        <w:trPr>
          <w:trHeight w:val="150"/>
          <w:jc w:val="center"/>
        </w:trPr>
        <w:tc>
          <w:tcPr>
            <w:tcW w:w="502" w:type="pct"/>
            <w:vMerge/>
            <w:tcBorders>
              <w:bottom w:val="single" w:sz="4" w:space="0" w:color="auto"/>
              <w:right w:val="single" w:sz="4" w:space="0" w:color="auto"/>
            </w:tcBorders>
          </w:tcPr>
          <w:p w14:paraId="1E3F6FD6" w14:textId="77777777" w:rsidR="00E40A40" w:rsidRPr="00B725B6" w:rsidRDefault="00E40A40" w:rsidP="00E40A40">
            <w:pPr>
              <w:autoSpaceDE w:val="0"/>
              <w:autoSpaceDN w:val="0"/>
              <w:adjustRightInd w:val="0"/>
              <w:jc w:val="both"/>
              <w:rPr>
                <w:rFonts w:ascii="Times New Roman" w:hAnsi="Times New Roman" w:cs="Times New Roman"/>
                <w:noProof/>
                <w:sz w:val="18"/>
                <w:szCs w:val="20"/>
              </w:rPr>
            </w:pPr>
          </w:p>
        </w:tc>
        <w:tc>
          <w:tcPr>
            <w:tcW w:w="386" w:type="pct"/>
            <w:tcBorders>
              <w:top w:val="single" w:sz="4" w:space="0" w:color="auto"/>
              <w:left w:val="single" w:sz="4" w:space="0" w:color="auto"/>
              <w:bottom w:val="single" w:sz="4" w:space="0" w:color="auto"/>
            </w:tcBorders>
            <w:vAlign w:val="center"/>
          </w:tcPr>
          <w:p w14:paraId="02B22E67" w14:textId="77777777" w:rsidR="00E40A40" w:rsidRPr="00B725B6" w:rsidRDefault="00E40A40" w:rsidP="00B725B6">
            <w:pPr>
              <w:autoSpaceDE w:val="0"/>
              <w:autoSpaceDN w:val="0"/>
              <w:adjustRightInd w:val="0"/>
              <w:jc w:val="center"/>
              <w:rPr>
                <w:rFonts w:ascii="Times New Roman" w:hAnsi="Times New Roman" w:cs="Times New Roman"/>
                <w:sz w:val="18"/>
                <w:szCs w:val="20"/>
              </w:rPr>
            </w:pPr>
            <w:r w:rsidRPr="00B725B6">
              <w:rPr>
                <w:rFonts w:ascii="Times New Roman" w:hAnsi="Times New Roman" w:cs="Times New Roman"/>
                <w:sz w:val="18"/>
                <w:szCs w:val="20"/>
              </w:rPr>
              <w:t>B</w:t>
            </w:r>
          </w:p>
        </w:tc>
        <w:tc>
          <w:tcPr>
            <w:tcW w:w="374" w:type="pct"/>
            <w:tcBorders>
              <w:top w:val="single" w:sz="4" w:space="0" w:color="auto"/>
              <w:bottom w:val="single" w:sz="4" w:space="0" w:color="auto"/>
            </w:tcBorders>
            <w:vAlign w:val="center"/>
          </w:tcPr>
          <w:p w14:paraId="08AAC7BD" w14:textId="77777777" w:rsidR="00E40A40" w:rsidRPr="00B725B6" w:rsidRDefault="00E40A40" w:rsidP="00B725B6">
            <w:pPr>
              <w:autoSpaceDE w:val="0"/>
              <w:autoSpaceDN w:val="0"/>
              <w:adjustRightInd w:val="0"/>
              <w:jc w:val="center"/>
              <w:rPr>
                <w:rFonts w:ascii="Times New Roman" w:hAnsi="Times New Roman" w:cs="Times New Roman"/>
                <w:sz w:val="18"/>
                <w:szCs w:val="20"/>
              </w:rPr>
            </w:pPr>
            <w:r w:rsidRPr="00B725B6">
              <w:rPr>
                <w:rFonts w:ascii="Times New Roman" w:hAnsi="Times New Roman" w:cs="Times New Roman"/>
                <w:sz w:val="18"/>
                <w:szCs w:val="20"/>
              </w:rPr>
              <w:t>t-value</w:t>
            </w:r>
          </w:p>
        </w:tc>
        <w:tc>
          <w:tcPr>
            <w:tcW w:w="386" w:type="pct"/>
            <w:tcBorders>
              <w:top w:val="single" w:sz="4" w:space="0" w:color="auto"/>
              <w:bottom w:val="single" w:sz="4" w:space="0" w:color="auto"/>
            </w:tcBorders>
            <w:vAlign w:val="center"/>
          </w:tcPr>
          <w:p w14:paraId="1ABD587C" w14:textId="77777777" w:rsidR="00E40A40" w:rsidRPr="00B725B6" w:rsidRDefault="00E40A40" w:rsidP="00B725B6">
            <w:pPr>
              <w:autoSpaceDE w:val="0"/>
              <w:autoSpaceDN w:val="0"/>
              <w:adjustRightInd w:val="0"/>
              <w:jc w:val="center"/>
              <w:rPr>
                <w:rFonts w:ascii="Times New Roman" w:hAnsi="Times New Roman" w:cs="Times New Roman"/>
                <w:sz w:val="18"/>
                <w:szCs w:val="20"/>
              </w:rPr>
            </w:pPr>
            <w:r w:rsidRPr="00B725B6">
              <w:rPr>
                <w:rFonts w:ascii="Times New Roman" w:hAnsi="Times New Roman" w:cs="Times New Roman"/>
                <w:sz w:val="18"/>
                <w:szCs w:val="20"/>
              </w:rPr>
              <w:t>B</w:t>
            </w:r>
          </w:p>
        </w:tc>
        <w:tc>
          <w:tcPr>
            <w:tcW w:w="374" w:type="pct"/>
            <w:tcBorders>
              <w:top w:val="single" w:sz="4" w:space="0" w:color="auto"/>
              <w:bottom w:val="single" w:sz="4" w:space="0" w:color="auto"/>
            </w:tcBorders>
            <w:vAlign w:val="center"/>
          </w:tcPr>
          <w:p w14:paraId="6CF847B4" w14:textId="77777777" w:rsidR="00E40A40" w:rsidRPr="00B725B6" w:rsidRDefault="00E40A40" w:rsidP="00B725B6">
            <w:pPr>
              <w:autoSpaceDE w:val="0"/>
              <w:autoSpaceDN w:val="0"/>
              <w:adjustRightInd w:val="0"/>
              <w:jc w:val="center"/>
              <w:rPr>
                <w:rFonts w:ascii="Times New Roman" w:hAnsi="Times New Roman" w:cs="Times New Roman"/>
                <w:sz w:val="18"/>
                <w:szCs w:val="20"/>
              </w:rPr>
            </w:pPr>
            <w:r w:rsidRPr="00B725B6">
              <w:rPr>
                <w:rFonts w:ascii="Times New Roman" w:hAnsi="Times New Roman" w:cs="Times New Roman"/>
                <w:sz w:val="18"/>
                <w:szCs w:val="20"/>
              </w:rPr>
              <w:t>t-value</w:t>
            </w:r>
          </w:p>
        </w:tc>
        <w:tc>
          <w:tcPr>
            <w:tcW w:w="386" w:type="pct"/>
            <w:tcBorders>
              <w:top w:val="single" w:sz="4" w:space="0" w:color="auto"/>
              <w:bottom w:val="single" w:sz="4" w:space="0" w:color="auto"/>
            </w:tcBorders>
            <w:vAlign w:val="center"/>
          </w:tcPr>
          <w:p w14:paraId="0BE3BDF7" w14:textId="77777777" w:rsidR="00E40A40" w:rsidRPr="00B725B6" w:rsidRDefault="00E40A40" w:rsidP="00B725B6">
            <w:pPr>
              <w:autoSpaceDE w:val="0"/>
              <w:autoSpaceDN w:val="0"/>
              <w:adjustRightInd w:val="0"/>
              <w:jc w:val="center"/>
              <w:rPr>
                <w:rFonts w:ascii="Times New Roman" w:hAnsi="Times New Roman" w:cs="Times New Roman"/>
                <w:sz w:val="18"/>
                <w:szCs w:val="20"/>
              </w:rPr>
            </w:pPr>
            <w:r w:rsidRPr="00B725B6">
              <w:rPr>
                <w:rFonts w:ascii="Times New Roman" w:hAnsi="Times New Roman" w:cs="Times New Roman"/>
                <w:sz w:val="18"/>
                <w:szCs w:val="20"/>
              </w:rPr>
              <w:t>B</w:t>
            </w:r>
          </w:p>
        </w:tc>
        <w:tc>
          <w:tcPr>
            <w:tcW w:w="374" w:type="pct"/>
            <w:tcBorders>
              <w:top w:val="single" w:sz="4" w:space="0" w:color="auto"/>
              <w:bottom w:val="single" w:sz="4" w:space="0" w:color="auto"/>
            </w:tcBorders>
            <w:vAlign w:val="center"/>
          </w:tcPr>
          <w:p w14:paraId="3AFB6873" w14:textId="77777777" w:rsidR="00E40A40" w:rsidRPr="00B725B6" w:rsidRDefault="00E40A40" w:rsidP="00B725B6">
            <w:pPr>
              <w:autoSpaceDE w:val="0"/>
              <w:autoSpaceDN w:val="0"/>
              <w:adjustRightInd w:val="0"/>
              <w:jc w:val="center"/>
              <w:rPr>
                <w:rFonts w:ascii="Times New Roman" w:hAnsi="Times New Roman" w:cs="Times New Roman"/>
                <w:sz w:val="18"/>
                <w:szCs w:val="20"/>
              </w:rPr>
            </w:pPr>
            <w:r w:rsidRPr="00B725B6">
              <w:rPr>
                <w:rFonts w:ascii="Times New Roman" w:hAnsi="Times New Roman" w:cs="Times New Roman"/>
                <w:sz w:val="18"/>
                <w:szCs w:val="20"/>
              </w:rPr>
              <w:t>t-value</w:t>
            </w:r>
          </w:p>
        </w:tc>
        <w:tc>
          <w:tcPr>
            <w:tcW w:w="386" w:type="pct"/>
            <w:tcBorders>
              <w:top w:val="single" w:sz="4" w:space="0" w:color="auto"/>
              <w:bottom w:val="single" w:sz="4" w:space="0" w:color="auto"/>
            </w:tcBorders>
            <w:vAlign w:val="center"/>
          </w:tcPr>
          <w:p w14:paraId="59E2D4B3" w14:textId="77777777" w:rsidR="00E40A40" w:rsidRPr="00B725B6" w:rsidRDefault="00E40A40" w:rsidP="00B725B6">
            <w:pPr>
              <w:autoSpaceDE w:val="0"/>
              <w:autoSpaceDN w:val="0"/>
              <w:adjustRightInd w:val="0"/>
              <w:jc w:val="center"/>
              <w:rPr>
                <w:rFonts w:ascii="Times New Roman" w:hAnsi="Times New Roman" w:cs="Times New Roman"/>
                <w:sz w:val="18"/>
                <w:szCs w:val="20"/>
              </w:rPr>
            </w:pPr>
            <w:r w:rsidRPr="00B725B6">
              <w:rPr>
                <w:rFonts w:ascii="Times New Roman" w:hAnsi="Times New Roman" w:cs="Times New Roman"/>
                <w:sz w:val="18"/>
                <w:szCs w:val="20"/>
              </w:rPr>
              <w:t>B</w:t>
            </w:r>
          </w:p>
        </w:tc>
        <w:tc>
          <w:tcPr>
            <w:tcW w:w="374" w:type="pct"/>
            <w:tcBorders>
              <w:top w:val="single" w:sz="4" w:space="0" w:color="auto"/>
              <w:bottom w:val="single" w:sz="4" w:space="0" w:color="auto"/>
            </w:tcBorders>
            <w:vAlign w:val="center"/>
          </w:tcPr>
          <w:p w14:paraId="6E06B775" w14:textId="77777777" w:rsidR="00E40A40" w:rsidRPr="00B725B6" w:rsidRDefault="00E40A40" w:rsidP="00B725B6">
            <w:pPr>
              <w:autoSpaceDE w:val="0"/>
              <w:autoSpaceDN w:val="0"/>
              <w:adjustRightInd w:val="0"/>
              <w:jc w:val="center"/>
              <w:rPr>
                <w:rFonts w:ascii="Times New Roman" w:hAnsi="Times New Roman" w:cs="Times New Roman"/>
                <w:sz w:val="18"/>
                <w:szCs w:val="20"/>
              </w:rPr>
            </w:pPr>
            <w:r w:rsidRPr="00B725B6">
              <w:rPr>
                <w:rFonts w:ascii="Times New Roman" w:hAnsi="Times New Roman" w:cs="Times New Roman"/>
                <w:sz w:val="18"/>
                <w:szCs w:val="20"/>
              </w:rPr>
              <w:t>t-value</w:t>
            </w:r>
          </w:p>
        </w:tc>
        <w:tc>
          <w:tcPr>
            <w:tcW w:w="395" w:type="pct"/>
            <w:tcBorders>
              <w:top w:val="single" w:sz="4" w:space="0" w:color="auto"/>
              <w:bottom w:val="single" w:sz="4" w:space="0" w:color="auto"/>
            </w:tcBorders>
            <w:vAlign w:val="center"/>
          </w:tcPr>
          <w:p w14:paraId="12B8FAF1" w14:textId="77777777" w:rsidR="00E40A40" w:rsidRPr="00B725B6" w:rsidRDefault="00E40A40" w:rsidP="00B725B6">
            <w:pPr>
              <w:autoSpaceDE w:val="0"/>
              <w:autoSpaceDN w:val="0"/>
              <w:adjustRightInd w:val="0"/>
              <w:jc w:val="center"/>
              <w:rPr>
                <w:rFonts w:ascii="Times New Roman" w:hAnsi="Times New Roman" w:cs="Times New Roman"/>
                <w:sz w:val="18"/>
                <w:szCs w:val="20"/>
              </w:rPr>
            </w:pPr>
            <w:r w:rsidRPr="00B725B6">
              <w:rPr>
                <w:rFonts w:ascii="Times New Roman" w:hAnsi="Times New Roman" w:cs="Times New Roman"/>
                <w:sz w:val="18"/>
                <w:szCs w:val="20"/>
              </w:rPr>
              <w:t>B</w:t>
            </w:r>
          </w:p>
        </w:tc>
        <w:tc>
          <w:tcPr>
            <w:tcW w:w="336" w:type="pct"/>
            <w:tcBorders>
              <w:top w:val="single" w:sz="4" w:space="0" w:color="auto"/>
              <w:bottom w:val="single" w:sz="4" w:space="0" w:color="auto"/>
            </w:tcBorders>
            <w:vAlign w:val="center"/>
          </w:tcPr>
          <w:p w14:paraId="5D7FB7B5" w14:textId="77777777" w:rsidR="00E40A40" w:rsidRPr="00B725B6" w:rsidRDefault="00E40A40" w:rsidP="00B725B6">
            <w:pPr>
              <w:autoSpaceDE w:val="0"/>
              <w:autoSpaceDN w:val="0"/>
              <w:adjustRightInd w:val="0"/>
              <w:jc w:val="center"/>
              <w:rPr>
                <w:rFonts w:ascii="Times New Roman" w:hAnsi="Times New Roman" w:cs="Times New Roman"/>
                <w:sz w:val="18"/>
                <w:szCs w:val="20"/>
              </w:rPr>
            </w:pPr>
            <w:r w:rsidRPr="00B725B6">
              <w:rPr>
                <w:rFonts w:ascii="Times New Roman" w:hAnsi="Times New Roman" w:cs="Times New Roman"/>
                <w:sz w:val="18"/>
                <w:szCs w:val="20"/>
              </w:rPr>
              <w:t>t-value</w:t>
            </w:r>
          </w:p>
        </w:tc>
        <w:tc>
          <w:tcPr>
            <w:tcW w:w="387" w:type="pct"/>
            <w:tcBorders>
              <w:top w:val="single" w:sz="4" w:space="0" w:color="auto"/>
              <w:bottom w:val="single" w:sz="4" w:space="0" w:color="auto"/>
            </w:tcBorders>
            <w:vAlign w:val="center"/>
          </w:tcPr>
          <w:p w14:paraId="07B77186" w14:textId="77777777" w:rsidR="00E40A40" w:rsidRPr="00B725B6" w:rsidRDefault="00E40A40" w:rsidP="00B725B6">
            <w:pPr>
              <w:autoSpaceDE w:val="0"/>
              <w:autoSpaceDN w:val="0"/>
              <w:adjustRightInd w:val="0"/>
              <w:jc w:val="center"/>
              <w:rPr>
                <w:rFonts w:ascii="Times New Roman" w:hAnsi="Times New Roman" w:cs="Times New Roman"/>
                <w:sz w:val="18"/>
                <w:szCs w:val="20"/>
              </w:rPr>
            </w:pPr>
            <w:r w:rsidRPr="00B725B6">
              <w:rPr>
                <w:rFonts w:ascii="Times New Roman" w:hAnsi="Times New Roman" w:cs="Times New Roman"/>
                <w:sz w:val="18"/>
                <w:szCs w:val="20"/>
              </w:rPr>
              <w:t>B</w:t>
            </w:r>
          </w:p>
        </w:tc>
        <w:tc>
          <w:tcPr>
            <w:tcW w:w="336" w:type="pct"/>
            <w:tcBorders>
              <w:top w:val="single" w:sz="4" w:space="0" w:color="auto"/>
              <w:bottom w:val="single" w:sz="4" w:space="0" w:color="auto"/>
            </w:tcBorders>
            <w:vAlign w:val="center"/>
          </w:tcPr>
          <w:p w14:paraId="238AE232" w14:textId="77777777" w:rsidR="00E40A40" w:rsidRPr="00B725B6" w:rsidRDefault="00E40A40" w:rsidP="00B725B6">
            <w:pPr>
              <w:autoSpaceDE w:val="0"/>
              <w:autoSpaceDN w:val="0"/>
              <w:adjustRightInd w:val="0"/>
              <w:jc w:val="center"/>
              <w:rPr>
                <w:rFonts w:ascii="Times New Roman" w:hAnsi="Times New Roman" w:cs="Times New Roman"/>
                <w:sz w:val="18"/>
                <w:szCs w:val="20"/>
              </w:rPr>
            </w:pPr>
            <w:r w:rsidRPr="00B725B6">
              <w:rPr>
                <w:rFonts w:ascii="Times New Roman" w:hAnsi="Times New Roman" w:cs="Times New Roman"/>
                <w:sz w:val="18"/>
                <w:szCs w:val="20"/>
              </w:rPr>
              <w:t>t-value</w:t>
            </w:r>
          </w:p>
        </w:tc>
      </w:tr>
      <w:tr w:rsidR="007F15D8" w:rsidRPr="00B725B6" w14:paraId="53B090D0" w14:textId="77777777" w:rsidTr="009E5933">
        <w:trPr>
          <w:jc w:val="center"/>
        </w:trPr>
        <w:tc>
          <w:tcPr>
            <w:tcW w:w="502" w:type="pct"/>
            <w:tcBorders>
              <w:top w:val="single" w:sz="4" w:space="0" w:color="auto"/>
              <w:bottom w:val="single" w:sz="4" w:space="0" w:color="auto"/>
              <w:right w:val="single" w:sz="4" w:space="0" w:color="auto"/>
            </w:tcBorders>
            <w:vAlign w:val="center"/>
          </w:tcPr>
          <w:p w14:paraId="01E86A42" w14:textId="72EA3095" w:rsidR="00E40A40" w:rsidRPr="00B725B6" w:rsidRDefault="00E40A40" w:rsidP="00A152B0">
            <w:pPr>
              <w:tabs>
                <w:tab w:val="left" w:pos="4536"/>
              </w:tabs>
              <w:autoSpaceDE w:val="0"/>
              <w:autoSpaceDN w:val="0"/>
              <w:adjustRightInd w:val="0"/>
              <w:jc w:val="center"/>
              <w:rPr>
                <w:rFonts w:ascii="Times New Roman" w:hAnsi="Times New Roman" w:cs="Times New Roman"/>
                <w:sz w:val="18"/>
                <w:szCs w:val="20"/>
              </w:rPr>
            </w:pPr>
            <w:r w:rsidRPr="00B725B6">
              <w:rPr>
                <w:rFonts w:ascii="Times New Roman" w:hAnsi="Times New Roman" w:cs="Times New Roman"/>
                <w:sz w:val="18"/>
                <w:szCs w:val="20"/>
              </w:rPr>
              <w:t>EQ</w:t>
            </w:r>
            <w:r w:rsidR="00A152B0">
              <w:rPr>
                <w:rFonts w:ascii="Times New Roman" w:hAnsi="Times New Roman" w:cs="Times New Roman"/>
                <w:sz w:val="18"/>
                <w:szCs w:val="20"/>
              </w:rPr>
              <w:t xml:space="preserve"> </w:t>
            </w:r>
            <w:r w:rsidRPr="00B725B6">
              <w:rPr>
                <w:rFonts w:ascii="Times New Roman" w:hAnsi="Times New Roman" w:cs="Times New Roman"/>
                <w:sz w:val="18"/>
                <w:szCs w:val="20"/>
              </w:rPr>
              <w:t>(P)</w:t>
            </w:r>
          </w:p>
        </w:tc>
        <w:tc>
          <w:tcPr>
            <w:tcW w:w="386" w:type="pct"/>
            <w:tcBorders>
              <w:top w:val="single" w:sz="4" w:space="0" w:color="auto"/>
              <w:left w:val="single" w:sz="4" w:space="0" w:color="auto"/>
              <w:bottom w:val="single" w:sz="4" w:space="0" w:color="auto"/>
            </w:tcBorders>
          </w:tcPr>
          <w:p w14:paraId="4C4128AA" w14:textId="77777777" w:rsidR="00E40A40" w:rsidRPr="009A5CAB" w:rsidRDefault="00E40A40" w:rsidP="00E40A40">
            <w:pPr>
              <w:autoSpaceDE w:val="0"/>
              <w:autoSpaceDN w:val="0"/>
              <w:adjustRightInd w:val="0"/>
              <w:jc w:val="center"/>
              <w:rPr>
                <w:rFonts w:ascii="Times New Roman" w:hAnsi="Times New Roman" w:cs="Times New Roman"/>
                <w:sz w:val="16"/>
                <w:szCs w:val="20"/>
              </w:rPr>
            </w:pPr>
            <w:r w:rsidRPr="009A5CAB">
              <w:rPr>
                <w:rFonts w:ascii="Times New Roman" w:hAnsi="Times New Roman" w:cs="Times New Roman"/>
                <w:sz w:val="16"/>
                <w:szCs w:val="20"/>
              </w:rPr>
              <w:t>-0.045</w:t>
            </w:r>
          </w:p>
          <w:p w14:paraId="7AC1CE8F" w14:textId="77777777" w:rsidR="00E40A40" w:rsidRPr="009A5CAB" w:rsidRDefault="00E40A40" w:rsidP="00E40A40">
            <w:pPr>
              <w:autoSpaceDE w:val="0"/>
              <w:autoSpaceDN w:val="0"/>
              <w:adjustRightInd w:val="0"/>
              <w:jc w:val="center"/>
              <w:rPr>
                <w:rFonts w:ascii="Times New Roman" w:hAnsi="Times New Roman" w:cs="Times New Roman"/>
                <w:sz w:val="16"/>
                <w:szCs w:val="20"/>
              </w:rPr>
            </w:pPr>
            <w:r w:rsidRPr="009A5CAB">
              <w:rPr>
                <w:rFonts w:ascii="Times New Roman" w:hAnsi="Times New Roman" w:cs="Times New Roman"/>
                <w:sz w:val="16"/>
                <w:szCs w:val="20"/>
              </w:rPr>
              <w:t>(0.013)</w:t>
            </w:r>
          </w:p>
        </w:tc>
        <w:tc>
          <w:tcPr>
            <w:tcW w:w="374" w:type="pct"/>
            <w:tcBorders>
              <w:top w:val="single" w:sz="4" w:space="0" w:color="auto"/>
              <w:bottom w:val="single" w:sz="4" w:space="0" w:color="auto"/>
            </w:tcBorders>
          </w:tcPr>
          <w:p w14:paraId="781E3BC2" w14:textId="77777777" w:rsidR="00E40A40" w:rsidRPr="009A5CAB" w:rsidRDefault="00E40A40" w:rsidP="00E40A40">
            <w:pPr>
              <w:jc w:val="center"/>
              <w:rPr>
                <w:rFonts w:ascii="Times New Roman" w:hAnsi="Times New Roman" w:cs="Times New Roman"/>
                <w:sz w:val="16"/>
                <w:szCs w:val="20"/>
              </w:rPr>
            </w:pPr>
            <w:r w:rsidRPr="009A5CAB">
              <w:rPr>
                <w:rFonts w:ascii="Times New Roman" w:hAnsi="Times New Roman" w:cs="Times New Roman"/>
                <w:sz w:val="16"/>
                <w:szCs w:val="20"/>
              </w:rPr>
              <w:t>-2.481</w:t>
            </w:r>
          </w:p>
        </w:tc>
        <w:tc>
          <w:tcPr>
            <w:tcW w:w="386" w:type="pct"/>
            <w:tcBorders>
              <w:top w:val="single" w:sz="4" w:space="0" w:color="auto"/>
              <w:bottom w:val="single" w:sz="4" w:space="0" w:color="auto"/>
            </w:tcBorders>
          </w:tcPr>
          <w:p w14:paraId="3AE76C66" w14:textId="77777777" w:rsidR="00E40A40" w:rsidRPr="009A5CAB" w:rsidRDefault="00E40A40" w:rsidP="00E40A40">
            <w:pPr>
              <w:autoSpaceDE w:val="0"/>
              <w:autoSpaceDN w:val="0"/>
              <w:adjustRightInd w:val="0"/>
              <w:jc w:val="center"/>
              <w:rPr>
                <w:rFonts w:ascii="Times New Roman" w:hAnsi="Times New Roman" w:cs="Times New Roman"/>
                <w:sz w:val="16"/>
                <w:szCs w:val="20"/>
              </w:rPr>
            </w:pPr>
            <w:r w:rsidRPr="009A5CAB">
              <w:rPr>
                <w:rFonts w:ascii="Times New Roman" w:hAnsi="Times New Roman" w:cs="Times New Roman"/>
                <w:sz w:val="16"/>
                <w:szCs w:val="20"/>
              </w:rPr>
              <w:t>0.052</w:t>
            </w:r>
          </w:p>
          <w:p w14:paraId="5B3666AF" w14:textId="77777777" w:rsidR="00E40A40" w:rsidRPr="009A5CAB" w:rsidRDefault="00E40A40" w:rsidP="00E40A40">
            <w:pPr>
              <w:autoSpaceDE w:val="0"/>
              <w:autoSpaceDN w:val="0"/>
              <w:adjustRightInd w:val="0"/>
              <w:jc w:val="center"/>
              <w:rPr>
                <w:rFonts w:ascii="Times New Roman" w:hAnsi="Times New Roman" w:cs="Times New Roman"/>
                <w:sz w:val="16"/>
                <w:szCs w:val="20"/>
              </w:rPr>
            </w:pPr>
            <w:r w:rsidRPr="009A5CAB">
              <w:rPr>
                <w:rFonts w:ascii="Times New Roman" w:hAnsi="Times New Roman" w:cs="Times New Roman"/>
                <w:sz w:val="16"/>
                <w:szCs w:val="20"/>
              </w:rPr>
              <w:t>(0.01)</w:t>
            </w:r>
          </w:p>
        </w:tc>
        <w:tc>
          <w:tcPr>
            <w:tcW w:w="374" w:type="pct"/>
            <w:tcBorders>
              <w:top w:val="single" w:sz="4" w:space="0" w:color="auto"/>
              <w:bottom w:val="single" w:sz="4" w:space="0" w:color="auto"/>
            </w:tcBorders>
          </w:tcPr>
          <w:p w14:paraId="510E3B6A" w14:textId="77777777" w:rsidR="00E40A40" w:rsidRPr="009A5CAB" w:rsidRDefault="00E40A40" w:rsidP="00E40A40">
            <w:pPr>
              <w:jc w:val="center"/>
              <w:rPr>
                <w:rFonts w:ascii="Times New Roman" w:hAnsi="Times New Roman" w:cs="Times New Roman"/>
                <w:sz w:val="16"/>
                <w:szCs w:val="20"/>
              </w:rPr>
            </w:pPr>
            <w:r w:rsidRPr="009A5CAB">
              <w:rPr>
                <w:rFonts w:ascii="Times New Roman" w:hAnsi="Times New Roman" w:cs="Times New Roman"/>
                <w:sz w:val="16"/>
                <w:szCs w:val="20"/>
              </w:rPr>
              <w:t>2.58</w:t>
            </w:r>
          </w:p>
        </w:tc>
        <w:tc>
          <w:tcPr>
            <w:tcW w:w="386" w:type="pct"/>
            <w:tcBorders>
              <w:top w:val="single" w:sz="4" w:space="0" w:color="auto"/>
              <w:bottom w:val="single" w:sz="4" w:space="0" w:color="auto"/>
            </w:tcBorders>
          </w:tcPr>
          <w:p w14:paraId="2A0A244E" w14:textId="77777777" w:rsidR="00E40A40" w:rsidRPr="009A5CAB" w:rsidRDefault="00E40A40" w:rsidP="00E40A40">
            <w:pPr>
              <w:autoSpaceDE w:val="0"/>
              <w:autoSpaceDN w:val="0"/>
              <w:adjustRightInd w:val="0"/>
              <w:jc w:val="center"/>
              <w:rPr>
                <w:rFonts w:ascii="Times New Roman" w:hAnsi="Times New Roman" w:cs="Times New Roman"/>
                <w:sz w:val="16"/>
                <w:szCs w:val="20"/>
              </w:rPr>
            </w:pPr>
            <w:r w:rsidRPr="009A5CAB">
              <w:rPr>
                <w:rFonts w:ascii="Times New Roman" w:hAnsi="Times New Roman" w:cs="Times New Roman"/>
                <w:sz w:val="16"/>
                <w:szCs w:val="20"/>
              </w:rPr>
              <w:t>-0.005</w:t>
            </w:r>
          </w:p>
          <w:p w14:paraId="621F9329" w14:textId="77777777" w:rsidR="00E40A40" w:rsidRPr="009A5CAB" w:rsidRDefault="00E40A40" w:rsidP="00E40A40">
            <w:pPr>
              <w:autoSpaceDE w:val="0"/>
              <w:autoSpaceDN w:val="0"/>
              <w:adjustRightInd w:val="0"/>
              <w:jc w:val="center"/>
              <w:rPr>
                <w:rFonts w:ascii="Times New Roman" w:hAnsi="Times New Roman" w:cs="Times New Roman"/>
                <w:sz w:val="16"/>
                <w:szCs w:val="20"/>
              </w:rPr>
            </w:pPr>
            <w:r w:rsidRPr="009A5CAB">
              <w:rPr>
                <w:rFonts w:ascii="Times New Roman" w:hAnsi="Times New Roman" w:cs="Times New Roman"/>
                <w:sz w:val="16"/>
                <w:szCs w:val="20"/>
              </w:rPr>
              <w:t>(0.157)</w:t>
            </w:r>
          </w:p>
        </w:tc>
        <w:tc>
          <w:tcPr>
            <w:tcW w:w="374" w:type="pct"/>
            <w:tcBorders>
              <w:top w:val="single" w:sz="4" w:space="0" w:color="auto"/>
              <w:bottom w:val="single" w:sz="4" w:space="0" w:color="auto"/>
            </w:tcBorders>
          </w:tcPr>
          <w:p w14:paraId="705D6907" w14:textId="77777777" w:rsidR="00E40A40" w:rsidRPr="009A5CAB" w:rsidRDefault="00E40A40" w:rsidP="00E40A40">
            <w:pPr>
              <w:autoSpaceDE w:val="0"/>
              <w:autoSpaceDN w:val="0"/>
              <w:adjustRightInd w:val="0"/>
              <w:jc w:val="center"/>
              <w:rPr>
                <w:rFonts w:ascii="Times New Roman" w:hAnsi="Times New Roman" w:cs="Times New Roman"/>
                <w:sz w:val="16"/>
                <w:szCs w:val="20"/>
              </w:rPr>
            </w:pPr>
            <w:r w:rsidRPr="009A5CAB">
              <w:rPr>
                <w:rFonts w:ascii="Times New Roman" w:hAnsi="Times New Roman" w:cs="Times New Roman"/>
                <w:sz w:val="16"/>
                <w:szCs w:val="20"/>
              </w:rPr>
              <w:t>-1.43</w:t>
            </w:r>
          </w:p>
        </w:tc>
        <w:tc>
          <w:tcPr>
            <w:tcW w:w="386" w:type="pct"/>
            <w:tcBorders>
              <w:top w:val="single" w:sz="4" w:space="0" w:color="auto"/>
              <w:bottom w:val="single" w:sz="4" w:space="0" w:color="auto"/>
            </w:tcBorders>
          </w:tcPr>
          <w:p w14:paraId="4A932947" w14:textId="77777777" w:rsidR="00E40A40" w:rsidRPr="009A5CAB" w:rsidRDefault="00E40A40" w:rsidP="00E40A40">
            <w:pPr>
              <w:autoSpaceDE w:val="0"/>
              <w:autoSpaceDN w:val="0"/>
              <w:adjustRightInd w:val="0"/>
              <w:jc w:val="center"/>
              <w:rPr>
                <w:rFonts w:ascii="Times New Roman" w:hAnsi="Times New Roman" w:cs="Times New Roman"/>
                <w:sz w:val="16"/>
                <w:szCs w:val="20"/>
              </w:rPr>
            </w:pPr>
            <w:r w:rsidRPr="009A5CAB">
              <w:rPr>
                <w:rFonts w:ascii="Times New Roman" w:hAnsi="Times New Roman" w:cs="Times New Roman"/>
                <w:sz w:val="16"/>
                <w:szCs w:val="20"/>
              </w:rPr>
              <w:t>0.015</w:t>
            </w:r>
          </w:p>
          <w:p w14:paraId="0AA36CD3" w14:textId="77777777" w:rsidR="00E40A40" w:rsidRPr="009A5CAB" w:rsidRDefault="00E40A40" w:rsidP="00E40A40">
            <w:pPr>
              <w:autoSpaceDE w:val="0"/>
              <w:autoSpaceDN w:val="0"/>
              <w:adjustRightInd w:val="0"/>
              <w:jc w:val="center"/>
              <w:rPr>
                <w:rFonts w:ascii="Times New Roman" w:hAnsi="Times New Roman" w:cs="Times New Roman"/>
                <w:sz w:val="16"/>
                <w:szCs w:val="20"/>
              </w:rPr>
            </w:pPr>
            <w:r w:rsidRPr="009A5CAB">
              <w:rPr>
                <w:rFonts w:ascii="Times New Roman" w:hAnsi="Times New Roman" w:cs="Times New Roman"/>
                <w:sz w:val="16"/>
                <w:szCs w:val="20"/>
              </w:rPr>
              <w:t>(0.208)</w:t>
            </w:r>
          </w:p>
        </w:tc>
        <w:tc>
          <w:tcPr>
            <w:tcW w:w="374" w:type="pct"/>
            <w:tcBorders>
              <w:top w:val="single" w:sz="4" w:space="0" w:color="auto"/>
              <w:bottom w:val="single" w:sz="4" w:space="0" w:color="auto"/>
            </w:tcBorders>
          </w:tcPr>
          <w:p w14:paraId="3A92A0F0" w14:textId="77777777" w:rsidR="00E40A40" w:rsidRPr="009A5CAB" w:rsidRDefault="00E40A40" w:rsidP="00E40A40">
            <w:pPr>
              <w:autoSpaceDE w:val="0"/>
              <w:autoSpaceDN w:val="0"/>
              <w:adjustRightInd w:val="0"/>
              <w:jc w:val="center"/>
              <w:rPr>
                <w:rFonts w:ascii="Times New Roman" w:hAnsi="Times New Roman" w:cs="Times New Roman"/>
                <w:sz w:val="16"/>
                <w:szCs w:val="20"/>
              </w:rPr>
            </w:pPr>
            <w:r w:rsidRPr="009A5CAB">
              <w:rPr>
                <w:rFonts w:ascii="Times New Roman" w:hAnsi="Times New Roman" w:cs="Times New Roman"/>
                <w:sz w:val="16"/>
                <w:szCs w:val="20"/>
              </w:rPr>
              <w:t>1.26</w:t>
            </w:r>
          </w:p>
        </w:tc>
        <w:tc>
          <w:tcPr>
            <w:tcW w:w="395" w:type="pct"/>
            <w:tcBorders>
              <w:top w:val="single" w:sz="4" w:space="0" w:color="auto"/>
              <w:bottom w:val="single" w:sz="4" w:space="0" w:color="auto"/>
            </w:tcBorders>
          </w:tcPr>
          <w:p w14:paraId="2634D934" w14:textId="77777777" w:rsidR="00E40A40" w:rsidRPr="009A5CAB" w:rsidRDefault="00E40A40" w:rsidP="00E40A40">
            <w:pPr>
              <w:autoSpaceDE w:val="0"/>
              <w:autoSpaceDN w:val="0"/>
              <w:adjustRightInd w:val="0"/>
              <w:jc w:val="center"/>
              <w:rPr>
                <w:rFonts w:ascii="Times New Roman" w:hAnsi="Times New Roman" w:cs="Times New Roman"/>
                <w:sz w:val="16"/>
                <w:szCs w:val="20"/>
              </w:rPr>
            </w:pPr>
            <w:r w:rsidRPr="009A5CAB">
              <w:rPr>
                <w:rFonts w:ascii="Times New Roman" w:hAnsi="Times New Roman" w:cs="Times New Roman"/>
                <w:sz w:val="16"/>
                <w:szCs w:val="20"/>
              </w:rPr>
              <w:t>-1.416</w:t>
            </w:r>
          </w:p>
          <w:p w14:paraId="547D5457" w14:textId="77777777" w:rsidR="00E40A40" w:rsidRPr="009A5CAB" w:rsidRDefault="00E40A40" w:rsidP="00E40A40">
            <w:pPr>
              <w:autoSpaceDE w:val="0"/>
              <w:autoSpaceDN w:val="0"/>
              <w:adjustRightInd w:val="0"/>
              <w:jc w:val="center"/>
              <w:rPr>
                <w:rFonts w:ascii="Times New Roman" w:hAnsi="Times New Roman" w:cs="Times New Roman"/>
                <w:sz w:val="16"/>
                <w:szCs w:val="20"/>
              </w:rPr>
            </w:pPr>
            <w:r w:rsidRPr="009A5CAB">
              <w:rPr>
                <w:rFonts w:ascii="Times New Roman" w:hAnsi="Times New Roman" w:cs="Times New Roman"/>
                <w:sz w:val="16"/>
                <w:szCs w:val="20"/>
              </w:rPr>
              <w:t>(0.019)</w:t>
            </w:r>
          </w:p>
        </w:tc>
        <w:tc>
          <w:tcPr>
            <w:tcW w:w="336" w:type="pct"/>
            <w:tcBorders>
              <w:top w:val="single" w:sz="4" w:space="0" w:color="auto"/>
              <w:bottom w:val="single" w:sz="4" w:space="0" w:color="auto"/>
            </w:tcBorders>
          </w:tcPr>
          <w:p w14:paraId="67196D23" w14:textId="77777777" w:rsidR="00E40A40" w:rsidRPr="009A5CAB" w:rsidRDefault="00E40A40" w:rsidP="00E40A40">
            <w:pPr>
              <w:autoSpaceDE w:val="0"/>
              <w:autoSpaceDN w:val="0"/>
              <w:adjustRightInd w:val="0"/>
              <w:jc w:val="center"/>
              <w:rPr>
                <w:rFonts w:ascii="Times New Roman" w:hAnsi="Times New Roman" w:cs="Times New Roman"/>
                <w:sz w:val="16"/>
                <w:szCs w:val="20"/>
              </w:rPr>
            </w:pPr>
            <w:r w:rsidRPr="009A5CAB">
              <w:rPr>
                <w:rFonts w:ascii="Times New Roman" w:hAnsi="Times New Roman" w:cs="Times New Roman"/>
                <w:sz w:val="16"/>
                <w:szCs w:val="20"/>
              </w:rPr>
              <w:t>-2.436</w:t>
            </w:r>
          </w:p>
        </w:tc>
        <w:tc>
          <w:tcPr>
            <w:tcW w:w="387" w:type="pct"/>
            <w:tcBorders>
              <w:top w:val="single" w:sz="4" w:space="0" w:color="auto"/>
              <w:bottom w:val="single" w:sz="4" w:space="0" w:color="auto"/>
            </w:tcBorders>
          </w:tcPr>
          <w:p w14:paraId="557CC842" w14:textId="77777777" w:rsidR="00E40A40" w:rsidRPr="009A5CAB" w:rsidRDefault="00E40A40" w:rsidP="00E40A40">
            <w:pPr>
              <w:autoSpaceDE w:val="0"/>
              <w:autoSpaceDN w:val="0"/>
              <w:adjustRightInd w:val="0"/>
              <w:jc w:val="center"/>
              <w:rPr>
                <w:rFonts w:ascii="Times New Roman" w:hAnsi="Times New Roman" w:cs="Times New Roman"/>
                <w:sz w:val="16"/>
                <w:szCs w:val="20"/>
              </w:rPr>
            </w:pPr>
            <w:r w:rsidRPr="009A5CAB">
              <w:rPr>
                <w:rFonts w:ascii="Times New Roman" w:hAnsi="Times New Roman" w:cs="Times New Roman"/>
                <w:sz w:val="16"/>
                <w:szCs w:val="20"/>
              </w:rPr>
              <w:t>0.044</w:t>
            </w:r>
          </w:p>
          <w:p w14:paraId="2F1B5F13" w14:textId="77777777" w:rsidR="00E40A40" w:rsidRPr="009A5CAB" w:rsidRDefault="00E40A40" w:rsidP="00E40A40">
            <w:pPr>
              <w:autoSpaceDE w:val="0"/>
              <w:autoSpaceDN w:val="0"/>
              <w:adjustRightInd w:val="0"/>
              <w:jc w:val="center"/>
              <w:rPr>
                <w:rFonts w:ascii="Times New Roman" w:hAnsi="Times New Roman" w:cs="Times New Roman"/>
                <w:sz w:val="16"/>
                <w:szCs w:val="20"/>
              </w:rPr>
            </w:pPr>
            <w:r w:rsidRPr="009A5CAB">
              <w:rPr>
                <w:rFonts w:ascii="Times New Roman" w:hAnsi="Times New Roman" w:cs="Times New Roman"/>
                <w:sz w:val="16"/>
                <w:szCs w:val="20"/>
              </w:rPr>
              <w:t>(0.066)</w:t>
            </w:r>
          </w:p>
        </w:tc>
        <w:tc>
          <w:tcPr>
            <w:tcW w:w="336" w:type="pct"/>
            <w:tcBorders>
              <w:top w:val="single" w:sz="4" w:space="0" w:color="auto"/>
              <w:bottom w:val="single" w:sz="4" w:space="0" w:color="auto"/>
            </w:tcBorders>
          </w:tcPr>
          <w:p w14:paraId="481B203D" w14:textId="77777777" w:rsidR="00E40A40" w:rsidRPr="009A5CAB" w:rsidRDefault="00E40A40" w:rsidP="00E40A40">
            <w:pPr>
              <w:jc w:val="center"/>
              <w:rPr>
                <w:rFonts w:ascii="Times New Roman" w:hAnsi="Times New Roman" w:cs="Times New Roman"/>
                <w:sz w:val="16"/>
                <w:szCs w:val="20"/>
              </w:rPr>
            </w:pPr>
            <w:r w:rsidRPr="009A5CAB">
              <w:rPr>
                <w:rFonts w:ascii="Times New Roman" w:hAnsi="Times New Roman" w:cs="Times New Roman"/>
                <w:sz w:val="16"/>
                <w:szCs w:val="20"/>
              </w:rPr>
              <w:t>1.856</w:t>
            </w:r>
          </w:p>
        </w:tc>
      </w:tr>
      <w:tr w:rsidR="007F15D8" w:rsidRPr="00B725B6" w14:paraId="753368E0" w14:textId="77777777" w:rsidTr="009E5933">
        <w:trPr>
          <w:jc w:val="center"/>
        </w:trPr>
        <w:tc>
          <w:tcPr>
            <w:tcW w:w="502" w:type="pct"/>
            <w:tcBorders>
              <w:top w:val="single" w:sz="4" w:space="0" w:color="auto"/>
              <w:bottom w:val="single" w:sz="4" w:space="0" w:color="auto"/>
              <w:right w:val="single" w:sz="4" w:space="0" w:color="auto"/>
            </w:tcBorders>
            <w:vAlign w:val="center"/>
          </w:tcPr>
          <w:p w14:paraId="37B04E6F" w14:textId="77777777" w:rsidR="00E40A40" w:rsidRPr="00B725B6" w:rsidRDefault="00E40A40" w:rsidP="00A152B0">
            <w:pPr>
              <w:tabs>
                <w:tab w:val="left" w:pos="4536"/>
              </w:tabs>
              <w:autoSpaceDE w:val="0"/>
              <w:autoSpaceDN w:val="0"/>
              <w:adjustRightInd w:val="0"/>
              <w:jc w:val="center"/>
              <w:rPr>
                <w:rFonts w:ascii="Times New Roman" w:hAnsi="Times New Roman" w:cs="Times New Roman"/>
                <w:sz w:val="18"/>
                <w:szCs w:val="20"/>
              </w:rPr>
            </w:pPr>
            <w:r w:rsidRPr="00B725B6">
              <w:rPr>
                <w:rFonts w:ascii="Times New Roman" w:hAnsi="Times New Roman" w:cs="Times New Roman"/>
                <w:sz w:val="18"/>
                <w:szCs w:val="20"/>
              </w:rPr>
              <w:t>Big4</w:t>
            </w:r>
          </w:p>
        </w:tc>
        <w:tc>
          <w:tcPr>
            <w:tcW w:w="386" w:type="pct"/>
            <w:tcBorders>
              <w:top w:val="single" w:sz="4" w:space="0" w:color="auto"/>
              <w:left w:val="single" w:sz="4" w:space="0" w:color="auto"/>
              <w:bottom w:val="single" w:sz="4" w:space="0" w:color="auto"/>
            </w:tcBorders>
          </w:tcPr>
          <w:p w14:paraId="01BDCE1F" w14:textId="77777777" w:rsidR="00E40A40" w:rsidRPr="009A5CAB" w:rsidRDefault="00E40A40" w:rsidP="00E40A40">
            <w:pPr>
              <w:autoSpaceDE w:val="0"/>
              <w:autoSpaceDN w:val="0"/>
              <w:adjustRightInd w:val="0"/>
              <w:jc w:val="center"/>
              <w:rPr>
                <w:rFonts w:ascii="Times New Roman" w:hAnsi="Times New Roman" w:cs="Times New Roman"/>
                <w:sz w:val="16"/>
                <w:szCs w:val="20"/>
              </w:rPr>
            </w:pPr>
            <w:r w:rsidRPr="009A5CAB">
              <w:rPr>
                <w:rFonts w:ascii="Times New Roman" w:hAnsi="Times New Roman" w:cs="Times New Roman"/>
                <w:sz w:val="16"/>
                <w:szCs w:val="20"/>
              </w:rPr>
              <w:t>-0.013</w:t>
            </w:r>
          </w:p>
          <w:p w14:paraId="69992DE9" w14:textId="77777777" w:rsidR="00E40A40" w:rsidRPr="009A5CAB" w:rsidRDefault="00E40A40" w:rsidP="00E40A40">
            <w:pPr>
              <w:autoSpaceDE w:val="0"/>
              <w:autoSpaceDN w:val="0"/>
              <w:adjustRightInd w:val="0"/>
              <w:jc w:val="center"/>
              <w:rPr>
                <w:rFonts w:ascii="Times New Roman" w:hAnsi="Times New Roman" w:cs="Times New Roman"/>
                <w:sz w:val="16"/>
                <w:szCs w:val="20"/>
              </w:rPr>
            </w:pPr>
            <w:r w:rsidRPr="009A5CAB">
              <w:rPr>
                <w:rFonts w:ascii="Times New Roman" w:hAnsi="Times New Roman" w:cs="Times New Roman"/>
                <w:sz w:val="16"/>
                <w:szCs w:val="20"/>
              </w:rPr>
              <w:t>(0.039)</w:t>
            </w:r>
          </w:p>
        </w:tc>
        <w:tc>
          <w:tcPr>
            <w:tcW w:w="374" w:type="pct"/>
            <w:tcBorders>
              <w:top w:val="single" w:sz="4" w:space="0" w:color="auto"/>
              <w:bottom w:val="single" w:sz="4" w:space="0" w:color="auto"/>
            </w:tcBorders>
          </w:tcPr>
          <w:p w14:paraId="34833BC2" w14:textId="77777777" w:rsidR="00E40A40" w:rsidRPr="009A5CAB" w:rsidRDefault="00E40A40" w:rsidP="00E40A40">
            <w:pPr>
              <w:jc w:val="center"/>
              <w:rPr>
                <w:rFonts w:ascii="Times New Roman" w:hAnsi="Times New Roman" w:cs="Times New Roman"/>
                <w:sz w:val="16"/>
                <w:szCs w:val="20"/>
              </w:rPr>
            </w:pPr>
            <w:r w:rsidRPr="009A5CAB">
              <w:rPr>
                <w:rFonts w:ascii="Times New Roman" w:hAnsi="Times New Roman" w:cs="Times New Roman"/>
                <w:sz w:val="16"/>
                <w:szCs w:val="20"/>
              </w:rPr>
              <w:t>-2.064</w:t>
            </w:r>
          </w:p>
        </w:tc>
        <w:tc>
          <w:tcPr>
            <w:tcW w:w="386" w:type="pct"/>
            <w:tcBorders>
              <w:top w:val="single" w:sz="4" w:space="0" w:color="auto"/>
              <w:bottom w:val="single" w:sz="4" w:space="0" w:color="auto"/>
            </w:tcBorders>
          </w:tcPr>
          <w:p w14:paraId="2998527A" w14:textId="77777777" w:rsidR="00E40A40" w:rsidRPr="009A5CAB" w:rsidRDefault="00E40A40" w:rsidP="00E40A40">
            <w:pPr>
              <w:autoSpaceDE w:val="0"/>
              <w:autoSpaceDN w:val="0"/>
              <w:adjustRightInd w:val="0"/>
              <w:jc w:val="center"/>
              <w:rPr>
                <w:rFonts w:ascii="Times New Roman" w:hAnsi="Times New Roman" w:cs="Times New Roman"/>
                <w:sz w:val="16"/>
                <w:szCs w:val="20"/>
              </w:rPr>
            </w:pPr>
            <w:r w:rsidRPr="009A5CAB">
              <w:rPr>
                <w:rFonts w:ascii="Times New Roman" w:hAnsi="Times New Roman" w:cs="Times New Roman"/>
                <w:sz w:val="16"/>
                <w:szCs w:val="20"/>
              </w:rPr>
              <w:t>0.042</w:t>
            </w:r>
          </w:p>
          <w:p w14:paraId="53A0D35B" w14:textId="77777777" w:rsidR="00E40A40" w:rsidRPr="009A5CAB" w:rsidRDefault="00E40A40" w:rsidP="00E40A40">
            <w:pPr>
              <w:autoSpaceDE w:val="0"/>
              <w:autoSpaceDN w:val="0"/>
              <w:adjustRightInd w:val="0"/>
              <w:jc w:val="center"/>
              <w:rPr>
                <w:rFonts w:ascii="Times New Roman" w:hAnsi="Times New Roman" w:cs="Times New Roman"/>
                <w:sz w:val="16"/>
                <w:szCs w:val="20"/>
              </w:rPr>
            </w:pPr>
            <w:r w:rsidRPr="009A5CAB">
              <w:rPr>
                <w:rFonts w:ascii="Times New Roman" w:hAnsi="Times New Roman" w:cs="Times New Roman"/>
                <w:sz w:val="16"/>
                <w:szCs w:val="20"/>
              </w:rPr>
              <w:t>(0.000)</w:t>
            </w:r>
          </w:p>
        </w:tc>
        <w:tc>
          <w:tcPr>
            <w:tcW w:w="374" w:type="pct"/>
            <w:tcBorders>
              <w:top w:val="single" w:sz="4" w:space="0" w:color="auto"/>
              <w:bottom w:val="single" w:sz="4" w:space="0" w:color="auto"/>
            </w:tcBorders>
          </w:tcPr>
          <w:p w14:paraId="5BD93D5F" w14:textId="77777777" w:rsidR="00E40A40" w:rsidRPr="009A5CAB" w:rsidRDefault="00E40A40" w:rsidP="00E40A40">
            <w:pPr>
              <w:jc w:val="center"/>
              <w:rPr>
                <w:rFonts w:ascii="Times New Roman" w:hAnsi="Times New Roman" w:cs="Times New Roman"/>
                <w:sz w:val="16"/>
                <w:szCs w:val="20"/>
              </w:rPr>
            </w:pPr>
            <w:r w:rsidRPr="009A5CAB">
              <w:rPr>
                <w:rFonts w:ascii="Times New Roman" w:hAnsi="Times New Roman" w:cs="Times New Roman"/>
                <w:sz w:val="16"/>
                <w:szCs w:val="20"/>
              </w:rPr>
              <w:t>4.105</w:t>
            </w:r>
          </w:p>
        </w:tc>
        <w:tc>
          <w:tcPr>
            <w:tcW w:w="386" w:type="pct"/>
            <w:tcBorders>
              <w:top w:val="single" w:sz="4" w:space="0" w:color="auto"/>
              <w:bottom w:val="single" w:sz="4" w:space="0" w:color="auto"/>
            </w:tcBorders>
          </w:tcPr>
          <w:p w14:paraId="03F6FE59" w14:textId="77777777" w:rsidR="00E40A40" w:rsidRPr="009A5CAB" w:rsidRDefault="00337B39" w:rsidP="00E40A40">
            <w:pPr>
              <w:autoSpaceDE w:val="0"/>
              <w:autoSpaceDN w:val="0"/>
              <w:adjustRightInd w:val="0"/>
              <w:jc w:val="center"/>
              <w:rPr>
                <w:rFonts w:ascii="Times New Roman" w:hAnsi="Times New Roman" w:cs="Times New Roman"/>
                <w:sz w:val="16"/>
                <w:szCs w:val="20"/>
              </w:rPr>
            </w:pPr>
            <w:r w:rsidRPr="009A5CAB">
              <w:rPr>
                <w:rFonts w:ascii="Times New Roman" w:hAnsi="Times New Roman" w:cs="Times New Roman"/>
                <w:sz w:val="16"/>
                <w:szCs w:val="20"/>
              </w:rPr>
              <w:t>0.105</w:t>
            </w:r>
          </w:p>
          <w:p w14:paraId="38145442" w14:textId="35885F8B" w:rsidR="00337B39" w:rsidRPr="009A5CAB" w:rsidRDefault="00337B39" w:rsidP="00E40A40">
            <w:pPr>
              <w:autoSpaceDE w:val="0"/>
              <w:autoSpaceDN w:val="0"/>
              <w:adjustRightInd w:val="0"/>
              <w:jc w:val="center"/>
              <w:rPr>
                <w:rFonts w:ascii="Times New Roman" w:hAnsi="Times New Roman" w:cs="Times New Roman"/>
                <w:sz w:val="16"/>
                <w:szCs w:val="20"/>
              </w:rPr>
            </w:pPr>
            <w:r w:rsidRPr="009A5CAB">
              <w:rPr>
                <w:rFonts w:ascii="Times New Roman" w:hAnsi="Times New Roman" w:cs="Times New Roman"/>
                <w:sz w:val="16"/>
                <w:szCs w:val="20"/>
              </w:rPr>
              <w:t>(0.001)</w:t>
            </w:r>
          </w:p>
        </w:tc>
        <w:tc>
          <w:tcPr>
            <w:tcW w:w="374" w:type="pct"/>
            <w:tcBorders>
              <w:top w:val="single" w:sz="4" w:space="0" w:color="auto"/>
              <w:bottom w:val="single" w:sz="4" w:space="0" w:color="auto"/>
            </w:tcBorders>
          </w:tcPr>
          <w:p w14:paraId="7EF12D48" w14:textId="433C863F" w:rsidR="00E40A40" w:rsidRPr="009A5CAB" w:rsidRDefault="00337B39" w:rsidP="00E40A40">
            <w:pPr>
              <w:autoSpaceDE w:val="0"/>
              <w:autoSpaceDN w:val="0"/>
              <w:adjustRightInd w:val="0"/>
              <w:jc w:val="center"/>
              <w:rPr>
                <w:rFonts w:ascii="Times New Roman" w:hAnsi="Times New Roman" w:cs="Times New Roman"/>
                <w:sz w:val="16"/>
                <w:szCs w:val="20"/>
              </w:rPr>
            </w:pPr>
            <w:r w:rsidRPr="009A5CAB">
              <w:rPr>
                <w:rFonts w:ascii="Times New Roman" w:hAnsi="Times New Roman" w:cs="Times New Roman"/>
                <w:sz w:val="16"/>
                <w:szCs w:val="20"/>
              </w:rPr>
              <w:t>1.235</w:t>
            </w:r>
          </w:p>
        </w:tc>
        <w:tc>
          <w:tcPr>
            <w:tcW w:w="386" w:type="pct"/>
            <w:tcBorders>
              <w:top w:val="single" w:sz="4" w:space="0" w:color="auto"/>
              <w:bottom w:val="single" w:sz="4" w:space="0" w:color="auto"/>
            </w:tcBorders>
          </w:tcPr>
          <w:p w14:paraId="05632409" w14:textId="77777777" w:rsidR="00E40A40" w:rsidRPr="009A5CAB" w:rsidRDefault="00E40A40" w:rsidP="00E40A40">
            <w:pPr>
              <w:autoSpaceDE w:val="0"/>
              <w:autoSpaceDN w:val="0"/>
              <w:adjustRightInd w:val="0"/>
              <w:jc w:val="center"/>
              <w:rPr>
                <w:rFonts w:ascii="Times New Roman" w:hAnsi="Times New Roman" w:cs="Times New Roman"/>
                <w:sz w:val="16"/>
                <w:szCs w:val="20"/>
              </w:rPr>
            </w:pPr>
            <w:r w:rsidRPr="009A5CAB">
              <w:rPr>
                <w:rFonts w:ascii="Times New Roman" w:hAnsi="Times New Roman" w:cs="Times New Roman"/>
                <w:sz w:val="16"/>
                <w:szCs w:val="20"/>
              </w:rPr>
              <w:t>0.039</w:t>
            </w:r>
          </w:p>
          <w:p w14:paraId="476A30EE" w14:textId="77777777" w:rsidR="00E40A40" w:rsidRPr="009A5CAB" w:rsidRDefault="00E40A40" w:rsidP="00E40A40">
            <w:pPr>
              <w:autoSpaceDE w:val="0"/>
              <w:autoSpaceDN w:val="0"/>
              <w:adjustRightInd w:val="0"/>
              <w:jc w:val="center"/>
              <w:rPr>
                <w:rFonts w:ascii="Times New Roman" w:hAnsi="Times New Roman" w:cs="Times New Roman"/>
                <w:sz w:val="16"/>
                <w:szCs w:val="20"/>
              </w:rPr>
            </w:pPr>
            <w:r w:rsidRPr="009A5CAB">
              <w:rPr>
                <w:rFonts w:ascii="Times New Roman" w:hAnsi="Times New Roman" w:cs="Times New Roman"/>
                <w:sz w:val="16"/>
                <w:szCs w:val="20"/>
              </w:rPr>
              <w:t>(0.001)</w:t>
            </w:r>
          </w:p>
        </w:tc>
        <w:tc>
          <w:tcPr>
            <w:tcW w:w="374" w:type="pct"/>
            <w:tcBorders>
              <w:top w:val="single" w:sz="4" w:space="0" w:color="auto"/>
              <w:bottom w:val="single" w:sz="4" w:space="0" w:color="auto"/>
            </w:tcBorders>
          </w:tcPr>
          <w:p w14:paraId="4FE3F520" w14:textId="77777777" w:rsidR="00E40A40" w:rsidRPr="009A5CAB" w:rsidRDefault="00E40A40" w:rsidP="00E40A40">
            <w:pPr>
              <w:autoSpaceDE w:val="0"/>
              <w:autoSpaceDN w:val="0"/>
              <w:adjustRightInd w:val="0"/>
              <w:jc w:val="center"/>
              <w:rPr>
                <w:rFonts w:ascii="Times New Roman" w:hAnsi="Times New Roman" w:cs="Times New Roman"/>
                <w:sz w:val="16"/>
                <w:szCs w:val="20"/>
              </w:rPr>
            </w:pPr>
            <w:r w:rsidRPr="009A5CAB">
              <w:rPr>
                <w:rFonts w:ascii="Times New Roman" w:hAnsi="Times New Roman" w:cs="Times New Roman"/>
                <w:sz w:val="16"/>
                <w:szCs w:val="20"/>
              </w:rPr>
              <w:t>3.411</w:t>
            </w:r>
          </w:p>
        </w:tc>
        <w:tc>
          <w:tcPr>
            <w:tcW w:w="395" w:type="pct"/>
            <w:tcBorders>
              <w:top w:val="single" w:sz="4" w:space="0" w:color="auto"/>
              <w:bottom w:val="single" w:sz="4" w:space="0" w:color="auto"/>
            </w:tcBorders>
          </w:tcPr>
          <w:p w14:paraId="773F9E38" w14:textId="77777777" w:rsidR="00E40A40" w:rsidRPr="009A5CAB" w:rsidRDefault="00E40A40" w:rsidP="00E40A40">
            <w:pPr>
              <w:autoSpaceDE w:val="0"/>
              <w:autoSpaceDN w:val="0"/>
              <w:adjustRightInd w:val="0"/>
              <w:jc w:val="center"/>
              <w:rPr>
                <w:rFonts w:ascii="Times New Roman" w:hAnsi="Times New Roman" w:cs="Times New Roman"/>
                <w:sz w:val="16"/>
                <w:szCs w:val="20"/>
              </w:rPr>
            </w:pPr>
            <w:r w:rsidRPr="009A5CAB">
              <w:rPr>
                <w:rFonts w:ascii="Times New Roman" w:hAnsi="Times New Roman" w:cs="Times New Roman"/>
                <w:sz w:val="16"/>
                <w:szCs w:val="20"/>
              </w:rPr>
              <w:t>0.040</w:t>
            </w:r>
          </w:p>
          <w:p w14:paraId="5EA5C320" w14:textId="77777777" w:rsidR="00E40A40" w:rsidRPr="009A5CAB" w:rsidRDefault="00E40A40" w:rsidP="00E40A40">
            <w:pPr>
              <w:autoSpaceDE w:val="0"/>
              <w:autoSpaceDN w:val="0"/>
              <w:adjustRightInd w:val="0"/>
              <w:jc w:val="center"/>
              <w:rPr>
                <w:rFonts w:ascii="Times New Roman" w:hAnsi="Times New Roman" w:cs="Times New Roman"/>
                <w:sz w:val="16"/>
                <w:szCs w:val="20"/>
              </w:rPr>
            </w:pPr>
            <w:r w:rsidRPr="009A5CAB">
              <w:rPr>
                <w:rFonts w:ascii="Times New Roman" w:hAnsi="Times New Roman" w:cs="Times New Roman"/>
                <w:sz w:val="16"/>
                <w:szCs w:val="20"/>
              </w:rPr>
              <w:t>(0.867)</w:t>
            </w:r>
          </w:p>
        </w:tc>
        <w:tc>
          <w:tcPr>
            <w:tcW w:w="336" w:type="pct"/>
            <w:tcBorders>
              <w:top w:val="single" w:sz="4" w:space="0" w:color="auto"/>
              <w:bottom w:val="single" w:sz="4" w:space="0" w:color="auto"/>
            </w:tcBorders>
          </w:tcPr>
          <w:p w14:paraId="183B9B56" w14:textId="77777777" w:rsidR="00E40A40" w:rsidRPr="009A5CAB" w:rsidRDefault="00E40A40" w:rsidP="00E40A40">
            <w:pPr>
              <w:autoSpaceDE w:val="0"/>
              <w:autoSpaceDN w:val="0"/>
              <w:adjustRightInd w:val="0"/>
              <w:jc w:val="center"/>
              <w:rPr>
                <w:rFonts w:ascii="Times New Roman" w:hAnsi="Times New Roman" w:cs="Times New Roman"/>
                <w:sz w:val="16"/>
                <w:szCs w:val="20"/>
              </w:rPr>
            </w:pPr>
            <w:r w:rsidRPr="009A5CAB">
              <w:rPr>
                <w:rFonts w:ascii="Times New Roman" w:hAnsi="Times New Roman" w:cs="Times New Roman"/>
                <w:sz w:val="16"/>
                <w:szCs w:val="20"/>
              </w:rPr>
              <w:t>0.168</w:t>
            </w:r>
          </w:p>
        </w:tc>
        <w:tc>
          <w:tcPr>
            <w:tcW w:w="387" w:type="pct"/>
            <w:tcBorders>
              <w:top w:val="single" w:sz="4" w:space="0" w:color="auto"/>
              <w:bottom w:val="single" w:sz="4" w:space="0" w:color="auto"/>
            </w:tcBorders>
          </w:tcPr>
          <w:p w14:paraId="41C2FD9F" w14:textId="77777777" w:rsidR="00E40A40" w:rsidRPr="009A5CAB" w:rsidRDefault="00E40A40" w:rsidP="00E40A40">
            <w:pPr>
              <w:autoSpaceDE w:val="0"/>
              <w:autoSpaceDN w:val="0"/>
              <w:adjustRightInd w:val="0"/>
              <w:jc w:val="center"/>
              <w:rPr>
                <w:rFonts w:ascii="Times New Roman" w:hAnsi="Times New Roman" w:cs="Times New Roman"/>
                <w:sz w:val="16"/>
                <w:szCs w:val="20"/>
              </w:rPr>
            </w:pPr>
            <w:r w:rsidRPr="009A5CAB">
              <w:rPr>
                <w:rFonts w:ascii="Times New Roman" w:hAnsi="Times New Roman" w:cs="Times New Roman"/>
                <w:sz w:val="16"/>
                <w:szCs w:val="20"/>
              </w:rPr>
              <w:t>0.021</w:t>
            </w:r>
          </w:p>
          <w:p w14:paraId="70888C42" w14:textId="77777777" w:rsidR="00E40A40" w:rsidRPr="009A5CAB" w:rsidRDefault="00E40A40" w:rsidP="00E40A40">
            <w:pPr>
              <w:autoSpaceDE w:val="0"/>
              <w:autoSpaceDN w:val="0"/>
              <w:adjustRightInd w:val="0"/>
              <w:jc w:val="center"/>
              <w:rPr>
                <w:rFonts w:ascii="Times New Roman" w:hAnsi="Times New Roman" w:cs="Times New Roman"/>
                <w:sz w:val="16"/>
                <w:szCs w:val="20"/>
              </w:rPr>
            </w:pPr>
            <w:r w:rsidRPr="009A5CAB">
              <w:rPr>
                <w:rFonts w:ascii="Times New Roman" w:hAnsi="Times New Roman" w:cs="Times New Roman"/>
                <w:sz w:val="16"/>
                <w:szCs w:val="20"/>
              </w:rPr>
              <w:t>(0.156)</w:t>
            </w:r>
          </w:p>
        </w:tc>
        <w:tc>
          <w:tcPr>
            <w:tcW w:w="336" w:type="pct"/>
            <w:tcBorders>
              <w:top w:val="single" w:sz="4" w:space="0" w:color="auto"/>
              <w:bottom w:val="single" w:sz="4" w:space="0" w:color="auto"/>
            </w:tcBorders>
          </w:tcPr>
          <w:p w14:paraId="4179B577" w14:textId="77777777" w:rsidR="00E40A40" w:rsidRPr="009A5CAB" w:rsidRDefault="00E40A40" w:rsidP="00E40A40">
            <w:pPr>
              <w:jc w:val="center"/>
              <w:rPr>
                <w:rFonts w:ascii="Times New Roman" w:hAnsi="Times New Roman" w:cs="Times New Roman"/>
                <w:sz w:val="16"/>
                <w:szCs w:val="20"/>
              </w:rPr>
            </w:pPr>
            <w:r w:rsidRPr="009A5CAB">
              <w:rPr>
                <w:rFonts w:ascii="Times New Roman" w:hAnsi="Times New Roman" w:cs="Times New Roman"/>
                <w:sz w:val="16"/>
                <w:szCs w:val="20"/>
              </w:rPr>
              <w:t>1.427</w:t>
            </w:r>
          </w:p>
        </w:tc>
      </w:tr>
      <w:tr w:rsidR="007F15D8" w:rsidRPr="00B725B6" w14:paraId="2C2DD055" w14:textId="77777777" w:rsidTr="009E5933">
        <w:trPr>
          <w:jc w:val="center"/>
        </w:trPr>
        <w:tc>
          <w:tcPr>
            <w:tcW w:w="502" w:type="pct"/>
            <w:tcBorders>
              <w:top w:val="single" w:sz="4" w:space="0" w:color="auto"/>
              <w:bottom w:val="single" w:sz="4" w:space="0" w:color="auto"/>
              <w:right w:val="single" w:sz="4" w:space="0" w:color="auto"/>
            </w:tcBorders>
            <w:vAlign w:val="center"/>
          </w:tcPr>
          <w:p w14:paraId="504B40A0" w14:textId="77777777" w:rsidR="00E40A40" w:rsidRPr="00B725B6" w:rsidRDefault="00E40A40" w:rsidP="00A152B0">
            <w:pPr>
              <w:tabs>
                <w:tab w:val="left" w:pos="4536"/>
              </w:tabs>
              <w:autoSpaceDE w:val="0"/>
              <w:autoSpaceDN w:val="0"/>
              <w:adjustRightInd w:val="0"/>
              <w:jc w:val="center"/>
              <w:rPr>
                <w:rFonts w:ascii="Times New Roman" w:hAnsi="Times New Roman" w:cs="Times New Roman"/>
                <w:sz w:val="18"/>
                <w:szCs w:val="20"/>
              </w:rPr>
            </w:pPr>
            <w:r w:rsidRPr="00B725B6">
              <w:rPr>
                <w:rFonts w:ascii="Times New Roman" w:hAnsi="Times New Roman" w:cs="Times New Roman"/>
                <w:sz w:val="18"/>
                <w:szCs w:val="20"/>
              </w:rPr>
              <w:t>Risk</w:t>
            </w:r>
          </w:p>
        </w:tc>
        <w:tc>
          <w:tcPr>
            <w:tcW w:w="386" w:type="pct"/>
            <w:tcBorders>
              <w:top w:val="single" w:sz="4" w:space="0" w:color="auto"/>
              <w:left w:val="single" w:sz="4" w:space="0" w:color="auto"/>
              <w:bottom w:val="single" w:sz="4" w:space="0" w:color="auto"/>
            </w:tcBorders>
          </w:tcPr>
          <w:p w14:paraId="71FB1FA6" w14:textId="77777777" w:rsidR="00E40A40" w:rsidRPr="009A5CAB" w:rsidRDefault="00E40A40" w:rsidP="00E40A40">
            <w:pPr>
              <w:autoSpaceDE w:val="0"/>
              <w:autoSpaceDN w:val="0"/>
              <w:adjustRightInd w:val="0"/>
              <w:jc w:val="center"/>
              <w:rPr>
                <w:rFonts w:ascii="Times New Roman" w:hAnsi="Times New Roman" w:cs="Times New Roman"/>
                <w:sz w:val="16"/>
                <w:szCs w:val="20"/>
              </w:rPr>
            </w:pPr>
            <w:r w:rsidRPr="009A5CAB">
              <w:rPr>
                <w:rFonts w:ascii="Times New Roman" w:hAnsi="Times New Roman" w:cs="Times New Roman"/>
                <w:sz w:val="16"/>
                <w:szCs w:val="20"/>
              </w:rPr>
              <w:t>0.010</w:t>
            </w:r>
          </w:p>
          <w:p w14:paraId="49FA283A" w14:textId="77777777" w:rsidR="00E40A40" w:rsidRPr="009A5CAB" w:rsidRDefault="00E40A40" w:rsidP="00E40A40">
            <w:pPr>
              <w:autoSpaceDE w:val="0"/>
              <w:autoSpaceDN w:val="0"/>
              <w:adjustRightInd w:val="0"/>
              <w:jc w:val="center"/>
              <w:rPr>
                <w:rFonts w:ascii="Times New Roman" w:hAnsi="Times New Roman" w:cs="Times New Roman"/>
                <w:sz w:val="16"/>
                <w:szCs w:val="20"/>
              </w:rPr>
            </w:pPr>
            <w:r w:rsidRPr="009A5CAB">
              <w:rPr>
                <w:rFonts w:ascii="Times New Roman" w:hAnsi="Times New Roman" w:cs="Times New Roman"/>
                <w:sz w:val="16"/>
                <w:szCs w:val="20"/>
              </w:rPr>
              <w:t>(0.002)</w:t>
            </w:r>
          </w:p>
        </w:tc>
        <w:tc>
          <w:tcPr>
            <w:tcW w:w="374" w:type="pct"/>
            <w:tcBorders>
              <w:top w:val="single" w:sz="4" w:space="0" w:color="auto"/>
              <w:bottom w:val="single" w:sz="4" w:space="0" w:color="auto"/>
            </w:tcBorders>
          </w:tcPr>
          <w:p w14:paraId="1CE61BE7" w14:textId="77777777" w:rsidR="00E40A40" w:rsidRPr="009A5CAB" w:rsidRDefault="00E40A40" w:rsidP="00E40A40">
            <w:pPr>
              <w:jc w:val="center"/>
              <w:rPr>
                <w:rFonts w:ascii="Times New Roman" w:hAnsi="Times New Roman" w:cs="Times New Roman"/>
                <w:sz w:val="16"/>
                <w:szCs w:val="20"/>
              </w:rPr>
            </w:pPr>
            <w:r w:rsidRPr="009A5CAB">
              <w:rPr>
                <w:rFonts w:ascii="Times New Roman" w:hAnsi="Times New Roman" w:cs="Times New Roman"/>
                <w:sz w:val="16"/>
                <w:szCs w:val="20"/>
              </w:rPr>
              <w:t>3.093</w:t>
            </w:r>
          </w:p>
        </w:tc>
        <w:tc>
          <w:tcPr>
            <w:tcW w:w="386" w:type="pct"/>
            <w:tcBorders>
              <w:top w:val="single" w:sz="4" w:space="0" w:color="auto"/>
              <w:bottom w:val="single" w:sz="4" w:space="0" w:color="auto"/>
            </w:tcBorders>
          </w:tcPr>
          <w:p w14:paraId="42C936CC" w14:textId="77777777" w:rsidR="00E40A40" w:rsidRPr="009A5CAB" w:rsidRDefault="00E40A40" w:rsidP="00E40A40">
            <w:pPr>
              <w:autoSpaceDE w:val="0"/>
              <w:autoSpaceDN w:val="0"/>
              <w:adjustRightInd w:val="0"/>
              <w:jc w:val="center"/>
              <w:rPr>
                <w:rFonts w:ascii="Times New Roman" w:hAnsi="Times New Roman" w:cs="Times New Roman"/>
                <w:sz w:val="16"/>
                <w:szCs w:val="20"/>
              </w:rPr>
            </w:pPr>
            <w:r w:rsidRPr="009A5CAB">
              <w:rPr>
                <w:rFonts w:ascii="Times New Roman" w:hAnsi="Times New Roman" w:cs="Times New Roman"/>
                <w:sz w:val="16"/>
                <w:szCs w:val="20"/>
              </w:rPr>
              <w:t>0.012</w:t>
            </w:r>
          </w:p>
          <w:p w14:paraId="3C480DB2" w14:textId="77777777" w:rsidR="00E40A40" w:rsidRPr="009A5CAB" w:rsidRDefault="00E40A40" w:rsidP="00E40A40">
            <w:pPr>
              <w:autoSpaceDE w:val="0"/>
              <w:autoSpaceDN w:val="0"/>
              <w:adjustRightInd w:val="0"/>
              <w:jc w:val="center"/>
              <w:rPr>
                <w:rFonts w:ascii="Times New Roman" w:hAnsi="Times New Roman" w:cs="Times New Roman"/>
                <w:sz w:val="16"/>
                <w:szCs w:val="20"/>
              </w:rPr>
            </w:pPr>
            <w:r w:rsidRPr="009A5CAB">
              <w:rPr>
                <w:rFonts w:ascii="Times New Roman" w:hAnsi="Times New Roman" w:cs="Times New Roman"/>
                <w:sz w:val="16"/>
                <w:szCs w:val="20"/>
              </w:rPr>
              <w:t>(0.783)</w:t>
            </w:r>
          </w:p>
        </w:tc>
        <w:tc>
          <w:tcPr>
            <w:tcW w:w="374" w:type="pct"/>
            <w:tcBorders>
              <w:top w:val="single" w:sz="4" w:space="0" w:color="auto"/>
              <w:bottom w:val="single" w:sz="4" w:space="0" w:color="auto"/>
            </w:tcBorders>
          </w:tcPr>
          <w:p w14:paraId="33423A7C" w14:textId="77777777" w:rsidR="00E40A40" w:rsidRPr="009A5CAB" w:rsidRDefault="00E40A40" w:rsidP="00E40A40">
            <w:pPr>
              <w:jc w:val="center"/>
              <w:rPr>
                <w:rFonts w:ascii="Times New Roman" w:hAnsi="Times New Roman" w:cs="Times New Roman"/>
                <w:sz w:val="16"/>
                <w:szCs w:val="20"/>
              </w:rPr>
            </w:pPr>
            <w:r w:rsidRPr="009A5CAB">
              <w:rPr>
                <w:rFonts w:ascii="Times New Roman" w:hAnsi="Times New Roman" w:cs="Times New Roman"/>
                <w:sz w:val="16"/>
                <w:szCs w:val="20"/>
              </w:rPr>
              <w:t>0.302</w:t>
            </w:r>
          </w:p>
        </w:tc>
        <w:tc>
          <w:tcPr>
            <w:tcW w:w="386" w:type="pct"/>
            <w:tcBorders>
              <w:top w:val="single" w:sz="4" w:space="0" w:color="auto"/>
              <w:bottom w:val="single" w:sz="4" w:space="0" w:color="auto"/>
            </w:tcBorders>
          </w:tcPr>
          <w:p w14:paraId="0ECA7234" w14:textId="77777777" w:rsidR="00E40A40" w:rsidRPr="009A5CAB" w:rsidRDefault="00E40A40" w:rsidP="00E40A40">
            <w:pPr>
              <w:autoSpaceDE w:val="0"/>
              <w:autoSpaceDN w:val="0"/>
              <w:adjustRightInd w:val="0"/>
              <w:jc w:val="center"/>
              <w:rPr>
                <w:rFonts w:ascii="Times New Roman" w:hAnsi="Times New Roman" w:cs="Times New Roman"/>
                <w:sz w:val="16"/>
                <w:szCs w:val="20"/>
              </w:rPr>
            </w:pPr>
            <w:r w:rsidRPr="009A5CAB">
              <w:rPr>
                <w:rFonts w:ascii="Times New Roman" w:hAnsi="Times New Roman" w:cs="Times New Roman"/>
                <w:sz w:val="16"/>
                <w:szCs w:val="20"/>
              </w:rPr>
              <w:t>0.089</w:t>
            </w:r>
          </w:p>
          <w:p w14:paraId="078BEF7D" w14:textId="77777777" w:rsidR="00E40A40" w:rsidRPr="009A5CAB" w:rsidRDefault="00E40A40" w:rsidP="00E40A40">
            <w:pPr>
              <w:autoSpaceDE w:val="0"/>
              <w:autoSpaceDN w:val="0"/>
              <w:adjustRightInd w:val="0"/>
              <w:jc w:val="center"/>
              <w:rPr>
                <w:rFonts w:ascii="Times New Roman" w:hAnsi="Times New Roman" w:cs="Times New Roman"/>
                <w:sz w:val="16"/>
                <w:szCs w:val="20"/>
              </w:rPr>
            </w:pPr>
            <w:r w:rsidRPr="009A5CAB">
              <w:rPr>
                <w:rFonts w:ascii="Times New Roman" w:hAnsi="Times New Roman" w:cs="Times New Roman"/>
                <w:sz w:val="16"/>
                <w:szCs w:val="20"/>
              </w:rPr>
              <w:t>(0.408)</w:t>
            </w:r>
          </w:p>
        </w:tc>
        <w:tc>
          <w:tcPr>
            <w:tcW w:w="374" w:type="pct"/>
            <w:tcBorders>
              <w:top w:val="single" w:sz="4" w:space="0" w:color="auto"/>
              <w:bottom w:val="single" w:sz="4" w:space="0" w:color="auto"/>
            </w:tcBorders>
          </w:tcPr>
          <w:p w14:paraId="1E6F4389" w14:textId="77777777" w:rsidR="00E40A40" w:rsidRPr="009A5CAB" w:rsidRDefault="00E40A40" w:rsidP="00E40A40">
            <w:pPr>
              <w:autoSpaceDE w:val="0"/>
              <w:autoSpaceDN w:val="0"/>
              <w:adjustRightInd w:val="0"/>
              <w:jc w:val="center"/>
              <w:rPr>
                <w:rFonts w:ascii="Times New Roman" w:hAnsi="Times New Roman" w:cs="Times New Roman"/>
                <w:sz w:val="16"/>
                <w:szCs w:val="20"/>
              </w:rPr>
            </w:pPr>
            <w:r w:rsidRPr="009A5CAB">
              <w:rPr>
                <w:rFonts w:ascii="Times New Roman" w:hAnsi="Times New Roman" w:cs="Times New Roman"/>
                <w:sz w:val="16"/>
                <w:szCs w:val="20"/>
              </w:rPr>
              <w:t>0.832</w:t>
            </w:r>
          </w:p>
        </w:tc>
        <w:tc>
          <w:tcPr>
            <w:tcW w:w="386" w:type="pct"/>
            <w:tcBorders>
              <w:top w:val="single" w:sz="4" w:space="0" w:color="auto"/>
              <w:bottom w:val="single" w:sz="4" w:space="0" w:color="auto"/>
            </w:tcBorders>
          </w:tcPr>
          <w:p w14:paraId="2D7EB04B" w14:textId="77777777" w:rsidR="00E40A40" w:rsidRPr="009A5CAB" w:rsidRDefault="00E40A40" w:rsidP="00E40A40">
            <w:pPr>
              <w:autoSpaceDE w:val="0"/>
              <w:autoSpaceDN w:val="0"/>
              <w:adjustRightInd w:val="0"/>
              <w:jc w:val="center"/>
              <w:rPr>
                <w:rFonts w:ascii="Times New Roman" w:hAnsi="Times New Roman" w:cs="Times New Roman"/>
                <w:sz w:val="16"/>
                <w:szCs w:val="20"/>
              </w:rPr>
            </w:pPr>
            <w:r w:rsidRPr="009A5CAB">
              <w:rPr>
                <w:rFonts w:ascii="Times New Roman" w:hAnsi="Times New Roman" w:cs="Times New Roman"/>
                <w:sz w:val="16"/>
                <w:szCs w:val="20"/>
              </w:rPr>
              <w:t>0.003</w:t>
            </w:r>
          </w:p>
          <w:p w14:paraId="703DF8B2" w14:textId="77777777" w:rsidR="00E40A40" w:rsidRPr="009A5CAB" w:rsidRDefault="00E40A40" w:rsidP="00E40A40">
            <w:pPr>
              <w:autoSpaceDE w:val="0"/>
              <w:autoSpaceDN w:val="0"/>
              <w:adjustRightInd w:val="0"/>
              <w:jc w:val="center"/>
              <w:rPr>
                <w:rFonts w:ascii="Times New Roman" w:hAnsi="Times New Roman" w:cs="Times New Roman"/>
                <w:sz w:val="16"/>
                <w:szCs w:val="20"/>
              </w:rPr>
            </w:pPr>
            <w:r w:rsidRPr="009A5CAB">
              <w:rPr>
                <w:rFonts w:ascii="Times New Roman" w:hAnsi="Times New Roman" w:cs="Times New Roman"/>
                <w:sz w:val="16"/>
                <w:szCs w:val="20"/>
              </w:rPr>
              <w:t>(0.371)</w:t>
            </w:r>
          </w:p>
        </w:tc>
        <w:tc>
          <w:tcPr>
            <w:tcW w:w="374" w:type="pct"/>
            <w:tcBorders>
              <w:top w:val="single" w:sz="4" w:space="0" w:color="auto"/>
              <w:bottom w:val="single" w:sz="4" w:space="0" w:color="auto"/>
            </w:tcBorders>
          </w:tcPr>
          <w:p w14:paraId="147AC17F" w14:textId="77777777" w:rsidR="00E40A40" w:rsidRPr="009A5CAB" w:rsidRDefault="00E40A40" w:rsidP="00E40A40">
            <w:pPr>
              <w:autoSpaceDE w:val="0"/>
              <w:autoSpaceDN w:val="0"/>
              <w:adjustRightInd w:val="0"/>
              <w:jc w:val="center"/>
              <w:rPr>
                <w:rFonts w:ascii="Times New Roman" w:hAnsi="Times New Roman" w:cs="Times New Roman"/>
                <w:sz w:val="16"/>
                <w:szCs w:val="20"/>
              </w:rPr>
            </w:pPr>
            <w:r w:rsidRPr="009A5CAB">
              <w:rPr>
                <w:rFonts w:ascii="Times New Roman" w:hAnsi="Times New Roman" w:cs="Times New Roman"/>
                <w:sz w:val="16"/>
                <w:szCs w:val="20"/>
              </w:rPr>
              <w:t>0.89</w:t>
            </w:r>
          </w:p>
        </w:tc>
        <w:tc>
          <w:tcPr>
            <w:tcW w:w="395" w:type="pct"/>
            <w:tcBorders>
              <w:top w:val="single" w:sz="4" w:space="0" w:color="auto"/>
              <w:bottom w:val="single" w:sz="4" w:space="0" w:color="auto"/>
            </w:tcBorders>
          </w:tcPr>
          <w:p w14:paraId="445DF04A" w14:textId="77777777" w:rsidR="00E40A40" w:rsidRPr="009A5CAB" w:rsidRDefault="00E40A40" w:rsidP="00E40A40">
            <w:pPr>
              <w:autoSpaceDE w:val="0"/>
              <w:autoSpaceDN w:val="0"/>
              <w:adjustRightInd w:val="0"/>
              <w:jc w:val="center"/>
              <w:rPr>
                <w:rFonts w:ascii="Times New Roman" w:hAnsi="Times New Roman" w:cs="Times New Roman"/>
                <w:sz w:val="16"/>
                <w:szCs w:val="20"/>
              </w:rPr>
            </w:pPr>
            <w:r w:rsidRPr="009A5CAB">
              <w:rPr>
                <w:rFonts w:ascii="Times New Roman" w:hAnsi="Times New Roman" w:cs="Times New Roman"/>
                <w:sz w:val="16"/>
                <w:szCs w:val="20"/>
              </w:rPr>
              <w:t>-0.026</w:t>
            </w:r>
          </w:p>
          <w:p w14:paraId="62D827D7" w14:textId="77777777" w:rsidR="00E40A40" w:rsidRPr="009A5CAB" w:rsidRDefault="00E40A40" w:rsidP="00E40A40">
            <w:pPr>
              <w:autoSpaceDE w:val="0"/>
              <w:autoSpaceDN w:val="0"/>
              <w:adjustRightInd w:val="0"/>
              <w:jc w:val="center"/>
              <w:rPr>
                <w:rFonts w:ascii="Times New Roman" w:hAnsi="Times New Roman" w:cs="Times New Roman"/>
                <w:sz w:val="16"/>
                <w:szCs w:val="20"/>
              </w:rPr>
            </w:pPr>
            <w:r w:rsidRPr="009A5CAB">
              <w:rPr>
                <w:rFonts w:ascii="Times New Roman" w:hAnsi="Times New Roman" w:cs="Times New Roman"/>
                <w:sz w:val="16"/>
                <w:szCs w:val="20"/>
              </w:rPr>
              <w:t>(0.754)</w:t>
            </w:r>
          </w:p>
        </w:tc>
        <w:tc>
          <w:tcPr>
            <w:tcW w:w="336" w:type="pct"/>
            <w:tcBorders>
              <w:top w:val="single" w:sz="4" w:space="0" w:color="auto"/>
              <w:bottom w:val="single" w:sz="4" w:space="0" w:color="auto"/>
            </w:tcBorders>
          </w:tcPr>
          <w:p w14:paraId="197D3E98" w14:textId="77777777" w:rsidR="00E40A40" w:rsidRPr="009A5CAB" w:rsidRDefault="00E40A40" w:rsidP="00E40A40">
            <w:pPr>
              <w:autoSpaceDE w:val="0"/>
              <w:autoSpaceDN w:val="0"/>
              <w:adjustRightInd w:val="0"/>
              <w:jc w:val="center"/>
              <w:rPr>
                <w:rFonts w:ascii="Times New Roman" w:hAnsi="Times New Roman" w:cs="Times New Roman"/>
                <w:sz w:val="16"/>
                <w:szCs w:val="20"/>
              </w:rPr>
            </w:pPr>
            <w:r w:rsidRPr="009A5CAB">
              <w:rPr>
                <w:rFonts w:ascii="Times New Roman" w:hAnsi="Times New Roman" w:cs="Times New Roman"/>
                <w:sz w:val="16"/>
                <w:szCs w:val="20"/>
              </w:rPr>
              <w:t>-0.315</w:t>
            </w:r>
          </w:p>
        </w:tc>
        <w:tc>
          <w:tcPr>
            <w:tcW w:w="387" w:type="pct"/>
            <w:tcBorders>
              <w:top w:val="single" w:sz="4" w:space="0" w:color="auto"/>
              <w:bottom w:val="single" w:sz="4" w:space="0" w:color="auto"/>
            </w:tcBorders>
          </w:tcPr>
          <w:p w14:paraId="74D71EBD" w14:textId="77777777" w:rsidR="00E40A40" w:rsidRPr="009A5CAB" w:rsidRDefault="00E40A40" w:rsidP="00E40A40">
            <w:pPr>
              <w:autoSpaceDE w:val="0"/>
              <w:autoSpaceDN w:val="0"/>
              <w:adjustRightInd w:val="0"/>
              <w:jc w:val="center"/>
              <w:rPr>
                <w:rFonts w:ascii="Times New Roman" w:hAnsi="Times New Roman" w:cs="Times New Roman"/>
                <w:sz w:val="16"/>
                <w:szCs w:val="20"/>
              </w:rPr>
            </w:pPr>
            <w:r w:rsidRPr="009A5CAB">
              <w:rPr>
                <w:rFonts w:ascii="Times New Roman" w:hAnsi="Times New Roman" w:cs="Times New Roman"/>
                <w:sz w:val="16"/>
                <w:szCs w:val="20"/>
              </w:rPr>
              <w:t>-0.003</w:t>
            </w:r>
          </w:p>
          <w:p w14:paraId="7BC32A79" w14:textId="77777777" w:rsidR="00E40A40" w:rsidRPr="009A5CAB" w:rsidRDefault="00E40A40" w:rsidP="00E40A40">
            <w:pPr>
              <w:autoSpaceDE w:val="0"/>
              <w:autoSpaceDN w:val="0"/>
              <w:adjustRightInd w:val="0"/>
              <w:jc w:val="center"/>
              <w:rPr>
                <w:rFonts w:ascii="Times New Roman" w:hAnsi="Times New Roman" w:cs="Times New Roman"/>
                <w:sz w:val="16"/>
                <w:szCs w:val="20"/>
              </w:rPr>
            </w:pPr>
            <w:r w:rsidRPr="009A5CAB">
              <w:rPr>
                <w:rFonts w:ascii="Times New Roman" w:hAnsi="Times New Roman" w:cs="Times New Roman"/>
                <w:sz w:val="16"/>
                <w:szCs w:val="20"/>
              </w:rPr>
              <w:t>(0.560)</w:t>
            </w:r>
          </w:p>
        </w:tc>
        <w:tc>
          <w:tcPr>
            <w:tcW w:w="336" w:type="pct"/>
            <w:tcBorders>
              <w:top w:val="single" w:sz="4" w:space="0" w:color="auto"/>
              <w:bottom w:val="single" w:sz="4" w:space="0" w:color="auto"/>
            </w:tcBorders>
          </w:tcPr>
          <w:p w14:paraId="094160DE" w14:textId="77777777" w:rsidR="00E40A40" w:rsidRPr="009A5CAB" w:rsidRDefault="00E40A40" w:rsidP="00E40A40">
            <w:pPr>
              <w:jc w:val="center"/>
              <w:rPr>
                <w:rFonts w:ascii="Times New Roman" w:hAnsi="Times New Roman" w:cs="Times New Roman"/>
                <w:sz w:val="16"/>
                <w:szCs w:val="20"/>
              </w:rPr>
            </w:pPr>
            <w:r w:rsidRPr="009A5CAB">
              <w:rPr>
                <w:rFonts w:ascii="Times New Roman" w:hAnsi="Times New Roman" w:cs="Times New Roman"/>
                <w:sz w:val="16"/>
                <w:szCs w:val="20"/>
              </w:rPr>
              <w:t>-0.585</w:t>
            </w:r>
          </w:p>
        </w:tc>
      </w:tr>
      <w:tr w:rsidR="007F15D8" w:rsidRPr="00B725B6" w14:paraId="08DF15B3" w14:textId="77777777" w:rsidTr="009E5933">
        <w:trPr>
          <w:jc w:val="center"/>
        </w:trPr>
        <w:tc>
          <w:tcPr>
            <w:tcW w:w="502" w:type="pct"/>
            <w:tcBorders>
              <w:top w:val="single" w:sz="4" w:space="0" w:color="auto"/>
              <w:bottom w:val="single" w:sz="4" w:space="0" w:color="auto"/>
              <w:right w:val="single" w:sz="4" w:space="0" w:color="auto"/>
            </w:tcBorders>
            <w:vAlign w:val="center"/>
          </w:tcPr>
          <w:p w14:paraId="749E22BE" w14:textId="77777777" w:rsidR="00E40A40" w:rsidRPr="00B725B6" w:rsidRDefault="00E40A40" w:rsidP="00A152B0">
            <w:pPr>
              <w:tabs>
                <w:tab w:val="left" w:pos="4536"/>
              </w:tabs>
              <w:autoSpaceDE w:val="0"/>
              <w:autoSpaceDN w:val="0"/>
              <w:adjustRightInd w:val="0"/>
              <w:jc w:val="center"/>
              <w:rPr>
                <w:rFonts w:ascii="Times New Roman" w:hAnsi="Times New Roman" w:cs="Times New Roman"/>
                <w:sz w:val="18"/>
                <w:szCs w:val="20"/>
              </w:rPr>
            </w:pPr>
            <w:r w:rsidRPr="00B725B6">
              <w:rPr>
                <w:rFonts w:ascii="Times New Roman" w:hAnsi="Times New Roman" w:cs="Times New Roman"/>
                <w:sz w:val="18"/>
                <w:szCs w:val="20"/>
              </w:rPr>
              <w:t>Size</w:t>
            </w:r>
          </w:p>
        </w:tc>
        <w:tc>
          <w:tcPr>
            <w:tcW w:w="386" w:type="pct"/>
            <w:tcBorders>
              <w:top w:val="single" w:sz="4" w:space="0" w:color="auto"/>
              <w:left w:val="single" w:sz="4" w:space="0" w:color="auto"/>
              <w:bottom w:val="single" w:sz="4" w:space="0" w:color="auto"/>
            </w:tcBorders>
          </w:tcPr>
          <w:p w14:paraId="71A7D95E" w14:textId="77777777" w:rsidR="00E40A40" w:rsidRPr="009A5CAB" w:rsidRDefault="00E40A40" w:rsidP="00E40A40">
            <w:pPr>
              <w:autoSpaceDE w:val="0"/>
              <w:autoSpaceDN w:val="0"/>
              <w:adjustRightInd w:val="0"/>
              <w:jc w:val="center"/>
              <w:rPr>
                <w:rFonts w:ascii="Times New Roman" w:hAnsi="Times New Roman" w:cs="Times New Roman"/>
                <w:sz w:val="16"/>
                <w:szCs w:val="20"/>
              </w:rPr>
            </w:pPr>
            <w:r w:rsidRPr="009A5CAB">
              <w:rPr>
                <w:rFonts w:ascii="Times New Roman" w:hAnsi="Times New Roman" w:cs="Times New Roman"/>
                <w:sz w:val="16"/>
                <w:szCs w:val="20"/>
              </w:rPr>
              <w:t>0.006</w:t>
            </w:r>
          </w:p>
          <w:p w14:paraId="4F4ADF36" w14:textId="77777777" w:rsidR="00E40A40" w:rsidRPr="009A5CAB" w:rsidRDefault="00E40A40" w:rsidP="00E40A40">
            <w:pPr>
              <w:autoSpaceDE w:val="0"/>
              <w:autoSpaceDN w:val="0"/>
              <w:adjustRightInd w:val="0"/>
              <w:jc w:val="center"/>
              <w:rPr>
                <w:rFonts w:ascii="Times New Roman" w:hAnsi="Times New Roman" w:cs="Times New Roman"/>
                <w:sz w:val="16"/>
                <w:szCs w:val="20"/>
              </w:rPr>
            </w:pPr>
            <w:r w:rsidRPr="009A5CAB">
              <w:rPr>
                <w:rFonts w:ascii="Times New Roman" w:hAnsi="Times New Roman" w:cs="Times New Roman"/>
                <w:sz w:val="16"/>
                <w:szCs w:val="20"/>
              </w:rPr>
              <w:t>(0.148)</w:t>
            </w:r>
          </w:p>
        </w:tc>
        <w:tc>
          <w:tcPr>
            <w:tcW w:w="374" w:type="pct"/>
            <w:tcBorders>
              <w:top w:val="single" w:sz="4" w:space="0" w:color="auto"/>
              <w:bottom w:val="single" w:sz="4" w:space="0" w:color="auto"/>
            </w:tcBorders>
          </w:tcPr>
          <w:p w14:paraId="06620266" w14:textId="77777777" w:rsidR="00E40A40" w:rsidRPr="009A5CAB" w:rsidRDefault="00E40A40" w:rsidP="00E40A40">
            <w:pPr>
              <w:jc w:val="center"/>
              <w:rPr>
                <w:rFonts w:ascii="Times New Roman" w:hAnsi="Times New Roman" w:cs="Times New Roman"/>
                <w:sz w:val="16"/>
                <w:szCs w:val="20"/>
              </w:rPr>
            </w:pPr>
            <w:r w:rsidRPr="009A5CAB">
              <w:rPr>
                <w:rFonts w:ascii="Times New Roman" w:hAnsi="Times New Roman" w:cs="Times New Roman"/>
                <w:sz w:val="16"/>
                <w:szCs w:val="20"/>
              </w:rPr>
              <w:t>1.448</w:t>
            </w:r>
          </w:p>
        </w:tc>
        <w:tc>
          <w:tcPr>
            <w:tcW w:w="386" w:type="pct"/>
            <w:tcBorders>
              <w:top w:val="single" w:sz="4" w:space="0" w:color="auto"/>
              <w:bottom w:val="single" w:sz="4" w:space="0" w:color="auto"/>
            </w:tcBorders>
          </w:tcPr>
          <w:p w14:paraId="7902A61E" w14:textId="77777777" w:rsidR="00E40A40" w:rsidRPr="009A5CAB" w:rsidRDefault="00E40A40" w:rsidP="00E40A40">
            <w:pPr>
              <w:tabs>
                <w:tab w:val="left" w:pos="4536"/>
              </w:tabs>
              <w:autoSpaceDE w:val="0"/>
              <w:autoSpaceDN w:val="0"/>
              <w:adjustRightInd w:val="0"/>
              <w:jc w:val="center"/>
              <w:rPr>
                <w:rFonts w:ascii="Times New Roman" w:hAnsi="Times New Roman" w:cs="Times New Roman"/>
                <w:sz w:val="16"/>
                <w:szCs w:val="20"/>
              </w:rPr>
            </w:pPr>
            <w:r w:rsidRPr="009A5CAB">
              <w:rPr>
                <w:rFonts w:ascii="Times New Roman" w:hAnsi="Times New Roman" w:cs="Times New Roman"/>
                <w:sz w:val="16"/>
                <w:szCs w:val="20"/>
              </w:rPr>
              <w:t>-0.031</w:t>
            </w:r>
          </w:p>
          <w:p w14:paraId="75ABCD66" w14:textId="77777777" w:rsidR="00E40A40" w:rsidRPr="009A5CAB" w:rsidRDefault="00E40A40" w:rsidP="00E40A40">
            <w:pPr>
              <w:tabs>
                <w:tab w:val="left" w:pos="4536"/>
              </w:tabs>
              <w:autoSpaceDE w:val="0"/>
              <w:autoSpaceDN w:val="0"/>
              <w:adjustRightInd w:val="0"/>
              <w:jc w:val="center"/>
              <w:rPr>
                <w:rFonts w:ascii="Times New Roman" w:hAnsi="Times New Roman" w:cs="Times New Roman"/>
                <w:sz w:val="16"/>
                <w:szCs w:val="20"/>
              </w:rPr>
            </w:pPr>
            <w:r w:rsidRPr="009A5CAB">
              <w:rPr>
                <w:rFonts w:ascii="Times New Roman" w:hAnsi="Times New Roman" w:cs="Times New Roman"/>
                <w:sz w:val="16"/>
                <w:szCs w:val="20"/>
              </w:rPr>
              <w:t>(0.000)</w:t>
            </w:r>
          </w:p>
        </w:tc>
        <w:tc>
          <w:tcPr>
            <w:tcW w:w="374" w:type="pct"/>
            <w:tcBorders>
              <w:top w:val="single" w:sz="4" w:space="0" w:color="auto"/>
              <w:bottom w:val="single" w:sz="4" w:space="0" w:color="auto"/>
            </w:tcBorders>
          </w:tcPr>
          <w:p w14:paraId="5AF3AFAC" w14:textId="77777777" w:rsidR="00E40A40" w:rsidRPr="009A5CAB" w:rsidRDefault="00E40A40" w:rsidP="00E40A40">
            <w:pPr>
              <w:jc w:val="center"/>
              <w:rPr>
                <w:rFonts w:ascii="Times New Roman" w:hAnsi="Times New Roman" w:cs="Times New Roman"/>
                <w:sz w:val="16"/>
                <w:szCs w:val="20"/>
              </w:rPr>
            </w:pPr>
            <w:r w:rsidRPr="009A5CAB">
              <w:rPr>
                <w:rFonts w:ascii="Times New Roman" w:hAnsi="Times New Roman" w:cs="Times New Roman"/>
                <w:sz w:val="16"/>
                <w:szCs w:val="20"/>
              </w:rPr>
              <w:t>-3.836</w:t>
            </w:r>
          </w:p>
        </w:tc>
        <w:tc>
          <w:tcPr>
            <w:tcW w:w="386" w:type="pct"/>
            <w:tcBorders>
              <w:top w:val="single" w:sz="4" w:space="0" w:color="auto"/>
              <w:bottom w:val="single" w:sz="4" w:space="0" w:color="auto"/>
            </w:tcBorders>
          </w:tcPr>
          <w:p w14:paraId="51A74FCC" w14:textId="77777777" w:rsidR="00E40A40" w:rsidRPr="009A5CAB" w:rsidRDefault="00E40A40" w:rsidP="00E40A40">
            <w:pPr>
              <w:tabs>
                <w:tab w:val="left" w:pos="4536"/>
              </w:tabs>
              <w:autoSpaceDE w:val="0"/>
              <w:autoSpaceDN w:val="0"/>
              <w:adjustRightInd w:val="0"/>
              <w:jc w:val="center"/>
              <w:rPr>
                <w:rFonts w:ascii="Times New Roman" w:hAnsi="Times New Roman" w:cs="Times New Roman"/>
                <w:sz w:val="16"/>
                <w:szCs w:val="20"/>
              </w:rPr>
            </w:pPr>
            <w:r w:rsidRPr="009A5CAB">
              <w:rPr>
                <w:rFonts w:ascii="Times New Roman" w:hAnsi="Times New Roman" w:cs="Times New Roman"/>
                <w:sz w:val="16"/>
                <w:szCs w:val="20"/>
              </w:rPr>
              <w:t>-0.004</w:t>
            </w:r>
          </w:p>
          <w:p w14:paraId="1AAD17AF" w14:textId="77777777" w:rsidR="00E40A40" w:rsidRPr="009A5CAB" w:rsidRDefault="00E40A40" w:rsidP="00E40A40">
            <w:pPr>
              <w:tabs>
                <w:tab w:val="left" w:pos="4536"/>
              </w:tabs>
              <w:autoSpaceDE w:val="0"/>
              <w:autoSpaceDN w:val="0"/>
              <w:adjustRightInd w:val="0"/>
              <w:jc w:val="center"/>
              <w:rPr>
                <w:rFonts w:ascii="Times New Roman" w:hAnsi="Times New Roman" w:cs="Times New Roman"/>
                <w:sz w:val="16"/>
                <w:szCs w:val="20"/>
              </w:rPr>
            </w:pPr>
            <w:r w:rsidRPr="009A5CAB">
              <w:rPr>
                <w:rFonts w:ascii="Times New Roman" w:hAnsi="Times New Roman" w:cs="Times New Roman"/>
                <w:sz w:val="16"/>
                <w:szCs w:val="20"/>
              </w:rPr>
              <w:t>(0.098)</w:t>
            </w:r>
          </w:p>
        </w:tc>
        <w:tc>
          <w:tcPr>
            <w:tcW w:w="374" w:type="pct"/>
            <w:tcBorders>
              <w:top w:val="single" w:sz="4" w:space="0" w:color="auto"/>
              <w:bottom w:val="single" w:sz="4" w:space="0" w:color="auto"/>
            </w:tcBorders>
          </w:tcPr>
          <w:p w14:paraId="7D724E7E" w14:textId="77777777" w:rsidR="00E40A40" w:rsidRPr="009A5CAB" w:rsidRDefault="00E40A40" w:rsidP="00E40A40">
            <w:pPr>
              <w:autoSpaceDE w:val="0"/>
              <w:autoSpaceDN w:val="0"/>
              <w:adjustRightInd w:val="0"/>
              <w:jc w:val="center"/>
              <w:rPr>
                <w:rFonts w:ascii="Times New Roman" w:hAnsi="Times New Roman" w:cs="Times New Roman"/>
                <w:sz w:val="16"/>
                <w:szCs w:val="20"/>
              </w:rPr>
            </w:pPr>
            <w:r w:rsidRPr="009A5CAB">
              <w:rPr>
                <w:rFonts w:ascii="Times New Roman" w:hAnsi="Times New Roman" w:cs="Times New Roman"/>
                <w:sz w:val="16"/>
                <w:szCs w:val="20"/>
              </w:rPr>
              <w:t>-1.68</w:t>
            </w:r>
          </w:p>
        </w:tc>
        <w:tc>
          <w:tcPr>
            <w:tcW w:w="386" w:type="pct"/>
            <w:tcBorders>
              <w:top w:val="single" w:sz="4" w:space="0" w:color="auto"/>
              <w:bottom w:val="single" w:sz="4" w:space="0" w:color="auto"/>
            </w:tcBorders>
          </w:tcPr>
          <w:p w14:paraId="253A2146" w14:textId="77777777" w:rsidR="00E40A40" w:rsidRPr="009A5CAB" w:rsidRDefault="00E40A40" w:rsidP="00E40A40">
            <w:pPr>
              <w:tabs>
                <w:tab w:val="left" w:pos="4536"/>
              </w:tabs>
              <w:autoSpaceDE w:val="0"/>
              <w:autoSpaceDN w:val="0"/>
              <w:adjustRightInd w:val="0"/>
              <w:jc w:val="center"/>
              <w:rPr>
                <w:rFonts w:ascii="Times New Roman" w:hAnsi="Times New Roman" w:cs="Times New Roman"/>
                <w:sz w:val="16"/>
                <w:szCs w:val="20"/>
              </w:rPr>
            </w:pPr>
            <w:r w:rsidRPr="009A5CAB">
              <w:rPr>
                <w:rFonts w:ascii="Times New Roman" w:hAnsi="Times New Roman" w:cs="Times New Roman"/>
                <w:sz w:val="16"/>
                <w:szCs w:val="20"/>
              </w:rPr>
              <w:t>-0.018</w:t>
            </w:r>
          </w:p>
          <w:p w14:paraId="421B4AAE" w14:textId="77777777" w:rsidR="00E40A40" w:rsidRPr="009A5CAB" w:rsidRDefault="00E40A40" w:rsidP="00E40A40">
            <w:pPr>
              <w:tabs>
                <w:tab w:val="left" w:pos="4536"/>
              </w:tabs>
              <w:autoSpaceDE w:val="0"/>
              <w:autoSpaceDN w:val="0"/>
              <w:adjustRightInd w:val="0"/>
              <w:jc w:val="center"/>
              <w:rPr>
                <w:rFonts w:ascii="Times New Roman" w:hAnsi="Times New Roman" w:cs="Times New Roman"/>
                <w:sz w:val="16"/>
                <w:szCs w:val="20"/>
              </w:rPr>
            </w:pPr>
            <w:r w:rsidRPr="009A5CAB">
              <w:rPr>
                <w:rFonts w:ascii="Times New Roman" w:hAnsi="Times New Roman" w:cs="Times New Roman"/>
                <w:sz w:val="16"/>
                <w:szCs w:val="20"/>
              </w:rPr>
              <w:t>(0.019)</w:t>
            </w:r>
          </w:p>
        </w:tc>
        <w:tc>
          <w:tcPr>
            <w:tcW w:w="374" w:type="pct"/>
            <w:tcBorders>
              <w:top w:val="single" w:sz="4" w:space="0" w:color="auto"/>
              <w:bottom w:val="single" w:sz="4" w:space="0" w:color="auto"/>
            </w:tcBorders>
          </w:tcPr>
          <w:p w14:paraId="2C0CBD4B" w14:textId="77777777" w:rsidR="00E40A40" w:rsidRPr="009A5CAB" w:rsidRDefault="00E40A40" w:rsidP="00E40A40">
            <w:pPr>
              <w:autoSpaceDE w:val="0"/>
              <w:autoSpaceDN w:val="0"/>
              <w:adjustRightInd w:val="0"/>
              <w:jc w:val="center"/>
              <w:rPr>
                <w:rFonts w:ascii="Times New Roman" w:hAnsi="Times New Roman" w:cs="Times New Roman"/>
                <w:sz w:val="16"/>
                <w:szCs w:val="20"/>
              </w:rPr>
            </w:pPr>
            <w:r w:rsidRPr="009A5CAB">
              <w:rPr>
                <w:rFonts w:ascii="Times New Roman" w:hAnsi="Times New Roman" w:cs="Times New Roman"/>
                <w:sz w:val="16"/>
                <w:szCs w:val="20"/>
              </w:rPr>
              <w:t>-2.34</w:t>
            </w:r>
          </w:p>
        </w:tc>
        <w:tc>
          <w:tcPr>
            <w:tcW w:w="395" w:type="pct"/>
            <w:tcBorders>
              <w:top w:val="single" w:sz="4" w:space="0" w:color="auto"/>
              <w:bottom w:val="single" w:sz="4" w:space="0" w:color="auto"/>
            </w:tcBorders>
          </w:tcPr>
          <w:p w14:paraId="7FC6B60B" w14:textId="77777777" w:rsidR="00E40A40" w:rsidRPr="009A5CAB" w:rsidRDefault="00E40A40" w:rsidP="00E40A40">
            <w:pPr>
              <w:tabs>
                <w:tab w:val="left" w:pos="4536"/>
              </w:tabs>
              <w:autoSpaceDE w:val="0"/>
              <w:autoSpaceDN w:val="0"/>
              <w:adjustRightInd w:val="0"/>
              <w:jc w:val="center"/>
              <w:rPr>
                <w:rFonts w:ascii="Times New Roman" w:hAnsi="Times New Roman" w:cs="Times New Roman"/>
                <w:sz w:val="16"/>
                <w:szCs w:val="20"/>
              </w:rPr>
            </w:pPr>
            <w:r w:rsidRPr="009A5CAB">
              <w:rPr>
                <w:rFonts w:ascii="Times New Roman" w:hAnsi="Times New Roman" w:cs="Times New Roman"/>
                <w:sz w:val="16"/>
                <w:szCs w:val="20"/>
              </w:rPr>
              <w:t>0.076</w:t>
            </w:r>
          </w:p>
          <w:p w14:paraId="0542AEFF" w14:textId="77777777" w:rsidR="00E40A40" w:rsidRPr="009A5CAB" w:rsidRDefault="00E40A40" w:rsidP="00E40A40">
            <w:pPr>
              <w:tabs>
                <w:tab w:val="left" w:pos="4536"/>
              </w:tabs>
              <w:autoSpaceDE w:val="0"/>
              <w:autoSpaceDN w:val="0"/>
              <w:adjustRightInd w:val="0"/>
              <w:jc w:val="center"/>
              <w:rPr>
                <w:rFonts w:ascii="Times New Roman" w:hAnsi="Times New Roman" w:cs="Times New Roman"/>
                <w:sz w:val="16"/>
                <w:szCs w:val="20"/>
              </w:rPr>
            </w:pPr>
            <w:r w:rsidRPr="009A5CAB">
              <w:rPr>
                <w:rFonts w:ascii="Times New Roman" w:hAnsi="Times New Roman" w:cs="Times New Roman"/>
                <w:sz w:val="16"/>
                <w:szCs w:val="20"/>
              </w:rPr>
              <w:t>(0.001)</w:t>
            </w:r>
          </w:p>
        </w:tc>
        <w:tc>
          <w:tcPr>
            <w:tcW w:w="336" w:type="pct"/>
            <w:tcBorders>
              <w:top w:val="single" w:sz="4" w:space="0" w:color="auto"/>
              <w:bottom w:val="single" w:sz="4" w:space="0" w:color="auto"/>
            </w:tcBorders>
          </w:tcPr>
          <w:p w14:paraId="6A402ECC" w14:textId="77777777" w:rsidR="00E40A40" w:rsidRPr="009A5CAB" w:rsidRDefault="00E40A40" w:rsidP="00E40A40">
            <w:pPr>
              <w:jc w:val="center"/>
              <w:rPr>
                <w:rFonts w:ascii="Times New Roman" w:hAnsi="Times New Roman" w:cs="Times New Roman"/>
                <w:sz w:val="16"/>
                <w:szCs w:val="20"/>
              </w:rPr>
            </w:pPr>
            <w:r w:rsidRPr="009A5CAB">
              <w:rPr>
                <w:rFonts w:ascii="Times New Roman" w:hAnsi="Times New Roman" w:cs="Times New Roman"/>
                <w:sz w:val="16"/>
                <w:szCs w:val="20"/>
              </w:rPr>
              <w:t>3.637</w:t>
            </w:r>
          </w:p>
        </w:tc>
        <w:tc>
          <w:tcPr>
            <w:tcW w:w="387" w:type="pct"/>
            <w:tcBorders>
              <w:top w:val="single" w:sz="4" w:space="0" w:color="auto"/>
              <w:bottom w:val="single" w:sz="4" w:space="0" w:color="auto"/>
            </w:tcBorders>
          </w:tcPr>
          <w:p w14:paraId="3B5030DC" w14:textId="77777777" w:rsidR="00E40A40" w:rsidRPr="009A5CAB" w:rsidRDefault="00E40A40" w:rsidP="00E40A40">
            <w:pPr>
              <w:autoSpaceDE w:val="0"/>
              <w:autoSpaceDN w:val="0"/>
              <w:adjustRightInd w:val="0"/>
              <w:jc w:val="center"/>
              <w:rPr>
                <w:rFonts w:ascii="Times New Roman" w:hAnsi="Times New Roman" w:cs="Times New Roman"/>
                <w:sz w:val="16"/>
                <w:szCs w:val="20"/>
              </w:rPr>
            </w:pPr>
            <w:r w:rsidRPr="009A5CAB">
              <w:rPr>
                <w:rFonts w:ascii="Times New Roman" w:hAnsi="Times New Roman" w:cs="Times New Roman"/>
                <w:sz w:val="16"/>
                <w:szCs w:val="20"/>
              </w:rPr>
              <w:t>0.004</w:t>
            </w:r>
          </w:p>
          <w:p w14:paraId="0E6F3F37" w14:textId="77777777" w:rsidR="00E40A40" w:rsidRPr="009A5CAB" w:rsidRDefault="00E40A40" w:rsidP="00E40A40">
            <w:pPr>
              <w:autoSpaceDE w:val="0"/>
              <w:autoSpaceDN w:val="0"/>
              <w:adjustRightInd w:val="0"/>
              <w:jc w:val="center"/>
              <w:rPr>
                <w:rFonts w:ascii="Times New Roman" w:hAnsi="Times New Roman" w:cs="Times New Roman"/>
                <w:sz w:val="16"/>
                <w:szCs w:val="20"/>
              </w:rPr>
            </w:pPr>
            <w:r w:rsidRPr="009A5CAB">
              <w:rPr>
                <w:rFonts w:ascii="Times New Roman" w:hAnsi="Times New Roman" w:cs="Times New Roman"/>
                <w:sz w:val="16"/>
                <w:szCs w:val="20"/>
              </w:rPr>
              <w:t>(0.662)</w:t>
            </w:r>
          </w:p>
        </w:tc>
        <w:tc>
          <w:tcPr>
            <w:tcW w:w="336" w:type="pct"/>
            <w:tcBorders>
              <w:top w:val="single" w:sz="4" w:space="0" w:color="auto"/>
              <w:bottom w:val="single" w:sz="4" w:space="0" w:color="auto"/>
            </w:tcBorders>
          </w:tcPr>
          <w:p w14:paraId="5CD8EBE8" w14:textId="77777777" w:rsidR="00E40A40" w:rsidRPr="009A5CAB" w:rsidRDefault="00E40A40" w:rsidP="00E40A40">
            <w:pPr>
              <w:jc w:val="center"/>
              <w:rPr>
                <w:rFonts w:ascii="Times New Roman" w:hAnsi="Times New Roman" w:cs="Times New Roman"/>
                <w:sz w:val="16"/>
                <w:szCs w:val="20"/>
              </w:rPr>
            </w:pPr>
            <w:r w:rsidRPr="009A5CAB">
              <w:rPr>
                <w:rFonts w:ascii="Times New Roman" w:hAnsi="Times New Roman" w:cs="Times New Roman"/>
                <w:sz w:val="16"/>
                <w:szCs w:val="20"/>
              </w:rPr>
              <w:t>0.438</w:t>
            </w:r>
          </w:p>
        </w:tc>
      </w:tr>
      <w:tr w:rsidR="007F15D8" w:rsidRPr="00B725B6" w14:paraId="68138D41" w14:textId="77777777" w:rsidTr="009E5933">
        <w:trPr>
          <w:jc w:val="center"/>
        </w:trPr>
        <w:tc>
          <w:tcPr>
            <w:tcW w:w="502" w:type="pct"/>
            <w:tcBorders>
              <w:top w:val="single" w:sz="4" w:space="0" w:color="auto"/>
              <w:bottom w:val="single" w:sz="4" w:space="0" w:color="auto"/>
              <w:right w:val="single" w:sz="4" w:space="0" w:color="auto"/>
            </w:tcBorders>
            <w:vAlign w:val="center"/>
          </w:tcPr>
          <w:p w14:paraId="71503583" w14:textId="77777777" w:rsidR="00E40A40" w:rsidRPr="00B725B6" w:rsidRDefault="00E40A40" w:rsidP="00A152B0">
            <w:pPr>
              <w:tabs>
                <w:tab w:val="left" w:pos="4536"/>
              </w:tabs>
              <w:autoSpaceDE w:val="0"/>
              <w:autoSpaceDN w:val="0"/>
              <w:adjustRightInd w:val="0"/>
              <w:jc w:val="center"/>
              <w:rPr>
                <w:rFonts w:ascii="Times New Roman" w:hAnsi="Times New Roman" w:cs="Times New Roman"/>
                <w:sz w:val="18"/>
                <w:szCs w:val="20"/>
              </w:rPr>
            </w:pPr>
            <w:r w:rsidRPr="00B725B6">
              <w:rPr>
                <w:rFonts w:ascii="Times New Roman" w:hAnsi="Times New Roman" w:cs="Times New Roman"/>
                <w:sz w:val="18"/>
                <w:szCs w:val="20"/>
              </w:rPr>
              <w:t>R (Model)</w:t>
            </w:r>
          </w:p>
        </w:tc>
        <w:tc>
          <w:tcPr>
            <w:tcW w:w="761" w:type="pct"/>
            <w:gridSpan w:val="2"/>
            <w:tcBorders>
              <w:top w:val="single" w:sz="4" w:space="0" w:color="auto"/>
              <w:left w:val="single" w:sz="4" w:space="0" w:color="auto"/>
              <w:bottom w:val="single" w:sz="4" w:space="0" w:color="auto"/>
            </w:tcBorders>
            <w:vAlign w:val="center"/>
          </w:tcPr>
          <w:p w14:paraId="2D21D95A" w14:textId="77777777" w:rsidR="00E40A40" w:rsidRPr="00B725B6" w:rsidRDefault="00E40A40" w:rsidP="00B725B6">
            <w:pPr>
              <w:autoSpaceDE w:val="0"/>
              <w:autoSpaceDN w:val="0"/>
              <w:adjustRightInd w:val="0"/>
              <w:jc w:val="center"/>
              <w:rPr>
                <w:rFonts w:ascii="Times New Roman" w:hAnsi="Times New Roman" w:cs="Times New Roman"/>
                <w:sz w:val="18"/>
                <w:szCs w:val="20"/>
              </w:rPr>
            </w:pPr>
            <w:r w:rsidRPr="00B725B6">
              <w:rPr>
                <w:rFonts w:ascii="Times New Roman" w:hAnsi="Times New Roman" w:cs="Times New Roman"/>
                <w:sz w:val="18"/>
                <w:szCs w:val="20"/>
              </w:rPr>
              <w:t>0.168**</w:t>
            </w:r>
          </w:p>
        </w:tc>
        <w:tc>
          <w:tcPr>
            <w:tcW w:w="761" w:type="pct"/>
            <w:gridSpan w:val="2"/>
            <w:tcBorders>
              <w:top w:val="single" w:sz="4" w:space="0" w:color="auto"/>
              <w:bottom w:val="single" w:sz="4" w:space="0" w:color="auto"/>
            </w:tcBorders>
            <w:vAlign w:val="center"/>
          </w:tcPr>
          <w:p w14:paraId="069C27CB" w14:textId="77777777" w:rsidR="00E40A40" w:rsidRPr="00B725B6" w:rsidRDefault="00E40A40" w:rsidP="00B725B6">
            <w:pPr>
              <w:autoSpaceDE w:val="0"/>
              <w:autoSpaceDN w:val="0"/>
              <w:adjustRightInd w:val="0"/>
              <w:jc w:val="center"/>
              <w:rPr>
                <w:rFonts w:ascii="Times New Roman" w:hAnsi="Times New Roman" w:cs="Times New Roman"/>
                <w:sz w:val="18"/>
                <w:szCs w:val="20"/>
              </w:rPr>
            </w:pPr>
            <w:r w:rsidRPr="00B725B6">
              <w:rPr>
                <w:rFonts w:ascii="Times New Roman" w:hAnsi="Times New Roman" w:cs="Times New Roman"/>
                <w:sz w:val="18"/>
                <w:szCs w:val="20"/>
              </w:rPr>
              <w:t>0.222**</w:t>
            </w:r>
          </w:p>
        </w:tc>
        <w:tc>
          <w:tcPr>
            <w:tcW w:w="761" w:type="pct"/>
            <w:gridSpan w:val="2"/>
            <w:tcBorders>
              <w:top w:val="single" w:sz="4" w:space="0" w:color="auto"/>
              <w:bottom w:val="single" w:sz="4" w:space="0" w:color="auto"/>
            </w:tcBorders>
            <w:vAlign w:val="center"/>
          </w:tcPr>
          <w:p w14:paraId="2FAF3EE9" w14:textId="77777777" w:rsidR="00E40A40" w:rsidRPr="00B725B6" w:rsidRDefault="00E40A40" w:rsidP="00B725B6">
            <w:pPr>
              <w:autoSpaceDE w:val="0"/>
              <w:autoSpaceDN w:val="0"/>
              <w:adjustRightInd w:val="0"/>
              <w:jc w:val="center"/>
              <w:rPr>
                <w:rFonts w:ascii="Times New Roman" w:hAnsi="Times New Roman" w:cs="Times New Roman"/>
                <w:sz w:val="18"/>
                <w:szCs w:val="20"/>
              </w:rPr>
            </w:pPr>
            <w:r w:rsidRPr="00B725B6">
              <w:rPr>
                <w:rFonts w:ascii="Times New Roman" w:hAnsi="Times New Roman" w:cs="Times New Roman"/>
                <w:sz w:val="18"/>
                <w:szCs w:val="20"/>
              </w:rPr>
              <w:t>0.199</w:t>
            </w:r>
          </w:p>
        </w:tc>
        <w:tc>
          <w:tcPr>
            <w:tcW w:w="761" w:type="pct"/>
            <w:gridSpan w:val="2"/>
            <w:tcBorders>
              <w:top w:val="single" w:sz="4" w:space="0" w:color="auto"/>
              <w:bottom w:val="single" w:sz="4" w:space="0" w:color="auto"/>
            </w:tcBorders>
            <w:vAlign w:val="center"/>
          </w:tcPr>
          <w:p w14:paraId="710D31E8" w14:textId="77777777" w:rsidR="00E40A40" w:rsidRPr="00B725B6" w:rsidRDefault="00E40A40" w:rsidP="00B725B6">
            <w:pPr>
              <w:autoSpaceDE w:val="0"/>
              <w:autoSpaceDN w:val="0"/>
              <w:adjustRightInd w:val="0"/>
              <w:jc w:val="center"/>
              <w:rPr>
                <w:rFonts w:ascii="Times New Roman" w:hAnsi="Times New Roman" w:cs="Times New Roman"/>
                <w:sz w:val="18"/>
                <w:szCs w:val="20"/>
              </w:rPr>
            </w:pPr>
            <w:r w:rsidRPr="00B725B6">
              <w:rPr>
                <w:rFonts w:ascii="Times New Roman" w:hAnsi="Times New Roman" w:cs="Times New Roman"/>
                <w:sz w:val="18"/>
                <w:szCs w:val="20"/>
              </w:rPr>
              <w:t>0.459**</w:t>
            </w:r>
          </w:p>
        </w:tc>
        <w:tc>
          <w:tcPr>
            <w:tcW w:w="731" w:type="pct"/>
            <w:gridSpan w:val="2"/>
            <w:tcBorders>
              <w:top w:val="single" w:sz="4" w:space="0" w:color="auto"/>
              <w:bottom w:val="single" w:sz="4" w:space="0" w:color="auto"/>
            </w:tcBorders>
            <w:vAlign w:val="center"/>
          </w:tcPr>
          <w:p w14:paraId="22407324" w14:textId="77777777" w:rsidR="00E40A40" w:rsidRPr="00B725B6" w:rsidRDefault="00E40A40" w:rsidP="00B725B6">
            <w:pPr>
              <w:autoSpaceDE w:val="0"/>
              <w:autoSpaceDN w:val="0"/>
              <w:adjustRightInd w:val="0"/>
              <w:jc w:val="center"/>
              <w:rPr>
                <w:rFonts w:ascii="Times New Roman" w:hAnsi="Times New Roman" w:cs="Times New Roman"/>
                <w:sz w:val="18"/>
                <w:szCs w:val="20"/>
              </w:rPr>
            </w:pPr>
            <w:r w:rsidRPr="00B725B6">
              <w:rPr>
                <w:rFonts w:ascii="Times New Roman" w:hAnsi="Times New Roman" w:cs="Times New Roman"/>
                <w:sz w:val="18"/>
                <w:szCs w:val="20"/>
              </w:rPr>
              <w:t>0.492**</w:t>
            </w:r>
          </w:p>
        </w:tc>
        <w:tc>
          <w:tcPr>
            <w:tcW w:w="723" w:type="pct"/>
            <w:gridSpan w:val="2"/>
            <w:tcBorders>
              <w:top w:val="single" w:sz="4" w:space="0" w:color="auto"/>
              <w:bottom w:val="single" w:sz="4" w:space="0" w:color="auto"/>
            </w:tcBorders>
            <w:vAlign w:val="center"/>
          </w:tcPr>
          <w:p w14:paraId="1D8DE83F" w14:textId="77777777" w:rsidR="00E40A40" w:rsidRPr="00B725B6" w:rsidRDefault="00E40A40" w:rsidP="00B725B6">
            <w:pPr>
              <w:autoSpaceDE w:val="0"/>
              <w:autoSpaceDN w:val="0"/>
              <w:adjustRightInd w:val="0"/>
              <w:jc w:val="center"/>
              <w:rPr>
                <w:rFonts w:ascii="Times New Roman" w:hAnsi="Times New Roman" w:cs="Times New Roman"/>
                <w:sz w:val="18"/>
                <w:szCs w:val="20"/>
              </w:rPr>
            </w:pPr>
            <w:r w:rsidRPr="00B725B6">
              <w:rPr>
                <w:rFonts w:ascii="Times New Roman" w:hAnsi="Times New Roman" w:cs="Times New Roman"/>
                <w:sz w:val="18"/>
                <w:szCs w:val="20"/>
              </w:rPr>
              <w:t>0.229</w:t>
            </w:r>
          </w:p>
        </w:tc>
      </w:tr>
      <w:tr w:rsidR="007F15D8" w:rsidRPr="00B725B6" w14:paraId="7C537428" w14:textId="77777777" w:rsidTr="009E5933">
        <w:trPr>
          <w:trHeight w:val="340"/>
          <w:jc w:val="center"/>
        </w:trPr>
        <w:tc>
          <w:tcPr>
            <w:tcW w:w="502" w:type="pct"/>
            <w:tcBorders>
              <w:top w:val="single" w:sz="4" w:space="0" w:color="auto"/>
              <w:bottom w:val="single" w:sz="4" w:space="0" w:color="auto"/>
              <w:right w:val="single" w:sz="4" w:space="0" w:color="auto"/>
            </w:tcBorders>
            <w:vAlign w:val="center"/>
          </w:tcPr>
          <w:p w14:paraId="511EE4AF" w14:textId="77777777" w:rsidR="00E40A40" w:rsidRPr="00B725B6" w:rsidRDefault="00E40A40" w:rsidP="00A152B0">
            <w:pPr>
              <w:tabs>
                <w:tab w:val="left" w:pos="4536"/>
              </w:tabs>
              <w:autoSpaceDE w:val="0"/>
              <w:autoSpaceDN w:val="0"/>
              <w:adjustRightInd w:val="0"/>
              <w:jc w:val="center"/>
              <w:rPr>
                <w:rFonts w:ascii="Times New Roman" w:hAnsi="Times New Roman" w:cs="Times New Roman"/>
                <w:sz w:val="18"/>
                <w:szCs w:val="20"/>
              </w:rPr>
            </w:pPr>
            <w:r w:rsidRPr="00B725B6">
              <w:rPr>
                <w:rFonts w:ascii="Times New Roman" w:hAnsi="Times New Roman" w:cs="Times New Roman"/>
                <w:sz w:val="18"/>
                <w:szCs w:val="20"/>
              </w:rPr>
              <w:t>R</w:t>
            </w:r>
            <w:r w:rsidRPr="00B725B6">
              <w:rPr>
                <w:rFonts w:ascii="Times New Roman" w:hAnsi="Times New Roman" w:cs="Times New Roman"/>
                <w:sz w:val="18"/>
                <w:szCs w:val="20"/>
                <w:vertAlign w:val="superscript"/>
              </w:rPr>
              <w:t>2</w:t>
            </w:r>
          </w:p>
        </w:tc>
        <w:tc>
          <w:tcPr>
            <w:tcW w:w="761" w:type="pct"/>
            <w:gridSpan w:val="2"/>
            <w:tcBorders>
              <w:top w:val="single" w:sz="4" w:space="0" w:color="auto"/>
              <w:left w:val="single" w:sz="4" w:space="0" w:color="auto"/>
              <w:bottom w:val="single" w:sz="4" w:space="0" w:color="auto"/>
            </w:tcBorders>
            <w:vAlign w:val="center"/>
          </w:tcPr>
          <w:p w14:paraId="2937E0E5" w14:textId="77777777" w:rsidR="00E40A40" w:rsidRPr="00B725B6" w:rsidRDefault="00E40A40" w:rsidP="00B725B6">
            <w:pPr>
              <w:autoSpaceDE w:val="0"/>
              <w:autoSpaceDN w:val="0"/>
              <w:adjustRightInd w:val="0"/>
              <w:jc w:val="center"/>
              <w:rPr>
                <w:rFonts w:ascii="Times New Roman" w:hAnsi="Times New Roman" w:cs="Times New Roman"/>
                <w:sz w:val="18"/>
                <w:szCs w:val="20"/>
              </w:rPr>
            </w:pPr>
            <w:r w:rsidRPr="00B725B6">
              <w:rPr>
                <w:rFonts w:ascii="Times New Roman" w:hAnsi="Times New Roman" w:cs="Times New Roman"/>
                <w:sz w:val="18"/>
                <w:szCs w:val="20"/>
              </w:rPr>
              <w:t>0.028</w:t>
            </w:r>
          </w:p>
        </w:tc>
        <w:tc>
          <w:tcPr>
            <w:tcW w:w="761" w:type="pct"/>
            <w:gridSpan w:val="2"/>
            <w:tcBorders>
              <w:top w:val="single" w:sz="4" w:space="0" w:color="auto"/>
              <w:bottom w:val="single" w:sz="4" w:space="0" w:color="auto"/>
            </w:tcBorders>
            <w:vAlign w:val="center"/>
          </w:tcPr>
          <w:p w14:paraId="5FBB8A6E" w14:textId="77777777" w:rsidR="00E40A40" w:rsidRPr="00B725B6" w:rsidRDefault="00E40A40" w:rsidP="00B725B6">
            <w:pPr>
              <w:autoSpaceDE w:val="0"/>
              <w:autoSpaceDN w:val="0"/>
              <w:adjustRightInd w:val="0"/>
              <w:jc w:val="center"/>
              <w:rPr>
                <w:rFonts w:ascii="Times New Roman" w:hAnsi="Times New Roman" w:cs="Times New Roman"/>
                <w:sz w:val="18"/>
                <w:szCs w:val="20"/>
              </w:rPr>
            </w:pPr>
            <w:r w:rsidRPr="00B725B6">
              <w:rPr>
                <w:rFonts w:ascii="Times New Roman" w:hAnsi="Times New Roman" w:cs="Times New Roman"/>
                <w:sz w:val="18"/>
                <w:szCs w:val="20"/>
              </w:rPr>
              <w:t>0.049</w:t>
            </w:r>
          </w:p>
        </w:tc>
        <w:tc>
          <w:tcPr>
            <w:tcW w:w="761" w:type="pct"/>
            <w:gridSpan w:val="2"/>
            <w:tcBorders>
              <w:top w:val="single" w:sz="4" w:space="0" w:color="auto"/>
              <w:bottom w:val="single" w:sz="4" w:space="0" w:color="auto"/>
            </w:tcBorders>
            <w:vAlign w:val="center"/>
          </w:tcPr>
          <w:p w14:paraId="38BA849D" w14:textId="77777777" w:rsidR="00E40A40" w:rsidRPr="00B725B6" w:rsidRDefault="00E40A40" w:rsidP="00B725B6">
            <w:pPr>
              <w:autoSpaceDE w:val="0"/>
              <w:autoSpaceDN w:val="0"/>
              <w:adjustRightInd w:val="0"/>
              <w:jc w:val="center"/>
              <w:rPr>
                <w:rFonts w:ascii="Times New Roman" w:hAnsi="Times New Roman" w:cs="Times New Roman"/>
                <w:sz w:val="18"/>
                <w:szCs w:val="20"/>
              </w:rPr>
            </w:pPr>
            <w:r w:rsidRPr="00B725B6">
              <w:rPr>
                <w:rFonts w:ascii="Times New Roman" w:hAnsi="Times New Roman" w:cs="Times New Roman"/>
                <w:sz w:val="18"/>
                <w:szCs w:val="20"/>
              </w:rPr>
              <w:t>0.040</w:t>
            </w:r>
          </w:p>
        </w:tc>
        <w:tc>
          <w:tcPr>
            <w:tcW w:w="761" w:type="pct"/>
            <w:gridSpan w:val="2"/>
            <w:tcBorders>
              <w:top w:val="single" w:sz="4" w:space="0" w:color="auto"/>
              <w:bottom w:val="single" w:sz="4" w:space="0" w:color="auto"/>
            </w:tcBorders>
            <w:vAlign w:val="center"/>
          </w:tcPr>
          <w:p w14:paraId="667E4F07" w14:textId="77777777" w:rsidR="00E40A40" w:rsidRPr="00B725B6" w:rsidRDefault="00E40A40" w:rsidP="00B725B6">
            <w:pPr>
              <w:autoSpaceDE w:val="0"/>
              <w:autoSpaceDN w:val="0"/>
              <w:adjustRightInd w:val="0"/>
              <w:jc w:val="center"/>
              <w:rPr>
                <w:rFonts w:ascii="Times New Roman" w:hAnsi="Times New Roman" w:cs="Times New Roman"/>
                <w:sz w:val="18"/>
                <w:szCs w:val="20"/>
              </w:rPr>
            </w:pPr>
            <w:r w:rsidRPr="00B725B6">
              <w:rPr>
                <w:rFonts w:ascii="Times New Roman" w:hAnsi="Times New Roman" w:cs="Times New Roman"/>
                <w:sz w:val="18"/>
                <w:szCs w:val="20"/>
              </w:rPr>
              <w:t>0.210</w:t>
            </w:r>
          </w:p>
        </w:tc>
        <w:tc>
          <w:tcPr>
            <w:tcW w:w="731" w:type="pct"/>
            <w:gridSpan w:val="2"/>
            <w:tcBorders>
              <w:top w:val="single" w:sz="4" w:space="0" w:color="auto"/>
              <w:bottom w:val="single" w:sz="4" w:space="0" w:color="auto"/>
            </w:tcBorders>
            <w:vAlign w:val="center"/>
          </w:tcPr>
          <w:p w14:paraId="16AAB123" w14:textId="77777777" w:rsidR="00E40A40" w:rsidRPr="00B725B6" w:rsidRDefault="00E40A40" w:rsidP="00B725B6">
            <w:pPr>
              <w:autoSpaceDE w:val="0"/>
              <w:autoSpaceDN w:val="0"/>
              <w:adjustRightInd w:val="0"/>
              <w:jc w:val="center"/>
              <w:rPr>
                <w:rFonts w:ascii="Times New Roman" w:hAnsi="Times New Roman" w:cs="Times New Roman"/>
                <w:sz w:val="18"/>
                <w:szCs w:val="20"/>
              </w:rPr>
            </w:pPr>
            <w:r w:rsidRPr="00B725B6">
              <w:rPr>
                <w:rFonts w:ascii="Times New Roman" w:hAnsi="Times New Roman" w:cs="Times New Roman"/>
                <w:sz w:val="18"/>
                <w:szCs w:val="20"/>
              </w:rPr>
              <w:t>0.242</w:t>
            </w:r>
          </w:p>
        </w:tc>
        <w:tc>
          <w:tcPr>
            <w:tcW w:w="723" w:type="pct"/>
            <w:gridSpan w:val="2"/>
            <w:tcBorders>
              <w:top w:val="single" w:sz="4" w:space="0" w:color="auto"/>
              <w:bottom w:val="single" w:sz="4" w:space="0" w:color="auto"/>
            </w:tcBorders>
            <w:vAlign w:val="center"/>
          </w:tcPr>
          <w:p w14:paraId="2D5A4D47" w14:textId="77777777" w:rsidR="00E40A40" w:rsidRPr="00B725B6" w:rsidRDefault="00E40A40" w:rsidP="00B725B6">
            <w:pPr>
              <w:autoSpaceDE w:val="0"/>
              <w:autoSpaceDN w:val="0"/>
              <w:adjustRightInd w:val="0"/>
              <w:jc w:val="center"/>
              <w:rPr>
                <w:rFonts w:ascii="Times New Roman" w:hAnsi="Times New Roman" w:cs="Times New Roman"/>
                <w:sz w:val="18"/>
                <w:szCs w:val="20"/>
              </w:rPr>
            </w:pPr>
            <w:r w:rsidRPr="00B725B6">
              <w:rPr>
                <w:rFonts w:ascii="Times New Roman" w:hAnsi="Times New Roman" w:cs="Times New Roman"/>
                <w:sz w:val="18"/>
                <w:szCs w:val="20"/>
              </w:rPr>
              <w:t>0.052</w:t>
            </w:r>
          </w:p>
        </w:tc>
      </w:tr>
      <w:tr w:rsidR="007F15D8" w:rsidRPr="00B725B6" w14:paraId="415A8156" w14:textId="77777777" w:rsidTr="009E5933">
        <w:trPr>
          <w:trHeight w:val="340"/>
          <w:jc w:val="center"/>
        </w:trPr>
        <w:tc>
          <w:tcPr>
            <w:tcW w:w="502" w:type="pct"/>
            <w:tcBorders>
              <w:top w:val="single" w:sz="4" w:space="0" w:color="auto"/>
              <w:bottom w:val="single" w:sz="4" w:space="0" w:color="auto"/>
              <w:right w:val="single" w:sz="4" w:space="0" w:color="auto"/>
            </w:tcBorders>
            <w:vAlign w:val="center"/>
          </w:tcPr>
          <w:p w14:paraId="289C1ACB" w14:textId="77777777" w:rsidR="00E40A40" w:rsidRPr="00B725B6" w:rsidRDefault="00E40A40" w:rsidP="00A152B0">
            <w:pPr>
              <w:tabs>
                <w:tab w:val="left" w:pos="4536"/>
              </w:tabs>
              <w:autoSpaceDE w:val="0"/>
              <w:autoSpaceDN w:val="0"/>
              <w:adjustRightInd w:val="0"/>
              <w:jc w:val="center"/>
              <w:rPr>
                <w:rFonts w:ascii="Times New Roman" w:hAnsi="Times New Roman" w:cs="Times New Roman"/>
                <w:sz w:val="18"/>
                <w:szCs w:val="20"/>
              </w:rPr>
            </w:pPr>
            <w:r w:rsidRPr="00B725B6">
              <w:rPr>
                <w:rFonts w:ascii="Times New Roman" w:hAnsi="Times New Roman" w:cs="Times New Roman"/>
                <w:sz w:val="18"/>
                <w:szCs w:val="20"/>
              </w:rPr>
              <w:t>F-value</w:t>
            </w:r>
          </w:p>
        </w:tc>
        <w:tc>
          <w:tcPr>
            <w:tcW w:w="761" w:type="pct"/>
            <w:gridSpan w:val="2"/>
            <w:tcBorders>
              <w:top w:val="single" w:sz="4" w:space="0" w:color="auto"/>
              <w:left w:val="single" w:sz="4" w:space="0" w:color="auto"/>
              <w:bottom w:val="single" w:sz="4" w:space="0" w:color="auto"/>
            </w:tcBorders>
            <w:vAlign w:val="center"/>
          </w:tcPr>
          <w:p w14:paraId="07BCA5C2" w14:textId="77777777" w:rsidR="00E40A40" w:rsidRPr="00B725B6" w:rsidRDefault="00E40A40" w:rsidP="00B725B6">
            <w:pPr>
              <w:autoSpaceDE w:val="0"/>
              <w:autoSpaceDN w:val="0"/>
              <w:adjustRightInd w:val="0"/>
              <w:jc w:val="center"/>
              <w:rPr>
                <w:rFonts w:ascii="Times New Roman" w:hAnsi="Times New Roman" w:cs="Times New Roman"/>
                <w:sz w:val="18"/>
                <w:szCs w:val="20"/>
              </w:rPr>
            </w:pPr>
            <w:r w:rsidRPr="00B725B6">
              <w:rPr>
                <w:rFonts w:ascii="Times New Roman" w:hAnsi="Times New Roman" w:cs="Times New Roman"/>
                <w:sz w:val="18"/>
                <w:szCs w:val="20"/>
              </w:rPr>
              <w:t>5.038</w:t>
            </w:r>
          </w:p>
        </w:tc>
        <w:tc>
          <w:tcPr>
            <w:tcW w:w="761" w:type="pct"/>
            <w:gridSpan w:val="2"/>
            <w:tcBorders>
              <w:top w:val="single" w:sz="4" w:space="0" w:color="auto"/>
              <w:bottom w:val="single" w:sz="4" w:space="0" w:color="auto"/>
            </w:tcBorders>
            <w:vAlign w:val="center"/>
          </w:tcPr>
          <w:p w14:paraId="6B2FA5F1" w14:textId="77777777" w:rsidR="00E40A40" w:rsidRPr="00B725B6" w:rsidRDefault="00E40A40" w:rsidP="00B725B6">
            <w:pPr>
              <w:autoSpaceDE w:val="0"/>
              <w:autoSpaceDN w:val="0"/>
              <w:adjustRightInd w:val="0"/>
              <w:jc w:val="center"/>
              <w:rPr>
                <w:rFonts w:ascii="Times New Roman" w:hAnsi="Times New Roman" w:cs="Times New Roman"/>
                <w:sz w:val="18"/>
                <w:szCs w:val="20"/>
              </w:rPr>
            </w:pPr>
            <w:r w:rsidRPr="00B725B6">
              <w:rPr>
                <w:rFonts w:ascii="Times New Roman" w:hAnsi="Times New Roman" w:cs="Times New Roman"/>
                <w:sz w:val="18"/>
                <w:szCs w:val="20"/>
              </w:rPr>
              <w:t>7.91</w:t>
            </w:r>
          </w:p>
        </w:tc>
        <w:tc>
          <w:tcPr>
            <w:tcW w:w="761" w:type="pct"/>
            <w:gridSpan w:val="2"/>
            <w:tcBorders>
              <w:top w:val="single" w:sz="4" w:space="0" w:color="auto"/>
              <w:bottom w:val="single" w:sz="4" w:space="0" w:color="auto"/>
            </w:tcBorders>
            <w:vAlign w:val="center"/>
          </w:tcPr>
          <w:p w14:paraId="1DFDFDAC" w14:textId="77777777" w:rsidR="00E40A40" w:rsidRPr="00B725B6" w:rsidRDefault="00E40A40" w:rsidP="00B725B6">
            <w:pPr>
              <w:autoSpaceDE w:val="0"/>
              <w:autoSpaceDN w:val="0"/>
              <w:adjustRightInd w:val="0"/>
              <w:jc w:val="center"/>
              <w:rPr>
                <w:rFonts w:ascii="Times New Roman" w:hAnsi="Times New Roman" w:cs="Times New Roman"/>
                <w:sz w:val="18"/>
                <w:szCs w:val="20"/>
              </w:rPr>
            </w:pPr>
            <w:r w:rsidRPr="00B725B6">
              <w:rPr>
                <w:rFonts w:ascii="Times New Roman" w:hAnsi="Times New Roman" w:cs="Times New Roman"/>
                <w:sz w:val="18"/>
                <w:szCs w:val="20"/>
              </w:rPr>
              <w:t>2.04</w:t>
            </w:r>
          </w:p>
        </w:tc>
        <w:tc>
          <w:tcPr>
            <w:tcW w:w="761" w:type="pct"/>
            <w:gridSpan w:val="2"/>
            <w:tcBorders>
              <w:top w:val="single" w:sz="4" w:space="0" w:color="auto"/>
              <w:bottom w:val="single" w:sz="4" w:space="0" w:color="auto"/>
            </w:tcBorders>
            <w:vAlign w:val="center"/>
          </w:tcPr>
          <w:p w14:paraId="33F97159" w14:textId="77777777" w:rsidR="00E40A40" w:rsidRPr="00B725B6" w:rsidRDefault="00E40A40" w:rsidP="00B725B6">
            <w:pPr>
              <w:autoSpaceDE w:val="0"/>
              <w:autoSpaceDN w:val="0"/>
              <w:adjustRightInd w:val="0"/>
              <w:jc w:val="center"/>
              <w:rPr>
                <w:rFonts w:ascii="Times New Roman" w:hAnsi="Times New Roman" w:cs="Times New Roman"/>
                <w:sz w:val="18"/>
                <w:szCs w:val="20"/>
              </w:rPr>
            </w:pPr>
            <w:r w:rsidRPr="00B725B6">
              <w:rPr>
                <w:rFonts w:ascii="Times New Roman" w:hAnsi="Times New Roman" w:cs="Times New Roman"/>
                <w:sz w:val="18"/>
                <w:szCs w:val="20"/>
              </w:rPr>
              <w:t>8.44</w:t>
            </w:r>
          </w:p>
        </w:tc>
        <w:tc>
          <w:tcPr>
            <w:tcW w:w="731" w:type="pct"/>
            <w:gridSpan w:val="2"/>
            <w:tcBorders>
              <w:top w:val="single" w:sz="4" w:space="0" w:color="auto"/>
              <w:bottom w:val="single" w:sz="4" w:space="0" w:color="auto"/>
            </w:tcBorders>
            <w:vAlign w:val="center"/>
          </w:tcPr>
          <w:p w14:paraId="037E3036" w14:textId="77777777" w:rsidR="00E40A40" w:rsidRPr="00B725B6" w:rsidRDefault="00E40A40" w:rsidP="00B725B6">
            <w:pPr>
              <w:autoSpaceDE w:val="0"/>
              <w:autoSpaceDN w:val="0"/>
              <w:adjustRightInd w:val="0"/>
              <w:jc w:val="center"/>
              <w:rPr>
                <w:rFonts w:ascii="Times New Roman" w:hAnsi="Times New Roman" w:cs="Times New Roman"/>
                <w:sz w:val="18"/>
                <w:szCs w:val="20"/>
              </w:rPr>
            </w:pPr>
            <w:r w:rsidRPr="00B725B6">
              <w:rPr>
                <w:rFonts w:ascii="Times New Roman" w:hAnsi="Times New Roman" w:cs="Times New Roman"/>
                <w:sz w:val="18"/>
                <w:szCs w:val="20"/>
              </w:rPr>
              <w:t>3.920</w:t>
            </w:r>
          </w:p>
        </w:tc>
        <w:tc>
          <w:tcPr>
            <w:tcW w:w="723" w:type="pct"/>
            <w:gridSpan w:val="2"/>
            <w:tcBorders>
              <w:top w:val="single" w:sz="4" w:space="0" w:color="auto"/>
              <w:bottom w:val="single" w:sz="4" w:space="0" w:color="auto"/>
            </w:tcBorders>
            <w:vAlign w:val="center"/>
          </w:tcPr>
          <w:p w14:paraId="1B0C4908" w14:textId="77777777" w:rsidR="00E40A40" w:rsidRPr="00B725B6" w:rsidRDefault="00E40A40" w:rsidP="00B725B6">
            <w:pPr>
              <w:autoSpaceDE w:val="0"/>
              <w:autoSpaceDN w:val="0"/>
              <w:adjustRightInd w:val="0"/>
              <w:jc w:val="center"/>
              <w:rPr>
                <w:rFonts w:ascii="Times New Roman" w:hAnsi="Times New Roman" w:cs="Times New Roman"/>
                <w:sz w:val="18"/>
                <w:szCs w:val="20"/>
              </w:rPr>
            </w:pPr>
            <w:r w:rsidRPr="00B725B6">
              <w:rPr>
                <w:rFonts w:ascii="Times New Roman" w:hAnsi="Times New Roman" w:cs="Times New Roman"/>
                <w:sz w:val="18"/>
                <w:szCs w:val="20"/>
              </w:rPr>
              <w:t>1.573</w:t>
            </w:r>
          </w:p>
        </w:tc>
      </w:tr>
      <w:tr w:rsidR="007F15D8" w:rsidRPr="00B725B6" w14:paraId="67E80B48" w14:textId="77777777" w:rsidTr="009E5933">
        <w:trPr>
          <w:trHeight w:val="340"/>
          <w:jc w:val="center"/>
        </w:trPr>
        <w:tc>
          <w:tcPr>
            <w:tcW w:w="502" w:type="pct"/>
            <w:tcBorders>
              <w:top w:val="single" w:sz="4" w:space="0" w:color="auto"/>
              <w:bottom w:val="single" w:sz="4" w:space="0" w:color="auto"/>
              <w:right w:val="single" w:sz="4" w:space="0" w:color="auto"/>
            </w:tcBorders>
            <w:vAlign w:val="center"/>
          </w:tcPr>
          <w:p w14:paraId="48209A61" w14:textId="77777777" w:rsidR="00E40A40" w:rsidRPr="00B725B6" w:rsidRDefault="00E40A40" w:rsidP="00A152B0">
            <w:pPr>
              <w:tabs>
                <w:tab w:val="left" w:pos="4536"/>
              </w:tabs>
              <w:autoSpaceDE w:val="0"/>
              <w:autoSpaceDN w:val="0"/>
              <w:adjustRightInd w:val="0"/>
              <w:jc w:val="center"/>
              <w:rPr>
                <w:rFonts w:ascii="Times New Roman" w:hAnsi="Times New Roman" w:cs="Times New Roman"/>
                <w:sz w:val="18"/>
                <w:szCs w:val="20"/>
              </w:rPr>
            </w:pPr>
            <w:r w:rsidRPr="00B725B6">
              <w:rPr>
                <w:rFonts w:ascii="Times New Roman" w:hAnsi="Times New Roman" w:cs="Times New Roman"/>
                <w:sz w:val="18"/>
                <w:szCs w:val="20"/>
              </w:rPr>
              <w:t>Sig.</w:t>
            </w:r>
          </w:p>
        </w:tc>
        <w:tc>
          <w:tcPr>
            <w:tcW w:w="761" w:type="pct"/>
            <w:gridSpan w:val="2"/>
            <w:tcBorders>
              <w:top w:val="single" w:sz="4" w:space="0" w:color="auto"/>
              <w:left w:val="single" w:sz="4" w:space="0" w:color="auto"/>
              <w:bottom w:val="single" w:sz="4" w:space="0" w:color="auto"/>
            </w:tcBorders>
            <w:vAlign w:val="center"/>
          </w:tcPr>
          <w:p w14:paraId="25CF68C9" w14:textId="77777777" w:rsidR="00E40A40" w:rsidRPr="00B725B6" w:rsidRDefault="00E40A40" w:rsidP="00B725B6">
            <w:pPr>
              <w:autoSpaceDE w:val="0"/>
              <w:autoSpaceDN w:val="0"/>
              <w:adjustRightInd w:val="0"/>
              <w:jc w:val="center"/>
              <w:rPr>
                <w:rFonts w:ascii="Times New Roman" w:hAnsi="Times New Roman" w:cs="Times New Roman"/>
                <w:sz w:val="18"/>
                <w:szCs w:val="20"/>
              </w:rPr>
            </w:pPr>
            <w:r w:rsidRPr="00B725B6">
              <w:rPr>
                <w:rFonts w:ascii="Times New Roman" w:hAnsi="Times New Roman" w:cs="Times New Roman"/>
                <w:sz w:val="18"/>
                <w:szCs w:val="20"/>
              </w:rPr>
              <w:t>0.001</w:t>
            </w:r>
          </w:p>
        </w:tc>
        <w:tc>
          <w:tcPr>
            <w:tcW w:w="761" w:type="pct"/>
            <w:gridSpan w:val="2"/>
            <w:tcBorders>
              <w:top w:val="single" w:sz="4" w:space="0" w:color="auto"/>
              <w:bottom w:val="single" w:sz="4" w:space="0" w:color="auto"/>
            </w:tcBorders>
            <w:vAlign w:val="center"/>
          </w:tcPr>
          <w:p w14:paraId="20F3AFED" w14:textId="77777777" w:rsidR="00E40A40" w:rsidRPr="00B725B6" w:rsidRDefault="00E40A40" w:rsidP="00B725B6">
            <w:pPr>
              <w:autoSpaceDE w:val="0"/>
              <w:autoSpaceDN w:val="0"/>
              <w:adjustRightInd w:val="0"/>
              <w:jc w:val="center"/>
              <w:rPr>
                <w:rFonts w:ascii="Times New Roman" w:hAnsi="Times New Roman" w:cs="Times New Roman"/>
                <w:sz w:val="18"/>
                <w:szCs w:val="20"/>
              </w:rPr>
            </w:pPr>
            <w:r w:rsidRPr="00B725B6">
              <w:rPr>
                <w:rFonts w:ascii="Times New Roman" w:hAnsi="Times New Roman" w:cs="Times New Roman"/>
                <w:sz w:val="18"/>
                <w:szCs w:val="20"/>
              </w:rPr>
              <w:t>0.01</w:t>
            </w:r>
          </w:p>
        </w:tc>
        <w:tc>
          <w:tcPr>
            <w:tcW w:w="761" w:type="pct"/>
            <w:gridSpan w:val="2"/>
            <w:tcBorders>
              <w:top w:val="single" w:sz="4" w:space="0" w:color="auto"/>
              <w:bottom w:val="single" w:sz="4" w:space="0" w:color="auto"/>
            </w:tcBorders>
            <w:vAlign w:val="center"/>
          </w:tcPr>
          <w:p w14:paraId="3FB0E6D2" w14:textId="77777777" w:rsidR="00E40A40" w:rsidRPr="00B725B6" w:rsidRDefault="00E40A40" w:rsidP="00B725B6">
            <w:pPr>
              <w:autoSpaceDE w:val="0"/>
              <w:autoSpaceDN w:val="0"/>
              <w:adjustRightInd w:val="0"/>
              <w:jc w:val="center"/>
              <w:rPr>
                <w:rFonts w:ascii="Times New Roman" w:hAnsi="Times New Roman" w:cs="Times New Roman"/>
                <w:sz w:val="18"/>
                <w:szCs w:val="20"/>
              </w:rPr>
            </w:pPr>
            <w:r w:rsidRPr="00B725B6">
              <w:rPr>
                <w:rFonts w:ascii="Times New Roman" w:hAnsi="Times New Roman" w:cs="Times New Roman"/>
                <w:sz w:val="18"/>
                <w:szCs w:val="20"/>
              </w:rPr>
              <w:t>0.158</w:t>
            </w:r>
          </w:p>
        </w:tc>
        <w:tc>
          <w:tcPr>
            <w:tcW w:w="761" w:type="pct"/>
            <w:gridSpan w:val="2"/>
            <w:tcBorders>
              <w:top w:val="single" w:sz="4" w:space="0" w:color="auto"/>
              <w:bottom w:val="single" w:sz="4" w:space="0" w:color="auto"/>
            </w:tcBorders>
            <w:vAlign w:val="center"/>
          </w:tcPr>
          <w:p w14:paraId="0093EA53" w14:textId="77777777" w:rsidR="00E40A40" w:rsidRPr="00B725B6" w:rsidRDefault="00E40A40" w:rsidP="00B725B6">
            <w:pPr>
              <w:autoSpaceDE w:val="0"/>
              <w:autoSpaceDN w:val="0"/>
              <w:adjustRightInd w:val="0"/>
              <w:jc w:val="center"/>
              <w:rPr>
                <w:rFonts w:ascii="Times New Roman" w:hAnsi="Times New Roman" w:cs="Times New Roman"/>
                <w:sz w:val="18"/>
                <w:szCs w:val="20"/>
              </w:rPr>
            </w:pPr>
            <w:r w:rsidRPr="00B725B6">
              <w:rPr>
                <w:rFonts w:ascii="Times New Roman" w:hAnsi="Times New Roman" w:cs="Times New Roman"/>
                <w:sz w:val="18"/>
                <w:szCs w:val="20"/>
              </w:rPr>
              <w:t>0.001</w:t>
            </w:r>
          </w:p>
        </w:tc>
        <w:tc>
          <w:tcPr>
            <w:tcW w:w="731" w:type="pct"/>
            <w:gridSpan w:val="2"/>
            <w:tcBorders>
              <w:top w:val="single" w:sz="4" w:space="0" w:color="auto"/>
              <w:bottom w:val="single" w:sz="4" w:space="0" w:color="auto"/>
            </w:tcBorders>
            <w:vAlign w:val="center"/>
          </w:tcPr>
          <w:p w14:paraId="45911212" w14:textId="77777777" w:rsidR="00E40A40" w:rsidRPr="00B725B6" w:rsidRDefault="00E40A40" w:rsidP="00B725B6">
            <w:pPr>
              <w:autoSpaceDE w:val="0"/>
              <w:autoSpaceDN w:val="0"/>
              <w:adjustRightInd w:val="0"/>
              <w:jc w:val="center"/>
              <w:rPr>
                <w:rFonts w:ascii="Times New Roman" w:hAnsi="Times New Roman" w:cs="Times New Roman"/>
                <w:sz w:val="18"/>
                <w:szCs w:val="20"/>
              </w:rPr>
            </w:pPr>
            <w:r w:rsidRPr="00B725B6">
              <w:rPr>
                <w:rFonts w:ascii="Times New Roman" w:hAnsi="Times New Roman" w:cs="Times New Roman"/>
                <w:sz w:val="18"/>
                <w:szCs w:val="20"/>
              </w:rPr>
              <w:t>0.008</w:t>
            </w:r>
          </w:p>
        </w:tc>
        <w:tc>
          <w:tcPr>
            <w:tcW w:w="723" w:type="pct"/>
            <w:gridSpan w:val="2"/>
            <w:tcBorders>
              <w:top w:val="single" w:sz="4" w:space="0" w:color="auto"/>
              <w:bottom w:val="single" w:sz="4" w:space="0" w:color="auto"/>
            </w:tcBorders>
            <w:vAlign w:val="center"/>
          </w:tcPr>
          <w:p w14:paraId="696F24EA" w14:textId="77777777" w:rsidR="00E40A40" w:rsidRPr="00B725B6" w:rsidRDefault="00E40A40" w:rsidP="00B725B6">
            <w:pPr>
              <w:autoSpaceDE w:val="0"/>
              <w:autoSpaceDN w:val="0"/>
              <w:adjustRightInd w:val="0"/>
              <w:jc w:val="center"/>
              <w:rPr>
                <w:rFonts w:ascii="Times New Roman" w:hAnsi="Times New Roman" w:cs="Times New Roman"/>
                <w:sz w:val="18"/>
                <w:szCs w:val="20"/>
              </w:rPr>
            </w:pPr>
            <w:r w:rsidRPr="00B725B6">
              <w:rPr>
                <w:rFonts w:ascii="Times New Roman" w:hAnsi="Times New Roman" w:cs="Times New Roman"/>
                <w:sz w:val="18"/>
                <w:szCs w:val="20"/>
              </w:rPr>
              <w:t>0.186</w:t>
            </w:r>
          </w:p>
        </w:tc>
      </w:tr>
    </w:tbl>
    <w:p w14:paraId="386C58BD" w14:textId="4EAA3A38" w:rsidR="00FD4287" w:rsidRPr="00A152B0" w:rsidRDefault="00215E9A" w:rsidP="00B725B6">
      <w:pPr>
        <w:autoSpaceDE w:val="0"/>
        <w:autoSpaceDN w:val="0"/>
        <w:adjustRightInd w:val="0"/>
        <w:spacing w:after="0" w:line="360" w:lineRule="exact"/>
        <w:rPr>
          <w:rFonts w:asciiTheme="majorBidi" w:hAnsiTheme="majorBidi" w:cstheme="majorBidi"/>
          <w:szCs w:val="16"/>
        </w:rPr>
      </w:pPr>
      <w:r w:rsidRPr="00215E9A">
        <w:rPr>
          <w:rFonts w:asciiTheme="majorBidi" w:hAnsiTheme="majorBidi" w:cstheme="majorBidi"/>
          <w:i/>
          <w:szCs w:val="24"/>
        </w:rPr>
        <w:t>Note.</w:t>
      </w:r>
      <w:r>
        <w:rPr>
          <w:rFonts w:asciiTheme="majorBidi" w:hAnsiTheme="majorBidi" w:cstheme="majorBidi"/>
          <w:i/>
          <w:szCs w:val="24"/>
        </w:rPr>
        <w:t xml:space="preserve"> </w:t>
      </w:r>
      <w:r w:rsidR="00FD4287" w:rsidRPr="00A152B0">
        <w:rPr>
          <w:rFonts w:asciiTheme="majorBidi" w:hAnsiTheme="majorBidi" w:cstheme="majorBidi"/>
          <w:szCs w:val="16"/>
        </w:rPr>
        <w:t>**Correlation is significant at the 0.01 level (2-tailed).</w:t>
      </w:r>
    </w:p>
    <w:p w14:paraId="1EA035AE" w14:textId="458A4CCA" w:rsidR="00386616" w:rsidRDefault="00386616" w:rsidP="00B725B6">
      <w:pPr>
        <w:autoSpaceDE w:val="0"/>
        <w:autoSpaceDN w:val="0"/>
        <w:adjustRightInd w:val="0"/>
        <w:spacing w:after="0" w:line="360" w:lineRule="exact"/>
        <w:rPr>
          <w:rFonts w:asciiTheme="majorBidi" w:hAnsiTheme="majorBidi" w:cstheme="majorBidi"/>
          <w:szCs w:val="16"/>
        </w:rPr>
      </w:pPr>
      <w:r w:rsidRPr="00A152B0">
        <w:rPr>
          <w:rFonts w:asciiTheme="majorBidi" w:hAnsiTheme="majorBidi" w:cstheme="majorBidi"/>
          <w:szCs w:val="16"/>
        </w:rPr>
        <w:t>*Correlation is significant at the 0.05 level (2-tailed).</w:t>
      </w:r>
    </w:p>
    <w:p w14:paraId="65B0B17B" w14:textId="77777777" w:rsidR="00A152B0" w:rsidRPr="00A152B0" w:rsidRDefault="00A152B0" w:rsidP="00B725B6">
      <w:pPr>
        <w:autoSpaceDE w:val="0"/>
        <w:autoSpaceDN w:val="0"/>
        <w:adjustRightInd w:val="0"/>
        <w:spacing w:after="0" w:line="360" w:lineRule="exact"/>
        <w:rPr>
          <w:rFonts w:asciiTheme="majorBidi" w:hAnsiTheme="majorBidi" w:cstheme="majorBidi"/>
          <w:szCs w:val="16"/>
        </w:rPr>
      </w:pPr>
    </w:p>
    <w:p w14:paraId="36AE2D21" w14:textId="2026A001" w:rsidR="00D5790E" w:rsidRPr="007F15D8" w:rsidRDefault="00D5790E" w:rsidP="000B49E1">
      <w:pPr>
        <w:autoSpaceDE w:val="0"/>
        <w:autoSpaceDN w:val="0"/>
        <w:adjustRightInd w:val="0"/>
        <w:spacing w:after="0" w:line="360" w:lineRule="exact"/>
        <w:ind w:firstLine="510"/>
        <w:jc w:val="both"/>
        <w:rPr>
          <w:rFonts w:ascii="Times New Roman" w:hAnsi="Times New Roman"/>
          <w:sz w:val="26"/>
        </w:rPr>
      </w:pPr>
      <w:r w:rsidRPr="007F15D8">
        <w:rPr>
          <w:rFonts w:ascii="Times New Roman" w:hAnsi="Times New Roman"/>
          <w:sz w:val="26"/>
        </w:rPr>
        <w:t xml:space="preserve">Table </w:t>
      </w:r>
      <w:r w:rsidR="00EB7C77" w:rsidRPr="007F15D8">
        <w:rPr>
          <w:rFonts w:ascii="Times New Roman" w:hAnsi="Times New Roman"/>
          <w:sz w:val="26"/>
        </w:rPr>
        <w:t>7</w:t>
      </w:r>
      <w:r w:rsidRPr="007F15D8">
        <w:rPr>
          <w:rFonts w:ascii="Times New Roman" w:hAnsi="Times New Roman"/>
          <w:sz w:val="26"/>
        </w:rPr>
        <w:t xml:space="preserve"> shows that the model is significant in KSA, Oman, Bahrain</w:t>
      </w:r>
      <w:r w:rsidR="0046067A">
        <w:rPr>
          <w:rFonts w:ascii="Times New Roman" w:hAnsi="Times New Roman"/>
          <w:sz w:val="26"/>
        </w:rPr>
        <w:t>,</w:t>
      </w:r>
      <w:r w:rsidRPr="007F15D8">
        <w:rPr>
          <w:rFonts w:ascii="Times New Roman" w:hAnsi="Times New Roman"/>
          <w:sz w:val="26"/>
        </w:rPr>
        <w:t xml:space="preserve"> and Kuwait at 0.01</w:t>
      </w:r>
      <w:r w:rsidR="00457C4F">
        <w:rPr>
          <w:rFonts w:ascii="Times New Roman" w:hAnsi="Times New Roman"/>
          <w:sz w:val="26"/>
        </w:rPr>
        <w:t xml:space="preserve"> level</w:t>
      </w:r>
      <w:r w:rsidRPr="007F15D8">
        <w:rPr>
          <w:rFonts w:ascii="Times New Roman" w:hAnsi="Times New Roman"/>
          <w:sz w:val="26"/>
        </w:rPr>
        <w:t xml:space="preserve">. As expected, in KSA and Kuwait, the coefficients (-0.045 and -1.416) of EQ </w:t>
      </w:r>
      <w:r w:rsidR="0046067A">
        <w:rPr>
          <w:rFonts w:ascii="Times New Roman" w:hAnsi="Times New Roman"/>
          <w:sz w:val="26"/>
        </w:rPr>
        <w:t>are</w:t>
      </w:r>
      <w:r w:rsidR="0046067A" w:rsidRPr="007F15D8">
        <w:rPr>
          <w:rFonts w:ascii="Times New Roman" w:hAnsi="Times New Roman"/>
          <w:sz w:val="26"/>
        </w:rPr>
        <w:t xml:space="preserve"> </w:t>
      </w:r>
      <w:r w:rsidRPr="007F15D8">
        <w:rPr>
          <w:rFonts w:ascii="Times New Roman" w:hAnsi="Times New Roman"/>
          <w:sz w:val="26"/>
        </w:rPr>
        <w:t>significant but negative (p-value</w:t>
      </w:r>
      <w:r w:rsidR="0046067A">
        <w:rPr>
          <w:rFonts w:ascii="Times New Roman" w:hAnsi="Times New Roman"/>
          <w:sz w:val="26"/>
        </w:rPr>
        <w:t xml:space="preserve"> </w:t>
      </w:r>
      <w:r w:rsidRPr="007F15D8">
        <w:rPr>
          <w:rFonts w:ascii="Times New Roman" w:hAnsi="Times New Roman"/>
          <w:sz w:val="26"/>
        </w:rPr>
        <w:t>&lt;</w:t>
      </w:r>
      <w:r w:rsidR="0046067A">
        <w:rPr>
          <w:rFonts w:ascii="Times New Roman" w:hAnsi="Times New Roman"/>
          <w:sz w:val="26"/>
        </w:rPr>
        <w:t xml:space="preserve"> </w:t>
      </w:r>
      <w:r w:rsidRPr="007F15D8">
        <w:rPr>
          <w:rFonts w:ascii="Times New Roman" w:hAnsi="Times New Roman"/>
          <w:sz w:val="26"/>
        </w:rPr>
        <w:t>0.05)</w:t>
      </w:r>
      <w:r w:rsidR="00A41BCF" w:rsidRPr="007F15D8">
        <w:rPr>
          <w:rFonts w:ascii="Times New Roman" w:hAnsi="Times New Roman"/>
          <w:sz w:val="26"/>
        </w:rPr>
        <w:t>,</w:t>
      </w:r>
      <w:r w:rsidRPr="007F15D8">
        <w:rPr>
          <w:rFonts w:ascii="Times New Roman" w:hAnsi="Times New Roman"/>
          <w:sz w:val="26"/>
        </w:rPr>
        <w:t xml:space="preserve"> indicating a negative association between predictability and foreign investors</w:t>
      </w:r>
      <w:r w:rsidR="00A41BCF" w:rsidRPr="007F15D8">
        <w:rPr>
          <w:rFonts w:ascii="Times New Roman" w:hAnsi="Times New Roman"/>
          <w:sz w:val="26"/>
        </w:rPr>
        <w:t>.</w:t>
      </w:r>
      <w:r w:rsidRPr="007F15D8">
        <w:rPr>
          <w:rFonts w:ascii="Times New Roman" w:hAnsi="Times New Roman"/>
          <w:sz w:val="26"/>
        </w:rPr>
        <w:t xml:space="preserve"> </w:t>
      </w:r>
      <w:r w:rsidR="0046067A">
        <w:rPr>
          <w:rFonts w:ascii="Times New Roman" w:hAnsi="Times New Roman"/>
          <w:sz w:val="26"/>
        </w:rPr>
        <w:t>I</w:t>
      </w:r>
      <w:r w:rsidRPr="007F15D8">
        <w:rPr>
          <w:rFonts w:ascii="Times New Roman" w:hAnsi="Times New Roman"/>
          <w:sz w:val="26"/>
        </w:rPr>
        <w:t xml:space="preserve">nvestors cannot depend on current </w:t>
      </w:r>
      <w:r w:rsidRPr="007F15D8">
        <w:rPr>
          <w:rFonts w:ascii="Times New Roman" w:hAnsi="Times New Roman"/>
          <w:sz w:val="26"/>
        </w:rPr>
        <w:lastRenderedPageBreak/>
        <w:t xml:space="preserve">earnings to predict future earnings. </w:t>
      </w:r>
      <w:r w:rsidR="001361AB" w:rsidRPr="007F15D8">
        <w:rPr>
          <w:rFonts w:ascii="Times New Roman" w:hAnsi="Times New Roman"/>
          <w:sz w:val="26"/>
        </w:rPr>
        <w:t>H2 is accepted only in Oman as</w:t>
      </w:r>
      <w:r w:rsidRPr="007F15D8">
        <w:rPr>
          <w:rFonts w:ascii="Times New Roman" w:hAnsi="Times New Roman"/>
          <w:sz w:val="26"/>
        </w:rPr>
        <w:t xml:space="preserve"> the coefficient (0.052) is positive and significant (p-value</w:t>
      </w:r>
      <w:r w:rsidR="0046067A">
        <w:rPr>
          <w:rFonts w:ascii="Times New Roman" w:hAnsi="Times New Roman"/>
          <w:sz w:val="26"/>
        </w:rPr>
        <w:t xml:space="preserve"> </w:t>
      </w:r>
      <w:r w:rsidRPr="007F15D8">
        <w:rPr>
          <w:rFonts w:ascii="Times New Roman" w:hAnsi="Times New Roman"/>
          <w:sz w:val="26"/>
        </w:rPr>
        <w:t>&lt;</w:t>
      </w:r>
      <w:r w:rsidR="0046067A">
        <w:rPr>
          <w:rFonts w:ascii="Times New Roman" w:hAnsi="Times New Roman"/>
          <w:sz w:val="26"/>
        </w:rPr>
        <w:t xml:space="preserve"> </w:t>
      </w:r>
      <w:r w:rsidRPr="007F15D8">
        <w:rPr>
          <w:rFonts w:ascii="Times New Roman" w:hAnsi="Times New Roman"/>
          <w:sz w:val="26"/>
        </w:rPr>
        <w:t>0.05)</w:t>
      </w:r>
      <w:r w:rsidR="00A41BCF" w:rsidRPr="007F15D8">
        <w:rPr>
          <w:rFonts w:ascii="Times New Roman" w:hAnsi="Times New Roman"/>
          <w:sz w:val="26"/>
        </w:rPr>
        <w:t>.</w:t>
      </w:r>
      <w:r w:rsidRPr="007F15D8">
        <w:rPr>
          <w:rFonts w:ascii="Times New Roman" w:hAnsi="Times New Roman"/>
          <w:sz w:val="26"/>
        </w:rPr>
        <w:t xml:space="preserve"> </w:t>
      </w:r>
      <w:r w:rsidR="00A41BCF" w:rsidRPr="007F15D8">
        <w:rPr>
          <w:rFonts w:ascii="Times New Roman" w:hAnsi="Times New Roman"/>
          <w:sz w:val="26"/>
        </w:rPr>
        <w:t>F</w:t>
      </w:r>
      <w:r w:rsidRPr="007F15D8">
        <w:rPr>
          <w:rFonts w:ascii="Times New Roman" w:hAnsi="Times New Roman"/>
          <w:sz w:val="26"/>
        </w:rPr>
        <w:t xml:space="preserve">oreign investors </w:t>
      </w:r>
      <w:r w:rsidR="00A41BCF" w:rsidRPr="007F15D8">
        <w:rPr>
          <w:rFonts w:ascii="Times New Roman" w:hAnsi="Times New Roman"/>
          <w:sz w:val="26"/>
        </w:rPr>
        <w:t>tend</w:t>
      </w:r>
      <w:r w:rsidRPr="007F15D8">
        <w:rPr>
          <w:rFonts w:ascii="Times New Roman" w:hAnsi="Times New Roman"/>
          <w:sz w:val="26"/>
        </w:rPr>
        <w:t xml:space="preserve"> to decide on their investments based on current earnings when predicting future earnings. This result is in line with </w:t>
      </w:r>
      <w:r w:rsidR="00A41BCF" w:rsidRPr="007F15D8">
        <w:rPr>
          <w:rFonts w:ascii="Times New Roman" w:hAnsi="Times New Roman"/>
          <w:sz w:val="26"/>
        </w:rPr>
        <w:t xml:space="preserve">that of </w:t>
      </w:r>
      <w:r w:rsidRPr="007F15D8">
        <w:rPr>
          <w:rFonts w:ascii="Times New Roman" w:hAnsi="Times New Roman" w:cs="Times New Roman"/>
          <w:sz w:val="26"/>
          <w:szCs w:val="26"/>
        </w:rPr>
        <w:t>Le</w:t>
      </w:r>
      <w:r w:rsidR="00D748F7" w:rsidRPr="007F15D8">
        <w:rPr>
          <w:rFonts w:ascii="Times New Roman" w:hAnsi="Times New Roman" w:cs="Times New Roman"/>
          <w:sz w:val="26"/>
          <w:szCs w:val="26"/>
        </w:rPr>
        <w:t>e</w:t>
      </w:r>
      <w:r w:rsidRPr="007F15D8">
        <w:rPr>
          <w:rFonts w:ascii="Times New Roman" w:hAnsi="Times New Roman"/>
          <w:sz w:val="26"/>
        </w:rPr>
        <w:t xml:space="preserve"> and Kim (2019).</w:t>
      </w:r>
      <w:r w:rsidR="001F48F8" w:rsidRPr="007F15D8">
        <w:rPr>
          <w:rFonts w:ascii="Times New Roman" w:hAnsi="Times New Roman"/>
          <w:sz w:val="26"/>
        </w:rPr>
        <w:t xml:space="preserve"> </w:t>
      </w:r>
    </w:p>
    <w:p w14:paraId="254D88BC" w14:textId="6FB27D8E" w:rsidR="004E5550" w:rsidRDefault="00D5790E" w:rsidP="00B725B6">
      <w:pPr>
        <w:autoSpaceDE w:val="0"/>
        <w:autoSpaceDN w:val="0"/>
        <w:adjustRightInd w:val="0"/>
        <w:spacing w:after="0" w:line="360" w:lineRule="exact"/>
        <w:ind w:firstLine="510"/>
        <w:jc w:val="both"/>
        <w:rPr>
          <w:rFonts w:ascii="Times New Roman" w:hAnsi="Times New Roman"/>
          <w:sz w:val="26"/>
        </w:rPr>
      </w:pPr>
      <w:r w:rsidRPr="007F15D8">
        <w:rPr>
          <w:rFonts w:ascii="Times New Roman" w:hAnsi="Times New Roman"/>
          <w:sz w:val="26"/>
        </w:rPr>
        <w:t>In Bahrain, Qatar</w:t>
      </w:r>
      <w:r w:rsidR="0046067A">
        <w:rPr>
          <w:rFonts w:ascii="Times New Roman" w:hAnsi="Times New Roman"/>
          <w:sz w:val="26"/>
        </w:rPr>
        <w:t>,</w:t>
      </w:r>
      <w:r w:rsidRPr="007F15D8">
        <w:rPr>
          <w:rFonts w:ascii="Times New Roman" w:hAnsi="Times New Roman"/>
          <w:sz w:val="26"/>
        </w:rPr>
        <w:t xml:space="preserve"> and UAE</w:t>
      </w:r>
      <w:r w:rsidR="00A41BCF" w:rsidRPr="007F15D8">
        <w:rPr>
          <w:rFonts w:ascii="Times New Roman" w:hAnsi="Times New Roman"/>
          <w:sz w:val="26"/>
        </w:rPr>
        <w:t>,</w:t>
      </w:r>
      <w:r w:rsidRPr="007F15D8">
        <w:rPr>
          <w:rFonts w:ascii="Times New Roman" w:hAnsi="Times New Roman"/>
          <w:sz w:val="26"/>
        </w:rPr>
        <w:t xml:space="preserve"> the coefficients (-0.005, 0.015</w:t>
      </w:r>
      <w:r w:rsidR="0046067A">
        <w:rPr>
          <w:rFonts w:ascii="Times New Roman" w:hAnsi="Times New Roman"/>
          <w:sz w:val="26"/>
        </w:rPr>
        <w:t>,</w:t>
      </w:r>
      <w:r w:rsidRPr="007F15D8">
        <w:rPr>
          <w:rFonts w:ascii="Times New Roman" w:hAnsi="Times New Roman"/>
          <w:sz w:val="26"/>
        </w:rPr>
        <w:t xml:space="preserve"> and 0.044</w:t>
      </w:r>
      <w:r w:rsidR="00A41BCF" w:rsidRPr="007F15D8">
        <w:rPr>
          <w:rFonts w:ascii="Times New Roman" w:hAnsi="Times New Roman"/>
          <w:sz w:val="26"/>
        </w:rPr>
        <w:t>,</w:t>
      </w:r>
      <w:r w:rsidRPr="007F15D8">
        <w:rPr>
          <w:rFonts w:ascii="Times New Roman" w:hAnsi="Times New Roman"/>
          <w:sz w:val="26"/>
        </w:rPr>
        <w:t xml:space="preserve"> respectively) are insignificant at </w:t>
      </w:r>
      <w:r w:rsidR="0046067A">
        <w:rPr>
          <w:rFonts w:ascii="Times New Roman" w:hAnsi="Times New Roman"/>
          <w:sz w:val="26"/>
        </w:rPr>
        <w:t xml:space="preserve">the </w:t>
      </w:r>
      <w:r w:rsidRPr="007F15D8">
        <w:rPr>
          <w:rFonts w:ascii="Times New Roman" w:hAnsi="Times New Roman"/>
          <w:sz w:val="26"/>
        </w:rPr>
        <w:t>0.05</w:t>
      </w:r>
      <w:r w:rsidR="0046067A">
        <w:rPr>
          <w:rFonts w:ascii="Times New Roman" w:hAnsi="Times New Roman"/>
          <w:sz w:val="26"/>
        </w:rPr>
        <w:t xml:space="preserve"> level</w:t>
      </w:r>
      <w:r w:rsidR="00F72273" w:rsidRPr="007F15D8">
        <w:rPr>
          <w:rFonts w:ascii="Times New Roman" w:hAnsi="Times New Roman"/>
          <w:sz w:val="26"/>
        </w:rPr>
        <w:t>,</w:t>
      </w:r>
      <w:r w:rsidRPr="007F15D8">
        <w:rPr>
          <w:rFonts w:ascii="Times New Roman" w:hAnsi="Times New Roman"/>
          <w:sz w:val="26"/>
        </w:rPr>
        <w:t xml:space="preserve"> indicating that the </w:t>
      </w:r>
      <w:r w:rsidR="0046067A">
        <w:rPr>
          <w:rFonts w:ascii="Times New Roman" w:hAnsi="Times New Roman"/>
          <w:sz w:val="26"/>
        </w:rPr>
        <w:t>predictability of earnings does not influence foreign investor</w:t>
      </w:r>
      <w:r w:rsidR="00A95D9A" w:rsidRPr="007F15D8">
        <w:rPr>
          <w:rFonts w:ascii="Times New Roman" w:hAnsi="Times New Roman"/>
          <w:sz w:val="26"/>
        </w:rPr>
        <w:t xml:space="preserve">s. </w:t>
      </w:r>
      <w:r w:rsidR="00C94562" w:rsidRPr="007F15D8">
        <w:rPr>
          <w:rFonts w:ascii="Times New Roman" w:hAnsi="Times New Roman"/>
          <w:sz w:val="26"/>
        </w:rPr>
        <w:t xml:space="preserve">The control </w:t>
      </w:r>
      <w:r w:rsidR="002C7835" w:rsidRPr="007F15D8">
        <w:rPr>
          <w:rFonts w:ascii="Times New Roman" w:hAnsi="Times New Roman"/>
          <w:sz w:val="26"/>
        </w:rPr>
        <w:t>v</w:t>
      </w:r>
      <w:r w:rsidR="00A95D9A" w:rsidRPr="007F15D8">
        <w:rPr>
          <w:rFonts w:ascii="Times New Roman" w:hAnsi="Times New Roman"/>
          <w:sz w:val="26"/>
        </w:rPr>
        <w:t>ariable</w:t>
      </w:r>
      <w:r w:rsidR="002C7835" w:rsidRPr="007F15D8">
        <w:rPr>
          <w:rFonts w:ascii="Times New Roman" w:hAnsi="Times New Roman"/>
          <w:sz w:val="26"/>
        </w:rPr>
        <w:t>s</w:t>
      </w:r>
      <w:r w:rsidR="00A95D9A" w:rsidRPr="007F15D8">
        <w:rPr>
          <w:rFonts w:ascii="Times New Roman" w:hAnsi="Times New Roman"/>
          <w:sz w:val="26"/>
        </w:rPr>
        <w:t xml:space="preserve"> have different effect</w:t>
      </w:r>
      <w:r w:rsidR="00F72273" w:rsidRPr="007F15D8">
        <w:rPr>
          <w:rFonts w:ascii="Times New Roman" w:hAnsi="Times New Roman"/>
          <w:sz w:val="26"/>
        </w:rPr>
        <w:t>s</w:t>
      </w:r>
      <w:r w:rsidR="00A95D9A" w:rsidRPr="007F15D8">
        <w:rPr>
          <w:rFonts w:ascii="Times New Roman" w:hAnsi="Times New Roman"/>
          <w:sz w:val="26"/>
        </w:rPr>
        <w:t xml:space="preserve"> on foreign investors</w:t>
      </w:r>
      <w:r w:rsidR="00F72273" w:rsidRPr="007F15D8">
        <w:rPr>
          <w:rFonts w:ascii="Times New Roman" w:hAnsi="Times New Roman"/>
          <w:sz w:val="26"/>
        </w:rPr>
        <w:t>,</w:t>
      </w:r>
      <w:r w:rsidR="00A95D9A" w:rsidRPr="007F15D8">
        <w:rPr>
          <w:rFonts w:ascii="Times New Roman" w:hAnsi="Times New Roman"/>
          <w:sz w:val="26"/>
        </w:rPr>
        <w:t xml:space="preserve"> confirming the s</w:t>
      </w:r>
      <w:r w:rsidR="004E5550" w:rsidRPr="007F15D8">
        <w:rPr>
          <w:rFonts w:ascii="Times New Roman" w:hAnsi="Times New Roman"/>
          <w:sz w:val="26"/>
        </w:rPr>
        <w:t>ignificance of these variables.</w:t>
      </w:r>
    </w:p>
    <w:p w14:paraId="1A1D6BC3" w14:textId="77777777" w:rsidR="003D7038" w:rsidRPr="007F15D8" w:rsidRDefault="003D7038" w:rsidP="00B725B6">
      <w:pPr>
        <w:autoSpaceDE w:val="0"/>
        <w:autoSpaceDN w:val="0"/>
        <w:adjustRightInd w:val="0"/>
        <w:spacing w:after="0" w:line="360" w:lineRule="exact"/>
        <w:ind w:firstLine="510"/>
        <w:jc w:val="both"/>
        <w:rPr>
          <w:rFonts w:ascii="Times New Roman" w:hAnsi="Times New Roman"/>
          <w:sz w:val="26"/>
        </w:rPr>
      </w:pPr>
    </w:p>
    <w:p w14:paraId="2C04FE9B" w14:textId="20B18049" w:rsidR="00530CC6" w:rsidRPr="007F15D8" w:rsidRDefault="00A95D9A" w:rsidP="00B725B6">
      <w:pPr>
        <w:autoSpaceDE w:val="0"/>
        <w:autoSpaceDN w:val="0"/>
        <w:adjustRightInd w:val="0"/>
        <w:spacing w:after="0" w:line="360" w:lineRule="exact"/>
        <w:jc w:val="both"/>
        <w:rPr>
          <w:rFonts w:ascii="Times New Roman" w:hAnsi="Times New Roman"/>
          <w:sz w:val="26"/>
        </w:rPr>
      </w:pPr>
      <w:r w:rsidRPr="007F15D8">
        <w:rPr>
          <w:rFonts w:ascii="Times New Roman" w:hAnsi="Times New Roman"/>
          <w:sz w:val="26"/>
        </w:rPr>
        <w:t xml:space="preserve"> </w:t>
      </w:r>
      <w:r w:rsidR="003A2A39" w:rsidRPr="007F15D8">
        <w:rPr>
          <w:rFonts w:ascii="Times New Roman" w:hAnsi="Times New Roman"/>
          <w:b/>
          <w:sz w:val="26"/>
        </w:rPr>
        <w:t>Measuring</w:t>
      </w:r>
      <w:r w:rsidR="00E07A4D" w:rsidRPr="007F15D8">
        <w:rPr>
          <w:rFonts w:ascii="Times New Roman" w:hAnsi="Times New Roman"/>
          <w:b/>
          <w:sz w:val="26"/>
        </w:rPr>
        <w:t xml:space="preserve"> and Analysis of EQ</w:t>
      </w:r>
      <w:r w:rsidR="00F72273" w:rsidRPr="007F15D8">
        <w:rPr>
          <w:rFonts w:ascii="Times New Roman" w:hAnsi="Times New Roman"/>
          <w:b/>
          <w:sz w:val="26"/>
        </w:rPr>
        <w:t>-</w:t>
      </w:r>
      <w:r w:rsidR="00B8076D" w:rsidRPr="007F15D8">
        <w:rPr>
          <w:rFonts w:ascii="Times New Roman" w:hAnsi="Times New Roman"/>
          <w:b/>
          <w:sz w:val="26"/>
        </w:rPr>
        <w:t>ERC</w:t>
      </w:r>
      <w:r w:rsidR="001361AB" w:rsidRPr="007F15D8">
        <w:rPr>
          <w:rFonts w:ascii="Times New Roman" w:hAnsi="Times New Roman"/>
          <w:b/>
          <w:sz w:val="26"/>
        </w:rPr>
        <w:t>,</w:t>
      </w:r>
      <w:r w:rsidR="00E07A4D" w:rsidRPr="007F15D8">
        <w:rPr>
          <w:rFonts w:ascii="Times New Roman" w:hAnsi="Times New Roman"/>
          <w:b/>
          <w:sz w:val="26"/>
        </w:rPr>
        <w:t xml:space="preserve"> </w:t>
      </w:r>
      <w:r w:rsidR="00F72273" w:rsidRPr="007F15D8">
        <w:rPr>
          <w:rFonts w:ascii="Times New Roman" w:hAnsi="Times New Roman"/>
          <w:b/>
          <w:sz w:val="26"/>
        </w:rPr>
        <w:t>EQ-</w:t>
      </w:r>
      <w:r w:rsidR="00B8076D" w:rsidRPr="007F15D8">
        <w:rPr>
          <w:rFonts w:ascii="Times New Roman" w:hAnsi="Times New Roman"/>
          <w:b/>
          <w:sz w:val="26"/>
        </w:rPr>
        <w:t>VR</w:t>
      </w:r>
      <w:r w:rsidR="0046067A">
        <w:rPr>
          <w:rFonts w:ascii="Times New Roman" w:hAnsi="Times New Roman"/>
          <w:b/>
          <w:sz w:val="26"/>
        </w:rPr>
        <w:t>,</w:t>
      </w:r>
      <w:r w:rsidR="001361AB" w:rsidRPr="007F15D8">
        <w:rPr>
          <w:rFonts w:ascii="Times New Roman" w:hAnsi="Times New Roman"/>
          <w:b/>
          <w:sz w:val="26"/>
        </w:rPr>
        <w:t xml:space="preserve"> and FI</w:t>
      </w:r>
    </w:p>
    <w:p w14:paraId="56A8482A" w14:textId="2D87A819" w:rsidR="00D2447C" w:rsidRDefault="00B32701" w:rsidP="00B725B6">
      <w:pPr>
        <w:spacing w:after="0" w:line="360" w:lineRule="exact"/>
        <w:ind w:firstLine="510"/>
        <w:jc w:val="both"/>
        <w:rPr>
          <w:rFonts w:ascii="Times New Roman" w:hAnsi="Times New Roman"/>
          <w:sz w:val="26"/>
        </w:rPr>
      </w:pPr>
      <w:r w:rsidRPr="007F15D8">
        <w:rPr>
          <w:rFonts w:ascii="Times New Roman" w:hAnsi="Times New Roman"/>
          <w:sz w:val="26"/>
        </w:rPr>
        <w:t>The required information to calculate</w:t>
      </w:r>
      <w:r w:rsidR="00FD6495" w:rsidRPr="007F15D8">
        <w:rPr>
          <w:rFonts w:ascii="Times New Roman" w:hAnsi="Times New Roman"/>
          <w:sz w:val="26"/>
        </w:rPr>
        <w:t xml:space="preserve"> ERC is the NIBE and NIBE/P</w:t>
      </w:r>
      <w:r w:rsidR="00F72273" w:rsidRPr="007F15D8">
        <w:rPr>
          <w:rFonts w:ascii="Times New Roman" w:hAnsi="Times New Roman"/>
          <w:sz w:val="26"/>
        </w:rPr>
        <w:t>,</w:t>
      </w:r>
      <w:r w:rsidR="00FD6495" w:rsidRPr="007F15D8">
        <w:rPr>
          <w:rFonts w:ascii="Times New Roman" w:hAnsi="Times New Roman"/>
          <w:sz w:val="26"/>
        </w:rPr>
        <w:t xml:space="preserve"> </w:t>
      </w:r>
      <w:r w:rsidR="00F72273" w:rsidRPr="007F15D8">
        <w:rPr>
          <w:rFonts w:ascii="Times New Roman" w:hAnsi="Times New Roman"/>
          <w:sz w:val="26"/>
        </w:rPr>
        <w:t xml:space="preserve">as shown </w:t>
      </w:r>
      <w:r w:rsidR="00FD6495" w:rsidRPr="007F15D8">
        <w:rPr>
          <w:rFonts w:ascii="Times New Roman" w:hAnsi="Times New Roman"/>
          <w:sz w:val="26"/>
        </w:rPr>
        <w:t xml:space="preserve">in </w:t>
      </w:r>
      <w:r w:rsidR="00F72273" w:rsidRPr="007F15D8">
        <w:rPr>
          <w:rFonts w:ascii="Times New Roman" w:hAnsi="Times New Roman"/>
          <w:sz w:val="26"/>
        </w:rPr>
        <w:t xml:space="preserve">Table </w:t>
      </w:r>
      <w:r w:rsidR="00EB7C77" w:rsidRPr="007F15D8">
        <w:rPr>
          <w:rFonts w:ascii="Times New Roman" w:hAnsi="Times New Roman"/>
          <w:sz w:val="26"/>
        </w:rPr>
        <w:t>8</w:t>
      </w:r>
      <w:r w:rsidR="00CE2858" w:rsidRPr="007F15D8">
        <w:rPr>
          <w:rFonts w:ascii="Times New Roman" w:hAnsi="Times New Roman"/>
          <w:sz w:val="26"/>
        </w:rPr>
        <w:t xml:space="preserve"> </w:t>
      </w:r>
      <w:r w:rsidR="00F72273" w:rsidRPr="007F15D8">
        <w:rPr>
          <w:rFonts w:ascii="Times New Roman" w:hAnsi="Times New Roman"/>
          <w:sz w:val="26"/>
        </w:rPr>
        <w:t xml:space="preserve">which lists the </w:t>
      </w:r>
      <w:r w:rsidR="00CE2858" w:rsidRPr="007F15D8">
        <w:rPr>
          <w:rFonts w:ascii="Times New Roman" w:hAnsi="Times New Roman"/>
          <w:sz w:val="26"/>
        </w:rPr>
        <w:t xml:space="preserve">mean, </w:t>
      </w:r>
      <w:r w:rsidRPr="007F15D8">
        <w:rPr>
          <w:rFonts w:ascii="Times New Roman" w:hAnsi="Times New Roman"/>
          <w:sz w:val="26"/>
        </w:rPr>
        <w:t>SD</w:t>
      </w:r>
      <w:r w:rsidR="00CE2858" w:rsidRPr="007F15D8">
        <w:rPr>
          <w:rFonts w:ascii="Times New Roman" w:hAnsi="Times New Roman"/>
          <w:sz w:val="26"/>
        </w:rPr>
        <w:t xml:space="preserve">, β </w:t>
      </w:r>
      <w:r w:rsidRPr="007F15D8">
        <w:rPr>
          <w:rFonts w:ascii="Times New Roman" w:hAnsi="Times New Roman"/>
          <w:sz w:val="26"/>
        </w:rPr>
        <w:t xml:space="preserve">of the variables of </w:t>
      </w:r>
      <w:r w:rsidR="00F72273" w:rsidRPr="007F15D8">
        <w:rPr>
          <w:rFonts w:ascii="Times New Roman" w:hAnsi="Times New Roman"/>
          <w:sz w:val="26"/>
        </w:rPr>
        <w:t>EQ-VR</w:t>
      </w:r>
      <w:r w:rsidR="00D2447C" w:rsidRPr="007F15D8">
        <w:rPr>
          <w:rFonts w:ascii="Times New Roman" w:hAnsi="Times New Roman"/>
          <w:sz w:val="26"/>
        </w:rPr>
        <w:t>.</w:t>
      </w:r>
    </w:p>
    <w:p w14:paraId="3EE31DF1" w14:textId="77777777" w:rsidR="00B725B6" w:rsidRPr="007F15D8" w:rsidRDefault="00B725B6" w:rsidP="00B725B6">
      <w:pPr>
        <w:spacing w:after="0" w:line="360" w:lineRule="exact"/>
        <w:ind w:firstLine="510"/>
        <w:jc w:val="both"/>
        <w:rPr>
          <w:rFonts w:ascii="Times New Roman" w:hAnsi="Times New Roman"/>
          <w:sz w:val="26"/>
        </w:rPr>
      </w:pPr>
    </w:p>
    <w:p w14:paraId="7A25890B" w14:textId="549FB69B" w:rsidR="00E40A40" w:rsidRPr="003D7038" w:rsidRDefault="00E40A40" w:rsidP="00FA3651">
      <w:pPr>
        <w:snapToGrid w:val="0"/>
        <w:spacing w:afterLines="50" w:after="120" w:line="360" w:lineRule="exact"/>
        <w:jc w:val="both"/>
        <w:rPr>
          <w:rFonts w:asciiTheme="majorBidi" w:hAnsiTheme="majorBidi"/>
          <w:i/>
          <w:sz w:val="26"/>
        </w:rPr>
      </w:pPr>
      <w:r w:rsidRPr="003D7038">
        <w:rPr>
          <w:rFonts w:asciiTheme="majorBidi" w:hAnsiTheme="majorBidi"/>
          <w:b/>
          <w:sz w:val="26"/>
        </w:rPr>
        <w:t xml:space="preserve">Table </w:t>
      </w:r>
      <w:proofErr w:type="gramStart"/>
      <w:r w:rsidRPr="003D7038">
        <w:rPr>
          <w:rFonts w:asciiTheme="majorBidi" w:hAnsiTheme="majorBidi"/>
          <w:b/>
          <w:sz w:val="26"/>
        </w:rPr>
        <w:t>8</w:t>
      </w:r>
      <w:r w:rsidR="003D7038">
        <w:rPr>
          <w:rFonts w:asciiTheme="majorBidi" w:hAnsiTheme="majorBidi"/>
          <w:sz w:val="26"/>
        </w:rPr>
        <w:t xml:space="preserve"> </w:t>
      </w:r>
      <w:r w:rsidRPr="00FA3651">
        <w:rPr>
          <w:rFonts w:asciiTheme="majorBidi" w:hAnsiTheme="majorBidi"/>
          <w:sz w:val="26"/>
        </w:rPr>
        <w:t xml:space="preserve"> </w:t>
      </w:r>
      <w:r w:rsidRPr="003D7038">
        <w:rPr>
          <w:rFonts w:asciiTheme="majorBidi" w:hAnsiTheme="majorBidi"/>
          <w:i/>
          <w:sz w:val="26"/>
        </w:rPr>
        <w:t>Descriptive</w:t>
      </w:r>
      <w:proofErr w:type="gramEnd"/>
      <w:r w:rsidRPr="003D7038">
        <w:rPr>
          <w:rFonts w:asciiTheme="majorBidi" w:hAnsiTheme="majorBidi"/>
          <w:i/>
          <w:sz w:val="26"/>
        </w:rPr>
        <w:t xml:space="preserve"> Statistics and Measuring the ERC and Value Relevance</w:t>
      </w:r>
    </w:p>
    <w:tbl>
      <w:tblPr>
        <w:tblStyle w:val="a9"/>
        <w:tblW w:w="51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2"/>
        <w:gridCol w:w="672"/>
        <w:gridCol w:w="666"/>
        <w:gridCol w:w="672"/>
        <w:gridCol w:w="666"/>
        <w:gridCol w:w="672"/>
        <w:gridCol w:w="666"/>
        <w:gridCol w:w="672"/>
        <w:gridCol w:w="666"/>
        <w:gridCol w:w="672"/>
        <w:gridCol w:w="666"/>
        <w:gridCol w:w="672"/>
        <w:gridCol w:w="666"/>
      </w:tblGrid>
      <w:tr w:rsidR="007F15D8" w:rsidRPr="00952DC1" w14:paraId="00D5647D" w14:textId="77777777" w:rsidTr="00215E9A">
        <w:trPr>
          <w:trHeight w:val="301"/>
        </w:trPr>
        <w:tc>
          <w:tcPr>
            <w:tcW w:w="684" w:type="pct"/>
            <w:vMerge w:val="restart"/>
            <w:tcBorders>
              <w:top w:val="single" w:sz="4" w:space="0" w:color="auto"/>
              <w:bottom w:val="single" w:sz="4" w:space="0" w:color="auto"/>
              <w:right w:val="single" w:sz="4" w:space="0" w:color="auto"/>
              <w:tl2br w:val="single" w:sz="4" w:space="0" w:color="auto"/>
            </w:tcBorders>
            <w:vAlign w:val="center"/>
          </w:tcPr>
          <w:p w14:paraId="7495DBD7" w14:textId="77777777" w:rsidR="00A152B0" w:rsidRDefault="00E40A40" w:rsidP="00A152B0">
            <w:pPr>
              <w:autoSpaceDE w:val="0"/>
              <w:autoSpaceDN w:val="0"/>
              <w:adjustRightInd w:val="0"/>
              <w:ind w:firstLineChars="200" w:firstLine="400"/>
              <w:jc w:val="both"/>
              <w:rPr>
                <w:rFonts w:ascii="Times New Roman" w:hAnsi="Times New Roman" w:cs="Times New Roman"/>
                <w:sz w:val="20"/>
                <w:szCs w:val="20"/>
              </w:rPr>
            </w:pPr>
            <w:r w:rsidRPr="00952DC1">
              <w:rPr>
                <w:rFonts w:ascii="Times New Roman" w:hAnsi="Times New Roman" w:cs="Times New Roman"/>
                <w:sz w:val="20"/>
                <w:szCs w:val="20"/>
              </w:rPr>
              <w:t>Country</w:t>
            </w:r>
          </w:p>
          <w:p w14:paraId="3EE3B96A" w14:textId="77777777" w:rsidR="00A152B0" w:rsidRDefault="00A152B0" w:rsidP="00B725B6">
            <w:pPr>
              <w:autoSpaceDE w:val="0"/>
              <w:autoSpaceDN w:val="0"/>
              <w:adjustRightInd w:val="0"/>
              <w:jc w:val="both"/>
              <w:rPr>
                <w:rFonts w:ascii="Times New Roman" w:hAnsi="Times New Roman" w:cs="Times New Roman"/>
                <w:sz w:val="20"/>
                <w:szCs w:val="20"/>
              </w:rPr>
            </w:pPr>
          </w:p>
          <w:p w14:paraId="0D0772FF" w14:textId="341FB15B" w:rsidR="00E40A40" w:rsidRPr="00952DC1" w:rsidRDefault="00E40A40" w:rsidP="00B725B6">
            <w:pPr>
              <w:autoSpaceDE w:val="0"/>
              <w:autoSpaceDN w:val="0"/>
              <w:adjustRightInd w:val="0"/>
              <w:jc w:val="both"/>
              <w:rPr>
                <w:rFonts w:ascii="Times New Roman" w:hAnsi="Times New Roman" w:cs="Times New Roman"/>
                <w:sz w:val="20"/>
                <w:szCs w:val="20"/>
              </w:rPr>
            </w:pPr>
            <w:r w:rsidRPr="00952DC1">
              <w:rPr>
                <w:rFonts w:ascii="Times New Roman" w:hAnsi="Times New Roman" w:cs="Times New Roman"/>
                <w:sz w:val="20"/>
                <w:szCs w:val="20"/>
              </w:rPr>
              <w:t xml:space="preserve"> Variable</w:t>
            </w:r>
          </w:p>
        </w:tc>
        <w:tc>
          <w:tcPr>
            <w:tcW w:w="719" w:type="pct"/>
            <w:gridSpan w:val="2"/>
            <w:tcBorders>
              <w:top w:val="single" w:sz="4" w:space="0" w:color="auto"/>
              <w:left w:val="single" w:sz="4" w:space="0" w:color="auto"/>
              <w:bottom w:val="single" w:sz="4" w:space="0" w:color="auto"/>
            </w:tcBorders>
            <w:vAlign w:val="center"/>
          </w:tcPr>
          <w:p w14:paraId="71D347D2"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KSA</w:t>
            </w:r>
          </w:p>
        </w:tc>
        <w:tc>
          <w:tcPr>
            <w:tcW w:w="719" w:type="pct"/>
            <w:gridSpan w:val="2"/>
            <w:tcBorders>
              <w:top w:val="single" w:sz="4" w:space="0" w:color="auto"/>
              <w:bottom w:val="single" w:sz="4" w:space="0" w:color="auto"/>
            </w:tcBorders>
            <w:vAlign w:val="center"/>
          </w:tcPr>
          <w:p w14:paraId="5177436A"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OMN</w:t>
            </w:r>
          </w:p>
        </w:tc>
        <w:tc>
          <w:tcPr>
            <w:tcW w:w="719" w:type="pct"/>
            <w:gridSpan w:val="2"/>
            <w:tcBorders>
              <w:top w:val="single" w:sz="4" w:space="0" w:color="auto"/>
              <w:bottom w:val="single" w:sz="4" w:space="0" w:color="auto"/>
            </w:tcBorders>
            <w:vAlign w:val="center"/>
          </w:tcPr>
          <w:p w14:paraId="67622AB9"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QAT</w:t>
            </w:r>
          </w:p>
        </w:tc>
        <w:tc>
          <w:tcPr>
            <w:tcW w:w="719" w:type="pct"/>
            <w:gridSpan w:val="2"/>
            <w:tcBorders>
              <w:top w:val="single" w:sz="4" w:space="0" w:color="auto"/>
              <w:bottom w:val="single" w:sz="4" w:space="0" w:color="auto"/>
            </w:tcBorders>
            <w:vAlign w:val="center"/>
          </w:tcPr>
          <w:p w14:paraId="3C0DE6A8"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BAH</w:t>
            </w:r>
          </w:p>
        </w:tc>
        <w:tc>
          <w:tcPr>
            <w:tcW w:w="719" w:type="pct"/>
            <w:gridSpan w:val="2"/>
            <w:tcBorders>
              <w:top w:val="single" w:sz="4" w:space="0" w:color="auto"/>
              <w:bottom w:val="single" w:sz="4" w:space="0" w:color="auto"/>
            </w:tcBorders>
            <w:vAlign w:val="center"/>
          </w:tcPr>
          <w:p w14:paraId="7C5680A3" w14:textId="42DAC099" w:rsidR="00E40A40" w:rsidRPr="00952DC1" w:rsidRDefault="004175B6"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KUW</w:t>
            </w:r>
          </w:p>
        </w:tc>
        <w:tc>
          <w:tcPr>
            <w:tcW w:w="719" w:type="pct"/>
            <w:gridSpan w:val="2"/>
            <w:tcBorders>
              <w:top w:val="single" w:sz="4" w:space="0" w:color="auto"/>
              <w:bottom w:val="single" w:sz="4" w:space="0" w:color="auto"/>
            </w:tcBorders>
            <w:vAlign w:val="center"/>
          </w:tcPr>
          <w:p w14:paraId="1D91E39B"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UAE</w:t>
            </w:r>
          </w:p>
        </w:tc>
      </w:tr>
      <w:tr w:rsidR="00B725B6" w:rsidRPr="00952DC1" w14:paraId="6629C03D" w14:textId="77777777" w:rsidTr="00215E9A">
        <w:trPr>
          <w:trHeight w:val="340"/>
        </w:trPr>
        <w:tc>
          <w:tcPr>
            <w:tcW w:w="684" w:type="pct"/>
            <w:vMerge/>
            <w:tcBorders>
              <w:top w:val="single" w:sz="4" w:space="0" w:color="auto"/>
              <w:bottom w:val="single" w:sz="4" w:space="0" w:color="auto"/>
              <w:right w:val="single" w:sz="4" w:space="0" w:color="auto"/>
            </w:tcBorders>
            <w:vAlign w:val="center"/>
          </w:tcPr>
          <w:p w14:paraId="157CC536" w14:textId="77777777" w:rsidR="00E40A40" w:rsidRPr="00952DC1" w:rsidRDefault="00E40A40" w:rsidP="00B725B6">
            <w:pPr>
              <w:autoSpaceDE w:val="0"/>
              <w:autoSpaceDN w:val="0"/>
              <w:adjustRightInd w:val="0"/>
              <w:jc w:val="both"/>
              <w:rPr>
                <w:rFonts w:ascii="Times New Roman" w:hAnsi="Times New Roman" w:cs="Times New Roman"/>
                <w:sz w:val="20"/>
                <w:szCs w:val="20"/>
              </w:rPr>
            </w:pPr>
          </w:p>
        </w:tc>
        <w:tc>
          <w:tcPr>
            <w:tcW w:w="361" w:type="pct"/>
            <w:tcBorders>
              <w:top w:val="single" w:sz="4" w:space="0" w:color="auto"/>
              <w:left w:val="single" w:sz="4" w:space="0" w:color="auto"/>
              <w:bottom w:val="single" w:sz="4" w:space="0" w:color="auto"/>
            </w:tcBorders>
            <w:vAlign w:val="center"/>
          </w:tcPr>
          <w:p w14:paraId="6EA66C20"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Mean</w:t>
            </w:r>
          </w:p>
        </w:tc>
        <w:tc>
          <w:tcPr>
            <w:tcW w:w="358" w:type="pct"/>
            <w:tcBorders>
              <w:top w:val="single" w:sz="4" w:space="0" w:color="auto"/>
              <w:bottom w:val="single" w:sz="4" w:space="0" w:color="auto"/>
            </w:tcBorders>
            <w:vAlign w:val="center"/>
          </w:tcPr>
          <w:p w14:paraId="018F0638"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SD</w:t>
            </w:r>
          </w:p>
        </w:tc>
        <w:tc>
          <w:tcPr>
            <w:tcW w:w="361" w:type="pct"/>
            <w:tcBorders>
              <w:top w:val="single" w:sz="4" w:space="0" w:color="auto"/>
              <w:bottom w:val="single" w:sz="4" w:space="0" w:color="auto"/>
            </w:tcBorders>
            <w:vAlign w:val="center"/>
          </w:tcPr>
          <w:p w14:paraId="66EE5481"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Mean</w:t>
            </w:r>
          </w:p>
        </w:tc>
        <w:tc>
          <w:tcPr>
            <w:tcW w:w="358" w:type="pct"/>
            <w:tcBorders>
              <w:top w:val="single" w:sz="4" w:space="0" w:color="auto"/>
              <w:bottom w:val="single" w:sz="4" w:space="0" w:color="auto"/>
            </w:tcBorders>
            <w:vAlign w:val="center"/>
          </w:tcPr>
          <w:p w14:paraId="602CC19D"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SD</w:t>
            </w:r>
          </w:p>
        </w:tc>
        <w:tc>
          <w:tcPr>
            <w:tcW w:w="361" w:type="pct"/>
            <w:tcBorders>
              <w:top w:val="single" w:sz="4" w:space="0" w:color="auto"/>
              <w:bottom w:val="single" w:sz="4" w:space="0" w:color="auto"/>
            </w:tcBorders>
            <w:vAlign w:val="center"/>
          </w:tcPr>
          <w:p w14:paraId="300C86CB"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Mean</w:t>
            </w:r>
          </w:p>
        </w:tc>
        <w:tc>
          <w:tcPr>
            <w:tcW w:w="358" w:type="pct"/>
            <w:tcBorders>
              <w:top w:val="single" w:sz="4" w:space="0" w:color="auto"/>
              <w:bottom w:val="single" w:sz="4" w:space="0" w:color="auto"/>
            </w:tcBorders>
            <w:vAlign w:val="center"/>
          </w:tcPr>
          <w:p w14:paraId="6B9BDCA8"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SD</w:t>
            </w:r>
          </w:p>
        </w:tc>
        <w:tc>
          <w:tcPr>
            <w:tcW w:w="361" w:type="pct"/>
            <w:tcBorders>
              <w:top w:val="single" w:sz="4" w:space="0" w:color="auto"/>
              <w:bottom w:val="single" w:sz="4" w:space="0" w:color="auto"/>
            </w:tcBorders>
            <w:vAlign w:val="center"/>
          </w:tcPr>
          <w:p w14:paraId="556CFABD"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Mean</w:t>
            </w:r>
          </w:p>
        </w:tc>
        <w:tc>
          <w:tcPr>
            <w:tcW w:w="358" w:type="pct"/>
            <w:tcBorders>
              <w:top w:val="single" w:sz="4" w:space="0" w:color="auto"/>
              <w:bottom w:val="single" w:sz="4" w:space="0" w:color="auto"/>
            </w:tcBorders>
            <w:vAlign w:val="center"/>
          </w:tcPr>
          <w:p w14:paraId="50DBF91B"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SD</w:t>
            </w:r>
          </w:p>
        </w:tc>
        <w:tc>
          <w:tcPr>
            <w:tcW w:w="361" w:type="pct"/>
            <w:tcBorders>
              <w:top w:val="single" w:sz="4" w:space="0" w:color="auto"/>
              <w:bottom w:val="single" w:sz="4" w:space="0" w:color="auto"/>
            </w:tcBorders>
            <w:vAlign w:val="center"/>
          </w:tcPr>
          <w:p w14:paraId="21F04F7C"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Mean</w:t>
            </w:r>
          </w:p>
        </w:tc>
        <w:tc>
          <w:tcPr>
            <w:tcW w:w="358" w:type="pct"/>
            <w:tcBorders>
              <w:top w:val="single" w:sz="4" w:space="0" w:color="auto"/>
              <w:bottom w:val="single" w:sz="4" w:space="0" w:color="auto"/>
            </w:tcBorders>
            <w:vAlign w:val="center"/>
          </w:tcPr>
          <w:p w14:paraId="1B261740"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SD</w:t>
            </w:r>
          </w:p>
        </w:tc>
        <w:tc>
          <w:tcPr>
            <w:tcW w:w="361" w:type="pct"/>
            <w:tcBorders>
              <w:top w:val="single" w:sz="4" w:space="0" w:color="auto"/>
              <w:bottom w:val="single" w:sz="4" w:space="0" w:color="auto"/>
            </w:tcBorders>
            <w:vAlign w:val="center"/>
          </w:tcPr>
          <w:p w14:paraId="1F56A581"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Mean</w:t>
            </w:r>
          </w:p>
        </w:tc>
        <w:tc>
          <w:tcPr>
            <w:tcW w:w="358" w:type="pct"/>
            <w:tcBorders>
              <w:top w:val="single" w:sz="4" w:space="0" w:color="auto"/>
              <w:bottom w:val="single" w:sz="4" w:space="0" w:color="auto"/>
            </w:tcBorders>
            <w:vAlign w:val="center"/>
          </w:tcPr>
          <w:p w14:paraId="5A1802A1"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SD</w:t>
            </w:r>
          </w:p>
        </w:tc>
      </w:tr>
      <w:tr w:rsidR="00B725B6" w:rsidRPr="00952DC1" w14:paraId="7046AA3C" w14:textId="77777777" w:rsidTr="00215E9A">
        <w:trPr>
          <w:trHeight w:val="340"/>
        </w:trPr>
        <w:tc>
          <w:tcPr>
            <w:tcW w:w="684" w:type="pct"/>
            <w:tcBorders>
              <w:top w:val="single" w:sz="4" w:space="0" w:color="auto"/>
              <w:bottom w:val="single" w:sz="4" w:space="0" w:color="auto"/>
              <w:right w:val="single" w:sz="4" w:space="0" w:color="auto"/>
            </w:tcBorders>
            <w:vAlign w:val="center"/>
          </w:tcPr>
          <w:p w14:paraId="6AC0D79F" w14:textId="414CEAAE" w:rsidR="00E40A40" w:rsidRPr="00952DC1" w:rsidRDefault="00E40A40" w:rsidP="00A152B0">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NIBE</w:t>
            </w:r>
          </w:p>
        </w:tc>
        <w:tc>
          <w:tcPr>
            <w:tcW w:w="361" w:type="pct"/>
            <w:tcBorders>
              <w:top w:val="single" w:sz="4" w:space="0" w:color="auto"/>
              <w:left w:val="single" w:sz="4" w:space="0" w:color="auto"/>
              <w:bottom w:val="single" w:sz="4" w:space="0" w:color="auto"/>
            </w:tcBorders>
            <w:vAlign w:val="center"/>
          </w:tcPr>
          <w:p w14:paraId="031CEB72"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1.61</w:t>
            </w:r>
          </w:p>
        </w:tc>
        <w:tc>
          <w:tcPr>
            <w:tcW w:w="358" w:type="pct"/>
            <w:tcBorders>
              <w:top w:val="single" w:sz="4" w:space="0" w:color="auto"/>
              <w:bottom w:val="single" w:sz="4" w:space="0" w:color="auto"/>
            </w:tcBorders>
            <w:vAlign w:val="center"/>
          </w:tcPr>
          <w:p w14:paraId="0781317C"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0.784</w:t>
            </w:r>
          </w:p>
        </w:tc>
        <w:tc>
          <w:tcPr>
            <w:tcW w:w="361" w:type="pct"/>
            <w:tcBorders>
              <w:top w:val="single" w:sz="4" w:space="0" w:color="auto"/>
              <w:bottom w:val="single" w:sz="4" w:space="0" w:color="auto"/>
            </w:tcBorders>
            <w:vAlign w:val="center"/>
          </w:tcPr>
          <w:p w14:paraId="025416F4"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0.615</w:t>
            </w:r>
          </w:p>
        </w:tc>
        <w:tc>
          <w:tcPr>
            <w:tcW w:w="358" w:type="pct"/>
            <w:tcBorders>
              <w:top w:val="single" w:sz="4" w:space="0" w:color="auto"/>
              <w:bottom w:val="single" w:sz="4" w:space="0" w:color="auto"/>
            </w:tcBorders>
            <w:vAlign w:val="center"/>
          </w:tcPr>
          <w:p w14:paraId="6F013BE3"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0.738</w:t>
            </w:r>
          </w:p>
        </w:tc>
        <w:tc>
          <w:tcPr>
            <w:tcW w:w="361" w:type="pct"/>
            <w:tcBorders>
              <w:top w:val="single" w:sz="4" w:space="0" w:color="auto"/>
              <w:bottom w:val="single" w:sz="4" w:space="0" w:color="auto"/>
            </w:tcBorders>
            <w:vAlign w:val="center"/>
          </w:tcPr>
          <w:p w14:paraId="1D635953"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1.99</w:t>
            </w:r>
          </w:p>
        </w:tc>
        <w:tc>
          <w:tcPr>
            <w:tcW w:w="358" w:type="pct"/>
            <w:tcBorders>
              <w:top w:val="single" w:sz="4" w:space="0" w:color="auto"/>
              <w:bottom w:val="single" w:sz="4" w:space="0" w:color="auto"/>
            </w:tcBorders>
            <w:vAlign w:val="center"/>
          </w:tcPr>
          <w:p w14:paraId="0766915C"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0.550</w:t>
            </w:r>
          </w:p>
        </w:tc>
        <w:tc>
          <w:tcPr>
            <w:tcW w:w="361" w:type="pct"/>
            <w:tcBorders>
              <w:top w:val="single" w:sz="4" w:space="0" w:color="auto"/>
              <w:bottom w:val="single" w:sz="4" w:space="0" w:color="auto"/>
            </w:tcBorders>
            <w:vAlign w:val="center"/>
          </w:tcPr>
          <w:p w14:paraId="04E31F7D"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1.20</w:t>
            </w:r>
          </w:p>
        </w:tc>
        <w:tc>
          <w:tcPr>
            <w:tcW w:w="358" w:type="pct"/>
            <w:tcBorders>
              <w:top w:val="single" w:sz="4" w:space="0" w:color="auto"/>
              <w:bottom w:val="single" w:sz="4" w:space="0" w:color="auto"/>
            </w:tcBorders>
            <w:vAlign w:val="center"/>
          </w:tcPr>
          <w:p w14:paraId="183BA035"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0.720</w:t>
            </w:r>
          </w:p>
        </w:tc>
        <w:tc>
          <w:tcPr>
            <w:tcW w:w="361" w:type="pct"/>
            <w:tcBorders>
              <w:top w:val="single" w:sz="4" w:space="0" w:color="auto"/>
              <w:bottom w:val="single" w:sz="4" w:space="0" w:color="auto"/>
            </w:tcBorders>
            <w:vAlign w:val="center"/>
          </w:tcPr>
          <w:p w14:paraId="427DC1A8"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1.12</w:t>
            </w:r>
          </w:p>
        </w:tc>
        <w:tc>
          <w:tcPr>
            <w:tcW w:w="358" w:type="pct"/>
            <w:tcBorders>
              <w:top w:val="single" w:sz="4" w:space="0" w:color="auto"/>
              <w:bottom w:val="single" w:sz="4" w:space="0" w:color="auto"/>
            </w:tcBorders>
            <w:vAlign w:val="center"/>
          </w:tcPr>
          <w:p w14:paraId="6D7B30E8"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0.729</w:t>
            </w:r>
          </w:p>
        </w:tc>
        <w:tc>
          <w:tcPr>
            <w:tcW w:w="361" w:type="pct"/>
            <w:tcBorders>
              <w:top w:val="single" w:sz="4" w:space="0" w:color="auto"/>
              <w:bottom w:val="single" w:sz="4" w:space="0" w:color="auto"/>
            </w:tcBorders>
            <w:vAlign w:val="center"/>
          </w:tcPr>
          <w:p w14:paraId="2A101D2F"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1.65</w:t>
            </w:r>
          </w:p>
        </w:tc>
        <w:tc>
          <w:tcPr>
            <w:tcW w:w="358" w:type="pct"/>
            <w:tcBorders>
              <w:top w:val="single" w:sz="4" w:space="0" w:color="auto"/>
              <w:bottom w:val="single" w:sz="4" w:space="0" w:color="auto"/>
            </w:tcBorders>
            <w:vAlign w:val="center"/>
          </w:tcPr>
          <w:p w14:paraId="473C52F0"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0.643</w:t>
            </w:r>
          </w:p>
        </w:tc>
      </w:tr>
      <w:tr w:rsidR="00B725B6" w:rsidRPr="00952DC1" w14:paraId="5C28B69D" w14:textId="77777777" w:rsidTr="00215E9A">
        <w:trPr>
          <w:trHeight w:val="340"/>
        </w:trPr>
        <w:tc>
          <w:tcPr>
            <w:tcW w:w="684" w:type="pct"/>
            <w:tcBorders>
              <w:top w:val="single" w:sz="4" w:space="0" w:color="auto"/>
              <w:bottom w:val="single" w:sz="4" w:space="0" w:color="auto"/>
              <w:right w:val="single" w:sz="4" w:space="0" w:color="auto"/>
            </w:tcBorders>
            <w:vAlign w:val="center"/>
          </w:tcPr>
          <w:p w14:paraId="61FDB2F6" w14:textId="3ED3E084" w:rsidR="00E40A40" w:rsidRPr="00952DC1" w:rsidRDefault="00E40A40" w:rsidP="00A152B0">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Return</w:t>
            </w:r>
            <w:r w:rsidR="00A152B0">
              <w:rPr>
                <w:rFonts w:ascii="Times New Roman" w:hAnsi="Times New Roman" w:cs="Times New Roman"/>
                <w:sz w:val="20"/>
                <w:szCs w:val="20"/>
              </w:rPr>
              <w:t xml:space="preserve"> </w:t>
            </w:r>
            <w:r w:rsidRPr="00952DC1">
              <w:rPr>
                <w:rFonts w:ascii="Times New Roman" w:hAnsi="Times New Roman" w:cs="Times New Roman"/>
                <w:sz w:val="20"/>
                <w:szCs w:val="20"/>
              </w:rPr>
              <w:t>(Ret)</w:t>
            </w:r>
          </w:p>
        </w:tc>
        <w:tc>
          <w:tcPr>
            <w:tcW w:w="361" w:type="pct"/>
            <w:tcBorders>
              <w:top w:val="single" w:sz="4" w:space="0" w:color="auto"/>
              <w:left w:val="single" w:sz="4" w:space="0" w:color="auto"/>
              <w:bottom w:val="single" w:sz="4" w:space="0" w:color="auto"/>
            </w:tcBorders>
            <w:vAlign w:val="center"/>
          </w:tcPr>
          <w:p w14:paraId="5CC7683F"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1.35</w:t>
            </w:r>
          </w:p>
        </w:tc>
        <w:tc>
          <w:tcPr>
            <w:tcW w:w="358" w:type="pct"/>
            <w:tcBorders>
              <w:top w:val="single" w:sz="4" w:space="0" w:color="auto"/>
              <w:bottom w:val="single" w:sz="4" w:space="0" w:color="auto"/>
            </w:tcBorders>
            <w:vAlign w:val="center"/>
          </w:tcPr>
          <w:p w14:paraId="68F733C4"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0.495</w:t>
            </w:r>
          </w:p>
        </w:tc>
        <w:tc>
          <w:tcPr>
            <w:tcW w:w="361" w:type="pct"/>
            <w:tcBorders>
              <w:top w:val="single" w:sz="4" w:space="0" w:color="auto"/>
              <w:bottom w:val="single" w:sz="4" w:space="0" w:color="auto"/>
            </w:tcBorders>
            <w:vAlign w:val="center"/>
          </w:tcPr>
          <w:p w14:paraId="6E89E235"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1.29</w:t>
            </w:r>
          </w:p>
        </w:tc>
        <w:tc>
          <w:tcPr>
            <w:tcW w:w="358" w:type="pct"/>
            <w:tcBorders>
              <w:top w:val="single" w:sz="4" w:space="0" w:color="auto"/>
              <w:bottom w:val="single" w:sz="4" w:space="0" w:color="auto"/>
            </w:tcBorders>
            <w:vAlign w:val="center"/>
          </w:tcPr>
          <w:p w14:paraId="3AB7FCB2"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0.660</w:t>
            </w:r>
          </w:p>
        </w:tc>
        <w:tc>
          <w:tcPr>
            <w:tcW w:w="361" w:type="pct"/>
            <w:tcBorders>
              <w:top w:val="single" w:sz="4" w:space="0" w:color="auto"/>
              <w:bottom w:val="single" w:sz="4" w:space="0" w:color="auto"/>
            </w:tcBorders>
            <w:vAlign w:val="center"/>
          </w:tcPr>
          <w:p w14:paraId="3F6612CE"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1.32</w:t>
            </w:r>
          </w:p>
        </w:tc>
        <w:tc>
          <w:tcPr>
            <w:tcW w:w="358" w:type="pct"/>
            <w:tcBorders>
              <w:top w:val="single" w:sz="4" w:space="0" w:color="auto"/>
              <w:bottom w:val="single" w:sz="4" w:space="0" w:color="auto"/>
            </w:tcBorders>
            <w:vAlign w:val="center"/>
          </w:tcPr>
          <w:p w14:paraId="49EC3004"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0.531</w:t>
            </w:r>
          </w:p>
        </w:tc>
        <w:tc>
          <w:tcPr>
            <w:tcW w:w="361" w:type="pct"/>
            <w:tcBorders>
              <w:top w:val="single" w:sz="4" w:space="0" w:color="auto"/>
              <w:bottom w:val="single" w:sz="4" w:space="0" w:color="auto"/>
            </w:tcBorders>
            <w:vAlign w:val="center"/>
          </w:tcPr>
          <w:p w14:paraId="04FAF8BA"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1.08</w:t>
            </w:r>
          </w:p>
        </w:tc>
        <w:tc>
          <w:tcPr>
            <w:tcW w:w="358" w:type="pct"/>
            <w:tcBorders>
              <w:top w:val="single" w:sz="4" w:space="0" w:color="auto"/>
              <w:bottom w:val="single" w:sz="4" w:space="0" w:color="auto"/>
            </w:tcBorders>
            <w:vAlign w:val="center"/>
          </w:tcPr>
          <w:p w14:paraId="2B24A0EF"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0.421</w:t>
            </w:r>
          </w:p>
        </w:tc>
        <w:tc>
          <w:tcPr>
            <w:tcW w:w="361" w:type="pct"/>
            <w:tcBorders>
              <w:top w:val="single" w:sz="4" w:space="0" w:color="auto"/>
              <w:bottom w:val="single" w:sz="4" w:space="0" w:color="auto"/>
            </w:tcBorders>
            <w:vAlign w:val="center"/>
          </w:tcPr>
          <w:p w14:paraId="373EAE7E"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1.18</w:t>
            </w:r>
          </w:p>
        </w:tc>
        <w:tc>
          <w:tcPr>
            <w:tcW w:w="358" w:type="pct"/>
            <w:tcBorders>
              <w:top w:val="single" w:sz="4" w:space="0" w:color="auto"/>
              <w:bottom w:val="single" w:sz="4" w:space="0" w:color="auto"/>
            </w:tcBorders>
            <w:vAlign w:val="center"/>
          </w:tcPr>
          <w:p w14:paraId="7AB8DE0E"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0.549</w:t>
            </w:r>
          </w:p>
        </w:tc>
        <w:tc>
          <w:tcPr>
            <w:tcW w:w="361" w:type="pct"/>
            <w:tcBorders>
              <w:top w:val="single" w:sz="4" w:space="0" w:color="auto"/>
              <w:bottom w:val="single" w:sz="4" w:space="0" w:color="auto"/>
            </w:tcBorders>
            <w:vAlign w:val="center"/>
          </w:tcPr>
          <w:p w14:paraId="212BA777"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1.43</w:t>
            </w:r>
          </w:p>
        </w:tc>
        <w:tc>
          <w:tcPr>
            <w:tcW w:w="358" w:type="pct"/>
            <w:tcBorders>
              <w:top w:val="single" w:sz="4" w:space="0" w:color="auto"/>
              <w:bottom w:val="single" w:sz="4" w:space="0" w:color="auto"/>
            </w:tcBorders>
            <w:vAlign w:val="center"/>
          </w:tcPr>
          <w:p w14:paraId="22C434C2"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0.575</w:t>
            </w:r>
          </w:p>
        </w:tc>
      </w:tr>
      <w:tr w:rsidR="00B725B6" w:rsidRPr="00952DC1" w14:paraId="5A90B092" w14:textId="77777777" w:rsidTr="00215E9A">
        <w:trPr>
          <w:trHeight w:val="340"/>
        </w:trPr>
        <w:tc>
          <w:tcPr>
            <w:tcW w:w="684" w:type="pct"/>
            <w:tcBorders>
              <w:top w:val="single" w:sz="4" w:space="0" w:color="auto"/>
              <w:bottom w:val="single" w:sz="4" w:space="0" w:color="auto"/>
              <w:right w:val="single" w:sz="4" w:space="0" w:color="auto"/>
            </w:tcBorders>
            <w:vAlign w:val="center"/>
          </w:tcPr>
          <w:p w14:paraId="20F29175" w14:textId="77777777" w:rsidR="00E40A40" w:rsidRPr="00952DC1" w:rsidRDefault="00E40A40" w:rsidP="00A152B0">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P</w:t>
            </w:r>
          </w:p>
        </w:tc>
        <w:tc>
          <w:tcPr>
            <w:tcW w:w="361" w:type="pct"/>
            <w:tcBorders>
              <w:top w:val="single" w:sz="4" w:space="0" w:color="auto"/>
              <w:left w:val="single" w:sz="4" w:space="0" w:color="auto"/>
              <w:bottom w:val="single" w:sz="4" w:space="0" w:color="auto"/>
            </w:tcBorders>
            <w:vAlign w:val="center"/>
          </w:tcPr>
          <w:p w14:paraId="14C308FA"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0.96</w:t>
            </w:r>
          </w:p>
        </w:tc>
        <w:tc>
          <w:tcPr>
            <w:tcW w:w="358" w:type="pct"/>
            <w:tcBorders>
              <w:top w:val="single" w:sz="4" w:space="0" w:color="auto"/>
              <w:bottom w:val="single" w:sz="4" w:space="0" w:color="auto"/>
            </w:tcBorders>
            <w:vAlign w:val="center"/>
          </w:tcPr>
          <w:p w14:paraId="193C1FA3"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0.288</w:t>
            </w:r>
          </w:p>
        </w:tc>
        <w:tc>
          <w:tcPr>
            <w:tcW w:w="361" w:type="pct"/>
            <w:tcBorders>
              <w:top w:val="single" w:sz="4" w:space="0" w:color="auto"/>
              <w:bottom w:val="single" w:sz="4" w:space="0" w:color="auto"/>
            </w:tcBorders>
            <w:vAlign w:val="center"/>
          </w:tcPr>
          <w:p w14:paraId="32966843"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0.072</w:t>
            </w:r>
          </w:p>
        </w:tc>
        <w:tc>
          <w:tcPr>
            <w:tcW w:w="358" w:type="pct"/>
            <w:tcBorders>
              <w:top w:val="single" w:sz="4" w:space="0" w:color="auto"/>
              <w:bottom w:val="single" w:sz="4" w:space="0" w:color="auto"/>
            </w:tcBorders>
            <w:vAlign w:val="center"/>
          </w:tcPr>
          <w:p w14:paraId="4F2AA715"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0.465</w:t>
            </w:r>
          </w:p>
        </w:tc>
        <w:tc>
          <w:tcPr>
            <w:tcW w:w="361" w:type="pct"/>
            <w:tcBorders>
              <w:top w:val="single" w:sz="4" w:space="0" w:color="auto"/>
              <w:bottom w:val="single" w:sz="4" w:space="0" w:color="auto"/>
            </w:tcBorders>
            <w:vAlign w:val="center"/>
          </w:tcPr>
          <w:p w14:paraId="3258BB2E"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0.827</w:t>
            </w:r>
          </w:p>
        </w:tc>
        <w:tc>
          <w:tcPr>
            <w:tcW w:w="358" w:type="pct"/>
            <w:tcBorders>
              <w:top w:val="single" w:sz="4" w:space="0" w:color="auto"/>
              <w:bottom w:val="single" w:sz="4" w:space="0" w:color="auto"/>
            </w:tcBorders>
            <w:vAlign w:val="center"/>
          </w:tcPr>
          <w:p w14:paraId="1111926E"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0.544</w:t>
            </w:r>
          </w:p>
        </w:tc>
        <w:tc>
          <w:tcPr>
            <w:tcW w:w="361" w:type="pct"/>
            <w:tcBorders>
              <w:top w:val="single" w:sz="4" w:space="0" w:color="auto"/>
              <w:bottom w:val="single" w:sz="4" w:space="0" w:color="auto"/>
            </w:tcBorders>
            <w:vAlign w:val="center"/>
          </w:tcPr>
          <w:p w14:paraId="6A2B3AB5"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0.035</w:t>
            </w:r>
          </w:p>
        </w:tc>
        <w:tc>
          <w:tcPr>
            <w:tcW w:w="358" w:type="pct"/>
            <w:tcBorders>
              <w:top w:val="single" w:sz="4" w:space="0" w:color="auto"/>
              <w:bottom w:val="single" w:sz="4" w:space="0" w:color="auto"/>
            </w:tcBorders>
            <w:vAlign w:val="center"/>
          </w:tcPr>
          <w:p w14:paraId="17782D2A"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0.247</w:t>
            </w:r>
          </w:p>
        </w:tc>
        <w:tc>
          <w:tcPr>
            <w:tcW w:w="361" w:type="pct"/>
            <w:tcBorders>
              <w:top w:val="single" w:sz="4" w:space="0" w:color="auto"/>
              <w:bottom w:val="single" w:sz="4" w:space="0" w:color="auto"/>
            </w:tcBorders>
            <w:vAlign w:val="center"/>
          </w:tcPr>
          <w:p w14:paraId="78695DF3"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1.51</w:t>
            </w:r>
          </w:p>
        </w:tc>
        <w:tc>
          <w:tcPr>
            <w:tcW w:w="358" w:type="pct"/>
            <w:tcBorders>
              <w:top w:val="single" w:sz="4" w:space="0" w:color="auto"/>
              <w:bottom w:val="single" w:sz="4" w:space="0" w:color="auto"/>
            </w:tcBorders>
            <w:vAlign w:val="center"/>
          </w:tcPr>
          <w:p w14:paraId="7D462E3B"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0.370</w:t>
            </w:r>
          </w:p>
        </w:tc>
        <w:tc>
          <w:tcPr>
            <w:tcW w:w="361" w:type="pct"/>
            <w:tcBorders>
              <w:top w:val="single" w:sz="4" w:space="0" w:color="auto"/>
              <w:bottom w:val="single" w:sz="4" w:space="0" w:color="auto"/>
            </w:tcBorders>
            <w:vAlign w:val="center"/>
          </w:tcPr>
          <w:p w14:paraId="0868907D"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0.228</w:t>
            </w:r>
          </w:p>
        </w:tc>
        <w:tc>
          <w:tcPr>
            <w:tcW w:w="358" w:type="pct"/>
            <w:tcBorders>
              <w:top w:val="single" w:sz="4" w:space="0" w:color="auto"/>
              <w:bottom w:val="single" w:sz="4" w:space="0" w:color="auto"/>
            </w:tcBorders>
            <w:vAlign w:val="center"/>
          </w:tcPr>
          <w:p w14:paraId="2E7BB30C"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0.826</w:t>
            </w:r>
          </w:p>
        </w:tc>
      </w:tr>
      <w:tr w:rsidR="00B725B6" w:rsidRPr="00952DC1" w14:paraId="3F422788" w14:textId="77777777" w:rsidTr="00215E9A">
        <w:trPr>
          <w:trHeight w:val="340"/>
        </w:trPr>
        <w:tc>
          <w:tcPr>
            <w:tcW w:w="684" w:type="pct"/>
            <w:tcBorders>
              <w:top w:val="single" w:sz="4" w:space="0" w:color="auto"/>
              <w:bottom w:val="single" w:sz="4" w:space="0" w:color="auto"/>
              <w:right w:val="single" w:sz="4" w:space="0" w:color="auto"/>
            </w:tcBorders>
            <w:vAlign w:val="center"/>
          </w:tcPr>
          <w:p w14:paraId="7BD2A960" w14:textId="77777777" w:rsidR="00E40A40" w:rsidRPr="00952DC1" w:rsidRDefault="00E40A40" w:rsidP="00A152B0">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NIBE/P</w:t>
            </w:r>
          </w:p>
        </w:tc>
        <w:tc>
          <w:tcPr>
            <w:tcW w:w="361" w:type="pct"/>
            <w:tcBorders>
              <w:top w:val="single" w:sz="4" w:space="0" w:color="auto"/>
              <w:left w:val="single" w:sz="4" w:space="0" w:color="auto"/>
              <w:bottom w:val="single" w:sz="4" w:space="0" w:color="auto"/>
            </w:tcBorders>
            <w:vAlign w:val="center"/>
          </w:tcPr>
          <w:p w14:paraId="5BB8CDFF"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0.655</w:t>
            </w:r>
          </w:p>
        </w:tc>
        <w:tc>
          <w:tcPr>
            <w:tcW w:w="358" w:type="pct"/>
            <w:tcBorders>
              <w:top w:val="single" w:sz="4" w:space="0" w:color="auto"/>
              <w:bottom w:val="single" w:sz="4" w:space="0" w:color="auto"/>
            </w:tcBorders>
            <w:vAlign w:val="center"/>
          </w:tcPr>
          <w:p w14:paraId="5BC38EDF"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0.739</w:t>
            </w:r>
          </w:p>
        </w:tc>
        <w:tc>
          <w:tcPr>
            <w:tcW w:w="361" w:type="pct"/>
            <w:tcBorders>
              <w:top w:val="single" w:sz="4" w:space="0" w:color="auto"/>
              <w:bottom w:val="single" w:sz="4" w:space="0" w:color="auto"/>
            </w:tcBorders>
            <w:vAlign w:val="center"/>
          </w:tcPr>
          <w:p w14:paraId="784CD5AD"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0.627</w:t>
            </w:r>
          </w:p>
        </w:tc>
        <w:tc>
          <w:tcPr>
            <w:tcW w:w="358" w:type="pct"/>
            <w:tcBorders>
              <w:top w:val="single" w:sz="4" w:space="0" w:color="auto"/>
              <w:bottom w:val="single" w:sz="4" w:space="0" w:color="auto"/>
            </w:tcBorders>
            <w:vAlign w:val="center"/>
          </w:tcPr>
          <w:p w14:paraId="36AE57CB"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0.689</w:t>
            </w:r>
          </w:p>
        </w:tc>
        <w:tc>
          <w:tcPr>
            <w:tcW w:w="361" w:type="pct"/>
            <w:tcBorders>
              <w:top w:val="single" w:sz="4" w:space="0" w:color="auto"/>
              <w:bottom w:val="single" w:sz="4" w:space="0" w:color="auto"/>
            </w:tcBorders>
            <w:vAlign w:val="center"/>
          </w:tcPr>
          <w:p w14:paraId="596AC9A8"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0.827</w:t>
            </w:r>
          </w:p>
        </w:tc>
        <w:tc>
          <w:tcPr>
            <w:tcW w:w="358" w:type="pct"/>
            <w:tcBorders>
              <w:top w:val="single" w:sz="4" w:space="0" w:color="auto"/>
              <w:bottom w:val="single" w:sz="4" w:space="0" w:color="auto"/>
            </w:tcBorders>
            <w:vAlign w:val="center"/>
          </w:tcPr>
          <w:p w14:paraId="70C713BC"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0.544</w:t>
            </w:r>
          </w:p>
        </w:tc>
        <w:tc>
          <w:tcPr>
            <w:tcW w:w="361" w:type="pct"/>
            <w:tcBorders>
              <w:top w:val="single" w:sz="4" w:space="0" w:color="auto"/>
              <w:bottom w:val="single" w:sz="4" w:space="0" w:color="auto"/>
            </w:tcBorders>
            <w:vAlign w:val="center"/>
          </w:tcPr>
          <w:p w14:paraId="204D0E1B"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1.40</w:t>
            </w:r>
          </w:p>
        </w:tc>
        <w:tc>
          <w:tcPr>
            <w:tcW w:w="358" w:type="pct"/>
            <w:tcBorders>
              <w:top w:val="single" w:sz="4" w:space="0" w:color="auto"/>
              <w:bottom w:val="single" w:sz="4" w:space="0" w:color="auto"/>
            </w:tcBorders>
            <w:vAlign w:val="center"/>
          </w:tcPr>
          <w:p w14:paraId="4722F08F"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0.604</w:t>
            </w:r>
          </w:p>
        </w:tc>
        <w:tc>
          <w:tcPr>
            <w:tcW w:w="361" w:type="pct"/>
            <w:tcBorders>
              <w:top w:val="single" w:sz="4" w:space="0" w:color="auto"/>
              <w:bottom w:val="single" w:sz="4" w:space="0" w:color="auto"/>
            </w:tcBorders>
            <w:vAlign w:val="center"/>
          </w:tcPr>
          <w:p w14:paraId="2273741E"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1.25</w:t>
            </w:r>
          </w:p>
        </w:tc>
        <w:tc>
          <w:tcPr>
            <w:tcW w:w="358" w:type="pct"/>
            <w:tcBorders>
              <w:top w:val="single" w:sz="4" w:space="0" w:color="auto"/>
              <w:bottom w:val="single" w:sz="4" w:space="0" w:color="auto"/>
            </w:tcBorders>
            <w:vAlign w:val="center"/>
          </w:tcPr>
          <w:p w14:paraId="423A7864"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0.611</w:t>
            </w:r>
          </w:p>
        </w:tc>
        <w:tc>
          <w:tcPr>
            <w:tcW w:w="361" w:type="pct"/>
            <w:tcBorders>
              <w:top w:val="single" w:sz="4" w:space="0" w:color="auto"/>
              <w:bottom w:val="single" w:sz="4" w:space="0" w:color="auto"/>
            </w:tcBorders>
            <w:vAlign w:val="center"/>
          </w:tcPr>
          <w:p w14:paraId="582977D5"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1.90</w:t>
            </w:r>
          </w:p>
        </w:tc>
        <w:tc>
          <w:tcPr>
            <w:tcW w:w="358" w:type="pct"/>
            <w:tcBorders>
              <w:top w:val="single" w:sz="4" w:space="0" w:color="auto"/>
              <w:bottom w:val="single" w:sz="4" w:space="0" w:color="auto"/>
            </w:tcBorders>
            <w:vAlign w:val="center"/>
          </w:tcPr>
          <w:p w14:paraId="49E7089C"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0.626</w:t>
            </w:r>
          </w:p>
        </w:tc>
      </w:tr>
      <w:tr w:rsidR="007F15D8" w:rsidRPr="00952DC1" w14:paraId="23C9D06B" w14:textId="77777777" w:rsidTr="00215E9A">
        <w:trPr>
          <w:trHeight w:val="340"/>
        </w:trPr>
        <w:tc>
          <w:tcPr>
            <w:tcW w:w="684" w:type="pct"/>
            <w:tcBorders>
              <w:top w:val="single" w:sz="4" w:space="0" w:color="auto"/>
              <w:bottom w:val="single" w:sz="4" w:space="0" w:color="auto"/>
              <w:right w:val="single" w:sz="4" w:space="0" w:color="auto"/>
            </w:tcBorders>
            <w:vAlign w:val="center"/>
          </w:tcPr>
          <w:p w14:paraId="67F36498" w14:textId="77777777" w:rsidR="00E40A40" w:rsidRPr="00952DC1" w:rsidRDefault="00E40A40" w:rsidP="00A152B0">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Correlation</w:t>
            </w:r>
          </w:p>
        </w:tc>
        <w:tc>
          <w:tcPr>
            <w:tcW w:w="719" w:type="pct"/>
            <w:gridSpan w:val="2"/>
            <w:tcBorders>
              <w:top w:val="single" w:sz="4" w:space="0" w:color="auto"/>
              <w:left w:val="single" w:sz="4" w:space="0" w:color="auto"/>
              <w:bottom w:val="single" w:sz="4" w:space="0" w:color="auto"/>
            </w:tcBorders>
            <w:vAlign w:val="center"/>
          </w:tcPr>
          <w:p w14:paraId="7F671366"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0.019</w:t>
            </w:r>
          </w:p>
        </w:tc>
        <w:tc>
          <w:tcPr>
            <w:tcW w:w="719" w:type="pct"/>
            <w:gridSpan w:val="2"/>
            <w:tcBorders>
              <w:top w:val="single" w:sz="4" w:space="0" w:color="auto"/>
              <w:bottom w:val="single" w:sz="4" w:space="0" w:color="auto"/>
            </w:tcBorders>
            <w:vAlign w:val="center"/>
          </w:tcPr>
          <w:p w14:paraId="30603DBF"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0.288**</w:t>
            </w:r>
          </w:p>
        </w:tc>
        <w:tc>
          <w:tcPr>
            <w:tcW w:w="719" w:type="pct"/>
            <w:gridSpan w:val="2"/>
            <w:tcBorders>
              <w:top w:val="single" w:sz="4" w:space="0" w:color="auto"/>
              <w:bottom w:val="single" w:sz="4" w:space="0" w:color="auto"/>
            </w:tcBorders>
            <w:vAlign w:val="center"/>
          </w:tcPr>
          <w:p w14:paraId="772D8E71"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0.223*</w:t>
            </w:r>
          </w:p>
        </w:tc>
        <w:tc>
          <w:tcPr>
            <w:tcW w:w="719" w:type="pct"/>
            <w:gridSpan w:val="2"/>
            <w:tcBorders>
              <w:top w:val="single" w:sz="4" w:space="0" w:color="auto"/>
              <w:bottom w:val="single" w:sz="4" w:space="0" w:color="auto"/>
            </w:tcBorders>
            <w:vAlign w:val="center"/>
          </w:tcPr>
          <w:p w14:paraId="29BE7EE3"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0.078</w:t>
            </w:r>
          </w:p>
        </w:tc>
        <w:tc>
          <w:tcPr>
            <w:tcW w:w="719" w:type="pct"/>
            <w:gridSpan w:val="2"/>
            <w:tcBorders>
              <w:top w:val="single" w:sz="4" w:space="0" w:color="auto"/>
              <w:bottom w:val="single" w:sz="4" w:space="0" w:color="auto"/>
            </w:tcBorders>
            <w:vAlign w:val="center"/>
          </w:tcPr>
          <w:p w14:paraId="0C168B6E"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0.110</w:t>
            </w:r>
          </w:p>
        </w:tc>
        <w:tc>
          <w:tcPr>
            <w:tcW w:w="719" w:type="pct"/>
            <w:gridSpan w:val="2"/>
            <w:tcBorders>
              <w:top w:val="single" w:sz="4" w:space="0" w:color="auto"/>
              <w:bottom w:val="single" w:sz="4" w:space="0" w:color="auto"/>
            </w:tcBorders>
            <w:vAlign w:val="center"/>
          </w:tcPr>
          <w:p w14:paraId="57EFC0F1" w14:textId="77777777" w:rsidR="00E40A40" w:rsidRPr="00952DC1" w:rsidRDefault="00E40A40" w:rsidP="00B725B6">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0.224*</w:t>
            </w:r>
          </w:p>
        </w:tc>
      </w:tr>
      <w:tr w:rsidR="007F15D8" w:rsidRPr="00952DC1" w14:paraId="3E1F790A" w14:textId="77777777" w:rsidTr="00215E9A">
        <w:trPr>
          <w:trHeight w:val="340"/>
        </w:trPr>
        <w:tc>
          <w:tcPr>
            <w:tcW w:w="684" w:type="pct"/>
            <w:tcBorders>
              <w:top w:val="single" w:sz="4" w:space="0" w:color="auto"/>
              <w:bottom w:val="single" w:sz="4" w:space="0" w:color="auto"/>
              <w:right w:val="single" w:sz="4" w:space="0" w:color="auto"/>
            </w:tcBorders>
            <w:vAlign w:val="center"/>
          </w:tcPr>
          <w:p w14:paraId="104D5DCF" w14:textId="6158F07B" w:rsidR="00E40A40" w:rsidRPr="00952DC1" w:rsidRDefault="00E40A40" w:rsidP="00A152B0">
            <w:pPr>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EQ</w:t>
            </w:r>
            <w:r w:rsidR="00A152B0">
              <w:rPr>
                <w:rFonts w:ascii="Times New Roman" w:hAnsi="Times New Roman" w:cs="Times New Roman"/>
                <w:sz w:val="20"/>
                <w:szCs w:val="20"/>
              </w:rPr>
              <w:t xml:space="preserve"> </w:t>
            </w:r>
            <w:r w:rsidRPr="00952DC1">
              <w:rPr>
                <w:rFonts w:ascii="Times New Roman" w:hAnsi="Times New Roman" w:cs="Times New Roman"/>
                <w:sz w:val="20"/>
                <w:szCs w:val="20"/>
              </w:rPr>
              <w:t>(ERC)- β</w:t>
            </w:r>
          </w:p>
        </w:tc>
        <w:tc>
          <w:tcPr>
            <w:tcW w:w="719" w:type="pct"/>
            <w:gridSpan w:val="2"/>
            <w:tcBorders>
              <w:top w:val="single" w:sz="4" w:space="0" w:color="auto"/>
              <w:left w:val="single" w:sz="4" w:space="0" w:color="auto"/>
              <w:bottom w:val="single" w:sz="4" w:space="0" w:color="auto"/>
            </w:tcBorders>
            <w:vAlign w:val="center"/>
          </w:tcPr>
          <w:p w14:paraId="031485E0" w14:textId="77777777" w:rsidR="00E40A40" w:rsidRPr="00952DC1" w:rsidRDefault="00E40A40" w:rsidP="00B725B6">
            <w:pPr>
              <w:tabs>
                <w:tab w:val="left" w:pos="4536"/>
              </w:tabs>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0.058</w:t>
            </w:r>
          </w:p>
        </w:tc>
        <w:tc>
          <w:tcPr>
            <w:tcW w:w="719" w:type="pct"/>
            <w:gridSpan w:val="2"/>
            <w:tcBorders>
              <w:top w:val="single" w:sz="4" w:space="0" w:color="auto"/>
              <w:bottom w:val="single" w:sz="4" w:space="0" w:color="auto"/>
            </w:tcBorders>
            <w:vAlign w:val="center"/>
          </w:tcPr>
          <w:p w14:paraId="45609447" w14:textId="77777777" w:rsidR="00E40A40" w:rsidRPr="00952DC1" w:rsidRDefault="00E40A40" w:rsidP="00B725B6">
            <w:pPr>
              <w:tabs>
                <w:tab w:val="left" w:pos="4536"/>
              </w:tabs>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0.268**</w:t>
            </w:r>
          </w:p>
        </w:tc>
        <w:tc>
          <w:tcPr>
            <w:tcW w:w="719" w:type="pct"/>
            <w:gridSpan w:val="2"/>
            <w:tcBorders>
              <w:top w:val="single" w:sz="4" w:space="0" w:color="auto"/>
              <w:bottom w:val="single" w:sz="4" w:space="0" w:color="auto"/>
            </w:tcBorders>
            <w:vAlign w:val="center"/>
          </w:tcPr>
          <w:p w14:paraId="25254096" w14:textId="77777777" w:rsidR="00E40A40" w:rsidRPr="00952DC1" w:rsidRDefault="00E40A40" w:rsidP="00B725B6">
            <w:pPr>
              <w:tabs>
                <w:tab w:val="left" w:pos="4536"/>
              </w:tabs>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-0.228</w:t>
            </w:r>
          </w:p>
        </w:tc>
        <w:tc>
          <w:tcPr>
            <w:tcW w:w="719" w:type="pct"/>
            <w:gridSpan w:val="2"/>
            <w:tcBorders>
              <w:top w:val="single" w:sz="4" w:space="0" w:color="auto"/>
              <w:bottom w:val="single" w:sz="4" w:space="0" w:color="auto"/>
            </w:tcBorders>
            <w:vAlign w:val="center"/>
          </w:tcPr>
          <w:p w14:paraId="212B8E57" w14:textId="77777777" w:rsidR="00E40A40" w:rsidRPr="00952DC1" w:rsidRDefault="00E40A40" w:rsidP="00B725B6">
            <w:pPr>
              <w:tabs>
                <w:tab w:val="left" w:pos="4536"/>
              </w:tabs>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-0.064</w:t>
            </w:r>
          </w:p>
        </w:tc>
        <w:tc>
          <w:tcPr>
            <w:tcW w:w="719" w:type="pct"/>
            <w:gridSpan w:val="2"/>
            <w:tcBorders>
              <w:top w:val="single" w:sz="4" w:space="0" w:color="auto"/>
              <w:bottom w:val="single" w:sz="4" w:space="0" w:color="auto"/>
            </w:tcBorders>
            <w:vAlign w:val="center"/>
          </w:tcPr>
          <w:p w14:paraId="1F005CE6" w14:textId="77777777" w:rsidR="00E40A40" w:rsidRPr="00952DC1" w:rsidRDefault="00E40A40" w:rsidP="00B725B6">
            <w:pPr>
              <w:tabs>
                <w:tab w:val="left" w:pos="4536"/>
              </w:tabs>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-0.091</w:t>
            </w:r>
          </w:p>
        </w:tc>
        <w:tc>
          <w:tcPr>
            <w:tcW w:w="719" w:type="pct"/>
            <w:gridSpan w:val="2"/>
            <w:tcBorders>
              <w:top w:val="single" w:sz="4" w:space="0" w:color="auto"/>
              <w:bottom w:val="single" w:sz="4" w:space="0" w:color="auto"/>
            </w:tcBorders>
            <w:vAlign w:val="center"/>
          </w:tcPr>
          <w:p w14:paraId="6BF8AD5B" w14:textId="77777777" w:rsidR="00E40A40" w:rsidRPr="00952DC1" w:rsidRDefault="00E40A40" w:rsidP="00B725B6">
            <w:pPr>
              <w:tabs>
                <w:tab w:val="left" w:pos="4536"/>
              </w:tabs>
              <w:autoSpaceDE w:val="0"/>
              <w:autoSpaceDN w:val="0"/>
              <w:adjustRightInd w:val="0"/>
              <w:jc w:val="center"/>
              <w:rPr>
                <w:rFonts w:ascii="Times New Roman" w:hAnsi="Times New Roman" w:cs="Times New Roman"/>
                <w:sz w:val="20"/>
                <w:szCs w:val="20"/>
              </w:rPr>
            </w:pPr>
            <w:r w:rsidRPr="00952DC1">
              <w:rPr>
                <w:rFonts w:ascii="Times New Roman" w:hAnsi="Times New Roman" w:cs="Times New Roman"/>
                <w:sz w:val="20"/>
                <w:szCs w:val="20"/>
              </w:rPr>
              <w:t>-0.222*</w:t>
            </w:r>
          </w:p>
        </w:tc>
      </w:tr>
    </w:tbl>
    <w:p w14:paraId="42F6D15D" w14:textId="0A7C33B6" w:rsidR="00FD4287" w:rsidRPr="00A152B0" w:rsidRDefault="00215E9A" w:rsidP="00B725B6">
      <w:pPr>
        <w:autoSpaceDE w:val="0"/>
        <w:autoSpaceDN w:val="0"/>
        <w:adjustRightInd w:val="0"/>
        <w:snapToGrid w:val="0"/>
        <w:spacing w:after="0" w:line="360" w:lineRule="exact"/>
        <w:rPr>
          <w:rFonts w:asciiTheme="majorBidi" w:hAnsiTheme="majorBidi" w:cstheme="majorBidi"/>
          <w:szCs w:val="16"/>
        </w:rPr>
      </w:pPr>
      <w:r w:rsidRPr="00215E9A">
        <w:rPr>
          <w:rFonts w:asciiTheme="majorBidi" w:hAnsiTheme="majorBidi" w:cstheme="majorBidi"/>
          <w:i/>
          <w:szCs w:val="24"/>
        </w:rPr>
        <w:t>Note.</w:t>
      </w:r>
      <w:r>
        <w:rPr>
          <w:rFonts w:asciiTheme="majorBidi" w:hAnsiTheme="majorBidi" w:cstheme="majorBidi"/>
          <w:i/>
          <w:szCs w:val="24"/>
        </w:rPr>
        <w:t xml:space="preserve"> </w:t>
      </w:r>
      <w:r w:rsidR="00FD4287" w:rsidRPr="00A152B0">
        <w:rPr>
          <w:rFonts w:asciiTheme="majorBidi" w:hAnsiTheme="majorBidi" w:cstheme="majorBidi"/>
          <w:szCs w:val="16"/>
        </w:rPr>
        <w:t>**Correlation is significant at the 0.01 level (2-tailed).</w:t>
      </w:r>
    </w:p>
    <w:p w14:paraId="10E55485" w14:textId="58FA11CD" w:rsidR="00AF2EA0" w:rsidRPr="00A152B0" w:rsidRDefault="00FD4287" w:rsidP="00B725B6">
      <w:pPr>
        <w:autoSpaceDE w:val="0"/>
        <w:autoSpaceDN w:val="0"/>
        <w:adjustRightInd w:val="0"/>
        <w:snapToGrid w:val="0"/>
        <w:spacing w:after="0" w:line="360" w:lineRule="exact"/>
        <w:rPr>
          <w:rFonts w:ascii="Times New Roman" w:hAnsi="Times New Roman" w:cs="Times New Roman"/>
          <w:sz w:val="36"/>
          <w:szCs w:val="24"/>
        </w:rPr>
      </w:pPr>
      <w:r w:rsidRPr="00A152B0">
        <w:rPr>
          <w:rFonts w:asciiTheme="majorBidi" w:hAnsiTheme="majorBidi" w:cstheme="majorBidi"/>
          <w:szCs w:val="16"/>
        </w:rPr>
        <w:t>*Correlation is significant at the 0.05 level (2-tailed).</w:t>
      </w:r>
      <w:r w:rsidR="00FD6495" w:rsidRPr="00A152B0">
        <w:rPr>
          <w:rFonts w:ascii="Times New Roman" w:hAnsi="Times New Roman" w:cs="Times New Roman"/>
          <w:sz w:val="36"/>
          <w:szCs w:val="24"/>
        </w:rPr>
        <w:t xml:space="preserve"> </w:t>
      </w:r>
    </w:p>
    <w:p w14:paraId="0C89D831" w14:textId="77777777" w:rsidR="00B725B6" w:rsidRPr="007F15D8" w:rsidRDefault="00B725B6" w:rsidP="00B725B6">
      <w:pPr>
        <w:autoSpaceDE w:val="0"/>
        <w:autoSpaceDN w:val="0"/>
        <w:adjustRightInd w:val="0"/>
        <w:snapToGrid w:val="0"/>
        <w:spacing w:after="0" w:line="360" w:lineRule="exact"/>
        <w:rPr>
          <w:rFonts w:asciiTheme="majorBidi" w:hAnsiTheme="majorBidi"/>
          <w:sz w:val="16"/>
        </w:rPr>
      </w:pPr>
    </w:p>
    <w:p w14:paraId="48E81CF3" w14:textId="48489622" w:rsidR="00AF2EA0" w:rsidRPr="007F15D8" w:rsidRDefault="00F72273" w:rsidP="00B725B6">
      <w:pPr>
        <w:snapToGrid w:val="0"/>
        <w:spacing w:after="0" w:line="360" w:lineRule="exact"/>
        <w:ind w:firstLine="510"/>
        <w:jc w:val="both"/>
        <w:rPr>
          <w:rFonts w:ascii="Times New Roman" w:hAnsi="Times New Roman"/>
          <w:sz w:val="26"/>
        </w:rPr>
      </w:pPr>
      <w:r w:rsidRPr="007F15D8">
        <w:rPr>
          <w:rFonts w:ascii="Times New Roman" w:hAnsi="Times New Roman"/>
          <w:sz w:val="26"/>
        </w:rPr>
        <w:t>T</w:t>
      </w:r>
      <w:r w:rsidR="00744572" w:rsidRPr="007F15D8">
        <w:rPr>
          <w:rFonts w:ascii="Times New Roman" w:hAnsi="Times New Roman"/>
          <w:sz w:val="26"/>
        </w:rPr>
        <w:t xml:space="preserve">he means of </w:t>
      </w:r>
      <w:r w:rsidR="00744572" w:rsidRPr="00B730DC">
        <w:rPr>
          <w:rFonts w:ascii="Times New Roman" w:hAnsi="Times New Roman"/>
          <w:i/>
          <w:iCs/>
          <w:sz w:val="26"/>
        </w:rPr>
        <w:t>Ret</w:t>
      </w:r>
      <w:r w:rsidR="00744572" w:rsidRPr="007F15D8">
        <w:rPr>
          <w:rFonts w:ascii="Times New Roman" w:hAnsi="Times New Roman"/>
          <w:sz w:val="26"/>
        </w:rPr>
        <w:t xml:space="preserve"> are positive</w:t>
      </w:r>
      <w:r w:rsidRPr="007F15D8">
        <w:rPr>
          <w:rFonts w:ascii="Times New Roman" w:hAnsi="Times New Roman"/>
          <w:sz w:val="26"/>
        </w:rPr>
        <w:t>.</w:t>
      </w:r>
      <w:r w:rsidR="00744572" w:rsidRPr="007F15D8">
        <w:rPr>
          <w:rFonts w:ascii="Times New Roman" w:hAnsi="Times New Roman"/>
          <w:sz w:val="26"/>
        </w:rPr>
        <w:t xml:space="preserve"> </w:t>
      </w:r>
      <w:r w:rsidRPr="007F15D8">
        <w:rPr>
          <w:rFonts w:ascii="Times New Roman" w:hAnsi="Times New Roman"/>
          <w:sz w:val="26"/>
        </w:rPr>
        <w:t>T</w:t>
      </w:r>
      <w:r w:rsidR="00744572" w:rsidRPr="007F15D8">
        <w:rPr>
          <w:rFonts w:ascii="Times New Roman" w:hAnsi="Times New Roman"/>
          <w:sz w:val="26"/>
        </w:rPr>
        <w:t>he highest is for UAE (1.43)</w:t>
      </w:r>
      <w:r w:rsidR="0046067A">
        <w:rPr>
          <w:rFonts w:ascii="Times New Roman" w:hAnsi="Times New Roman"/>
          <w:sz w:val="26"/>
        </w:rPr>
        <w:t>,</w:t>
      </w:r>
      <w:r w:rsidR="00744572" w:rsidRPr="007F15D8">
        <w:rPr>
          <w:rFonts w:ascii="Times New Roman" w:hAnsi="Times New Roman"/>
          <w:sz w:val="26"/>
        </w:rPr>
        <w:t xml:space="preserve"> and the lowest is for Bahrain (1.08). </w:t>
      </w:r>
      <w:r w:rsidRPr="007F15D8">
        <w:rPr>
          <w:rFonts w:ascii="Times New Roman" w:hAnsi="Times New Roman"/>
          <w:sz w:val="26"/>
        </w:rPr>
        <w:t>M</w:t>
      </w:r>
      <w:r w:rsidR="00744572" w:rsidRPr="007F15D8">
        <w:rPr>
          <w:rFonts w:ascii="Times New Roman" w:hAnsi="Times New Roman"/>
          <w:sz w:val="26"/>
        </w:rPr>
        <w:t>ost GCC firms have positive earnings.</w:t>
      </w:r>
      <w:r w:rsidR="00DB6304" w:rsidRPr="007F15D8">
        <w:rPr>
          <w:rFonts w:ascii="Times New Roman" w:hAnsi="Times New Roman"/>
          <w:sz w:val="26"/>
        </w:rPr>
        <w:t xml:space="preserve"> </w:t>
      </w:r>
      <w:r w:rsidR="0046067A">
        <w:rPr>
          <w:rFonts w:ascii="Times New Roman" w:hAnsi="Times New Roman"/>
          <w:sz w:val="26"/>
        </w:rPr>
        <w:t>The s</w:t>
      </w:r>
      <w:r w:rsidR="0046067A" w:rsidRPr="007F15D8">
        <w:rPr>
          <w:rFonts w:ascii="Times New Roman" w:hAnsi="Times New Roman"/>
          <w:sz w:val="26"/>
        </w:rPr>
        <w:t xml:space="preserve">tock </w:t>
      </w:r>
      <w:r w:rsidR="00DB6304" w:rsidRPr="007F15D8">
        <w:rPr>
          <w:rFonts w:ascii="Times New Roman" w:hAnsi="Times New Roman"/>
          <w:sz w:val="26"/>
        </w:rPr>
        <w:t>price as measured by closing price is more than the par value in all GCC countries.</w:t>
      </w:r>
      <w:r w:rsidR="00744572" w:rsidRPr="007F15D8">
        <w:rPr>
          <w:rFonts w:ascii="Times New Roman" w:hAnsi="Times New Roman"/>
          <w:sz w:val="26"/>
        </w:rPr>
        <w:t xml:space="preserve"> </w:t>
      </w:r>
      <w:r w:rsidR="00BC4673" w:rsidRPr="007F15D8">
        <w:rPr>
          <w:rFonts w:ascii="Times New Roman" w:hAnsi="Times New Roman"/>
          <w:sz w:val="26"/>
        </w:rPr>
        <w:t>The slope</w:t>
      </w:r>
      <w:r w:rsidR="00D85262" w:rsidRPr="007F15D8">
        <w:rPr>
          <w:rFonts w:ascii="Times New Roman" w:hAnsi="Times New Roman"/>
          <w:sz w:val="26"/>
        </w:rPr>
        <w:t xml:space="preserve"> of coefficient β is very low in all six GCC countries</w:t>
      </w:r>
      <w:r w:rsidRPr="007F15D8">
        <w:rPr>
          <w:rFonts w:ascii="Times New Roman" w:hAnsi="Times New Roman"/>
          <w:sz w:val="26"/>
        </w:rPr>
        <w:t>,</w:t>
      </w:r>
      <w:r w:rsidR="00D85262" w:rsidRPr="007F15D8">
        <w:rPr>
          <w:rFonts w:ascii="Times New Roman" w:hAnsi="Times New Roman"/>
          <w:sz w:val="26"/>
        </w:rPr>
        <w:t xml:space="preserve"> which means that </w:t>
      </w:r>
      <w:r w:rsidRPr="007F15D8">
        <w:rPr>
          <w:rFonts w:ascii="Times New Roman" w:hAnsi="Times New Roman"/>
          <w:sz w:val="26"/>
        </w:rPr>
        <w:t xml:space="preserve">the </w:t>
      </w:r>
      <w:r w:rsidR="00D85262" w:rsidRPr="007F15D8">
        <w:rPr>
          <w:rFonts w:ascii="Times New Roman" w:hAnsi="Times New Roman"/>
          <w:sz w:val="26"/>
        </w:rPr>
        <w:t xml:space="preserve">decision usefulness </w:t>
      </w:r>
      <w:r w:rsidRPr="007F15D8">
        <w:rPr>
          <w:rFonts w:ascii="Times New Roman" w:hAnsi="Times New Roman"/>
          <w:sz w:val="26"/>
        </w:rPr>
        <w:t xml:space="preserve">of EQ </w:t>
      </w:r>
      <w:r w:rsidR="00D85262" w:rsidRPr="007F15D8">
        <w:rPr>
          <w:rFonts w:ascii="Times New Roman" w:hAnsi="Times New Roman"/>
          <w:sz w:val="26"/>
        </w:rPr>
        <w:t xml:space="preserve">is low. </w:t>
      </w:r>
      <w:r w:rsidR="00AF2EA0" w:rsidRPr="007F15D8">
        <w:rPr>
          <w:rFonts w:ascii="Times New Roman" w:hAnsi="Times New Roman"/>
          <w:sz w:val="26"/>
        </w:rPr>
        <w:t>The correlation between the Ret and NIBE/P support</w:t>
      </w:r>
      <w:r w:rsidRPr="007F15D8">
        <w:rPr>
          <w:rFonts w:ascii="Times New Roman" w:hAnsi="Times New Roman"/>
          <w:sz w:val="26"/>
        </w:rPr>
        <w:t>s</w:t>
      </w:r>
      <w:r w:rsidR="00AF2EA0" w:rsidRPr="007F15D8">
        <w:rPr>
          <w:rFonts w:ascii="Times New Roman" w:hAnsi="Times New Roman"/>
          <w:sz w:val="26"/>
        </w:rPr>
        <w:t xml:space="preserve"> this conclusion as it is very low in all GCC countries.  </w:t>
      </w:r>
    </w:p>
    <w:p w14:paraId="0BAB7DAF" w14:textId="2F0CB6B1" w:rsidR="008F585F" w:rsidRPr="007F15D8" w:rsidRDefault="008F585F" w:rsidP="00B730DC">
      <w:pPr>
        <w:snapToGrid w:val="0"/>
        <w:spacing w:after="0" w:line="360" w:lineRule="exact"/>
        <w:ind w:firstLine="510"/>
        <w:jc w:val="both"/>
        <w:rPr>
          <w:rFonts w:ascii="Times New Roman" w:hAnsi="Times New Roman"/>
          <w:sz w:val="26"/>
        </w:rPr>
      </w:pPr>
      <w:r w:rsidRPr="007F15D8">
        <w:rPr>
          <w:rFonts w:ascii="Times New Roman" w:hAnsi="Times New Roman"/>
          <w:sz w:val="26"/>
        </w:rPr>
        <w:t xml:space="preserve">The results of this study are against the results of </w:t>
      </w:r>
      <w:proofErr w:type="spellStart"/>
      <w:r w:rsidRPr="007F15D8">
        <w:rPr>
          <w:rFonts w:ascii="Times New Roman" w:hAnsi="Times New Roman"/>
          <w:sz w:val="26"/>
        </w:rPr>
        <w:t>Perotti</w:t>
      </w:r>
      <w:proofErr w:type="spellEnd"/>
      <w:r w:rsidRPr="007F15D8">
        <w:rPr>
          <w:rFonts w:ascii="Times New Roman" w:hAnsi="Times New Roman"/>
          <w:sz w:val="26"/>
        </w:rPr>
        <w:t xml:space="preserve"> </w:t>
      </w:r>
      <w:r w:rsidR="00523653">
        <w:rPr>
          <w:rFonts w:ascii="Times New Roman" w:hAnsi="Times New Roman"/>
          <w:sz w:val="26"/>
        </w:rPr>
        <w:t>and</w:t>
      </w:r>
      <w:r w:rsidRPr="007F15D8">
        <w:rPr>
          <w:rFonts w:ascii="Times New Roman" w:hAnsi="Times New Roman"/>
          <w:sz w:val="26"/>
        </w:rPr>
        <w:t xml:space="preserve"> </w:t>
      </w:r>
      <w:proofErr w:type="spellStart"/>
      <w:r w:rsidR="00A962D9">
        <w:rPr>
          <w:rFonts w:ascii="Times New Roman" w:hAnsi="Times New Roman"/>
          <w:sz w:val="26"/>
        </w:rPr>
        <w:t>Wagenhofer</w:t>
      </w:r>
      <w:proofErr w:type="spellEnd"/>
      <w:r w:rsidRPr="007F15D8">
        <w:rPr>
          <w:rFonts w:ascii="Times New Roman" w:hAnsi="Times New Roman"/>
          <w:sz w:val="26"/>
        </w:rPr>
        <w:t xml:space="preserve"> </w:t>
      </w:r>
      <w:r w:rsidR="00F72273" w:rsidRPr="007F15D8">
        <w:rPr>
          <w:rFonts w:ascii="Times New Roman" w:hAnsi="Times New Roman"/>
          <w:sz w:val="26"/>
        </w:rPr>
        <w:t>(</w:t>
      </w:r>
      <w:r w:rsidRPr="007F15D8">
        <w:rPr>
          <w:rFonts w:ascii="Times New Roman" w:hAnsi="Times New Roman"/>
          <w:sz w:val="26"/>
        </w:rPr>
        <w:t>2014)</w:t>
      </w:r>
      <w:r w:rsidR="00F72273" w:rsidRPr="007F15D8">
        <w:rPr>
          <w:rFonts w:ascii="Times New Roman" w:hAnsi="Times New Roman"/>
          <w:sz w:val="26"/>
        </w:rPr>
        <w:t>,</w:t>
      </w:r>
      <w:r w:rsidRPr="007F15D8">
        <w:rPr>
          <w:rFonts w:ascii="Times New Roman" w:hAnsi="Times New Roman"/>
          <w:sz w:val="26"/>
        </w:rPr>
        <w:t xml:space="preserve"> </w:t>
      </w:r>
      <w:proofErr w:type="spellStart"/>
      <w:r w:rsidRPr="007F15D8">
        <w:rPr>
          <w:rFonts w:ascii="Times New Roman" w:hAnsi="Times New Roman"/>
          <w:sz w:val="26"/>
        </w:rPr>
        <w:t>Chandrapala</w:t>
      </w:r>
      <w:proofErr w:type="spellEnd"/>
      <w:r w:rsidRPr="007F15D8">
        <w:rPr>
          <w:rFonts w:ascii="Times New Roman" w:hAnsi="Times New Roman"/>
          <w:sz w:val="26"/>
        </w:rPr>
        <w:t xml:space="preserve"> (2013)</w:t>
      </w:r>
      <w:r w:rsidR="0046067A">
        <w:rPr>
          <w:rFonts w:ascii="Times New Roman" w:hAnsi="Times New Roman"/>
          <w:sz w:val="26"/>
        </w:rPr>
        <w:t>,</w:t>
      </w:r>
      <w:r w:rsidRPr="007F15D8">
        <w:rPr>
          <w:rFonts w:ascii="Times New Roman" w:hAnsi="Times New Roman"/>
          <w:sz w:val="26"/>
        </w:rPr>
        <w:t xml:space="preserve"> and </w:t>
      </w:r>
      <w:proofErr w:type="gramStart"/>
      <w:r w:rsidRPr="007F15D8">
        <w:rPr>
          <w:rFonts w:ascii="Times New Roman" w:hAnsi="Times New Roman"/>
          <w:sz w:val="26"/>
        </w:rPr>
        <w:t>An</w:t>
      </w:r>
      <w:proofErr w:type="gramEnd"/>
      <w:r w:rsidRPr="007F15D8">
        <w:rPr>
          <w:rFonts w:ascii="Times New Roman" w:hAnsi="Times New Roman"/>
          <w:sz w:val="26"/>
        </w:rPr>
        <w:t xml:space="preserve"> </w:t>
      </w:r>
      <w:r w:rsidR="00F72273" w:rsidRPr="007F15D8">
        <w:rPr>
          <w:rFonts w:ascii="Times New Roman" w:hAnsi="Times New Roman"/>
          <w:sz w:val="26"/>
        </w:rPr>
        <w:t>(</w:t>
      </w:r>
      <w:r w:rsidRPr="007F15D8">
        <w:rPr>
          <w:rFonts w:ascii="Times New Roman" w:hAnsi="Times New Roman"/>
          <w:sz w:val="26"/>
        </w:rPr>
        <w:t>2017)</w:t>
      </w:r>
      <w:r w:rsidR="0046067A">
        <w:rPr>
          <w:rFonts w:ascii="Times New Roman" w:hAnsi="Times New Roman"/>
          <w:sz w:val="26"/>
        </w:rPr>
        <w:t>,</w:t>
      </w:r>
      <w:r w:rsidRPr="007F15D8">
        <w:rPr>
          <w:rFonts w:ascii="Times New Roman" w:hAnsi="Times New Roman"/>
          <w:sz w:val="26"/>
        </w:rPr>
        <w:t xml:space="preserve"> which indicate that value relevance of earnings, stock price</w:t>
      </w:r>
      <w:r w:rsidR="0046067A">
        <w:rPr>
          <w:rFonts w:ascii="Times New Roman" w:hAnsi="Times New Roman"/>
          <w:sz w:val="26"/>
        </w:rPr>
        <w:t>,</w:t>
      </w:r>
      <w:r w:rsidRPr="007F15D8">
        <w:rPr>
          <w:rFonts w:ascii="Times New Roman" w:hAnsi="Times New Roman"/>
          <w:sz w:val="26"/>
        </w:rPr>
        <w:t xml:space="preserve"> and returns of listed firm</w:t>
      </w:r>
      <w:r w:rsidR="00F72273" w:rsidRPr="007F15D8">
        <w:rPr>
          <w:rFonts w:ascii="Times New Roman" w:hAnsi="Times New Roman"/>
          <w:sz w:val="26"/>
        </w:rPr>
        <w:t>s</w:t>
      </w:r>
      <w:r w:rsidRPr="007F15D8">
        <w:rPr>
          <w:rFonts w:ascii="Times New Roman" w:hAnsi="Times New Roman"/>
          <w:sz w:val="26"/>
        </w:rPr>
        <w:t xml:space="preserve"> should be improved. </w:t>
      </w:r>
      <w:r w:rsidR="00F72273" w:rsidRPr="007F15D8">
        <w:rPr>
          <w:rFonts w:ascii="Times New Roman" w:hAnsi="Times New Roman"/>
          <w:sz w:val="26"/>
        </w:rPr>
        <w:t>T</w:t>
      </w:r>
      <w:r w:rsidR="0034553E" w:rsidRPr="007F15D8">
        <w:rPr>
          <w:rFonts w:ascii="Times New Roman" w:hAnsi="Times New Roman"/>
          <w:sz w:val="26"/>
        </w:rPr>
        <w:t>he result</w:t>
      </w:r>
      <w:r w:rsidR="00F72273" w:rsidRPr="007F15D8">
        <w:rPr>
          <w:rFonts w:ascii="Times New Roman" w:hAnsi="Times New Roman"/>
          <w:sz w:val="26"/>
        </w:rPr>
        <w:t>s</w:t>
      </w:r>
      <w:r w:rsidR="0034553E" w:rsidRPr="007F15D8">
        <w:rPr>
          <w:rFonts w:ascii="Times New Roman" w:hAnsi="Times New Roman"/>
          <w:sz w:val="26"/>
        </w:rPr>
        <w:t xml:space="preserve"> </w:t>
      </w:r>
      <w:r w:rsidR="00F72273" w:rsidRPr="007F15D8">
        <w:rPr>
          <w:rFonts w:ascii="Times New Roman" w:hAnsi="Times New Roman"/>
          <w:sz w:val="26"/>
        </w:rPr>
        <w:t xml:space="preserve">are </w:t>
      </w:r>
      <w:r w:rsidR="0034553E" w:rsidRPr="007F15D8">
        <w:rPr>
          <w:rFonts w:ascii="Times New Roman" w:hAnsi="Times New Roman"/>
          <w:sz w:val="26"/>
        </w:rPr>
        <w:t xml:space="preserve">in line with </w:t>
      </w:r>
      <w:r w:rsidR="0046067A">
        <w:rPr>
          <w:rFonts w:ascii="Times New Roman" w:hAnsi="Times New Roman"/>
          <w:sz w:val="26"/>
        </w:rPr>
        <w:t>Callao et al. (2016) study,</w:t>
      </w:r>
      <w:r w:rsidR="00DA0C8A" w:rsidRPr="007F15D8">
        <w:rPr>
          <w:rFonts w:ascii="Times New Roman" w:hAnsi="Times New Roman"/>
          <w:sz w:val="26"/>
        </w:rPr>
        <w:t xml:space="preserve"> </w:t>
      </w:r>
      <w:r w:rsidR="00A41BCF" w:rsidRPr="007F15D8">
        <w:rPr>
          <w:rFonts w:ascii="Times New Roman" w:hAnsi="Times New Roman"/>
          <w:sz w:val="26"/>
        </w:rPr>
        <w:t>wh</w:t>
      </w:r>
      <w:r w:rsidR="0046067A">
        <w:rPr>
          <w:rFonts w:ascii="Times New Roman" w:hAnsi="Times New Roman"/>
          <w:sz w:val="26"/>
        </w:rPr>
        <w:t>ich</w:t>
      </w:r>
      <w:r w:rsidR="00A41BCF" w:rsidRPr="007F15D8">
        <w:rPr>
          <w:rFonts w:ascii="Times New Roman" w:hAnsi="Times New Roman"/>
          <w:sz w:val="26"/>
        </w:rPr>
        <w:t xml:space="preserve"> found</w:t>
      </w:r>
      <w:r w:rsidR="00DA0C8A" w:rsidRPr="007F15D8">
        <w:rPr>
          <w:rFonts w:ascii="Times New Roman" w:hAnsi="Times New Roman"/>
          <w:sz w:val="26"/>
        </w:rPr>
        <w:t xml:space="preserve"> that the value relevance of earnings is low. </w:t>
      </w:r>
    </w:p>
    <w:p w14:paraId="4D014929" w14:textId="3DF6C06D" w:rsidR="00D5790E" w:rsidRDefault="00D5790E" w:rsidP="002B04C7">
      <w:pPr>
        <w:autoSpaceDE w:val="0"/>
        <w:autoSpaceDN w:val="0"/>
        <w:adjustRightInd w:val="0"/>
        <w:snapToGrid w:val="0"/>
        <w:spacing w:after="0" w:line="360" w:lineRule="exact"/>
        <w:ind w:firstLineChars="200" w:firstLine="520"/>
        <w:jc w:val="both"/>
        <w:rPr>
          <w:rFonts w:ascii="Times New Roman" w:hAnsi="Times New Roman"/>
          <w:sz w:val="26"/>
        </w:rPr>
      </w:pPr>
      <w:r w:rsidRPr="007F15D8">
        <w:rPr>
          <w:rFonts w:ascii="Times New Roman" w:hAnsi="Times New Roman"/>
          <w:sz w:val="26"/>
        </w:rPr>
        <w:t xml:space="preserve">Table 9 shows the results of the relationship between value relevance (ERC) and </w:t>
      </w:r>
      <w:r w:rsidR="00F72273" w:rsidRPr="007F15D8">
        <w:rPr>
          <w:rFonts w:ascii="Times New Roman" w:hAnsi="Times New Roman"/>
          <w:sz w:val="26"/>
        </w:rPr>
        <w:t>FI.</w:t>
      </w:r>
    </w:p>
    <w:p w14:paraId="3E40E4F2" w14:textId="77777777" w:rsidR="00B725B6" w:rsidRPr="007F15D8" w:rsidRDefault="00B725B6" w:rsidP="00B725B6">
      <w:pPr>
        <w:autoSpaceDE w:val="0"/>
        <w:autoSpaceDN w:val="0"/>
        <w:adjustRightInd w:val="0"/>
        <w:snapToGrid w:val="0"/>
        <w:spacing w:after="0" w:line="360" w:lineRule="exact"/>
        <w:jc w:val="both"/>
        <w:rPr>
          <w:rFonts w:ascii="Times New Roman" w:hAnsi="Times New Roman"/>
          <w:sz w:val="26"/>
        </w:rPr>
      </w:pPr>
    </w:p>
    <w:p w14:paraId="29A770E5" w14:textId="377BE7F4" w:rsidR="00E40A40" w:rsidRPr="00FA3651" w:rsidRDefault="00E40A40" w:rsidP="00FA3651">
      <w:pPr>
        <w:snapToGrid w:val="0"/>
        <w:spacing w:afterLines="50" w:after="120" w:line="360" w:lineRule="exact"/>
        <w:jc w:val="both"/>
        <w:rPr>
          <w:rFonts w:asciiTheme="majorBidi" w:hAnsiTheme="majorBidi"/>
          <w:sz w:val="26"/>
        </w:rPr>
      </w:pPr>
      <w:r w:rsidRPr="002B04C7">
        <w:rPr>
          <w:rFonts w:asciiTheme="majorBidi" w:hAnsiTheme="majorBidi"/>
          <w:b/>
          <w:sz w:val="26"/>
        </w:rPr>
        <w:lastRenderedPageBreak/>
        <w:t xml:space="preserve">Table </w:t>
      </w:r>
      <w:proofErr w:type="gramStart"/>
      <w:r w:rsidRPr="002B04C7">
        <w:rPr>
          <w:rFonts w:asciiTheme="majorBidi" w:hAnsiTheme="majorBidi"/>
          <w:b/>
          <w:sz w:val="26"/>
        </w:rPr>
        <w:t>9</w:t>
      </w:r>
      <w:r w:rsidR="002B04C7">
        <w:rPr>
          <w:rFonts w:asciiTheme="majorBidi" w:hAnsiTheme="majorBidi"/>
          <w:sz w:val="26"/>
        </w:rPr>
        <w:t xml:space="preserve"> </w:t>
      </w:r>
      <w:r w:rsidRPr="00FA3651">
        <w:rPr>
          <w:rFonts w:asciiTheme="majorBidi" w:hAnsiTheme="majorBidi"/>
          <w:sz w:val="26"/>
        </w:rPr>
        <w:t xml:space="preserve"> </w:t>
      </w:r>
      <w:r w:rsidRPr="002B04C7">
        <w:rPr>
          <w:rFonts w:asciiTheme="majorBidi" w:hAnsiTheme="majorBidi"/>
          <w:i/>
          <w:sz w:val="26"/>
        </w:rPr>
        <w:t>Regression</w:t>
      </w:r>
      <w:proofErr w:type="gramEnd"/>
      <w:r w:rsidRPr="002B04C7">
        <w:rPr>
          <w:rFonts w:asciiTheme="majorBidi" w:hAnsiTheme="majorBidi"/>
          <w:i/>
          <w:sz w:val="26"/>
        </w:rPr>
        <w:t xml:space="preserve"> Results between VR-ERC and FI</w:t>
      </w:r>
    </w:p>
    <w:tbl>
      <w:tblPr>
        <w:tblStyle w:val="a9"/>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
        <w:gridCol w:w="683"/>
        <w:gridCol w:w="645"/>
        <w:gridCol w:w="683"/>
        <w:gridCol w:w="645"/>
        <w:gridCol w:w="683"/>
        <w:gridCol w:w="696"/>
        <w:gridCol w:w="683"/>
        <w:gridCol w:w="637"/>
        <w:gridCol w:w="683"/>
        <w:gridCol w:w="697"/>
        <w:gridCol w:w="683"/>
        <w:gridCol w:w="637"/>
      </w:tblGrid>
      <w:tr w:rsidR="007F15D8" w:rsidRPr="00B725B6" w14:paraId="5A98896B" w14:textId="77777777" w:rsidTr="00215E9A">
        <w:trPr>
          <w:trHeight w:val="340"/>
          <w:jc w:val="center"/>
        </w:trPr>
        <w:tc>
          <w:tcPr>
            <w:tcW w:w="538" w:type="pct"/>
            <w:vMerge w:val="restart"/>
            <w:tcBorders>
              <w:top w:val="single" w:sz="4" w:space="0" w:color="auto"/>
              <w:bottom w:val="single" w:sz="4" w:space="0" w:color="auto"/>
              <w:right w:val="single" w:sz="4" w:space="0" w:color="auto"/>
              <w:tl2br w:val="single" w:sz="4" w:space="0" w:color="auto"/>
            </w:tcBorders>
          </w:tcPr>
          <w:p w14:paraId="17A2BD10" w14:textId="02135754" w:rsidR="00E40A40" w:rsidRPr="00B725B6" w:rsidRDefault="00E40A40" w:rsidP="00E40A40">
            <w:pPr>
              <w:autoSpaceDE w:val="0"/>
              <w:autoSpaceDN w:val="0"/>
              <w:adjustRightInd w:val="0"/>
              <w:jc w:val="both"/>
              <w:rPr>
                <w:rFonts w:ascii="Times New Roman" w:hAnsi="Times New Roman" w:cs="Times New Roman"/>
                <w:sz w:val="16"/>
                <w:szCs w:val="20"/>
              </w:rPr>
            </w:pPr>
            <w:r w:rsidRPr="00B725B6">
              <w:rPr>
                <w:rFonts w:ascii="Times New Roman" w:hAnsi="Times New Roman" w:cs="Times New Roman"/>
                <w:sz w:val="16"/>
                <w:szCs w:val="20"/>
              </w:rPr>
              <w:t xml:space="preserve">    Country </w:t>
            </w:r>
          </w:p>
          <w:p w14:paraId="593BC74F" w14:textId="67EF7F99" w:rsidR="00E40A40" w:rsidRDefault="00E40A40" w:rsidP="00E40A40">
            <w:pPr>
              <w:autoSpaceDE w:val="0"/>
              <w:autoSpaceDN w:val="0"/>
              <w:adjustRightInd w:val="0"/>
              <w:jc w:val="both"/>
              <w:rPr>
                <w:rFonts w:ascii="Times New Roman" w:hAnsi="Times New Roman" w:cs="Times New Roman"/>
                <w:sz w:val="16"/>
                <w:szCs w:val="20"/>
              </w:rPr>
            </w:pPr>
          </w:p>
          <w:p w14:paraId="69FEF3EF" w14:textId="77777777" w:rsidR="00B725B6" w:rsidRPr="00B725B6" w:rsidRDefault="00B725B6" w:rsidP="00E40A40">
            <w:pPr>
              <w:autoSpaceDE w:val="0"/>
              <w:autoSpaceDN w:val="0"/>
              <w:adjustRightInd w:val="0"/>
              <w:jc w:val="both"/>
              <w:rPr>
                <w:rFonts w:ascii="Times New Roman" w:hAnsi="Times New Roman" w:cs="Times New Roman"/>
                <w:sz w:val="16"/>
                <w:szCs w:val="20"/>
              </w:rPr>
            </w:pPr>
          </w:p>
          <w:p w14:paraId="6559F9E3" w14:textId="77777777" w:rsidR="00E40A40" w:rsidRPr="00B725B6" w:rsidRDefault="00E40A40" w:rsidP="00E40A40">
            <w:pPr>
              <w:autoSpaceDE w:val="0"/>
              <w:autoSpaceDN w:val="0"/>
              <w:adjustRightInd w:val="0"/>
              <w:jc w:val="both"/>
              <w:rPr>
                <w:rFonts w:ascii="Times New Roman" w:hAnsi="Times New Roman" w:cs="Times New Roman"/>
                <w:sz w:val="16"/>
                <w:szCs w:val="20"/>
              </w:rPr>
            </w:pPr>
            <w:r w:rsidRPr="00B725B6">
              <w:rPr>
                <w:rFonts w:ascii="Times New Roman" w:hAnsi="Times New Roman" w:cs="Times New Roman"/>
                <w:sz w:val="16"/>
                <w:szCs w:val="20"/>
              </w:rPr>
              <w:t>Variables</w:t>
            </w:r>
          </w:p>
        </w:tc>
        <w:tc>
          <w:tcPr>
            <w:tcW w:w="736" w:type="pct"/>
            <w:gridSpan w:val="2"/>
            <w:tcBorders>
              <w:top w:val="single" w:sz="4" w:space="0" w:color="auto"/>
              <w:left w:val="single" w:sz="4" w:space="0" w:color="auto"/>
              <w:bottom w:val="single" w:sz="4" w:space="0" w:color="auto"/>
            </w:tcBorders>
            <w:vAlign w:val="center"/>
          </w:tcPr>
          <w:p w14:paraId="47D471A6"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KSA</w:t>
            </w:r>
          </w:p>
        </w:tc>
        <w:tc>
          <w:tcPr>
            <w:tcW w:w="736" w:type="pct"/>
            <w:gridSpan w:val="2"/>
            <w:tcBorders>
              <w:top w:val="single" w:sz="4" w:space="0" w:color="auto"/>
              <w:bottom w:val="single" w:sz="4" w:space="0" w:color="auto"/>
            </w:tcBorders>
            <w:vAlign w:val="center"/>
          </w:tcPr>
          <w:p w14:paraId="3C18D4A2"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OMN</w:t>
            </w:r>
          </w:p>
        </w:tc>
        <w:tc>
          <w:tcPr>
            <w:tcW w:w="764" w:type="pct"/>
            <w:gridSpan w:val="2"/>
            <w:tcBorders>
              <w:top w:val="single" w:sz="4" w:space="0" w:color="auto"/>
              <w:bottom w:val="single" w:sz="4" w:space="0" w:color="auto"/>
            </w:tcBorders>
            <w:vAlign w:val="center"/>
          </w:tcPr>
          <w:p w14:paraId="1FA210D6"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QAT</w:t>
            </w:r>
          </w:p>
        </w:tc>
        <w:tc>
          <w:tcPr>
            <w:tcW w:w="731" w:type="pct"/>
            <w:gridSpan w:val="2"/>
            <w:tcBorders>
              <w:top w:val="single" w:sz="4" w:space="0" w:color="auto"/>
              <w:bottom w:val="single" w:sz="4" w:space="0" w:color="auto"/>
            </w:tcBorders>
            <w:vAlign w:val="center"/>
          </w:tcPr>
          <w:p w14:paraId="276CAE3F"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BAH</w:t>
            </w:r>
          </w:p>
        </w:tc>
        <w:tc>
          <w:tcPr>
            <w:tcW w:w="764" w:type="pct"/>
            <w:gridSpan w:val="2"/>
            <w:tcBorders>
              <w:top w:val="single" w:sz="4" w:space="0" w:color="auto"/>
              <w:bottom w:val="single" w:sz="4" w:space="0" w:color="auto"/>
            </w:tcBorders>
            <w:vAlign w:val="center"/>
          </w:tcPr>
          <w:p w14:paraId="0F656BD3" w14:textId="70EF9C22"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K</w:t>
            </w:r>
            <w:r w:rsidR="00844E36" w:rsidRPr="00B725B6">
              <w:rPr>
                <w:rFonts w:ascii="Times New Roman" w:hAnsi="Times New Roman" w:cs="Times New Roman"/>
                <w:sz w:val="16"/>
                <w:szCs w:val="20"/>
              </w:rPr>
              <w:t>UW</w:t>
            </w:r>
          </w:p>
        </w:tc>
        <w:tc>
          <w:tcPr>
            <w:tcW w:w="732" w:type="pct"/>
            <w:gridSpan w:val="2"/>
            <w:tcBorders>
              <w:top w:val="single" w:sz="4" w:space="0" w:color="auto"/>
              <w:bottom w:val="single" w:sz="4" w:space="0" w:color="auto"/>
            </w:tcBorders>
            <w:vAlign w:val="center"/>
          </w:tcPr>
          <w:p w14:paraId="40E63553"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UAE</w:t>
            </w:r>
          </w:p>
        </w:tc>
      </w:tr>
      <w:tr w:rsidR="007F15D8" w:rsidRPr="00B725B6" w14:paraId="22909305" w14:textId="77777777" w:rsidTr="00215E9A">
        <w:trPr>
          <w:trHeight w:val="340"/>
          <w:jc w:val="center"/>
        </w:trPr>
        <w:tc>
          <w:tcPr>
            <w:tcW w:w="538" w:type="pct"/>
            <w:vMerge/>
            <w:tcBorders>
              <w:top w:val="single" w:sz="4" w:space="0" w:color="auto"/>
              <w:bottom w:val="single" w:sz="4" w:space="0" w:color="auto"/>
              <w:right w:val="single" w:sz="4" w:space="0" w:color="auto"/>
              <w:tl2br w:val="single" w:sz="4" w:space="0" w:color="auto"/>
            </w:tcBorders>
          </w:tcPr>
          <w:p w14:paraId="28DCA6AA" w14:textId="77777777" w:rsidR="00E40A40" w:rsidRPr="00B725B6" w:rsidRDefault="00E40A40" w:rsidP="00E40A40">
            <w:pPr>
              <w:autoSpaceDE w:val="0"/>
              <w:autoSpaceDN w:val="0"/>
              <w:adjustRightInd w:val="0"/>
              <w:jc w:val="both"/>
              <w:rPr>
                <w:rFonts w:ascii="Times New Roman" w:hAnsi="Times New Roman" w:cs="Times New Roman"/>
                <w:noProof/>
                <w:sz w:val="16"/>
                <w:szCs w:val="20"/>
              </w:rPr>
            </w:pPr>
          </w:p>
        </w:tc>
        <w:tc>
          <w:tcPr>
            <w:tcW w:w="378" w:type="pct"/>
            <w:tcBorders>
              <w:top w:val="single" w:sz="4" w:space="0" w:color="auto"/>
              <w:left w:val="single" w:sz="4" w:space="0" w:color="auto"/>
              <w:bottom w:val="single" w:sz="4" w:space="0" w:color="auto"/>
            </w:tcBorders>
            <w:vAlign w:val="center"/>
          </w:tcPr>
          <w:p w14:paraId="33F2849A"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B</w:t>
            </w:r>
          </w:p>
        </w:tc>
        <w:tc>
          <w:tcPr>
            <w:tcW w:w="357" w:type="pct"/>
            <w:tcBorders>
              <w:top w:val="single" w:sz="4" w:space="0" w:color="auto"/>
              <w:bottom w:val="single" w:sz="4" w:space="0" w:color="auto"/>
            </w:tcBorders>
            <w:vAlign w:val="center"/>
          </w:tcPr>
          <w:p w14:paraId="79D5CE4D"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t-value</w:t>
            </w:r>
          </w:p>
        </w:tc>
        <w:tc>
          <w:tcPr>
            <w:tcW w:w="378" w:type="pct"/>
            <w:tcBorders>
              <w:top w:val="single" w:sz="4" w:space="0" w:color="auto"/>
              <w:bottom w:val="single" w:sz="4" w:space="0" w:color="auto"/>
            </w:tcBorders>
            <w:vAlign w:val="center"/>
          </w:tcPr>
          <w:p w14:paraId="1A584F52"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B</w:t>
            </w:r>
          </w:p>
        </w:tc>
        <w:tc>
          <w:tcPr>
            <w:tcW w:w="357" w:type="pct"/>
            <w:tcBorders>
              <w:top w:val="single" w:sz="4" w:space="0" w:color="auto"/>
              <w:bottom w:val="single" w:sz="4" w:space="0" w:color="auto"/>
            </w:tcBorders>
            <w:vAlign w:val="center"/>
          </w:tcPr>
          <w:p w14:paraId="48E7AD44"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t-value</w:t>
            </w:r>
          </w:p>
        </w:tc>
        <w:tc>
          <w:tcPr>
            <w:tcW w:w="378" w:type="pct"/>
            <w:tcBorders>
              <w:top w:val="single" w:sz="4" w:space="0" w:color="auto"/>
              <w:bottom w:val="single" w:sz="4" w:space="0" w:color="auto"/>
            </w:tcBorders>
            <w:vAlign w:val="center"/>
          </w:tcPr>
          <w:p w14:paraId="7AEEF78B"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B</w:t>
            </w:r>
          </w:p>
        </w:tc>
        <w:tc>
          <w:tcPr>
            <w:tcW w:w="386" w:type="pct"/>
            <w:tcBorders>
              <w:top w:val="single" w:sz="4" w:space="0" w:color="auto"/>
              <w:bottom w:val="single" w:sz="4" w:space="0" w:color="auto"/>
            </w:tcBorders>
            <w:vAlign w:val="center"/>
          </w:tcPr>
          <w:p w14:paraId="3C9B9AA3"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t-value</w:t>
            </w:r>
          </w:p>
        </w:tc>
        <w:tc>
          <w:tcPr>
            <w:tcW w:w="378" w:type="pct"/>
            <w:tcBorders>
              <w:top w:val="single" w:sz="4" w:space="0" w:color="auto"/>
              <w:bottom w:val="single" w:sz="4" w:space="0" w:color="auto"/>
            </w:tcBorders>
            <w:vAlign w:val="center"/>
          </w:tcPr>
          <w:p w14:paraId="388844E5"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B</w:t>
            </w:r>
          </w:p>
        </w:tc>
        <w:tc>
          <w:tcPr>
            <w:tcW w:w="352" w:type="pct"/>
            <w:tcBorders>
              <w:top w:val="single" w:sz="4" w:space="0" w:color="auto"/>
              <w:bottom w:val="single" w:sz="4" w:space="0" w:color="auto"/>
            </w:tcBorders>
            <w:vAlign w:val="center"/>
          </w:tcPr>
          <w:p w14:paraId="5EC7CB53"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t-value</w:t>
            </w:r>
          </w:p>
        </w:tc>
        <w:tc>
          <w:tcPr>
            <w:tcW w:w="378" w:type="pct"/>
            <w:tcBorders>
              <w:top w:val="single" w:sz="4" w:space="0" w:color="auto"/>
              <w:bottom w:val="single" w:sz="4" w:space="0" w:color="auto"/>
            </w:tcBorders>
            <w:vAlign w:val="center"/>
          </w:tcPr>
          <w:p w14:paraId="31D00998"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B</w:t>
            </w:r>
          </w:p>
        </w:tc>
        <w:tc>
          <w:tcPr>
            <w:tcW w:w="386" w:type="pct"/>
            <w:tcBorders>
              <w:top w:val="single" w:sz="4" w:space="0" w:color="auto"/>
              <w:bottom w:val="single" w:sz="4" w:space="0" w:color="auto"/>
            </w:tcBorders>
            <w:vAlign w:val="center"/>
          </w:tcPr>
          <w:p w14:paraId="150CC8EA"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t-value</w:t>
            </w:r>
          </w:p>
        </w:tc>
        <w:tc>
          <w:tcPr>
            <w:tcW w:w="378" w:type="pct"/>
            <w:tcBorders>
              <w:top w:val="single" w:sz="4" w:space="0" w:color="auto"/>
              <w:bottom w:val="single" w:sz="4" w:space="0" w:color="auto"/>
            </w:tcBorders>
            <w:vAlign w:val="center"/>
          </w:tcPr>
          <w:p w14:paraId="2684716E"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B</w:t>
            </w:r>
          </w:p>
        </w:tc>
        <w:tc>
          <w:tcPr>
            <w:tcW w:w="354" w:type="pct"/>
            <w:tcBorders>
              <w:top w:val="single" w:sz="4" w:space="0" w:color="auto"/>
              <w:bottom w:val="single" w:sz="4" w:space="0" w:color="auto"/>
            </w:tcBorders>
            <w:vAlign w:val="center"/>
          </w:tcPr>
          <w:p w14:paraId="42005A2F"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t-value</w:t>
            </w:r>
          </w:p>
        </w:tc>
      </w:tr>
      <w:tr w:rsidR="007F15D8" w:rsidRPr="00B725B6" w14:paraId="5A49CB7C" w14:textId="77777777" w:rsidTr="00215E9A">
        <w:trPr>
          <w:trHeight w:val="340"/>
          <w:jc w:val="center"/>
        </w:trPr>
        <w:tc>
          <w:tcPr>
            <w:tcW w:w="538" w:type="pct"/>
            <w:tcBorders>
              <w:top w:val="single" w:sz="4" w:space="0" w:color="auto"/>
              <w:bottom w:val="single" w:sz="4" w:space="0" w:color="auto"/>
              <w:right w:val="single" w:sz="4" w:space="0" w:color="auto"/>
            </w:tcBorders>
            <w:vAlign w:val="center"/>
          </w:tcPr>
          <w:p w14:paraId="1F64E768" w14:textId="77777777" w:rsidR="00E40A40" w:rsidRPr="00B725B6" w:rsidRDefault="00E40A40" w:rsidP="002B04C7">
            <w:pPr>
              <w:tabs>
                <w:tab w:val="left" w:pos="4536"/>
              </w:tabs>
              <w:autoSpaceDE w:val="0"/>
              <w:autoSpaceDN w:val="0"/>
              <w:adjustRightInd w:val="0"/>
              <w:jc w:val="both"/>
              <w:rPr>
                <w:rFonts w:ascii="Times New Roman" w:hAnsi="Times New Roman" w:cs="Times New Roman"/>
                <w:sz w:val="16"/>
                <w:szCs w:val="20"/>
              </w:rPr>
            </w:pPr>
            <w:r w:rsidRPr="00B725B6">
              <w:rPr>
                <w:rFonts w:ascii="Times New Roman" w:hAnsi="Times New Roman" w:cs="Times New Roman"/>
                <w:sz w:val="16"/>
                <w:szCs w:val="20"/>
              </w:rPr>
              <w:t>EQ(ERC)&amp;</w:t>
            </w:r>
          </w:p>
          <w:p w14:paraId="7D0E4A48" w14:textId="77777777" w:rsidR="00E40A40" w:rsidRPr="00B725B6" w:rsidRDefault="00E40A40" w:rsidP="002B04C7">
            <w:pPr>
              <w:tabs>
                <w:tab w:val="left" w:pos="4536"/>
              </w:tabs>
              <w:autoSpaceDE w:val="0"/>
              <w:autoSpaceDN w:val="0"/>
              <w:adjustRightInd w:val="0"/>
              <w:jc w:val="both"/>
              <w:rPr>
                <w:rFonts w:ascii="Times New Roman" w:hAnsi="Times New Roman" w:cs="Times New Roman"/>
                <w:sz w:val="16"/>
                <w:szCs w:val="20"/>
              </w:rPr>
            </w:pPr>
            <w:r w:rsidRPr="00B725B6">
              <w:rPr>
                <w:rFonts w:ascii="Times New Roman" w:hAnsi="Times New Roman" w:cs="Times New Roman"/>
                <w:sz w:val="16"/>
                <w:szCs w:val="20"/>
              </w:rPr>
              <w:t>sig.</w:t>
            </w:r>
          </w:p>
        </w:tc>
        <w:tc>
          <w:tcPr>
            <w:tcW w:w="378" w:type="pct"/>
            <w:tcBorders>
              <w:top w:val="single" w:sz="4" w:space="0" w:color="auto"/>
              <w:left w:val="single" w:sz="4" w:space="0" w:color="auto"/>
              <w:bottom w:val="single" w:sz="4" w:space="0" w:color="auto"/>
            </w:tcBorders>
            <w:vAlign w:val="center"/>
          </w:tcPr>
          <w:p w14:paraId="2844B3A1"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-0.004</w:t>
            </w:r>
          </w:p>
          <w:p w14:paraId="6EABEA8C"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(0.000)</w:t>
            </w:r>
          </w:p>
        </w:tc>
        <w:tc>
          <w:tcPr>
            <w:tcW w:w="357" w:type="pct"/>
            <w:tcBorders>
              <w:top w:val="single" w:sz="4" w:space="0" w:color="auto"/>
              <w:bottom w:val="single" w:sz="4" w:space="0" w:color="auto"/>
            </w:tcBorders>
            <w:vAlign w:val="center"/>
          </w:tcPr>
          <w:p w14:paraId="5451EC80"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-3.629</w:t>
            </w:r>
          </w:p>
        </w:tc>
        <w:tc>
          <w:tcPr>
            <w:tcW w:w="378" w:type="pct"/>
            <w:tcBorders>
              <w:top w:val="single" w:sz="4" w:space="0" w:color="auto"/>
              <w:bottom w:val="single" w:sz="4" w:space="0" w:color="auto"/>
            </w:tcBorders>
            <w:vAlign w:val="center"/>
          </w:tcPr>
          <w:p w14:paraId="65EADD37"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0.100</w:t>
            </w:r>
          </w:p>
          <w:p w14:paraId="7E356456"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(0.010)</w:t>
            </w:r>
          </w:p>
        </w:tc>
        <w:tc>
          <w:tcPr>
            <w:tcW w:w="357" w:type="pct"/>
            <w:tcBorders>
              <w:top w:val="single" w:sz="4" w:space="0" w:color="auto"/>
              <w:bottom w:val="single" w:sz="4" w:space="0" w:color="auto"/>
            </w:tcBorders>
            <w:vAlign w:val="center"/>
          </w:tcPr>
          <w:p w14:paraId="615743E2"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2.601</w:t>
            </w:r>
          </w:p>
        </w:tc>
        <w:tc>
          <w:tcPr>
            <w:tcW w:w="378" w:type="pct"/>
            <w:tcBorders>
              <w:top w:val="single" w:sz="4" w:space="0" w:color="auto"/>
              <w:bottom w:val="single" w:sz="4" w:space="0" w:color="auto"/>
            </w:tcBorders>
            <w:vAlign w:val="center"/>
          </w:tcPr>
          <w:p w14:paraId="6BD40CB1"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-0.050</w:t>
            </w:r>
          </w:p>
          <w:p w14:paraId="40F7C91A"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(0.960)</w:t>
            </w:r>
          </w:p>
        </w:tc>
        <w:tc>
          <w:tcPr>
            <w:tcW w:w="386" w:type="pct"/>
            <w:tcBorders>
              <w:top w:val="single" w:sz="4" w:space="0" w:color="auto"/>
              <w:bottom w:val="single" w:sz="4" w:space="0" w:color="auto"/>
            </w:tcBorders>
            <w:vAlign w:val="center"/>
          </w:tcPr>
          <w:p w14:paraId="7CEACC60"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-0.007</w:t>
            </w:r>
          </w:p>
          <w:p w14:paraId="56AF6839" w14:textId="77777777" w:rsidR="00E40A40" w:rsidRPr="00B725B6" w:rsidRDefault="00E40A40" w:rsidP="00B725B6">
            <w:pPr>
              <w:jc w:val="center"/>
              <w:rPr>
                <w:rFonts w:ascii="Times New Roman" w:hAnsi="Times New Roman" w:cs="Times New Roman"/>
                <w:sz w:val="16"/>
                <w:szCs w:val="20"/>
              </w:rPr>
            </w:pPr>
          </w:p>
        </w:tc>
        <w:tc>
          <w:tcPr>
            <w:tcW w:w="378" w:type="pct"/>
            <w:tcBorders>
              <w:top w:val="single" w:sz="4" w:space="0" w:color="auto"/>
              <w:bottom w:val="single" w:sz="4" w:space="0" w:color="auto"/>
            </w:tcBorders>
            <w:vAlign w:val="center"/>
          </w:tcPr>
          <w:p w14:paraId="223E3B89"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-0.041</w:t>
            </w:r>
          </w:p>
          <w:p w14:paraId="487EAEAA"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(0.729)</w:t>
            </w:r>
          </w:p>
        </w:tc>
        <w:tc>
          <w:tcPr>
            <w:tcW w:w="352" w:type="pct"/>
            <w:tcBorders>
              <w:top w:val="single" w:sz="4" w:space="0" w:color="auto"/>
              <w:bottom w:val="single" w:sz="4" w:space="0" w:color="auto"/>
            </w:tcBorders>
            <w:vAlign w:val="center"/>
          </w:tcPr>
          <w:p w14:paraId="3EFF9CEE"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-0.348</w:t>
            </w:r>
          </w:p>
        </w:tc>
        <w:tc>
          <w:tcPr>
            <w:tcW w:w="378" w:type="pct"/>
            <w:tcBorders>
              <w:top w:val="single" w:sz="4" w:space="0" w:color="auto"/>
              <w:bottom w:val="single" w:sz="4" w:space="0" w:color="auto"/>
            </w:tcBorders>
            <w:vAlign w:val="center"/>
          </w:tcPr>
          <w:p w14:paraId="6F3422E3"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0.056</w:t>
            </w:r>
          </w:p>
          <w:p w14:paraId="3E2B42CB"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(0.019)</w:t>
            </w:r>
          </w:p>
        </w:tc>
        <w:tc>
          <w:tcPr>
            <w:tcW w:w="386" w:type="pct"/>
            <w:tcBorders>
              <w:top w:val="single" w:sz="4" w:space="0" w:color="auto"/>
              <w:bottom w:val="single" w:sz="4" w:space="0" w:color="auto"/>
            </w:tcBorders>
            <w:vAlign w:val="center"/>
          </w:tcPr>
          <w:p w14:paraId="1CAE47FB"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2.420</w:t>
            </w:r>
          </w:p>
        </w:tc>
        <w:tc>
          <w:tcPr>
            <w:tcW w:w="378" w:type="pct"/>
            <w:tcBorders>
              <w:top w:val="single" w:sz="4" w:space="0" w:color="auto"/>
              <w:bottom w:val="single" w:sz="4" w:space="0" w:color="auto"/>
            </w:tcBorders>
            <w:vAlign w:val="center"/>
          </w:tcPr>
          <w:p w14:paraId="650C20AD"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-0.075</w:t>
            </w:r>
          </w:p>
          <w:p w14:paraId="1D4E8B67"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(0.534)</w:t>
            </w:r>
          </w:p>
        </w:tc>
        <w:tc>
          <w:tcPr>
            <w:tcW w:w="354" w:type="pct"/>
            <w:tcBorders>
              <w:top w:val="single" w:sz="4" w:space="0" w:color="auto"/>
              <w:bottom w:val="single" w:sz="4" w:space="0" w:color="auto"/>
            </w:tcBorders>
            <w:vAlign w:val="center"/>
          </w:tcPr>
          <w:p w14:paraId="6946C03D"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-0.623</w:t>
            </w:r>
          </w:p>
        </w:tc>
      </w:tr>
      <w:tr w:rsidR="007F15D8" w:rsidRPr="00B725B6" w14:paraId="3B19DCB5" w14:textId="77777777" w:rsidTr="00215E9A">
        <w:trPr>
          <w:trHeight w:val="340"/>
          <w:jc w:val="center"/>
        </w:trPr>
        <w:tc>
          <w:tcPr>
            <w:tcW w:w="538" w:type="pct"/>
            <w:tcBorders>
              <w:top w:val="single" w:sz="4" w:space="0" w:color="auto"/>
              <w:bottom w:val="single" w:sz="4" w:space="0" w:color="auto"/>
              <w:right w:val="single" w:sz="4" w:space="0" w:color="auto"/>
            </w:tcBorders>
            <w:vAlign w:val="center"/>
          </w:tcPr>
          <w:p w14:paraId="5C104064" w14:textId="77777777" w:rsidR="00E40A40" w:rsidRPr="00B725B6" w:rsidRDefault="00E40A40" w:rsidP="002B04C7">
            <w:pPr>
              <w:tabs>
                <w:tab w:val="left" w:pos="4536"/>
              </w:tabs>
              <w:autoSpaceDE w:val="0"/>
              <w:autoSpaceDN w:val="0"/>
              <w:adjustRightInd w:val="0"/>
              <w:jc w:val="both"/>
              <w:rPr>
                <w:rFonts w:ascii="Times New Roman" w:hAnsi="Times New Roman" w:cs="Times New Roman"/>
                <w:sz w:val="16"/>
                <w:szCs w:val="20"/>
              </w:rPr>
            </w:pPr>
            <w:r w:rsidRPr="00B725B6">
              <w:rPr>
                <w:rFonts w:ascii="Times New Roman" w:hAnsi="Times New Roman" w:cs="Times New Roman"/>
                <w:sz w:val="16"/>
                <w:szCs w:val="20"/>
              </w:rPr>
              <w:t>Big4</w:t>
            </w:r>
          </w:p>
        </w:tc>
        <w:tc>
          <w:tcPr>
            <w:tcW w:w="378" w:type="pct"/>
            <w:tcBorders>
              <w:top w:val="single" w:sz="4" w:space="0" w:color="auto"/>
              <w:left w:val="single" w:sz="4" w:space="0" w:color="auto"/>
              <w:bottom w:val="single" w:sz="4" w:space="0" w:color="auto"/>
            </w:tcBorders>
            <w:vAlign w:val="center"/>
          </w:tcPr>
          <w:p w14:paraId="76832F31"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-0.017</w:t>
            </w:r>
          </w:p>
          <w:p w14:paraId="21B6561A"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(0.006)</w:t>
            </w:r>
          </w:p>
        </w:tc>
        <w:tc>
          <w:tcPr>
            <w:tcW w:w="357" w:type="pct"/>
            <w:tcBorders>
              <w:top w:val="single" w:sz="4" w:space="0" w:color="auto"/>
              <w:bottom w:val="single" w:sz="4" w:space="0" w:color="auto"/>
            </w:tcBorders>
            <w:vAlign w:val="center"/>
          </w:tcPr>
          <w:p w14:paraId="6B11DB1D"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-2.730</w:t>
            </w:r>
          </w:p>
        </w:tc>
        <w:tc>
          <w:tcPr>
            <w:tcW w:w="378" w:type="pct"/>
            <w:tcBorders>
              <w:top w:val="single" w:sz="4" w:space="0" w:color="auto"/>
              <w:bottom w:val="single" w:sz="4" w:space="0" w:color="auto"/>
            </w:tcBorders>
            <w:vAlign w:val="center"/>
          </w:tcPr>
          <w:p w14:paraId="270FE62A"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0.043</w:t>
            </w:r>
          </w:p>
          <w:p w14:paraId="27FDB233"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(0.000)</w:t>
            </w:r>
          </w:p>
        </w:tc>
        <w:tc>
          <w:tcPr>
            <w:tcW w:w="357" w:type="pct"/>
            <w:tcBorders>
              <w:top w:val="single" w:sz="4" w:space="0" w:color="auto"/>
              <w:bottom w:val="single" w:sz="4" w:space="0" w:color="auto"/>
            </w:tcBorders>
            <w:vAlign w:val="center"/>
          </w:tcPr>
          <w:p w14:paraId="4AAA194E"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4.250</w:t>
            </w:r>
          </w:p>
        </w:tc>
        <w:tc>
          <w:tcPr>
            <w:tcW w:w="378" w:type="pct"/>
            <w:tcBorders>
              <w:top w:val="single" w:sz="4" w:space="0" w:color="auto"/>
              <w:bottom w:val="single" w:sz="4" w:space="0" w:color="auto"/>
            </w:tcBorders>
            <w:vAlign w:val="center"/>
          </w:tcPr>
          <w:p w14:paraId="4F78563D" w14:textId="77777777" w:rsidR="00E40A40" w:rsidRPr="00B725B6" w:rsidRDefault="00337B39"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0.521</w:t>
            </w:r>
          </w:p>
          <w:p w14:paraId="7A99A9D0" w14:textId="1C8F5F7C" w:rsidR="00337B39" w:rsidRPr="00B725B6" w:rsidRDefault="00337B39"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(0.000)</w:t>
            </w:r>
          </w:p>
        </w:tc>
        <w:tc>
          <w:tcPr>
            <w:tcW w:w="386" w:type="pct"/>
            <w:tcBorders>
              <w:top w:val="single" w:sz="4" w:space="0" w:color="auto"/>
              <w:bottom w:val="single" w:sz="4" w:space="0" w:color="auto"/>
            </w:tcBorders>
            <w:vAlign w:val="center"/>
          </w:tcPr>
          <w:p w14:paraId="741480A7" w14:textId="6978844C" w:rsidR="00E40A40" w:rsidRPr="00B725B6" w:rsidRDefault="00337B39" w:rsidP="00B725B6">
            <w:pPr>
              <w:autoSpaceDE w:val="0"/>
              <w:autoSpaceDN w:val="0"/>
              <w:adjustRightInd w:val="0"/>
              <w:spacing w:line="320" w:lineRule="atLeast"/>
              <w:ind w:left="60" w:right="60"/>
              <w:jc w:val="center"/>
              <w:rPr>
                <w:rFonts w:ascii="Times New Roman" w:hAnsi="Times New Roman" w:cs="Times New Roman"/>
                <w:sz w:val="16"/>
                <w:szCs w:val="20"/>
              </w:rPr>
            </w:pPr>
            <w:r w:rsidRPr="00B725B6">
              <w:rPr>
                <w:rFonts w:ascii="Times New Roman" w:hAnsi="Times New Roman" w:cs="Times New Roman"/>
                <w:sz w:val="16"/>
                <w:szCs w:val="20"/>
              </w:rPr>
              <w:t>2.276</w:t>
            </w:r>
          </w:p>
        </w:tc>
        <w:tc>
          <w:tcPr>
            <w:tcW w:w="378" w:type="pct"/>
            <w:tcBorders>
              <w:top w:val="single" w:sz="4" w:space="0" w:color="auto"/>
              <w:bottom w:val="single" w:sz="4" w:space="0" w:color="auto"/>
            </w:tcBorders>
            <w:vAlign w:val="center"/>
          </w:tcPr>
          <w:p w14:paraId="51987CAE"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0.047</w:t>
            </w:r>
          </w:p>
          <w:p w14:paraId="61F3FC58" w14:textId="77777777" w:rsidR="00E40A40" w:rsidRPr="00B725B6" w:rsidRDefault="00E40A40" w:rsidP="00B725B6">
            <w:pPr>
              <w:ind w:left="-111"/>
              <w:jc w:val="center"/>
              <w:rPr>
                <w:rFonts w:ascii="Times New Roman" w:hAnsi="Times New Roman" w:cs="Times New Roman"/>
                <w:sz w:val="16"/>
                <w:szCs w:val="20"/>
              </w:rPr>
            </w:pPr>
            <w:r w:rsidRPr="00B725B6">
              <w:rPr>
                <w:rFonts w:ascii="Times New Roman" w:hAnsi="Times New Roman" w:cs="Times New Roman"/>
                <w:sz w:val="16"/>
                <w:szCs w:val="20"/>
              </w:rPr>
              <w:t>(0.000)</w:t>
            </w:r>
          </w:p>
        </w:tc>
        <w:tc>
          <w:tcPr>
            <w:tcW w:w="352" w:type="pct"/>
            <w:tcBorders>
              <w:top w:val="single" w:sz="4" w:space="0" w:color="auto"/>
              <w:bottom w:val="single" w:sz="4" w:space="0" w:color="auto"/>
            </w:tcBorders>
            <w:vAlign w:val="center"/>
          </w:tcPr>
          <w:p w14:paraId="6824B3B4"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4.755</w:t>
            </w:r>
          </w:p>
        </w:tc>
        <w:tc>
          <w:tcPr>
            <w:tcW w:w="378" w:type="pct"/>
            <w:tcBorders>
              <w:top w:val="single" w:sz="4" w:space="0" w:color="auto"/>
              <w:bottom w:val="single" w:sz="4" w:space="0" w:color="auto"/>
            </w:tcBorders>
            <w:vAlign w:val="center"/>
          </w:tcPr>
          <w:p w14:paraId="630EE445"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0.014</w:t>
            </w:r>
          </w:p>
          <w:p w14:paraId="4D5809C6"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(0.952)</w:t>
            </w:r>
          </w:p>
        </w:tc>
        <w:tc>
          <w:tcPr>
            <w:tcW w:w="386" w:type="pct"/>
            <w:tcBorders>
              <w:top w:val="single" w:sz="4" w:space="0" w:color="auto"/>
              <w:bottom w:val="single" w:sz="4" w:space="0" w:color="auto"/>
            </w:tcBorders>
            <w:vAlign w:val="center"/>
          </w:tcPr>
          <w:p w14:paraId="457BE18C"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0.061</w:t>
            </w:r>
          </w:p>
        </w:tc>
        <w:tc>
          <w:tcPr>
            <w:tcW w:w="378" w:type="pct"/>
            <w:tcBorders>
              <w:top w:val="single" w:sz="4" w:space="0" w:color="auto"/>
              <w:bottom w:val="single" w:sz="4" w:space="0" w:color="auto"/>
            </w:tcBorders>
            <w:vAlign w:val="center"/>
          </w:tcPr>
          <w:p w14:paraId="3C8891EC"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0.013</w:t>
            </w:r>
          </w:p>
          <w:p w14:paraId="5E52F14F"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(0.368)</w:t>
            </w:r>
          </w:p>
        </w:tc>
        <w:tc>
          <w:tcPr>
            <w:tcW w:w="354" w:type="pct"/>
            <w:tcBorders>
              <w:top w:val="single" w:sz="4" w:space="0" w:color="auto"/>
              <w:bottom w:val="single" w:sz="4" w:space="0" w:color="auto"/>
            </w:tcBorders>
            <w:vAlign w:val="center"/>
          </w:tcPr>
          <w:p w14:paraId="2F005717"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0.904</w:t>
            </w:r>
          </w:p>
        </w:tc>
      </w:tr>
      <w:tr w:rsidR="007F15D8" w:rsidRPr="00B725B6" w14:paraId="502D9499" w14:textId="77777777" w:rsidTr="00215E9A">
        <w:trPr>
          <w:trHeight w:val="340"/>
          <w:jc w:val="center"/>
        </w:trPr>
        <w:tc>
          <w:tcPr>
            <w:tcW w:w="538" w:type="pct"/>
            <w:tcBorders>
              <w:top w:val="single" w:sz="4" w:space="0" w:color="auto"/>
              <w:bottom w:val="single" w:sz="4" w:space="0" w:color="auto"/>
              <w:right w:val="single" w:sz="4" w:space="0" w:color="auto"/>
            </w:tcBorders>
            <w:vAlign w:val="center"/>
          </w:tcPr>
          <w:p w14:paraId="6A34CCF0" w14:textId="56913AF3" w:rsidR="00E40A40" w:rsidRPr="00B725B6" w:rsidRDefault="00E40A40" w:rsidP="002B04C7">
            <w:pPr>
              <w:tabs>
                <w:tab w:val="left" w:pos="4536"/>
              </w:tabs>
              <w:autoSpaceDE w:val="0"/>
              <w:autoSpaceDN w:val="0"/>
              <w:adjustRightInd w:val="0"/>
              <w:jc w:val="both"/>
              <w:rPr>
                <w:rFonts w:ascii="Times New Roman" w:hAnsi="Times New Roman" w:cs="Times New Roman"/>
                <w:sz w:val="16"/>
                <w:szCs w:val="20"/>
              </w:rPr>
            </w:pPr>
            <w:r w:rsidRPr="00B725B6">
              <w:rPr>
                <w:rFonts w:ascii="Times New Roman" w:hAnsi="Times New Roman" w:cs="Times New Roman"/>
                <w:sz w:val="16"/>
                <w:szCs w:val="20"/>
              </w:rPr>
              <w:t>Risk</w:t>
            </w:r>
          </w:p>
        </w:tc>
        <w:tc>
          <w:tcPr>
            <w:tcW w:w="378" w:type="pct"/>
            <w:tcBorders>
              <w:top w:val="single" w:sz="4" w:space="0" w:color="auto"/>
              <w:left w:val="single" w:sz="4" w:space="0" w:color="auto"/>
              <w:bottom w:val="single" w:sz="4" w:space="0" w:color="auto"/>
            </w:tcBorders>
            <w:vAlign w:val="center"/>
          </w:tcPr>
          <w:p w14:paraId="06A71471"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0.009</w:t>
            </w:r>
          </w:p>
          <w:p w14:paraId="52C7F330"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(0.005)</w:t>
            </w:r>
          </w:p>
        </w:tc>
        <w:tc>
          <w:tcPr>
            <w:tcW w:w="357" w:type="pct"/>
            <w:tcBorders>
              <w:top w:val="single" w:sz="4" w:space="0" w:color="auto"/>
              <w:bottom w:val="single" w:sz="4" w:space="0" w:color="auto"/>
            </w:tcBorders>
            <w:vAlign w:val="center"/>
          </w:tcPr>
          <w:p w14:paraId="5BC964DB"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2.807</w:t>
            </w:r>
          </w:p>
        </w:tc>
        <w:tc>
          <w:tcPr>
            <w:tcW w:w="378" w:type="pct"/>
            <w:tcBorders>
              <w:top w:val="single" w:sz="4" w:space="0" w:color="auto"/>
              <w:bottom w:val="single" w:sz="4" w:space="0" w:color="auto"/>
            </w:tcBorders>
            <w:vAlign w:val="center"/>
          </w:tcPr>
          <w:p w14:paraId="582F1F64"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0.015</w:t>
            </w:r>
          </w:p>
          <w:p w14:paraId="22D42682"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(0.689)</w:t>
            </w:r>
          </w:p>
        </w:tc>
        <w:tc>
          <w:tcPr>
            <w:tcW w:w="357" w:type="pct"/>
            <w:tcBorders>
              <w:top w:val="single" w:sz="4" w:space="0" w:color="auto"/>
              <w:bottom w:val="single" w:sz="4" w:space="0" w:color="auto"/>
            </w:tcBorders>
            <w:vAlign w:val="center"/>
          </w:tcPr>
          <w:p w14:paraId="3FD60146"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0.400</w:t>
            </w:r>
          </w:p>
        </w:tc>
        <w:tc>
          <w:tcPr>
            <w:tcW w:w="378" w:type="pct"/>
            <w:tcBorders>
              <w:top w:val="single" w:sz="4" w:space="0" w:color="auto"/>
              <w:bottom w:val="single" w:sz="4" w:space="0" w:color="auto"/>
            </w:tcBorders>
            <w:vAlign w:val="center"/>
          </w:tcPr>
          <w:p w14:paraId="0FFBAF2D"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0.055</w:t>
            </w:r>
          </w:p>
          <w:p w14:paraId="457C1588"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(0.662)</w:t>
            </w:r>
          </w:p>
        </w:tc>
        <w:tc>
          <w:tcPr>
            <w:tcW w:w="386" w:type="pct"/>
            <w:tcBorders>
              <w:top w:val="single" w:sz="4" w:space="0" w:color="auto"/>
              <w:bottom w:val="single" w:sz="4" w:space="0" w:color="auto"/>
            </w:tcBorders>
            <w:vAlign w:val="center"/>
          </w:tcPr>
          <w:p w14:paraId="4452E77C"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0.438</w:t>
            </w:r>
          </w:p>
        </w:tc>
        <w:tc>
          <w:tcPr>
            <w:tcW w:w="378" w:type="pct"/>
            <w:tcBorders>
              <w:top w:val="single" w:sz="4" w:space="0" w:color="auto"/>
              <w:bottom w:val="single" w:sz="4" w:space="0" w:color="auto"/>
            </w:tcBorders>
            <w:vAlign w:val="center"/>
          </w:tcPr>
          <w:p w14:paraId="3B875B29"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-0.032</w:t>
            </w:r>
          </w:p>
          <w:p w14:paraId="52C108F0"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(0.003)</w:t>
            </w:r>
          </w:p>
        </w:tc>
        <w:tc>
          <w:tcPr>
            <w:tcW w:w="352" w:type="pct"/>
            <w:tcBorders>
              <w:top w:val="single" w:sz="4" w:space="0" w:color="auto"/>
              <w:bottom w:val="single" w:sz="4" w:space="0" w:color="auto"/>
            </w:tcBorders>
            <w:vAlign w:val="center"/>
          </w:tcPr>
          <w:p w14:paraId="5280BF3F"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-3.028</w:t>
            </w:r>
          </w:p>
        </w:tc>
        <w:tc>
          <w:tcPr>
            <w:tcW w:w="378" w:type="pct"/>
            <w:tcBorders>
              <w:top w:val="single" w:sz="4" w:space="0" w:color="auto"/>
              <w:bottom w:val="single" w:sz="4" w:space="0" w:color="auto"/>
            </w:tcBorders>
            <w:vAlign w:val="center"/>
          </w:tcPr>
          <w:p w14:paraId="3035A87B"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0.007</w:t>
            </w:r>
          </w:p>
          <w:p w14:paraId="158D534C"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(0.930)</w:t>
            </w:r>
          </w:p>
        </w:tc>
        <w:tc>
          <w:tcPr>
            <w:tcW w:w="386" w:type="pct"/>
            <w:tcBorders>
              <w:top w:val="single" w:sz="4" w:space="0" w:color="auto"/>
              <w:bottom w:val="single" w:sz="4" w:space="0" w:color="auto"/>
            </w:tcBorders>
            <w:vAlign w:val="center"/>
          </w:tcPr>
          <w:p w14:paraId="69C15190" w14:textId="77777777" w:rsidR="00E40A40" w:rsidRPr="00B725B6" w:rsidRDefault="00E40A40" w:rsidP="00B725B6">
            <w:pPr>
              <w:autoSpaceDE w:val="0"/>
              <w:autoSpaceDN w:val="0"/>
              <w:adjustRightInd w:val="0"/>
              <w:spacing w:line="320" w:lineRule="atLeast"/>
              <w:ind w:left="60" w:right="60"/>
              <w:jc w:val="center"/>
              <w:rPr>
                <w:rFonts w:ascii="Times New Roman" w:hAnsi="Times New Roman" w:cs="Times New Roman"/>
                <w:sz w:val="16"/>
                <w:szCs w:val="20"/>
              </w:rPr>
            </w:pPr>
            <w:r w:rsidRPr="00B725B6">
              <w:rPr>
                <w:rFonts w:ascii="Times New Roman" w:hAnsi="Times New Roman" w:cs="Times New Roman"/>
                <w:sz w:val="16"/>
                <w:szCs w:val="20"/>
              </w:rPr>
              <w:t>0.088</w:t>
            </w:r>
          </w:p>
        </w:tc>
        <w:tc>
          <w:tcPr>
            <w:tcW w:w="378" w:type="pct"/>
            <w:tcBorders>
              <w:top w:val="single" w:sz="4" w:space="0" w:color="auto"/>
              <w:bottom w:val="single" w:sz="4" w:space="0" w:color="auto"/>
            </w:tcBorders>
            <w:vAlign w:val="center"/>
          </w:tcPr>
          <w:p w14:paraId="3863020A"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-0.004</w:t>
            </w:r>
          </w:p>
          <w:p w14:paraId="495215B8"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(0.465)</w:t>
            </w:r>
          </w:p>
        </w:tc>
        <w:tc>
          <w:tcPr>
            <w:tcW w:w="354" w:type="pct"/>
            <w:tcBorders>
              <w:top w:val="single" w:sz="4" w:space="0" w:color="auto"/>
              <w:bottom w:val="single" w:sz="4" w:space="0" w:color="auto"/>
            </w:tcBorders>
            <w:vAlign w:val="center"/>
          </w:tcPr>
          <w:p w14:paraId="6D1816BF"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-0.732</w:t>
            </w:r>
          </w:p>
        </w:tc>
      </w:tr>
      <w:tr w:rsidR="007F15D8" w:rsidRPr="00B725B6" w14:paraId="08BA4084" w14:textId="77777777" w:rsidTr="00215E9A">
        <w:trPr>
          <w:trHeight w:val="340"/>
          <w:jc w:val="center"/>
        </w:trPr>
        <w:tc>
          <w:tcPr>
            <w:tcW w:w="538" w:type="pct"/>
            <w:tcBorders>
              <w:top w:val="single" w:sz="4" w:space="0" w:color="auto"/>
              <w:bottom w:val="single" w:sz="4" w:space="0" w:color="auto"/>
              <w:right w:val="single" w:sz="4" w:space="0" w:color="auto"/>
            </w:tcBorders>
            <w:vAlign w:val="center"/>
          </w:tcPr>
          <w:p w14:paraId="7FAA8B1E" w14:textId="77777777" w:rsidR="00E40A40" w:rsidRPr="00B725B6" w:rsidRDefault="00E40A40" w:rsidP="002B04C7">
            <w:pPr>
              <w:tabs>
                <w:tab w:val="left" w:pos="4536"/>
              </w:tabs>
              <w:autoSpaceDE w:val="0"/>
              <w:autoSpaceDN w:val="0"/>
              <w:adjustRightInd w:val="0"/>
              <w:jc w:val="both"/>
              <w:rPr>
                <w:rFonts w:ascii="Times New Roman" w:hAnsi="Times New Roman" w:cs="Times New Roman"/>
                <w:sz w:val="16"/>
                <w:szCs w:val="20"/>
              </w:rPr>
            </w:pPr>
            <w:r w:rsidRPr="00B725B6">
              <w:rPr>
                <w:rFonts w:ascii="Times New Roman" w:hAnsi="Times New Roman" w:cs="Times New Roman"/>
                <w:sz w:val="16"/>
                <w:szCs w:val="20"/>
              </w:rPr>
              <w:t>Size</w:t>
            </w:r>
          </w:p>
        </w:tc>
        <w:tc>
          <w:tcPr>
            <w:tcW w:w="378" w:type="pct"/>
            <w:tcBorders>
              <w:top w:val="single" w:sz="4" w:space="0" w:color="auto"/>
              <w:left w:val="single" w:sz="4" w:space="0" w:color="auto"/>
              <w:bottom w:val="single" w:sz="4" w:space="0" w:color="auto"/>
            </w:tcBorders>
            <w:vAlign w:val="center"/>
          </w:tcPr>
          <w:p w14:paraId="4CA8006C"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0.007</w:t>
            </w:r>
          </w:p>
          <w:p w14:paraId="64251942"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(0.106)</w:t>
            </w:r>
          </w:p>
        </w:tc>
        <w:tc>
          <w:tcPr>
            <w:tcW w:w="357" w:type="pct"/>
            <w:tcBorders>
              <w:top w:val="single" w:sz="4" w:space="0" w:color="auto"/>
              <w:bottom w:val="single" w:sz="4" w:space="0" w:color="auto"/>
            </w:tcBorders>
            <w:vAlign w:val="center"/>
          </w:tcPr>
          <w:p w14:paraId="7E46D3A3"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1.618</w:t>
            </w:r>
          </w:p>
        </w:tc>
        <w:tc>
          <w:tcPr>
            <w:tcW w:w="378" w:type="pct"/>
            <w:tcBorders>
              <w:top w:val="single" w:sz="4" w:space="0" w:color="auto"/>
              <w:bottom w:val="single" w:sz="4" w:space="0" w:color="auto"/>
            </w:tcBorders>
            <w:vAlign w:val="center"/>
          </w:tcPr>
          <w:p w14:paraId="7E320C2C"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-.031</w:t>
            </w:r>
          </w:p>
          <w:p w14:paraId="6109ECD8"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(0.000)</w:t>
            </w:r>
          </w:p>
        </w:tc>
        <w:tc>
          <w:tcPr>
            <w:tcW w:w="357" w:type="pct"/>
            <w:tcBorders>
              <w:top w:val="single" w:sz="4" w:space="0" w:color="auto"/>
              <w:bottom w:val="single" w:sz="4" w:space="0" w:color="auto"/>
            </w:tcBorders>
            <w:vAlign w:val="center"/>
          </w:tcPr>
          <w:p w14:paraId="54CFF3DB"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-3.798</w:t>
            </w:r>
          </w:p>
        </w:tc>
        <w:tc>
          <w:tcPr>
            <w:tcW w:w="378" w:type="pct"/>
            <w:tcBorders>
              <w:top w:val="single" w:sz="4" w:space="0" w:color="auto"/>
              <w:bottom w:val="single" w:sz="4" w:space="0" w:color="auto"/>
            </w:tcBorders>
            <w:vAlign w:val="center"/>
          </w:tcPr>
          <w:p w14:paraId="48CB0D26" w14:textId="77777777" w:rsidR="00E40A40" w:rsidRPr="00B725B6" w:rsidRDefault="00E40A40" w:rsidP="00B725B6">
            <w:pPr>
              <w:tabs>
                <w:tab w:val="left" w:pos="4536"/>
              </w:tabs>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-0.391</w:t>
            </w:r>
          </w:p>
          <w:p w14:paraId="30C4368F" w14:textId="77777777" w:rsidR="00E40A40" w:rsidRPr="00B725B6" w:rsidRDefault="00E40A40" w:rsidP="00B725B6">
            <w:pPr>
              <w:tabs>
                <w:tab w:val="left" w:pos="4536"/>
              </w:tabs>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(0.001)</w:t>
            </w:r>
          </w:p>
        </w:tc>
        <w:tc>
          <w:tcPr>
            <w:tcW w:w="386" w:type="pct"/>
            <w:tcBorders>
              <w:top w:val="single" w:sz="4" w:space="0" w:color="auto"/>
              <w:bottom w:val="single" w:sz="4" w:space="0" w:color="auto"/>
            </w:tcBorders>
            <w:vAlign w:val="center"/>
          </w:tcPr>
          <w:p w14:paraId="726DD7EC"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-3.337</w:t>
            </w:r>
          </w:p>
        </w:tc>
        <w:tc>
          <w:tcPr>
            <w:tcW w:w="378" w:type="pct"/>
            <w:tcBorders>
              <w:top w:val="single" w:sz="4" w:space="0" w:color="auto"/>
              <w:bottom w:val="single" w:sz="4" w:space="0" w:color="auto"/>
            </w:tcBorders>
            <w:vAlign w:val="center"/>
          </w:tcPr>
          <w:p w14:paraId="7B017FFA"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-.041</w:t>
            </w:r>
          </w:p>
          <w:p w14:paraId="039794C8"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(0.001)</w:t>
            </w:r>
          </w:p>
        </w:tc>
        <w:tc>
          <w:tcPr>
            <w:tcW w:w="352" w:type="pct"/>
            <w:tcBorders>
              <w:top w:val="single" w:sz="4" w:space="0" w:color="auto"/>
              <w:bottom w:val="single" w:sz="4" w:space="0" w:color="auto"/>
            </w:tcBorders>
            <w:vAlign w:val="center"/>
          </w:tcPr>
          <w:p w14:paraId="693372FA"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-3.438</w:t>
            </w:r>
          </w:p>
        </w:tc>
        <w:tc>
          <w:tcPr>
            <w:tcW w:w="378" w:type="pct"/>
            <w:tcBorders>
              <w:top w:val="single" w:sz="4" w:space="0" w:color="auto"/>
              <w:bottom w:val="single" w:sz="4" w:space="0" w:color="auto"/>
            </w:tcBorders>
            <w:vAlign w:val="center"/>
          </w:tcPr>
          <w:p w14:paraId="75CED51B"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0.596</w:t>
            </w:r>
          </w:p>
          <w:p w14:paraId="1AD2696B"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(0.002)</w:t>
            </w:r>
          </w:p>
        </w:tc>
        <w:tc>
          <w:tcPr>
            <w:tcW w:w="386" w:type="pct"/>
            <w:tcBorders>
              <w:top w:val="single" w:sz="4" w:space="0" w:color="auto"/>
              <w:bottom w:val="single" w:sz="4" w:space="0" w:color="auto"/>
            </w:tcBorders>
            <w:vAlign w:val="center"/>
          </w:tcPr>
          <w:p w14:paraId="1522E40C"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3.234</w:t>
            </w:r>
          </w:p>
        </w:tc>
        <w:tc>
          <w:tcPr>
            <w:tcW w:w="378" w:type="pct"/>
            <w:tcBorders>
              <w:top w:val="single" w:sz="4" w:space="0" w:color="auto"/>
              <w:bottom w:val="single" w:sz="4" w:space="0" w:color="auto"/>
            </w:tcBorders>
            <w:vAlign w:val="center"/>
          </w:tcPr>
          <w:p w14:paraId="76936058"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0.003</w:t>
            </w:r>
          </w:p>
          <w:p w14:paraId="0EE414D2"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(0.819)</w:t>
            </w:r>
          </w:p>
        </w:tc>
        <w:tc>
          <w:tcPr>
            <w:tcW w:w="354" w:type="pct"/>
            <w:tcBorders>
              <w:top w:val="single" w:sz="4" w:space="0" w:color="auto"/>
              <w:bottom w:val="single" w:sz="4" w:space="0" w:color="auto"/>
            </w:tcBorders>
            <w:vAlign w:val="center"/>
          </w:tcPr>
          <w:p w14:paraId="5EFF71B6"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0.230</w:t>
            </w:r>
          </w:p>
        </w:tc>
      </w:tr>
      <w:tr w:rsidR="007F15D8" w:rsidRPr="00B725B6" w14:paraId="2305FB72" w14:textId="77777777" w:rsidTr="00215E9A">
        <w:trPr>
          <w:trHeight w:val="340"/>
          <w:jc w:val="center"/>
        </w:trPr>
        <w:tc>
          <w:tcPr>
            <w:tcW w:w="538" w:type="pct"/>
            <w:tcBorders>
              <w:top w:val="single" w:sz="4" w:space="0" w:color="auto"/>
              <w:bottom w:val="single" w:sz="4" w:space="0" w:color="auto"/>
              <w:right w:val="single" w:sz="4" w:space="0" w:color="auto"/>
            </w:tcBorders>
            <w:vAlign w:val="center"/>
          </w:tcPr>
          <w:p w14:paraId="6C49C2EB" w14:textId="77777777" w:rsidR="00E40A40" w:rsidRPr="00B725B6" w:rsidRDefault="00E40A40" w:rsidP="002B04C7">
            <w:pPr>
              <w:tabs>
                <w:tab w:val="left" w:pos="4536"/>
              </w:tabs>
              <w:autoSpaceDE w:val="0"/>
              <w:autoSpaceDN w:val="0"/>
              <w:adjustRightInd w:val="0"/>
              <w:jc w:val="both"/>
              <w:rPr>
                <w:rFonts w:ascii="Times New Roman" w:hAnsi="Times New Roman" w:cs="Times New Roman"/>
                <w:sz w:val="16"/>
                <w:szCs w:val="20"/>
              </w:rPr>
            </w:pPr>
            <w:r w:rsidRPr="00B725B6">
              <w:rPr>
                <w:rFonts w:ascii="Times New Roman" w:hAnsi="Times New Roman" w:cs="Times New Roman"/>
                <w:sz w:val="16"/>
                <w:szCs w:val="20"/>
              </w:rPr>
              <w:t>R (Model)</w:t>
            </w:r>
          </w:p>
        </w:tc>
        <w:tc>
          <w:tcPr>
            <w:tcW w:w="736" w:type="pct"/>
            <w:gridSpan w:val="2"/>
            <w:tcBorders>
              <w:top w:val="single" w:sz="4" w:space="0" w:color="auto"/>
              <w:left w:val="single" w:sz="4" w:space="0" w:color="auto"/>
              <w:bottom w:val="single" w:sz="4" w:space="0" w:color="auto"/>
            </w:tcBorders>
            <w:vAlign w:val="center"/>
          </w:tcPr>
          <w:p w14:paraId="64C7AFB3"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0.188**</w:t>
            </w:r>
          </w:p>
        </w:tc>
        <w:tc>
          <w:tcPr>
            <w:tcW w:w="736" w:type="pct"/>
            <w:gridSpan w:val="2"/>
            <w:tcBorders>
              <w:top w:val="single" w:sz="4" w:space="0" w:color="auto"/>
              <w:bottom w:val="single" w:sz="4" w:space="0" w:color="auto"/>
            </w:tcBorders>
            <w:vAlign w:val="center"/>
          </w:tcPr>
          <w:p w14:paraId="5BAC4975"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0.233**</w:t>
            </w:r>
          </w:p>
        </w:tc>
        <w:tc>
          <w:tcPr>
            <w:tcW w:w="764" w:type="pct"/>
            <w:gridSpan w:val="2"/>
            <w:tcBorders>
              <w:top w:val="single" w:sz="4" w:space="0" w:color="auto"/>
              <w:bottom w:val="single" w:sz="4" w:space="0" w:color="auto"/>
            </w:tcBorders>
            <w:vAlign w:val="center"/>
          </w:tcPr>
          <w:p w14:paraId="7B8AE8C3"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0.380**</w:t>
            </w:r>
          </w:p>
        </w:tc>
        <w:tc>
          <w:tcPr>
            <w:tcW w:w="731" w:type="pct"/>
            <w:gridSpan w:val="2"/>
            <w:tcBorders>
              <w:top w:val="single" w:sz="4" w:space="0" w:color="auto"/>
              <w:bottom w:val="single" w:sz="4" w:space="0" w:color="auto"/>
            </w:tcBorders>
            <w:vAlign w:val="center"/>
          </w:tcPr>
          <w:p w14:paraId="1B108A30"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0.609**</w:t>
            </w:r>
          </w:p>
        </w:tc>
        <w:tc>
          <w:tcPr>
            <w:tcW w:w="764" w:type="pct"/>
            <w:gridSpan w:val="2"/>
            <w:tcBorders>
              <w:top w:val="single" w:sz="4" w:space="0" w:color="auto"/>
              <w:bottom w:val="single" w:sz="4" w:space="0" w:color="auto"/>
            </w:tcBorders>
            <w:vAlign w:val="center"/>
          </w:tcPr>
          <w:p w14:paraId="649204F7"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0.491**</w:t>
            </w:r>
          </w:p>
        </w:tc>
        <w:tc>
          <w:tcPr>
            <w:tcW w:w="732" w:type="pct"/>
            <w:gridSpan w:val="2"/>
            <w:tcBorders>
              <w:top w:val="single" w:sz="4" w:space="0" w:color="auto"/>
              <w:bottom w:val="single" w:sz="4" w:space="0" w:color="auto"/>
            </w:tcBorders>
            <w:vAlign w:val="center"/>
          </w:tcPr>
          <w:p w14:paraId="50D5540B"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0.164</w:t>
            </w:r>
          </w:p>
        </w:tc>
      </w:tr>
      <w:tr w:rsidR="007F15D8" w:rsidRPr="00B725B6" w14:paraId="2223449A" w14:textId="77777777" w:rsidTr="00215E9A">
        <w:trPr>
          <w:trHeight w:val="340"/>
          <w:jc w:val="center"/>
        </w:trPr>
        <w:tc>
          <w:tcPr>
            <w:tcW w:w="538" w:type="pct"/>
            <w:tcBorders>
              <w:top w:val="single" w:sz="4" w:space="0" w:color="auto"/>
              <w:bottom w:val="single" w:sz="4" w:space="0" w:color="auto"/>
              <w:right w:val="single" w:sz="4" w:space="0" w:color="auto"/>
            </w:tcBorders>
            <w:vAlign w:val="center"/>
          </w:tcPr>
          <w:p w14:paraId="378C08E6" w14:textId="77777777" w:rsidR="00E40A40" w:rsidRPr="00B725B6" w:rsidRDefault="00E40A40" w:rsidP="002B04C7">
            <w:pPr>
              <w:tabs>
                <w:tab w:val="left" w:pos="4536"/>
              </w:tabs>
              <w:autoSpaceDE w:val="0"/>
              <w:autoSpaceDN w:val="0"/>
              <w:adjustRightInd w:val="0"/>
              <w:jc w:val="both"/>
              <w:rPr>
                <w:rFonts w:ascii="Times New Roman" w:hAnsi="Times New Roman" w:cs="Times New Roman"/>
                <w:sz w:val="16"/>
                <w:szCs w:val="20"/>
              </w:rPr>
            </w:pPr>
            <w:r w:rsidRPr="00B725B6">
              <w:rPr>
                <w:rFonts w:ascii="Times New Roman" w:hAnsi="Times New Roman" w:cs="Times New Roman"/>
                <w:sz w:val="16"/>
                <w:szCs w:val="20"/>
              </w:rPr>
              <w:t>R</w:t>
            </w:r>
            <w:r w:rsidRPr="00B725B6">
              <w:rPr>
                <w:rFonts w:ascii="Times New Roman" w:hAnsi="Times New Roman" w:cs="Times New Roman"/>
                <w:sz w:val="16"/>
                <w:szCs w:val="20"/>
                <w:vertAlign w:val="superscript"/>
              </w:rPr>
              <w:t>2</w:t>
            </w:r>
          </w:p>
        </w:tc>
        <w:tc>
          <w:tcPr>
            <w:tcW w:w="736" w:type="pct"/>
            <w:gridSpan w:val="2"/>
            <w:tcBorders>
              <w:top w:val="single" w:sz="4" w:space="0" w:color="auto"/>
              <w:left w:val="single" w:sz="4" w:space="0" w:color="auto"/>
              <w:bottom w:val="single" w:sz="4" w:space="0" w:color="auto"/>
            </w:tcBorders>
            <w:vAlign w:val="center"/>
          </w:tcPr>
          <w:p w14:paraId="123E3A25"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0.035</w:t>
            </w:r>
          </w:p>
        </w:tc>
        <w:tc>
          <w:tcPr>
            <w:tcW w:w="736" w:type="pct"/>
            <w:gridSpan w:val="2"/>
            <w:tcBorders>
              <w:top w:val="single" w:sz="4" w:space="0" w:color="auto"/>
              <w:bottom w:val="single" w:sz="4" w:space="0" w:color="auto"/>
            </w:tcBorders>
            <w:vAlign w:val="center"/>
          </w:tcPr>
          <w:p w14:paraId="78496811"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0.054</w:t>
            </w:r>
          </w:p>
        </w:tc>
        <w:tc>
          <w:tcPr>
            <w:tcW w:w="764" w:type="pct"/>
            <w:gridSpan w:val="2"/>
            <w:tcBorders>
              <w:top w:val="single" w:sz="4" w:space="0" w:color="auto"/>
              <w:bottom w:val="single" w:sz="4" w:space="0" w:color="auto"/>
            </w:tcBorders>
            <w:vAlign w:val="center"/>
          </w:tcPr>
          <w:p w14:paraId="332A5115"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0.150</w:t>
            </w:r>
          </w:p>
        </w:tc>
        <w:tc>
          <w:tcPr>
            <w:tcW w:w="731" w:type="pct"/>
            <w:gridSpan w:val="2"/>
            <w:tcBorders>
              <w:top w:val="single" w:sz="4" w:space="0" w:color="auto"/>
              <w:bottom w:val="single" w:sz="4" w:space="0" w:color="auto"/>
            </w:tcBorders>
            <w:vAlign w:val="center"/>
          </w:tcPr>
          <w:p w14:paraId="797564AC"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0.370</w:t>
            </w:r>
          </w:p>
        </w:tc>
        <w:tc>
          <w:tcPr>
            <w:tcW w:w="764" w:type="pct"/>
            <w:gridSpan w:val="2"/>
            <w:tcBorders>
              <w:top w:val="single" w:sz="4" w:space="0" w:color="auto"/>
              <w:bottom w:val="single" w:sz="4" w:space="0" w:color="auto"/>
            </w:tcBorders>
            <w:vAlign w:val="center"/>
          </w:tcPr>
          <w:p w14:paraId="27A416B8"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0.241</w:t>
            </w:r>
          </w:p>
        </w:tc>
        <w:tc>
          <w:tcPr>
            <w:tcW w:w="732" w:type="pct"/>
            <w:gridSpan w:val="2"/>
            <w:tcBorders>
              <w:top w:val="single" w:sz="4" w:space="0" w:color="auto"/>
              <w:bottom w:val="single" w:sz="4" w:space="0" w:color="auto"/>
            </w:tcBorders>
            <w:vAlign w:val="center"/>
          </w:tcPr>
          <w:p w14:paraId="5D084A9D"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0.027</w:t>
            </w:r>
          </w:p>
        </w:tc>
      </w:tr>
      <w:tr w:rsidR="007F15D8" w:rsidRPr="00B725B6" w14:paraId="3D761921" w14:textId="77777777" w:rsidTr="00215E9A">
        <w:trPr>
          <w:trHeight w:val="340"/>
          <w:jc w:val="center"/>
        </w:trPr>
        <w:tc>
          <w:tcPr>
            <w:tcW w:w="538" w:type="pct"/>
            <w:tcBorders>
              <w:top w:val="single" w:sz="4" w:space="0" w:color="auto"/>
              <w:bottom w:val="single" w:sz="4" w:space="0" w:color="auto"/>
              <w:right w:val="single" w:sz="4" w:space="0" w:color="auto"/>
            </w:tcBorders>
            <w:vAlign w:val="center"/>
          </w:tcPr>
          <w:p w14:paraId="3E0B7A13" w14:textId="77777777" w:rsidR="00E40A40" w:rsidRPr="00B725B6" w:rsidRDefault="00E40A40" w:rsidP="002B04C7">
            <w:pPr>
              <w:tabs>
                <w:tab w:val="left" w:pos="4536"/>
              </w:tabs>
              <w:autoSpaceDE w:val="0"/>
              <w:autoSpaceDN w:val="0"/>
              <w:adjustRightInd w:val="0"/>
              <w:jc w:val="both"/>
              <w:rPr>
                <w:rFonts w:ascii="Times New Roman" w:hAnsi="Times New Roman" w:cs="Times New Roman"/>
                <w:sz w:val="16"/>
                <w:szCs w:val="20"/>
              </w:rPr>
            </w:pPr>
            <w:r w:rsidRPr="00B725B6">
              <w:rPr>
                <w:rFonts w:ascii="Times New Roman" w:hAnsi="Times New Roman" w:cs="Times New Roman"/>
                <w:sz w:val="16"/>
                <w:szCs w:val="20"/>
              </w:rPr>
              <w:t>F-value</w:t>
            </w:r>
          </w:p>
        </w:tc>
        <w:tc>
          <w:tcPr>
            <w:tcW w:w="736" w:type="pct"/>
            <w:gridSpan w:val="2"/>
            <w:tcBorders>
              <w:top w:val="single" w:sz="4" w:space="0" w:color="auto"/>
              <w:left w:val="single" w:sz="4" w:space="0" w:color="auto"/>
              <w:bottom w:val="single" w:sz="4" w:space="0" w:color="auto"/>
            </w:tcBorders>
            <w:vAlign w:val="center"/>
          </w:tcPr>
          <w:p w14:paraId="5956F23C"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6.417</w:t>
            </w:r>
          </w:p>
        </w:tc>
        <w:tc>
          <w:tcPr>
            <w:tcW w:w="736" w:type="pct"/>
            <w:gridSpan w:val="2"/>
            <w:tcBorders>
              <w:top w:val="single" w:sz="4" w:space="0" w:color="auto"/>
              <w:bottom w:val="single" w:sz="4" w:space="0" w:color="auto"/>
            </w:tcBorders>
            <w:vAlign w:val="center"/>
          </w:tcPr>
          <w:p w14:paraId="7797BEA3"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9.128</w:t>
            </w:r>
          </w:p>
        </w:tc>
        <w:tc>
          <w:tcPr>
            <w:tcW w:w="764" w:type="pct"/>
            <w:gridSpan w:val="2"/>
            <w:tcBorders>
              <w:top w:val="single" w:sz="4" w:space="0" w:color="auto"/>
              <w:bottom w:val="single" w:sz="4" w:space="0" w:color="auto"/>
            </w:tcBorders>
            <w:vAlign w:val="center"/>
          </w:tcPr>
          <w:p w14:paraId="13796110"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4.366</w:t>
            </w:r>
          </w:p>
        </w:tc>
        <w:tc>
          <w:tcPr>
            <w:tcW w:w="731" w:type="pct"/>
            <w:gridSpan w:val="2"/>
            <w:tcBorders>
              <w:top w:val="single" w:sz="4" w:space="0" w:color="auto"/>
              <w:bottom w:val="single" w:sz="4" w:space="0" w:color="auto"/>
            </w:tcBorders>
            <w:vAlign w:val="center"/>
          </w:tcPr>
          <w:p w14:paraId="328D6161"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10.111</w:t>
            </w:r>
          </w:p>
        </w:tc>
        <w:tc>
          <w:tcPr>
            <w:tcW w:w="764" w:type="pct"/>
            <w:gridSpan w:val="2"/>
            <w:tcBorders>
              <w:top w:val="single" w:sz="4" w:space="0" w:color="auto"/>
              <w:bottom w:val="single" w:sz="4" w:space="0" w:color="auto"/>
            </w:tcBorders>
            <w:vAlign w:val="center"/>
          </w:tcPr>
          <w:p w14:paraId="74DD9369"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3.898</w:t>
            </w:r>
          </w:p>
        </w:tc>
        <w:tc>
          <w:tcPr>
            <w:tcW w:w="732" w:type="pct"/>
            <w:gridSpan w:val="2"/>
            <w:tcBorders>
              <w:top w:val="single" w:sz="4" w:space="0" w:color="auto"/>
              <w:bottom w:val="single" w:sz="4" w:space="0" w:color="auto"/>
            </w:tcBorders>
            <w:vAlign w:val="center"/>
          </w:tcPr>
          <w:p w14:paraId="736D26CA"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0.791</w:t>
            </w:r>
          </w:p>
        </w:tc>
      </w:tr>
      <w:tr w:rsidR="007F15D8" w:rsidRPr="00B725B6" w14:paraId="04E3BFBA" w14:textId="77777777" w:rsidTr="00215E9A">
        <w:trPr>
          <w:trHeight w:val="340"/>
          <w:jc w:val="center"/>
        </w:trPr>
        <w:tc>
          <w:tcPr>
            <w:tcW w:w="538" w:type="pct"/>
            <w:tcBorders>
              <w:top w:val="single" w:sz="4" w:space="0" w:color="auto"/>
              <w:bottom w:val="single" w:sz="4" w:space="0" w:color="auto"/>
              <w:right w:val="single" w:sz="4" w:space="0" w:color="auto"/>
            </w:tcBorders>
            <w:vAlign w:val="center"/>
          </w:tcPr>
          <w:p w14:paraId="76AEE9AA" w14:textId="77777777" w:rsidR="00E40A40" w:rsidRPr="00B725B6" w:rsidRDefault="00E40A40" w:rsidP="002B04C7">
            <w:pPr>
              <w:tabs>
                <w:tab w:val="left" w:pos="4536"/>
              </w:tabs>
              <w:autoSpaceDE w:val="0"/>
              <w:autoSpaceDN w:val="0"/>
              <w:adjustRightInd w:val="0"/>
              <w:jc w:val="both"/>
              <w:rPr>
                <w:rFonts w:ascii="Times New Roman" w:hAnsi="Times New Roman" w:cs="Times New Roman"/>
                <w:sz w:val="16"/>
                <w:szCs w:val="20"/>
              </w:rPr>
            </w:pPr>
            <w:r w:rsidRPr="00B725B6">
              <w:rPr>
                <w:rFonts w:ascii="Times New Roman" w:hAnsi="Times New Roman" w:cs="Times New Roman"/>
                <w:sz w:val="16"/>
                <w:szCs w:val="20"/>
              </w:rPr>
              <w:t>Sig.</w:t>
            </w:r>
          </w:p>
        </w:tc>
        <w:tc>
          <w:tcPr>
            <w:tcW w:w="736" w:type="pct"/>
            <w:gridSpan w:val="2"/>
            <w:tcBorders>
              <w:top w:val="single" w:sz="4" w:space="0" w:color="auto"/>
              <w:left w:val="single" w:sz="4" w:space="0" w:color="auto"/>
              <w:bottom w:val="single" w:sz="4" w:space="0" w:color="auto"/>
            </w:tcBorders>
            <w:vAlign w:val="center"/>
          </w:tcPr>
          <w:p w14:paraId="2F47276E"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0.000</w:t>
            </w:r>
          </w:p>
        </w:tc>
        <w:tc>
          <w:tcPr>
            <w:tcW w:w="736" w:type="pct"/>
            <w:gridSpan w:val="2"/>
            <w:tcBorders>
              <w:top w:val="single" w:sz="4" w:space="0" w:color="auto"/>
              <w:bottom w:val="single" w:sz="4" w:space="0" w:color="auto"/>
            </w:tcBorders>
            <w:vAlign w:val="center"/>
          </w:tcPr>
          <w:p w14:paraId="57C0666D"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0.000</w:t>
            </w:r>
          </w:p>
        </w:tc>
        <w:tc>
          <w:tcPr>
            <w:tcW w:w="764" w:type="pct"/>
            <w:gridSpan w:val="2"/>
            <w:tcBorders>
              <w:top w:val="single" w:sz="4" w:space="0" w:color="auto"/>
              <w:bottom w:val="single" w:sz="4" w:space="0" w:color="auto"/>
            </w:tcBorders>
            <w:vAlign w:val="center"/>
          </w:tcPr>
          <w:p w14:paraId="0B2637AC"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0.007</w:t>
            </w:r>
          </w:p>
        </w:tc>
        <w:tc>
          <w:tcPr>
            <w:tcW w:w="731" w:type="pct"/>
            <w:gridSpan w:val="2"/>
            <w:tcBorders>
              <w:top w:val="single" w:sz="4" w:space="0" w:color="auto"/>
              <w:bottom w:val="single" w:sz="4" w:space="0" w:color="auto"/>
            </w:tcBorders>
            <w:vAlign w:val="center"/>
          </w:tcPr>
          <w:p w14:paraId="54326D51"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0.000</w:t>
            </w:r>
          </w:p>
        </w:tc>
        <w:tc>
          <w:tcPr>
            <w:tcW w:w="764" w:type="pct"/>
            <w:gridSpan w:val="2"/>
            <w:tcBorders>
              <w:top w:val="single" w:sz="4" w:space="0" w:color="auto"/>
              <w:bottom w:val="single" w:sz="4" w:space="0" w:color="auto"/>
            </w:tcBorders>
            <w:vAlign w:val="center"/>
          </w:tcPr>
          <w:p w14:paraId="2D98A03B"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0.008</w:t>
            </w:r>
          </w:p>
        </w:tc>
        <w:tc>
          <w:tcPr>
            <w:tcW w:w="732" w:type="pct"/>
            <w:gridSpan w:val="2"/>
            <w:tcBorders>
              <w:top w:val="single" w:sz="4" w:space="0" w:color="auto"/>
              <w:bottom w:val="single" w:sz="4" w:space="0" w:color="auto"/>
            </w:tcBorders>
            <w:vAlign w:val="center"/>
          </w:tcPr>
          <w:p w14:paraId="5347CF2C"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0.533</w:t>
            </w:r>
          </w:p>
        </w:tc>
      </w:tr>
    </w:tbl>
    <w:p w14:paraId="59F9D774" w14:textId="48E9D4C5" w:rsidR="00FD4287" w:rsidRPr="00A152B0" w:rsidRDefault="00215E9A" w:rsidP="00B725B6">
      <w:pPr>
        <w:autoSpaceDE w:val="0"/>
        <w:autoSpaceDN w:val="0"/>
        <w:adjustRightInd w:val="0"/>
        <w:snapToGrid w:val="0"/>
        <w:spacing w:after="0" w:line="360" w:lineRule="exact"/>
        <w:rPr>
          <w:rFonts w:asciiTheme="majorBidi" w:hAnsiTheme="majorBidi" w:cstheme="majorBidi"/>
          <w:szCs w:val="16"/>
        </w:rPr>
      </w:pPr>
      <w:r w:rsidRPr="00215E9A">
        <w:rPr>
          <w:rFonts w:asciiTheme="majorBidi" w:hAnsiTheme="majorBidi" w:cstheme="majorBidi"/>
          <w:i/>
          <w:szCs w:val="24"/>
        </w:rPr>
        <w:t>Note.</w:t>
      </w:r>
      <w:r>
        <w:rPr>
          <w:rFonts w:asciiTheme="majorBidi" w:hAnsiTheme="majorBidi" w:cstheme="majorBidi"/>
          <w:i/>
          <w:szCs w:val="24"/>
        </w:rPr>
        <w:t xml:space="preserve"> </w:t>
      </w:r>
      <w:r w:rsidR="00FD4287" w:rsidRPr="00A152B0">
        <w:rPr>
          <w:rFonts w:asciiTheme="majorBidi" w:hAnsiTheme="majorBidi" w:cstheme="majorBidi"/>
          <w:szCs w:val="16"/>
        </w:rPr>
        <w:t>**Correlation is significant at the 0.01 level (2-tailed).</w:t>
      </w:r>
    </w:p>
    <w:p w14:paraId="60CB7134" w14:textId="13969D9C" w:rsidR="00FD4287" w:rsidRPr="00A152B0" w:rsidRDefault="00FD4287" w:rsidP="00B725B6">
      <w:pPr>
        <w:autoSpaceDE w:val="0"/>
        <w:autoSpaceDN w:val="0"/>
        <w:adjustRightInd w:val="0"/>
        <w:snapToGrid w:val="0"/>
        <w:spacing w:after="0" w:line="360" w:lineRule="exact"/>
        <w:rPr>
          <w:rFonts w:asciiTheme="majorBidi" w:hAnsiTheme="majorBidi" w:cstheme="majorBidi"/>
          <w:szCs w:val="16"/>
        </w:rPr>
      </w:pPr>
      <w:r w:rsidRPr="00A152B0">
        <w:rPr>
          <w:rFonts w:asciiTheme="majorBidi" w:hAnsiTheme="majorBidi" w:cstheme="majorBidi"/>
          <w:szCs w:val="16"/>
        </w:rPr>
        <w:t>*Correlation is significant at the 0.05 level (2-tailed).</w:t>
      </w:r>
    </w:p>
    <w:p w14:paraId="1429294A" w14:textId="77777777" w:rsidR="002B04C7" w:rsidRPr="002B04C7" w:rsidRDefault="002B04C7" w:rsidP="00B725B6">
      <w:pPr>
        <w:autoSpaceDE w:val="0"/>
        <w:autoSpaceDN w:val="0"/>
        <w:adjustRightInd w:val="0"/>
        <w:snapToGrid w:val="0"/>
        <w:spacing w:after="0" w:line="360" w:lineRule="exact"/>
        <w:rPr>
          <w:rFonts w:asciiTheme="majorBidi" w:hAnsiTheme="majorBidi" w:cstheme="majorBidi"/>
          <w:sz w:val="24"/>
          <w:szCs w:val="16"/>
        </w:rPr>
      </w:pPr>
    </w:p>
    <w:p w14:paraId="33DF2EFB" w14:textId="5291C855" w:rsidR="00D5790E" w:rsidRPr="007F15D8" w:rsidRDefault="00D5790E" w:rsidP="00B730DC">
      <w:pPr>
        <w:autoSpaceDE w:val="0"/>
        <w:autoSpaceDN w:val="0"/>
        <w:adjustRightInd w:val="0"/>
        <w:snapToGrid w:val="0"/>
        <w:spacing w:after="0" w:line="360" w:lineRule="exact"/>
        <w:ind w:firstLine="510"/>
        <w:jc w:val="both"/>
        <w:rPr>
          <w:rFonts w:ascii="Times New Roman" w:hAnsi="Times New Roman"/>
          <w:sz w:val="26"/>
        </w:rPr>
      </w:pPr>
      <w:r w:rsidRPr="007F15D8">
        <w:rPr>
          <w:rFonts w:ascii="Times New Roman" w:hAnsi="Times New Roman"/>
          <w:sz w:val="26"/>
        </w:rPr>
        <w:t xml:space="preserve">Table 9 shows that the model is significant in all GCC countries except for UAE at 0.01. </w:t>
      </w:r>
      <w:r w:rsidR="001361AB" w:rsidRPr="007F15D8">
        <w:rPr>
          <w:rFonts w:ascii="Times New Roman" w:hAnsi="Times New Roman"/>
          <w:sz w:val="26"/>
        </w:rPr>
        <w:t>H3a is accepted in Oman and Kuwait as t</w:t>
      </w:r>
      <w:r w:rsidRPr="007F15D8">
        <w:rPr>
          <w:rFonts w:ascii="Times New Roman" w:hAnsi="Times New Roman"/>
          <w:sz w:val="26"/>
        </w:rPr>
        <w:t xml:space="preserve">he value relevance (ERC) </w:t>
      </w:r>
      <w:r w:rsidR="006F15D5">
        <w:rPr>
          <w:rFonts w:ascii="Times New Roman" w:hAnsi="Times New Roman"/>
          <w:sz w:val="26"/>
        </w:rPr>
        <w:t>significantly affects</w:t>
      </w:r>
      <w:r w:rsidRPr="007F15D8">
        <w:rPr>
          <w:rFonts w:ascii="Times New Roman" w:hAnsi="Times New Roman"/>
          <w:sz w:val="26"/>
        </w:rPr>
        <w:t xml:space="preserve"> attracting foreign investors in Oman and Kuwait at 0.05. In Oman, the coefficient is 0.100</w:t>
      </w:r>
      <w:r w:rsidR="00944F99" w:rsidRPr="007F15D8">
        <w:rPr>
          <w:rFonts w:ascii="Times New Roman" w:hAnsi="Times New Roman"/>
          <w:sz w:val="26"/>
        </w:rPr>
        <w:t xml:space="preserve"> (</w:t>
      </w:r>
      <w:r w:rsidRPr="007F15D8">
        <w:rPr>
          <w:rFonts w:ascii="Times New Roman" w:hAnsi="Times New Roman"/>
          <w:sz w:val="26"/>
        </w:rPr>
        <w:t>p-value&lt;0.05)</w:t>
      </w:r>
      <w:r w:rsidR="00F72273" w:rsidRPr="007F15D8">
        <w:rPr>
          <w:rFonts w:ascii="Times New Roman" w:hAnsi="Times New Roman"/>
          <w:sz w:val="26"/>
        </w:rPr>
        <w:t>,</w:t>
      </w:r>
      <w:r w:rsidRPr="007F15D8">
        <w:rPr>
          <w:rFonts w:ascii="Times New Roman" w:hAnsi="Times New Roman"/>
          <w:sz w:val="26"/>
        </w:rPr>
        <w:t xml:space="preserve"> and </w:t>
      </w:r>
      <w:r w:rsidR="00F72273" w:rsidRPr="007F15D8">
        <w:rPr>
          <w:rFonts w:ascii="Times New Roman" w:hAnsi="Times New Roman"/>
          <w:sz w:val="26"/>
        </w:rPr>
        <w:t xml:space="preserve">the </w:t>
      </w:r>
      <w:r w:rsidRPr="007F15D8">
        <w:rPr>
          <w:rFonts w:ascii="Times New Roman" w:hAnsi="Times New Roman"/>
          <w:sz w:val="26"/>
        </w:rPr>
        <w:t>R</w:t>
      </w:r>
      <w:r w:rsidRPr="007F15D8">
        <w:rPr>
          <w:rFonts w:ascii="Times New Roman" w:hAnsi="Times New Roman"/>
          <w:sz w:val="26"/>
          <w:vertAlign w:val="superscript"/>
        </w:rPr>
        <w:t>2</w:t>
      </w:r>
      <w:r w:rsidRPr="007F15D8">
        <w:rPr>
          <w:rFonts w:ascii="Times New Roman" w:hAnsi="Times New Roman"/>
          <w:sz w:val="26"/>
        </w:rPr>
        <w:t xml:space="preserve"> of ERC explain</w:t>
      </w:r>
      <w:r w:rsidR="00F72273" w:rsidRPr="007F15D8">
        <w:rPr>
          <w:rFonts w:ascii="Times New Roman" w:hAnsi="Times New Roman"/>
          <w:sz w:val="26"/>
        </w:rPr>
        <w:t>s</w:t>
      </w:r>
      <w:r w:rsidRPr="007F15D8">
        <w:rPr>
          <w:rFonts w:ascii="Times New Roman" w:hAnsi="Times New Roman"/>
          <w:sz w:val="26"/>
        </w:rPr>
        <w:t xml:space="preserve"> 5.4% of </w:t>
      </w:r>
      <w:r w:rsidR="0066455A">
        <w:rPr>
          <w:rFonts w:ascii="Times New Roman" w:hAnsi="Times New Roman"/>
          <w:sz w:val="26"/>
        </w:rPr>
        <w:t xml:space="preserve">the </w:t>
      </w:r>
      <w:r w:rsidRPr="007F15D8">
        <w:rPr>
          <w:rFonts w:ascii="Times New Roman" w:hAnsi="Times New Roman"/>
          <w:sz w:val="26"/>
        </w:rPr>
        <w:t>variation of attracting foreign investors. In Kuwait, the coefficient is equal to 0.056</w:t>
      </w:r>
      <w:r w:rsidR="00944F99" w:rsidRPr="007F15D8">
        <w:rPr>
          <w:rFonts w:ascii="Times New Roman" w:hAnsi="Times New Roman"/>
          <w:sz w:val="26"/>
        </w:rPr>
        <w:t xml:space="preserve"> (</w:t>
      </w:r>
      <w:r w:rsidRPr="007F15D8">
        <w:rPr>
          <w:rFonts w:ascii="Times New Roman" w:hAnsi="Times New Roman"/>
          <w:sz w:val="26"/>
        </w:rPr>
        <w:t>p-value&lt;0.05)</w:t>
      </w:r>
      <w:r w:rsidR="00F72273" w:rsidRPr="007F15D8">
        <w:rPr>
          <w:rFonts w:ascii="Times New Roman" w:hAnsi="Times New Roman"/>
          <w:sz w:val="26"/>
        </w:rPr>
        <w:t>,</w:t>
      </w:r>
      <w:r w:rsidRPr="007F15D8">
        <w:rPr>
          <w:rFonts w:ascii="Times New Roman" w:hAnsi="Times New Roman"/>
          <w:sz w:val="26"/>
        </w:rPr>
        <w:t xml:space="preserve"> </w:t>
      </w:r>
      <w:r w:rsidR="00F72273" w:rsidRPr="007F15D8">
        <w:rPr>
          <w:rFonts w:ascii="Times New Roman" w:hAnsi="Times New Roman"/>
          <w:sz w:val="26"/>
        </w:rPr>
        <w:t xml:space="preserve">and the </w:t>
      </w:r>
      <w:r w:rsidRPr="007F15D8">
        <w:rPr>
          <w:rFonts w:ascii="Times New Roman" w:hAnsi="Times New Roman"/>
          <w:sz w:val="26"/>
        </w:rPr>
        <w:t>R</w:t>
      </w:r>
      <w:r w:rsidRPr="007F15D8">
        <w:rPr>
          <w:rFonts w:ascii="Times New Roman" w:hAnsi="Times New Roman"/>
          <w:sz w:val="26"/>
          <w:vertAlign w:val="superscript"/>
        </w:rPr>
        <w:t>2</w:t>
      </w:r>
      <w:r w:rsidRPr="007F15D8">
        <w:rPr>
          <w:rFonts w:ascii="Times New Roman" w:hAnsi="Times New Roman"/>
          <w:sz w:val="26"/>
        </w:rPr>
        <w:t xml:space="preserve"> of ERC </w:t>
      </w:r>
      <w:r w:rsidR="00F72273" w:rsidRPr="007F15D8">
        <w:rPr>
          <w:rFonts w:ascii="Times New Roman" w:hAnsi="Times New Roman"/>
          <w:sz w:val="26"/>
        </w:rPr>
        <w:t>explains</w:t>
      </w:r>
      <w:r w:rsidRPr="007F15D8">
        <w:rPr>
          <w:rFonts w:ascii="Times New Roman" w:hAnsi="Times New Roman"/>
          <w:sz w:val="26"/>
        </w:rPr>
        <w:t xml:space="preserve"> 24.1% of </w:t>
      </w:r>
      <w:r w:rsidR="0066455A">
        <w:rPr>
          <w:rFonts w:ascii="Times New Roman" w:hAnsi="Times New Roman"/>
          <w:sz w:val="26"/>
        </w:rPr>
        <w:t xml:space="preserve">the </w:t>
      </w:r>
      <w:r w:rsidRPr="007F15D8">
        <w:rPr>
          <w:rFonts w:ascii="Times New Roman" w:hAnsi="Times New Roman"/>
          <w:sz w:val="26"/>
        </w:rPr>
        <w:t xml:space="preserve">variation </w:t>
      </w:r>
      <w:r w:rsidR="006F15D5">
        <w:rPr>
          <w:rFonts w:ascii="Times New Roman" w:hAnsi="Times New Roman"/>
          <w:sz w:val="26"/>
        </w:rPr>
        <w:t>in</w:t>
      </w:r>
      <w:r w:rsidRPr="007F15D8">
        <w:rPr>
          <w:rFonts w:ascii="Times New Roman" w:hAnsi="Times New Roman"/>
          <w:sz w:val="26"/>
        </w:rPr>
        <w:t xml:space="preserve"> attracting foreign investors. In KSA, the value relevance (ERC) has </w:t>
      </w:r>
      <w:r w:rsidR="0066455A">
        <w:rPr>
          <w:rFonts w:ascii="Times New Roman" w:hAnsi="Times New Roman"/>
          <w:sz w:val="26"/>
        </w:rPr>
        <w:t xml:space="preserve">a </w:t>
      </w:r>
      <w:r w:rsidRPr="007F15D8">
        <w:rPr>
          <w:rFonts w:ascii="Times New Roman" w:hAnsi="Times New Roman"/>
          <w:sz w:val="26"/>
        </w:rPr>
        <w:t>significantly negative effect on attracting foreign investors as the coefficient is -0.004</w:t>
      </w:r>
      <w:r w:rsidR="00944F99" w:rsidRPr="007F15D8">
        <w:rPr>
          <w:rFonts w:ascii="Times New Roman" w:hAnsi="Times New Roman"/>
          <w:sz w:val="26"/>
        </w:rPr>
        <w:t xml:space="preserve"> (</w:t>
      </w:r>
      <w:r w:rsidRPr="007F15D8">
        <w:rPr>
          <w:rFonts w:ascii="Times New Roman" w:hAnsi="Times New Roman"/>
          <w:sz w:val="26"/>
        </w:rPr>
        <w:t>p-value&lt;0.01)</w:t>
      </w:r>
      <w:r w:rsidR="00F72273" w:rsidRPr="007F15D8">
        <w:rPr>
          <w:rFonts w:ascii="Times New Roman" w:hAnsi="Times New Roman"/>
          <w:sz w:val="26"/>
        </w:rPr>
        <w:t>.</w:t>
      </w:r>
      <w:r w:rsidRPr="007F15D8">
        <w:rPr>
          <w:rFonts w:ascii="Times New Roman" w:hAnsi="Times New Roman"/>
          <w:sz w:val="26"/>
        </w:rPr>
        <w:t xml:space="preserve"> </w:t>
      </w:r>
      <w:r w:rsidR="00F72273" w:rsidRPr="007F15D8">
        <w:rPr>
          <w:rFonts w:ascii="Times New Roman" w:hAnsi="Times New Roman"/>
          <w:sz w:val="26"/>
        </w:rPr>
        <w:t xml:space="preserve">The </w:t>
      </w:r>
      <w:r w:rsidRPr="007F15D8">
        <w:rPr>
          <w:rFonts w:ascii="Times New Roman" w:hAnsi="Times New Roman"/>
          <w:sz w:val="26"/>
        </w:rPr>
        <w:t>R</w:t>
      </w:r>
      <w:r w:rsidRPr="007F15D8">
        <w:rPr>
          <w:rFonts w:ascii="Times New Roman" w:hAnsi="Times New Roman"/>
          <w:sz w:val="26"/>
          <w:vertAlign w:val="superscript"/>
        </w:rPr>
        <w:t>2</w:t>
      </w:r>
      <w:r w:rsidRPr="007F15D8">
        <w:rPr>
          <w:rFonts w:ascii="Times New Roman" w:hAnsi="Times New Roman"/>
          <w:sz w:val="26"/>
        </w:rPr>
        <w:t xml:space="preserve"> of ERC explain</w:t>
      </w:r>
      <w:r w:rsidR="00F72273" w:rsidRPr="007F15D8">
        <w:rPr>
          <w:rFonts w:ascii="Times New Roman" w:hAnsi="Times New Roman"/>
          <w:sz w:val="26"/>
        </w:rPr>
        <w:t>s</w:t>
      </w:r>
      <w:r w:rsidRPr="007F15D8">
        <w:rPr>
          <w:rFonts w:ascii="Times New Roman" w:hAnsi="Times New Roman"/>
          <w:sz w:val="26"/>
        </w:rPr>
        <w:t xml:space="preserve"> 3.5% of </w:t>
      </w:r>
      <w:r w:rsidR="0066455A">
        <w:rPr>
          <w:rFonts w:ascii="Times New Roman" w:hAnsi="Times New Roman"/>
          <w:sz w:val="26"/>
        </w:rPr>
        <w:t xml:space="preserve">the </w:t>
      </w:r>
      <w:r w:rsidRPr="007F15D8">
        <w:rPr>
          <w:rFonts w:ascii="Times New Roman" w:hAnsi="Times New Roman"/>
          <w:sz w:val="26"/>
        </w:rPr>
        <w:t xml:space="preserve">variation of attracting foreign investors. </w:t>
      </w:r>
      <w:r w:rsidR="0066455A">
        <w:rPr>
          <w:rFonts w:ascii="Times New Roman" w:hAnsi="Times New Roman"/>
          <w:sz w:val="26"/>
        </w:rPr>
        <w:t>The result indicates that any improvement in the informativeness of financial reporting measured by ERC will attract more foreign investors in Oman and Kuwait</w:t>
      </w:r>
      <w:r w:rsidRPr="007F15D8">
        <w:rPr>
          <w:rFonts w:ascii="Times New Roman" w:hAnsi="Times New Roman"/>
          <w:sz w:val="26"/>
        </w:rPr>
        <w:t xml:space="preserve">. This result is consistent with Jiang </w:t>
      </w:r>
      <w:r w:rsidR="00523653">
        <w:rPr>
          <w:rFonts w:ascii="Times New Roman" w:hAnsi="Times New Roman"/>
          <w:sz w:val="26"/>
        </w:rPr>
        <w:t>and</w:t>
      </w:r>
      <w:r w:rsidRPr="007F15D8">
        <w:rPr>
          <w:rFonts w:ascii="Times New Roman" w:hAnsi="Times New Roman"/>
          <w:sz w:val="26"/>
        </w:rPr>
        <w:t xml:space="preserve"> Kim (2004) wh</w:t>
      </w:r>
      <w:r w:rsidR="0066455A">
        <w:rPr>
          <w:rFonts w:ascii="Times New Roman" w:hAnsi="Times New Roman"/>
          <w:sz w:val="26"/>
        </w:rPr>
        <w:t>ich</w:t>
      </w:r>
      <w:r w:rsidRPr="007F15D8">
        <w:rPr>
          <w:rFonts w:ascii="Times New Roman" w:hAnsi="Times New Roman"/>
          <w:sz w:val="26"/>
        </w:rPr>
        <w:t xml:space="preserve"> found that foreign investors prefer to invest in a</w:t>
      </w:r>
      <w:r w:rsidR="00F72273" w:rsidRPr="007F15D8">
        <w:rPr>
          <w:rFonts w:ascii="Times New Roman" w:hAnsi="Times New Roman"/>
          <w:sz w:val="26"/>
        </w:rPr>
        <w:t>n environment with</w:t>
      </w:r>
      <w:r w:rsidRPr="007F15D8">
        <w:rPr>
          <w:rFonts w:ascii="Times New Roman" w:hAnsi="Times New Roman"/>
          <w:sz w:val="26"/>
        </w:rPr>
        <w:t xml:space="preserve"> high informational advantages and low information asymmetry. </w:t>
      </w:r>
      <w:r w:rsidR="00F72273" w:rsidRPr="007F15D8">
        <w:rPr>
          <w:rFonts w:ascii="Times New Roman" w:hAnsi="Times New Roman"/>
          <w:sz w:val="26"/>
        </w:rPr>
        <w:t>T</w:t>
      </w:r>
      <w:r w:rsidRPr="007F15D8">
        <w:rPr>
          <w:rFonts w:ascii="Times New Roman" w:hAnsi="Times New Roman"/>
          <w:sz w:val="26"/>
        </w:rPr>
        <w:t>he result is supported by Choi et al.</w:t>
      </w:r>
      <w:r w:rsidR="00944F99" w:rsidRPr="007F15D8">
        <w:rPr>
          <w:rFonts w:ascii="Times New Roman" w:hAnsi="Times New Roman"/>
          <w:sz w:val="26"/>
        </w:rPr>
        <w:t xml:space="preserve"> (</w:t>
      </w:r>
      <w:r w:rsidRPr="007F15D8">
        <w:rPr>
          <w:rFonts w:ascii="Times New Roman" w:hAnsi="Times New Roman"/>
          <w:sz w:val="26"/>
        </w:rPr>
        <w:t>2013) wh</w:t>
      </w:r>
      <w:r w:rsidR="0066455A">
        <w:rPr>
          <w:rFonts w:ascii="Times New Roman" w:hAnsi="Times New Roman"/>
          <w:sz w:val="26"/>
        </w:rPr>
        <w:t>ich</w:t>
      </w:r>
      <w:r w:rsidRPr="007F15D8">
        <w:rPr>
          <w:rFonts w:ascii="Times New Roman" w:hAnsi="Times New Roman"/>
          <w:sz w:val="26"/>
        </w:rPr>
        <w:t xml:space="preserve"> pointed out that the pressure for increased informational content and increase</w:t>
      </w:r>
      <w:r w:rsidR="00F72273" w:rsidRPr="007F15D8">
        <w:rPr>
          <w:rFonts w:ascii="Times New Roman" w:hAnsi="Times New Roman"/>
          <w:sz w:val="26"/>
        </w:rPr>
        <w:t>d</w:t>
      </w:r>
      <w:r w:rsidRPr="007F15D8">
        <w:rPr>
          <w:rFonts w:ascii="Times New Roman" w:hAnsi="Times New Roman"/>
          <w:sz w:val="26"/>
        </w:rPr>
        <w:t xml:space="preserve"> value relevance of financial reporting will attract more foreign investor</w:t>
      </w:r>
      <w:r w:rsidR="00F72273" w:rsidRPr="007F15D8">
        <w:rPr>
          <w:rFonts w:ascii="Times New Roman" w:hAnsi="Times New Roman"/>
          <w:sz w:val="26"/>
        </w:rPr>
        <w:t>s</w:t>
      </w:r>
      <w:r w:rsidRPr="007F15D8">
        <w:rPr>
          <w:rFonts w:ascii="Times New Roman" w:hAnsi="Times New Roman"/>
          <w:sz w:val="26"/>
        </w:rPr>
        <w:t xml:space="preserve">. In the case of KSA, foreign investors </w:t>
      </w:r>
      <w:r w:rsidR="00F72273" w:rsidRPr="007F15D8">
        <w:rPr>
          <w:rFonts w:ascii="Times New Roman" w:hAnsi="Times New Roman"/>
          <w:sz w:val="26"/>
        </w:rPr>
        <w:t xml:space="preserve">seem to </w:t>
      </w:r>
      <w:r w:rsidRPr="007F15D8">
        <w:rPr>
          <w:rFonts w:ascii="Times New Roman" w:hAnsi="Times New Roman"/>
          <w:sz w:val="26"/>
        </w:rPr>
        <w:t xml:space="preserve">have doubts about the relationship between ERC and </w:t>
      </w:r>
      <w:r w:rsidR="0066455A">
        <w:rPr>
          <w:rFonts w:ascii="Times New Roman" w:hAnsi="Times New Roman"/>
          <w:sz w:val="26"/>
        </w:rPr>
        <w:t xml:space="preserve">the </w:t>
      </w:r>
      <w:r w:rsidRPr="007F15D8">
        <w:rPr>
          <w:rFonts w:ascii="Times New Roman" w:hAnsi="Times New Roman"/>
          <w:sz w:val="26"/>
        </w:rPr>
        <w:t>informativeness of financial reporting of listed firms</w:t>
      </w:r>
      <w:r w:rsidR="0066455A">
        <w:rPr>
          <w:rFonts w:ascii="Times New Roman" w:hAnsi="Times New Roman"/>
          <w:sz w:val="26"/>
        </w:rPr>
        <w:t>,</w:t>
      </w:r>
      <w:r w:rsidRPr="007F15D8">
        <w:rPr>
          <w:rFonts w:ascii="Times New Roman" w:hAnsi="Times New Roman"/>
          <w:sz w:val="26"/>
        </w:rPr>
        <w:t xml:space="preserve"> </w:t>
      </w:r>
      <w:r w:rsidR="00F72273" w:rsidRPr="007F15D8">
        <w:rPr>
          <w:rFonts w:ascii="Times New Roman" w:hAnsi="Times New Roman"/>
          <w:sz w:val="26"/>
        </w:rPr>
        <w:t xml:space="preserve">although </w:t>
      </w:r>
      <w:r w:rsidRPr="007F15D8">
        <w:rPr>
          <w:rFonts w:ascii="Times New Roman" w:hAnsi="Times New Roman"/>
          <w:sz w:val="26"/>
        </w:rPr>
        <w:t>the value of ERC is good in this country.</w:t>
      </w:r>
      <w:r w:rsidR="001F48F8" w:rsidRPr="007F15D8">
        <w:rPr>
          <w:rFonts w:ascii="Times New Roman" w:hAnsi="Times New Roman"/>
          <w:sz w:val="26"/>
        </w:rPr>
        <w:t xml:space="preserve"> </w:t>
      </w:r>
      <w:r w:rsidR="00BE7FF5" w:rsidRPr="007F15D8">
        <w:rPr>
          <w:rFonts w:ascii="Times New Roman" w:hAnsi="Times New Roman"/>
          <w:sz w:val="26"/>
        </w:rPr>
        <w:t xml:space="preserve">  </w:t>
      </w:r>
    </w:p>
    <w:p w14:paraId="141A16D9" w14:textId="4F8A29F9" w:rsidR="00B8076D" w:rsidRPr="007F15D8" w:rsidRDefault="00B8076D" w:rsidP="00B725B6">
      <w:pPr>
        <w:snapToGrid w:val="0"/>
        <w:spacing w:after="0" w:line="360" w:lineRule="exact"/>
        <w:ind w:firstLine="510"/>
        <w:jc w:val="both"/>
        <w:rPr>
          <w:rFonts w:ascii="Times New Roman" w:hAnsi="Times New Roman"/>
          <w:sz w:val="26"/>
        </w:rPr>
      </w:pPr>
      <w:r w:rsidRPr="007F15D8">
        <w:rPr>
          <w:rFonts w:ascii="Times New Roman" w:hAnsi="Times New Roman"/>
          <w:sz w:val="26"/>
        </w:rPr>
        <w:t>The required data to calculate R</w:t>
      </w:r>
      <w:r w:rsidRPr="007F15D8">
        <w:rPr>
          <w:rFonts w:ascii="Times New Roman" w:hAnsi="Times New Roman"/>
          <w:sz w:val="26"/>
          <w:vertAlign w:val="superscript"/>
        </w:rPr>
        <w:t>2</w:t>
      </w:r>
      <w:r w:rsidRPr="007F15D8">
        <w:rPr>
          <w:rFonts w:ascii="Times New Roman" w:hAnsi="Times New Roman"/>
          <w:sz w:val="26"/>
        </w:rPr>
        <w:t xml:space="preserve"> of the second measure of value relevance are EPS, </w:t>
      </w:r>
      <w:r w:rsidR="0066455A">
        <w:rPr>
          <w:rFonts w:ascii="Times New Roman" w:hAnsi="Times New Roman"/>
          <w:sz w:val="26"/>
        </w:rPr>
        <w:t xml:space="preserve">the </w:t>
      </w:r>
      <w:r w:rsidRPr="007F15D8">
        <w:rPr>
          <w:rFonts w:ascii="Times New Roman" w:hAnsi="Times New Roman"/>
          <w:sz w:val="26"/>
        </w:rPr>
        <w:t xml:space="preserve">book value of </w:t>
      </w:r>
      <w:r w:rsidR="00FD6495" w:rsidRPr="007F15D8">
        <w:rPr>
          <w:rFonts w:ascii="Times New Roman" w:hAnsi="Times New Roman"/>
          <w:sz w:val="26"/>
        </w:rPr>
        <w:t>shares</w:t>
      </w:r>
      <w:r w:rsidR="0066455A">
        <w:rPr>
          <w:rFonts w:ascii="Times New Roman" w:hAnsi="Times New Roman"/>
          <w:sz w:val="26"/>
        </w:rPr>
        <w:t>,</w:t>
      </w:r>
      <w:r w:rsidR="00FD6495" w:rsidRPr="007F15D8">
        <w:rPr>
          <w:rFonts w:ascii="Times New Roman" w:hAnsi="Times New Roman"/>
          <w:sz w:val="26"/>
        </w:rPr>
        <w:t xml:space="preserve"> and share price. Table </w:t>
      </w:r>
      <w:r w:rsidR="00EB7C77" w:rsidRPr="007F15D8">
        <w:rPr>
          <w:rFonts w:ascii="Times New Roman" w:hAnsi="Times New Roman" w:cs="Times New Roman"/>
          <w:sz w:val="26"/>
          <w:szCs w:val="26"/>
        </w:rPr>
        <w:t>10</w:t>
      </w:r>
      <w:r w:rsidR="00E40A40" w:rsidRPr="007F15D8">
        <w:rPr>
          <w:rFonts w:ascii="Times New Roman" w:hAnsi="Times New Roman" w:cs="Times New Roman"/>
          <w:sz w:val="26"/>
          <w:szCs w:val="26"/>
        </w:rPr>
        <w:t xml:space="preserve"> </w:t>
      </w:r>
      <w:r w:rsidRPr="007F15D8">
        <w:rPr>
          <w:rFonts w:ascii="Times New Roman" w:hAnsi="Times New Roman" w:cs="Times New Roman"/>
          <w:sz w:val="26"/>
          <w:szCs w:val="26"/>
        </w:rPr>
        <w:t>sho</w:t>
      </w:r>
      <w:r w:rsidR="00FD6495" w:rsidRPr="007F15D8">
        <w:rPr>
          <w:rFonts w:ascii="Times New Roman" w:hAnsi="Times New Roman" w:cs="Times New Roman"/>
          <w:sz w:val="26"/>
          <w:szCs w:val="26"/>
        </w:rPr>
        <w:t>ws</w:t>
      </w:r>
      <w:r w:rsidR="00FD6495" w:rsidRPr="007F15D8">
        <w:rPr>
          <w:rFonts w:ascii="Times New Roman" w:hAnsi="Times New Roman"/>
          <w:sz w:val="26"/>
        </w:rPr>
        <w:t xml:space="preserve"> the results of this measure.</w:t>
      </w:r>
    </w:p>
    <w:p w14:paraId="71DA58B7" w14:textId="77777777" w:rsidR="00371C80" w:rsidRDefault="00371C80" w:rsidP="00B725B6">
      <w:pPr>
        <w:snapToGrid w:val="0"/>
        <w:spacing w:after="0" w:line="360" w:lineRule="exact"/>
        <w:jc w:val="center"/>
        <w:rPr>
          <w:rFonts w:ascii="Times New Roman" w:hAnsi="Times New Roman" w:cs="Times New Roman"/>
          <w:sz w:val="24"/>
          <w:szCs w:val="24"/>
        </w:rPr>
      </w:pPr>
    </w:p>
    <w:p w14:paraId="46F54784" w14:textId="7B04747E" w:rsidR="00A152B0" w:rsidRDefault="00A152B0" w:rsidP="0066455A">
      <w:pPr>
        <w:spacing w:after="0" w:line="360" w:lineRule="exact"/>
        <w:rPr>
          <w:rFonts w:asciiTheme="majorBidi" w:hAnsiTheme="majorBidi"/>
          <w:b/>
          <w:sz w:val="26"/>
        </w:rPr>
      </w:pPr>
    </w:p>
    <w:p w14:paraId="6EF6C7B2" w14:textId="77777777" w:rsidR="009076E0" w:rsidRDefault="009076E0">
      <w:pPr>
        <w:rPr>
          <w:rFonts w:asciiTheme="majorBidi" w:hAnsiTheme="majorBidi"/>
          <w:b/>
          <w:sz w:val="26"/>
        </w:rPr>
      </w:pPr>
      <w:r>
        <w:rPr>
          <w:rFonts w:asciiTheme="majorBidi" w:hAnsiTheme="majorBidi"/>
          <w:b/>
          <w:sz w:val="26"/>
        </w:rPr>
        <w:br w:type="page"/>
      </w:r>
    </w:p>
    <w:p w14:paraId="0F1DA961" w14:textId="46D4DB88" w:rsidR="00E40A40" w:rsidRPr="00FA3651" w:rsidRDefault="00E40A40" w:rsidP="00FA3651">
      <w:pPr>
        <w:snapToGrid w:val="0"/>
        <w:spacing w:afterLines="50" w:after="120" w:line="360" w:lineRule="exact"/>
        <w:jc w:val="both"/>
        <w:rPr>
          <w:rFonts w:asciiTheme="majorBidi" w:hAnsiTheme="majorBidi"/>
          <w:sz w:val="26"/>
        </w:rPr>
      </w:pPr>
      <w:r w:rsidRPr="002B04C7">
        <w:rPr>
          <w:rFonts w:asciiTheme="majorBidi" w:hAnsiTheme="majorBidi"/>
          <w:b/>
          <w:sz w:val="26"/>
        </w:rPr>
        <w:lastRenderedPageBreak/>
        <w:t xml:space="preserve">Table </w:t>
      </w:r>
      <w:proofErr w:type="gramStart"/>
      <w:r w:rsidRPr="002B04C7">
        <w:rPr>
          <w:rFonts w:asciiTheme="majorBidi" w:hAnsiTheme="majorBidi"/>
          <w:b/>
          <w:sz w:val="26"/>
        </w:rPr>
        <w:t>10</w:t>
      </w:r>
      <w:r w:rsidR="002B04C7">
        <w:rPr>
          <w:rFonts w:asciiTheme="majorBidi" w:hAnsiTheme="majorBidi"/>
          <w:sz w:val="26"/>
        </w:rPr>
        <w:t xml:space="preserve"> </w:t>
      </w:r>
      <w:r w:rsidRPr="00FA3651">
        <w:rPr>
          <w:rFonts w:asciiTheme="majorBidi" w:hAnsiTheme="majorBidi"/>
          <w:sz w:val="26"/>
        </w:rPr>
        <w:t xml:space="preserve"> </w:t>
      </w:r>
      <w:r w:rsidRPr="002B04C7">
        <w:rPr>
          <w:rFonts w:asciiTheme="majorBidi" w:hAnsiTheme="majorBidi"/>
          <w:i/>
          <w:sz w:val="26"/>
        </w:rPr>
        <w:t>Descriptive</w:t>
      </w:r>
      <w:proofErr w:type="gramEnd"/>
      <w:r w:rsidRPr="002B04C7">
        <w:rPr>
          <w:rFonts w:asciiTheme="majorBidi" w:hAnsiTheme="majorBidi"/>
          <w:i/>
          <w:sz w:val="26"/>
        </w:rPr>
        <w:t xml:space="preserve"> Statistics and Measuring of Value Relevance (R2)</w:t>
      </w: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5"/>
        <w:gridCol w:w="635"/>
        <w:gridCol w:w="635"/>
        <w:gridCol w:w="636"/>
        <w:gridCol w:w="634"/>
        <w:gridCol w:w="764"/>
        <w:gridCol w:w="621"/>
        <w:gridCol w:w="691"/>
        <w:gridCol w:w="614"/>
        <w:gridCol w:w="7"/>
        <w:gridCol w:w="686"/>
        <w:gridCol w:w="645"/>
        <w:gridCol w:w="717"/>
        <w:gridCol w:w="6"/>
        <w:gridCol w:w="621"/>
      </w:tblGrid>
      <w:tr w:rsidR="007F15D8" w:rsidRPr="00B725B6" w14:paraId="47930050" w14:textId="77777777" w:rsidTr="00215E9A">
        <w:trPr>
          <w:trHeight w:val="340"/>
        </w:trPr>
        <w:tc>
          <w:tcPr>
            <w:tcW w:w="618" w:type="pct"/>
            <w:vMerge w:val="restart"/>
            <w:tcBorders>
              <w:top w:val="single" w:sz="4" w:space="0" w:color="auto"/>
              <w:bottom w:val="single" w:sz="4" w:space="0" w:color="auto"/>
              <w:right w:val="single" w:sz="4" w:space="0" w:color="auto"/>
              <w:tl2br w:val="single" w:sz="4" w:space="0" w:color="auto"/>
            </w:tcBorders>
          </w:tcPr>
          <w:p w14:paraId="7FF7A7C8" w14:textId="71983645" w:rsidR="00E40A40" w:rsidRPr="00B725B6" w:rsidRDefault="00E40A40" w:rsidP="00E40A40">
            <w:pPr>
              <w:autoSpaceDE w:val="0"/>
              <w:autoSpaceDN w:val="0"/>
              <w:adjustRightInd w:val="0"/>
              <w:jc w:val="both"/>
              <w:rPr>
                <w:rFonts w:ascii="Times New Roman" w:hAnsi="Times New Roman" w:cs="Times New Roman"/>
                <w:sz w:val="18"/>
              </w:rPr>
            </w:pPr>
            <w:r w:rsidRPr="00B725B6">
              <w:rPr>
                <w:rFonts w:ascii="Times New Roman" w:hAnsi="Times New Roman" w:cs="Times New Roman"/>
                <w:sz w:val="18"/>
              </w:rPr>
              <w:t xml:space="preserve">   </w:t>
            </w:r>
            <w:r w:rsidR="00A152B0">
              <w:rPr>
                <w:rFonts w:ascii="Times New Roman" w:hAnsi="Times New Roman" w:cs="Times New Roman"/>
                <w:sz w:val="18"/>
              </w:rPr>
              <w:t xml:space="preserve"> </w:t>
            </w:r>
            <w:r w:rsidRPr="00B725B6">
              <w:rPr>
                <w:rFonts w:ascii="Times New Roman" w:hAnsi="Times New Roman" w:cs="Times New Roman"/>
                <w:sz w:val="18"/>
              </w:rPr>
              <w:t xml:space="preserve">  Country</w:t>
            </w:r>
            <w:r w:rsidR="00A152B0">
              <w:rPr>
                <w:rFonts w:ascii="Times New Roman" w:hAnsi="Times New Roman" w:cs="Times New Roman"/>
                <w:sz w:val="18"/>
              </w:rPr>
              <w:br/>
            </w:r>
            <w:r w:rsidR="00A152B0">
              <w:rPr>
                <w:rFonts w:ascii="Times New Roman" w:hAnsi="Times New Roman" w:cs="Times New Roman"/>
                <w:sz w:val="18"/>
              </w:rPr>
              <w:br/>
            </w:r>
            <w:r w:rsidRPr="00B725B6">
              <w:rPr>
                <w:rFonts w:ascii="Times New Roman" w:hAnsi="Times New Roman" w:cs="Times New Roman"/>
                <w:sz w:val="18"/>
              </w:rPr>
              <w:t>Variable</w:t>
            </w:r>
          </w:p>
        </w:tc>
        <w:tc>
          <w:tcPr>
            <w:tcW w:w="703" w:type="pct"/>
            <w:gridSpan w:val="2"/>
            <w:tcBorders>
              <w:top w:val="single" w:sz="4" w:space="0" w:color="auto"/>
              <w:left w:val="single" w:sz="4" w:space="0" w:color="auto"/>
              <w:bottom w:val="single" w:sz="4" w:space="0" w:color="auto"/>
            </w:tcBorders>
            <w:vAlign w:val="center"/>
          </w:tcPr>
          <w:p w14:paraId="5AECA7AE" w14:textId="77777777" w:rsidR="00E40A40" w:rsidRPr="00B725B6" w:rsidRDefault="00E40A40" w:rsidP="00B725B6">
            <w:pPr>
              <w:autoSpaceDE w:val="0"/>
              <w:autoSpaceDN w:val="0"/>
              <w:adjustRightInd w:val="0"/>
              <w:snapToGrid w:val="0"/>
              <w:jc w:val="center"/>
              <w:rPr>
                <w:rFonts w:ascii="Times New Roman" w:hAnsi="Times New Roman" w:cs="Times New Roman"/>
                <w:sz w:val="18"/>
              </w:rPr>
            </w:pPr>
            <w:r w:rsidRPr="00B725B6">
              <w:rPr>
                <w:rFonts w:ascii="Times New Roman" w:hAnsi="Times New Roman" w:cs="Times New Roman"/>
                <w:sz w:val="18"/>
              </w:rPr>
              <w:t>KSA</w:t>
            </w:r>
          </w:p>
        </w:tc>
        <w:tc>
          <w:tcPr>
            <w:tcW w:w="702" w:type="pct"/>
            <w:gridSpan w:val="2"/>
            <w:tcBorders>
              <w:top w:val="single" w:sz="4" w:space="0" w:color="auto"/>
              <w:bottom w:val="single" w:sz="4" w:space="0" w:color="auto"/>
            </w:tcBorders>
            <w:vAlign w:val="center"/>
          </w:tcPr>
          <w:p w14:paraId="43E99A26" w14:textId="77777777" w:rsidR="00E40A40" w:rsidRPr="00B725B6" w:rsidRDefault="00E40A40" w:rsidP="00B725B6">
            <w:pPr>
              <w:autoSpaceDE w:val="0"/>
              <w:autoSpaceDN w:val="0"/>
              <w:adjustRightInd w:val="0"/>
              <w:snapToGrid w:val="0"/>
              <w:jc w:val="center"/>
              <w:rPr>
                <w:rFonts w:ascii="Times New Roman" w:hAnsi="Times New Roman" w:cs="Times New Roman"/>
                <w:sz w:val="18"/>
              </w:rPr>
            </w:pPr>
            <w:r w:rsidRPr="00B725B6">
              <w:rPr>
                <w:rFonts w:ascii="Times New Roman" w:hAnsi="Times New Roman" w:cs="Times New Roman"/>
                <w:sz w:val="18"/>
              </w:rPr>
              <w:t>OMN</w:t>
            </w:r>
          </w:p>
        </w:tc>
        <w:tc>
          <w:tcPr>
            <w:tcW w:w="767" w:type="pct"/>
            <w:gridSpan w:val="2"/>
            <w:tcBorders>
              <w:top w:val="single" w:sz="4" w:space="0" w:color="auto"/>
              <w:bottom w:val="single" w:sz="4" w:space="0" w:color="auto"/>
            </w:tcBorders>
            <w:vAlign w:val="center"/>
          </w:tcPr>
          <w:p w14:paraId="73CB78C5" w14:textId="77777777" w:rsidR="00E40A40" w:rsidRPr="00B725B6" w:rsidRDefault="00E40A40" w:rsidP="00B725B6">
            <w:pPr>
              <w:autoSpaceDE w:val="0"/>
              <w:autoSpaceDN w:val="0"/>
              <w:adjustRightInd w:val="0"/>
              <w:snapToGrid w:val="0"/>
              <w:jc w:val="center"/>
              <w:rPr>
                <w:rFonts w:ascii="Times New Roman" w:hAnsi="Times New Roman" w:cs="Times New Roman"/>
                <w:sz w:val="18"/>
              </w:rPr>
            </w:pPr>
            <w:r w:rsidRPr="00B725B6">
              <w:rPr>
                <w:rFonts w:ascii="Times New Roman" w:hAnsi="Times New Roman" w:cs="Times New Roman"/>
                <w:sz w:val="18"/>
              </w:rPr>
              <w:t>QAT</w:t>
            </w:r>
          </w:p>
        </w:tc>
        <w:tc>
          <w:tcPr>
            <w:tcW w:w="727" w:type="pct"/>
            <w:gridSpan w:val="3"/>
            <w:tcBorders>
              <w:top w:val="single" w:sz="4" w:space="0" w:color="auto"/>
              <w:bottom w:val="single" w:sz="4" w:space="0" w:color="auto"/>
            </w:tcBorders>
            <w:vAlign w:val="center"/>
          </w:tcPr>
          <w:p w14:paraId="5FE51D05" w14:textId="77777777" w:rsidR="00E40A40" w:rsidRPr="00B725B6" w:rsidRDefault="00E40A40" w:rsidP="00B725B6">
            <w:pPr>
              <w:autoSpaceDE w:val="0"/>
              <w:autoSpaceDN w:val="0"/>
              <w:adjustRightInd w:val="0"/>
              <w:snapToGrid w:val="0"/>
              <w:jc w:val="center"/>
              <w:rPr>
                <w:rFonts w:ascii="Times New Roman" w:hAnsi="Times New Roman" w:cs="Times New Roman"/>
                <w:sz w:val="18"/>
              </w:rPr>
            </w:pPr>
            <w:r w:rsidRPr="00B725B6">
              <w:rPr>
                <w:rFonts w:ascii="Times New Roman" w:hAnsi="Times New Roman" w:cs="Times New Roman"/>
                <w:sz w:val="18"/>
              </w:rPr>
              <w:t>BAH</w:t>
            </w:r>
          </w:p>
        </w:tc>
        <w:tc>
          <w:tcPr>
            <w:tcW w:w="737" w:type="pct"/>
            <w:gridSpan w:val="2"/>
            <w:tcBorders>
              <w:top w:val="single" w:sz="4" w:space="0" w:color="auto"/>
              <w:bottom w:val="single" w:sz="4" w:space="0" w:color="auto"/>
            </w:tcBorders>
            <w:vAlign w:val="center"/>
          </w:tcPr>
          <w:p w14:paraId="7397219B" w14:textId="2EC9A26D" w:rsidR="00E40A40" w:rsidRPr="00B725B6" w:rsidRDefault="004175B6" w:rsidP="00B725B6">
            <w:pPr>
              <w:autoSpaceDE w:val="0"/>
              <w:autoSpaceDN w:val="0"/>
              <w:adjustRightInd w:val="0"/>
              <w:snapToGrid w:val="0"/>
              <w:jc w:val="center"/>
              <w:rPr>
                <w:rFonts w:ascii="Times New Roman" w:hAnsi="Times New Roman" w:cs="Times New Roman"/>
                <w:sz w:val="18"/>
              </w:rPr>
            </w:pPr>
            <w:r w:rsidRPr="00B725B6">
              <w:rPr>
                <w:rFonts w:ascii="Times New Roman" w:hAnsi="Times New Roman" w:cs="Times New Roman"/>
                <w:sz w:val="18"/>
              </w:rPr>
              <w:t>KUW</w:t>
            </w:r>
          </w:p>
        </w:tc>
        <w:tc>
          <w:tcPr>
            <w:tcW w:w="747" w:type="pct"/>
            <w:gridSpan w:val="3"/>
            <w:tcBorders>
              <w:top w:val="single" w:sz="4" w:space="0" w:color="auto"/>
              <w:bottom w:val="single" w:sz="4" w:space="0" w:color="auto"/>
            </w:tcBorders>
            <w:vAlign w:val="center"/>
          </w:tcPr>
          <w:p w14:paraId="07F11A84" w14:textId="77777777" w:rsidR="00E40A40" w:rsidRPr="00B725B6" w:rsidRDefault="00E40A40" w:rsidP="00B725B6">
            <w:pPr>
              <w:autoSpaceDE w:val="0"/>
              <w:autoSpaceDN w:val="0"/>
              <w:adjustRightInd w:val="0"/>
              <w:snapToGrid w:val="0"/>
              <w:jc w:val="center"/>
              <w:rPr>
                <w:rFonts w:ascii="Times New Roman" w:hAnsi="Times New Roman" w:cs="Times New Roman"/>
                <w:sz w:val="18"/>
              </w:rPr>
            </w:pPr>
            <w:r w:rsidRPr="00B725B6">
              <w:rPr>
                <w:rFonts w:ascii="Times New Roman" w:hAnsi="Times New Roman" w:cs="Times New Roman"/>
                <w:sz w:val="18"/>
              </w:rPr>
              <w:t>UAE</w:t>
            </w:r>
          </w:p>
        </w:tc>
      </w:tr>
      <w:tr w:rsidR="007F15D8" w:rsidRPr="00B725B6" w14:paraId="72F9D820" w14:textId="77777777" w:rsidTr="00215E9A">
        <w:trPr>
          <w:trHeight w:val="340"/>
        </w:trPr>
        <w:tc>
          <w:tcPr>
            <w:tcW w:w="618" w:type="pct"/>
            <w:vMerge/>
            <w:tcBorders>
              <w:top w:val="single" w:sz="4" w:space="0" w:color="auto"/>
              <w:bottom w:val="single" w:sz="4" w:space="0" w:color="auto"/>
              <w:right w:val="single" w:sz="4" w:space="0" w:color="auto"/>
              <w:tl2br w:val="single" w:sz="4" w:space="0" w:color="auto"/>
            </w:tcBorders>
          </w:tcPr>
          <w:p w14:paraId="6D7FC60A" w14:textId="77777777" w:rsidR="00E40A40" w:rsidRPr="00B725B6" w:rsidRDefault="00E40A40" w:rsidP="00E40A40">
            <w:pPr>
              <w:autoSpaceDE w:val="0"/>
              <w:autoSpaceDN w:val="0"/>
              <w:adjustRightInd w:val="0"/>
              <w:jc w:val="both"/>
              <w:rPr>
                <w:rFonts w:ascii="Times New Roman" w:hAnsi="Times New Roman" w:cs="Times New Roman"/>
                <w:noProof/>
                <w:sz w:val="18"/>
              </w:rPr>
            </w:pPr>
          </w:p>
        </w:tc>
        <w:tc>
          <w:tcPr>
            <w:tcW w:w="352" w:type="pct"/>
            <w:tcBorders>
              <w:top w:val="single" w:sz="4" w:space="0" w:color="auto"/>
              <w:left w:val="single" w:sz="4" w:space="0" w:color="auto"/>
              <w:bottom w:val="single" w:sz="4" w:space="0" w:color="auto"/>
            </w:tcBorders>
            <w:vAlign w:val="center"/>
          </w:tcPr>
          <w:p w14:paraId="59DD6AB0"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Mean</w:t>
            </w:r>
          </w:p>
        </w:tc>
        <w:tc>
          <w:tcPr>
            <w:tcW w:w="352" w:type="pct"/>
            <w:tcBorders>
              <w:top w:val="single" w:sz="4" w:space="0" w:color="auto"/>
              <w:bottom w:val="single" w:sz="4" w:space="0" w:color="auto"/>
            </w:tcBorders>
            <w:vAlign w:val="center"/>
          </w:tcPr>
          <w:p w14:paraId="1E52C1EC"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SD</w:t>
            </w:r>
          </w:p>
        </w:tc>
        <w:tc>
          <w:tcPr>
            <w:tcW w:w="352" w:type="pct"/>
            <w:tcBorders>
              <w:top w:val="single" w:sz="4" w:space="0" w:color="auto"/>
              <w:bottom w:val="single" w:sz="4" w:space="0" w:color="auto"/>
            </w:tcBorders>
            <w:vAlign w:val="center"/>
          </w:tcPr>
          <w:p w14:paraId="67E6485C"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Mean</w:t>
            </w:r>
          </w:p>
        </w:tc>
        <w:tc>
          <w:tcPr>
            <w:tcW w:w="351" w:type="pct"/>
            <w:tcBorders>
              <w:top w:val="single" w:sz="4" w:space="0" w:color="auto"/>
              <w:bottom w:val="single" w:sz="4" w:space="0" w:color="auto"/>
            </w:tcBorders>
            <w:vAlign w:val="center"/>
          </w:tcPr>
          <w:p w14:paraId="0872D228"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SD</w:t>
            </w:r>
          </w:p>
        </w:tc>
        <w:tc>
          <w:tcPr>
            <w:tcW w:w="423" w:type="pct"/>
            <w:tcBorders>
              <w:top w:val="single" w:sz="4" w:space="0" w:color="auto"/>
              <w:bottom w:val="single" w:sz="4" w:space="0" w:color="auto"/>
            </w:tcBorders>
            <w:vAlign w:val="center"/>
          </w:tcPr>
          <w:p w14:paraId="37F50F1D"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Mean</w:t>
            </w:r>
          </w:p>
        </w:tc>
        <w:tc>
          <w:tcPr>
            <w:tcW w:w="344" w:type="pct"/>
            <w:tcBorders>
              <w:top w:val="single" w:sz="4" w:space="0" w:color="auto"/>
              <w:bottom w:val="single" w:sz="4" w:space="0" w:color="auto"/>
            </w:tcBorders>
            <w:vAlign w:val="center"/>
          </w:tcPr>
          <w:p w14:paraId="4F51A96B"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SD</w:t>
            </w:r>
          </w:p>
        </w:tc>
        <w:tc>
          <w:tcPr>
            <w:tcW w:w="383" w:type="pct"/>
            <w:tcBorders>
              <w:top w:val="single" w:sz="4" w:space="0" w:color="auto"/>
              <w:bottom w:val="single" w:sz="4" w:space="0" w:color="auto"/>
            </w:tcBorders>
            <w:vAlign w:val="center"/>
          </w:tcPr>
          <w:p w14:paraId="0ADD5E91"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Mean</w:t>
            </w:r>
          </w:p>
        </w:tc>
        <w:tc>
          <w:tcPr>
            <w:tcW w:w="340" w:type="pct"/>
            <w:tcBorders>
              <w:top w:val="single" w:sz="4" w:space="0" w:color="auto"/>
              <w:bottom w:val="single" w:sz="4" w:space="0" w:color="auto"/>
            </w:tcBorders>
            <w:vAlign w:val="center"/>
          </w:tcPr>
          <w:p w14:paraId="69819B58"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SD</w:t>
            </w:r>
          </w:p>
        </w:tc>
        <w:tc>
          <w:tcPr>
            <w:tcW w:w="384" w:type="pct"/>
            <w:gridSpan w:val="2"/>
            <w:tcBorders>
              <w:top w:val="single" w:sz="4" w:space="0" w:color="auto"/>
              <w:bottom w:val="single" w:sz="4" w:space="0" w:color="auto"/>
            </w:tcBorders>
            <w:vAlign w:val="center"/>
          </w:tcPr>
          <w:p w14:paraId="2C31616D"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Mean</w:t>
            </w:r>
          </w:p>
        </w:tc>
        <w:tc>
          <w:tcPr>
            <w:tcW w:w="357" w:type="pct"/>
            <w:tcBorders>
              <w:top w:val="single" w:sz="4" w:space="0" w:color="auto"/>
              <w:bottom w:val="single" w:sz="4" w:space="0" w:color="auto"/>
            </w:tcBorders>
            <w:vAlign w:val="center"/>
          </w:tcPr>
          <w:p w14:paraId="7D735FFF"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SD</w:t>
            </w:r>
          </w:p>
        </w:tc>
        <w:tc>
          <w:tcPr>
            <w:tcW w:w="400" w:type="pct"/>
            <w:gridSpan w:val="2"/>
            <w:tcBorders>
              <w:top w:val="single" w:sz="4" w:space="0" w:color="auto"/>
              <w:bottom w:val="single" w:sz="4" w:space="0" w:color="auto"/>
            </w:tcBorders>
            <w:vAlign w:val="center"/>
          </w:tcPr>
          <w:p w14:paraId="4E36ABD4"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Mean</w:t>
            </w:r>
          </w:p>
        </w:tc>
        <w:tc>
          <w:tcPr>
            <w:tcW w:w="346" w:type="pct"/>
            <w:tcBorders>
              <w:top w:val="single" w:sz="4" w:space="0" w:color="auto"/>
              <w:bottom w:val="single" w:sz="4" w:space="0" w:color="auto"/>
            </w:tcBorders>
            <w:vAlign w:val="center"/>
          </w:tcPr>
          <w:p w14:paraId="226AB6F7"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SD</w:t>
            </w:r>
          </w:p>
        </w:tc>
      </w:tr>
      <w:tr w:rsidR="007F15D8" w:rsidRPr="00B725B6" w14:paraId="690119F7" w14:textId="77777777" w:rsidTr="00215E9A">
        <w:trPr>
          <w:trHeight w:val="340"/>
        </w:trPr>
        <w:tc>
          <w:tcPr>
            <w:tcW w:w="618" w:type="pct"/>
            <w:tcBorders>
              <w:top w:val="single" w:sz="4" w:space="0" w:color="auto"/>
              <w:bottom w:val="single" w:sz="4" w:space="0" w:color="auto"/>
              <w:right w:val="single" w:sz="4" w:space="0" w:color="auto"/>
            </w:tcBorders>
            <w:vAlign w:val="center"/>
          </w:tcPr>
          <w:p w14:paraId="75E53EE1" w14:textId="77777777" w:rsidR="00E40A40" w:rsidRPr="00B725B6" w:rsidRDefault="00E40A40" w:rsidP="00A152B0">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EPS</w:t>
            </w:r>
          </w:p>
        </w:tc>
        <w:tc>
          <w:tcPr>
            <w:tcW w:w="352" w:type="pct"/>
            <w:tcBorders>
              <w:top w:val="single" w:sz="4" w:space="0" w:color="auto"/>
              <w:left w:val="single" w:sz="4" w:space="0" w:color="auto"/>
              <w:bottom w:val="single" w:sz="4" w:space="0" w:color="auto"/>
            </w:tcBorders>
            <w:vAlign w:val="center"/>
          </w:tcPr>
          <w:p w14:paraId="76AA364B"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0.438</w:t>
            </w:r>
          </w:p>
        </w:tc>
        <w:tc>
          <w:tcPr>
            <w:tcW w:w="352" w:type="pct"/>
            <w:tcBorders>
              <w:top w:val="single" w:sz="4" w:space="0" w:color="auto"/>
              <w:bottom w:val="single" w:sz="4" w:space="0" w:color="auto"/>
            </w:tcBorders>
            <w:vAlign w:val="center"/>
          </w:tcPr>
          <w:p w14:paraId="7AF1E57C"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0.746</w:t>
            </w:r>
          </w:p>
        </w:tc>
        <w:tc>
          <w:tcPr>
            <w:tcW w:w="352" w:type="pct"/>
            <w:tcBorders>
              <w:top w:val="single" w:sz="4" w:space="0" w:color="auto"/>
              <w:bottom w:val="single" w:sz="4" w:space="0" w:color="auto"/>
            </w:tcBorders>
            <w:vAlign w:val="center"/>
          </w:tcPr>
          <w:p w14:paraId="2CFDCB32"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0.155</w:t>
            </w:r>
          </w:p>
        </w:tc>
        <w:tc>
          <w:tcPr>
            <w:tcW w:w="351" w:type="pct"/>
            <w:tcBorders>
              <w:top w:val="single" w:sz="4" w:space="0" w:color="auto"/>
              <w:bottom w:val="single" w:sz="4" w:space="0" w:color="auto"/>
            </w:tcBorders>
            <w:vAlign w:val="center"/>
          </w:tcPr>
          <w:p w14:paraId="1F690E77"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0.440</w:t>
            </w:r>
          </w:p>
        </w:tc>
        <w:tc>
          <w:tcPr>
            <w:tcW w:w="423" w:type="pct"/>
            <w:tcBorders>
              <w:top w:val="single" w:sz="4" w:space="0" w:color="auto"/>
              <w:bottom w:val="single" w:sz="4" w:space="0" w:color="auto"/>
            </w:tcBorders>
            <w:vAlign w:val="center"/>
          </w:tcPr>
          <w:p w14:paraId="1C5CA1C8"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1.54</w:t>
            </w:r>
          </w:p>
        </w:tc>
        <w:tc>
          <w:tcPr>
            <w:tcW w:w="344" w:type="pct"/>
            <w:tcBorders>
              <w:top w:val="single" w:sz="4" w:space="0" w:color="auto"/>
              <w:bottom w:val="single" w:sz="4" w:space="0" w:color="auto"/>
            </w:tcBorders>
            <w:vAlign w:val="center"/>
          </w:tcPr>
          <w:p w14:paraId="28B73220"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1.13</w:t>
            </w:r>
          </w:p>
        </w:tc>
        <w:tc>
          <w:tcPr>
            <w:tcW w:w="383" w:type="pct"/>
            <w:tcBorders>
              <w:top w:val="single" w:sz="4" w:space="0" w:color="auto"/>
              <w:bottom w:val="single" w:sz="4" w:space="0" w:color="auto"/>
            </w:tcBorders>
            <w:vAlign w:val="center"/>
          </w:tcPr>
          <w:p w14:paraId="170ABF82"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0.108</w:t>
            </w:r>
          </w:p>
        </w:tc>
        <w:tc>
          <w:tcPr>
            <w:tcW w:w="344" w:type="pct"/>
            <w:gridSpan w:val="2"/>
            <w:tcBorders>
              <w:top w:val="single" w:sz="4" w:space="0" w:color="auto"/>
              <w:bottom w:val="single" w:sz="4" w:space="0" w:color="auto"/>
            </w:tcBorders>
            <w:vAlign w:val="center"/>
          </w:tcPr>
          <w:p w14:paraId="12619574"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0.076</w:t>
            </w:r>
          </w:p>
        </w:tc>
        <w:tc>
          <w:tcPr>
            <w:tcW w:w="380" w:type="pct"/>
            <w:tcBorders>
              <w:top w:val="single" w:sz="4" w:space="0" w:color="auto"/>
              <w:bottom w:val="single" w:sz="4" w:space="0" w:color="auto"/>
            </w:tcBorders>
            <w:vAlign w:val="center"/>
          </w:tcPr>
          <w:p w14:paraId="44AF3199"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0.073</w:t>
            </w:r>
          </w:p>
        </w:tc>
        <w:tc>
          <w:tcPr>
            <w:tcW w:w="357" w:type="pct"/>
            <w:tcBorders>
              <w:top w:val="single" w:sz="4" w:space="0" w:color="auto"/>
              <w:bottom w:val="single" w:sz="4" w:space="0" w:color="auto"/>
            </w:tcBorders>
            <w:vAlign w:val="center"/>
          </w:tcPr>
          <w:p w14:paraId="100E85BD"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0.071</w:t>
            </w:r>
          </w:p>
        </w:tc>
        <w:tc>
          <w:tcPr>
            <w:tcW w:w="397" w:type="pct"/>
            <w:tcBorders>
              <w:top w:val="single" w:sz="4" w:space="0" w:color="auto"/>
              <w:bottom w:val="single" w:sz="4" w:space="0" w:color="auto"/>
            </w:tcBorders>
            <w:vAlign w:val="center"/>
          </w:tcPr>
          <w:p w14:paraId="182D5E42"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0.047</w:t>
            </w:r>
          </w:p>
        </w:tc>
        <w:tc>
          <w:tcPr>
            <w:tcW w:w="350" w:type="pct"/>
            <w:gridSpan w:val="2"/>
            <w:tcBorders>
              <w:top w:val="single" w:sz="4" w:space="0" w:color="auto"/>
              <w:bottom w:val="single" w:sz="4" w:space="0" w:color="auto"/>
            </w:tcBorders>
            <w:vAlign w:val="center"/>
          </w:tcPr>
          <w:p w14:paraId="1F85BF1A"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0.159</w:t>
            </w:r>
          </w:p>
        </w:tc>
      </w:tr>
      <w:tr w:rsidR="007F15D8" w:rsidRPr="00B725B6" w14:paraId="5402139E" w14:textId="77777777" w:rsidTr="00215E9A">
        <w:trPr>
          <w:trHeight w:val="340"/>
        </w:trPr>
        <w:tc>
          <w:tcPr>
            <w:tcW w:w="618" w:type="pct"/>
            <w:tcBorders>
              <w:top w:val="single" w:sz="4" w:space="0" w:color="auto"/>
              <w:bottom w:val="single" w:sz="4" w:space="0" w:color="auto"/>
              <w:right w:val="single" w:sz="4" w:space="0" w:color="auto"/>
            </w:tcBorders>
            <w:vAlign w:val="center"/>
          </w:tcPr>
          <w:p w14:paraId="6A4E0A8B" w14:textId="77777777" w:rsidR="00E40A40" w:rsidRPr="00B725B6" w:rsidRDefault="00E40A40" w:rsidP="00A152B0">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BV</w:t>
            </w:r>
          </w:p>
        </w:tc>
        <w:tc>
          <w:tcPr>
            <w:tcW w:w="352" w:type="pct"/>
            <w:tcBorders>
              <w:top w:val="single" w:sz="4" w:space="0" w:color="auto"/>
              <w:left w:val="single" w:sz="4" w:space="0" w:color="auto"/>
              <w:bottom w:val="single" w:sz="4" w:space="0" w:color="auto"/>
            </w:tcBorders>
            <w:vAlign w:val="center"/>
          </w:tcPr>
          <w:p w14:paraId="4EF77353"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3.76</w:t>
            </w:r>
          </w:p>
        </w:tc>
        <w:tc>
          <w:tcPr>
            <w:tcW w:w="352" w:type="pct"/>
            <w:tcBorders>
              <w:top w:val="single" w:sz="4" w:space="0" w:color="auto"/>
              <w:bottom w:val="single" w:sz="4" w:space="0" w:color="auto"/>
            </w:tcBorders>
            <w:vAlign w:val="center"/>
          </w:tcPr>
          <w:p w14:paraId="06102886"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2.57</w:t>
            </w:r>
          </w:p>
        </w:tc>
        <w:tc>
          <w:tcPr>
            <w:tcW w:w="352" w:type="pct"/>
            <w:tcBorders>
              <w:top w:val="single" w:sz="4" w:space="0" w:color="auto"/>
              <w:bottom w:val="single" w:sz="4" w:space="0" w:color="auto"/>
            </w:tcBorders>
            <w:vAlign w:val="center"/>
          </w:tcPr>
          <w:p w14:paraId="34EF4957"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1.49</w:t>
            </w:r>
          </w:p>
        </w:tc>
        <w:tc>
          <w:tcPr>
            <w:tcW w:w="351" w:type="pct"/>
            <w:tcBorders>
              <w:top w:val="single" w:sz="4" w:space="0" w:color="auto"/>
              <w:bottom w:val="single" w:sz="4" w:space="0" w:color="auto"/>
            </w:tcBorders>
            <w:vAlign w:val="center"/>
          </w:tcPr>
          <w:p w14:paraId="5ADD4BF8"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2.76</w:t>
            </w:r>
          </w:p>
        </w:tc>
        <w:tc>
          <w:tcPr>
            <w:tcW w:w="423" w:type="pct"/>
            <w:tcBorders>
              <w:top w:val="single" w:sz="4" w:space="0" w:color="auto"/>
              <w:bottom w:val="single" w:sz="4" w:space="0" w:color="auto"/>
            </w:tcBorders>
            <w:vAlign w:val="center"/>
          </w:tcPr>
          <w:p w14:paraId="76B8603A"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10.12</w:t>
            </w:r>
          </w:p>
        </w:tc>
        <w:tc>
          <w:tcPr>
            <w:tcW w:w="344" w:type="pct"/>
            <w:tcBorders>
              <w:top w:val="single" w:sz="4" w:space="0" w:color="auto"/>
              <w:bottom w:val="single" w:sz="4" w:space="0" w:color="auto"/>
            </w:tcBorders>
            <w:vAlign w:val="center"/>
          </w:tcPr>
          <w:p w14:paraId="1A5089EF"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8.12</w:t>
            </w:r>
          </w:p>
        </w:tc>
        <w:tc>
          <w:tcPr>
            <w:tcW w:w="383" w:type="pct"/>
            <w:tcBorders>
              <w:top w:val="single" w:sz="4" w:space="0" w:color="auto"/>
              <w:bottom w:val="single" w:sz="4" w:space="0" w:color="auto"/>
            </w:tcBorders>
            <w:vAlign w:val="center"/>
          </w:tcPr>
          <w:p w14:paraId="1EC848DA"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0.943</w:t>
            </w:r>
          </w:p>
        </w:tc>
        <w:tc>
          <w:tcPr>
            <w:tcW w:w="344" w:type="pct"/>
            <w:gridSpan w:val="2"/>
            <w:tcBorders>
              <w:top w:val="single" w:sz="4" w:space="0" w:color="auto"/>
              <w:bottom w:val="single" w:sz="4" w:space="0" w:color="auto"/>
            </w:tcBorders>
            <w:vAlign w:val="center"/>
          </w:tcPr>
          <w:p w14:paraId="049FA16D"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0.369</w:t>
            </w:r>
          </w:p>
        </w:tc>
        <w:tc>
          <w:tcPr>
            <w:tcW w:w="380" w:type="pct"/>
            <w:tcBorders>
              <w:top w:val="single" w:sz="4" w:space="0" w:color="auto"/>
              <w:bottom w:val="single" w:sz="4" w:space="0" w:color="auto"/>
            </w:tcBorders>
            <w:vAlign w:val="center"/>
          </w:tcPr>
          <w:p w14:paraId="7B0077FC"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0.742</w:t>
            </w:r>
          </w:p>
        </w:tc>
        <w:tc>
          <w:tcPr>
            <w:tcW w:w="357" w:type="pct"/>
            <w:tcBorders>
              <w:top w:val="single" w:sz="4" w:space="0" w:color="auto"/>
              <w:bottom w:val="single" w:sz="4" w:space="0" w:color="auto"/>
            </w:tcBorders>
            <w:vAlign w:val="center"/>
          </w:tcPr>
          <w:p w14:paraId="5C07F0E3"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0.425</w:t>
            </w:r>
          </w:p>
        </w:tc>
        <w:tc>
          <w:tcPr>
            <w:tcW w:w="397" w:type="pct"/>
            <w:tcBorders>
              <w:top w:val="single" w:sz="4" w:space="0" w:color="auto"/>
              <w:bottom w:val="single" w:sz="4" w:space="0" w:color="auto"/>
            </w:tcBorders>
            <w:vAlign w:val="center"/>
          </w:tcPr>
          <w:p w14:paraId="37B1157F"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0.702</w:t>
            </w:r>
          </w:p>
        </w:tc>
        <w:tc>
          <w:tcPr>
            <w:tcW w:w="350" w:type="pct"/>
            <w:gridSpan w:val="2"/>
            <w:tcBorders>
              <w:top w:val="single" w:sz="4" w:space="0" w:color="auto"/>
              <w:bottom w:val="single" w:sz="4" w:space="0" w:color="auto"/>
            </w:tcBorders>
            <w:vAlign w:val="center"/>
          </w:tcPr>
          <w:p w14:paraId="1F928B98"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0.687</w:t>
            </w:r>
          </w:p>
        </w:tc>
      </w:tr>
      <w:tr w:rsidR="007F15D8" w:rsidRPr="00B725B6" w14:paraId="04DED7B9" w14:textId="77777777" w:rsidTr="00215E9A">
        <w:trPr>
          <w:trHeight w:val="340"/>
        </w:trPr>
        <w:tc>
          <w:tcPr>
            <w:tcW w:w="618" w:type="pct"/>
            <w:tcBorders>
              <w:top w:val="single" w:sz="4" w:space="0" w:color="auto"/>
              <w:bottom w:val="single" w:sz="4" w:space="0" w:color="auto"/>
              <w:right w:val="single" w:sz="4" w:space="0" w:color="auto"/>
            </w:tcBorders>
            <w:vAlign w:val="center"/>
          </w:tcPr>
          <w:p w14:paraId="6EB78696" w14:textId="77777777" w:rsidR="00E40A40" w:rsidRPr="00B725B6" w:rsidRDefault="00E40A40" w:rsidP="00A152B0">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P</w:t>
            </w:r>
          </w:p>
        </w:tc>
        <w:tc>
          <w:tcPr>
            <w:tcW w:w="352" w:type="pct"/>
            <w:tcBorders>
              <w:top w:val="single" w:sz="4" w:space="0" w:color="auto"/>
              <w:left w:val="single" w:sz="4" w:space="0" w:color="auto"/>
              <w:bottom w:val="single" w:sz="4" w:space="0" w:color="auto"/>
            </w:tcBorders>
            <w:vAlign w:val="center"/>
          </w:tcPr>
          <w:p w14:paraId="11B321CE"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0.96</w:t>
            </w:r>
          </w:p>
        </w:tc>
        <w:tc>
          <w:tcPr>
            <w:tcW w:w="352" w:type="pct"/>
            <w:tcBorders>
              <w:top w:val="single" w:sz="4" w:space="0" w:color="auto"/>
              <w:bottom w:val="single" w:sz="4" w:space="0" w:color="auto"/>
            </w:tcBorders>
            <w:vAlign w:val="center"/>
          </w:tcPr>
          <w:p w14:paraId="20249250"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0.288</w:t>
            </w:r>
          </w:p>
        </w:tc>
        <w:tc>
          <w:tcPr>
            <w:tcW w:w="352" w:type="pct"/>
            <w:tcBorders>
              <w:top w:val="single" w:sz="4" w:space="0" w:color="auto"/>
              <w:bottom w:val="single" w:sz="4" w:space="0" w:color="auto"/>
            </w:tcBorders>
            <w:vAlign w:val="center"/>
          </w:tcPr>
          <w:p w14:paraId="360DBC90"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0.072</w:t>
            </w:r>
          </w:p>
        </w:tc>
        <w:tc>
          <w:tcPr>
            <w:tcW w:w="351" w:type="pct"/>
            <w:tcBorders>
              <w:top w:val="single" w:sz="4" w:space="0" w:color="auto"/>
              <w:bottom w:val="single" w:sz="4" w:space="0" w:color="auto"/>
            </w:tcBorders>
            <w:vAlign w:val="center"/>
          </w:tcPr>
          <w:p w14:paraId="4807AE50"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0.465</w:t>
            </w:r>
          </w:p>
        </w:tc>
        <w:tc>
          <w:tcPr>
            <w:tcW w:w="423" w:type="pct"/>
            <w:tcBorders>
              <w:top w:val="single" w:sz="4" w:space="0" w:color="auto"/>
              <w:bottom w:val="single" w:sz="4" w:space="0" w:color="auto"/>
            </w:tcBorders>
            <w:vAlign w:val="center"/>
          </w:tcPr>
          <w:p w14:paraId="69B71045"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0.827</w:t>
            </w:r>
          </w:p>
        </w:tc>
        <w:tc>
          <w:tcPr>
            <w:tcW w:w="344" w:type="pct"/>
            <w:tcBorders>
              <w:top w:val="single" w:sz="4" w:space="0" w:color="auto"/>
              <w:bottom w:val="single" w:sz="4" w:space="0" w:color="auto"/>
            </w:tcBorders>
            <w:vAlign w:val="center"/>
          </w:tcPr>
          <w:p w14:paraId="2EF825C6"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0.544</w:t>
            </w:r>
          </w:p>
        </w:tc>
        <w:tc>
          <w:tcPr>
            <w:tcW w:w="383" w:type="pct"/>
            <w:tcBorders>
              <w:top w:val="single" w:sz="4" w:space="0" w:color="auto"/>
              <w:bottom w:val="single" w:sz="4" w:space="0" w:color="auto"/>
            </w:tcBorders>
            <w:vAlign w:val="center"/>
          </w:tcPr>
          <w:p w14:paraId="00CDD654"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0.035</w:t>
            </w:r>
          </w:p>
        </w:tc>
        <w:tc>
          <w:tcPr>
            <w:tcW w:w="344" w:type="pct"/>
            <w:gridSpan w:val="2"/>
            <w:tcBorders>
              <w:top w:val="single" w:sz="4" w:space="0" w:color="auto"/>
              <w:bottom w:val="single" w:sz="4" w:space="0" w:color="auto"/>
            </w:tcBorders>
            <w:vAlign w:val="center"/>
          </w:tcPr>
          <w:p w14:paraId="73A40D3C"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0.247</w:t>
            </w:r>
          </w:p>
        </w:tc>
        <w:tc>
          <w:tcPr>
            <w:tcW w:w="380" w:type="pct"/>
            <w:tcBorders>
              <w:top w:val="single" w:sz="4" w:space="0" w:color="auto"/>
              <w:bottom w:val="single" w:sz="4" w:space="0" w:color="auto"/>
            </w:tcBorders>
            <w:vAlign w:val="center"/>
          </w:tcPr>
          <w:p w14:paraId="779CA3E4"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1.51</w:t>
            </w:r>
          </w:p>
        </w:tc>
        <w:tc>
          <w:tcPr>
            <w:tcW w:w="357" w:type="pct"/>
            <w:tcBorders>
              <w:top w:val="single" w:sz="4" w:space="0" w:color="auto"/>
              <w:bottom w:val="single" w:sz="4" w:space="0" w:color="auto"/>
            </w:tcBorders>
            <w:vAlign w:val="center"/>
          </w:tcPr>
          <w:p w14:paraId="4F485930"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0.370</w:t>
            </w:r>
          </w:p>
        </w:tc>
        <w:tc>
          <w:tcPr>
            <w:tcW w:w="397" w:type="pct"/>
            <w:tcBorders>
              <w:top w:val="single" w:sz="4" w:space="0" w:color="auto"/>
              <w:bottom w:val="single" w:sz="4" w:space="0" w:color="auto"/>
            </w:tcBorders>
            <w:vAlign w:val="center"/>
          </w:tcPr>
          <w:p w14:paraId="25926DEA"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0.228</w:t>
            </w:r>
          </w:p>
        </w:tc>
        <w:tc>
          <w:tcPr>
            <w:tcW w:w="350" w:type="pct"/>
            <w:gridSpan w:val="2"/>
            <w:tcBorders>
              <w:top w:val="single" w:sz="4" w:space="0" w:color="auto"/>
              <w:bottom w:val="single" w:sz="4" w:space="0" w:color="auto"/>
            </w:tcBorders>
            <w:vAlign w:val="center"/>
          </w:tcPr>
          <w:p w14:paraId="7D8F7DED"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0.826</w:t>
            </w:r>
          </w:p>
        </w:tc>
      </w:tr>
      <w:tr w:rsidR="007F15D8" w:rsidRPr="00B725B6" w14:paraId="1B06A33F" w14:textId="77777777" w:rsidTr="00215E9A">
        <w:trPr>
          <w:trHeight w:val="340"/>
        </w:trPr>
        <w:tc>
          <w:tcPr>
            <w:tcW w:w="618" w:type="pct"/>
            <w:tcBorders>
              <w:top w:val="single" w:sz="4" w:space="0" w:color="auto"/>
              <w:bottom w:val="single" w:sz="4" w:space="0" w:color="auto"/>
              <w:right w:val="single" w:sz="4" w:space="0" w:color="auto"/>
            </w:tcBorders>
            <w:vAlign w:val="center"/>
          </w:tcPr>
          <w:p w14:paraId="740699F6" w14:textId="4AC57DBA" w:rsidR="00E40A40" w:rsidRPr="00B725B6" w:rsidRDefault="00E40A40" w:rsidP="00A152B0">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Correlation</w:t>
            </w:r>
            <w:r w:rsidR="00A152B0">
              <w:rPr>
                <w:rFonts w:ascii="Times New Roman" w:hAnsi="Times New Roman" w:cs="Times New Roman"/>
                <w:sz w:val="18"/>
              </w:rPr>
              <w:t xml:space="preserve"> </w:t>
            </w:r>
            <w:r w:rsidRPr="00B725B6">
              <w:rPr>
                <w:rFonts w:ascii="Times New Roman" w:hAnsi="Times New Roman" w:cs="Times New Roman"/>
                <w:sz w:val="18"/>
              </w:rPr>
              <w:t>(EPS&amp;P)</w:t>
            </w:r>
          </w:p>
        </w:tc>
        <w:tc>
          <w:tcPr>
            <w:tcW w:w="703" w:type="pct"/>
            <w:gridSpan w:val="2"/>
            <w:tcBorders>
              <w:top w:val="single" w:sz="4" w:space="0" w:color="auto"/>
              <w:left w:val="single" w:sz="4" w:space="0" w:color="auto"/>
              <w:bottom w:val="single" w:sz="4" w:space="0" w:color="auto"/>
            </w:tcBorders>
            <w:vAlign w:val="center"/>
          </w:tcPr>
          <w:p w14:paraId="3C4D76B1"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0.357**</w:t>
            </w:r>
          </w:p>
        </w:tc>
        <w:tc>
          <w:tcPr>
            <w:tcW w:w="702" w:type="pct"/>
            <w:gridSpan w:val="2"/>
            <w:tcBorders>
              <w:top w:val="single" w:sz="4" w:space="0" w:color="auto"/>
              <w:bottom w:val="single" w:sz="4" w:space="0" w:color="auto"/>
            </w:tcBorders>
            <w:vAlign w:val="center"/>
          </w:tcPr>
          <w:p w14:paraId="02CF35C0"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0.603**</w:t>
            </w:r>
          </w:p>
        </w:tc>
        <w:tc>
          <w:tcPr>
            <w:tcW w:w="767" w:type="pct"/>
            <w:gridSpan w:val="2"/>
            <w:tcBorders>
              <w:top w:val="single" w:sz="4" w:space="0" w:color="auto"/>
              <w:bottom w:val="single" w:sz="4" w:space="0" w:color="auto"/>
            </w:tcBorders>
            <w:vAlign w:val="center"/>
          </w:tcPr>
          <w:p w14:paraId="624DCB3C"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0.817**</w:t>
            </w:r>
          </w:p>
        </w:tc>
        <w:tc>
          <w:tcPr>
            <w:tcW w:w="727" w:type="pct"/>
            <w:gridSpan w:val="3"/>
            <w:tcBorders>
              <w:top w:val="single" w:sz="4" w:space="0" w:color="auto"/>
              <w:bottom w:val="single" w:sz="4" w:space="0" w:color="auto"/>
            </w:tcBorders>
            <w:vAlign w:val="center"/>
          </w:tcPr>
          <w:p w14:paraId="5D7A9763"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0.841**</w:t>
            </w:r>
          </w:p>
        </w:tc>
        <w:tc>
          <w:tcPr>
            <w:tcW w:w="737" w:type="pct"/>
            <w:gridSpan w:val="2"/>
            <w:tcBorders>
              <w:top w:val="single" w:sz="4" w:space="0" w:color="auto"/>
              <w:bottom w:val="single" w:sz="4" w:space="0" w:color="auto"/>
            </w:tcBorders>
            <w:vAlign w:val="center"/>
          </w:tcPr>
          <w:p w14:paraId="430E9299"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0.840**</w:t>
            </w:r>
          </w:p>
        </w:tc>
        <w:tc>
          <w:tcPr>
            <w:tcW w:w="747" w:type="pct"/>
            <w:gridSpan w:val="3"/>
            <w:tcBorders>
              <w:top w:val="single" w:sz="4" w:space="0" w:color="auto"/>
              <w:bottom w:val="single" w:sz="4" w:space="0" w:color="auto"/>
            </w:tcBorders>
            <w:vAlign w:val="center"/>
          </w:tcPr>
          <w:p w14:paraId="211AC50F"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0.283**</w:t>
            </w:r>
          </w:p>
        </w:tc>
      </w:tr>
      <w:tr w:rsidR="007F15D8" w:rsidRPr="00B725B6" w14:paraId="51C99AB4" w14:textId="77777777" w:rsidTr="00215E9A">
        <w:trPr>
          <w:trHeight w:val="340"/>
        </w:trPr>
        <w:tc>
          <w:tcPr>
            <w:tcW w:w="618" w:type="pct"/>
            <w:tcBorders>
              <w:top w:val="single" w:sz="4" w:space="0" w:color="auto"/>
              <w:bottom w:val="single" w:sz="4" w:space="0" w:color="auto"/>
              <w:right w:val="single" w:sz="4" w:space="0" w:color="auto"/>
            </w:tcBorders>
            <w:vAlign w:val="center"/>
          </w:tcPr>
          <w:p w14:paraId="68B176B6" w14:textId="77777777" w:rsidR="00E40A40" w:rsidRPr="00B725B6" w:rsidRDefault="00E40A40" w:rsidP="00A152B0">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Correlation (BV&amp;P)</w:t>
            </w:r>
          </w:p>
        </w:tc>
        <w:tc>
          <w:tcPr>
            <w:tcW w:w="703" w:type="pct"/>
            <w:gridSpan w:val="2"/>
            <w:tcBorders>
              <w:top w:val="single" w:sz="4" w:space="0" w:color="auto"/>
              <w:left w:val="single" w:sz="4" w:space="0" w:color="auto"/>
              <w:bottom w:val="single" w:sz="4" w:space="0" w:color="auto"/>
            </w:tcBorders>
            <w:vAlign w:val="center"/>
          </w:tcPr>
          <w:p w14:paraId="7B240140"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0.387**</w:t>
            </w:r>
          </w:p>
        </w:tc>
        <w:tc>
          <w:tcPr>
            <w:tcW w:w="702" w:type="pct"/>
            <w:gridSpan w:val="2"/>
            <w:tcBorders>
              <w:top w:val="single" w:sz="4" w:space="0" w:color="auto"/>
              <w:bottom w:val="single" w:sz="4" w:space="0" w:color="auto"/>
            </w:tcBorders>
            <w:vAlign w:val="center"/>
          </w:tcPr>
          <w:p w14:paraId="2F50EBFD"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0.728**</w:t>
            </w:r>
          </w:p>
        </w:tc>
        <w:tc>
          <w:tcPr>
            <w:tcW w:w="767" w:type="pct"/>
            <w:gridSpan w:val="2"/>
            <w:tcBorders>
              <w:top w:val="single" w:sz="4" w:space="0" w:color="auto"/>
              <w:bottom w:val="single" w:sz="4" w:space="0" w:color="auto"/>
            </w:tcBorders>
            <w:vAlign w:val="center"/>
          </w:tcPr>
          <w:p w14:paraId="4E7A0693"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0.614**</w:t>
            </w:r>
          </w:p>
        </w:tc>
        <w:tc>
          <w:tcPr>
            <w:tcW w:w="727" w:type="pct"/>
            <w:gridSpan w:val="3"/>
            <w:tcBorders>
              <w:top w:val="single" w:sz="4" w:space="0" w:color="auto"/>
              <w:bottom w:val="single" w:sz="4" w:space="0" w:color="auto"/>
            </w:tcBorders>
            <w:vAlign w:val="center"/>
          </w:tcPr>
          <w:p w14:paraId="3A5B220D"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0.453**</w:t>
            </w:r>
          </w:p>
        </w:tc>
        <w:tc>
          <w:tcPr>
            <w:tcW w:w="737" w:type="pct"/>
            <w:gridSpan w:val="2"/>
            <w:tcBorders>
              <w:top w:val="single" w:sz="4" w:space="0" w:color="auto"/>
              <w:bottom w:val="single" w:sz="4" w:space="0" w:color="auto"/>
            </w:tcBorders>
            <w:vAlign w:val="center"/>
          </w:tcPr>
          <w:p w14:paraId="55360EBC"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0.582**</w:t>
            </w:r>
          </w:p>
        </w:tc>
        <w:tc>
          <w:tcPr>
            <w:tcW w:w="747" w:type="pct"/>
            <w:gridSpan w:val="3"/>
            <w:tcBorders>
              <w:top w:val="single" w:sz="4" w:space="0" w:color="auto"/>
              <w:bottom w:val="single" w:sz="4" w:space="0" w:color="auto"/>
            </w:tcBorders>
            <w:vAlign w:val="center"/>
          </w:tcPr>
          <w:p w14:paraId="15E01D1D"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0.514**</w:t>
            </w:r>
          </w:p>
        </w:tc>
      </w:tr>
      <w:tr w:rsidR="007F15D8" w:rsidRPr="00B725B6" w14:paraId="47A79346" w14:textId="77777777" w:rsidTr="00215E9A">
        <w:trPr>
          <w:trHeight w:val="340"/>
        </w:trPr>
        <w:tc>
          <w:tcPr>
            <w:tcW w:w="618" w:type="pct"/>
            <w:tcBorders>
              <w:top w:val="single" w:sz="4" w:space="0" w:color="auto"/>
              <w:bottom w:val="single" w:sz="4" w:space="0" w:color="auto"/>
              <w:right w:val="single" w:sz="4" w:space="0" w:color="auto"/>
            </w:tcBorders>
            <w:vAlign w:val="center"/>
          </w:tcPr>
          <w:p w14:paraId="3E40DBEF" w14:textId="77777777" w:rsidR="00E40A40" w:rsidRPr="00B725B6" w:rsidRDefault="00E40A40" w:rsidP="00A152B0">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Correlation</w:t>
            </w:r>
          </w:p>
          <w:p w14:paraId="594232EB" w14:textId="77777777" w:rsidR="00E40A40" w:rsidRPr="00B725B6" w:rsidRDefault="00E40A40" w:rsidP="00A152B0">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(Model)</w:t>
            </w:r>
          </w:p>
        </w:tc>
        <w:tc>
          <w:tcPr>
            <w:tcW w:w="703" w:type="pct"/>
            <w:gridSpan w:val="2"/>
            <w:tcBorders>
              <w:top w:val="single" w:sz="4" w:space="0" w:color="auto"/>
              <w:left w:val="single" w:sz="4" w:space="0" w:color="auto"/>
              <w:bottom w:val="single" w:sz="4" w:space="0" w:color="auto"/>
            </w:tcBorders>
            <w:vAlign w:val="center"/>
          </w:tcPr>
          <w:p w14:paraId="5BA84C11"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0.467**</w:t>
            </w:r>
          </w:p>
        </w:tc>
        <w:tc>
          <w:tcPr>
            <w:tcW w:w="702" w:type="pct"/>
            <w:gridSpan w:val="2"/>
            <w:tcBorders>
              <w:top w:val="single" w:sz="4" w:space="0" w:color="auto"/>
              <w:bottom w:val="single" w:sz="4" w:space="0" w:color="auto"/>
            </w:tcBorders>
            <w:vAlign w:val="center"/>
          </w:tcPr>
          <w:p w14:paraId="627B1B30"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0.733**</w:t>
            </w:r>
          </w:p>
        </w:tc>
        <w:tc>
          <w:tcPr>
            <w:tcW w:w="767" w:type="pct"/>
            <w:gridSpan w:val="2"/>
            <w:tcBorders>
              <w:top w:val="single" w:sz="4" w:space="0" w:color="auto"/>
              <w:bottom w:val="single" w:sz="4" w:space="0" w:color="auto"/>
            </w:tcBorders>
            <w:vAlign w:val="center"/>
          </w:tcPr>
          <w:p w14:paraId="27CEF9AC"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0.819**</w:t>
            </w:r>
          </w:p>
        </w:tc>
        <w:tc>
          <w:tcPr>
            <w:tcW w:w="727" w:type="pct"/>
            <w:gridSpan w:val="3"/>
            <w:tcBorders>
              <w:top w:val="single" w:sz="4" w:space="0" w:color="auto"/>
              <w:bottom w:val="single" w:sz="4" w:space="0" w:color="auto"/>
            </w:tcBorders>
            <w:vAlign w:val="center"/>
          </w:tcPr>
          <w:p w14:paraId="4A4D1147"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0.843**</w:t>
            </w:r>
          </w:p>
        </w:tc>
        <w:tc>
          <w:tcPr>
            <w:tcW w:w="737" w:type="pct"/>
            <w:gridSpan w:val="2"/>
            <w:tcBorders>
              <w:top w:val="single" w:sz="4" w:space="0" w:color="auto"/>
              <w:bottom w:val="single" w:sz="4" w:space="0" w:color="auto"/>
            </w:tcBorders>
            <w:vAlign w:val="center"/>
          </w:tcPr>
          <w:p w14:paraId="099CA9D0"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0.848**</w:t>
            </w:r>
          </w:p>
        </w:tc>
        <w:tc>
          <w:tcPr>
            <w:tcW w:w="747" w:type="pct"/>
            <w:gridSpan w:val="3"/>
            <w:tcBorders>
              <w:top w:val="single" w:sz="4" w:space="0" w:color="auto"/>
              <w:bottom w:val="single" w:sz="4" w:space="0" w:color="auto"/>
            </w:tcBorders>
            <w:vAlign w:val="center"/>
          </w:tcPr>
          <w:p w14:paraId="5A2B3BF2" w14:textId="77777777" w:rsidR="00E40A40" w:rsidRPr="00B725B6" w:rsidRDefault="00E40A40" w:rsidP="00B725B6">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0.524**</w:t>
            </w:r>
          </w:p>
        </w:tc>
      </w:tr>
      <w:tr w:rsidR="007F15D8" w:rsidRPr="00B725B6" w14:paraId="65BA807E" w14:textId="77777777" w:rsidTr="00215E9A">
        <w:trPr>
          <w:trHeight w:val="340"/>
        </w:trPr>
        <w:tc>
          <w:tcPr>
            <w:tcW w:w="618" w:type="pct"/>
            <w:tcBorders>
              <w:top w:val="single" w:sz="4" w:space="0" w:color="auto"/>
              <w:bottom w:val="single" w:sz="4" w:space="0" w:color="auto"/>
              <w:right w:val="single" w:sz="4" w:space="0" w:color="auto"/>
            </w:tcBorders>
            <w:vAlign w:val="center"/>
          </w:tcPr>
          <w:p w14:paraId="02C9AE8A" w14:textId="77777777" w:rsidR="00E40A40" w:rsidRPr="00B725B6" w:rsidRDefault="00E40A40" w:rsidP="00A152B0">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EQ(VR)- R</w:t>
            </w:r>
            <w:r w:rsidRPr="00B725B6">
              <w:rPr>
                <w:rFonts w:ascii="Times New Roman" w:hAnsi="Times New Roman" w:cs="Times New Roman"/>
                <w:sz w:val="18"/>
                <w:vertAlign w:val="superscript"/>
              </w:rPr>
              <w:t>2</w:t>
            </w:r>
          </w:p>
        </w:tc>
        <w:tc>
          <w:tcPr>
            <w:tcW w:w="703" w:type="pct"/>
            <w:gridSpan w:val="2"/>
            <w:tcBorders>
              <w:top w:val="single" w:sz="4" w:space="0" w:color="auto"/>
              <w:left w:val="single" w:sz="4" w:space="0" w:color="auto"/>
              <w:bottom w:val="single" w:sz="4" w:space="0" w:color="auto"/>
            </w:tcBorders>
            <w:vAlign w:val="center"/>
          </w:tcPr>
          <w:p w14:paraId="0E3989E6" w14:textId="77777777" w:rsidR="00E40A40" w:rsidRPr="00B725B6" w:rsidRDefault="00E40A40" w:rsidP="00B725B6">
            <w:pPr>
              <w:tabs>
                <w:tab w:val="left" w:pos="4536"/>
              </w:tabs>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0.219</w:t>
            </w:r>
          </w:p>
        </w:tc>
        <w:tc>
          <w:tcPr>
            <w:tcW w:w="702" w:type="pct"/>
            <w:gridSpan w:val="2"/>
            <w:tcBorders>
              <w:top w:val="single" w:sz="4" w:space="0" w:color="auto"/>
              <w:bottom w:val="single" w:sz="4" w:space="0" w:color="auto"/>
            </w:tcBorders>
            <w:vAlign w:val="center"/>
          </w:tcPr>
          <w:p w14:paraId="506C0503" w14:textId="77777777" w:rsidR="00E40A40" w:rsidRPr="00B725B6" w:rsidRDefault="00E40A40" w:rsidP="00B725B6">
            <w:pPr>
              <w:tabs>
                <w:tab w:val="left" w:pos="4536"/>
              </w:tabs>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0.537</w:t>
            </w:r>
          </w:p>
        </w:tc>
        <w:tc>
          <w:tcPr>
            <w:tcW w:w="767" w:type="pct"/>
            <w:gridSpan w:val="2"/>
            <w:tcBorders>
              <w:top w:val="single" w:sz="4" w:space="0" w:color="auto"/>
              <w:bottom w:val="single" w:sz="4" w:space="0" w:color="auto"/>
            </w:tcBorders>
            <w:vAlign w:val="center"/>
          </w:tcPr>
          <w:p w14:paraId="5B09275E" w14:textId="77777777" w:rsidR="00E40A40" w:rsidRPr="00B725B6" w:rsidRDefault="00E40A40" w:rsidP="00B725B6">
            <w:pPr>
              <w:tabs>
                <w:tab w:val="left" w:pos="4536"/>
              </w:tabs>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0.671</w:t>
            </w:r>
          </w:p>
        </w:tc>
        <w:tc>
          <w:tcPr>
            <w:tcW w:w="727" w:type="pct"/>
            <w:gridSpan w:val="3"/>
            <w:tcBorders>
              <w:top w:val="single" w:sz="4" w:space="0" w:color="auto"/>
              <w:bottom w:val="single" w:sz="4" w:space="0" w:color="auto"/>
            </w:tcBorders>
            <w:vAlign w:val="center"/>
          </w:tcPr>
          <w:p w14:paraId="093834D7" w14:textId="77777777" w:rsidR="00E40A40" w:rsidRPr="00B725B6" w:rsidRDefault="00E40A40" w:rsidP="00B725B6">
            <w:pPr>
              <w:tabs>
                <w:tab w:val="left" w:pos="4536"/>
              </w:tabs>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0.711</w:t>
            </w:r>
          </w:p>
        </w:tc>
        <w:tc>
          <w:tcPr>
            <w:tcW w:w="737" w:type="pct"/>
            <w:gridSpan w:val="2"/>
            <w:tcBorders>
              <w:top w:val="single" w:sz="4" w:space="0" w:color="auto"/>
              <w:bottom w:val="single" w:sz="4" w:space="0" w:color="auto"/>
            </w:tcBorders>
            <w:vAlign w:val="center"/>
          </w:tcPr>
          <w:p w14:paraId="4C4FE0F7" w14:textId="77777777" w:rsidR="00E40A40" w:rsidRPr="00B725B6" w:rsidRDefault="00E40A40" w:rsidP="00B725B6">
            <w:pPr>
              <w:tabs>
                <w:tab w:val="left" w:pos="4536"/>
              </w:tabs>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0.720</w:t>
            </w:r>
          </w:p>
        </w:tc>
        <w:tc>
          <w:tcPr>
            <w:tcW w:w="747" w:type="pct"/>
            <w:gridSpan w:val="3"/>
            <w:tcBorders>
              <w:top w:val="single" w:sz="4" w:space="0" w:color="auto"/>
              <w:bottom w:val="single" w:sz="4" w:space="0" w:color="auto"/>
            </w:tcBorders>
            <w:vAlign w:val="center"/>
          </w:tcPr>
          <w:p w14:paraId="2F763ACC" w14:textId="77777777" w:rsidR="00E40A40" w:rsidRPr="00B725B6" w:rsidRDefault="00E40A40" w:rsidP="00B725B6">
            <w:pPr>
              <w:tabs>
                <w:tab w:val="left" w:pos="4536"/>
              </w:tabs>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0.274</w:t>
            </w:r>
          </w:p>
        </w:tc>
      </w:tr>
      <w:tr w:rsidR="007F15D8" w:rsidRPr="00B725B6" w14:paraId="356D673F" w14:textId="77777777" w:rsidTr="00215E9A">
        <w:trPr>
          <w:trHeight w:val="340"/>
        </w:trPr>
        <w:tc>
          <w:tcPr>
            <w:tcW w:w="618" w:type="pct"/>
            <w:tcBorders>
              <w:top w:val="single" w:sz="4" w:space="0" w:color="auto"/>
              <w:bottom w:val="single" w:sz="4" w:space="0" w:color="auto"/>
              <w:right w:val="single" w:sz="4" w:space="0" w:color="auto"/>
            </w:tcBorders>
            <w:vAlign w:val="center"/>
          </w:tcPr>
          <w:p w14:paraId="3EE0608D" w14:textId="15751C31" w:rsidR="00E40A40" w:rsidRPr="00B725B6" w:rsidRDefault="00E40A40" w:rsidP="00A152B0">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Coefficient (EPS)</w:t>
            </w:r>
          </w:p>
        </w:tc>
        <w:tc>
          <w:tcPr>
            <w:tcW w:w="703" w:type="pct"/>
            <w:gridSpan w:val="2"/>
            <w:tcBorders>
              <w:top w:val="single" w:sz="4" w:space="0" w:color="auto"/>
              <w:left w:val="single" w:sz="4" w:space="0" w:color="auto"/>
              <w:bottom w:val="single" w:sz="4" w:space="0" w:color="auto"/>
            </w:tcBorders>
            <w:vAlign w:val="center"/>
          </w:tcPr>
          <w:p w14:paraId="40E4E7F3" w14:textId="77777777" w:rsidR="00E40A40" w:rsidRPr="00B725B6" w:rsidRDefault="00E40A40" w:rsidP="00B725B6">
            <w:pPr>
              <w:tabs>
                <w:tab w:val="left" w:pos="4536"/>
              </w:tabs>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2.982**</w:t>
            </w:r>
          </w:p>
        </w:tc>
        <w:tc>
          <w:tcPr>
            <w:tcW w:w="702" w:type="pct"/>
            <w:gridSpan w:val="2"/>
            <w:tcBorders>
              <w:top w:val="single" w:sz="4" w:space="0" w:color="auto"/>
              <w:bottom w:val="single" w:sz="4" w:space="0" w:color="auto"/>
            </w:tcBorders>
            <w:vAlign w:val="center"/>
          </w:tcPr>
          <w:p w14:paraId="28A3303E" w14:textId="77777777" w:rsidR="00E40A40" w:rsidRPr="00B725B6" w:rsidRDefault="00E40A40" w:rsidP="00B725B6">
            <w:pPr>
              <w:tabs>
                <w:tab w:val="left" w:pos="4536"/>
              </w:tabs>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0.908*</w:t>
            </w:r>
          </w:p>
        </w:tc>
        <w:tc>
          <w:tcPr>
            <w:tcW w:w="767" w:type="pct"/>
            <w:gridSpan w:val="2"/>
            <w:tcBorders>
              <w:top w:val="single" w:sz="4" w:space="0" w:color="auto"/>
              <w:bottom w:val="single" w:sz="4" w:space="0" w:color="auto"/>
            </w:tcBorders>
            <w:vAlign w:val="center"/>
          </w:tcPr>
          <w:p w14:paraId="177E81A2" w14:textId="77777777" w:rsidR="00E40A40" w:rsidRPr="00B725B6" w:rsidRDefault="00E40A40" w:rsidP="00B725B6">
            <w:pPr>
              <w:tabs>
                <w:tab w:val="left" w:pos="4536"/>
              </w:tabs>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10.12**</w:t>
            </w:r>
          </w:p>
        </w:tc>
        <w:tc>
          <w:tcPr>
            <w:tcW w:w="727" w:type="pct"/>
            <w:gridSpan w:val="3"/>
            <w:tcBorders>
              <w:top w:val="single" w:sz="4" w:space="0" w:color="auto"/>
              <w:bottom w:val="single" w:sz="4" w:space="0" w:color="auto"/>
            </w:tcBorders>
            <w:vAlign w:val="center"/>
          </w:tcPr>
          <w:p w14:paraId="6B3FE5C9" w14:textId="77777777" w:rsidR="00E40A40" w:rsidRPr="00B725B6" w:rsidRDefault="00E40A40" w:rsidP="00B725B6">
            <w:pPr>
              <w:tabs>
                <w:tab w:val="left" w:pos="4536"/>
              </w:tabs>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6.676**</w:t>
            </w:r>
          </w:p>
        </w:tc>
        <w:tc>
          <w:tcPr>
            <w:tcW w:w="737" w:type="pct"/>
            <w:gridSpan w:val="2"/>
            <w:tcBorders>
              <w:top w:val="single" w:sz="4" w:space="0" w:color="auto"/>
              <w:bottom w:val="single" w:sz="4" w:space="0" w:color="auto"/>
            </w:tcBorders>
            <w:vAlign w:val="center"/>
          </w:tcPr>
          <w:p w14:paraId="0D5F4A3B" w14:textId="77777777" w:rsidR="00E40A40" w:rsidRPr="00B725B6" w:rsidRDefault="00E40A40" w:rsidP="00B725B6">
            <w:pPr>
              <w:tabs>
                <w:tab w:val="left" w:pos="4536"/>
              </w:tabs>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10.095**</w:t>
            </w:r>
          </w:p>
        </w:tc>
        <w:tc>
          <w:tcPr>
            <w:tcW w:w="747" w:type="pct"/>
            <w:gridSpan w:val="3"/>
            <w:tcBorders>
              <w:top w:val="single" w:sz="4" w:space="0" w:color="auto"/>
              <w:bottom w:val="single" w:sz="4" w:space="0" w:color="auto"/>
            </w:tcBorders>
            <w:vAlign w:val="center"/>
          </w:tcPr>
          <w:p w14:paraId="1BAF76CD" w14:textId="77777777" w:rsidR="00E40A40" w:rsidRPr="00B725B6" w:rsidRDefault="00E40A40" w:rsidP="00B725B6">
            <w:pPr>
              <w:tabs>
                <w:tab w:val="left" w:pos="4536"/>
              </w:tabs>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0.634</w:t>
            </w:r>
          </w:p>
        </w:tc>
      </w:tr>
      <w:tr w:rsidR="007F15D8" w:rsidRPr="00B725B6" w14:paraId="2BCA065D" w14:textId="77777777" w:rsidTr="00215E9A">
        <w:trPr>
          <w:trHeight w:val="340"/>
        </w:trPr>
        <w:tc>
          <w:tcPr>
            <w:tcW w:w="618" w:type="pct"/>
            <w:tcBorders>
              <w:top w:val="single" w:sz="4" w:space="0" w:color="auto"/>
              <w:bottom w:val="single" w:sz="4" w:space="0" w:color="auto"/>
              <w:right w:val="single" w:sz="4" w:space="0" w:color="auto"/>
            </w:tcBorders>
            <w:vAlign w:val="center"/>
          </w:tcPr>
          <w:p w14:paraId="411EAE62" w14:textId="77777777" w:rsidR="00E40A40" w:rsidRPr="00B725B6" w:rsidRDefault="00E40A40" w:rsidP="00A152B0">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Coefficient</w:t>
            </w:r>
          </w:p>
          <w:p w14:paraId="5114BEEA" w14:textId="77777777" w:rsidR="00E40A40" w:rsidRPr="00B725B6" w:rsidRDefault="00E40A40" w:rsidP="00A152B0">
            <w:pPr>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(BV)</w:t>
            </w:r>
          </w:p>
        </w:tc>
        <w:tc>
          <w:tcPr>
            <w:tcW w:w="703" w:type="pct"/>
            <w:gridSpan w:val="2"/>
            <w:tcBorders>
              <w:top w:val="single" w:sz="4" w:space="0" w:color="auto"/>
              <w:left w:val="single" w:sz="4" w:space="0" w:color="auto"/>
              <w:bottom w:val="single" w:sz="4" w:space="0" w:color="auto"/>
            </w:tcBorders>
            <w:vAlign w:val="center"/>
          </w:tcPr>
          <w:p w14:paraId="23ED04A1" w14:textId="77777777" w:rsidR="00E40A40" w:rsidRPr="00B725B6" w:rsidRDefault="00E40A40" w:rsidP="00B725B6">
            <w:pPr>
              <w:tabs>
                <w:tab w:val="left" w:pos="4536"/>
              </w:tabs>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1.045**</w:t>
            </w:r>
          </w:p>
        </w:tc>
        <w:tc>
          <w:tcPr>
            <w:tcW w:w="702" w:type="pct"/>
            <w:gridSpan w:val="2"/>
            <w:tcBorders>
              <w:top w:val="single" w:sz="4" w:space="0" w:color="auto"/>
              <w:bottom w:val="single" w:sz="4" w:space="0" w:color="auto"/>
            </w:tcBorders>
            <w:vAlign w:val="center"/>
          </w:tcPr>
          <w:p w14:paraId="56D7645C" w14:textId="77777777" w:rsidR="00E40A40" w:rsidRPr="00B725B6" w:rsidRDefault="00E40A40" w:rsidP="00B725B6">
            <w:pPr>
              <w:tabs>
                <w:tab w:val="left" w:pos="4536"/>
              </w:tabs>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0.749**</w:t>
            </w:r>
          </w:p>
        </w:tc>
        <w:tc>
          <w:tcPr>
            <w:tcW w:w="767" w:type="pct"/>
            <w:gridSpan w:val="2"/>
            <w:tcBorders>
              <w:top w:val="single" w:sz="4" w:space="0" w:color="auto"/>
              <w:bottom w:val="single" w:sz="4" w:space="0" w:color="auto"/>
            </w:tcBorders>
            <w:vAlign w:val="center"/>
          </w:tcPr>
          <w:p w14:paraId="20320F64" w14:textId="77777777" w:rsidR="00E40A40" w:rsidRPr="00B725B6" w:rsidRDefault="00E40A40" w:rsidP="00B725B6">
            <w:pPr>
              <w:tabs>
                <w:tab w:val="left" w:pos="4536"/>
              </w:tabs>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0.137</w:t>
            </w:r>
          </w:p>
        </w:tc>
        <w:tc>
          <w:tcPr>
            <w:tcW w:w="727" w:type="pct"/>
            <w:gridSpan w:val="3"/>
            <w:tcBorders>
              <w:top w:val="single" w:sz="4" w:space="0" w:color="auto"/>
              <w:bottom w:val="single" w:sz="4" w:space="0" w:color="auto"/>
            </w:tcBorders>
            <w:vAlign w:val="center"/>
          </w:tcPr>
          <w:p w14:paraId="3B852D5F" w14:textId="77777777" w:rsidR="00E40A40" w:rsidRPr="00B725B6" w:rsidRDefault="00E40A40" w:rsidP="00B725B6">
            <w:pPr>
              <w:tabs>
                <w:tab w:val="left" w:pos="4536"/>
              </w:tabs>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0.105</w:t>
            </w:r>
          </w:p>
        </w:tc>
        <w:tc>
          <w:tcPr>
            <w:tcW w:w="737" w:type="pct"/>
            <w:gridSpan w:val="2"/>
            <w:tcBorders>
              <w:top w:val="single" w:sz="4" w:space="0" w:color="auto"/>
              <w:bottom w:val="single" w:sz="4" w:space="0" w:color="auto"/>
            </w:tcBorders>
            <w:vAlign w:val="center"/>
          </w:tcPr>
          <w:p w14:paraId="7F2A5845" w14:textId="77777777" w:rsidR="00E40A40" w:rsidRPr="00B725B6" w:rsidRDefault="00E40A40" w:rsidP="00B725B6">
            <w:pPr>
              <w:tabs>
                <w:tab w:val="left" w:pos="4536"/>
              </w:tabs>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0.337</w:t>
            </w:r>
          </w:p>
        </w:tc>
        <w:tc>
          <w:tcPr>
            <w:tcW w:w="747" w:type="pct"/>
            <w:gridSpan w:val="3"/>
            <w:tcBorders>
              <w:top w:val="single" w:sz="4" w:space="0" w:color="auto"/>
              <w:bottom w:val="single" w:sz="4" w:space="0" w:color="auto"/>
            </w:tcBorders>
            <w:vAlign w:val="center"/>
          </w:tcPr>
          <w:p w14:paraId="16894934" w14:textId="77777777" w:rsidR="00E40A40" w:rsidRPr="00B725B6" w:rsidRDefault="00E40A40" w:rsidP="00B725B6">
            <w:pPr>
              <w:tabs>
                <w:tab w:val="left" w:pos="4536"/>
              </w:tabs>
              <w:autoSpaceDE w:val="0"/>
              <w:autoSpaceDN w:val="0"/>
              <w:adjustRightInd w:val="0"/>
              <w:jc w:val="center"/>
              <w:rPr>
                <w:rFonts w:ascii="Times New Roman" w:hAnsi="Times New Roman" w:cs="Times New Roman"/>
                <w:sz w:val="18"/>
              </w:rPr>
            </w:pPr>
            <w:r w:rsidRPr="00B725B6">
              <w:rPr>
                <w:rFonts w:ascii="Times New Roman" w:hAnsi="Times New Roman" w:cs="Times New Roman"/>
                <w:sz w:val="18"/>
              </w:rPr>
              <w:t>0.693**</w:t>
            </w:r>
          </w:p>
        </w:tc>
      </w:tr>
    </w:tbl>
    <w:p w14:paraId="77C2BF97" w14:textId="1A9C09D6" w:rsidR="00FD4287" w:rsidRPr="00A152B0" w:rsidRDefault="00215E9A" w:rsidP="00B725B6">
      <w:pPr>
        <w:autoSpaceDE w:val="0"/>
        <w:autoSpaceDN w:val="0"/>
        <w:adjustRightInd w:val="0"/>
        <w:spacing w:after="0" w:line="360" w:lineRule="exact"/>
        <w:rPr>
          <w:rFonts w:asciiTheme="majorBidi" w:hAnsiTheme="majorBidi" w:cstheme="majorBidi"/>
          <w:szCs w:val="16"/>
        </w:rPr>
      </w:pPr>
      <w:r w:rsidRPr="00215E9A">
        <w:rPr>
          <w:rFonts w:asciiTheme="majorBidi" w:hAnsiTheme="majorBidi" w:cstheme="majorBidi"/>
          <w:i/>
          <w:szCs w:val="24"/>
        </w:rPr>
        <w:t>Note.</w:t>
      </w:r>
      <w:r>
        <w:rPr>
          <w:rFonts w:asciiTheme="majorBidi" w:hAnsiTheme="majorBidi" w:cstheme="majorBidi"/>
          <w:i/>
          <w:szCs w:val="24"/>
        </w:rPr>
        <w:t xml:space="preserve"> </w:t>
      </w:r>
      <w:r w:rsidR="00FD4287" w:rsidRPr="00A152B0">
        <w:rPr>
          <w:rFonts w:asciiTheme="majorBidi" w:hAnsiTheme="majorBidi" w:cstheme="majorBidi"/>
          <w:szCs w:val="16"/>
        </w:rPr>
        <w:t>**Correlation is significant at the 0.01 level (2-tailed).</w:t>
      </w:r>
    </w:p>
    <w:p w14:paraId="053CECAF" w14:textId="6CFA4B4E" w:rsidR="00FD4287" w:rsidRPr="00A152B0" w:rsidRDefault="00FD4287" w:rsidP="00B725B6">
      <w:pPr>
        <w:autoSpaceDE w:val="0"/>
        <w:autoSpaceDN w:val="0"/>
        <w:adjustRightInd w:val="0"/>
        <w:spacing w:after="0" w:line="360" w:lineRule="exact"/>
        <w:rPr>
          <w:rFonts w:asciiTheme="majorBidi" w:hAnsiTheme="majorBidi" w:cstheme="majorBidi"/>
          <w:szCs w:val="16"/>
        </w:rPr>
      </w:pPr>
      <w:r w:rsidRPr="00A152B0">
        <w:rPr>
          <w:rFonts w:asciiTheme="majorBidi" w:hAnsiTheme="majorBidi" w:cstheme="majorBidi"/>
          <w:szCs w:val="16"/>
        </w:rPr>
        <w:t>*Correlation is significant at the 0.05 level (2-tailed).</w:t>
      </w:r>
    </w:p>
    <w:p w14:paraId="5927EFE9" w14:textId="77777777" w:rsidR="00B725B6" w:rsidRPr="007F15D8" w:rsidRDefault="00B725B6" w:rsidP="00B725B6">
      <w:pPr>
        <w:autoSpaceDE w:val="0"/>
        <w:autoSpaceDN w:val="0"/>
        <w:adjustRightInd w:val="0"/>
        <w:spacing w:after="0" w:line="360" w:lineRule="exact"/>
        <w:rPr>
          <w:rFonts w:asciiTheme="majorBidi" w:hAnsiTheme="majorBidi" w:cstheme="majorBidi"/>
          <w:sz w:val="16"/>
          <w:szCs w:val="16"/>
        </w:rPr>
      </w:pPr>
    </w:p>
    <w:p w14:paraId="25AEE4F3" w14:textId="778828F2" w:rsidR="00C0627F" w:rsidRPr="007F15D8" w:rsidRDefault="00EB7C77" w:rsidP="00B725B6">
      <w:pPr>
        <w:spacing w:after="0" w:line="360" w:lineRule="exact"/>
        <w:ind w:firstLine="510"/>
        <w:jc w:val="both"/>
        <w:rPr>
          <w:rFonts w:ascii="Times New Roman" w:hAnsi="Times New Roman"/>
          <w:sz w:val="26"/>
        </w:rPr>
      </w:pPr>
      <w:r w:rsidRPr="007F15D8">
        <w:rPr>
          <w:rFonts w:ascii="Times New Roman" w:hAnsi="Times New Roman"/>
          <w:sz w:val="26"/>
        </w:rPr>
        <w:t>Table 10</w:t>
      </w:r>
      <w:r w:rsidR="00532FA4" w:rsidRPr="007F15D8">
        <w:rPr>
          <w:rFonts w:ascii="Times New Roman" w:hAnsi="Times New Roman"/>
          <w:sz w:val="26"/>
        </w:rPr>
        <w:t xml:space="preserve"> shows that the mean value of share price (P), book values of share (BV)</w:t>
      </w:r>
      <w:r w:rsidR="00CD5361">
        <w:rPr>
          <w:rFonts w:ascii="Times New Roman" w:hAnsi="Times New Roman"/>
          <w:sz w:val="26"/>
        </w:rPr>
        <w:t>,</w:t>
      </w:r>
      <w:r w:rsidR="00532FA4" w:rsidRPr="007F15D8">
        <w:rPr>
          <w:rFonts w:ascii="Times New Roman" w:hAnsi="Times New Roman"/>
          <w:sz w:val="26"/>
        </w:rPr>
        <w:t xml:space="preserve"> and earnings per share (EPS) for the GCC firms have positive values. All positive values of </w:t>
      </w:r>
      <w:r w:rsidR="00F55724" w:rsidRPr="007F15D8">
        <w:rPr>
          <w:rFonts w:ascii="Times New Roman" w:hAnsi="Times New Roman"/>
          <w:sz w:val="26"/>
        </w:rPr>
        <w:t xml:space="preserve">the </w:t>
      </w:r>
      <w:r w:rsidR="00532FA4" w:rsidRPr="007F15D8">
        <w:rPr>
          <w:rFonts w:ascii="Times New Roman" w:hAnsi="Times New Roman"/>
          <w:sz w:val="26"/>
        </w:rPr>
        <w:t xml:space="preserve">three variables suggest that most </w:t>
      </w:r>
      <w:r w:rsidR="00B8076D" w:rsidRPr="007F15D8">
        <w:rPr>
          <w:rFonts w:ascii="Times New Roman" w:hAnsi="Times New Roman"/>
          <w:sz w:val="26"/>
        </w:rPr>
        <w:t>GCC</w:t>
      </w:r>
      <w:r w:rsidR="00532FA4" w:rsidRPr="007F15D8">
        <w:rPr>
          <w:rFonts w:ascii="Times New Roman" w:hAnsi="Times New Roman"/>
          <w:sz w:val="26"/>
        </w:rPr>
        <w:t xml:space="preserve"> firms are financially stable. </w:t>
      </w:r>
      <w:r w:rsidR="00B8076D" w:rsidRPr="007F15D8">
        <w:rPr>
          <w:rFonts w:ascii="Times New Roman" w:hAnsi="Times New Roman"/>
          <w:sz w:val="26"/>
        </w:rPr>
        <w:t xml:space="preserve">The highest mean is </w:t>
      </w:r>
      <w:r w:rsidR="00CD5361">
        <w:rPr>
          <w:rFonts w:ascii="Times New Roman" w:hAnsi="Times New Roman"/>
          <w:sz w:val="26"/>
        </w:rPr>
        <w:t>Qatar (1.54), and the lowest is</w:t>
      </w:r>
      <w:r w:rsidR="00B8076D" w:rsidRPr="007F15D8">
        <w:rPr>
          <w:rFonts w:ascii="Times New Roman" w:hAnsi="Times New Roman"/>
          <w:sz w:val="26"/>
        </w:rPr>
        <w:t xml:space="preserve"> UAE (0.047). </w:t>
      </w:r>
      <w:r w:rsidR="00F55724" w:rsidRPr="007F15D8">
        <w:rPr>
          <w:rFonts w:ascii="Times New Roman" w:hAnsi="Times New Roman"/>
          <w:sz w:val="26"/>
        </w:rPr>
        <w:t>T</w:t>
      </w:r>
      <w:r w:rsidR="00C0627F" w:rsidRPr="007F15D8">
        <w:rPr>
          <w:rFonts w:ascii="Times New Roman" w:hAnsi="Times New Roman"/>
          <w:sz w:val="26"/>
        </w:rPr>
        <w:t>he R</w:t>
      </w:r>
      <w:r w:rsidR="00C0627F" w:rsidRPr="007F15D8">
        <w:rPr>
          <w:rFonts w:ascii="Times New Roman" w:hAnsi="Times New Roman"/>
          <w:sz w:val="26"/>
          <w:vertAlign w:val="superscript"/>
        </w:rPr>
        <w:t>2</w:t>
      </w:r>
      <w:r w:rsidR="00C0627F" w:rsidRPr="007F15D8">
        <w:rPr>
          <w:rFonts w:ascii="Times New Roman" w:hAnsi="Times New Roman"/>
          <w:sz w:val="26"/>
        </w:rPr>
        <w:t xml:space="preserve"> in Kuwait (72%) is the highest among the GCC </w:t>
      </w:r>
      <w:r w:rsidR="009A4680" w:rsidRPr="007F15D8">
        <w:rPr>
          <w:rFonts w:ascii="Times New Roman" w:hAnsi="Times New Roman"/>
          <w:sz w:val="26"/>
        </w:rPr>
        <w:t>countries</w:t>
      </w:r>
      <w:r w:rsidR="00F55724" w:rsidRPr="007F15D8">
        <w:rPr>
          <w:rFonts w:ascii="Times New Roman" w:hAnsi="Times New Roman"/>
          <w:sz w:val="26"/>
        </w:rPr>
        <w:t>,</w:t>
      </w:r>
      <w:r w:rsidR="00C0627F" w:rsidRPr="007F15D8">
        <w:rPr>
          <w:rFonts w:ascii="Times New Roman" w:hAnsi="Times New Roman"/>
          <w:sz w:val="26"/>
        </w:rPr>
        <w:t xml:space="preserve"> and the lowest is in KSA (21.9%). The second rank is for Bahrain (71.1%), then Qatar (67.1%), </w:t>
      </w:r>
      <w:r w:rsidR="00F55724" w:rsidRPr="007F15D8">
        <w:rPr>
          <w:rFonts w:ascii="Times New Roman" w:hAnsi="Times New Roman"/>
          <w:sz w:val="26"/>
        </w:rPr>
        <w:t xml:space="preserve">followed by </w:t>
      </w:r>
      <w:r w:rsidR="00C0627F" w:rsidRPr="007F15D8">
        <w:rPr>
          <w:rFonts w:ascii="Times New Roman" w:hAnsi="Times New Roman"/>
          <w:sz w:val="26"/>
        </w:rPr>
        <w:t>Oman (53.7%) and UAE (27.4%). These results indicate that the explanatory power</w:t>
      </w:r>
      <w:r w:rsidR="00F55724" w:rsidRPr="007F15D8">
        <w:rPr>
          <w:rFonts w:ascii="Times New Roman" w:hAnsi="Times New Roman"/>
          <w:sz w:val="26"/>
        </w:rPr>
        <w:t>s</w:t>
      </w:r>
      <w:r w:rsidR="00C0627F" w:rsidRPr="007F15D8">
        <w:rPr>
          <w:rFonts w:ascii="Times New Roman" w:hAnsi="Times New Roman"/>
          <w:sz w:val="26"/>
        </w:rPr>
        <w:t xml:space="preserve"> of accounting data of book values and earnings per share jointly explain 72% of the </w:t>
      </w:r>
      <w:r w:rsidR="009076E0">
        <w:rPr>
          <w:rFonts w:ascii="Times New Roman" w:hAnsi="Times New Roman"/>
          <w:sz w:val="26"/>
        </w:rPr>
        <w:t>share price variation</w:t>
      </w:r>
      <w:r w:rsidR="00C0627F" w:rsidRPr="007F15D8">
        <w:rPr>
          <w:rFonts w:ascii="Times New Roman" w:hAnsi="Times New Roman"/>
          <w:sz w:val="26"/>
        </w:rPr>
        <w:t xml:space="preserve"> in Kuwait</w:t>
      </w:r>
      <w:r w:rsidR="00F55724" w:rsidRPr="007F15D8">
        <w:rPr>
          <w:rFonts w:ascii="Times New Roman" w:hAnsi="Times New Roman"/>
          <w:sz w:val="26"/>
        </w:rPr>
        <w:t>,</w:t>
      </w:r>
      <w:r w:rsidR="00C0627F" w:rsidRPr="007F15D8">
        <w:rPr>
          <w:rFonts w:ascii="Times New Roman" w:hAnsi="Times New Roman"/>
          <w:sz w:val="26"/>
        </w:rPr>
        <w:t xml:space="preserve"> </w:t>
      </w:r>
      <w:r w:rsidR="00050EB7" w:rsidRPr="007F15D8">
        <w:rPr>
          <w:rFonts w:ascii="Times New Roman" w:hAnsi="Times New Roman"/>
          <w:sz w:val="26"/>
        </w:rPr>
        <w:t>whereas</w:t>
      </w:r>
      <w:r w:rsidR="00C0627F" w:rsidRPr="007F15D8">
        <w:rPr>
          <w:rFonts w:ascii="Times New Roman" w:hAnsi="Times New Roman"/>
          <w:sz w:val="26"/>
        </w:rPr>
        <w:t xml:space="preserve"> the explanatory power</w:t>
      </w:r>
      <w:r w:rsidR="00F55724" w:rsidRPr="007F15D8">
        <w:rPr>
          <w:rFonts w:ascii="Times New Roman" w:hAnsi="Times New Roman"/>
          <w:sz w:val="26"/>
        </w:rPr>
        <w:t>s</w:t>
      </w:r>
      <w:r w:rsidR="00C0627F" w:rsidRPr="007F15D8">
        <w:rPr>
          <w:rFonts w:ascii="Times New Roman" w:hAnsi="Times New Roman"/>
          <w:sz w:val="26"/>
        </w:rPr>
        <w:t xml:space="preserve"> of accounting data of book values and earnings per share jointly explain only 21.9% in KSA.</w:t>
      </w:r>
    </w:p>
    <w:p w14:paraId="1764451E" w14:textId="6CF868F6" w:rsidR="00E40A40" w:rsidRDefault="00EA1FBC" w:rsidP="00B730DC">
      <w:pPr>
        <w:spacing w:after="0" w:line="360" w:lineRule="exact"/>
        <w:ind w:firstLine="510"/>
        <w:jc w:val="both"/>
        <w:rPr>
          <w:rFonts w:ascii="Times New Roman" w:hAnsi="Times New Roman"/>
          <w:sz w:val="26"/>
        </w:rPr>
      </w:pPr>
      <w:r w:rsidRPr="007F15D8">
        <w:rPr>
          <w:rFonts w:ascii="Times New Roman" w:hAnsi="Times New Roman"/>
          <w:sz w:val="26"/>
        </w:rPr>
        <w:t>The model in all GCC countries</w:t>
      </w:r>
      <w:r w:rsidR="00532FA4" w:rsidRPr="007F15D8">
        <w:rPr>
          <w:rFonts w:ascii="Times New Roman" w:hAnsi="Times New Roman"/>
          <w:sz w:val="26"/>
        </w:rPr>
        <w:t xml:space="preserve"> </w:t>
      </w:r>
      <w:r w:rsidRPr="007F15D8">
        <w:rPr>
          <w:rFonts w:ascii="Times New Roman" w:hAnsi="Times New Roman"/>
          <w:sz w:val="26"/>
        </w:rPr>
        <w:t>is</w:t>
      </w:r>
      <w:r w:rsidR="00532FA4" w:rsidRPr="007F15D8">
        <w:rPr>
          <w:rFonts w:ascii="Times New Roman" w:hAnsi="Times New Roman"/>
          <w:sz w:val="26"/>
        </w:rPr>
        <w:t xml:space="preserve"> significant at 0.000</w:t>
      </w:r>
      <w:r w:rsidR="00F55724" w:rsidRPr="007F15D8">
        <w:rPr>
          <w:rFonts w:ascii="Times New Roman" w:hAnsi="Times New Roman"/>
          <w:sz w:val="26"/>
        </w:rPr>
        <w:t>,</w:t>
      </w:r>
      <w:r w:rsidR="00532FA4" w:rsidRPr="007F15D8">
        <w:rPr>
          <w:rFonts w:ascii="Times New Roman" w:hAnsi="Times New Roman"/>
          <w:sz w:val="26"/>
        </w:rPr>
        <w:t xml:space="preserve"> and the associations between EPS, book value</w:t>
      </w:r>
      <w:r w:rsidR="00CD5361">
        <w:rPr>
          <w:rFonts w:ascii="Times New Roman" w:hAnsi="Times New Roman"/>
          <w:sz w:val="26"/>
        </w:rPr>
        <w:t>,</w:t>
      </w:r>
      <w:r w:rsidR="00532FA4" w:rsidRPr="007F15D8">
        <w:rPr>
          <w:rFonts w:ascii="Times New Roman" w:hAnsi="Times New Roman"/>
          <w:sz w:val="26"/>
        </w:rPr>
        <w:t xml:space="preserve"> and share price are positively significant at 0.000. This result implies that </w:t>
      </w:r>
      <w:r w:rsidR="00CD5361">
        <w:rPr>
          <w:rFonts w:ascii="Times New Roman" w:hAnsi="Times New Roman"/>
          <w:sz w:val="26"/>
        </w:rPr>
        <w:t xml:space="preserve">the </w:t>
      </w:r>
      <w:r w:rsidR="00532FA4" w:rsidRPr="007F15D8">
        <w:rPr>
          <w:rFonts w:ascii="Times New Roman" w:hAnsi="Times New Roman"/>
          <w:sz w:val="26"/>
        </w:rPr>
        <w:t xml:space="preserve">share price of GCC firms is significantly reflected </w:t>
      </w:r>
      <w:r w:rsidR="00F55724" w:rsidRPr="007F15D8">
        <w:rPr>
          <w:rFonts w:ascii="Times New Roman" w:hAnsi="Times New Roman"/>
          <w:sz w:val="26"/>
        </w:rPr>
        <w:t xml:space="preserve">by </w:t>
      </w:r>
      <w:r w:rsidR="00532FA4" w:rsidRPr="007F15D8">
        <w:rPr>
          <w:rFonts w:ascii="Times New Roman" w:hAnsi="Times New Roman"/>
          <w:sz w:val="26"/>
        </w:rPr>
        <w:t xml:space="preserve">EPS and </w:t>
      </w:r>
      <w:r w:rsidR="004F5591" w:rsidRPr="007F15D8">
        <w:rPr>
          <w:rFonts w:ascii="Times New Roman" w:hAnsi="Times New Roman"/>
          <w:sz w:val="26"/>
        </w:rPr>
        <w:t>book values ranging from high in Kuwait, Bahrain</w:t>
      </w:r>
      <w:r w:rsidR="00CD5361">
        <w:rPr>
          <w:rFonts w:ascii="Times New Roman" w:hAnsi="Times New Roman"/>
          <w:sz w:val="26"/>
        </w:rPr>
        <w:t>,</w:t>
      </w:r>
      <w:r w:rsidR="004F5591" w:rsidRPr="007F15D8">
        <w:rPr>
          <w:rFonts w:ascii="Times New Roman" w:hAnsi="Times New Roman"/>
          <w:sz w:val="26"/>
        </w:rPr>
        <w:t xml:space="preserve"> and Qatar to low i</w:t>
      </w:r>
      <w:r w:rsidR="00FD6495" w:rsidRPr="007F15D8">
        <w:rPr>
          <w:rFonts w:ascii="Times New Roman" w:hAnsi="Times New Roman"/>
          <w:sz w:val="26"/>
        </w:rPr>
        <w:t>n Oman, UAE</w:t>
      </w:r>
      <w:r w:rsidR="00CD5361">
        <w:rPr>
          <w:rFonts w:ascii="Times New Roman" w:hAnsi="Times New Roman"/>
          <w:sz w:val="26"/>
        </w:rPr>
        <w:t>,</w:t>
      </w:r>
      <w:r w:rsidR="00FD6495" w:rsidRPr="007F15D8">
        <w:rPr>
          <w:rFonts w:ascii="Times New Roman" w:hAnsi="Times New Roman"/>
          <w:sz w:val="26"/>
        </w:rPr>
        <w:t xml:space="preserve"> and KSA. </w:t>
      </w:r>
      <w:r w:rsidR="00610725" w:rsidRPr="007F15D8">
        <w:rPr>
          <w:rFonts w:ascii="Times New Roman" w:hAnsi="Times New Roman"/>
          <w:sz w:val="26"/>
        </w:rPr>
        <w:t>The correlation</w:t>
      </w:r>
      <w:r w:rsidR="004F5591" w:rsidRPr="007F15D8">
        <w:rPr>
          <w:rFonts w:ascii="Times New Roman" w:hAnsi="Times New Roman"/>
          <w:sz w:val="26"/>
        </w:rPr>
        <w:t xml:space="preserve">s among independent </w:t>
      </w:r>
      <w:r w:rsidR="00610725" w:rsidRPr="007F15D8">
        <w:rPr>
          <w:rFonts w:ascii="Times New Roman" w:hAnsi="Times New Roman"/>
          <w:sz w:val="26"/>
        </w:rPr>
        <w:t xml:space="preserve">variables </w:t>
      </w:r>
      <w:r w:rsidR="004F5591" w:rsidRPr="007F15D8">
        <w:rPr>
          <w:rFonts w:ascii="Times New Roman" w:hAnsi="Times New Roman"/>
          <w:sz w:val="26"/>
        </w:rPr>
        <w:t>(EPS and BV) in all GCC countries</w:t>
      </w:r>
      <w:r w:rsidR="00610725" w:rsidRPr="007F15D8">
        <w:rPr>
          <w:rFonts w:ascii="Times New Roman" w:hAnsi="Times New Roman"/>
          <w:sz w:val="26"/>
        </w:rPr>
        <w:t xml:space="preserve"> </w:t>
      </w:r>
      <w:r w:rsidR="004F5591" w:rsidRPr="007F15D8">
        <w:rPr>
          <w:rFonts w:ascii="Times New Roman" w:hAnsi="Times New Roman"/>
          <w:sz w:val="26"/>
        </w:rPr>
        <w:t xml:space="preserve">are </w:t>
      </w:r>
      <w:r w:rsidR="00610725" w:rsidRPr="007F15D8">
        <w:rPr>
          <w:rFonts w:ascii="Times New Roman" w:hAnsi="Times New Roman"/>
          <w:sz w:val="26"/>
        </w:rPr>
        <w:t xml:space="preserve">smaller than 0.8, </w:t>
      </w:r>
      <w:r w:rsidR="00F55724" w:rsidRPr="007F15D8">
        <w:rPr>
          <w:rFonts w:ascii="Times New Roman" w:hAnsi="Times New Roman"/>
          <w:sz w:val="26"/>
        </w:rPr>
        <w:t xml:space="preserve">but </w:t>
      </w:r>
      <w:r w:rsidR="00610725" w:rsidRPr="007F15D8">
        <w:rPr>
          <w:rFonts w:ascii="Times New Roman" w:hAnsi="Times New Roman"/>
          <w:sz w:val="26"/>
        </w:rPr>
        <w:t xml:space="preserve">multicollinearity is not a serious issue </w:t>
      </w:r>
      <w:r w:rsidR="00EE03AD">
        <w:rPr>
          <w:rFonts w:ascii="Times New Roman" w:hAnsi="Times New Roman"/>
          <w:sz w:val="26"/>
        </w:rPr>
        <w:t xml:space="preserve">in </w:t>
      </w:r>
      <w:r w:rsidR="00610725" w:rsidRPr="007F15D8">
        <w:rPr>
          <w:rFonts w:ascii="Times New Roman" w:hAnsi="Times New Roman"/>
          <w:sz w:val="26"/>
        </w:rPr>
        <w:t>regression</w:t>
      </w:r>
      <w:r w:rsidR="00BC4673" w:rsidRPr="007F15D8">
        <w:rPr>
          <w:rFonts w:ascii="Times New Roman" w:hAnsi="Times New Roman"/>
          <w:sz w:val="26"/>
        </w:rPr>
        <w:t xml:space="preserve"> models</w:t>
      </w:r>
      <w:r w:rsidR="00610725" w:rsidRPr="007F15D8">
        <w:rPr>
          <w:rFonts w:ascii="Times New Roman" w:hAnsi="Times New Roman"/>
          <w:sz w:val="26"/>
        </w:rPr>
        <w:t xml:space="preserve"> (Hair et al., 2006).</w:t>
      </w:r>
      <w:r w:rsidR="00DA0C8A" w:rsidRPr="007F15D8">
        <w:rPr>
          <w:rFonts w:ascii="Times New Roman" w:hAnsi="Times New Roman"/>
          <w:sz w:val="26"/>
        </w:rPr>
        <w:t xml:space="preserve"> </w:t>
      </w:r>
      <w:r w:rsidR="0034553E" w:rsidRPr="007F15D8">
        <w:rPr>
          <w:rFonts w:ascii="Times New Roman" w:hAnsi="Times New Roman"/>
          <w:sz w:val="26"/>
        </w:rPr>
        <w:t xml:space="preserve">The results of measuring </w:t>
      </w:r>
      <w:r w:rsidR="00F55724" w:rsidRPr="007F15D8">
        <w:rPr>
          <w:rFonts w:ascii="Times New Roman" w:hAnsi="Times New Roman"/>
          <w:sz w:val="26"/>
        </w:rPr>
        <w:t>EQ-VR</w:t>
      </w:r>
      <w:r w:rsidR="0034553E" w:rsidRPr="007F15D8">
        <w:rPr>
          <w:rFonts w:ascii="Times New Roman" w:hAnsi="Times New Roman"/>
          <w:sz w:val="26"/>
        </w:rPr>
        <w:t xml:space="preserve"> are in line with Ragab </w:t>
      </w:r>
      <w:r w:rsidR="00523653">
        <w:rPr>
          <w:rFonts w:ascii="Times New Roman" w:hAnsi="Times New Roman"/>
          <w:sz w:val="26"/>
        </w:rPr>
        <w:t>and</w:t>
      </w:r>
      <w:r w:rsidR="0034553E" w:rsidRPr="007F15D8">
        <w:rPr>
          <w:rFonts w:ascii="Times New Roman" w:hAnsi="Times New Roman"/>
          <w:sz w:val="26"/>
        </w:rPr>
        <w:t xml:space="preserve"> </w:t>
      </w:r>
      <w:proofErr w:type="spellStart"/>
      <w:r w:rsidR="0034553E" w:rsidRPr="007F15D8">
        <w:rPr>
          <w:rFonts w:ascii="Times New Roman" w:hAnsi="Times New Roman"/>
          <w:sz w:val="26"/>
        </w:rPr>
        <w:t>Omran</w:t>
      </w:r>
      <w:proofErr w:type="spellEnd"/>
      <w:r w:rsidR="0034553E" w:rsidRPr="007F15D8">
        <w:rPr>
          <w:rFonts w:ascii="Times New Roman" w:hAnsi="Times New Roman"/>
          <w:sz w:val="26"/>
        </w:rPr>
        <w:t xml:space="preserve"> (2006)</w:t>
      </w:r>
      <w:r w:rsidR="00CD5361">
        <w:rPr>
          <w:rFonts w:ascii="Times New Roman" w:hAnsi="Times New Roman"/>
          <w:sz w:val="26"/>
        </w:rPr>
        <w:t>,</w:t>
      </w:r>
      <w:r w:rsidR="0034553E" w:rsidRPr="007F15D8">
        <w:rPr>
          <w:rFonts w:ascii="Times New Roman" w:hAnsi="Times New Roman"/>
          <w:sz w:val="26"/>
        </w:rPr>
        <w:t xml:space="preserve"> </w:t>
      </w:r>
      <w:r w:rsidR="00A41BCF" w:rsidRPr="007F15D8">
        <w:rPr>
          <w:rFonts w:ascii="Times New Roman" w:hAnsi="Times New Roman"/>
          <w:sz w:val="26"/>
        </w:rPr>
        <w:t>wh</w:t>
      </w:r>
      <w:r w:rsidR="00CD5361">
        <w:rPr>
          <w:rFonts w:ascii="Times New Roman" w:hAnsi="Times New Roman"/>
          <w:sz w:val="26"/>
        </w:rPr>
        <w:t>ich</w:t>
      </w:r>
      <w:r w:rsidR="00A41BCF" w:rsidRPr="007F15D8">
        <w:rPr>
          <w:rFonts w:ascii="Times New Roman" w:hAnsi="Times New Roman"/>
          <w:sz w:val="26"/>
        </w:rPr>
        <w:t xml:space="preserve"> found</w:t>
      </w:r>
      <w:r w:rsidR="0034553E" w:rsidRPr="007F15D8">
        <w:rPr>
          <w:rFonts w:ascii="Times New Roman" w:hAnsi="Times New Roman"/>
          <w:sz w:val="26"/>
        </w:rPr>
        <w:t xml:space="preserve"> a positive relationship betw</w:t>
      </w:r>
      <w:r w:rsidR="00EB7C77" w:rsidRPr="007F15D8">
        <w:rPr>
          <w:rFonts w:ascii="Times New Roman" w:hAnsi="Times New Roman"/>
          <w:sz w:val="26"/>
        </w:rPr>
        <w:t xml:space="preserve">een earnings and share price.  </w:t>
      </w:r>
      <w:r w:rsidR="005B257E" w:rsidRPr="007F15D8">
        <w:rPr>
          <w:rFonts w:ascii="Times New Roman" w:hAnsi="Times New Roman"/>
          <w:sz w:val="26"/>
        </w:rPr>
        <w:t xml:space="preserve">Table </w:t>
      </w:r>
      <w:r w:rsidR="0035550B" w:rsidRPr="007F15D8">
        <w:rPr>
          <w:rFonts w:ascii="Times New Roman" w:hAnsi="Times New Roman" w:cs="Times New Roman"/>
          <w:sz w:val="26"/>
          <w:szCs w:val="26"/>
        </w:rPr>
        <w:t>11</w:t>
      </w:r>
      <w:r w:rsidR="005B257E" w:rsidRPr="007F15D8">
        <w:rPr>
          <w:rFonts w:ascii="Times New Roman" w:hAnsi="Times New Roman"/>
          <w:sz w:val="26"/>
        </w:rPr>
        <w:t xml:space="preserve"> shows the results of the relationship between </w:t>
      </w:r>
      <w:r w:rsidR="00F55724" w:rsidRPr="007F15D8">
        <w:rPr>
          <w:rFonts w:ascii="Times New Roman" w:hAnsi="Times New Roman"/>
          <w:sz w:val="26"/>
        </w:rPr>
        <w:t>EQ-</w:t>
      </w:r>
      <w:r w:rsidR="005B257E" w:rsidRPr="007F15D8">
        <w:rPr>
          <w:rFonts w:ascii="Times New Roman" w:hAnsi="Times New Roman"/>
          <w:sz w:val="26"/>
        </w:rPr>
        <w:t>VR and FI</w:t>
      </w:r>
      <w:r w:rsidR="00A95D9A" w:rsidRPr="007F15D8">
        <w:rPr>
          <w:rFonts w:ascii="Times New Roman" w:hAnsi="Times New Roman"/>
          <w:sz w:val="26"/>
        </w:rPr>
        <w:t>.</w:t>
      </w:r>
    </w:p>
    <w:p w14:paraId="420A7EC4" w14:textId="77777777" w:rsidR="00A152B0" w:rsidRDefault="00A152B0" w:rsidP="00B725B6">
      <w:pPr>
        <w:spacing w:after="0" w:line="360" w:lineRule="exact"/>
        <w:ind w:firstLine="510"/>
        <w:jc w:val="both"/>
        <w:rPr>
          <w:rFonts w:ascii="Times New Roman" w:hAnsi="Times New Roman"/>
          <w:sz w:val="26"/>
        </w:rPr>
      </w:pPr>
    </w:p>
    <w:p w14:paraId="71322A95" w14:textId="77777777" w:rsidR="009076E0" w:rsidRDefault="009076E0">
      <w:pPr>
        <w:rPr>
          <w:rFonts w:asciiTheme="majorBidi" w:hAnsiTheme="majorBidi"/>
          <w:b/>
          <w:sz w:val="26"/>
        </w:rPr>
      </w:pPr>
      <w:r>
        <w:rPr>
          <w:rFonts w:asciiTheme="majorBidi" w:hAnsiTheme="majorBidi"/>
          <w:b/>
          <w:sz w:val="26"/>
        </w:rPr>
        <w:br w:type="page"/>
      </w:r>
    </w:p>
    <w:p w14:paraId="49D7399C" w14:textId="04CABFF1" w:rsidR="00E40A40" w:rsidRPr="00183267" w:rsidRDefault="0035550B" w:rsidP="00FA3651">
      <w:pPr>
        <w:snapToGrid w:val="0"/>
        <w:spacing w:afterLines="50" w:after="120" w:line="360" w:lineRule="exact"/>
        <w:jc w:val="both"/>
        <w:rPr>
          <w:rFonts w:asciiTheme="majorBidi" w:hAnsiTheme="majorBidi"/>
          <w:i/>
          <w:sz w:val="26"/>
        </w:rPr>
      </w:pPr>
      <w:r w:rsidRPr="00183267">
        <w:rPr>
          <w:rFonts w:asciiTheme="majorBidi" w:hAnsiTheme="majorBidi"/>
          <w:b/>
          <w:sz w:val="26"/>
        </w:rPr>
        <w:lastRenderedPageBreak/>
        <w:t xml:space="preserve">Table </w:t>
      </w:r>
      <w:proofErr w:type="gramStart"/>
      <w:r w:rsidRPr="00183267">
        <w:rPr>
          <w:rFonts w:asciiTheme="majorBidi" w:hAnsiTheme="majorBidi"/>
          <w:b/>
          <w:sz w:val="26"/>
        </w:rPr>
        <w:t>11</w:t>
      </w:r>
      <w:r w:rsidR="00183267">
        <w:rPr>
          <w:rFonts w:asciiTheme="majorBidi" w:hAnsiTheme="majorBidi"/>
          <w:sz w:val="26"/>
        </w:rPr>
        <w:t xml:space="preserve"> </w:t>
      </w:r>
      <w:r w:rsidR="00E40A40" w:rsidRPr="00FA3651">
        <w:rPr>
          <w:rFonts w:asciiTheme="majorBidi" w:hAnsiTheme="majorBidi"/>
          <w:sz w:val="26"/>
        </w:rPr>
        <w:t xml:space="preserve"> </w:t>
      </w:r>
      <w:r w:rsidR="00E40A40" w:rsidRPr="00183267">
        <w:rPr>
          <w:rFonts w:asciiTheme="majorBidi" w:hAnsiTheme="majorBidi"/>
          <w:i/>
          <w:sz w:val="26"/>
        </w:rPr>
        <w:t>Regression</w:t>
      </w:r>
      <w:proofErr w:type="gramEnd"/>
      <w:r w:rsidR="00E40A40" w:rsidRPr="00183267">
        <w:rPr>
          <w:rFonts w:asciiTheme="majorBidi" w:hAnsiTheme="majorBidi"/>
          <w:i/>
          <w:sz w:val="26"/>
        </w:rPr>
        <w:t xml:space="preserve"> Results between VR and FI</w:t>
      </w:r>
    </w:p>
    <w:tbl>
      <w:tblPr>
        <w:tblStyle w:val="a9"/>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
        <w:gridCol w:w="685"/>
        <w:gridCol w:w="664"/>
        <w:gridCol w:w="684"/>
        <w:gridCol w:w="664"/>
        <w:gridCol w:w="684"/>
        <w:gridCol w:w="697"/>
        <w:gridCol w:w="684"/>
        <w:gridCol w:w="666"/>
        <w:gridCol w:w="684"/>
        <w:gridCol w:w="737"/>
        <w:gridCol w:w="684"/>
        <w:gridCol w:w="663"/>
      </w:tblGrid>
      <w:tr w:rsidR="007F15D8" w:rsidRPr="00B725B6" w14:paraId="52438343" w14:textId="77777777" w:rsidTr="00215E9A">
        <w:trPr>
          <w:trHeight w:val="340"/>
          <w:jc w:val="center"/>
        </w:trPr>
        <w:tc>
          <w:tcPr>
            <w:tcW w:w="460" w:type="pct"/>
            <w:vMerge w:val="restart"/>
            <w:tcBorders>
              <w:top w:val="single" w:sz="4" w:space="0" w:color="auto"/>
              <w:bottom w:val="single" w:sz="4" w:space="0" w:color="auto"/>
              <w:right w:val="single" w:sz="4" w:space="0" w:color="auto"/>
              <w:tl2br w:val="single" w:sz="4" w:space="0" w:color="auto"/>
            </w:tcBorders>
            <w:vAlign w:val="center"/>
          </w:tcPr>
          <w:p w14:paraId="60C9F847" w14:textId="5E222CA8" w:rsidR="00E40A40" w:rsidRPr="00183267" w:rsidRDefault="00E40A40" w:rsidP="00A152B0">
            <w:pPr>
              <w:rPr>
                <w:rFonts w:ascii="Times New Roman" w:hAnsi="Times New Roman" w:cs="Times New Roman"/>
                <w:sz w:val="16"/>
              </w:rPr>
            </w:pPr>
            <w:r w:rsidRPr="00B725B6">
              <w:t xml:space="preserve"> </w:t>
            </w:r>
            <w:r w:rsidRPr="00183267">
              <w:rPr>
                <w:rFonts w:ascii="Times New Roman" w:hAnsi="Times New Roman" w:cs="Times New Roman"/>
                <w:sz w:val="16"/>
              </w:rPr>
              <w:t>Country</w:t>
            </w:r>
          </w:p>
          <w:p w14:paraId="3F469722" w14:textId="77777777" w:rsidR="00E40A40" w:rsidRPr="00183267" w:rsidRDefault="00E40A40" w:rsidP="00A152B0">
            <w:pPr>
              <w:rPr>
                <w:rFonts w:ascii="Times New Roman" w:hAnsi="Times New Roman" w:cs="Times New Roman"/>
                <w:sz w:val="16"/>
              </w:rPr>
            </w:pPr>
          </w:p>
          <w:p w14:paraId="1220B6F1" w14:textId="77777777" w:rsidR="00E40A40" w:rsidRPr="00B725B6" w:rsidRDefault="00E40A40" w:rsidP="00A152B0">
            <w:r w:rsidRPr="00183267">
              <w:rPr>
                <w:rFonts w:ascii="Times New Roman" w:hAnsi="Times New Roman" w:cs="Times New Roman"/>
                <w:sz w:val="16"/>
              </w:rPr>
              <w:t>Variables</w:t>
            </w:r>
          </w:p>
        </w:tc>
        <w:tc>
          <w:tcPr>
            <w:tcW w:w="747" w:type="pct"/>
            <w:gridSpan w:val="2"/>
            <w:tcBorders>
              <w:top w:val="single" w:sz="4" w:space="0" w:color="auto"/>
              <w:left w:val="single" w:sz="4" w:space="0" w:color="auto"/>
              <w:bottom w:val="single" w:sz="4" w:space="0" w:color="auto"/>
            </w:tcBorders>
            <w:vAlign w:val="center"/>
          </w:tcPr>
          <w:p w14:paraId="0C16E8E3"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KSA</w:t>
            </w:r>
          </w:p>
        </w:tc>
        <w:tc>
          <w:tcPr>
            <w:tcW w:w="747" w:type="pct"/>
            <w:gridSpan w:val="2"/>
            <w:tcBorders>
              <w:top w:val="single" w:sz="4" w:space="0" w:color="auto"/>
              <w:bottom w:val="single" w:sz="4" w:space="0" w:color="auto"/>
            </w:tcBorders>
            <w:vAlign w:val="center"/>
          </w:tcPr>
          <w:p w14:paraId="65F0FBD1"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OMN</w:t>
            </w:r>
          </w:p>
        </w:tc>
        <w:tc>
          <w:tcPr>
            <w:tcW w:w="764" w:type="pct"/>
            <w:gridSpan w:val="2"/>
            <w:tcBorders>
              <w:top w:val="single" w:sz="4" w:space="0" w:color="auto"/>
              <w:bottom w:val="single" w:sz="4" w:space="0" w:color="auto"/>
            </w:tcBorders>
            <w:vAlign w:val="center"/>
          </w:tcPr>
          <w:p w14:paraId="68F97955"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QAT</w:t>
            </w:r>
          </w:p>
        </w:tc>
        <w:tc>
          <w:tcPr>
            <w:tcW w:w="748" w:type="pct"/>
            <w:gridSpan w:val="2"/>
            <w:tcBorders>
              <w:top w:val="single" w:sz="4" w:space="0" w:color="auto"/>
              <w:bottom w:val="single" w:sz="4" w:space="0" w:color="auto"/>
            </w:tcBorders>
            <w:vAlign w:val="center"/>
          </w:tcPr>
          <w:p w14:paraId="45B0AE1C"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BAH</w:t>
            </w:r>
          </w:p>
        </w:tc>
        <w:tc>
          <w:tcPr>
            <w:tcW w:w="787" w:type="pct"/>
            <w:gridSpan w:val="2"/>
            <w:tcBorders>
              <w:top w:val="single" w:sz="4" w:space="0" w:color="auto"/>
              <w:bottom w:val="single" w:sz="4" w:space="0" w:color="auto"/>
            </w:tcBorders>
            <w:vAlign w:val="center"/>
          </w:tcPr>
          <w:p w14:paraId="26144828" w14:textId="1A35AE11" w:rsidR="00E40A40" w:rsidRPr="00B725B6" w:rsidRDefault="004175B6"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KUW</w:t>
            </w:r>
          </w:p>
        </w:tc>
        <w:tc>
          <w:tcPr>
            <w:tcW w:w="748" w:type="pct"/>
            <w:gridSpan w:val="2"/>
            <w:tcBorders>
              <w:top w:val="single" w:sz="4" w:space="0" w:color="auto"/>
              <w:bottom w:val="single" w:sz="4" w:space="0" w:color="auto"/>
            </w:tcBorders>
            <w:vAlign w:val="center"/>
          </w:tcPr>
          <w:p w14:paraId="7320F427"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UAE</w:t>
            </w:r>
          </w:p>
        </w:tc>
      </w:tr>
      <w:tr w:rsidR="00183267" w:rsidRPr="00B725B6" w14:paraId="41CC559D" w14:textId="77777777" w:rsidTr="00215E9A">
        <w:trPr>
          <w:trHeight w:val="340"/>
          <w:jc w:val="center"/>
        </w:trPr>
        <w:tc>
          <w:tcPr>
            <w:tcW w:w="460" w:type="pct"/>
            <w:vMerge/>
            <w:tcBorders>
              <w:top w:val="single" w:sz="4" w:space="0" w:color="auto"/>
              <w:bottom w:val="single" w:sz="4" w:space="0" w:color="auto"/>
              <w:right w:val="single" w:sz="4" w:space="0" w:color="auto"/>
            </w:tcBorders>
            <w:vAlign w:val="center"/>
          </w:tcPr>
          <w:p w14:paraId="030F8E5D" w14:textId="77777777" w:rsidR="00E40A40" w:rsidRPr="00B725B6" w:rsidRDefault="00E40A40" w:rsidP="00B725B6">
            <w:pPr>
              <w:autoSpaceDE w:val="0"/>
              <w:autoSpaceDN w:val="0"/>
              <w:adjustRightInd w:val="0"/>
              <w:jc w:val="both"/>
              <w:rPr>
                <w:rFonts w:ascii="Times New Roman" w:hAnsi="Times New Roman" w:cs="Times New Roman"/>
                <w:noProof/>
                <w:sz w:val="16"/>
                <w:szCs w:val="20"/>
              </w:rPr>
            </w:pPr>
          </w:p>
        </w:tc>
        <w:tc>
          <w:tcPr>
            <w:tcW w:w="379" w:type="pct"/>
            <w:tcBorders>
              <w:top w:val="single" w:sz="4" w:space="0" w:color="auto"/>
              <w:left w:val="single" w:sz="4" w:space="0" w:color="auto"/>
              <w:bottom w:val="single" w:sz="4" w:space="0" w:color="auto"/>
            </w:tcBorders>
            <w:vAlign w:val="center"/>
          </w:tcPr>
          <w:p w14:paraId="06D54447"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B</w:t>
            </w:r>
          </w:p>
        </w:tc>
        <w:tc>
          <w:tcPr>
            <w:tcW w:w="368" w:type="pct"/>
            <w:tcBorders>
              <w:top w:val="single" w:sz="4" w:space="0" w:color="auto"/>
              <w:bottom w:val="single" w:sz="4" w:space="0" w:color="auto"/>
            </w:tcBorders>
            <w:vAlign w:val="center"/>
          </w:tcPr>
          <w:p w14:paraId="3EA91E01"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t-value</w:t>
            </w:r>
          </w:p>
        </w:tc>
        <w:tc>
          <w:tcPr>
            <w:tcW w:w="379" w:type="pct"/>
            <w:tcBorders>
              <w:top w:val="single" w:sz="4" w:space="0" w:color="auto"/>
              <w:bottom w:val="single" w:sz="4" w:space="0" w:color="auto"/>
            </w:tcBorders>
            <w:vAlign w:val="center"/>
          </w:tcPr>
          <w:p w14:paraId="78F0DE66"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B</w:t>
            </w:r>
          </w:p>
        </w:tc>
        <w:tc>
          <w:tcPr>
            <w:tcW w:w="368" w:type="pct"/>
            <w:tcBorders>
              <w:top w:val="single" w:sz="4" w:space="0" w:color="auto"/>
              <w:bottom w:val="single" w:sz="4" w:space="0" w:color="auto"/>
            </w:tcBorders>
            <w:vAlign w:val="center"/>
          </w:tcPr>
          <w:p w14:paraId="4B90DC00"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t-value</w:t>
            </w:r>
          </w:p>
        </w:tc>
        <w:tc>
          <w:tcPr>
            <w:tcW w:w="379" w:type="pct"/>
            <w:tcBorders>
              <w:top w:val="single" w:sz="4" w:space="0" w:color="auto"/>
              <w:bottom w:val="single" w:sz="4" w:space="0" w:color="auto"/>
            </w:tcBorders>
            <w:vAlign w:val="center"/>
          </w:tcPr>
          <w:p w14:paraId="0F54CA0A"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B</w:t>
            </w:r>
          </w:p>
        </w:tc>
        <w:tc>
          <w:tcPr>
            <w:tcW w:w="386" w:type="pct"/>
            <w:tcBorders>
              <w:top w:val="single" w:sz="4" w:space="0" w:color="auto"/>
              <w:bottom w:val="single" w:sz="4" w:space="0" w:color="auto"/>
            </w:tcBorders>
            <w:vAlign w:val="center"/>
          </w:tcPr>
          <w:p w14:paraId="42D79389"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t-value</w:t>
            </w:r>
          </w:p>
        </w:tc>
        <w:tc>
          <w:tcPr>
            <w:tcW w:w="379" w:type="pct"/>
            <w:tcBorders>
              <w:top w:val="single" w:sz="4" w:space="0" w:color="auto"/>
              <w:bottom w:val="single" w:sz="4" w:space="0" w:color="auto"/>
            </w:tcBorders>
            <w:vAlign w:val="center"/>
          </w:tcPr>
          <w:p w14:paraId="6343C78F"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B</w:t>
            </w:r>
          </w:p>
        </w:tc>
        <w:tc>
          <w:tcPr>
            <w:tcW w:w="368" w:type="pct"/>
            <w:tcBorders>
              <w:top w:val="single" w:sz="4" w:space="0" w:color="auto"/>
              <w:bottom w:val="single" w:sz="4" w:space="0" w:color="auto"/>
            </w:tcBorders>
            <w:vAlign w:val="center"/>
          </w:tcPr>
          <w:p w14:paraId="3A4B9C28"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t-value</w:t>
            </w:r>
          </w:p>
        </w:tc>
        <w:tc>
          <w:tcPr>
            <w:tcW w:w="379" w:type="pct"/>
            <w:tcBorders>
              <w:top w:val="single" w:sz="4" w:space="0" w:color="auto"/>
              <w:bottom w:val="single" w:sz="4" w:space="0" w:color="auto"/>
            </w:tcBorders>
            <w:vAlign w:val="center"/>
          </w:tcPr>
          <w:p w14:paraId="01B270E5"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B</w:t>
            </w:r>
          </w:p>
        </w:tc>
        <w:tc>
          <w:tcPr>
            <w:tcW w:w="408" w:type="pct"/>
            <w:tcBorders>
              <w:top w:val="single" w:sz="4" w:space="0" w:color="auto"/>
              <w:bottom w:val="single" w:sz="4" w:space="0" w:color="auto"/>
            </w:tcBorders>
            <w:vAlign w:val="center"/>
          </w:tcPr>
          <w:p w14:paraId="35A1A3CF"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t-value</w:t>
            </w:r>
          </w:p>
        </w:tc>
        <w:tc>
          <w:tcPr>
            <w:tcW w:w="379" w:type="pct"/>
            <w:tcBorders>
              <w:top w:val="single" w:sz="4" w:space="0" w:color="auto"/>
              <w:bottom w:val="single" w:sz="4" w:space="0" w:color="auto"/>
            </w:tcBorders>
            <w:vAlign w:val="center"/>
          </w:tcPr>
          <w:p w14:paraId="151612E6"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B</w:t>
            </w:r>
          </w:p>
        </w:tc>
        <w:tc>
          <w:tcPr>
            <w:tcW w:w="368" w:type="pct"/>
            <w:tcBorders>
              <w:top w:val="single" w:sz="4" w:space="0" w:color="auto"/>
              <w:bottom w:val="single" w:sz="4" w:space="0" w:color="auto"/>
            </w:tcBorders>
            <w:vAlign w:val="center"/>
          </w:tcPr>
          <w:p w14:paraId="0ADFABBE"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t-value</w:t>
            </w:r>
          </w:p>
        </w:tc>
      </w:tr>
      <w:tr w:rsidR="00183267" w:rsidRPr="00B725B6" w14:paraId="7BCF2BAD" w14:textId="77777777" w:rsidTr="00215E9A">
        <w:trPr>
          <w:trHeight w:val="340"/>
          <w:jc w:val="center"/>
        </w:trPr>
        <w:tc>
          <w:tcPr>
            <w:tcW w:w="460" w:type="pct"/>
            <w:tcBorders>
              <w:top w:val="single" w:sz="4" w:space="0" w:color="auto"/>
              <w:bottom w:val="single" w:sz="4" w:space="0" w:color="auto"/>
              <w:right w:val="single" w:sz="4" w:space="0" w:color="auto"/>
            </w:tcBorders>
            <w:vAlign w:val="center"/>
          </w:tcPr>
          <w:p w14:paraId="4E9B2B9D" w14:textId="3E0A9A74" w:rsidR="00E40A40" w:rsidRPr="00B725B6" w:rsidRDefault="00E40A40" w:rsidP="00183267">
            <w:pPr>
              <w:tabs>
                <w:tab w:val="left" w:pos="4536"/>
              </w:tabs>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EQ</w:t>
            </w:r>
            <w:r w:rsidR="00183267">
              <w:rPr>
                <w:rFonts w:ascii="Times New Roman" w:hAnsi="Times New Roman" w:cs="Times New Roman"/>
                <w:sz w:val="16"/>
                <w:szCs w:val="20"/>
              </w:rPr>
              <w:t xml:space="preserve"> </w:t>
            </w:r>
            <w:r w:rsidRPr="00B725B6">
              <w:rPr>
                <w:rFonts w:ascii="Times New Roman" w:hAnsi="Times New Roman" w:cs="Times New Roman"/>
                <w:sz w:val="16"/>
                <w:szCs w:val="20"/>
              </w:rPr>
              <w:t>(VR)</w:t>
            </w:r>
            <w:r w:rsidR="00B725B6">
              <w:rPr>
                <w:rFonts w:ascii="Times New Roman" w:hAnsi="Times New Roman" w:cs="Times New Roman"/>
                <w:sz w:val="16"/>
                <w:szCs w:val="20"/>
              </w:rPr>
              <w:t xml:space="preserve"> </w:t>
            </w:r>
            <w:r w:rsidRPr="00B725B6">
              <w:rPr>
                <w:rFonts w:ascii="Times New Roman" w:hAnsi="Times New Roman" w:cs="Times New Roman"/>
                <w:sz w:val="16"/>
                <w:szCs w:val="20"/>
              </w:rPr>
              <w:t>&amp;</w:t>
            </w:r>
            <w:r w:rsidR="00B0497C">
              <w:rPr>
                <w:rFonts w:ascii="Times New Roman" w:hAnsi="Times New Roman" w:cs="Times New Roman"/>
                <w:sz w:val="16"/>
                <w:szCs w:val="20"/>
              </w:rPr>
              <w:t xml:space="preserve"> </w:t>
            </w:r>
            <w:r w:rsidRPr="00B725B6">
              <w:rPr>
                <w:rFonts w:ascii="Times New Roman" w:hAnsi="Times New Roman" w:cs="Times New Roman"/>
                <w:sz w:val="16"/>
                <w:szCs w:val="20"/>
              </w:rPr>
              <w:t>sig.</w:t>
            </w:r>
          </w:p>
        </w:tc>
        <w:tc>
          <w:tcPr>
            <w:tcW w:w="379" w:type="pct"/>
            <w:tcBorders>
              <w:top w:val="single" w:sz="4" w:space="0" w:color="auto"/>
              <w:left w:val="single" w:sz="4" w:space="0" w:color="auto"/>
              <w:bottom w:val="single" w:sz="4" w:space="0" w:color="auto"/>
            </w:tcBorders>
            <w:vAlign w:val="center"/>
          </w:tcPr>
          <w:p w14:paraId="31E5007A"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-0.382</w:t>
            </w:r>
          </w:p>
          <w:p w14:paraId="39500503"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(0.002)</w:t>
            </w:r>
          </w:p>
        </w:tc>
        <w:tc>
          <w:tcPr>
            <w:tcW w:w="368" w:type="pct"/>
            <w:tcBorders>
              <w:top w:val="single" w:sz="4" w:space="0" w:color="auto"/>
              <w:bottom w:val="single" w:sz="4" w:space="0" w:color="auto"/>
            </w:tcBorders>
            <w:vAlign w:val="center"/>
          </w:tcPr>
          <w:p w14:paraId="4DDD22E0"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-3.129</w:t>
            </w:r>
          </w:p>
        </w:tc>
        <w:tc>
          <w:tcPr>
            <w:tcW w:w="379" w:type="pct"/>
            <w:tcBorders>
              <w:top w:val="single" w:sz="4" w:space="0" w:color="auto"/>
              <w:bottom w:val="single" w:sz="4" w:space="0" w:color="auto"/>
            </w:tcBorders>
            <w:vAlign w:val="center"/>
          </w:tcPr>
          <w:p w14:paraId="378FBC99"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-0.209</w:t>
            </w:r>
          </w:p>
          <w:p w14:paraId="20430F87"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(0.002)</w:t>
            </w:r>
          </w:p>
        </w:tc>
        <w:tc>
          <w:tcPr>
            <w:tcW w:w="368" w:type="pct"/>
            <w:tcBorders>
              <w:top w:val="single" w:sz="4" w:space="0" w:color="auto"/>
              <w:bottom w:val="single" w:sz="4" w:space="0" w:color="auto"/>
            </w:tcBorders>
            <w:vAlign w:val="center"/>
          </w:tcPr>
          <w:p w14:paraId="47B76EA2"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-3.087</w:t>
            </w:r>
          </w:p>
        </w:tc>
        <w:tc>
          <w:tcPr>
            <w:tcW w:w="379" w:type="pct"/>
            <w:tcBorders>
              <w:top w:val="single" w:sz="4" w:space="0" w:color="auto"/>
              <w:bottom w:val="single" w:sz="4" w:space="0" w:color="auto"/>
            </w:tcBorders>
            <w:vAlign w:val="center"/>
          </w:tcPr>
          <w:p w14:paraId="631C065B"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0.005</w:t>
            </w:r>
          </w:p>
          <w:p w14:paraId="452CB22A"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(0.163)</w:t>
            </w:r>
          </w:p>
        </w:tc>
        <w:tc>
          <w:tcPr>
            <w:tcW w:w="386" w:type="pct"/>
            <w:tcBorders>
              <w:top w:val="single" w:sz="4" w:space="0" w:color="auto"/>
              <w:bottom w:val="single" w:sz="4" w:space="0" w:color="auto"/>
            </w:tcBorders>
            <w:vAlign w:val="center"/>
          </w:tcPr>
          <w:p w14:paraId="5EBBDEAE"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1.409</w:t>
            </w:r>
          </w:p>
        </w:tc>
        <w:tc>
          <w:tcPr>
            <w:tcW w:w="379" w:type="pct"/>
            <w:tcBorders>
              <w:top w:val="single" w:sz="4" w:space="0" w:color="auto"/>
              <w:bottom w:val="single" w:sz="4" w:space="0" w:color="auto"/>
            </w:tcBorders>
            <w:vAlign w:val="center"/>
          </w:tcPr>
          <w:p w14:paraId="685AA8DA"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0.071</w:t>
            </w:r>
          </w:p>
          <w:p w14:paraId="790CA5C2"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(0.319)</w:t>
            </w:r>
          </w:p>
        </w:tc>
        <w:tc>
          <w:tcPr>
            <w:tcW w:w="368" w:type="pct"/>
            <w:tcBorders>
              <w:top w:val="single" w:sz="4" w:space="0" w:color="auto"/>
              <w:bottom w:val="single" w:sz="4" w:space="0" w:color="auto"/>
            </w:tcBorders>
            <w:vAlign w:val="center"/>
          </w:tcPr>
          <w:p w14:paraId="753FF943"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1.003</w:t>
            </w:r>
          </w:p>
        </w:tc>
        <w:tc>
          <w:tcPr>
            <w:tcW w:w="379" w:type="pct"/>
            <w:tcBorders>
              <w:top w:val="single" w:sz="4" w:space="0" w:color="auto"/>
              <w:bottom w:val="single" w:sz="4" w:space="0" w:color="auto"/>
            </w:tcBorders>
            <w:vAlign w:val="center"/>
          </w:tcPr>
          <w:p w14:paraId="324A6DDC"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18.388</w:t>
            </w:r>
          </w:p>
          <w:p w14:paraId="6C6567C3"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(0.001)</w:t>
            </w:r>
          </w:p>
        </w:tc>
        <w:tc>
          <w:tcPr>
            <w:tcW w:w="408" w:type="pct"/>
            <w:tcBorders>
              <w:top w:val="single" w:sz="4" w:space="0" w:color="auto"/>
              <w:bottom w:val="single" w:sz="4" w:space="0" w:color="auto"/>
            </w:tcBorders>
            <w:vAlign w:val="center"/>
          </w:tcPr>
          <w:p w14:paraId="094A91B0"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3.364</w:t>
            </w:r>
          </w:p>
        </w:tc>
        <w:tc>
          <w:tcPr>
            <w:tcW w:w="379" w:type="pct"/>
            <w:tcBorders>
              <w:top w:val="single" w:sz="4" w:space="0" w:color="auto"/>
              <w:bottom w:val="single" w:sz="4" w:space="0" w:color="auto"/>
            </w:tcBorders>
            <w:vAlign w:val="center"/>
          </w:tcPr>
          <w:p w14:paraId="0CC3CB82"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-0.056</w:t>
            </w:r>
          </w:p>
          <w:p w14:paraId="4E62E10A"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(0.012)</w:t>
            </w:r>
          </w:p>
        </w:tc>
        <w:tc>
          <w:tcPr>
            <w:tcW w:w="368" w:type="pct"/>
            <w:tcBorders>
              <w:top w:val="single" w:sz="4" w:space="0" w:color="auto"/>
              <w:bottom w:val="single" w:sz="4" w:space="0" w:color="auto"/>
            </w:tcBorders>
            <w:vAlign w:val="center"/>
          </w:tcPr>
          <w:p w14:paraId="426019EB"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-2.550</w:t>
            </w:r>
          </w:p>
        </w:tc>
      </w:tr>
      <w:tr w:rsidR="00183267" w:rsidRPr="00B725B6" w14:paraId="2A387BF4" w14:textId="77777777" w:rsidTr="00215E9A">
        <w:trPr>
          <w:trHeight w:val="340"/>
          <w:jc w:val="center"/>
        </w:trPr>
        <w:tc>
          <w:tcPr>
            <w:tcW w:w="460" w:type="pct"/>
            <w:tcBorders>
              <w:top w:val="single" w:sz="4" w:space="0" w:color="auto"/>
              <w:bottom w:val="single" w:sz="4" w:space="0" w:color="auto"/>
              <w:right w:val="single" w:sz="4" w:space="0" w:color="auto"/>
            </w:tcBorders>
            <w:vAlign w:val="center"/>
          </w:tcPr>
          <w:p w14:paraId="55CB8DD9" w14:textId="77777777" w:rsidR="00E40A40" w:rsidRPr="00B725B6" w:rsidRDefault="00E40A40" w:rsidP="00183267">
            <w:pPr>
              <w:tabs>
                <w:tab w:val="left" w:pos="4536"/>
              </w:tabs>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Big4</w:t>
            </w:r>
          </w:p>
        </w:tc>
        <w:tc>
          <w:tcPr>
            <w:tcW w:w="379" w:type="pct"/>
            <w:tcBorders>
              <w:top w:val="single" w:sz="4" w:space="0" w:color="auto"/>
              <w:left w:val="single" w:sz="4" w:space="0" w:color="auto"/>
              <w:bottom w:val="single" w:sz="4" w:space="0" w:color="auto"/>
            </w:tcBorders>
            <w:vAlign w:val="center"/>
          </w:tcPr>
          <w:p w14:paraId="7D0D9D5D"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-0.014</w:t>
            </w:r>
          </w:p>
          <w:p w14:paraId="0E5AE955"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(0.023)</w:t>
            </w:r>
          </w:p>
        </w:tc>
        <w:tc>
          <w:tcPr>
            <w:tcW w:w="368" w:type="pct"/>
            <w:tcBorders>
              <w:top w:val="single" w:sz="4" w:space="0" w:color="auto"/>
              <w:bottom w:val="single" w:sz="4" w:space="0" w:color="auto"/>
            </w:tcBorders>
            <w:vAlign w:val="center"/>
          </w:tcPr>
          <w:p w14:paraId="50B60EC3"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-2.276</w:t>
            </w:r>
          </w:p>
        </w:tc>
        <w:tc>
          <w:tcPr>
            <w:tcW w:w="379" w:type="pct"/>
            <w:tcBorders>
              <w:top w:val="single" w:sz="4" w:space="0" w:color="auto"/>
              <w:bottom w:val="single" w:sz="4" w:space="0" w:color="auto"/>
            </w:tcBorders>
            <w:vAlign w:val="center"/>
          </w:tcPr>
          <w:p w14:paraId="7361211C"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0.044</w:t>
            </w:r>
          </w:p>
          <w:p w14:paraId="704019F1"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(0.000)</w:t>
            </w:r>
          </w:p>
        </w:tc>
        <w:tc>
          <w:tcPr>
            <w:tcW w:w="368" w:type="pct"/>
            <w:tcBorders>
              <w:top w:val="single" w:sz="4" w:space="0" w:color="auto"/>
              <w:bottom w:val="single" w:sz="4" w:space="0" w:color="auto"/>
            </w:tcBorders>
            <w:vAlign w:val="center"/>
          </w:tcPr>
          <w:p w14:paraId="66302C9B"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4.362</w:t>
            </w:r>
          </w:p>
        </w:tc>
        <w:tc>
          <w:tcPr>
            <w:tcW w:w="379" w:type="pct"/>
            <w:tcBorders>
              <w:top w:val="single" w:sz="4" w:space="0" w:color="auto"/>
              <w:bottom w:val="single" w:sz="4" w:space="0" w:color="auto"/>
            </w:tcBorders>
            <w:vAlign w:val="center"/>
          </w:tcPr>
          <w:p w14:paraId="70EFCF1F" w14:textId="77777777" w:rsidR="00E40A40" w:rsidRPr="00B725B6" w:rsidRDefault="00337B39"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0.203</w:t>
            </w:r>
          </w:p>
          <w:p w14:paraId="612C3277" w14:textId="38A65907" w:rsidR="00337B39" w:rsidRPr="00B725B6" w:rsidRDefault="00337B39"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(0.000)</w:t>
            </w:r>
          </w:p>
        </w:tc>
        <w:tc>
          <w:tcPr>
            <w:tcW w:w="386" w:type="pct"/>
            <w:tcBorders>
              <w:top w:val="single" w:sz="4" w:space="0" w:color="auto"/>
              <w:bottom w:val="single" w:sz="4" w:space="0" w:color="auto"/>
            </w:tcBorders>
            <w:vAlign w:val="center"/>
          </w:tcPr>
          <w:p w14:paraId="7798D83E" w14:textId="60B24426" w:rsidR="00E40A40" w:rsidRPr="00B725B6" w:rsidRDefault="00337B39" w:rsidP="00B725B6">
            <w:pPr>
              <w:autoSpaceDE w:val="0"/>
              <w:autoSpaceDN w:val="0"/>
              <w:adjustRightInd w:val="0"/>
              <w:spacing w:line="320" w:lineRule="atLeast"/>
              <w:ind w:left="60" w:right="60"/>
              <w:jc w:val="center"/>
              <w:rPr>
                <w:rFonts w:ascii="Times New Roman" w:hAnsi="Times New Roman" w:cs="Times New Roman"/>
                <w:sz w:val="16"/>
                <w:szCs w:val="20"/>
              </w:rPr>
            </w:pPr>
            <w:r w:rsidRPr="00B725B6">
              <w:rPr>
                <w:rFonts w:ascii="Times New Roman" w:hAnsi="Times New Roman" w:cs="Times New Roman"/>
                <w:sz w:val="16"/>
                <w:szCs w:val="20"/>
              </w:rPr>
              <w:t>3.751</w:t>
            </w:r>
          </w:p>
        </w:tc>
        <w:tc>
          <w:tcPr>
            <w:tcW w:w="379" w:type="pct"/>
            <w:tcBorders>
              <w:top w:val="single" w:sz="4" w:space="0" w:color="auto"/>
              <w:bottom w:val="single" w:sz="4" w:space="0" w:color="auto"/>
            </w:tcBorders>
            <w:vAlign w:val="center"/>
          </w:tcPr>
          <w:p w14:paraId="3DACBAA2" w14:textId="77777777" w:rsidR="00E40A40" w:rsidRPr="00B725B6" w:rsidRDefault="00E40A40" w:rsidP="00B725B6">
            <w:pPr>
              <w:ind w:left="-111"/>
              <w:jc w:val="center"/>
              <w:rPr>
                <w:rFonts w:ascii="Times New Roman" w:hAnsi="Times New Roman" w:cs="Times New Roman"/>
                <w:sz w:val="16"/>
                <w:szCs w:val="20"/>
              </w:rPr>
            </w:pPr>
            <w:r w:rsidRPr="00B725B6">
              <w:rPr>
                <w:rFonts w:ascii="Times New Roman" w:hAnsi="Times New Roman" w:cs="Times New Roman"/>
                <w:sz w:val="16"/>
                <w:szCs w:val="20"/>
              </w:rPr>
              <w:t>0.049</w:t>
            </w:r>
          </w:p>
          <w:p w14:paraId="2680B949" w14:textId="77777777" w:rsidR="00E40A40" w:rsidRPr="00B725B6" w:rsidRDefault="00E40A40" w:rsidP="00B725B6">
            <w:pPr>
              <w:ind w:left="-111"/>
              <w:jc w:val="center"/>
              <w:rPr>
                <w:rFonts w:ascii="Times New Roman" w:hAnsi="Times New Roman" w:cs="Times New Roman"/>
                <w:sz w:val="16"/>
                <w:szCs w:val="20"/>
              </w:rPr>
            </w:pPr>
            <w:r w:rsidRPr="00B725B6">
              <w:rPr>
                <w:rFonts w:ascii="Times New Roman" w:hAnsi="Times New Roman" w:cs="Times New Roman"/>
                <w:sz w:val="16"/>
                <w:szCs w:val="20"/>
              </w:rPr>
              <w:t>(0.000)</w:t>
            </w:r>
          </w:p>
        </w:tc>
        <w:tc>
          <w:tcPr>
            <w:tcW w:w="368" w:type="pct"/>
            <w:tcBorders>
              <w:top w:val="single" w:sz="4" w:space="0" w:color="auto"/>
              <w:bottom w:val="single" w:sz="4" w:space="0" w:color="auto"/>
            </w:tcBorders>
            <w:vAlign w:val="center"/>
          </w:tcPr>
          <w:p w14:paraId="3350F698"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4.939</w:t>
            </w:r>
          </w:p>
        </w:tc>
        <w:tc>
          <w:tcPr>
            <w:tcW w:w="379" w:type="pct"/>
            <w:tcBorders>
              <w:top w:val="single" w:sz="4" w:space="0" w:color="auto"/>
              <w:bottom w:val="single" w:sz="4" w:space="0" w:color="auto"/>
            </w:tcBorders>
            <w:vAlign w:val="center"/>
          </w:tcPr>
          <w:p w14:paraId="4410ED3A"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-0.133</w:t>
            </w:r>
          </w:p>
          <w:p w14:paraId="586992E6"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(0.528)</w:t>
            </w:r>
          </w:p>
        </w:tc>
        <w:tc>
          <w:tcPr>
            <w:tcW w:w="408" w:type="pct"/>
            <w:tcBorders>
              <w:top w:val="single" w:sz="4" w:space="0" w:color="auto"/>
              <w:bottom w:val="single" w:sz="4" w:space="0" w:color="auto"/>
            </w:tcBorders>
            <w:vAlign w:val="center"/>
          </w:tcPr>
          <w:p w14:paraId="653570AC"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-0.636</w:t>
            </w:r>
          </w:p>
        </w:tc>
        <w:tc>
          <w:tcPr>
            <w:tcW w:w="379" w:type="pct"/>
            <w:tcBorders>
              <w:top w:val="single" w:sz="4" w:space="0" w:color="auto"/>
              <w:bottom w:val="single" w:sz="4" w:space="0" w:color="auto"/>
            </w:tcBorders>
            <w:vAlign w:val="center"/>
          </w:tcPr>
          <w:p w14:paraId="4E305EA2"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0.023</w:t>
            </w:r>
          </w:p>
          <w:p w14:paraId="30AB5920"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(0.105)</w:t>
            </w:r>
          </w:p>
        </w:tc>
        <w:tc>
          <w:tcPr>
            <w:tcW w:w="368" w:type="pct"/>
            <w:tcBorders>
              <w:top w:val="single" w:sz="4" w:space="0" w:color="auto"/>
              <w:bottom w:val="single" w:sz="4" w:space="0" w:color="auto"/>
            </w:tcBorders>
            <w:vAlign w:val="center"/>
          </w:tcPr>
          <w:p w14:paraId="3886E629"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1.634</w:t>
            </w:r>
          </w:p>
        </w:tc>
      </w:tr>
      <w:tr w:rsidR="00183267" w:rsidRPr="00B725B6" w14:paraId="5850B160" w14:textId="77777777" w:rsidTr="00215E9A">
        <w:trPr>
          <w:trHeight w:val="340"/>
          <w:jc w:val="center"/>
        </w:trPr>
        <w:tc>
          <w:tcPr>
            <w:tcW w:w="460" w:type="pct"/>
            <w:tcBorders>
              <w:top w:val="single" w:sz="4" w:space="0" w:color="auto"/>
              <w:bottom w:val="single" w:sz="4" w:space="0" w:color="auto"/>
              <w:right w:val="single" w:sz="4" w:space="0" w:color="auto"/>
            </w:tcBorders>
            <w:vAlign w:val="center"/>
          </w:tcPr>
          <w:p w14:paraId="53F7F6F0" w14:textId="3AE9DBE9" w:rsidR="00E40A40" w:rsidRPr="00B725B6" w:rsidRDefault="00E40A40" w:rsidP="00183267">
            <w:pPr>
              <w:tabs>
                <w:tab w:val="left" w:pos="4536"/>
              </w:tabs>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Risk</w:t>
            </w:r>
          </w:p>
        </w:tc>
        <w:tc>
          <w:tcPr>
            <w:tcW w:w="379" w:type="pct"/>
            <w:tcBorders>
              <w:top w:val="single" w:sz="4" w:space="0" w:color="auto"/>
              <w:left w:val="single" w:sz="4" w:space="0" w:color="auto"/>
              <w:bottom w:val="single" w:sz="4" w:space="0" w:color="auto"/>
            </w:tcBorders>
            <w:vAlign w:val="center"/>
          </w:tcPr>
          <w:p w14:paraId="6AC930F9"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0.007</w:t>
            </w:r>
          </w:p>
          <w:p w14:paraId="4368ADDA"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(0.042)</w:t>
            </w:r>
          </w:p>
        </w:tc>
        <w:tc>
          <w:tcPr>
            <w:tcW w:w="368" w:type="pct"/>
            <w:tcBorders>
              <w:top w:val="single" w:sz="4" w:space="0" w:color="auto"/>
              <w:bottom w:val="single" w:sz="4" w:space="0" w:color="auto"/>
            </w:tcBorders>
            <w:vAlign w:val="center"/>
          </w:tcPr>
          <w:p w14:paraId="21E26588"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2.037</w:t>
            </w:r>
          </w:p>
        </w:tc>
        <w:tc>
          <w:tcPr>
            <w:tcW w:w="379" w:type="pct"/>
            <w:tcBorders>
              <w:top w:val="single" w:sz="4" w:space="0" w:color="auto"/>
              <w:bottom w:val="single" w:sz="4" w:space="0" w:color="auto"/>
            </w:tcBorders>
            <w:vAlign w:val="center"/>
          </w:tcPr>
          <w:p w14:paraId="055DC403"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0.010</w:t>
            </w:r>
          </w:p>
          <w:p w14:paraId="79356401"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(0.699)</w:t>
            </w:r>
          </w:p>
        </w:tc>
        <w:tc>
          <w:tcPr>
            <w:tcW w:w="368" w:type="pct"/>
            <w:tcBorders>
              <w:top w:val="single" w:sz="4" w:space="0" w:color="auto"/>
              <w:bottom w:val="single" w:sz="4" w:space="0" w:color="auto"/>
            </w:tcBorders>
            <w:vAlign w:val="center"/>
          </w:tcPr>
          <w:p w14:paraId="104A6E0E"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0.386</w:t>
            </w:r>
          </w:p>
        </w:tc>
        <w:tc>
          <w:tcPr>
            <w:tcW w:w="379" w:type="pct"/>
            <w:tcBorders>
              <w:top w:val="single" w:sz="4" w:space="0" w:color="auto"/>
              <w:bottom w:val="single" w:sz="4" w:space="0" w:color="auto"/>
            </w:tcBorders>
            <w:vAlign w:val="center"/>
          </w:tcPr>
          <w:p w14:paraId="126CD3F3"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0.035</w:t>
            </w:r>
          </w:p>
          <w:p w14:paraId="740BC1FA"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(0.746)</w:t>
            </w:r>
          </w:p>
        </w:tc>
        <w:tc>
          <w:tcPr>
            <w:tcW w:w="386" w:type="pct"/>
            <w:tcBorders>
              <w:top w:val="single" w:sz="4" w:space="0" w:color="auto"/>
              <w:bottom w:val="single" w:sz="4" w:space="0" w:color="auto"/>
            </w:tcBorders>
            <w:vAlign w:val="center"/>
          </w:tcPr>
          <w:p w14:paraId="021D9693"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0.326</w:t>
            </w:r>
          </w:p>
        </w:tc>
        <w:tc>
          <w:tcPr>
            <w:tcW w:w="379" w:type="pct"/>
            <w:tcBorders>
              <w:top w:val="single" w:sz="4" w:space="0" w:color="auto"/>
              <w:bottom w:val="single" w:sz="4" w:space="0" w:color="auto"/>
            </w:tcBorders>
            <w:vAlign w:val="center"/>
          </w:tcPr>
          <w:p w14:paraId="44263788"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-0.029</w:t>
            </w:r>
          </w:p>
          <w:p w14:paraId="092D23BE"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(0.015)</w:t>
            </w:r>
          </w:p>
        </w:tc>
        <w:tc>
          <w:tcPr>
            <w:tcW w:w="368" w:type="pct"/>
            <w:tcBorders>
              <w:top w:val="single" w:sz="4" w:space="0" w:color="auto"/>
              <w:bottom w:val="single" w:sz="4" w:space="0" w:color="auto"/>
            </w:tcBorders>
            <w:vAlign w:val="center"/>
          </w:tcPr>
          <w:p w14:paraId="23C0F782"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-2.497</w:t>
            </w:r>
          </w:p>
        </w:tc>
        <w:tc>
          <w:tcPr>
            <w:tcW w:w="379" w:type="pct"/>
            <w:tcBorders>
              <w:top w:val="single" w:sz="4" w:space="0" w:color="auto"/>
              <w:bottom w:val="single" w:sz="4" w:space="0" w:color="auto"/>
            </w:tcBorders>
            <w:vAlign w:val="center"/>
          </w:tcPr>
          <w:p w14:paraId="3CE3F4A4"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-0.103</w:t>
            </w:r>
          </w:p>
          <w:p w14:paraId="102D1D2F"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(0.226)</w:t>
            </w:r>
          </w:p>
        </w:tc>
        <w:tc>
          <w:tcPr>
            <w:tcW w:w="408" w:type="pct"/>
            <w:tcBorders>
              <w:top w:val="single" w:sz="4" w:space="0" w:color="auto"/>
              <w:bottom w:val="single" w:sz="4" w:space="0" w:color="auto"/>
            </w:tcBorders>
            <w:vAlign w:val="center"/>
          </w:tcPr>
          <w:p w14:paraId="2DC5533D" w14:textId="77777777" w:rsidR="00E40A40" w:rsidRPr="00B725B6" w:rsidRDefault="00E40A40" w:rsidP="00B725B6">
            <w:pPr>
              <w:autoSpaceDE w:val="0"/>
              <w:autoSpaceDN w:val="0"/>
              <w:adjustRightInd w:val="0"/>
              <w:spacing w:line="320" w:lineRule="atLeast"/>
              <w:ind w:left="60" w:right="60"/>
              <w:jc w:val="center"/>
              <w:rPr>
                <w:rFonts w:ascii="Times New Roman" w:hAnsi="Times New Roman" w:cs="Times New Roman"/>
                <w:sz w:val="16"/>
                <w:szCs w:val="20"/>
              </w:rPr>
            </w:pPr>
            <w:r w:rsidRPr="00B725B6">
              <w:rPr>
                <w:rFonts w:ascii="Times New Roman" w:hAnsi="Times New Roman" w:cs="Times New Roman"/>
                <w:sz w:val="16"/>
                <w:szCs w:val="20"/>
              </w:rPr>
              <w:t>-1.226</w:t>
            </w:r>
          </w:p>
        </w:tc>
        <w:tc>
          <w:tcPr>
            <w:tcW w:w="379" w:type="pct"/>
            <w:tcBorders>
              <w:top w:val="single" w:sz="4" w:space="0" w:color="auto"/>
              <w:bottom w:val="single" w:sz="4" w:space="0" w:color="auto"/>
            </w:tcBorders>
            <w:vAlign w:val="center"/>
          </w:tcPr>
          <w:p w14:paraId="061729B9"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-0.006</w:t>
            </w:r>
          </w:p>
          <w:p w14:paraId="41A85A86"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(0.203)</w:t>
            </w:r>
          </w:p>
        </w:tc>
        <w:tc>
          <w:tcPr>
            <w:tcW w:w="368" w:type="pct"/>
            <w:tcBorders>
              <w:top w:val="single" w:sz="4" w:space="0" w:color="auto"/>
              <w:bottom w:val="single" w:sz="4" w:space="0" w:color="auto"/>
            </w:tcBorders>
            <w:vAlign w:val="center"/>
          </w:tcPr>
          <w:p w14:paraId="72A5A8FC"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-1.281</w:t>
            </w:r>
          </w:p>
        </w:tc>
      </w:tr>
      <w:tr w:rsidR="00183267" w:rsidRPr="00B725B6" w14:paraId="302E8628" w14:textId="77777777" w:rsidTr="00215E9A">
        <w:trPr>
          <w:trHeight w:val="340"/>
          <w:jc w:val="center"/>
        </w:trPr>
        <w:tc>
          <w:tcPr>
            <w:tcW w:w="460" w:type="pct"/>
            <w:tcBorders>
              <w:top w:val="single" w:sz="4" w:space="0" w:color="auto"/>
              <w:bottom w:val="single" w:sz="4" w:space="0" w:color="auto"/>
              <w:right w:val="single" w:sz="4" w:space="0" w:color="auto"/>
            </w:tcBorders>
            <w:vAlign w:val="center"/>
          </w:tcPr>
          <w:p w14:paraId="2AB18405" w14:textId="77777777" w:rsidR="00E40A40" w:rsidRPr="00B725B6" w:rsidRDefault="00E40A40" w:rsidP="00183267">
            <w:pPr>
              <w:tabs>
                <w:tab w:val="left" w:pos="4536"/>
              </w:tabs>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Size</w:t>
            </w:r>
          </w:p>
        </w:tc>
        <w:tc>
          <w:tcPr>
            <w:tcW w:w="379" w:type="pct"/>
            <w:tcBorders>
              <w:top w:val="single" w:sz="4" w:space="0" w:color="auto"/>
              <w:left w:val="single" w:sz="4" w:space="0" w:color="auto"/>
              <w:bottom w:val="single" w:sz="4" w:space="0" w:color="auto"/>
            </w:tcBorders>
            <w:vAlign w:val="center"/>
          </w:tcPr>
          <w:p w14:paraId="77228CFA"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0.008</w:t>
            </w:r>
          </w:p>
          <w:p w14:paraId="038758DF"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(0.074)</w:t>
            </w:r>
          </w:p>
        </w:tc>
        <w:tc>
          <w:tcPr>
            <w:tcW w:w="368" w:type="pct"/>
            <w:tcBorders>
              <w:top w:val="single" w:sz="4" w:space="0" w:color="auto"/>
              <w:bottom w:val="single" w:sz="4" w:space="0" w:color="auto"/>
            </w:tcBorders>
            <w:vAlign w:val="center"/>
          </w:tcPr>
          <w:p w14:paraId="7A6914D6"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1.787</w:t>
            </w:r>
          </w:p>
        </w:tc>
        <w:tc>
          <w:tcPr>
            <w:tcW w:w="379" w:type="pct"/>
            <w:tcBorders>
              <w:top w:val="single" w:sz="4" w:space="0" w:color="auto"/>
              <w:bottom w:val="single" w:sz="4" w:space="0" w:color="auto"/>
            </w:tcBorders>
            <w:vAlign w:val="center"/>
          </w:tcPr>
          <w:p w14:paraId="2C514DEE"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-0.029</w:t>
            </w:r>
          </w:p>
          <w:p w14:paraId="4627646C"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(0.000)</w:t>
            </w:r>
          </w:p>
        </w:tc>
        <w:tc>
          <w:tcPr>
            <w:tcW w:w="368" w:type="pct"/>
            <w:tcBorders>
              <w:top w:val="single" w:sz="4" w:space="0" w:color="auto"/>
              <w:bottom w:val="single" w:sz="4" w:space="0" w:color="auto"/>
            </w:tcBorders>
            <w:vAlign w:val="center"/>
          </w:tcPr>
          <w:p w14:paraId="70446F94"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-3.591</w:t>
            </w:r>
          </w:p>
        </w:tc>
        <w:tc>
          <w:tcPr>
            <w:tcW w:w="379" w:type="pct"/>
            <w:tcBorders>
              <w:top w:val="single" w:sz="4" w:space="0" w:color="auto"/>
              <w:bottom w:val="single" w:sz="4" w:space="0" w:color="auto"/>
            </w:tcBorders>
            <w:vAlign w:val="center"/>
          </w:tcPr>
          <w:p w14:paraId="0C7973A2" w14:textId="77777777" w:rsidR="00E40A40" w:rsidRPr="00B725B6" w:rsidRDefault="00E40A40" w:rsidP="00B725B6">
            <w:pPr>
              <w:tabs>
                <w:tab w:val="left" w:pos="4536"/>
              </w:tabs>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-0.015</w:t>
            </w:r>
          </w:p>
          <w:p w14:paraId="2A55D2DD" w14:textId="77777777" w:rsidR="00E40A40" w:rsidRPr="00B725B6" w:rsidRDefault="00E40A40" w:rsidP="00B725B6">
            <w:pPr>
              <w:tabs>
                <w:tab w:val="left" w:pos="4536"/>
              </w:tabs>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(0.000)</w:t>
            </w:r>
          </w:p>
        </w:tc>
        <w:tc>
          <w:tcPr>
            <w:tcW w:w="386" w:type="pct"/>
            <w:tcBorders>
              <w:top w:val="single" w:sz="4" w:space="0" w:color="auto"/>
              <w:bottom w:val="single" w:sz="4" w:space="0" w:color="auto"/>
            </w:tcBorders>
            <w:vAlign w:val="center"/>
          </w:tcPr>
          <w:p w14:paraId="398726ED"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-3.896</w:t>
            </w:r>
          </w:p>
        </w:tc>
        <w:tc>
          <w:tcPr>
            <w:tcW w:w="379" w:type="pct"/>
            <w:tcBorders>
              <w:top w:val="single" w:sz="4" w:space="0" w:color="auto"/>
              <w:bottom w:val="single" w:sz="4" w:space="0" w:color="auto"/>
            </w:tcBorders>
            <w:vAlign w:val="center"/>
          </w:tcPr>
          <w:p w14:paraId="10ED263F"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-0.024</w:t>
            </w:r>
          </w:p>
          <w:p w14:paraId="74E0F1AF"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(0.000)</w:t>
            </w:r>
          </w:p>
        </w:tc>
        <w:tc>
          <w:tcPr>
            <w:tcW w:w="368" w:type="pct"/>
            <w:tcBorders>
              <w:top w:val="single" w:sz="4" w:space="0" w:color="auto"/>
              <w:bottom w:val="single" w:sz="4" w:space="0" w:color="auto"/>
            </w:tcBorders>
            <w:vAlign w:val="center"/>
          </w:tcPr>
          <w:p w14:paraId="74A4CC9E"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-3.978</w:t>
            </w:r>
          </w:p>
        </w:tc>
        <w:tc>
          <w:tcPr>
            <w:tcW w:w="379" w:type="pct"/>
            <w:tcBorders>
              <w:top w:val="single" w:sz="4" w:space="0" w:color="auto"/>
              <w:bottom w:val="single" w:sz="4" w:space="0" w:color="auto"/>
            </w:tcBorders>
            <w:vAlign w:val="center"/>
          </w:tcPr>
          <w:p w14:paraId="714AC7F3"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0.280</w:t>
            </w:r>
          </w:p>
          <w:p w14:paraId="5CE5AD89"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(0.126)</w:t>
            </w:r>
          </w:p>
        </w:tc>
        <w:tc>
          <w:tcPr>
            <w:tcW w:w="408" w:type="pct"/>
            <w:tcBorders>
              <w:top w:val="single" w:sz="4" w:space="0" w:color="auto"/>
              <w:bottom w:val="single" w:sz="4" w:space="0" w:color="auto"/>
            </w:tcBorders>
            <w:vAlign w:val="center"/>
          </w:tcPr>
          <w:p w14:paraId="723F4F23"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1.555</w:t>
            </w:r>
          </w:p>
        </w:tc>
        <w:tc>
          <w:tcPr>
            <w:tcW w:w="379" w:type="pct"/>
            <w:tcBorders>
              <w:top w:val="single" w:sz="4" w:space="0" w:color="auto"/>
              <w:bottom w:val="single" w:sz="4" w:space="0" w:color="auto"/>
            </w:tcBorders>
            <w:vAlign w:val="center"/>
          </w:tcPr>
          <w:p w14:paraId="01CBE0EA"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0.012</w:t>
            </w:r>
          </w:p>
          <w:p w14:paraId="05801367"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(0.190)</w:t>
            </w:r>
          </w:p>
        </w:tc>
        <w:tc>
          <w:tcPr>
            <w:tcW w:w="368" w:type="pct"/>
            <w:tcBorders>
              <w:top w:val="single" w:sz="4" w:space="0" w:color="auto"/>
              <w:bottom w:val="single" w:sz="4" w:space="0" w:color="auto"/>
            </w:tcBorders>
            <w:vAlign w:val="center"/>
          </w:tcPr>
          <w:p w14:paraId="1D751836" w14:textId="77777777" w:rsidR="00E40A40" w:rsidRPr="00B725B6" w:rsidRDefault="00E40A40" w:rsidP="00B725B6">
            <w:pPr>
              <w:jc w:val="center"/>
              <w:rPr>
                <w:rFonts w:ascii="Times New Roman" w:hAnsi="Times New Roman" w:cs="Times New Roman"/>
                <w:sz w:val="16"/>
                <w:szCs w:val="20"/>
              </w:rPr>
            </w:pPr>
            <w:r w:rsidRPr="00B725B6">
              <w:rPr>
                <w:rFonts w:ascii="Times New Roman" w:hAnsi="Times New Roman" w:cs="Times New Roman"/>
                <w:sz w:val="16"/>
                <w:szCs w:val="20"/>
              </w:rPr>
              <w:t>1.318</w:t>
            </w:r>
          </w:p>
        </w:tc>
      </w:tr>
      <w:tr w:rsidR="007F15D8" w:rsidRPr="00B725B6" w14:paraId="2F263170" w14:textId="77777777" w:rsidTr="00215E9A">
        <w:trPr>
          <w:trHeight w:val="340"/>
          <w:jc w:val="center"/>
        </w:trPr>
        <w:tc>
          <w:tcPr>
            <w:tcW w:w="460" w:type="pct"/>
            <w:tcBorders>
              <w:top w:val="single" w:sz="4" w:space="0" w:color="auto"/>
              <w:bottom w:val="single" w:sz="4" w:space="0" w:color="auto"/>
              <w:right w:val="single" w:sz="4" w:space="0" w:color="auto"/>
            </w:tcBorders>
            <w:vAlign w:val="center"/>
          </w:tcPr>
          <w:p w14:paraId="03DD801E" w14:textId="77777777" w:rsidR="00E40A40" w:rsidRPr="00B725B6" w:rsidRDefault="00E40A40" w:rsidP="00183267">
            <w:pPr>
              <w:tabs>
                <w:tab w:val="left" w:pos="4536"/>
              </w:tabs>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R (Model)</w:t>
            </w:r>
          </w:p>
        </w:tc>
        <w:tc>
          <w:tcPr>
            <w:tcW w:w="747" w:type="pct"/>
            <w:gridSpan w:val="2"/>
            <w:tcBorders>
              <w:top w:val="single" w:sz="4" w:space="0" w:color="auto"/>
              <w:left w:val="single" w:sz="4" w:space="0" w:color="auto"/>
              <w:bottom w:val="single" w:sz="4" w:space="0" w:color="auto"/>
            </w:tcBorders>
            <w:vAlign w:val="center"/>
          </w:tcPr>
          <w:p w14:paraId="6388B6FB" w14:textId="6B1EA1A2"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0.175</w:t>
            </w:r>
            <w:r w:rsidR="00FD4287" w:rsidRPr="00B725B6">
              <w:rPr>
                <w:rFonts w:ascii="Times New Roman" w:hAnsi="Times New Roman" w:cs="Times New Roman"/>
                <w:sz w:val="16"/>
                <w:szCs w:val="20"/>
              </w:rPr>
              <w:t>**</w:t>
            </w:r>
          </w:p>
        </w:tc>
        <w:tc>
          <w:tcPr>
            <w:tcW w:w="747" w:type="pct"/>
            <w:gridSpan w:val="2"/>
            <w:tcBorders>
              <w:top w:val="single" w:sz="4" w:space="0" w:color="auto"/>
              <w:bottom w:val="single" w:sz="4" w:space="0" w:color="auto"/>
            </w:tcBorders>
            <w:vAlign w:val="center"/>
          </w:tcPr>
          <w:p w14:paraId="0EE0A699" w14:textId="112BB286"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0.241</w:t>
            </w:r>
            <w:r w:rsidR="00FD4287" w:rsidRPr="00B725B6">
              <w:rPr>
                <w:rFonts w:ascii="Times New Roman" w:hAnsi="Times New Roman" w:cs="Times New Roman"/>
                <w:sz w:val="16"/>
                <w:szCs w:val="20"/>
              </w:rPr>
              <w:t>**</w:t>
            </w:r>
          </w:p>
        </w:tc>
        <w:tc>
          <w:tcPr>
            <w:tcW w:w="764" w:type="pct"/>
            <w:gridSpan w:val="2"/>
            <w:tcBorders>
              <w:top w:val="single" w:sz="4" w:space="0" w:color="auto"/>
              <w:bottom w:val="single" w:sz="4" w:space="0" w:color="auto"/>
            </w:tcBorders>
            <w:vAlign w:val="center"/>
          </w:tcPr>
          <w:p w14:paraId="5B63EA7C" w14:textId="546C7D18"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0.415</w:t>
            </w:r>
            <w:r w:rsidR="00FD4287" w:rsidRPr="00B725B6">
              <w:rPr>
                <w:rFonts w:ascii="Times New Roman" w:hAnsi="Times New Roman" w:cs="Times New Roman"/>
                <w:sz w:val="16"/>
                <w:szCs w:val="20"/>
              </w:rPr>
              <w:t>**</w:t>
            </w:r>
          </w:p>
        </w:tc>
        <w:tc>
          <w:tcPr>
            <w:tcW w:w="748" w:type="pct"/>
            <w:gridSpan w:val="2"/>
            <w:tcBorders>
              <w:top w:val="single" w:sz="4" w:space="0" w:color="auto"/>
              <w:bottom w:val="single" w:sz="4" w:space="0" w:color="auto"/>
            </w:tcBorders>
            <w:vAlign w:val="center"/>
          </w:tcPr>
          <w:p w14:paraId="23278C03" w14:textId="6107E752"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0.614</w:t>
            </w:r>
            <w:r w:rsidR="00FD4287" w:rsidRPr="00B725B6">
              <w:rPr>
                <w:rFonts w:ascii="Times New Roman" w:hAnsi="Times New Roman" w:cs="Times New Roman"/>
                <w:sz w:val="16"/>
                <w:szCs w:val="20"/>
              </w:rPr>
              <w:t>**</w:t>
            </w:r>
          </w:p>
        </w:tc>
        <w:tc>
          <w:tcPr>
            <w:tcW w:w="787" w:type="pct"/>
            <w:gridSpan w:val="2"/>
            <w:tcBorders>
              <w:top w:val="single" w:sz="4" w:space="0" w:color="auto"/>
              <w:bottom w:val="single" w:sz="4" w:space="0" w:color="auto"/>
            </w:tcBorders>
            <w:vAlign w:val="center"/>
          </w:tcPr>
          <w:p w14:paraId="3F331752" w14:textId="07421A52"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0.557</w:t>
            </w:r>
            <w:r w:rsidR="00FD4287" w:rsidRPr="00B725B6">
              <w:rPr>
                <w:rFonts w:ascii="Times New Roman" w:hAnsi="Times New Roman" w:cs="Times New Roman"/>
                <w:sz w:val="16"/>
                <w:szCs w:val="20"/>
              </w:rPr>
              <w:t>**</w:t>
            </w:r>
          </w:p>
        </w:tc>
        <w:tc>
          <w:tcPr>
            <w:tcW w:w="748" w:type="pct"/>
            <w:gridSpan w:val="2"/>
            <w:tcBorders>
              <w:top w:val="single" w:sz="4" w:space="0" w:color="auto"/>
              <w:bottom w:val="single" w:sz="4" w:space="0" w:color="auto"/>
            </w:tcBorders>
            <w:vAlign w:val="center"/>
          </w:tcPr>
          <w:p w14:paraId="26128287"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0.278</w:t>
            </w:r>
          </w:p>
        </w:tc>
      </w:tr>
      <w:tr w:rsidR="007F15D8" w:rsidRPr="00B725B6" w14:paraId="4BA65863" w14:textId="77777777" w:rsidTr="00215E9A">
        <w:trPr>
          <w:trHeight w:val="340"/>
          <w:jc w:val="center"/>
        </w:trPr>
        <w:tc>
          <w:tcPr>
            <w:tcW w:w="460" w:type="pct"/>
            <w:tcBorders>
              <w:top w:val="single" w:sz="4" w:space="0" w:color="auto"/>
              <w:bottom w:val="single" w:sz="4" w:space="0" w:color="auto"/>
              <w:right w:val="single" w:sz="4" w:space="0" w:color="auto"/>
            </w:tcBorders>
            <w:vAlign w:val="center"/>
          </w:tcPr>
          <w:p w14:paraId="67435899" w14:textId="77777777" w:rsidR="00E40A40" w:rsidRPr="00B725B6" w:rsidRDefault="00E40A40" w:rsidP="00183267">
            <w:pPr>
              <w:tabs>
                <w:tab w:val="left" w:pos="4536"/>
              </w:tabs>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R</w:t>
            </w:r>
            <w:r w:rsidRPr="00B725B6">
              <w:rPr>
                <w:rFonts w:ascii="Times New Roman" w:hAnsi="Times New Roman" w:cs="Times New Roman"/>
                <w:sz w:val="16"/>
                <w:szCs w:val="20"/>
                <w:vertAlign w:val="superscript"/>
              </w:rPr>
              <w:t>2</w:t>
            </w:r>
          </w:p>
        </w:tc>
        <w:tc>
          <w:tcPr>
            <w:tcW w:w="747" w:type="pct"/>
            <w:gridSpan w:val="2"/>
            <w:tcBorders>
              <w:top w:val="single" w:sz="4" w:space="0" w:color="auto"/>
              <w:left w:val="single" w:sz="4" w:space="0" w:color="auto"/>
              <w:bottom w:val="single" w:sz="4" w:space="0" w:color="auto"/>
            </w:tcBorders>
            <w:vAlign w:val="center"/>
          </w:tcPr>
          <w:p w14:paraId="1DAAC74A"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0.031</w:t>
            </w:r>
          </w:p>
        </w:tc>
        <w:tc>
          <w:tcPr>
            <w:tcW w:w="747" w:type="pct"/>
            <w:gridSpan w:val="2"/>
            <w:tcBorders>
              <w:top w:val="single" w:sz="4" w:space="0" w:color="auto"/>
              <w:bottom w:val="single" w:sz="4" w:space="0" w:color="auto"/>
            </w:tcBorders>
            <w:vAlign w:val="center"/>
          </w:tcPr>
          <w:p w14:paraId="3BAC3654"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0.058</w:t>
            </w:r>
          </w:p>
        </w:tc>
        <w:tc>
          <w:tcPr>
            <w:tcW w:w="764" w:type="pct"/>
            <w:gridSpan w:val="2"/>
            <w:tcBorders>
              <w:top w:val="single" w:sz="4" w:space="0" w:color="auto"/>
              <w:bottom w:val="single" w:sz="4" w:space="0" w:color="auto"/>
            </w:tcBorders>
            <w:vAlign w:val="center"/>
          </w:tcPr>
          <w:p w14:paraId="58AD0330"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0.173</w:t>
            </w:r>
          </w:p>
        </w:tc>
        <w:tc>
          <w:tcPr>
            <w:tcW w:w="748" w:type="pct"/>
            <w:gridSpan w:val="2"/>
            <w:tcBorders>
              <w:top w:val="single" w:sz="4" w:space="0" w:color="auto"/>
              <w:bottom w:val="single" w:sz="4" w:space="0" w:color="auto"/>
            </w:tcBorders>
            <w:vAlign w:val="center"/>
          </w:tcPr>
          <w:p w14:paraId="00603E01"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0.378</w:t>
            </w:r>
          </w:p>
        </w:tc>
        <w:tc>
          <w:tcPr>
            <w:tcW w:w="787" w:type="pct"/>
            <w:gridSpan w:val="2"/>
            <w:tcBorders>
              <w:top w:val="single" w:sz="4" w:space="0" w:color="auto"/>
              <w:bottom w:val="single" w:sz="4" w:space="0" w:color="auto"/>
            </w:tcBorders>
            <w:vAlign w:val="center"/>
          </w:tcPr>
          <w:p w14:paraId="07375F9E"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0.310</w:t>
            </w:r>
          </w:p>
        </w:tc>
        <w:tc>
          <w:tcPr>
            <w:tcW w:w="748" w:type="pct"/>
            <w:gridSpan w:val="2"/>
            <w:tcBorders>
              <w:top w:val="single" w:sz="4" w:space="0" w:color="auto"/>
              <w:bottom w:val="single" w:sz="4" w:space="0" w:color="auto"/>
            </w:tcBorders>
            <w:vAlign w:val="center"/>
          </w:tcPr>
          <w:p w14:paraId="725BED2A"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0.076</w:t>
            </w:r>
          </w:p>
        </w:tc>
      </w:tr>
      <w:tr w:rsidR="007F15D8" w:rsidRPr="00B725B6" w14:paraId="5BE80108" w14:textId="77777777" w:rsidTr="00215E9A">
        <w:trPr>
          <w:trHeight w:val="340"/>
          <w:jc w:val="center"/>
        </w:trPr>
        <w:tc>
          <w:tcPr>
            <w:tcW w:w="460" w:type="pct"/>
            <w:tcBorders>
              <w:top w:val="single" w:sz="4" w:space="0" w:color="auto"/>
              <w:bottom w:val="single" w:sz="4" w:space="0" w:color="auto"/>
              <w:right w:val="single" w:sz="4" w:space="0" w:color="auto"/>
            </w:tcBorders>
            <w:vAlign w:val="center"/>
          </w:tcPr>
          <w:p w14:paraId="4799AD80" w14:textId="77777777" w:rsidR="00E40A40" w:rsidRPr="00B725B6" w:rsidRDefault="00E40A40" w:rsidP="00183267">
            <w:pPr>
              <w:tabs>
                <w:tab w:val="left" w:pos="4536"/>
              </w:tabs>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F-value</w:t>
            </w:r>
          </w:p>
        </w:tc>
        <w:tc>
          <w:tcPr>
            <w:tcW w:w="747" w:type="pct"/>
            <w:gridSpan w:val="2"/>
            <w:tcBorders>
              <w:top w:val="single" w:sz="4" w:space="0" w:color="auto"/>
              <w:left w:val="single" w:sz="4" w:space="0" w:color="auto"/>
              <w:bottom w:val="single" w:sz="4" w:space="0" w:color="auto"/>
            </w:tcBorders>
            <w:vAlign w:val="center"/>
          </w:tcPr>
          <w:p w14:paraId="6DA1D1AD"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5.557</w:t>
            </w:r>
          </w:p>
        </w:tc>
        <w:tc>
          <w:tcPr>
            <w:tcW w:w="747" w:type="pct"/>
            <w:gridSpan w:val="2"/>
            <w:tcBorders>
              <w:top w:val="single" w:sz="4" w:space="0" w:color="auto"/>
              <w:bottom w:val="single" w:sz="4" w:space="0" w:color="auto"/>
            </w:tcBorders>
            <w:vAlign w:val="center"/>
          </w:tcPr>
          <w:p w14:paraId="73F5D34E"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9.850</w:t>
            </w:r>
          </w:p>
        </w:tc>
        <w:tc>
          <w:tcPr>
            <w:tcW w:w="764" w:type="pct"/>
            <w:gridSpan w:val="2"/>
            <w:tcBorders>
              <w:top w:val="single" w:sz="4" w:space="0" w:color="auto"/>
              <w:bottom w:val="single" w:sz="4" w:space="0" w:color="auto"/>
            </w:tcBorders>
            <w:vAlign w:val="center"/>
          </w:tcPr>
          <w:p w14:paraId="38B8421C"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5.144</w:t>
            </w:r>
          </w:p>
        </w:tc>
        <w:tc>
          <w:tcPr>
            <w:tcW w:w="748" w:type="pct"/>
            <w:gridSpan w:val="2"/>
            <w:tcBorders>
              <w:top w:val="single" w:sz="4" w:space="0" w:color="auto"/>
              <w:bottom w:val="single" w:sz="4" w:space="0" w:color="auto"/>
            </w:tcBorders>
            <w:vAlign w:val="center"/>
          </w:tcPr>
          <w:p w14:paraId="0FCCFFDF"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10.461</w:t>
            </w:r>
          </w:p>
        </w:tc>
        <w:tc>
          <w:tcPr>
            <w:tcW w:w="787" w:type="pct"/>
            <w:gridSpan w:val="2"/>
            <w:tcBorders>
              <w:top w:val="single" w:sz="4" w:space="0" w:color="auto"/>
              <w:bottom w:val="single" w:sz="4" w:space="0" w:color="auto"/>
            </w:tcBorders>
            <w:vAlign w:val="center"/>
          </w:tcPr>
          <w:p w14:paraId="4680BD5E"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5.505</w:t>
            </w:r>
          </w:p>
        </w:tc>
        <w:tc>
          <w:tcPr>
            <w:tcW w:w="748" w:type="pct"/>
            <w:gridSpan w:val="2"/>
            <w:tcBorders>
              <w:top w:val="single" w:sz="4" w:space="0" w:color="auto"/>
              <w:bottom w:val="single" w:sz="4" w:space="0" w:color="auto"/>
            </w:tcBorders>
            <w:vAlign w:val="center"/>
          </w:tcPr>
          <w:p w14:paraId="53ED9132"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2.357</w:t>
            </w:r>
          </w:p>
        </w:tc>
      </w:tr>
      <w:tr w:rsidR="007F15D8" w:rsidRPr="00B725B6" w14:paraId="504C3A45" w14:textId="77777777" w:rsidTr="00215E9A">
        <w:trPr>
          <w:trHeight w:val="340"/>
          <w:jc w:val="center"/>
        </w:trPr>
        <w:tc>
          <w:tcPr>
            <w:tcW w:w="460" w:type="pct"/>
            <w:tcBorders>
              <w:top w:val="single" w:sz="4" w:space="0" w:color="auto"/>
              <w:bottom w:val="single" w:sz="4" w:space="0" w:color="auto"/>
              <w:right w:val="single" w:sz="4" w:space="0" w:color="auto"/>
            </w:tcBorders>
            <w:vAlign w:val="center"/>
          </w:tcPr>
          <w:p w14:paraId="6E7C6FE3" w14:textId="77777777" w:rsidR="00E40A40" w:rsidRPr="00B725B6" w:rsidRDefault="00E40A40" w:rsidP="00183267">
            <w:pPr>
              <w:tabs>
                <w:tab w:val="left" w:pos="4536"/>
              </w:tabs>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Sig.</w:t>
            </w:r>
          </w:p>
        </w:tc>
        <w:tc>
          <w:tcPr>
            <w:tcW w:w="747" w:type="pct"/>
            <w:gridSpan w:val="2"/>
            <w:tcBorders>
              <w:top w:val="single" w:sz="4" w:space="0" w:color="auto"/>
              <w:left w:val="single" w:sz="4" w:space="0" w:color="auto"/>
              <w:bottom w:val="single" w:sz="4" w:space="0" w:color="auto"/>
            </w:tcBorders>
            <w:vAlign w:val="center"/>
          </w:tcPr>
          <w:p w14:paraId="36DD4B74"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0.000</w:t>
            </w:r>
          </w:p>
        </w:tc>
        <w:tc>
          <w:tcPr>
            <w:tcW w:w="747" w:type="pct"/>
            <w:gridSpan w:val="2"/>
            <w:tcBorders>
              <w:top w:val="single" w:sz="4" w:space="0" w:color="auto"/>
              <w:bottom w:val="single" w:sz="4" w:space="0" w:color="auto"/>
            </w:tcBorders>
            <w:vAlign w:val="center"/>
          </w:tcPr>
          <w:p w14:paraId="62A481DF"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0.000</w:t>
            </w:r>
          </w:p>
        </w:tc>
        <w:tc>
          <w:tcPr>
            <w:tcW w:w="764" w:type="pct"/>
            <w:gridSpan w:val="2"/>
            <w:tcBorders>
              <w:top w:val="single" w:sz="4" w:space="0" w:color="auto"/>
              <w:bottom w:val="single" w:sz="4" w:space="0" w:color="auto"/>
            </w:tcBorders>
            <w:vAlign w:val="center"/>
          </w:tcPr>
          <w:p w14:paraId="5C1734F5"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0.003</w:t>
            </w:r>
          </w:p>
        </w:tc>
        <w:tc>
          <w:tcPr>
            <w:tcW w:w="748" w:type="pct"/>
            <w:gridSpan w:val="2"/>
            <w:tcBorders>
              <w:top w:val="single" w:sz="4" w:space="0" w:color="auto"/>
              <w:bottom w:val="single" w:sz="4" w:space="0" w:color="auto"/>
            </w:tcBorders>
            <w:vAlign w:val="center"/>
          </w:tcPr>
          <w:p w14:paraId="015778E5"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0.000</w:t>
            </w:r>
          </w:p>
        </w:tc>
        <w:tc>
          <w:tcPr>
            <w:tcW w:w="787" w:type="pct"/>
            <w:gridSpan w:val="2"/>
            <w:tcBorders>
              <w:top w:val="single" w:sz="4" w:space="0" w:color="auto"/>
              <w:bottom w:val="single" w:sz="4" w:space="0" w:color="auto"/>
            </w:tcBorders>
            <w:vAlign w:val="center"/>
          </w:tcPr>
          <w:p w14:paraId="13C58D29"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0.001</w:t>
            </w:r>
          </w:p>
        </w:tc>
        <w:tc>
          <w:tcPr>
            <w:tcW w:w="748" w:type="pct"/>
            <w:gridSpan w:val="2"/>
            <w:tcBorders>
              <w:top w:val="single" w:sz="4" w:space="0" w:color="auto"/>
              <w:bottom w:val="single" w:sz="4" w:space="0" w:color="auto"/>
            </w:tcBorders>
            <w:vAlign w:val="center"/>
          </w:tcPr>
          <w:p w14:paraId="1CC51891" w14:textId="77777777" w:rsidR="00E40A40" w:rsidRPr="00B725B6" w:rsidRDefault="00E40A40" w:rsidP="00B725B6">
            <w:pPr>
              <w:autoSpaceDE w:val="0"/>
              <w:autoSpaceDN w:val="0"/>
              <w:adjustRightInd w:val="0"/>
              <w:jc w:val="center"/>
              <w:rPr>
                <w:rFonts w:ascii="Times New Roman" w:hAnsi="Times New Roman" w:cs="Times New Roman"/>
                <w:sz w:val="16"/>
                <w:szCs w:val="20"/>
              </w:rPr>
            </w:pPr>
            <w:r w:rsidRPr="00B725B6">
              <w:rPr>
                <w:rFonts w:ascii="Times New Roman" w:hAnsi="Times New Roman" w:cs="Times New Roman"/>
                <w:sz w:val="16"/>
                <w:szCs w:val="20"/>
              </w:rPr>
              <w:t>0.058</w:t>
            </w:r>
          </w:p>
        </w:tc>
      </w:tr>
    </w:tbl>
    <w:p w14:paraId="0DF873FD" w14:textId="7A89BF35" w:rsidR="00FD4287" w:rsidRPr="00A152B0" w:rsidRDefault="00215E9A" w:rsidP="00B0497C">
      <w:pPr>
        <w:autoSpaceDE w:val="0"/>
        <w:autoSpaceDN w:val="0"/>
        <w:adjustRightInd w:val="0"/>
        <w:snapToGrid w:val="0"/>
        <w:spacing w:after="0" w:line="360" w:lineRule="exact"/>
        <w:rPr>
          <w:rFonts w:asciiTheme="majorBidi" w:hAnsiTheme="majorBidi" w:cstheme="majorBidi"/>
          <w:szCs w:val="16"/>
        </w:rPr>
      </w:pPr>
      <w:r w:rsidRPr="00215E9A">
        <w:rPr>
          <w:rFonts w:asciiTheme="majorBidi" w:hAnsiTheme="majorBidi" w:cstheme="majorBidi"/>
          <w:i/>
          <w:szCs w:val="24"/>
        </w:rPr>
        <w:t>Note.</w:t>
      </w:r>
      <w:r>
        <w:rPr>
          <w:rFonts w:asciiTheme="majorBidi" w:hAnsiTheme="majorBidi" w:cstheme="majorBidi"/>
          <w:i/>
          <w:szCs w:val="24"/>
        </w:rPr>
        <w:t xml:space="preserve"> </w:t>
      </w:r>
      <w:r w:rsidR="00FD4287" w:rsidRPr="00A152B0">
        <w:rPr>
          <w:rFonts w:asciiTheme="majorBidi" w:hAnsiTheme="majorBidi" w:cstheme="majorBidi"/>
          <w:szCs w:val="16"/>
        </w:rPr>
        <w:t>**Correlation is significant at the 0.01 level (2-tailed).</w:t>
      </w:r>
    </w:p>
    <w:p w14:paraId="0F866D3B" w14:textId="688CCF56" w:rsidR="00FD4287" w:rsidRPr="00A152B0" w:rsidRDefault="00FD4287" w:rsidP="00B0497C">
      <w:pPr>
        <w:autoSpaceDE w:val="0"/>
        <w:autoSpaceDN w:val="0"/>
        <w:adjustRightInd w:val="0"/>
        <w:snapToGrid w:val="0"/>
        <w:spacing w:after="0" w:line="360" w:lineRule="exact"/>
        <w:rPr>
          <w:rFonts w:asciiTheme="majorBidi" w:hAnsiTheme="majorBidi" w:cstheme="majorBidi"/>
          <w:szCs w:val="16"/>
        </w:rPr>
      </w:pPr>
      <w:r w:rsidRPr="00A152B0">
        <w:rPr>
          <w:rFonts w:asciiTheme="majorBidi" w:hAnsiTheme="majorBidi" w:cstheme="majorBidi"/>
          <w:szCs w:val="16"/>
        </w:rPr>
        <w:t>*Correlation is significant at the 0.05 level (2-tailed).</w:t>
      </w:r>
    </w:p>
    <w:p w14:paraId="7CFB17A4" w14:textId="77777777" w:rsidR="008F6813" w:rsidRPr="007F15D8" w:rsidRDefault="008F6813" w:rsidP="00B0497C">
      <w:pPr>
        <w:autoSpaceDE w:val="0"/>
        <w:autoSpaceDN w:val="0"/>
        <w:adjustRightInd w:val="0"/>
        <w:snapToGrid w:val="0"/>
        <w:spacing w:after="0" w:line="360" w:lineRule="exact"/>
        <w:rPr>
          <w:rFonts w:asciiTheme="majorBidi" w:hAnsiTheme="majorBidi" w:cstheme="majorBidi"/>
          <w:sz w:val="16"/>
          <w:szCs w:val="16"/>
        </w:rPr>
      </w:pPr>
    </w:p>
    <w:p w14:paraId="1C7EAF41" w14:textId="322EE392" w:rsidR="005B257E" w:rsidRPr="007F15D8" w:rsidRDefault="005B257E" w:rsidP="00B0497C">
      <w:pPr>
        <w:autoSpaceDE w:val="0"/>
        <w:autoSpaceDN w:val="0"/>
        <w:adjustRightInd w:val="0"/>
        <w:snapToGrid w:val="0"/>
        <w:spacing w:after="0" w:line="360" w:lineRule="exact"/>
        <w:ind w:firstLine="510"/>
        <w:jc w:val="both"/>
        <w:rPr>
          <w:rFonts w:ascii="Times New Roman" w:hAnsi="Times New Roman"/>
          <w:sz w:val="26"/>
        </w:rPr>
      </w:pPr>
      <w:r w:rsidRPr="007F15D8">
        <w:rPr>
          <w:rFonts w:ascii="Times New Roman" w:hAnsi="Times New Roman"/>
          <w:sz w:val="26"/>
        </w:rPr>
        <w:t xml:space="preserve">Table </w:t>
      </w:r>
      <w:r w:rsidR="0035550B" w:rsidRPr="007F15D8">
        <w:rPr>
          <w:rFonts w:ascii="Times New Roman" w:hAnsi="Times New Roman" w:cs="Times New Roman"/>
          <w:sz w:val="26"/>
          <w:szCs w:val="26"/>
        </w:rPr>
        <w:t>11</w:t>
      </w:r>
      <w:r w:rsidRPr="007F15D8">
        <w:rPr>
          <w:rFonts w:ascii="Times New Roman" w:hAnsi="Times New Roman"/>
          <w:sz w:val="26"/>
        </w:rPr>
        <w:t xml:space="preserve"> shows that the model is significant in</w:t>
      </w:r>
      <w:r w:rsidR="00EB7C77" w:rsidRPr="007F15D8">
        <w:rPr>
          <w:rFonts w:ascii="Times New Roman" w:hAnsi="Times New Roman"/>
          <w:sz w:val="26"/>
        </w:rPr>
        <w:t xml:space="preserve"> KSA, Oman</w:t>
      </w:r>
      <w:r w:rsidR="00EE03AD">
        <w:rPr>
          <w:rFonts w:ascii="Times New Roman" w:hAnsi="Times New Roman"/>
          <w:sz w:val="26"/>
        </w:rPr>
        <w:t>,</w:t>
      </w:r>
      <w:r w:rsidR="00EB7C77" w:rsidRPr="007F15D8">
        <w:rPr>
          <w:rFonts w:ascii="Times New Roman" w:hAnsi="Times New Roman"/>
          <w:sz w:val="26"/>
        </w:rPr>
        <w:t xml:space="preserve"> and Bahrain at 0.000</w:t>
      </w:r>
      <w:r w:rsidR="00457C4F">
        <w:rPr>
          <w:rFonts w:ascii="Times New Roman" w:hAnsi="Times New Roman"/>
          <w:sz w:val="26"/>
        </w:rPr>
        <w:t xml:space="preserve"> level of significance</w:t>
      </w:r>
      <w:r w:rsidR="00F55724" w:rsidRPr="007F15D8">
        <w:rPr>
          <w:rFonts w:ascii="Times New Roman" w:hAnsi="Times New Roman"/>
          <w:sz w:val="26"/>
        </w:rPr>
        <w:t xml:space="preserve"> and </w:t>
      </w:r>
      <w:r w:rsidRPr="007F15D8">
        <w:rPr>
          <w:rFonts w:ascii="Times New Roman" w:hAnsi="Times New Roman"/>
          <w:sz w:val="26"/>
        </w:rPr>
        <w:t>in Qatar and Kuwait at 0.01</w:t>
      </w:r>
      <w:r w:rsidR="00457C4F" w:rsidRPr="00457C4F">
        <w:rPr>
          <w:rFonts w:ascii="Times New Roman" w:hAnsi="Times New Roman"/>
          <w:sz w:val="26"/>
        </w:rPr>
        <w:t xml:space="preserve"> </w:t>
      </w:r>
      <w:r w:rsidR="00457C4F">
        <w:rPr>
          <w:rFonts w:ascii="Times New Roman" w:hAnsi="Times New Roman"/>
          <w:sz w:val="26"/>
        </w:rPr>
        <w:t>level of significance</w:t>
      </w:r>
      <w:r w:rsidR="00F55724" w:rsidRPr="007F15D8">
        <w:rPr>
          <w:rFonts w:ascii="Times New Roman" w:hAnsi="Times New Roman"/>
          <w:sz w:val="26"/>
        </w:rPr>
        <w:t>,</w:t>
      </w:r>
      <w:r w:rsidR="00844E36" w:rsidRPr="007F15D8">
        <w:rPr>
          <w:rFonts w:ascii="Times New Roman" w:hAnsi="Times New Roman"/>
          <w:sz w:val="26"/>
        </w:rPr>
        <w:t xml:space="preserve"> but it is </w:t>
      </w:r>
      <w:r w:rsidR="00EA7093" w:rsidRPr="007F15D8">
        <w:rPr>
          <w:rFonts w:ascii="Times New Roman" w:hAnsi="Times New Roman"/>
          <w:sz w:val="26"/>
        </w:rPr>
        <w:t>in</w:t>
      </w:r>
      <w:r w:rsidRPr="007F15D8">
        <w:rPr>
          <w:rFonts w:ascii="Times New Roman" w:hAnsi="Times New Roman" w:cs="Times New Roman"/>
          <w:sz w:val="26"/>
          <w:szCs w:val="26"/>
        </w:rPr>
        <w:t>significant</w:t>
      </w:r>
      <w:r w:rsidRPr="007F15D8">
        <w:rPr>
          <w:rFonts w:ascii="Times New Roman" w:hAnsi="Times New Roman"/>
          <w:sz w:val="26"/>
        </w:rPr>
        <w:t xml:space="preserve"> in UAE at </w:t>
      </w:r>
      <w:r w:rsidR="00EA7093" w:rsidRPr="007F15D8">
        <w:rPr>
          <w:rFonts w:ascii="Times New Roman" w:hAnsi="Times New Roman"/>
          <w:sz w:val="26"/>
        </w:rPr>
        <w:t xml:space="preserve">0.01 and </w:t>
      </w:r>
      <w:r w:rsidRPr="007F15D8">
        <w:rPr>
          <w:rFonts w:ascii="Times New Roman" w:hAnsi="Times New Roman"/>
          <w:sz w:val="26"/>
        </w:rPr>
        <w:t xml:space="preserve">0.05. In KSA, the association between </w:t>
      </w:r>
      <w:r w:rsidR="00F55724" w:rsidRPr="007F15D8">
        <w:rPr>
          <w:rFonts w:ascii="Times New Roman" w:hAnsi="Times New Roman"/>
          <w:sz w:val="26"/>
        </w:rPr>
        <w:t>EQ-VR</w:t>
      </w:r>
      <w:r w:rsidRPr="007F15D8">
        <w:rPr>
          <w:rFonts w:ascii="Times New Roman" w:hAnsi="Times New Roman"/>
          <w:sz w:val="26"/>
        </w:rPr>
        <w:t xml:space="preserve"> and </w:t>
      </w:r>
      <w:r w:rsidR="00F55724" w:rsidRPr="007F15D8">
        <w:rPr>
          <w:rFonts w:ascii="Times New Roman" w:hAnsi="Times New Roman"/>
          <w:sz w:val="26"/>
        </w:rPr>
        <w:t>FI</w:t>
      </w:r>
      <w:r w:rsidRPr="007F15D8">
        <w:rPr>
          <w:rFonts w:ascii="Times New Roman" w:hAnsi="Times New Roman"/>
          <w:sz w:val="26"/>
        </w:rPr>
        <w:t xml:space="preserve"> is significantly negative as </w:t>
      </w:r>
      <w:r w:rsidR="00F55724" w:rsidRPr="007F15D8">
        <w:rPr>
          <w:rFonts w:ascii="Times New Roman" w:hAnsi="Times New Roman"/>
          <w:sz w:val="26"/>
        </w:rPr>
        <w:t xml:space="preserve">the </w:t>
      </w:r>
      <w:r w:rsidRPr="007F15D8">
        <w:rPr>
          <w:rFonts w:ascii="Times New Roman" w:hAnsi="Times New Roman"/>
          <w:sz w:val="26"/>
        </w:rPr>
        <w:t xml:space="preserve">coefficient is -0.382 </w:t>
      </w:r>
      <w:r w:rsidR="00F55724" w:rsidRPr="007F15D8">
        <w:rPr>
          <w:rFonts w:ascii="Times New Roman" w:hAnsi="Times New Roman"/>
          <w:sz w:val="26"/>
        </w:rPr>
        <w:t>(</w:t>
      </w:r>
      <w:r w:rsidRPr="007F15D8">
        <w:rPr>
          <w:rFonts w:ascii="Times New Roman" w:hAnsi="Times New Roman"/>
          <w:sz w:val="26"/>
        </w:rPr>
        <w:t>p- value&lt;0.01</w:t>
      </w:r>
      <w:r w:rsidR="00F55724" w:rsidRPr="007F15D8">
        <w:rPr>
          <w:rFonts w:ascii="Times New Roman" w:hAnsi="Times New Roman"/>
          <w:sz w:val="26"/>
        </w:rPr>
        <w:t>)</w:t>
      </w:r>
      <w:r w:rsidRPr="007F15D8">
        <w:rPr>
          <w:rFonts w:ascii="Times New Roman" w:hAnsi="Times New Roman"/>
          <w:sz w:val="26"/>
        </w:rPr>
        <w:t xml:space="preserve"> and </w:t>
      </w:r>
      <w:r w:rsidR="00F55724" w:rsidRPr="007F15D8">
        <w:rPr>
          <w:rFonts w:ascii="Times New Roman" w:hAnsi="Times New Roman"/>
          <w:sz w:val="26"/>
        </w:rPr>
        <w:t xml:space="preserve">the </w:t>
      </w:r>
      <w:r w:rsidRPr="007F15D8">
        <w:rPr>
          <w:rFonts w:ascii="Times New Roman" w:hAnsi="Times New Roman"/>
          <w:sz w:val="26"/>
        </w:rPr>
        <w:t xml:space="preserve">t-value is -3.129. In Oman, </w:t>
      </w:r>
      <w:r w:rsidR="00F55724" w:rsidRPr="007F15D8">
        <w:rPr>
          <w:rFonts w:ascii="Times New Roman" w:hAnsi="Times New Roman"/>
          <w:sz w:val="26"/>
        </w:rPr>
        <w:t>EQ-VR</w:t>
      </w:r>
      <w:r w:rsidRPr="007F15D8">
        <w:rPr>
          <w:rFonts w:ascii="Times New Roman" w:hAnsi="Times New Roman"/>
          <w:sz w:val="26"/>
        </w:rPr>
        <w:t xml:space="preserve"> is associated significantly negative</w:t>
      </w:r>
      <w:r w:rsidR="00EE03AD">
        <w:rPr>
          <w:rFonts w:ascii="Times New Roman" w:hAnsi="Times New Roman"/>
          <w:sz w:val="26"/>
        </w:rPr>
        <w:t>ly</w:t>
      </w:r>
      <w:r w:rsidRPr="007F15D8">
        <w:rPr>
          <w:rFonts w:ascii="Times New Roman" w:hAnsi="Times New Roman"/>
          <w:sz w:val="26"/>
        </w:rPr>
        <w:t xml:space="preserve"> with </w:t>
      </w:r>
      <w:r w:rsidR="005506C1" w:rsidRPr="007F15D8">
        <w:rPr>
          <w:rFonts w:ascii="Times New Roman" w:hAnsi="Times New Roman"/>
          <w:sz w:val="26"/>
        </w:rPr>
        <w:t xml:space="preserve">FI </w:t>
      </w:r>
      <w:r w:rsidRPr="007F15D8">
        <w:rPr>
          <w:rFonts w:ascii="Times New Roman" w:hAnsi="Times New Roman"/>
          <w:sz w:val="26"/>
        </w:rPr>
        <w:t xml:space="preserve">as </w:t>
      </w:r>
      <w:r w:rsidR="00F55724" w:rsidRPr="007F15D8">
        <w:rPr>
          <w:rFonts w:ascii="Times New Roman" w:hAnsi="Times New Roman"/>
          <w:sz w:val="26"/>
        </w:rPr>
        <w:t xml:space="preserve">the </w:t>
      </w:r>
      <w:r w:rsidRPr="007F15D8">
        <w:rPr>
          <w:rFonts w:ascii="Times New Roman" w:hAnsi="Times New Roman"/>
          <w:sz w:val="26"/>
        </w:rPr>
        <w:t xml:space="preserve">coefficient is -2.209 </w:t>
      </w:r>
      <w:r w:rsidR="00F55724" w:rsidRPr="007F15D8">
        <w:rPr>
          <w:rFonts w:ascii="Times New Roman" w:hAnsi="Times New Roman"/>
          <w:sz w:val="26"/>
        </w:rPr>
        <w:t>(</w:t>
      </w:r>
      <w:r w:rsidRPr="007F15D8">
        <w:rPr>
          <w:rFonts w:ascii="Times New Roman" w:hAnsi="Times New Roman"/>
          <w:sz w:val="26"/>
        </w:rPr>
        <w:t>p- value&lt;0.01</w:t>
      </w:r>
      <w:r w:rsidR="00F55724" w:rsidRPr="007F15D8">
        <w:rPr>
          <w:rFonts w:ascii="Times New Roman" w:hAnsi="Times New Roman"/>
          <w:sz w:val="26"/>
        </w:rPr>
        <w:t>)</w:t>
      </w:r>
      <w:r w:rsidR="00EE03AD">
        <w:rPr>
          <w:rFonts w:ascii="Times New Roman" w:hAnsi="Times New Roman"/>
          <w:sz w:val="26"/>
        </w:rPr>
        <w:t>,</w:t>
      </w:r>
      <w:r w:rsidRPr="007F15D8">
        <w:rPr>
          <w:rFonts w:ascii="Times New Roman" w:hAnsi="Times New Roman"/>
          <w:sz w:val="26"/>
        </w:rPr>
        <w:t xml:space="preserve"> and </w:t>
      </w:r>
      <w:r w:rsidR="00F55724" w:rsidRPr="007F15D8">
        <w:rPr>
          <w:rFonts w:ascii="Times New Roman" w:hAnsi="Times New Roman"/>
          <w:sz w:val="26"/>
        </w:rPr>
        <w:t xml:space="preserve">the </w:t>
      </w:r>
      <w:r w:rsidRPr="007F15D8">
        <w:rPr>
          <w:rFonts w:ascii="Times New Roman" w:hAnsi="Times New Roman"/>
          <w:sz w:val="26"/>
        </w:rPr>
        <w:t xml:space="preserve">t-value is -3.087. </w:t>
      </w:r>
      <w:r w:rsidR="00F55724" w:rsidRPr="007F15D8">
        <w:rPr>
          <w:rFonts w:ascii="Times New Roman" w:hAnsi="Times New Roman"/>
          <w:sz w:val="26"/>
        </w:rPr>
        <w:t>I</w:t>
      </w:r>
      <w:r w:rsidRPr="007F15D8">
        <w:rPr>
          <w:rFonts w:ascii="Times New Roman" w:hAnsi="Times New Roman"/>
          <w:sz w:val="26"/>
        </w:rPr>
        <w:t>n UAE</w:t>
      </w:r>
      <w:r w:rsidR="00F55724" w:rsidRPr="007F15D8">
        <w:rPr>
          <w:rFonts w:ascii="Times New Roman" w:hAnsi="Times New Roman"/>
          <w:sz w:val="26"/>
        </w:rPr>
        <w:t>,</w:t>
      </w:r>
      <w:r w:rsidRPr="007F15D8">
        <w:rPr>
          <w:rFonts w:ascii="Times New Roman" w:hAnsi="Times New Roman"/>
          <w:sz w:val="26"/>
        </w:rPr>
        <w:t xml:space="preserve"> the association between </w:t>
      </w:r>
      <w:r w:rsidR="00F55724" w:rsidRPr="007F15D8">
        <w:rPr>
          <w:rFonts w:ascii="Times New Roman" w:hAnsi="Times New Roman"/>
          <w:sz w:val="26"/>
        </w:rPr>
        <w:t>EQ-VR</w:t>
      </w:r>
      <w:r w:rsidRPr="007F15D8">
        <w:rPr>
          <w:rFonts w:ascii="Times New Roman" w:hAnsi="Times New Roman"/>
          <w:sz w:val="26"/>
        </w:rPr>
        <w:t xml:space="preserve"> and </w:t>
      </w:r>
      <w:r w:rsidR="00F55724" w:rsidRPr="007F15D8">
        <w:rPr>
          <w:rFonts w:ascii="Times New Roman" w:hAnsi="Times New Roman"/>
          <w:sz w:val="26"/>
        </w:rPr>
        <w:t>FI</w:t>
      </w:r>
      <w:r w:rsidRPr="007F15D8">
        <w:rPr>
          <w:rFonts w:ascii="Times New Roman" w:hAnsi="Times New Roman"/>
          <w:sz w:val="26"/>
        </w:rPr>
        <w:t xml:space="preserve"> is significantly negative as </w:t>
      </w:r>
      <w:r w:rsidR="00F55724" w:rsidRPr="007F15D8">
        <w:rPr>
          <w:rFonts w:ascii="Times New Roman" w:hAnsi="Times New Roman"/>
          <w:sz w:val="26"/>
        </w:rPr>
        <w:t xml:space="preserve">the </w:t>
      </w:r>
      <w:r w:rsidRPr="007F15D8">
        <w:rPr>
          <w:rFonts w:ascii="Times New Roman" w:hAnsi="Times New Roman"/>
          <w:sz w:val="26"/>
        </w:rPr>
        <w:t xml:space="preserve">coefficient is -0.056 </w:t>
      </w:r>
      <w:r w:rsidR="00F55724" w:rsidRPr="007F15D8">
        <w:rPr>
          <w:rFonts w:ascii="Times New Roman" w:hAnsi="Times New Roman"/>
          <w:sz w:val="26"/>
        </w:rPr>
        <w:t>(</w:t>
      </w:r>
      <w:r w:rsidRPr="007F15D8">
        <w:rPr>
          <w:rFonts w:ascii="Times New Roman" w:hAnsi="Times New Roman"/>
          <w:sz w:val="26"/>
        </w:rPr>
        <w:t>p-value&lt;0.05</w:t>
      </w:r>
      <w:r w:rsidR="00F55724" w:rsidRPr="007F15D8">
        <w:rPr>
          <w:rFonts w:ascii="Times New Roman" w:hAnsi="Times New Roman"/>
          <w:sz w:val="26"/>
        </w:rPr>
        <w:t>)</w:t>
      </w:r>
      <w:r w:rsidRPr="007F15D8">
        <w:rPr>
          <w:rFonts w:ascii="Times New Roman" w:hAnsi="Times New Roman"/>
          <w:sz w:val="26"/>
        </w:rPr>
        <w:t xml:space="preserve"> and </w:t>
      </w:r>
      <w:r w:rsidR="00F55724" w:rsidRPr="007F15D8">
        <w:rPr>
          <w:rFonts w:ascii="Times New Roman" w:hAnsi="Times New Roman"/>
          <w:sz w:val="26"/>
        </w:rPr>
        <w:t xml:space="preserve">the </w:t>
      </w:r>
      <w:r w:rsidRPr="007F15D8">
        <w:rPr>
          <w:rFonts w:ascii="Times New Roman" w:hAnsi="Times New Roman"/>
          <w:sz w:val="26"/>
        </w:rPr>
        <w:t>t-value is -2.550. These results reflect that foreign investors</w:t>
      </w:r>
      <w:r w:rsidR="00EE03AD">
        <w:rPr>
          <w:rFonts w:ascii="Times New Roman" w:hAnsi="Times New Roman"/>
          <w:sz w:val="26"/>
        </w:rPr>
        <w:t xml:space="preserve"> </w:t>
      </w:r>
      <w:r w:rsidR="009076E0">
        <w:rPr>
          <w:rFonts w:ascii="Times New Roman" w:hAnsi="Times New Roman"/>
          <w:sz w:val="26"/>
        </w:rPr>
        <w:t xml:space="preserve">are </w:t>
      </w:r>
      <w:r w:rsidR="00EE03AD">
        <w:rPr>
          <w:rFonts w:ascii="Times New Roman" w:hAnsi="Times New Roman"/>
          <w:sz w:val="26"/>
        </w:rPr>
        <w:t>concerned</w:t>
      </w:r>
      <w:r w:rsidRPr="007F15D8">
        <w:rPr>
          <w:rFonts w:ascii="Times New Roman" w:hAnsi="Times New Roman"/>
          <w:sz w:val="26"/>
        </w:rPr>
        <w:t xml:space="preserve"> about the book value and earnings per share in these countries. The investors are not sure whether the increasing book value and EPS is a good thing or not. These results are matched with the lower explanatory power of earnings in these three countries as </w:t>
      </w:r>
      <w:r w:rsidR="00F55724" w:rsidRPr="007F15D8">
        <w:rPr>
          <w:rFonts w:ascii="Times New Roman" w:hAnsi="Times New Roman"/>
          <w:sz w:val="26"/>
        </w:rPr>
        <w:t>they ranked as the</w:t>
      </w:r>
      <w:r w:rsidRPr="007F15D8">
        <w:rPr>
          <w:rFonts w:ascii="Times New Roman" w:hAnsi="Times New Roman"/>
          <w:sz w:val="26"/>
        </w:rPr>
        <w:t xml:space="preserve"> last three among the GCC countries. </w:t>
      </w:r>
    </w:p>
    <w:p w14:paraId="4316201D" w14:textId="77165FE8" w:rsidR="005B257E" w:rsidRPr="007F15D8" w:rsidRDefault="001361AB" w:rsidP="00B0497C">
      <w:pPr>
        <w:autoSpaceDE w:val="0"/>
        <w:autoSpaceDN w:val="0"/>
        <w:adjustRightInd w:val="0"/>
        <w:snapToGrid w:val="0"/>
        <w:spacing w:after="0" w:line="360" w:lineRule="exact"/>
        <w:ind w:firstLine="510"/>
        <w:jc w:val="both"/>
        <w:rPr>
          <w:rFonts w:ascii="Times New Roman" w:hAnsi="Times New Roman"/>
          <w:sz w:val="26"/>
        </w:rPr>
      </w:pPr>
      <w:r w:rsidRPr="007F15D8">
        <w:rPr>
          <w:rFonts w:ascii="Times New Roman" w:hAnsi="Times New Roman"/>
          <w:sz w:val="26"/>
        </w:rPr>
        <w:t>H3b is accepted only in Kuwait as</w:t>
      </w:r>
      <w:r w:rsidR="005B257E" w:rsidRPr="007F15D8">
        <w:rPr>
          <w:rFonts w:ascii="Times New Roman" w:hAnsi="Times New Roman"/>
          <w:sz w:val="26"/>
        </w:rPr>
        <w:t xml:space="preserve"> value relevance has </w:t>
      </w:r>
      <w:r w:rsidR="00EE03AD">
        <w:rPr>
          <w:rFonts w:ascii="Times New Roman" w:hAnsi="Times New Roman"/>
          <w:sz w:val="26"/>
        </w:rPr>
        <w:t xml:space="preserve">a </w:t>
      </w:r>
      <w:r w:rsidR="009076E0">
        <w:rPr>
          <w:rFonts w:ascii="Times New Roman" w:hAnsi="Times New Roman"/>
          <w:sz w:val="26"/>
        </w:rPr>
        <w:t>significant positive</w:t>
      </w:r>
      <w:r w:rsidR="005B257E" w:rsidRPr="007F15D8">
        <w:rPr>
          <w:rFonts w:ascii="Times New Roman" w:hAnsi="Times New Roman"/>
          <w:sz w:val="26"/>
        </w:rPr>
        <w:t xml:space="preserve"> association with </w:t>
      </w:r>
      <w:r w:rsidR="005506C1" w:rsidRPr="007F15D8">
        <w:rPr>
          <w:rFonts w:ascii="Times New Roman" w:hAnsi="Times New Roman"/>
          <w:sz w:val="26"/>
        </w:rPr>
        <w:t>FI</w:t>
      </w:r>
      <w:r w:rsidR="00EE03AD">
        <w:rPr>
          <w:rFonts w:ascii="Times New Roman" w:hAnsi="Times New Roman"/>
          <w:sz w:val="26"/>
        </w:rPr>
        <w:t>, making the accounting information of earnings and book value relevant, significant, and faithfully presented for investor decision-</w:t>
      </w:r>
      <w:r w:rsidR="005B257E" w:rsidRPr="007F15D8">
        <w:rPr>
          <w:rFonts w:ascii="Times New Roman" w:hAnsi="Times New Roman"/>
          <w:sz w:val="26"/>
        </w:rPr>
        <w:t>making. This result is in line with Mirza et al.</w:t>
      </w:r>
      <w:r w:rsidR="00944F99" w:rsidRPr="007F15D8">
        <w:rPr>
          <w:rFonts w:ascii="Times New Roman" w:hAnsi="Times New Roman"/>
          <w:sz w:val="26"/>
        </w:rPr>
        <w:t xml:space="preserve"> (</w:t>
      </w:r>
      <w:r w:rsidR="005B257E" w:rsidRPr="007F15D8">
        <w:rPr>
          <w:rFonts w:ascii="Times New Roman" w:hAnsi="Times New Roman"/>
          <w:sz w:val="26"/>
        </w:rPr>
        <w:t>2019)</w:t>
      </w:r>
      <w:r w:rsidR="00EE03AD">
        <w:rPr>
          <w:rFonts w:ascii="Times New Roman" w:hAnsi="Times New Roman"/>
          <w:sz w:val="26"/>
        </w:rPr>
        <w:t>,</w:t>
      </w:r>
      <w:r w:rsidR="005B257E" w:rsidRPr="007F15D8">
        <w:rPr>
          <w:rFonts w:ascii="Times New Roman" w:hAnsi="Times New Roman"/>
          <w:sz w:val="26"/>
        </w:rPr>
        <w:t xml:space="preserve"> </w:t>
      </w:r>
      <w:r w:rsidR="00A41BCF" w:rsidRPr="007F15D8">
        <w:rPr>
          <w:rFonts w:ascii="Times New Roman" w:hAnsi="Times New Roman"/>
          <w:sz w:val="26"/>
        </w:rPr>
        <w:t>wh</w:t>
      </w:r>
      <w:r w:rsidR="00EE03AD">
        <w:rPr>
          <w:rFonts w:ascii="Times New Roman" w:hAnsi="Times New Roman"/>
          <w:sz w:val="26"/>
        </w:rPr>
        <w:t>ich</w:t>
      </w:r>
      <w:r w:rsidR="00A41BCF" w:rsidRPr="007F15D8">
        <w:rPr>
          <w:rFonts w:ascii="Times New Roman" w:hAnsi="Times New Roman"/>
          <w:sz w:val="26"/>
        </w:rPr>
        <w:t xml:space="preserve"> found</w:t>
      </w:r>
      <w:r w:rsidR="005B257E" w:rsidRPr="007F15D8">
        <w:rPr>
          <w:rFonts w:ascii="Times New Roman" w:hAnsi="Times New Roman"/>
          <w:sz w:val="26"/>
        </w:rPr>
        <w:t xml:space="preserve"> that the accounting information of earnings and book value (and cash flow) </w:t>
      </w:r>
      <w:r w:rsidR="006F15D5">
        <w:rPr>
          <w:rFonts w:ascii="Times New Roman" w:hAnsi="Times New Roman"/>
          <w:sz w:val="26"/>
        </w:rPr>
        <w:t>is</w:t>
      </w:r>
      <w:r w:rsidR="005B257E" w:rsidRPr="007F15D8">
        <w:rPr>
          <w:rFonts w:ascii="Times New Roman" w:hAnsi="Times New Roman"/>
          <w:sz w:val="26"/>
        </w:rPr>
        <w:t xml:space="preserve"> relevant for investors in </w:t>
      </w:r>
      <w:r w:rsidR="00EE03AD">
        <w:rPr>
          <w:rFonts w:ascii="Times New Roman" w:hAnsi="Times New Roman"/>
          <w:sz w:val="26"/>
        </w:rPr>
        <w:t xml:space="preserve">the </w:t>
      </w:r>
      <w:r w:rsidR="005B257E" w:rsidRPr="007F15D8">
        <w:rPr>
          <w:rFonts w:ascii="Times New Roman" w:hAnsi="Times New Roman"/>
          <w:sz w:val="26"/>
        </w:rPr>
        <w:t>Malaysian capital market as the information significantly and positively explain</w:t>
      </w:r>
      <w:r w:rsidR="00F55724" w:rsidRPr="007F15D8">
        <w:rPr>
          <w:rFonts w:ascii="Times New Roman" w:hAnsi="Times New Roman"/>
          <w:sz w:val="26"/>
        </w:rPr>
        <w:t>s</w:t>
      </w:r>
      <w:r w:rsidR="005B257E" w:rsidRPr="007F15D8">
        <w:rPr>
          <w:rFonts w:ascii="Times New Roman" w:hAnsi="Times New Roman"/>
          <w:sz w:val="26"/>
        </w:rPr>
        <w:t xml:space="preserve"> the variation in the share price. </w:t>
      </w:r>
    </w:p>
    <w:p w14:paraId="42DAC7A9" w14:textId="75907108" w:rsidR="005B257E" w:rsidRPr="007F15D8" w:rsidRDefault="005B257E" w:rsidP="00B0497C">
      <w:pPr>
        <w:autoSpaceDE w:val="0"/>
        <w:autoSpaceDN w:val="0"/>
        <w:adjustRightInd w:val="0"/>
        <w:snapToGrid w:val="0"/>
        <w:spacing w:after="0" w:line="360" w:lineRule="exact"/>
        <w:ind w:firstLine="510"/>
        <w:jc w:val="both"/>
        <w:rPr>
          <w:rFonts w:ascii="Times New Roman" w:hAnsi="Times New Roman"/>
          <w:sz w:val="26"/>
        </w:rPr>
      </w:pPr>
      <w:r w:rsidRPr="007F15D8">
        <w:rPr>
          <w:rFonts w:ascii="Times New Roman" w:hAnsi="Times New Roman"/>
          <w:sz w:val="26"/>
        </w:rPr>
        <w:t xml:space="preserve">In Qatar and Bahrain, no statistically significant association </w:t>
      </w:r>
      <w:r w:rsidR="00F55724" w:rsidRPr="007F15D8">
        <w:rPr>
          <w:rFonts w:ascii="Times New Roman" w:hAnsi="Times New Roman"/>
          <w:sz w:val="26"/>
        </w:rPr>
        <w:t xml:space="preserve">is noted </w:t>
      </w:r>
      <w:r w:rsidRPr="007F15D8">
        <w:rPr>
          <w:rFonts w:ascii="Times New Roman" w:hAnsi="Times New Roman"/>
          <w:sz w:val="26"/>
        </w:rPr>
        <w:t xml:space="preserve">between </w:t>
      </w:r>
      <w:r w:rsidR="00F55724" w:rsidRPr="007F15D8">
        <w:rPr>
          <w:rFonts w:ascii="Times New Roman" w:hAnsi="Times New Roman"/>
          <w:sz w:val="26"/>
        </w:rPr>
        <w:t>EQ-VR</w:t>
      </w:r>
      <w:r w:rsidRPr="007F15D8">
        <w:rPr>
          <w:rFonts w:ascii="Times New Roman" w:hAnsi="Times New Roman"/>
          <w:sz w:val="26"/>
        </w:rPr>
        <w:t xml:space="preserve"> and </w:t>
      </w:r>
      <w:r w:rsidR="005506C1" w:rsidRPr="007F15D8">
        <w:rPr>
          <w:rFonts w:ascii="Times New Roman" w:hAnsi="Times New Roman"/>
          <w:sz w:val="26"/>
        </w:rPr>
        <w:t>FI</w:t>
      </w:r>
      <w:r w:rsidR="00F55724" w:rsidRPr="007F15D8">
        <w:rPr>
          <w:rFonts w:ascii="Times New Roman" w:hAnsi="Times New Roman"/>
          <w:sz w:val="26"/>
        </w:rPr>
        <w:t>.</w:t>
      </w:r>
      <w:r w:rsidR="005506C1" w:rsidRPr="007F15D8">
        <w:rPr>
          <w:rFonts w:ascii="Times New Roman" w:hAnsi="Times New Roman"/>
          <w:sz w:val="26"/>
        </w:rPr>
        <w:t xml:space="preserve"> </w:t>
      </w:r>
      <w:r w:rsidR="00F55724" w:rsidRPr="007F15D8">
        <w:rPr>
          <w:rFonts w:ascii="Times New Roman" w:hAnsi="Times New Roman"/>
          <w:sz w:val="26"/>
        </w:rPr>
        <w:t>T</w:t>
      </w:r>
      <w:r w:rsidRPr="007F15D8">
        <w:rPr>
          <w:rFonts w:ascii="Times New Roman" w:hAnsi="Times New Roman"/>
          <w:sz w:val="26"/>
        </w:rPr>
        <w:t xml:space="preserve">he coefficient is 0.005, </w:t>
      </w:r>
      <w:r w:rsidR="00F55724" w:rsidRPr="007F15D8">
        <w:rPr>
          <w:rFonts w:ascii="Times New Roman" w:hAnsi="Times New Roman"/>
          <w:sz w:val="26"/>
        </w:rPr>
        <w:t>(</w:t>
      </w:r>
      <w:r w:rsidRPr="007F15D8">
        <w:rPr>
          <w:rFonts w:ascii="Times New Roman" w:hAnsi="Times New Roman"/>
          <w:sz w:val="26"/>
        </w:rPr>
        <w:t>p-value&gt;0.05</w:t>
      </w:r>
      <w:r w:rsidR="00F55724" w:rsidRPr="007F15D8">
        <w:rPr>
          <w:rFonts w:ascii="Times New Roman" w:hAnsi="Times New Roman"/>
          <w:sz w:val="26"/>
        </w:rPr>
        <w:t>)</w:t>
      </w:r>
      <w:r w:rsidRPr="007F15D8">
        <w:rPr>
          <w:rFonts w:ascii="Times New Roman" w:hAnsi="Times New Roman"/>
          <w:sz w:val="26"/>
        </w:rPr>
        <w:t xml:space="preserve"> and </w:t>
      </w:r>
      <w:r w:rsidR="00F55724" w:rsidRPr="007F15D8">
        <w:rPr>
          <w:rFonts w:ascii="Times New Roman" w:hAnsi="Times New Roman"/>
          <w:sz w:val="26"/>
        </w:rPr>
        <w:t xml:space="preserve">the </w:t>
      </w:r>
      <w:r w:rsidRPr="007F15D8">
        <w:rPr>
          <w:rFonts w:ascii="Times New Roman" w:hAnsi="Times New Roman"/>
          <w:sz w:val="26"/>
        </w:rPr>
        <w:t>t-value is 1.409</w:t>
      </w:r>
      <w:r w:rsidR="00455A70" w:rsidRPr="007F15D8">
        <w:rPr>
          <w:rFonts w:ascii="Times New Roman" w:hAnsi="Times New Roman"/>
          <w:sz w:val="26"/>
        </w:rPr>
        <w:t xml:space="preserve"> </w:t>
      </w:r>
      <w:r w:rsidRPr="007F15D8">
        <w:rPr>
          <w:rFonts w:ascii="Times New Roman" w:hAnsi="Times New Roman"/>
          <w:sz w:val="26"/>
        </w:rPr>
        <w:t>in Qatar</w:t>
      </w:r>
      <w:r w:rsidR="00455A70" w:rsidRPr="007F15D8">
        <w:rPr>
          <w:rFonts w:ascii="Times New Roman" w:hAnsi="Times New Roman"/>
          <w:sz w:val="26"/>
        </w:rPr>
        <w:t>;</w:t>
      </w:r>
      <w:r w:rsidRPr="007F15D8">
        <w:rPr>
          <w:rFonts w:ascii="Times New Roman" w:hAnsi="Times New Roman"/>
          <w:sz w:val="26"/>
        </w:rPr>
        <w:t xml:space="preserve"> 0.071 </w:t>
      </w:r>
      <w:r w:rsidR="00F55724" w:rsidRPr="007F15D8">
        <w:rPr>
          <w:rFonts w:ascii="Times New Roman" w:hAnsi="Times New Roman"/>
          <w:sz w:val="26"/>
        </w:rPr>
        <w:t>(</w:t>
      </w:r>
      <w:r w:rsidRPr="007F15D8">
        <w:rPr>
          <w:rFonts w:ascii="Times New Roman" w:hAnsi="Times New Roman"/>
          <w:sz w:val="26"/>
        </w:rPr>
        <w:t>p- value&gt;0.05</w:t>
      </w:r>
      <w:r w:rsidR="00F55724" w:rsidRPr="007F15D8">
        <w:rPr>
          <w:rFonts w:ascii="Times New Roman" w:hAnsi="Times New Roman"/>
          <w:sz w:val="26"/>
        </w:rPr>
        <w:t>)</w:t>
      </w:r>
      <w:r w:rsidRPr="007F15D8">
        <w:rPr>
          <w:rFonts w:ascii="Times New Roman" w:hAnsi="Times New Roman"/>
          <w:sz w:val="26"/>
        </w:rPr>
        <w:t xml:space="preserve"> and 1.003</w:t>
      </w:r>
      <w:r w:rsidR="00455A70" w:rsidRPr="007F15D8">
        <w:rPr>
          <w:rFonts w:ascii="Times New Roman" w:hAnsi="Times New Roman"/>
          <w:sz w:val="26"/>
        </w:rPr>
        <w:t xml:space="preserve"> in Bahrain</w:t>
      </w:r>
      <w:r w:rsidRPr="007F15D8">
        <w:rPr>
          <w:rFonts w:ascii="Times New Roman" w:hAnsi="Times New Roman"/>
          <w:sz w:val="26"/>
        </w:rPr>
        <w:t xml:space="preserve">. This result implies that the accounting information of earnings and book value are </w:t>
      </w:r>
      <w:r w:rsidR="00455A70" w:rsidRPr="007F15D8">
        <w:rPr>
          <w:rFonts w:ascii="Times New Roman" w:hAnsi="Times New Roman"/>
          <w:sz w:val="26"/>
        </w:rPr>
        <w:t xml:space="preserve">irrelevant </w:t>
      </w:r>
      <w:r w:rsidRPr="007F15D8">
        <w:rPr>
          <w:rFonts w:ascii="Times New Roman" w:hAnsi="Times New Roman"/>
          <w:sz w:val="26"/>
        </w:rPr>
        <w:t xml:space="preserve">and </w:t>
      </w:r>
      <w:r w:rsidR="00455A70" w:rsidRPr="007F15D8">
        <w:rPr>
          <w:rFonts w:ascii="Times New Roman" w:hAnsi="Times New Roman"/>
          <w:sz w:val="26"/>
        </w:rPr>
        <w:t xml:space="preserve">insignificant </w:t>
      </w:r>
      <w:r w:rsidRPr="007F15D8">
        <w:rPr>
          <w:rFonts w:ascii="Times New Roman" w:hAnsi="Times New Roman"/>
          <w:sz w:val="26"/>
        </w:rPr>
        <w:t xml:space="preserve">for </w:t>
      </w:r>
      <w:r w:rsidR="00455A70" w:rsidRPr="007F15D8">
        <w:rPr>
          <w:rFonts w:ascii="Times New Roman" w:hAnsi="Times New Roman"/>
          <w:sz w:val="26"/>
        </w:rPr>
        <w:t>the</w:t>
      </w:r>
      <w:r w:rsidR="005506C1" w:rsidRPr="007F15D8">
        <w:rPr>
          <w:rFonts w:ascii="Times New Roman" w:hAnsi="Times New Roman"/>
          <w:sz w:val="26"/>
        </w:rPr>
        <w:t xml:space="preserve"> </w:t>
      </w:r>
      <w:r w:rsidR="00455A70" w:rsidRPr="007F15D8">
        <w:rPr>
          <w:rFonts w:ascii="Times New Roman" w:hAnsi="Times New Roman"/>
          <w:sz w:val="26"/>
        </w:rPr>
        <w:t>decision-</w:t>
      </w:r>
      <w:r w:rsidRPr="007F15D8">
        <w:rPr>
          <w:rFonts w:ascii="Times New Roman" w:hAnsi="Times New Roman"/>
          <w:sz w:val="26"/>
        </w:rPr>
        <w:lastRenderedPageBreak/>
        <w:t>making purposes</w:t>
      </w:r>
      <w:r w:rsidR="00455A70" w:rsidRPr="007F15D8">
        <w:rPr>
          <w:rFonts w:ascii="Times New Roman" w:hAnsi="Times New Roman"/>
          <w:sz w:val="26"/>
        </w:rPr>
        <w:t xml:space="preserve"> of foreign investors</w:t>
      </w:r>
      <w:r w:rsidRPr="007F15D8">
        <w:rPr>
          <w:rFonts w:ascii="Times New Roman" w:hAnsi="Times New Roman"/>
          <w:sz w:val="26"/>
        </w:rPr>
        <w:t>. The result is in line with Kadri et al. (2009)</w:t>
      </w:r>
      <w:r w:rsidR="009076E0">
        <w:rPr>
          <w:rFonts w:ascii="Times New Roman" w:hAnsi="Times New Roman"/>
          <w:sz w:val="26"/>
        </w:rPr>
        <w:t>,</w:t>
      </w:r>
      <w:r w:rsidRPr="007F15D8">
        <w:rPr>
          <w:rFonts w:ascii="Times New Roman" w:hAnsi="Times New Roman"/>
          <w:sz w:val="26"/>
        </w:rPr>
        <w:t xml:space="preserve"> wh</w:t>
      </w:r>
      <w:r w:rsidR="00EE03AD">
        <w:rPr>
          <w:rFonts w:ascii="Times New Roman" w:hAnsi="Times New Roman"/>
          <w:sz w:val="26"/>
        </w:rPr>
        <w:t>ich</w:t>
      </w:r>
      <w:r w:rsidRPr="007F15D8">
        <w:rPr>
          <w:rFonts w:ascii="Times New Roman" w:hAnsi="Times New Roman"/>
          <w:sz w:val="26"/>
        </w:rPr>
        <w:t xml:space="preserve"> pointed out that earnings are irrelevant </w:t>
      </w:r>
      <w:r w:rsidR="00EE03AD" w:rsidRPr="007F15D8">
        <w:rPr>
          <w:rFonts w:ascii="Times New Roman" w:hAnsi="Times New Roman"/>
          <w:sz w:val="26"/>
        </w:rPr>
        <w:t>i</w:t>
      </w:r>
      <w:r w:rsidR="00EE03AD">
        <w:rPr>
          <w:rFonts w:ascii="Times New Roman" w:hAnsi="Times New Roman"/>
          <w:sz w:val="26"/>
        </w:rPr>
        <w:t>n</w:t>
      </w:r>
      <w:r w:rsidR="00EE03AD" w:rsidRPr="007F15D8">
        <w:rPr>
          <w:rFonts w:ascii="Times New Roman" w:hAnsi="Times New Roman"/>
          <w:sz w:val="26"/>
        </w:rPr>
        <w:t xml:space="preserve"> </w:t>
      </w:r>
      <w:r w:rsidR="009D7050" w:rsidRPr="007F15D8">
        <w:rPr>
          <w:rFonts w:ascii="Times New Roman" w:hAnsi="Times New Roman"/>
          <w:sz w:val="26"/>
        </w:rPr>
        <w:t xml:space="preserve">the </w:t>
      </w:r>
      <w:r w:rsidRPr="007F15D8">
        <w:rPr>
          <w:rFonts w:ascii="Times New Roman" w:hAnsi="Times New Roman"/>
          <w:sz w:val="26"/>
        </w:rPr>
        <w:t xml:space="preserve">Malaysian </w:t>
      </w:r>
      <w:r w:rsidR="009D7050" w:rsidRPr="007F15D8">
        <w:rPr>
          <w:rFonts w:ascii="Times New Roman" w:hAnsi="Times New Roman"/>
          <w:sz w:val="26"/>
        </w:rPr>
        <w:t>capital market</w:t>
      </w:r>
      <w:r w:rsidRPr="007F15D8">
        <w:rPr>
          <w:rFonts w:ascii="Times New Roman" w:hAnsi="Times New Roman"/>
          <w:sz w:val="26"/>
        </w:rPr>
        <w:t>.</w:t>
      </w:r>
      <w:r w:rsidR="001F48F8" w:rsidRPr="007F15D8">
        <w:rPr>
          <w:rFonts w:ascii="Times New Roman" w:hAnsi="Times New Roman"/>
          <w:sz w:val="26"/>
        </w:rPr>
        <w:t xml:space="preserve"> </w:t>
      </w:r>
      <w:r w:rsidRPr="007F15D8">
        <w:rPr>
          <w:rFonts w:ascii="Times New Roman" w:hAnsi="Times New Roman"/>
          <w:sz w:val="26"/>
        </w:rPr>
        <w:t xml:space="preserve">  </w:t>
      </w:r>
    </w:p>
    <w:p w14:paraId="1D3F73E3" w14:textId="414D4953" w:rsidR="005B257E" w:rsidRDefault="005B257E" w:rsidP="00A152B0">
      <w:pPr>
        <w:autoSpaceDE w:val="0"/>
        <w:autoSpaceDN w:val="0"/>
        <w:adjustRightInd w:val="0"/>
        <w:snapToGrid w:val="0"/>
        <w:spacing w:after="0" w:line="360" w:lineRule="exact"/>
        <w:ind w:firstLineChars="200" w:firstLine="520"/>
        <w:jc w:val="both"/>
        <w:rPr>
          <w:rFonts w:ascii="Times New Roman" w:hAnsi="Times New Roman"/>
          <w:sz w:val="26"/>
        </w:rPr>
      </w:pPr>
      <w:r w:rsidRPr="007F15D8">
        <w:rPr>
          <w:rFonts w:ascii="Times New Roman" w:hAnsi="Times New Roman"/>
          <w:sz w:val="26"/>
        </w:rPr>
        <w:t xml:space="preserve">To </w:t>
      </w:r>
      <w:r w:rsidR="009D7050" w:rsidRPr="007F15D8">
        <w:rPr>
          <w:rFonts w:ascii="Times New Roman" w:hAnsi="Times New Roman"/>
          <w:sz w:val="26"/>
        </w:rPr>
        <w:t xml:space="preserve">a </w:t>
      </w:r>
      <w:r w:rsidRPr="007F15D8">
        <w:rPr>
          <w:rFonts w:ascii="Times New Roman" w:hAnsi="Times New Roman"/>
          <w:sz w:val="26"/>
        </w:rPr>
        <w:t xml:space="preserve">large extent, the results of </w:t>
      </w:r>
      <w:r w:rsidR="00EE03AD">
        <w:rPr>
          <w:rFonts w:ascii="Times New Roman" w:hAnsi="Times New Roman"/>
          <w:sz w:val="26"/>
        </w:rPr>
        <w:t xml:space="preserve">the </w:t>
      </w:r>
      <w:r w:rsidRPr="007F15D8">
        <w:rPr>
          <w:rFonts w:ascii="Times New Roman" w:hAnsi="Times New Roman"/>
          <w:sz w:val="26"/>
        </w:rPr>
        <w:t xml:space="preserve">two measures of value relevance are </w:t>
      </w:r>
      <w:r w:rsidR="00EE03AD">
        <w:rPr>
          <w:rFonts w:ascii="Times New Roman" w:hAnsi="Times New Roman"/>
          <w:sz w:val="26"/>
        </w:rPr>
        <w:t xml:space="preserve">the </w:t>
      </w:r>
      <w:r w:rsidRPr="007F15D8">
        <w:rPr>
          <w:rFonts w:ascii="Times New Roman" w:hAnsi="Times New Roman"/>
          <w:sz w:val="26"/>
        </w:rPr>
        <w:t>same in KSA and Kuwait</w:t>
      </w:r>
      <w:r w:rsidR="009D7050" w:rsidRPr="007F15D8">
        <w:rPr>
          <w:rFonts w:ascii="Times New Roman" w:hAnsi="Times New Roman"/>
          <w:sz w:val="26"/>
        </w:rPr>
        <w:t>,</w:t>
      </w:r>
      <w:r w:rsidRPr="007F15D8">
        <w:rPr>
          <w:rFonts w:ascii="Times New Roman" w:hAnsi="Times New Roman"/>
          <w:sz w:val="26"/>
        </w:rPr>
        <w:t xml:space="preserve"> which means that the two </w:t>
      </w:r>
      <w:r w:rsidR="006B1C85" w:rsidRPr="007F15D8">
        <w:rPr>
          <w:rFonts w:ascii="Times New Roman" w:hAnsi="Times New Roman"/>
          <w:sz w:val="26"/>
        </w:rPr>
        <w:t>EQ</w:t>
      </w:r>
      <w:r w:rsidRPr="007F15D8">
        <w:rPr>
          <w:rFonts w:ascii="Times New Roman" w:hAnsi="Times New Roman"/>
          <w:sz w:val="26"/>
        </w:rPr>
        <w:t xml:space="preserve"> measures are consistent </w:t>
      </w:r>
      <w:r w:rsidR="009D7050" w:rsidRPr="007F15D8">
        <w:rPr>
          <w:rFonts w:ascii="Times New Roman" w:hAnsi="Times New Roman"/>
          <w:sz w:val="26"/>
        </w:rPr>
        <w:t>in their</w:t>
      </w:r>
      <w:r w:rsidRPr="007F15D8">
        <w:rPr>
          <w:rFonts w:ascii="Times New Roman" w:hAnsi="Times New Roman"/>
          <w:sz w:val="26"/>
        </w:rPr>
        <w:t xml:space="preserve"> effect on attracting foreign investors. In Oman and UAE, the study finds different results as there is </w:t>
      </w:r>
      <w:r w:rsidR="009D7050" w:rsidRPr="007F15D8">
        <w:rPr>
          <w:rFonts w:ascii="Times New Roman" w:hAnsi="Times New Roman"/>
          <w:sz w:val="26"/>
        </w:rPr>
        <w:t xml:space="preserve">a </w:t>
      </w:r>
      <w:r w:rsidRPr="007F15D8">
        <w:rPr>
          <w:rFonts w:ascii="Times New Roman" w:hAnsi="Times New Roman"/>
          <w:sz w:val="26"/>
        </w:rPr>
        <w:t xml:space="preserve">positive association between ERC and </w:t>
      </w:r>
      <w:r w:rsidR="005506C1" w:rsidRPr="007F15D8">
        <w:rPr>
          <w:rFonts w:ascii="Times New Roman" w:hAnsi="Times New Roman"/>
          <w:sz w:val="26"/>
        </w:rPr>
        <w:t xml:space="preserve">FI </w:t>
      </w:r>
      <w:r w:rsidRPr="007F15D8">
        <w:rPr>
          <w:rFonts w:ascii="Times New Roman" w:hAnsi="Times New Roman"/>
          <w:sz w:val="26"/>
        </w:rPr>
        <w:t xml:space="preserve">and no effect in UAE, </w:t>
      </w:r>
      <w:r w:rsidR="00050EB7" w:rsidRPr="007F15D8">
        <w:rPr>
          <w:rFonts w:ascii="Times New Roman" w:hAnsi="Times New Roman"/>
          <w:sz w:val="26"/>
        </w:rPr>
        <w:t>whereas</w:t>
      </w:r>
      <w:r w:rsidRPr="007F15D8">
        <w:rPr>
          <w:rFonts w:ascii="Times New Roman" w:hAnsi="Times New Roman"/>
          <w:sz w:val="26"/>
        </w:rPr>
        <w:t xml:space="preserve"> there is a negative association between </w:t>
      </w:r>
      <w:r w:rsidR="009D7050" w:rsidRPr="007F15D8">
        <w:rPr>
          <w:rFonts w:ascii="Times New Roman" w:hAnsi="Times New Roman"/>
          <w:sz w:val="26"/>
        </w:rPr>
        <w:t>EQ-VR</w:t>
      </w:r>
      <w:r w:rsidRPr="007F15D8">
        <w:rPr>
          <w:rFonts w:ascii="Times New Roman" w:hAnsi="Times New Roman"/>
          <w:sz w:val="26"/>
        </w:rPr>
        <w:t xml:space="preserve"> and </w:t>
      </w:r>
      <w:r w:rsidR="005506C1" w:rsidRPr="007F15D8">
        <w:rPr>
          <w:rFonts w:ascii="Times New Roman" w:hAnsi="Times New Roman"/>
          <w:sz w:val="26"/>
        </w:rPr>
        <w:t xml:space="preserve">FI </w:t>
      </w:r>
      <w:r w:rsidRPr="007F15D8">
        <w:rPr>
          <w:rFonts w:ascii="Times New Roman" w:hAnsi="Times New Roman"/>
          <w:sz w:val="26"/>
        </w:rPr>
        <w:t>in both countries. However, foreign investor</w:t>
      </w:r>
      <w:r w:rsidR="00C94562" w:rsidRPr="007F15D8">
        <w:rPr>
          <w:rFonts w:ascii="Times New Roman" w:hAnsi="Times New Roman"/>
          <w:sz w:val="26"/>
        </w:rPr>
        <w:t>s</w:t>
      </w:r>
      <w:r w:rsidRPr="007F15D8">
        <w:rPr>
          <w:rFonts w:ascii="Times New Roman" w:hAnsi="Times New Roman"/>
          <w:sz w:val="26"/>
        </w:rPr>
        <w:t xml:space="preserve"> should be careful when </w:t>
      </w:r>
      <w:r w:rsidR="00C94562" w:rsidRPr="007F15D8">
        <w:rPr>
          <w:rFonts w:ascii="Times New Roman" w:hAnsi="Times New Roman"/>
          <w:sz w:val="26"/>
        </w:rPr>
        <w:t>using</w:t>
      </w:r>
      <w:r w:rsidRPr="007F15D8">
        <w:rPr>
          <w:rFonts w:ascii="Times New Roman" w:hAnsi="Times New Roman"/>
          <w:sz w:val="26"/>
        </w:rPr>
        <w:t xml:space="preserve"> value relevance to decide about </w:t>
      </w:r>
      <w:r w:rsidR="00C94562" w:rsidRPr="007F15D8">
        <w:rPr>
          <w:rFonts w:ascii="Times New Roman" w:hAnsi="Times New Roman"/>
          <w:sz w:val="26"/>
        </w:rPr>
        <w:t xml:space="preserve">their </w:t>
      </w:r>
      <w:r w:rsidRPr="007F15D8">
        <w:rPr>
          <w:rFonts w:ascii="Times New Roman" w:hAnsi="Times New Roman"/>
          <w:sz w:val="26"/>
        </w:rPr>
        <w:t>investments in Oman</w:t>
      </w:r>
      <w:r w:rsidR="00EE03AD">
        <w:rPr>
          <w:rFonts w:ascii="Times New Roman" w:hAnsi="Times New Roman"/>
          <w:sz w:val="26"/>
        </w:rPr>
        <w:t>,</w:t>
      </w:r>
      <w:r w:rsidRPr="007F15D8">
        <w:rPr>
          <w:rFonts w:ascii="Times New Roman" w:hAnsi="Times New Roman"/>
          <w:sz w:val="26"/>
        </w:rPr>
        <w:t xml:space="preserve"> especially for the second measure</w:t>
      </w:r>
      <w:r w:rsidR="00EE03AD">
        <w:rPr>
          <w:rFonts w:ascii="Times New Roman" w:hAnsi="Times New Roman"/>
          <w:sz w:val="26"/>
        </w:rPr>
        <w:t>,</w:t>
      </w:r>
      <w:r w:rsidRPr="007F15D8">
        <w:rPr>
          <w:rFonts w:ascii="Times New Roman" w:hAnsi="Times New Roman"/>
          <w:sz w:val="26"/>
        </w:rPr>
        <w:t xml:space="preserve"> as </w:t>
      </w:r>
      <w:r w:rsidR="009076E0">
        <w:rPr>
          <w:rFonts w:ascii="Times New Roman" w:hAnsi="Times New Roman"/>
          <w:sz w:val="26"/>
        </w:rPr>
        <w:t>increasing</w:t>
      </w:r>
      <w:r w:rsidRPr="007F15D8">
        <w:rPr>
          <w:rFonts w:ascii="Times New Roman" w:hAnsi="Times New Roman"/>
          <w:sz w:val="26"/>
        </w:rPr>
        <w:t xml:space="preserve"> earnings and book value </w:t>
      </w:r>
      <w:r w:rsidR="00C94562" w:rsidRPr="007F15D8">
        <w:rPr>
          <w:rFonts w:ascii="Times New Roman" w:hAnsi="Times New Roman"/>
          <w:sz w:val="26"/>
        </w:rPr>
        <w:t xml:space="preserve">may </w:t>
      </w:r>
      <w:r w:rsidRPr="007F15D8">
        <w:rPr>
          <w:rFonts w:ascii="Times New Roman" w:hAnsi="Times New Roman"/>
          <w:sz w:val="26"/>
        </w:rPr>
        <w:t xml:space="preserve">not </w:t>
      </w:r>
      <w:r w:rsidR="00A95D9A" w:rsidRPr="007F15D8">
        <w:rPr>
          <w:rFonts w:ascii="Times New Roman" w:hAnsi="Times New Roman"/>
          <w:sz w:val="26"/>
        </w:rPr>
        <w:t>reflect the higher share price.</w:t>
      </w:r>
      <w:r w:rsidR="002C7835" w:rsidRPr="007F15D8">
        <w:rPr>
          <w:rFonts w:ascii="Times New Roman" w:hAnsi="Times New Roman"/>
          <w:sz w:val="26"/>
        </w:rPr>
        <w:t xml:space="preserve"> </w:t>
      </w:r>
      <w:r w:rsidR="00C94562" w:rsidRPr="007F15D8">
        <w:rPr>
          <w:rFonts w:ascii="Times New Roman" w:hAnsi="Times New Roman"/>
          <w:sz w:val="26"/>
        </w:rPr>
        <w:t xml:space="preserve">The control </w:t>
      </w:r>
      <w:r w:rsidR="002C7835" w:rsidRPr="007F15D8">
        <w:rPr>
          <w:rFonts w:ascii="Times New Roman" w:hAnsi="Times New Roman"/>
          <w:sz w:val="26"/>
        </w:rPr>
        <w:t>v</w:t>
      </w:r>
      <w:r w:rsidR="00A95D9A" w:rsidRPr="007F15D8">
        <w:rPr>
          <w:rFonts w:ascii="Times New Roman" w:hAnsi="Times New Roman"/>
          <w:sz w:val="26"/>
        </w:rPr>
        <w:t>ariable</w:t>
      </w:r>
      <w:r w:rsidR="002C7835" w:rsidRPr="007F15D8">
        <w:rPr>
          <w:rFonts w:ascii="Times New Roman" w:hAnsi="Times New Roman"/>
          <w:sz w:val="26"/>
        </w:rPr>
        <w:t>s</w:t>
      </w:r>
      <w:r w:rsidR="00A95D9A" w:rsidRPr="007F15D8">
        <w:rPr>
          <w:rFonts w:ascii="Times New Roman" w:hAnsi="Times New Roman"/>
          <w:sz w:val="26"/>
        </w:rPr>
        <w:t xml:space="preserve"> have different effect</w:t>
      </w:r>
      <w:r w:rsidR="00C94562" w:rsidRPr="007F15D8">
        <w:rPr>
          <w:rFonts w:ascii="Times New Roman" w:hAnsi="Times New Roman"/>
          <w:sz w:val="26"/>
        </w:rPr>
        <w:t>s</w:t>
      </w:r>
      <w:r w:rsidR="00A95D9A" w:rsidRPr="007F15D8">
        <w:rPr>
          <w:rFonts w:ascii="Times New Roman" w:hAnsi="Times New Roman"/>
          <w:sz w:val="26"/>
        </w:rPr>
        <w:t xml:space="preserve"> on foreign investors</w:t>
      </w:r>
      <w:r w:rsidR="00C94562" w:rsidRPr="007F15D8">
        <w:rPr>
          <w:rFonts w:ascii="Times New Roman" w:hAnsi="Times New Roman"/>
          <w:sz w:val="26"/>
        </w:rPr>
        <w:t>,</w:t>
      </w:r>
      <w:r w:rsidR="00A95D9A" w:rsidRPr="007F15D8">
        <w:rPr>
          <w:rFonts w:ascii="Times New Roman" w:hAnsi="Times New Roman"/>
          <w:sz w:val="26"/>
        </w:rPr>
        <w:t xml:space="preserve"> confirming the significance of these variables.</w:t>
      </w:r>
      <w:r w:rsidRPr="007F15D8">
        <w:rPr>
          <w:rFonts w:ascii="Times New Roman" w:hAnsi="Times New Roman"/>
          <w:sz w:val="26"/>
        </w:rPr>
        <w:t xml:space="preserve"> </w:t>
      </w:r>
    </w:p>
    <w:p w14:paraId="62E8439C" w14:textId="77777777" w:rsidR="006D42CE" w:rsidRPr="007F15D8" w:rsidRDefault="006D42CE" w:rsidP="00B0497C">
      <w:pPr>
        <w:autoSpaceDE w:val="0"/>
        <w:autoSpaceDN w:val="0"/>
        <w:adjustRightInd w:val="0"/>
        <w:snapToGrid w:val="0"/>
        <w:spacing w:after="0" w:line="360" w:lineRule="exact"/>
        <w:jc w:val="both"/>
        <w:rPr>
          <w:rFonts w:ascii="Times New Roman" w:hAnsi="Times New Roman"/>
          <w:sz w:val="26"/>
        </w:rPr>
      </w:pPr>
    </w:p>
    <w:p w14:paraId="264D8A7B" w14:textId="166B8686" w:rsidR="00645D53" w:rsidRPr="007F15D8" w:rsidRDefault="003A2A39" w:rsidP="00B0497C">
      <w:pPr>
        <w:snapToGrid w:val="0"/>
        <w:spacing w:after="0" w:line="360" w:lineRule="exact"/>
        <w:jc w:val="both"/>
        <w:rPr>
          <w:rFonts w:ascii="Times New Roman" w:hAnsi="Times New Roman"/>
          <w:b/>
          <w:sz w:val="26"/>
        </w:rPr>
      </w:pPr>
      <w:r w:rsidRPr="007F15D8">
        <w:rPr>
          <w:rFonts w:ascii="Times New Roman" w:hAnsi="Times New Roman"/>
          <w:b/>
          <w:sz w:val="26"/>
        </w:rPr>
        <w:t>Measuring</w:t>
      </w:r>
      <w:r w:rsidR="00645D53" w:rsidRPr="007F15D8">
        <w:rPr>
          <w:rFonts w:ascii="Times New Roman" w:hAnsi="Times New Roman"/>
          <w:b/>
          <w:sz w:val="26"/>
        </w:rPr>
        <w:t xml:space="preserve"> and </w:t>
      </w:r>
      <w:r w:rsidR="00C94562" w:rsidRPr="007F15D8">
        <w:rPr>
          <w:rFonts w:ascii="Times New Roman" w:hAnsi="Times New Roman"/>
          <w:b/>
          <w:sz w:val="26"/>
        </w:rPr>
        <w:t xml:space="preserve">Analysis </w:t>
      </w:r>
      <w:r w:rsidR="00645D53" w:rsidRPr="007F15D8">
        <w:rPr>
          <w:rFonts w:ascii="Times New Roman" w:hAnsi="Times New Roman"/>
          <w:b/>
          <w:sz w:val="26"/>
        </w:rPr>
        <w:t>of EQ</w:t>
      </w:r>
      <w:r w:rsidR="00C94562" w:rsidRPr="007F15D8">
        <w:rPr>
          <w:rFonts w:ascii="Times New Roman" w:hAnsi="Times New Roman"/>
          <w:b/>
          <w:sz w:val="26"/>
        </w:rPr>
        <w:t>-</w:t>
      </w:r>
      <w:r w:rsidR="00645D53" w:rsidRPr="007F15D8">
        <w:rPr>
          <w:rFonts w:ascii="Times New Roman" w:hAnsi="Times New Roman"/>
          <w:b/>
          <w:sz w:val="26"/>
        </w:rPr>
        <w:t>ESI</w:t>
      </w:r>
      <w:r w:rsidR="001361AB" w:rsidRPr="007F15D8">
        <w:rPr>
          <w:rFonts w:ascii="Times New Roman" w:hAnsi="Times New Roman"/>
          <w:b/>
          <w:sz w:val="26"/>
        </w:rPr>
        <w:t xml:space="preserve"> and FI</w:t>
      </w:r>
    </w:p>
    <w:p w14:paraId="0C5DDE65" w14:textId="4D02D416" w:rsidR="00E40A40" w:rsidRDefault="00645D53" w:rsidP="00B0497C">
      <w:pPr>
        <w:snapToGrid w:val="0"/>
        <w:spacing w:after="0" w:line="360" w:lineRule="exact"/>
        <w:ind w:firstLine="510"/>
        <w:jc w:val="both"/>
        <w:rPr>
          <w:rFonts w:ascii="Times New Roman" w:hAnsi="Times New Roman"/>
          <w:sz w:val="26"/>
        </w:rPr>
      </w:pPr>
      <w:r w:rsidRPr="007F15D8">
        <w:rPr>
          <w:rFonts w:ascii="Times New Roman" w:hAnsi="Times New Roman"/>
          <w:sz w:val="26"/>
        </w:rPr>
        <w:t xml:space="preserve">The required information to calculate </w:t>
      </w:r>
      <w:r w:rsidR="00C94562" w:rsidRPr="007F15D8">
        <w:rPr>
          <w:rFonts w:ascii="Times New Roman" w:hAnsi="Times New Roman"/>
          <w:sz w:val="26"/>
        </w:rPr>
        <w:t>EQ-</w:t>
      </w:r>
      <w:r w:rsidRPr="007F15D8">
        <w:rPr>
          <w:rFonts w:ascii="Times New Roman" w:hAnsi="Times New Roman"/>
          <w:sz w:val="26"/>
        </w:rPr>
        <w:t xml:space="preserve">ESI </w:t>
      </w:r>
      <w:r w:rsidR="00EE03AD">
        <w:rPr>
          <w:rFonts w:ascii="Times New Roman" w:hAnsi="Times New Roman"/>
          <w:sz w:val="26"/>
        </w:rPr>
        <w:t>is</w:t>
      </w:r>
      <w:r w:rsidR="00EE03AD" w:rsidRPr="007F15D8">
        <w:rPr>
          <w:rFonts w:ascii="Times New Roman" w:hAnsi="Times New Roman"/>
          <w:sz w:val="26"/>
        </w:rPr>
        <w:t xml:space="preserve"> </w:t>
      </w:r>
      <w:r w:rsidRPr="007F15D8">
        <w:rPr>
          <w:rFonts w:ascii="Times New Roman" w:hAnsi="Times New Roman"/>
          <w:sz w:val="26"/>
        </w:rPr>
        <w:t>SE, CMS, TD</w:t>
      </w:r>
      <w:r w:rsidR="00EE03AD">
        <w:rPr>
          <w:rFonts w:ascii="Times New Roman" w:hAnsi="Times New Roman"/>
          <w:sz w:val="26"/>
        </w:rPr>
        <w:t>,</w:t>
      </w:r>
      <w:r w:rsidRPr="007F15D8">
        <w:rPr>
          <w:rFonts w:ascii="Times New Roman" w:hAnsi="Times New Roman"/>
          <w:sz w:val="26"/>
        </w:rPr>
        <w:t xml:space="preserve"> and TS. Table </w:t>
      </w:r>
      <w:r w:rsidR="00EB7C77" w:rsidRPr="007F15D8">
        <w:rPr>
          <w:rFonts w:ascii="Times New Roman" w:hAnsi="Times New Roman" w:cs="Times New Roman"/>
          <w:sz w:val="26"/>
          <w:szCs w:val="26"/>
        </w:rPr>
        <w:t>1</w:t>
      </w:r>
      <w:r w:rsidR="0035550B" w:rsidRPr="007F15D8">
        <w:rPr>
          <w:rFonts w:ascii="Times New Roman" w:hAnsi="Times New Roman" w:cs="Times New Roman"/>
          <w:sz w:val="26"/>
          <w:szCs w:val="26"/>
        </w:rPr>
        <w:t>2</w:t>
      </w:r>
      <w:r w:rsidRPr="007F15D8">
        <w:rPr>
          <w:rFonts w:ascii="Times New Roman" w:hAnsi="Times New Roman"/>
          <w:sz w:val="26"/>
        </w:rPr>
        <w:t xml:space="preserve"> shows all </w:t>
      </w:r>
      <w:r w:rsidR="00C94562" w:rsidRPr="007F15D8">
        <w:rPr>
          <w:rFonts w:ascii="Times New Roman" w:hAnsi="Times New Roman"/>
          <w:sz w:val="26"/>
        </w:rPr>
        <w:t xml:space="preserve">the </w:t>
      </w:r>
      <w:r w:rsidR="00FD4287" w:rsidRPr="007F15D8">
        <w:rPr>
          <w:rFonts w:ascii="Times New Roman" w:hAnsi="Times New Roman"/>
          <w:sz w:val="26"/>
        </w:rPr>
        <w:t>required variables.</w:t>
      </w:r>
    </w:p>
    <w:p w14:paraId="0DF3AE92" w14:textId="77777777" w:rsidR="00B0497C" w:rsidRPr="007F15D8" w:rsidRDefault="00B0497C" w:rsidP="00B0497C">
      <w:pPr>
        <w:snapToGrid w:val="0"/>
        <w:spacing w:after="0" w:line="360" w:lineRule="exact"/>
        <w:ind w:firstLine="510"/>
        <w:jc w:val="both"/>
        <w:rPr>
          <w:rFonts w:ascii="Times New Roman" w:hAnsi="Times New Roman"/>
          <w:sz w:val="26"/>
        </w:rPr>
      </w:pPr>
    </w:p>
    <w:p w14:paraId="4E3665B8" w14:textId="6229CC4C" w:rsidR="00E40A40" w:rsidRPr="00FA3651" w:rsidRDefault="0035550B" w:rsidP="00FA3651">
      <w:pPr>
        <w:snapToGrid w:val="0"/>
        <w:spacing w:afterLines="50" w:after="120" w:line="360" w:lineRule="exact"/>
        <w:jc w:val="both"/>
        <w:rPr>
          <w:rFonts w:asciiTheme="majorBidi" w:hAnsiTheme="majorBidi"/>
          <w:sz w:val="26"/>
        </w:rPr>
      </w:pPr>
      <w:r w:rsidRPr="00D267EF">
        <w:rPr>
          <w:rFonts w:asciiTheme="majorBidi" w:hAnsiTheme="majorBidi"/>
          <w:b/>
          <w:sz w:val="26"/>
        </w:rPr>
        <w:t xml:space="preserve">Table </w:t>
      </w:r>
      <w:proofErr w:type="gramStart"/>
      <w:r w:rsidRPr="00D267EF">
        <w:rPr>
          <w:rFonts w:asciiTheme="majorBidi" w:hAnsiTheme="majorBidi"/>
          <w:b/>
          <w:sz w:val="26"/>
        </w:rPr>
        <w:t>12</w:t>
      </w:r>
      <w:r w:rsidR="00D267EF">
        <w:rPr>
          <w:rFonts w:asciiTheme="majorBidi" w:hAnsiTheme="majorBidi"/>
          <w:sz w:val="26"/>
        </w:rPr>
        <w:t xml:space="preserve"> </w:t>
      </w:r>
      <w:r w:rsidR="00E40A40" w:rsidRPr="00A152B0">
        <w:rPr>
          <w:rFonts w:asciiTheme="majorBidi" w:hAnsiTheme="majorBidi"/>
          <w:sz w:val="26"/>
        </w:rPr>
        <w:t xml:space="preserve"> </w:t>
      </w:r>
      <w:r w:rsidR="00E40A40" w:rsidRPr="00D267EF">
        <w:rPr>
          <w:rFonts w:asciiTheme="majorBidi" w:hAnsiTheme="majorBidi"/>
          <w:i/>
          <w:sz w:val="26"/>
        </w:rPr>
        <w:t>Descriptive</w:t>
      </w:r>
      <w:proofErr w:type="gramEnd"/>
      <w:r w:rsidR="00E40A40" w:rsidRPr="00D267EF">
        <w:rPr>
          <w:rFonts w:asciiTheme="majorBidi" w:hAnsiTheme="majorBidi"/>
          <w:i/>
          <w:sz w:val="26"/>
        </w:rPr>
        <w:t xml:space="preserve"> Statistics and Measuring of Earnings Surprise Indicator</w:t>
      </w: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
        <w:gridCol w:w="711"/>
        <w:gridCol w:w="666"/>
        <w:gridCol w:w="672"/>
        <w:gridCol w:w="666"/>
        <w:gridCol w:w="711"/>
        <w:gridCol w:w="666"/>
        <w:gridCol w:w="672"/>
        <w:gridCol w:w="659"/>
        <w:gridCol w:w="7"/>
        <w:gridCol w:w="666"/>
        <w:gridCol w:w="666"/>
        <w:gridCol w:w="666"/>
        <w:gridCol w:w="7"/>
        <w:gridCol w:w="659"/>
      </w:tblGrid>
      <w:tr w:rsidR="007F15D8" w:rsidRPr="00EA76AA" w14:paraId="3F9B966B" w14:textId="77777777" w:rsidTr="00A152B0">
        <w:trPr>
          <w:trHeight w:val="340"/>
        </w:trPr>
        <w:tc>
          <w:tcPr>
            <w:tcW w:w="543" w:type="pct"/>
            <w:vMerge w:val="restart"/>
            <w:tcBorders>
              <w:top w:val="single" w:sz="4" w:space="0" w:color="auto"/>
              <w:right w:val="single" w:sz="4" w:space="0" w:color="auto"/>
              <w:tl2br w:val="single" w:sz="4" w:space="0" w:color="auto"/>
            </w:tcBorders>
          </w:tcPr>
          <w:p w14:paraId="1DEF61A9" w14:textId="7E4CCEFD" w:rsidR="00B0497C" w:rsidRDefault="00E40A40" w:rsidP="00A152B0">
            <w:pPr>
              <w:autoSpaceDE w:val="0"/>
              <w:autoSpaceDN w:val="0"/>
              <w:adjustRightInd w:val="0"/>
              <w:rPr>
                <w:rFonts w:ascii="Times New Roman" w:hAnsi="Times New Roman" w:cs="Times New Roman"/>
                <w:sz w:val="20"/>
                <w:szCs w:val="20"/>
              </w:rPr>
            </w:pPr>
            <w:r w:rsidRPr="00EA76AA">
              <w:rPr>
                <w:rFonts w:ascii="Times New Roman" w:hAnsi="Times New Roman" w:cs="Times New Roman"/>
                <w:sz w:val="20"/>
                <w:szCs w:val="20"/>
              </w:rPr>
              <w:t xml:space="preserve"> Country </w:t>
            </w:r>
          </w:p>
          <w:p w14:paraId="3AF36B56" w14:textId="77777777" w:rsidR="00B0497C" w:rsidRDefault="00B0497C" w:rsidP="00A152B0">
            <w:pPr>
              <w:autoSpaceDE w:val="0"/>
              <w:autoSpaceDN w:val="0"/>
              <w:adjustRightInd w:val="0"/>
              <w:rPr>
                <w:rFonts w:ascii="Times New Roman" w:hAnsi="Times New Roman" w:cs="Times New Roman"/>
                <w:sz w:val="20"/>
                <w:szCs w:val="20"/>
              </w:rPr>
            </w:pPr>
          </w:p>
          <w:p w14:paraId="17E91718" w14:textId="03825B40" w:rsidR="00E40A40" w:rsidRPr="00EA76AA" w:rsidRDefault="00E40A40" w:rsidP="00A152B0">
            <w:pPr>
              <w:autoSpaceDE w:val="0"/>
              <w:autoSpaceDN w:val="0"/>
              <w:adjustRightInd w:val="0"/>
              <w:rPr>
                <w:rFonts w:ascii="Times New Roman" w:hAnsi="Times New Roman" w:cs="Times New Roman"/>
                <w:sz w:val="20"/>
                <w:szCs w:val="20"/>
              </w:rPr>
            </w:pPr>
            <w:r w:rsidRPr="00EA76AA">
              <w:rPr>
                <w:rFonts w:ascii="Times New Roman" w:hAnsi="Times New Roman" w:cs="Times New Roman"/>
                <w:sz w:val="20"/>
                <w:szCs w:val="20"/>
              </w:rPr>
              <w:t>Variable</w:t>
            </w:r>
          </w:p>
        </w:tc>
        <w:tc>
          <w:tcPr>
            <w:tcW w:w="770" w:type="pct"/>
            <w:gridSpan w:val="2"/>
            <w:tcBorders>
              <w:top w:val="single" w:sz="4" w:space="0" w:color="auto"/>
              <w:left w:val="single" w:sz="4" w:space="0" w:color="auto"/>
              <w:bottom w:val="single" w:sz="4" w:space="0" w:color="auto"/>
            </w:tcBorders>
            <w:vAlign w:val="center"/>
          </w:tcPr>
          <w:p w14:paraId="64279FA0" w14:textId="77777777" w:rsidR="00E40A40" w:rsidRPr="00EA76AA" w:rsidRDefault="00E40A40" w:rsidP="00B0497C">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KSA</w:t>
            </w:r>
          </w:p>
        </w:tc>
        <w:tc>
          <w:tcPr>
            <w:tcW w:w="699" w:type="pct"/>
            <w:gridSpan w:val="2"/>
            <w:tcBorders>
              <w:top w:val="single" w:sz="4" w:space="0" w:color="auto"/>
              <w:bottom w:val="single" w:sz="4" w:space="0" w:color="auto"/>
            </w:tcBorders>
            <w:vAlign w:val="center"/>
          </w:tcPr>
          <w:p w14:paraId="5F23A7E5" w14:textId="77777777" w:rsidR="00E40A40" w:rsidRPr="00EA76AA" w:rsidRDefault="00E40A40" w:rsidP="00B0497C">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OMN</w:t>
            </w:r>
          </w:p>
        </w:tc>
        <w:tc>
          <w:tcPr>
            <w:tcW w:w="798" w:type="pct"/>
            <w:gridSpan w:val="2"/>
            <w:tcBorders>
              <w:top w:val="single" w:sz="4" w:space="0" w:color="auto"/>
              <w:bottom w:val="single" w:sz="4" w:space="0" w:color="auto"/>
            </w:tcBorders>
            <w:vAlign w:val="center"/>
          </w:tcPr>
          <w:p w14:paraId="75ECF62C" w14:textId="77777777" w:rsidR="00E40A40" w:rsidRPr="00EA76AA" w:rsidRDefault="00E40A40" w:rsidP="00B0497C">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QAT</w:t>
            </w:r>
          </w:p>
        </w:tc>
        <w:tc>
          <w:tcPr>
            <w:tcW w:w="645" w:type="pct"/>
            <w:gridSpan w:val="3"/>
            <w:tcBorders>
              <w:top w:val="single" w:sz="4" w:space="0" w:color="auto"/>
              <w:bottom w:val="single" w:sz="4" w:space="0" w:color="auto"/>
            </w:tcBorders>
            <w:vAlign w:val="center"/>
          </w:tcPr>
          <w:p w14:paraId="1EACEB1A" w14:textId="77777777" w:rsidR="00E40A40" w:rsidRPr="00EA76AA" w:rsidRDefault="00E40A40" w:rsidP="00B0497C">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BAH</w:t>
            </w:r>
          </w:p>
        </w:tc>
        <w:tc>
          <w:tcPr>
            <w:tcW w:w="729" w:type="pct"/>
            <w:gridSpan w:val="2"/>
            <w:tcBorders>
              <w:top w:val="single" w:sz="4" w:space="0" w:color="auto"/>
              <w:bottom w:val="single" w:sz="4" w:space="0" w:color="auto"/>
            </w:tcBorders>
            <w:vAlign w:val="center"/>
          </w:tcPr>
          <w:p w14:paraId="6AC3F452" w14:textId="6B2E7554" w:rsidR="00E40A40" w:rsidRPr="00EA76AA" w:rsidRDefault="004175B6" w:rsidP="00B0497C">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KUW</w:t>
            </w:r>
          </w:p>
        </w:tc>
        <w:tc>
          <w:tcPr>
            <w:tcW w:w="815" w:type="pct"/>
            <w:gridSpan w:val="3"/>
            <w:tcBorders>
              <w:top w:val="single" w:sz="4" w:space="0" w:color="auto"/>
              <w:bottom w:val="single" w:sz="4" w:space="0" w:color="auto"/>
            </w:tcBorders>
            <w:vAlign w:val="center"/>
          </w:tcPr>
          <w:p w14:paraId="7A80F09C" w14:textId="77777777" w:rsidR="00E40A40" w:rsidRPr="00EA76AA" w:rsidRDefault="00E40A40" w:rsidP="00B0497C">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UAE</w:t>
            </w:r>
          </w:p>
        </w:tc>
      </w:tr>
      <w:tr w:rsidR="007F15D8" w:rsidRPr="00EA76AA" w14:paraId="7A6151C8" w14:textId="77777777" w:rsidTr="00EE03AD">
        <w:trPr>
          <w:trHeight w:val="340"/>
        </w:trPr>
        <w:tc>
          <w:tcPr>
            <w:tcW w:w="543" w:type="pct"/>
            <w:vMerge/>
            <w:tcBorders>
              <w:bottom w:val="single" w:sz="4" w:space="0" w:color="auto"/>
              <w:right w:val="single" w:sz="4" w:space="0" w:color="auto"/>
            </w:tcBorders>
          </w:tcPr>
          <w:p w14:paraId="4EE6698D" w14:textId="77777777" w:rsidR="00E40A40" w:rsidRPr="00EA76AA" w:rsidRDefault="00E40A40" w:rsidP="00E40A40">
            <w:pPr>
              <w:autoSpaceDE w:val="0"/>
              <w:autoSpaceDN w:val="0"/>
              <w:adjustRightInd w:val="0"/>
              <w:jc w:val="both"/>
              <w:rPr>
                <w:rFonts w:ascii="Times New Roman" w:hAnsi="Times New Roman" w:cs="Times New Roman"/>
                <w:noProof/>
                <w:sz w:val="20"/>
                <w:szCs w:val="20"/>
              </w:rPr>
            </w:pPr>
          </w:p>
        </w:tc>
        <w:tc>
          <w:tcPr>
            <w:tcW w:w="420" w:type="pct"/>
            <w:tcBorders>
              <w:top w:val="single" w:sz="4" w:space="0" w:color="auto"/>
              <w:left w:val="single" w:sz="4" w:space="0" w:color="auto"/>
              <w:bottom w:val="single" w:sz="4" w:space="0" w:color="auto"/>
            </w:tcBorders>
            <w:vAlign w:val="center"/>
          </w:tcPr>
          <w:p w14:paraId="786C2887" w14:textId="77777777" w:rsidR="00E40A40" w:rsidRPr="00EA76AA" w:rsidRDefault="00E40A40" w:rsidP="00EE03AD">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Mean</w:t>
            </w:r>
          </w:p>
        </w:tc>
        <w:tc>
          <w:tcPr>
            <w:tcW w:w="350" w:type="pct"/>
            <w:tcBorders>
              <w:top w:val="single" w:sz="4" w:space="0" w:color="auto"/>
              <w:bottom w:val="single" w:sz="4" w:space="0" w:color="auto"/>
            </w:tcBorders>
            <w:vAlign w:val="center"/>
          </w:tcPr>
          <w:p w14:paraId="685BA8DE" w14:textId="77777777" w:rsidR="00E40A40" w:rsidRPr="00EA76AA" w:rsidRDefault="00E40A40" w:rsidP="00EE03AD">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SD</w:t>
            </w:r>
          </w:p>
        </w:tc>
        <w:tc>
          <w:tcPr>
            <w:tcW w:w="350" w:type="pct"/>
            <w:tcBorders>
              <w:top w:val="single" w:sz="4" w:space="0" w:color="auto"/>
              <w:bottom w:val="single" w:sz="4" w:space="0" w:color="auto"/>
            </w:tcBorders>
            <w:vAlign w:val="center"/>
          </w:tcPr>
          <w:p w14:paraId="1F6A4729" w14:textId="77777777" w:rsidR="00E40A40" w:rsidRPr="00EA76AA" w:rsidRDefault="00E40A40" w:rsidP="00EE03AD">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Mean</w:t>
            </w:r>
          </w:p>
        </w:tc>
        <w:tc>
          <w:tcPr>
            <w:tcW w:w="349" w:type="pct"/>
            <w:tcBorders>
              <w:top w:val="single" w:sz="4" w:space="0" w:color="auto"/>
              <w:bottom w:val="single" w:sz="4" w:space="0" w:color="auto"/>
            </w:tcBorders>
            <w:vAlign w:val="center"/>
          </w:tcPr>
          <w:p w14:paraId="4B38A2B2" w14:textId="77777777" w:rsidR="00E40A40" w:rsidRPr="00EA76AA" w:rsidRDefault="00E40A40" w:rsidP="00EE03AD">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SD</w:t>
            </w:r>
          </w:p>
        </w:tc>
        <w:tc>
          <w:tcPr>
            <w:tcW w:w="420" w:type="pct"/>
            <w:tcBorders>
              <w:top w:val="single" w:sz="4" w:space="0" w:color="auto"/>
              <w:bottom w:val="single" w:sz="4" w:space="0" w:color="auto"/>
            </w:tcBorders>
            <w:vAlign w:val="center"/>
          </w:tcPr>
          <w:p w14:paraId="56C66659" w14:textId="77777777" w:rsidR="00E40A40" w:rsidRPr="00EA76AA" w:rsidRDefault="00E40A40" w:rsidP="00EE03AD">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Mean</w:t>
            </w:r>
          </w:p>
        </w:tc>
        <w:tc>
          <w:tcPr>
            <w:tcW w:w="378" w:type="pct"/>
            <w:tcBorders>
              <w:top w:val="single" w:sz="4" w:space="0" w:color="auto"/>
              <w:bottom w:val="single" w:sz="4" w:space="0" w:color="auto"/>
            </w:tcBorders>
            <w:vAlign w:val="center"/>
          </w:tcPr>
          <w:p w14:paraId="14513C73" w14:textId="77777777" w:rsidR="00E40A40" w:rsidRPr="00EA76AA" w:rsidRDefault="00E40A40" w:rsidP="00EE03AD">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SD</w:t>
            </w:r>
          </w:p>
        </w:tc>
        <w:tc>
          <w:tcPr>
            <w:tcW w:w="310" w:type="pct"/>
            <w:tcBorders>
              <w:top w:val="single" w:sz="4" w:space="0" w:color="auto"/>
              <w:bottom w:val="single" w:sz="4" w:space="0" w:color="auto"/>
            </w:tcBorders>
            <w:vAlign w:val="center"/>
          </w:tcPr>
          <w:p w14:paraId="0B88D2A2" w14:textId="77777777" w:rsidR="00E40A40" w:rsidRPr="00EA76AA" w:rsidRDefault="00E40A40" w:rsidP="00EE03AD">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Mean</w:t>
            </w:r>
          </w:p>
        </w:tc>
        <w:tc>
          <w:tcPr>
            <w:tcW w:w="332" w:type="pct"/>
            <w:tcBorders>
              <w:top w:val="single" w:sz="4" w:space="0" w:color="auto"/>
              <w:bottom w:val="single" w:sz="4" w:space="0" w:color="auto"/>
            </w:tcBorders>
            <w:vAlign w:val="center"/>
          </w:tcPr>
          <w:p w14:paraId="1B0555F0" w14:textId="77777777" w:rsidR="00E40A40" w:rsidRPr="00EA76AA" w:rsidRDefault="00E40A40" w:rsidP="00EE03AD">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SD</w:t>
            </w:r>
          </w:p>
        </w:tc>
        <w:tc>
          <w:tcPr>
            <w:tcW w:w="378" w:type="pct"/>
            <w:gridSpan w:val="2"/>
            <w:tcBorders>
              <w:top w:val="single" w:sz="4" w:space="0" w:color="auto"/>
              <w:bottom w:val="single" w:sz="4" w:space="0" w:color="auto"/>
            </w:tcBorders>
            <w:vAlign w:val="center"/>
          </w:tcPr>
          <w:p w14:paraId="36BE9DCC" w14:textId="77777777" w:rsidR="00E40A40" w:rsidRPr="00EA76AA" w:rsidRDefault="00E40A40" w:rsidP="00EE03AD">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Mean</w:t>
            </w:r>
          </w:p>
        </w:tc>
        <w:tc>
          <w:tcPr>
            <w:tcW w:w="355" w:type="pct"/>
            <w:tcBorders>
              <w:top w:val="single" w:sz="4" w:space="0" w:color="auto"/>
              <w:bottom w:val="single" w:sz="4" w:space="0" w:color="auto"/>
            </w:tcBorders>
            <w:vAlign w:val="center"/>
          </w:tcPr>
          <w:p w14:paraId="49B86B22" w14:textId="77777777" w:rsidR="00E40A40" w:rsidRPr="00EA76AA" w:rsidRDefault="00E40A40" w:rsidP="00EE03AD">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SD</w:t>
            </w:r>
          </w:p>
        </w:tc>
        <w:tc>
          <w:tcPr>
            <w:tcW w:w="398" w:type="pct"/>
            <w:gridSpan w:val="2"/>
            <w:tcBorders>
              <w:top w:val="single" w:sz="4" w:space="0" w:color="auto"/>
              <w:bottom w:val="single" w:sz="4" w:space="0" w:color="auto"/>
            </w:tcBorders>
            <w:vAlign w:val="center"/>
          </w:tcPr>
          <w:p w14:paraId="42F2D0E4" w14:textId="77777777" w:rsidR="00E40A40" w:rsidRPr="00EA76AA" w:rsidRDefault="00E40A40" w:rsidP="00EE03AD">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Mean</w:t>
            </w:r>
          </w:p>
        </w:tc>
        <w:tc>
          <w:tcPr>
            <w:tcW w:w="417" w:type="pct"/>
            <w:tcBorders>
              <w:top w:val="single" w:sz="4" w:space="0" w:color="auto"/>
              <w:bottom w:val="single" w:sz="4" w:space="0" w:color="auto"/>
            </w:tcBorders>
            <w:vAlign w:val="center"/>
          </w:tcPr>
          <w:p w14:paraId="784496FD" w14:textId="77777777" w:rsidR="00E40A40" w:rsidRPr="00EA76AA" w:rsidRDefault="00E40A40" w:rsidP="00EE03AD">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SD</w:t>
            </w:r>
          </w:p>
        </w:tc>
      </w:tr>
      <w:tr w:rsidR="007F15D8" w:rsidRPr="00EA76AA" w14:paraId="6E537604" w14:textId="77777777" w:rsidTr="00EE03AD">
        <w:trPr>
          <w:trHeight w:val="340"/>
        </w:trPr>
        <w:tc>
          <w:tcPr>
            <w:tcW w:w="543" w:type="pct"/>
            <w:tcBorders>
              <w:top w:val="single" w:sz="4" w:space="0" w:color="auto"/>
              <w:bottom w:val="single" w:sz="4" w:space="0" w:color="auto"/>
              <w:right w:val="single" w:sz="4" w:space="0" w:color="auto"/>
            </w:tcBorders>
            <w:vAlign w:val="center"/>
          </w:tcPr>
          <w:p w14:paraId="028B58D3" w14:textId="77777777" w:rsidR="00E40A40" w:rsidRPr="00EA76AA" w:rsidRDefault="00E40A40" w:rsidP="00A152B0">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SE</w:t>
            </w:r>
          </w:p>
        </w:tc>
        <w:tc>
          <w:tcPr>
            <w:tcW w:w="420" w:type="pct"/>
            <w:tcBorders>
              <w:top w:val="single" w:sz="4" w:space="0" w:color="auto"/>
              <w:left w:val="single" w:sz="4" w:space="0" w:color="auto"/>
              <w:bottom w:val="single" w:sz="4" w:space="0" w:color="auto"/>
            </w:tcBorders>
            <w:vAlign w:val="center"/>
          </w:tcPr>
          <w:p w14:paraId="36DB512C" w14:textId="77777777" w:rsidR="00E40A40" w:rsidRPr="00EA76AA" w:rsidRDefault="00E40A40" w:rsidP="00EE03AD">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2.56</w:t>
            </w:r>
          </w:p>
        </w:tc>
        <w:tc>
          <w:tcPr>
            <w:tcW w:w="350" w:type="pct"/>
            <w:tcBorders>
              <w:top w:val="single" w:sz="4" w:space="0" w:color="auto"/>
              <w:bottom w:val="single" w:sz="4" w:space="0" w:color="auto"/>
            </w:tcBorders>
            <w:vAlign w:val="center"/>
          </w:tcPr>
          <w:p w14:paraId="16C5D982" w14:textId="77777777" w:rsidR="00E40A40" w:rsidRPr="00EA76AA" w:rsidRDefault="00E40A40" w:rsidP="00EE03AD">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0.643</w:t>
            </w:r>
          </w:p>
        </w:tc>
        <w:tc>
          <w:tcPr>
            <w:tcW w:w="350" w:type="pct"/>
            <w:tcBorders>
              <w:top w:val="single" w:sz="4" w:space="0" w:color="auto"/>
              <w:bottom w:val="single" w:sz="4" w:space="0" w:color="auto"/>
            </w:tcBorders>
            <w:vAlign w:val="center"/>
          </w:tcPr>
          <w:p w14:paraId="3F361682" w14:textId="77777777" w:rsidR="00E40A40" w:rsidRPr="00EA76AA" w:rsidRDefault="00E40A40" w:rsidP="00EE03AD">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1.44</w:t>
            </w:r>
          </w:p>
        </w:tc>
        <w:tc>
          <w:tcPr>
            <w:tcW w:w="349" w:type="pct"/>
            <w:tcBorders>
              <w:top w:val="single" w:sz="4" w:space="0" w:color="auto"/>
              <w:bottom w:val="single" w:sz="4" w:space="0" w:color="auto"/>
            </w:tcBorders>
            <w:vAlign w:val="center"/>
          </w:tcPr>
          <w:p w14:paraId="190A619B" w14:textId="77777777" w:rsidR="00E40A40" w:rsidRPr="00EA76AA" w:rsidRDefault="00E40A40" w:rsidP="00EE03AD">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0.630</w:t>
            </w:r>
          </w:p>
        </w:tc>
        <w:tc>
          <w:tcPr>
            <w:tcW w:w="420" w:type="pct"/>
            <w:tcBorders>
              <w:top w:val="single" w:sz="4" w:space="0" w:color="auto"/>
              <w:bottom w:val="single" w:sz="4" w:space="0" w:color="auto"/>
            </w:tcBorders>
            <w:vAlign w:val="center"/>
          </w:tcPr>
          <w:p w14:paraId="3E4F2BC2" w14:textId="77777777" w:rsidR="00E40A40" w:rsidRPr="00EA76AA" w:rsidRDefault="00E40A40" w:rsidP="00EE03AD">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2.88</w:t>
            </w:r>
          </w:p>
        </w:tc>
        <w:tc>
          <w:tcPr>
            <w:tcW w:w="378" w:type="pct"/>
            <w:tcBorders>
              <w:top w:val="single" w:sz="4" w:space="0" w:color="auto"/>
              <w:bottom w:val="single" w:sz="4" w:space="0" w:color="auto"/>
            </w:tcBorders>
            <w:vAlign w:val="center"/>
          </w:tcPr>
          <w:p w14:paraId="7E4E9102" w14:textId="77777777" w:rsidR="00E40A40" w:rsidRPr="00EA76AA" w:rsidRDefault="00E40A40" w:rsidP="00EE03AD">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0.549</w:t>
            </w:r>
          </w:p>
        </w:tc>
        <w:tc>
          <w:tcPr>
            <w:tcW w:w="310" w:type="pct"/>
            <w:tcBorders>
              <w:top w:val="single" w:sz="4" w:space="0" w:color="auto"/>
              <w:bottom w:val="single" w:sz="4" w:space="0" w:color="auto"/>
            </w:tcBorders>
            <w:vAlign w:val="center"/>
          </w:tcPr>
          <w:p w14:paraId="271DEA45" w14:textId="77777777" w:rsidR="00E40A40" w:rsidRPr="00EA76AA" w:rsidRDefault="00E40A40" w:rsidP="00EE03AD">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2.14</w:t>
            </w:r>
          </w:p>
        </w:tc>
        <w:tc>
          <w:tcPr>
            <w:tcW w:w="336" w:type="pct"/>
            <w:gridSpan w:val="2"/>
            <w:tcBorders>
              <w:top w:val="single" w:sz="4" w:space="0" w:color="auto"/>
              <w:bottom w:val="single" w:sz="4" w:space="0" w:color="auto"/>
            </w:tcBorders>
            <w:vAlign w:val="center"/>
          </w:tcPr>
          <w:p w14:paraId="41B12C50" w14:textId="77777777" w:rsidR="00E40A40" w:rsidRPr="00EA76AA" w:rsidRDefault="00E40A40" w:rsidP="00EE03AD">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0.649</w:t>
            </w:r>
          </w:p>
        </w:tc>
        <w:tc>
          <w:tcPr>
            <w:tcW w:w="378" w:type="pct"/>
            <w:tcBorders>
              <w:top w:val="single" w:sz="4" w:space="0" w:color="auto"/>
              <w:bottom w:val="single" w:sz="4" w:space="0" w:color="auto"/>
            </w:tcBorders>
            <w:vAlign w:val="center"/>
          </w:tcPr>
          <w:p w14:paraId="44FDCB55" w14:textId="77777777" w:rsidR="00E40A40" w:rsidRPr="00EA76AA" w:rsidRDefault="00E40A40" w:rsidP="00EE03AD">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2.19</w:t>
            </w:r>
          </w:p>
        </w:tc>
        <w:tc>
          <w:tcPr>
            <w:tcW w:w="351" w:type="pct"/>
            <w:tcBorders>
              <w:top w:val="single" w:sz="4" w:space="0" w:color="auto"/>
              <w:bottom w:val="single" w:sz="4" w:space="0" w:color="auto"/>
            </w:tcBorders>
            <w:vAlign w:val="center"/>
          </w:tcPr>
          <w:p w14:paraId="576E66A7" w14:textId="77777777" w:rsidR="00E40A40" w:rsidRPr="00EA76AA" w:rsidRDefault="00E40A40" w:rsidP="00EE03AD">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0.517</w:t>
            </w:r>
          </w:p>
        </w:tc>
        <w:tc>
          <w:tcPr>
            <w:tcW w:w="394" w:type="pct"/>
            <w:tcBorders>
              <w:top w:val="single" w:sz="4" w:space="0" w:color="auto"/>
              <w:bottom w:val="single" w:sz="4" w:space="0" w:color="auto"/>
            </w:tcBorders>
            <w:vAlign w:val="center"/>
          </w:tcPr>
          <w:p w14:paraId="4164E84A" w14:textId="77777777" w:rsidR="00E40A40" w:rsidRPr="00EA76AA" w:rsidRDefault="00E40A40" w:rsidP="00EE03AD">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2.72</w:t>
            </w:r>
          </w:p>
        </w:tc>
        <w:tc>
          <w:tcPr>
            <w:tcW w:w="421" w:type="pct"/>
            <w:gridSpan w:val="2"/>
            <w:tcBorders>
              <w:top w:val="single" w:sz="4" w:space="0" w:color="auto"/>
              <w:bottom w:val="single" w:sz="4" w:space="0" w:color="auto"/>
            </w:tcBorders>
            <w:vAlign w:val="center"/>
          </w:tcPr>
          <w:p w14:paraId="57302DA2" w14:textId="77777777" w:rsidR="00E40A40" w:rsidRPr="00EA76AA" w:rsidRDefault="00E40A40" w:rsidP="00EE03AD">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0.533</w:t>
            </w:r>
          </w:p>
        </w:tc>
      </w:tr>
      <w:tr w:rsidR="007F15D8" w:rsidRPr="00EA76AA" w14:paraId="1D96CDE6" w14:textId="77777777" w:rsidTr="00EE03AD">
        <w:trPr>
          <w:trHeight w:val="340"/>
        </w:trPr>
        <w:tc>
          <w:tcPr>
            <w:tcW w:w="543" w:type="pct"/>
            <w:tcBorders>
              <w:top w:val="single" w:sz="4" w:space="0" w:color="auto"/>
              <w:bottom w:val="single" w:sz="4" w:space="0" w:color="auto"/>
              <w:right w:val="single" w:sz="4" w:space="0" w:color="auto"/>
            </w:tcBorders>
            <w:vAlign w:val="center"/>
          </w:tcPr>
          <w:p w14:paraId="12E37350" w14:textId="77777777" w:rsidR="00E40A40" w:rsidRPr="00EA76AA" w:rsidRDefault="00E40A40" w:rsidP="00A152B0">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CMS</w:t>
            </w:r>
          </w:p>
        </w:tc>
        <w:tc>
          <w:tcPr>
            <w:tcW w:w="420" w:type="pct"/>
            <w:tcBorders>
              <w:top w:val="single" w:sz="4" w:space="0" w:color="auto"/>
              <w:left w:val="single" w:sz="4" w:space="0" w:color="auto"/>
              <w:bottom w:val="single" w:sz="4" w:space="0" w:color="auto"/>
            </w:tcBorders>
            <w:vAlign w:val="center"/>
          </w:tcPr>
          <w:p w14:paraId="3ACB8148" w14:textId="77777777" w:rsidR="00E40A40" w:rsidRPr="00EA76AA" w:rsidRDefault="00E40A40" w:rsidP="00EE03AD">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1.51</w:t>
            </w:r>
          </w:p>
        </w:tc>
        <w:tc>
          <w:tcPr>
            <w:tcW w:w="350" w:type="pct"/>
            <w:tcBorders>
              <w:top w:val="single" w:sz="4" w:space="0" w:color="auto"/>
              <w:bottom w:val="single" w:sz="4" w:space="0" w:color="auto"/>
            </w:tcBorders>
            <w:vAlign w:val="center"/>
          </w:tcPr>
          <w:p w14:paraId="2C2B69FE" w14:textId="77777777" w:rsidR="00E40A40" w:rsidRPr="00EA76AA" w:rsidRDefault="00E40A40" w:rsidP="00EE03AD">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0.845</w:t>
            </w:r>
          </w:p>
        </w:tc>
        <w:tc>
          <w:tcPr>
            <w:tcW w:w="350" w:type="pct"/>
            <w:tcBorders>
              <w:top w:val="single" w:sz="4" w:space="0" w:color="auto"/>
              <w:bottom w:val="single" w:sz="4" w:space="0" w:color="auto"/>
            </w:tcBorders>
            <w:vAlign w:val="center"/>
          </w:tcPr>
          <w:p w14:paraId="188E1004" w14:textId="77777777" w:rsidR="00E40A40" w:rsidRPr="00EA76AA" w:rsidRDefault="00E40A40" w:rsidP="00EE03AD">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0.243</w:t>
            </w:r>
          </w:p>
        </w:tc>
        <w:tc>
          <w:tcPr>
            <w:tcW w:w="349" w:type="pct"/>
            <w:tcBorders>
              <w:top w:val="single" w:sz="4" w:space="0" w:color="auto"/>
              <w:bottom w:val="single" w:sz="4" w:space="0" w:color="auto"/>
            </w:tcBorders>
            <w:vAlign w:val="center"/>
          </w:tcPr>
          <w:p w14:paraId="1D091BA8" w14:textId="77777777" w:rsidR="00E40A40" w:rsidRPr="00EA76AA" w:rsidRDefault="00E40A40" w:rsidP="00EE03AD">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0.945</w:t>
            </w:r>
          </w:p>
        </w:tc>
        <w:tc>
          <w:tcPr>
            <w:tcW w:w="420" w:type="pct"/>
            <w:tcBorders>
              <w:top w:val="single" w:sz="4" w:space="0" w:color="auto"/>
              <w:bottom w:val="single" w:sz="4" w:space="0" w:color="auto"/>
            </w:tcBorders>
            <w:vAlign w:val="center"/>
          </w:tcPr>
          <w:p w14:paraId="0176CA56" w14:textId="77777777" w:rsidR="00E40A40" w:rsidRPr="00EA76AA" w:rsidRDefault="00E40A40" w:rsidP="00EE03AD">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2.20</w:t>
            </w:r>
          </w:p>
        </w:tc>
        <w:tc>
          <w:tcPr>
            <w:tcW w:w="378" w:type="pct"/>
            <w:tcBorders>
              <w:top w:val="single" w:sz="4" w:space="0" w:color="auto"/>
              <w:bottom w:val="single" w:sz="4" w:space="0" w:color="auto"/>
            </w:tcBorders>
            <w:vAlign w:val="center"/>
          </w:tcPr>
          <w:p w14:paraId="453CF19A" w14:textId="77777777" w:rsidR="00E40A40" w:rsidRPr="00EA76AA" w:rsidRDefault="00E40A40" w:rsidP="00EE03AD">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0.740</w:t>
            </w:r>
          </w:p>
        </w:tc>
        <w:tc>
          <w:tcPr>
            <w:tcW w:w="310" w:type="pct"/>
            <w:tcBorders>
              <w:top w:val="single" w:sz="4" w:space="0" w:color="auto"/>
              <w:bottom w:val="single" w:sz="4" w:space="0" w:color="auto"/>
            </w:tcBorders>
            <w:vAlign w:val="center"/>
          </w:tcPr>
          <w:p w14:paraId="4E0D68CD" w14:textId="77777777" w:rsidR="00E40A40" w:rsidRPr="00EA76AA" w:rsidRDefault="00E40A40" w:rsidP="00EE03AD">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1.23</w:t>
            </w:r>
          </w:p>
        </w:tc>
        <w:tc>
          <w:tcPr>
            <w:tcW w:w="336" w:type="pct"/>
            <w:gridSpan w:val="2"/>
            <w:tcBorders>
              <w:top w:val="single" w:sz="4" w:space="0" w:color="auto"/>
              <w:bottom w:val="single" w:sz="4" w:space="0" w:color="auto"/>
            </w:tcBorders>
            <w:vAlign w:val="center"/>
          </w:tcPr>
          <w:p w14:paraId="737A6D31" w14:textId="77777777" w:rsidR="00E40A40" w:rsidRPr="00EA76AA" w:rsidRDefault="00E40A40" w:rsidP="00EE03AD">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0.841</w:t>
            </w:r>
          </w:p>
        </w:tc>
        <w:tc>
          <w:tcPr>
            <w:tcW w:w="378" w:type="pct"/>
            <w:tcBorders>
              <w:top w:val="single" w:sz="4" w:space="0" w:color="auto"/>
              <w:bottom w:val="single" w:sz="4" w:space="0" w:color="auto"/>
            </w:tcBorders>
            <w:vAlign w:val="center"/>
          </w:tcPr>
          <w:p w14:paraId="3ABBE025" w14:textId="77777777" w:rsidR="00E40A40" w:rsidRPr="00EA76AA" w:rsidRDefault="00E40A40" w:rsidP="00EE03AD">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1.114</w:t>
            </w:r>
          </w:p>
        </w:tc>
        <w:tc>
          <w:tcPr>
            <w:tcW w:w="351" w:type="pct"/>
            <w:tcBorders>
              <w:top w:val="single" w:sz="4" w:space="0" w:color="auto"/>
              <w:bottom w:val="single" w:sz="4" w:space="0" w:color="auto"/>
            </w:tcBorders>
            <w:vAlign w:val="center"/>
          </w:tcPr>
          <w:p w14:paraId="5492C248" w14:textId="77777777" w:rsidR="00E40A40" w:rsidRPr="00EA76AA" w:rsidRDefault="00E40A40" w:rsidP="00EE03AD">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0.600</w:t>
            </w:r>
          </w:p>
        </w:tc>
        <w:tc>
          <w:tcPr>
            <w:tcW w:w="394" w:type="pct"/>
            <w:tcBorders>
              <w:top w:val="single" w:sz="4" w:space="0" w:color="auto"/>
              <w:bottom w:val="single" w:sz="4" w:space="0" w:color="auto"/>
            </w:tcBorders>
            <w:vAlign w:val="center"/>
          </w:tcPr>
          <w:p w14:paraId="1D343201" w14:textId="77777777" w:rsidR="00E40A40" w:rsidRPr="00EA76AA" w:rsidRDefault="00E40A40" w:rsidP="00EE03AD">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1.79</w:t>
            </w:r>
          </w:p>
        </w:tc>
        <w:tc>
          <w:tcPr>
            <w:tcW w:w="421" w:type="pct"/>
            <w:gridSpan w:val="2"/>
            <w:tcBorders>
              <w:top w:val="single" w:sz="4" w:space="0" w:color="auto"/>
              <w:bottom w:val="single" w:sz="4" w:space="0" w:color="auto"/>
            </w:tcBorders>
            <w:vAlign w:val="center"/>
          </w:tcPr>
          <w:p w14:paraId="766F0EC7" w14:textId="77777777" w:rsidR="00E40A40" w:rsidRPr="00EA76AA" w:rsidRDefault="00E40A40" w:rsidP="00EE03AD">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0.861</w:t>
            </w:r>
          </w:p>
        </w:tc>
      </w:tr>
      <w:tr w:rsidR="007F15D8" w:rsidRPr="00EA76AA" w14:paraId="07E09126" w14:textId="77777777" w:rsidTr="00EE03AD">
        <w:trPr>
          <w:trHeight w:val="340"/>
        </w:trPr>
        <w:tc>
          <w:tcPr>
            <w:tcW w:w="543" w:type="pct"/>
            <w:tcBorders>
              <w:top w:val="single" w:sz="4" w:space="0" w:color="auto"/>
              <w:bottom w:val="single" w:sz="4" w:space="0" w:color="auto"/>
              <w:right w:val="single" w:sz="4" w:space="0" w:color="auto"/>
            </w:tcBorders>
            <w:vAlign w:val="center"/>
          </w:tcPr>
          <w:p w14:paraId="3D65AFB8" w14:textId="77777777" w:rsidR="00E40A40" w:rsidRPr="00EA76AA" w:rsidRDefault="00E40A40" w:rsidP="00A152B0">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TD</w:t>
            </w:r>
          </w:p>
        </w:tc>
        <w:tc>
          <w:tcPr>
            <w:tcW w:w="420" w:type="pct"/>
            <w:tcBorders>
              <w:top w:val="single" w:sz="4" w:space="0" w:color="auto"/>
              <w:left w:val="single" w:sz="4" w:space="0" w:color="auto"/>
              <w:bottom w:val="single" w:sz="4" w:space="0" w:color="auto"/>
            </w:tcBorders>
            <w:vAlign w:val="center"/>
          </w:tcPr>
          <w:p w14:paraId="01130468" w14:textId="77777777" w:rsidR="00E40A40" w:rsidRPr="00EA76AA" w:rsidRDefault="00E40A40" w:rsidP="00EE03AD">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2.19</w:t>
            </w:r>
          </w:p>
        </w:tc>
        <w:tc>
          <w:tcPr>
            <w:tcW w:w="350" w:type="pct"/>
            <w:tcBorders>
              <w:top w:val="single" w:sz="4" w:space="0" w:color="auto"/>
              <w:bottom w:val="single" w:sz="4" w:space="0" w:color="auto"/>
            </w:tcBorders>
            <w:vAlign w:val="center"/>
          </w:tcPr>
          <w:p w14:paraId="519CC619" w14:textId="77777777" w:rsidR="00E40A40" w:rsidRPr="00EA76AA" w:rsidRDefault="00E40A40" w:rsidP="00EE03AD">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1.03</w:t>
            </w:r>
          </w:p>
        </w:tc>
        <w:tc>
          <w:tcPr>
            <w:tcW w:w="350" w:type="pct"/>
            <w:tcBorders>
              <w:top w:val="single" w:sz="4" w:space="0" w:color="auto"/>
              <w:bottom w:val="single" w:sz="4" w:space="0" w:color="auto"/>
            </w:tcBorders>
            <w:vAlign w:val="center"/>
          </w:tcPr>
          <w:p w14:paraId="06688F65" w14:textId="77777777" w:rsidR="00E40A40" w:rsidRPr="00EA76AA" w:rsidRDefault="00E40A40" w:rsidP="00EE03AD">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1.08</w:t>
            </w:r>
          </w:p>
        </w:tc>
        <w:tc>
          <w:tcPr>
            <w:tcW w:w="349" w:type="pct"/>
            <w:tcBorders>
              <w:top w:val="single" w:sz="4" w:space="0" w:color="auto"/>
              <w:bottom w:val="single" w:sz="4" w:space="0" w:color="auto"/>
            </w:tcBorders>
            <w:vAlign w:val="center"/>
          </w:tcPr>
          <w:p w14:paraId="7451BA41" w14:textId="77777777" w:rsidR="00E40A40" w:rsidRPr="00EA76AA" w:rsidRDefault="00E40A40" w:rsidP="00EE03AD">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0.773</w:t>
            </w:r>
          </w:p>
        </w:tc>
        <w:tc>
          <w:tcPr>
            <w:tcW w:w="420" w:type="pct"/>
            <w:tcBorders>
              <w:top w:val="single" w:sz="4" w:space="0" w:color="auto"/>
              <w:bottom w:val="single" w:sz="4" w:space="0" w:color="auto"/>
            </w:tcBorders>
            <w:vAlign w:val="center"/>
          </w:tcPr>
          <w:p w14:paraId="7E634206" w14:textId="77777777" w:rsidR="00E40A40" w:rsidRPr="00EA76AA" w:rsidRDefault="00E40A40" w:rsidP="00EE03AD">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2.62</w:t>
            </w:r>
          </w:p>
        </w:tc>
        <w:tc>
          <w:tcPr>
            <w:tcW w:w="378" w:type="pct"/>
            <w:tcBorders>
              <w:top w:val="single" w:sz="4" w:space="0" w:color="auto"/>
              <w:bottom w:val="single" w:sz="4" w:space="0" w:color="auto"/>
            </w:tcBorders>
            <w:vAlign w:val="center"/>
          </w:tcPr>
          <w:p w14:paraId="40E8EE78" w14:textId="77777777" w:rsidR="00E40A40" w:rsidRPr="00EA76AA" w:rsidRDefault="00E40A40" w:rsidP="00EE03AD">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0.924</w:t>
            </w:r>
          </w:p>
        </w:tc>
        <w:tc>
          <w:tcPr>
            <w:tcW w:w="310" w:type="pct"/>
            <w:tcBorders>
              <w:top w:val="single" w:sz="4" w:space="0" w:color="auto"/>
              <w:bottom w:val="single" w:sz="4" w:space="0" w:color="auto"/>
            </w:tcBorders>
            <w:vAlign w:val="center"/>
          </w:tcPr>
          <w:p w14:paraId="43114909" w14:textId="77777777" w:rsidR="00E40A40" w:rsidRPr="00EA76AA" w:rsidRDefault="00E40A40" w:rsidP="00EE03AD">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1.75</w:t>
            </w:r>
          </w:p>
        </w:tc>
        <w:tc>
          <w:tcPr>
            <w:tcW w:w="336" w:type="pct"/>
            <w:gridSpan w:val="2"/>
            <w:tcBorders>
              <w:top w:val="single" w:sz="4" w:space="0" w:color="auto"/>
              <w:bottom w:val="single" w:sz="4" w:space="0" w:color="auto"/>
            </w:tcBorders>
            <w:vAlign w:val="center"/>
          </w:tcPr>
          <w:p w14:paraId="092BB723" w14:textId="77777777" w:rsidR="00E40A40" w:rsidRPr="00EA76AA" w:rsidRDefault="00E40A40" w:rsidP="00EE03AD">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0.744</w:t>
            </w:r>
          </w:p>
        </w:tc>
        <w:tc>
          <w:tcPr>
            <w:tcW w:w="378" w:type="pct"/>
            <w:tcBorders>
              <w:top w:val="single" w:sz="4" w:space="0" w:color="auto"/>
              <w:bottom w:val="single" w:sz="4" w:space="0" w:color="auto"/>
            </w:tcBorders>
            <w:vAlign w:val="center"/>
          </w:tcPr>
          <w:p w14:paraId="6D1D7D86" w14:textId="77777777" w:rsidR="00E40A40" w:rsidRPr="00EA76AA" w:rsidRDefault="00E40A40" w:rsidP="00EE03AD">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2.09</w:t>
            </w:r>
          </w:p>
        </w:tc>
        <w:tc>
          <w:tcPr>
            <w:tcW w:w="351" w:type="pct"/>
            <w:tcBorders>
              <w:top w:val="single" w:sz="4" w:space="0" w:color="auto"/>
              <w:bottom w:val="single" w:sz="4" w:space="0" w:color="auto"/>
            </w:tcBorders>
            <w:vAlign w:val="center"/>
          </w:tcPr>
          <w:p w14:paraId="1F656648" w14:textId="77777777" w:rsidR="00E40A40" w:rsidRPr="00EA76AA" w:rsidRDefault="00E40A40" w:rsidP="00EE03AD">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0.797</w:t>
            </w:r>
          </w:p>
        </w:tc>
        <w:tc>
          <w:tcPr>
            <w:tcW w:w="394" w:type="pct"/>
            <w:tcBorders>
              <w:top w:val="single" w:sz="4" w:space="0" w:color="auto"/>
              <w:bottom w:val="single" w:sz="4" w:space="0" w:color="auto"/>
            </w:tcBorders>
            <w:vAlign w:val="center"/>
          </w:tcPr>
          <w:p w14:paraId="1011A184" w14:textId="77777777" w:rsidR="00E40A40" w:rsidRPr="00EA76AA" w:rsidRDefault="00E40A40" w:rsidP="00EE03AD">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2.22</w:t>
            </w:r>
          </w:p>
        </w:tc>
        <w:tc>
          <w:tcPr>
            <w:tcW w:w="421" w:type="pct"/>
            <w:gridSpan w:val="2"/>
            <w:tcBorders>
              <w:top w:val="single" w:sz="4" w:space="0" w:color="auto"/>
              <w:bottom w:val="single" w:sz="4" w:space="0" w:color="auto"/>
            </w:tcBorders>
            <w:vAlign w:val="center"/>
          </w:tcPr>
          <w:p w14:paraId="0F6DF1C3" w14:textId="77777777" w:rsidR="00E40A40" w:rsidRPr="00EA76AA" w:rsidRDefault="00E40A40" w:rsidP="00EE03AD">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0.989</w:t>
            </w:r>
          </w:p>
        </w:tc>
      </w:tr>
      <w:tr w:rsidR="007F15D8" w:rsidRPr="00EA76AA" w14:paraId="0DF1D6C3" w14:textId="77777777" w:rsidTr="00EE03AD">
        <w:trPr>
          <w:trHeight w:val="340"/>
        </w:trPr>
        <w:tc>
          <w:tcPr>
            <w:tcW w:w="543" w:type="pct"/>
            <w:tcBorders>
              <w:top w:val="single" w:sz="4" w:space="0" w:color="auto"/>
              <w:bottom w:val="single" w:sz="4" w:space="0" w:color="auto"/>
              <w:right w:val="single" w:sz="4" w:space="0" w:color="auto"/>
            </w:tcBorders>
            <w:vAlign w:val="center"/>
          </w:tcPr>
          <w:p w14:paraId="4D2D00F9" w14:textId="77777777" w:rsidR="00E40A40" w:rsidRPr="00EA76AA" w:rsidRDefault="00E40A40" w:rsidP="00A152B0">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TS</w:t>
            </w:r>
          </w:p>
        </w:tc>
        <w:tc>
          <w:tcPr>
            <w:tcW w:w="420" w:type="pct"/>
            <w:tcBorders>
              <w:top w:val="single" w:sz="4" w:space="0" w:color="auto"/>
              <w:left w:val="single" w:sz="4" w:space="0" w:color="auto"/>
              <w:bottom w:val="single" w:sz="4" w:space="0" w:color="auto"/>
            </w:tcBorders>
            <w:vAlign w:val="center"/>
          </w:tcPr>
          <w:p w14:paraId="528B23B4" w14:textId="77777777" w:rsidR="00E40A40" w:rsidRPr="00EA76AA" w:rsidRDefault="00E40A40" w:rsidP="00EE03AD">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2.43</w:t>
            </w:r>
          </w:p>
        </w:tc>
        <w:tc>
          <w:tcPr>
            <w:tcW w:w="350" w:type="pct"/>
            <w:tcBorders>
              <w:top w:val="single" w:sz="4" w:space="0" w:color="auto"/>
              <w:bottom w:val="single" w:sz="4" w:space="0" w:color="auto"/>
            </w:tcBorders>
            <w:vAlign w:val="center"/>
          </w:tcPr>
          <w:p w14:paraId="3EE582AA" w14:textId="77777777" w:rsidR="00E40A40" w:rsidRPr="00EA76AA" w:rsidRDefault="00E40A40" w:rsidP="00EE03AD">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0.743</w:t>
            </w:r>
          </w:p>
        </w:tc>
        <w:tc>
          <w:tcPr>
            <w:tcW w:w="350" w:type="pct"/>
            <w:tcBorders>
              <w:top w:val="single" w:sz="4" w:space="0" w:color="auto"/>
              <w:bottom w:val="single" w:sz="4" w:space="0" w:color="auto"/>
            </w:tcBorders>
            <w:vAlign w:val="center"/>
          </w:tcPr>
          <w:p w14:paraId="05D2782C" w14:textId="77777777" w:rsidR="00E40A40" w:rsidRPr="00EA76AA" w:rsidRDefault="00E40A40" w:rsidP="00EE03AD">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1.50</w:t>
            </w:r>
          </w:p>
        </w:tc>
        <w:tc>
          <w:tcPr>
            <w:tcW w:w="349" w:type="pct"/>
            <w:tcBorders>
              <w:top w:val="single" w:sz="4" w:space="0" w:color="auto"/>
              <w:bottom w:val="single" w:sz="4" w:space="0" w:color="auto"/>
            </w:tcBorders>
            <w:vAlign w:val="center"/>
          </w:tcPr>
          <w:p w14:paraId="7658DD3D" w14:textId="77777777" w:rsidR="00E40A40" w:rsidRPr="00EA76AA" w:rsidRDefault="00E40A40" w:rsidP="00EE03AD">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0.768</w:t>
            </w:r>
          </w:p>
        </w:tc>
        <w:tc>
          <w:tcPr>
            <w:tcW w:w="420" w:type="pct"/>
            <w:tcBorders>
              <w:top w:val="single" w:sz="4" w:space="0" w:color="auto"/>
              <w:bottom w:val="single" w:sz="4" w:space="0" w:color="auto"/>
            </w:tcBorders>
            <w:vAlign w:val="center"/>
          </w:tcPr>
          <w:p w14:paraId="4A2C6246" w14:textId="77777777" w:rsidR="00E40A40" w:rsidRPr="00EA76AA" w:rsidRDefault="00E40A40" w:rsidP="00EE03AD">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2.64</w:t>
            </w:r>
          </w:p>
        </w:tc>
        <w:tc>
          <w:tcPr>
            <w:tcW w:w="378" w:type="pct"/>
            <w:tcBorders>
              <w:top w:val="single" w:sz="4" w:space="0" w:color="auto"/>
              <w:bottom w:val="single" w:sz="4" w:space="0" w:color="auto"/>
            </w:tcBorders>
            <w:vAlign w:val="center"/>
          </w:tcPr>
          <w:p w14:paraId="23C2EDAD" w14:textId="77777777" w:rsidR="00E40A40" w:rsidRPr="00EA76AA" w:rsidRDefault="00E40A40" w:rsidP="00EE03AD">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0.659</w:t>
            </w:r>
          </w:p>
        </w:tc>
        <w:tc>
          <w:tcPr>
            <w:tcW w:w="310" w:type="pct"/>
            <w:tcBorders>
              <w:top w:val="single" w:sz="4" w:space="0" w:color="auto"/>
              <w:bottom w:val="single" w:sz="4" w:space="0" w:color="auto"/>
            </w:tcBorders>
            <w:vAlign w:val="center"/>
          </w:tcPr>
          <w:p w14:paraId="0824BBF3" w14:textId="77777777" w:rsidR="00E40A40" w:rsidRPr="00EA76AA" w:rsidRDefault="00E40A40" w:rsidP="00EE03AD">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2.07</w:t>
            </w:r>
          </w:p>
        </w:tc>
        <w:tc>
          <w:tcPr>
            <w:tcW w:w="336" w:type="pct"/>
            <w:gridSpan w:val="2"/>
            <w:tcBorders>
              <w:top w:val="single" w:sz="4" w:space="0" w:color="auto"/>
              <w:bottom w:val="single" w:sz="4" w:space="0" w:color="auto"/>
            </w:tcBorders>
            <w:vAlign w:val="center"/>
          </w:tcPr>
          <w:p w14:paraId="044B124D" w14:textId="77777777" w:rsidR="00E40A40" w:rsidRPr="00EA76AA" w:rsidRDefault="00E40A40" w:rsidP="00EE03AD">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0.753</w:t>
            </w:r>
          </w:p>
        </w:tc>
        <w:tc>
          <w:tcPr>
            <w:tcW w:w="378" w:type="pct"/>
            <w:tcBorders>
              <w:top w:val="single" w:sz="4" w:space="0" w:color="auto"/>
              <w:bottom w:val="single" w:sz="4" w:space="0" w:color="auto"/>
            </w:tcBorders>
            <w:vAlign w:val="center"/>
          </w:tcPr>
          <w:p w14:paraId="4F09D037" w14:textId="77777777" w:rsidR="00E40A40" w:rsidRPr="00EA76AA" w:rsidRDefault="00E40A40" w:rsidP="00EE03AD">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1.99</w:t>
            </w:r>
          </w:p>
        </w:tc>
        <w:tc>
          <w:tcPr>
            <w:tcW w:w="351" w:type="pct"/>
            <w:tcBorders>
              <w:top w:val="single" w:sz="4" w:space="0" w:color="auto"/>
              <w:bottom w:val="single" w:sz="4" w:space="0" w:color="auto"/>
            </w:tcBorders>
            <w:vAlign w:val="center"/>
          </w:tcPr>
          <w:p w14:paraId="4685A951" w14:textId="77777777" w:rsidR="00E40A40" w:rsidRPr="00EA76AA" w:rsidRDefault="00E40A40" w:rsidP="00EE03AD">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0.451</w:t>
            </w:r>
          </w:p>
        </w:tc>
        <w:tc>
          <w:tcPr>
            <w:tcW w:w="394" w:type="pct"/>
            <w:tcBorders>
              <w:top w:val="single" w:sz="4" w:space="0" w:color="auto"/>
              <w:bottom w:val="single" w:sz="4" w:space="0" w:color="auto"/>
            </w:tcBorders>
            <w:vAlign w:val="center"/>
          </w:tcPr>
          <w:p w14:paraId="10BD7261" w14:textId="77777777" w:rsidR="00E40A40" w:rsidRPr="00EA76AA" w:rsidRDefault="00E40A40" w:rsidP="00EE03AD">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2.53</w:t>
            </w:r>
          </w:p>
        </w:tc>
        <w:tc>
          <w:tcPr>
            <w:tcW w:w="421" w:type="pct"/>
            <w:gridSpan w:val="2"/>
            <w:tcBorders>
              <w:top w:val="single" w:sz="4" w:space="0" w:color="auto"/>
              <w:bottom w:val="single" w:sz="4" w:space="0" w:color="auto"/>
            </w:tcBorders>
            <w:vAlign w:val="center"/>
          </w:tcPr>
          <w:p w14:paraId="4ED9A092" w14:textId="77777777" w:rsidR="00E40A40" w:rsidRPr="00EA76AA" w:rsidRDefault="00E40A40" w:rsidP="00EE03AD">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0.672</w:t>
            </w:r>
          </w:p>
        </w:tc>
      </w:tr>
      <w:tr w:rsidR="007F15D8" w:rsidRPr="00EA76AA" w14:paraId="5F16E50C" w14:textId="77777777" w:rsidTr="00A152B0">
        <w:trPr>
          <w:trHeight w:val="340"/>
        </w:trPr>
        <w:tc>
          <w:tcPr>
            <w:tcW w:w="543" w:type="pct"/>
            <w:tcBorders>
              <w:top w:val="single" w:sz="4" w:space="0" w:color="auto"/>
              <w:bottom w:val="single" w:sz="4" w:space="0" w:color="auto"/>
              <w:right w:val="single" w:sz="4" w:space="0" w:color="auto"/>
            </w:tcBorders>
            <w:vAlign w:val="center"/>
          </w:tcPr>
          <w:p w14:paraId="11C8A287" w14:textId="77777777" w:rsidR="00E40A40" w:rsidRPr="00EA76AA" w:rsidRDefault="00E40A40" w:rsidP="00A152B0">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EQ (ESI)</w:t>
            </w:r>
          </w:p>
        </w:tc>
        <w:tc>
          <w:tcPr>
            <w:tcW w:w="770" w:type="pct"/>
            <w:gridSpan w:val="2"/>
            <w:tcBorders>
              <w:top w:val="single" w:sz="4" w:space="0" w:color="auto"/>
              <w:left w:val="single" w:sz="4" w:space="0" w:color="auto"/>
              <w:bottom w:val="single" w:sz="4" w:space="0" w:color="auto"/>
            </w:tcBorders>
            <w:vAlign w:val="center"/>
          </w:tcPr>
          <w:p w14:paraId="590FC48C" w14:textId="77777777" w:rsidR="00E40A40" w:rsidRPr="00EA76AA" w:rsidRDefault="00E40A40" w:rsidP="00B0497C">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1.33</w:t>
            </w:r>
          </w:p>
        </w:tc>
        <w:tc>
          <w:tcPr>
            <w:tcW w:w="699" w:type="pct"/>
            <w:gridSpan w:val="2"/>
            <w:tcBorders>
              <w:top w:val="single" w:sz="4" w:space="0" w:color="auto"/>
              <w:bottom w:val="single" w:sz="4" w:space="0" w:color="auto"/>
            </w:tcBorders>
            <w:vAlign w:val="center"/>
          </w:tcPr>
          <w:p w14:paraId="4CF40ED8" w14:textId="77777777" w:rsidR="00E40A40" w:rsidRPr="00EA76AA" w:rsidRDefault="00E40A40" w:rsidP="00B0497C">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1.52</w:t>
            </w:r>
          </w:p>
        </w:tc>
        <w:tc>
          <w:tcPr>
            <w:tcW w:w="798" w:type="pct"/>
            <w:gridSpan w:val="2"/>
            <w:tcBorders>
              <w:top w:val="single" w:sz="4" w:space="0" w:color="auto"/>
              <w:bottom w:val="single" w:sz="4" w:space="0" w:color="auto"/>
            </w:tcBorders>
            <w:vAlign w:val="center"/>
          </w:tcPr>
          <w:p w14:paraId="49EA4218" w14:textId="77777777" w:rsidR="00E40A40" w:rsidRPr="00EA76AA" w:rsidRDefault="00E40A40" w:rsidP="00B0497C">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1.25</w:t>
            </w:r>
          </w:p>
        </w:tc>
        <w:tc>
          <w:tcPr>
            <w:tcW w:w="645" w:type="pct"/>
            <w:gridSpan w:val="3"/>
            <w:tcBorders>
              <w:top w:val="single" w:sz="4" w:space="0" w:color="auto"/>
              <w:bottom w:val="single" w:sz="4" w:space="0" w:color="auto"/>
            </w:tcBorders>
            <w:vAlign w:val="center"/>
          </w:tcPr>
          <w:p w14:paraId="3AF67374" w14:textId="77777777" w:rsidR="00E40A40" w:rsidRPr="00EA76AA" w:rsidRDefault="00E40A40" w:rsidP="00B0497C">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1.28</w:t>
            </w:r>
          </w:p>
        </w:tc>
        <w:tc>
          <w:tcPr>
            <w:tcW w:w="729" w:type="pct"/>
            <w:gridSpan w:val="2"/>
            <w:tcBorders>
              <w:top w:val="single" w:sz="4" w:space="0" w:color="auto"/>
              <w:bottom w:val="single" w:sz="4" w:space="0" w:color="auto"/>
            </w:tcBorders>
            <w:vAlign w:val="center"/>
          </w:tcPr>
          <w:p w14:paraId="1BB7EFBA" w14:textId="77777777" w:rsidR="00E40A40" w:rsidRPr="00EA76AA" w:rsidRDefault="00E40A40" w:rsidP="00B0497C">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1.59</w:t>
            </w:r>
          </w:p>
        </w:tc>
        <w:tc>
          <w:tcPr>
            <w:tcW w:w="815" w:type="pct"/>
            <w:gridSpan w:val="3"/>
            <w:tcBorders>
              <w:top w:val="single" w:sz="4" w:space="0" w:color="auto"/>
              <w:bottom w:val="single" w:sz="4" w:space="0" w:color="auto"/>
            </w:tcBorders>
            <w:vAlign w:val="center"/>
          </w:tcPr>
          <w:p w14:paraId="7A746A17" w14:textId="77777777" w:rsidR="00E40A40" w:rsidRPr="00EA76AA" w:rsidRDefault="00E40A40" w:rsidP="00B0497C">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1.24</w:t>
            </w:r>
          </w:p>
        </w:tc>
      </w:tr>
    </w:tbl>
    <w:p w14:paraId="69BC14F7" w14:textId="77777777" w:rsidR="00B0497C" w:rsidRDefault="00B0497C" w:rsidP="000E68F6">
      <w:pPr>
        <w:spacing w:after="0" w:line="240" w:lineRule="auto"/>
        <w:ind w:firstLine="510"/>
        <w:jc w:val="both"/>
        <w:rPr>
          <w:rFonts w:ascii="Times New Roman" w:hAnsi="Times New Roman"/>
          <w:sz w:val="26"/>
        </w:rPr>
      </w:pPr>
    </w:p>
    <w:p w14:paraId="09683D89" w14:textId="651479D4" w:rsidR="00645D53" w:rsidRPr="007F15D8" w:rsidRDefault="00645D53" w:rsidP="00B730DC">
      <w:pPr>
        <w:snapToGrid w:val="0"/>
        <w:spacing w:after="0" w:line="360" w:lineRule="exact"/>
        <w:ind w:firstLine="510"/>
        <w:jc w:val="both"/>
        <w:rPr>
          <w:rFonts w:ascii="Times New Roman" w:hAnsi="Times New Roman"/>
          <w:sz w:val="26"/>
        </w:rPr>
      </w:pPr>
      <w:r w:rsidRPr="007F15D8">
        <w:rPr>
          <w:rFonts w:ascii="Times New Roman" w:hAnsi="Times New Roman"/>
          <w:sz w:val="26"/>
        </w:rPr>
        <w:t xml:space="preserve">Table </w:t>
      </w:r>
      <w:r w:rsidR="0035550B" w:rsidRPr="007F15D8">
        <w:rPr>
          <w:rFonts w:ascii="Times New Roman" w:hAnsi="Times New Roman" w:cs="Times New Roman"/>
          <w:sz w:val="26"/>
          <w:szCs w:val="26"/>
        </w:rPr>
        <w:t>12</w:t>
      </w:r>
      <w:r w:rsidRPr="007F15D8">
        <w:rPr>
          <w:rFonts w:ascii="Times New Roman" w:hAnsi="Times New Roman"/>
          <w:sz w:val="26"/>
        </w:rPr>
        <w:t xml:space="preserve"> shows that the highest </w:t>
      </w:r>
      <w:r w:rsidR="00C94562" w:rsidRPr="007F15D8">
        <w:rPr>
          <w:rFonts w:ascii="Times New Roman" w:hAnsi="Times New Roman"/>
          <w:sz w:val="26"/>
        </w:rPr>
        <w:t>SE</w:t>
      </w:r>
      <w:r w:rsidRPr="007F15D8">
        <w:rPr>
          <w:rFonts w:ascii="Times New Roman" w:hAnsi="Times New Roman"/>
          <w:sz w:val="26"/>
        </w:rPr>
        <w:t xml:space="preserve">, </w:t>
      </w:r>
      <w:r w:rsidR="00C94562" w:rsidRPr="007F15D8">
        <w:rPr>
          <w:rFonts w:ascii="Times New Roman" w:hAnsi="Times New Roman"/>
          <w:sz w:val="26"/>
        </w:rPr>
        <w:t>TD</w:t>
      </w:r>
      <w:r w:rsidRPr="007F15D8">
        <w:rPr>
          <w:rFonts w:ascii="Times New Roman" w:hAnsi="Times New Roman"/>
          <w:sz w:val="26"/>
        </w:rPr>
        <w:t xml:space="preserve">, </w:t>
      </w:r>
      <w:r w:rsidR="00C94562" w:rsidRPr="007F15D8">
        <w:rPr>
          <w:rFonts w:ascii="Times New Roman" w:hAnsi="Times New Roman"/>
          <w:sz w:val="26"/>
        </w:rPr>
        <w:t>CMS</w:t>
      </w:r>
      <w:r w:rsidR="00EE03AD">
        <w:rPr>
          <w:rFonts w:ascii="Times New Roman" w:hAnsi="Times New Roman"/>
          <w:sz w:val="26"/>
        </w:rPr>
        <w:t>,</w:t>
      </w:r>
      <w:r w:rsidRPr="007F15D8">
        <w:rPr>
          <w:rFonts w:ascii="Times New Roman" w:hAnsi="Times New Roman"/>
          <w:sz w:val="26"/>
        </w:rPr>
        <w:t xml:space="preserve"> and </w:t>
      </w:r>
      <w:r w:rsidR="00C94562" w:rsidRPr="007F15D8">
        <w:rPr>
          <w:rFonts w:ascii="Times New Roman" w:hAnsi="Times New Roman"/>
          <w:sz w:val="26"/>
        </w:rPr>
        <w:t>TS</w:t>
      </w:r>
      <w:r w:rsidRPr="007F15D8">
        <w:rPr>
          <w:rFonts w:ascii="Times New Roman" w:hAnsi="Times New Roman"/>
          <w:sz w:val="26"/>
        </w:rPr>
        <w:t xml:space="preserve"> </w:t>
      </w:r>
      <w:r w:rsidR="008E2DDF">
        <w:rPr>
          <w:rFonts w:ascii="Times New Roman" w:hAnsi="Times New Roman"/>
          <w:sz w:val="26"/>
        </w:rPr>
        <w:t>among all c</w:t>
      </w:r>
      <w:r w:rsidR="008E2DDF" w:rsidRPr="008E2DDF">
        <w:rPr>
          <w:rFonts w:ascii="Times New Roman" w:hAnsi="Times New Roman"/>
          <w:sz w:val="26"/>
        </w:rPr>
        <w:t xml:space="preserve">ountries </w:t>
      </w:r>
      <w:r w:rsidRPr="007F15D8">
        <w:rPr>
          <w:rFonts w:ascii="Times New Roman" w:hAnsi="Times New Roman"/>
          <w:sz w:val="26"/>
        </w:rPr>
        <w:t xml:space="preserve">are in Qatar </w:t>
      </w:r>
      <w:r w:rsidR="00C94562" w:rsidRPr="007F15D8">
        <w:rPr>
          <w:rFonts w:ascii="Times New Roman" w:hAnsi="Times New Roman"/>
          <w:sz w:val="26"/>
        </w:rPr>
        <w:t xml:space="preserve">with </w:t>
      </w:r>
      <w:r w:rsidRPr="007F15D8">
        <w:rPr>
          <w:rFonts w:ascii="Times New Roman" w:hAnsi="Times New Roman"/>
          <w:sz w:val="26"/>
        </w:rPr>
        <w:t>2.88, 2.62, 2.22</w:t>
      </w:r>
      <w:r w:rsidR="00EE03AD">
        <w:rPr>
          <w:rFonts w:ascii="Times New Roman" w:hAnsi="Times New Roman"/>
          <w:sz w:val="26"/>
        </w:rPr>
        <w:t>,</w:t>
      </w:r>
      <w:r w:rsidRPr="007F15D8">
        <w:rPr>
          <w:rFonts w:ascii="Times New Roman" w:hAnsi="Times New Roman"/>
          <w:sz w:val="26"/>
        </w:rPr>
        <w:t xml:space="preserve"> and 2.64</w:t>
      </w:r>
      <w:r w:rsidR="00C94562" w:rsidRPr="007F15D8">
        <w:rPr>
          <w:rFonts w:ascii="Times New Roman" w:hAnsi="Times New Roman"/>
          <w:sz w:val="26"/>
        </w:rPr>
        <w:t>,</w:t>
      </w:r>
      <w:r w:rsidRPr="007F15D8">
        <w:rPr>
          <w:rFonts w:ascii="Times New Roman" w:hAnsi="Times New Roman"/>
          <w:sz w:val="26"/>
        </w:rPr>
        <w:t xml:space="preserve"> respectively</w:t>
      </w:r>
      <w:r w:rsidR="00C94562" w:rsidRPr="007F15D8">
        <w:rPr>
          <w:rFonts w:ascii="Times New Roman" w:hAnsi="Times New Roman"/>
          <w:sz w:val="26"/>
        </w:rPr>
        <w:t>,</w:t>
      </w:r>
      <w:r w:rsidRPr="007F15D8">
        <w:rPr>
          <w:rFonts w:ascii="Times New Roman" w:hAnsi="Times New Roman"/>
          <w:sz w:val="26"/>
        </w:rPr>
        <w:t xml:space="preserve"> </w:t>
      </w:r>
      <w:r w:rsidR="00C94562" w:rsidRPr="007F15D8">
        <w:rPr>
          <w:rFonts w:ascii="Times New Roman" w:hAnsi="Times New Roman"/>
          <w:sz w:val="26"/>
        </w:rPr>
        <w:t xml:space="preserve">whereas </w:t>
      </w:r>
      <w:r w:rsidRPr="007F15D8">
        <w:rPr>
          <w:rFonts w:ascii="Times New Roman" w:hAnsi="Times New Roman"/>
          <w:sz w:val="26"/>
        </w:rPr>
        <w:t xml:space="preserve">the lowest means of these variables </w:t>
      </w:r>
      <w:r w:rsidR="00A003B1">
        <w:rPr>
          <w:rFonts w:ascii="Times New Roman" w:hAnsi="Times New Roman"/>
          <w:sz w:val="26"/>
        </w:rPr>
        <w:t xml:space="preserve">are </w:t>
      </w:r>
      <w:r w:rsidR="00C94562" w:rsidRPr="007F15D8">
        <w:rPr>
          <w:rFonts w:ascii="Times New Roman" w:hAnsi="Times New Roman"/>
          <w:sz w:val="26"/>
        </w:rPr>
        <w:t xml:space="preserve">in Oman with </w:t>
      </w:r>
      <w:r w:rsidRPr="007F15D8">
        <w:rPr>
          <w:rFonts w:ascii="Times New Roman" w:hAnsi="Times New Roman"/>
          <w:sz w:val="26"/>
        </w:rPr>
        <w:t>1.44, 1.08, 0.243</w:t>
      </w:r>
      <w:r w:rsidR="00A003B1">
        <w:rPr>
          <w:rFonts w:ascii="Times New Roman" w:hAnsi="Times New Roman"/>
          <w:sz w:val="26"/>
        </w:rPr>
        <w:t>,</w:t>
      </w:r>
      <w:r w:rsidRPr="007F15D8">
        <w:rPr>
          <w:rFonts w:ascii="Times New Roman" w:hAnsi="Times New Roman"/>
          <w:sz w:val="26"/>
        </w:rPr>
        <w:t xml:space="preserve"> and 1.5. </w:t>
      </w:r>
      <w:r w:rsidR="00C94562" w:rsidRPr="007F15D8">
        <w:rPr>
          <w:rFonts w:ascii="Times New Roman" w:hAnsi="Times New Roman"/>
          <w:sz w:val="26"/>
        </w:rPr>
        <w:t>The</w:t>
      </w:r>
      <w:r w:rsidRPr="007F15D8">
        <w:rPr>
          <w:rFonts w:ascii="Times New Roman" w:hAnsi="Times New Roman"/>
          <w:sz w:val="26"/>
        </w:rPr>
        <w:t xml:space="preserve"> ESI in all countries is more than </w:t>
      </w:r>
      <w:r w:rsidR="00A003B1">
        <w:rPr>
          <w:rFonts w:ascii="Times New Roman" w:hAnsi="Times New Roman"/>
          <w:sz w:val="26"/>
        </w:rPr>
        <w:t>one,</w:t>
      </w:r>
      <w:r w:rsidR="00A003B1" w:rsidRPr="007F15D8">
        <w:rPr>
          <w:rFonts w:ascii="Times New Roman" w:hAnsi="Times New Roman"/>
          <w:sz w:val="26"/>
        </w:rPr>
        <w:t xml:space="preserve"> </w:t>
      </w:r>
      <w:r w:rsidRPr="007F15D8">
        <w:rPr>
          <w:rFonts w:ascii="Times New Roman" w:hAnsi="Times New Roman"/>
          <w:sz w:val="26"/>
        </w:rPr>
        <w:t xml:space="preserve">which means that the net operating assets are more than total sales and </w:t>
      </w:r>
      <w:r w:rsidR="00C94562" w:rsidRPr="007F15D8">
        <w:rPr>
          <w:rFonts w:ascii="Times New Roman" w:hAnsi="Times New Roman"/>
          <w:sz w:val="26"/>
        </w:rPr>
        <w:t xml:space="preserve">that </w:t>
      </w:r>
      <w:r w:rsidRPr="007F15D8">
        <w:rPr>
          <w:rFonts w:ascii="Times New Roman" w:hAnsi="Times New Roman"/>
          <w:sz w:val="26"/>
        </w:rPr>
        <w:t xml:space="preserve">the net assets are overstated. This proxy is consistent with the assumption that overstated net assets are less efficient at generating a given level of sales (Barton </w:t>
      </w:r>
      <w:r w:rsidR="00B730DC">
        <w:rPr>
          <w:rFonts w:ascii="Times New Roman" w:hAnsi="Times New Roman"/>
          <w:sz w:val="26"/>
        </w:rPr>
        <w:t>&amp;</w:t>
      </w:r>
      <w:r w:rsidRPr="007F15D8">
        <w:rPr>
          <w:rFonts w:ascii="Times New Roman" w:hAnsi="Times New Roman"/>
          <w:sz w:val="26"/>
        </w:rPr>
        <w:t xml:space="preserve"> </w:t>
      </w:r>
      <w:proofErr w:type="spellStart"/>
      <w:r w:rsidRPr="007F15D8">
        <w:rPr>
          <w:rFonts w:ascii="Times New Roman" w:hAnsi="Times New Roman"/>
          <w:sz w:val="26"/>
        </w:rPr>
        <w:t>Simko</w:t>
      </w:r>
      <w:proofErr w:type="spellEnd"/>
      <w:r w:rsidRPr="007F15D8">
        <w:rPr>
          <w:rFonts w:ascii="Times New Roman" w:hAnsi="Times New Roman"/>
          <w:sz w:val="26"/>
        </w:rPr>
        <w:t xml:space="preserve">, 2002). </w:t>
      </w:r>
      <w:r w:rsidR="00C94562" w:rsidRPr="007F15D8">
        <w:rPr>
          <w:rFonts w:ascii="Times New Roman" w:hAnsi="Times New Roman"/>
          <w:sz w:val="26"/>
        </w:rPr>
        <w:t>In addition</w:t>
      </w:r>
      <w:r w:rsidRPr="007F15D8">
        <w:rPr>
          <w:rFonts w:ascii="Times New Roman" w:hAnsi="Times New Roman"/>
          <w:sz w:val="26"/>
        </w:rPr>
        <w:t xml:space="preserve">, ESI is positive in all GCC </w:t>
      </w:r>
      <w:r w:rsidR="00C94562" w:rsidRPr="007F15D8">
        <w:rPr>
          <w:rFonts w:ascii="Times New Roman" w:hAnsi="Times New Roman"/>
          <w:sz w:val="26"/>
        </w:rPr>
        <w:t>countries</w:t>
      </w:r>
      <w:r w:rsidR="00A003B1">
        <w:rPr>
          <w:rFonts w:ascii="Times New Roman" w:hAnsi="Times New Roman"/>
          <w:sz w:val="26"/>
        </w:rPr>
        <w:t>,</w:t>
      </w:r>
      <w:r w:rsidR="00C94562" w:rsidRPr="007F15D8">
        <w:rPr>
          <w:rFonts w:ascii="Times New Roman" w:hAnsi="Times New Roman"/>
          <w:sz w:val="26"/>
        </w:rPr>
        <w:t xml:space="preserve"> </w:t>
      </w:r>
      <w:r w:rsidRPr="007F15D8">
        <w:rPr>
          <w:rFonts w:ascii="Times New Roman" w:hAnsi="Times New Roman"/>
          <w:sz w:val="26"/>
        </w:rPr>
        <w:t>which mean</w:t>
      </w:r>
      <w:r w:rsidR="00A003B1">
        <w:rPr>
          <w:rFonts w:ascii="Times New Roman" w:hAnsi="Times New Roman"/>
          <w:sz w:val="26"/>
        </w:rPr>
        <w:t>s</w:t>
      </w:r>
      <w:r w:rsidRPr="007F15D8">
        <w:rPr>
          <w:rFonts w:ascii="Times New Roman" w:hAnsi="Times New Roman"/>
          <w:sz w:val="26"/>
        </w:rPr>
        <w:t xml:space="preserve"> that the actual results of the firms </w:t>
      </w:r>
      <w:r w:rsidR="00C94562" w:rsidRPr="007F15D8">
        <w:rPr>
          <w:rFonts w:ascii="Times New Roman" w:hAnsi="Times New Roman"/>
          <w:sz w:val="26"/>
        </w:rPr>
        <w:t xml:space="preserve">are </w:t>
      </w:r>
      <w:r w:rsidRPr="007F15D8">
        <w:rPr>
          <w:rFonts w:ascii="Times New Roman" w:hAnsi="Times New Roman"/>
          <w:sz w:val="26"/>
        </w:rPr>
        <w:t>higher than the expectation of the analysts</w:t>
      </w:r>
      <w:r w:rsidR="00A003B1">
        <w:rPr>
          <w:rFonts w:ascii="Times New Roman" w:hAnsi="Times New Roman"/>
          <w:sz w:val="26"/>
        </w:rPr>
        <w:t>, which</w:t>
      </w:r>
      <w:r w:rsidR="00C94562" w:rsidRPr="007F15D8">
        <w:rPr>
          <w:rFonts w:ascii="Times New Roman" w:hAnsi="Times New Roman"/>
          <w:sz w:val="26"/>
        </w:rPr>
        <w:t xml:space="preserve"> may</w:t>
      </w:r>
      <w:r w:rsidRPr="007F15D8">
        <w:rPr>
          <w:rFonts w:ascii="Times New Roman" w:hAnsi="Times New Roman"/>
          <w:sz w:val="26"/>
        </w:rPr>
        <w:t xml:space="preserve"> be questionable news for the investors. The</w:t>
      </w:r>
      <w:r w:rsidRPr="007F15D8">
        <w:rPr>
          <w:rFonts w:ascii="Times-Roman" w:hAnsi="Times-Roman"/>
          <w:sz w:val="26"/>
        </w:rPr>
        <w:t xml:space="preserve"> </w:t>
      </w:r>
      <w:r w:rsidRPr="007F15D8">
        <w:rPr>
          <w:rFonts w:ascii="Times New Roman" w:hAnsi="Times New Roman"/>
          <w:sz w:val="26"/>
        </w:rPr>
        <w:t>smaller index of ESI is for UAE</w:t>
      </w:r>
      <w:r w:rsidR="00C94562" w:rsidRPr="007F15D8">
        <w:rPr>
          <w:rFonts w:ascii="Times New Roman" w:hAnsi="Times New Roman"/>
          <w:sz w:val="26"/>
        </w:rPr>
        <w:t>.</w:t>
      </w:r>
      <w:r w:rsidRPr="007F15D8">
        <w:rPr>
          <w:rFonts w:ascii="Times New Roman" w:hAnsi="Times New Roman"/>
          <w:sz w:val="26"/>
        </w:rPr>
        <w:t xml:space="preserve"> </w:t>
      </w:r>
      <w:r w:rsidR="00C94562" w:rsidRPr="007F15D8">
        <w:rPr>
          <w:rFonts w:ascii="Times New Roman" w:hAnsi="Times New Roman"/>
          <w:sz w:val="26"/>
        </w:rPr>
        <w:t>T</w:t>
      </w:r>
      <w:r w:rsidRPr="007F15D8">
        <w:rPr>
          <w:rFonts w:ascii="Times New Roman" w:hAnsi="Times New Roman"/>
          <w:sz w:val="26"/>
        </w:rPr>
        <w:t xml:space="preserve">he indices of ESI for the other countries are relatively equal except for Kuwait (1.59) which is the highest one among the GCC countries. Accordingly, the </w:t>
      </w:r>
      <w:r w:rsidR="006B1C85" w:rsidRPr="007F15D8">
        <w:rPr>
          <w:rFonts w:ascii="Times New Roman" w:hAnsi="Times New Roman"/>
          <w:sz w:val="26"/>
        </w:rPr>
        <w:t>EQ</w:t>
      </w:r>
      <w:r w:rsidRPr="007F15D8">
        <w:rPr>
          <w:rFonts w:ascii="Times New Roman" w:hAnsi="Times New Roman"/>
          <w:sz w:val="26"/>
        </w:rPr>
        <w:t xml:space="preserve"> of firms </w:t>
      </w:r>
      <w:r w:rsidR="00C94562" w:rsidRPr="007F15D8">
        <w:rPr>
          <w:rFonts w:ascii="Times New Roman" w:hAnsi="Times New Roman"/>
          <w:sz w:val="26"/>
        </w:rPr>
        <w:t xml:space="preserve">in </w:t>
      </w:r>
      <w:r w:rsidRPr="007F15D8">
        <w:rPr>
          <w:rFonts w:ascii="Times New Roman" w:hAnsi="Times New Roman"/>
          <w:sz w:val="26"/>
        </w:rPr>
        <w:t>UAE, Qatar, Bahrain</w:t>
      </w:r>
      <w:r w:rsidR="00A003B1">
        <w:rPr>
          <w:rFonts w:ascii="Times New Roman" w:hAnsi="Times New Roman"/>
          <w:sz w:val="26"/>
        </w:rPr>
        <w:t>,</w:t>
      </w:r>
      <w:r w:rsidRPr="007F15D8">
        <w:rPr>
          <w:rFonts w:ascii="Times New Roman" w:hAnsi="Times New Roman"/>
          <w:sz w:val="26"/>
        </w:rPr>
        <w:t xml:space="preserve"> and KSA is higher than </w:t>
      </w:r>
      <w:r w:rsidR="00C94562" w:rsidRPr="007F15D8">
        <w:rPr>
          <w:rFonts w:ascii="Times New Roman" w:hAnsi="Times New Roman"/>
          <w:sz w:val="26"/>
        </w:rPr>
        <w:t xml:space="preserve">in </w:t>
      </w:r>
      <w:r w:rsidRPr="007F15D8">
        <w:rPr>
          <w:rFonts w:ascii="Times New Roman" w:hAnsi="Times New Roman"/>
          <w:sz w:val="26"/>
        </w:rPr>
        <w:t>Kuwait and Oman.</w:t>
      </w:r>
      <w:r w:rsidR="001F48F8" w:rsidRPr="007F15D8">
        <w:rPr>
          <w:rFonts w:ascii="Times New Roman" w:hAnsi="Times New Roman"/>
          <w:sz w:val="26"/>
        </w:rPr>
        <w:t xml:space="preserve"> </w:t>
      </w:r>
    </w:p>
    <w:p w14:paraId="7F0D7746" w14:textId="6D24F7B3" w:rsidR="00645D53" w:rsidRPr="007F15D8" w:rsidRDefault="00645D53" w:rsidP="00B730DC">
      <w:pPr>
        <w:snapToGrid w:val="0"/>
        <w:spacing w:after="0" w:line="360" w:lineRule="exact"/>
        <w:ind w:firstLine="510"/>
        <w:jc w:val="both"/>
        <w:rPr>
          <w:rFonts w:ascii="Times New Roman" w:hAnsi="Times New Roman"/>
          <w:sz w:val="26"/>
        </w:rPr>
      </w:pPr>
      <w:r w:rsidRPr="007F15D8">
        <w:rPr>
          <w:rFonts w:ascii="Times New Roman" w:hAnsi="Times New Roman"/>
          <w:sz w:val="26"/>
        </w:rPr>
        <w:lastRenderedPageBreak/>
        <w:t xml:space="preserve">According to Barton </w:t>
      </w:r>
      <w:r w:rsidR="00523653">
        <w:rPr>
          <w:rFonts w:ascii="Times New Roman" w:hAnsi="Times New Roman"/>
          <w:sz w:val="26"/>
        </w:rPr>
        <w:t>and</w:t>
      </w:r>
      <w:r w:rsidRPr="007F15D8">
        <w:rPr>
          <w:rFonts w:ascii="Times New Roman" w:hAnsi="Times New Roman"/>
          <w:sz w:val="26"/>
        </w:rPr>
        <w:t xml:space="preserve"> </w:t>
      </w:r>
      <w:proofErr w:type="spellStart"/>
      <w:r w:rsidRPr="007F15D8">
        <w:rPr>
          <w:rFonts w:ascii="Times New Roman" w:hAnsi="Times New Roman"/>
          <w:sz w:val="26"/>
        </w:rPr>
        <w:t>Simko</w:t>
      </w:r>
      <w:proofErr w:type="spellEnd"/>
      <w:r w:rsidRPr="007F15D8">
        <w:rPr>
          <w:rFonts w:ascii="Times New Roman" w:hAnsi="Times New Roman"/>
          <w:sz w:val="26"/>
        </w:rPr>
        <w:t xml:space="preserve"> (2002), the correlation between ESI and net operating assets should be negative as the probability of reporting </w:t>
      </w:r>
      <w:r w:rsidR="005742BC" w:rsidRPr="007F15D8">
        <w:rPr>
          <w:rFonts w:ascii="Times New Roman" w:hAnsi="Times New Roman"/>
          <w:sz w:val="26"/>
        </w:rPr>
        <w:t>‘</w:t>
      </w:r>
      <w:r w:rsidRPr="007F15D8">
        <w:rPr>
          <w:rFonts w:ascii="Times New Roman" w:hAnsi="Times New Roman"/>
          <w:sz w:val="26"/>
        </w:rPr>
        <w:t>larger positive or smaller negative earnings surprises</w:t>
      </w:r>
      <w:r w:rsidR="005742BC" w:rsidRPr="007F15D8">
        <w:rPr>
          <w:rFonts w:ascii="Times New Roman" w:hAnsi="Times New Roman"/>
          <w:sz w:val="26"/>
        </w:rPr>
        <w:t>’</w:t>
      </w:r>
      <w:r w:rsidRPr="007F15D8">
        <w:rPr>
          <w:rFonts w:ascii="Times New Roman" w:hAnsi="Times New Roman"/>
          <w:sz w:val="26"/>
        </w:rPr>
        <w:t xml:space="preserve"> decreases with the extent to which net operating assets are already overstated on the balance sheet. We tested this hypothesis and found that the </w:t>
      </w:r>
      <w:r w:rsidR="00C94562" w:rsidRPr="007F15D8">
        <w:rPr>
          <w:rFonts w:ascii="Times New Roman" w:hAnsi="Times New Roman"/>
          <w:sz w:val="26"/>
        </w:rPr>
        <w:t xml:space="preserve">Spearman </w:t>
      </w:r>
      <w:r w:rsidRPr="007F15D8">
        <w:rPr>
          <w:rFonts w:ascii="Times New Roman" w:hAnsi="Times New Roman"/>
          <w:sz w:val="26"/>
        </w:rPr>
        <w:t xml:space="preserve">rank correlation is positive and significant in all GCC </w:t>
      </w:r>
      <w:r w:rsidR="009A4680" w:rsidRPr="007F15D8">
        <w:rPr>
          <w:rFonts w:ascii="Times New Roman" w:hAnsi="Times New Roman"/>
          <w:sz w:val="26"/>
        </w:rPr>
        <w:t>countries</w:t>
      </w:r>
      <w:r w:rsidRPr="007F15D8">
        <w:rPr>
          <w:rFonts w:ascii="Times New Roman" w:hAnsi="Times New Roman"/>
          <w:sz w:val="26"/>
        </w:rPr>
        <w:t xml:space="preserve"> except for Bahrain as the </w:t>
      </w:r>
      <w:r w:rsidR="009A4680" w:rsidRPr="007F15D8">
        <w:rPr>
          <w:rFonts w:ascii="Times New Roman" w:hAnsi="Times New Roman"/>
          <w:sz w:val="26"/>
        </w:rPr>
        <w:t xml:space="preserve">Spearman </w:t>
      </w:r>
      <w:r w:rsidRPr="007F15D8">
        <w:rPr>
          <w:rFonts w:ascii="Times New Roman" w:hAnsi="Times New Roman"/>
          <w:sz w:val="26"/>
        </w:rPr>
        <w:t>rank correlation is negative but insignificant at 0.01 and 0.05. In UAE, Oman</w:t>
      </w:r>
      <w:r w:rsidR="00A003B1">
        <w:rPr>
          <w:rFonts w:ascii="Times New Roman" w:hAnsi="Times New Roman"/>
          <w:sz w:val="26"/>
        </w:rPr>
        <w:t>,</w:t>
      </w:r>
      <w:r w:rsidRPr="007F15D8">
        <w:rPr>
          <w:rFonts w:ascii="Times New Roman" w:hAnsi="Times New Roman"/>
          <w:sz w:val="26"/>
        </w:rPr>
        <w:t xml:space="preserve"> and KSA, </w:t>
      </w:r>
      <w:r w:rsidR="009A4680" w:rsidRPr="007F15D8">
        <w:rPr>
          <w:rFonts w:ascii="Times New Roman" w:hAnsi="Times New Roman"/>
          <w:sz w:val="26"/>
        </w:rPr>
        <w:t xml:space="preserve">the Spearman </w:t>
      </w:r>
      <w:r w:rsidRPr="007F15D8">
        <w:rPr>
          <w:rFonts w:ascii="Times New Roman" w:hAnsi="Times New Roman"/>
          <w:sz w:val="26"/>
        </w:rPr>
        <w:t xml:space="preserve">rank correlation </w:t>
      </w:r>
      <w:r w:rsidR="009A4680" w:rsidRPr="007F15D8">
        <w:rPr>
          <w:rFonts w:ascii="Times New Roman" w:hAnsi="Times New Roman"/>
          <w:sz w:val="26"/>
        </w:rPr>
        <w:t xml:space="preserve">is </w:t>
      </w:r>
      <w:r w:rsidRPr="007F15D8">
        <w:rPr>
          <w:rFonts w:ascii="Times New Roman" w:hAnsi="Times New Roman"/>
          <w:sz w:val="26"/>
        </w:rPr>
        <w:t>0.148, 0.143</w:t>
      </w:r>
      <w:r w:rsidR="00A003B1">
        <w:rPr>
          <w:rFonts w:ascii="Times New Roman" w:hAnsi="Times New Roman"/>
          <w:sz w:val="26"/>
        </w:rPr>
        <w:t>,</w:t>
      </w:r>
      <w:r w:rsidRPr="007F15D8">
        <w:rPr>
          <w:rFonts w:ascii="Times New Roman" w:hAnsi="Times New Roman"/>
          <w:sz w:val="26"/>
        </w:rPr>
        <w:t xml:space="preserve"> and 0.296</w:t>
      </w:r>
      <w:r w:rsidR="009A4680" w:rsidRPr="007F15D8">
        <w:rPr>
          <w:rFonts w:ascii="Times New Roman" w:hAnsi="Times New Roman"/>
          <w:sz w:val="26"/>
        </w:rPr>
        <w:t xml:space="preserve">, </w:t>
      </w:r>
      <w:r w:rsidRPr="007F15D8">
        <w:rPr>
          <w:rFonts w:ascii="Times New Roman" w:hAnsi="Times New Roman"/>
          <w:sz w:val="26"/>
        </w:rPr>
        <w:t xml:space="preserve">respectively, </w:t>
      </w:r>
      <w:r w:rsidR="00050EB7" w:rsidRPr="007F15D8">
        <w:rPr>
          <w:rFonts w:ascii="Times New Roman" w:hAnsi="Times New Roman"/>
          <w:sz w:val="26"/>
        </w:rPr>
        <w:t>whereas</w:t>
      </w:r>
      <w:r w:rsidRPr="007F15D8">
        <w:rPr>
          <w:rFonts w:ascii="Times New Roman" w:hAnsi="Times New Roman"/>
          <w:sz w:val="26"/>
        </w:rPr>
        <w:t xml:space="preserve"> </w:t>
      </w:r>
      <w:r w:rsidR="00A003B1">
        <w:rPr>
          <w:rFonts w:ascii="Times New Roman" w:hAnsi="Times New Roman"/>
          <w:sz w:val="26"/>
        </w:rPr>
        <w:t>Qatar's Spearman rank correlation is 0.553</w:t>
      </w:r>
      <w:r w:rsidR="009A4680" w:rsidRPr="007F15D8">
        <w:rPr>
          <w:rFonts w:ascii="Times New Roman" w:hAnsi="Times New Roman"/>
          <w:sz w:val="26"/>
        </w:rPr>
        <w:t>.</w:t>
      </w:r>
      <w:r w:rsidRPr="007F15D8">
        <w:rPr>
          <w:rFonts w:ascii="Times New Roman" w:hAnsi="Times New Roman"/>
          <w:sz w:val="26"/>
        </w:rPr>
        <w:t xml:space="preserve"> </w:t>
      </w:r>
      <w:r w:rsidR="009A4680" w:rsidRPr="007F15D8">
        <w:rPr>
          <w:rFonts w:ascii="Times New Roman" w:hAnsi="Times New Roman"/>
          <w:sz w:val="26"/>
        </w:rPr>
        <w:t>T</w:t>
      </w:r>
      <w:r w:rsidRPr="007F15D8">
        <w:rPr>
          <w:rFonts w:ascii="Times New Roman" w:hAnsi="Times New Roman"/>
          <w:sz w:val="26"/>
        </w:rPr>
        <w:t xml:space="preserve">he highest spearman rank correlation </w:t>
      </w:r>
      <w:r w:rsidR="009A4680" w:rsidRPr="007F15D8">
        <w:rPr>
          <w:rFonts w:ascii="Times New Roman" w:hAnsi="Times New Roman"/>
          <w:sz w:val="26"/>
        </w:rPr>
        <w:t xml:space="preserve">is </w:t>
      </w:r>
      <w:r w:rsidRPr="007F15D8">
        <w:rPr>
          <w:rFonts w:ascii="Times New Roman" w:hAnsi="Times New Roman"/>
          <w:sz w:val="26"/>
        </w:rPr>
        <w:t xml:space="preserve">in Kuwait </w:t>
      </w:r>
      <w:r w:rsidR="009A4680" w:rsidRPr="007F15D8">
        <w:rPr>
          <w:rFonts w:ascii="Times New Roman" w:hAnsi="Times New Roman"/>
          <w:sz w:val="26"/>
        </w:rPr>
        <w:t>(</w:t>
      </w:r>
      <w:r w:rsidRPr="007F15D8">
        <w:rPr>
          <w:rFonts w:ascii="Times New Roman" w:hAnsi="Times New Roman"/>
          <w:sz w:val="26"/>
        </w:rPr>
        <w:t>0.789</w:t>
      </w:r>
      <w:r w:rsidR="009A4680" w:rsidRPr="007F15D8">
        <w:rPr>
          <w:rFonts w:ascii="Times New Roman" w:hAnsi="Times New Roman"/>
          <w:sz w:val="26"/>
        </w:rPr>
        <w:t>)</w:t>
      </w:r>
      <w:r w:rsidRPr="007F15D8">
        <w:rPr>
          <w:rFonts w:ascii="Times New Roman" w:hAnsi="Times New Roman"/>
          <w:sz w:val="26"/>
        </w:rPr>
        <w:t xml:space="preserve">. </w:t>
      </w:r>
    </w:p>
    <w:p w14:paraId="6A38D591" w14:textId="2599B21E" w:rsidR="00645D53" w:rsidRDefault="00645D53" w:rsidP="00B730DC">
      <w:pPr>
        <w:snapToGrid w:val="0"/>
        <w:spacing w:after="0" w:line="360" w:lineRule="exact"/>
        <w:ind w:firstLine="510"/>
        <w:jc w:val="both"/>
        <w:rPr>
          <w:rFonts w:asciiTheme="majorBidi" w:hAnsiTheme="majorBidi"/>
          <w:sz w:val="26"/>
        </w:rPr>
      </w:pPr>
      <w:r w:rsidRPr="007F15D8">
        <w:rPr>
          <w:rFonts w:ascii="Times New Roman" w:hAnsi="Times New Roman"/>
          <w:sz w:val="26"/>
        </w:rPr>
        <w:t xml:space="preserve">These results are against the hypothesis of Barton </w:t>
      </w:r>
      <w:r w:rsidR="00523653">
        <w:rPr>
          <w:rFonts w:ascii="Times New Roman" w:hAnsi="Times New Roman"/>
          <w:sz w:val="26"/>
        </w:rPr>
        <w:t>and</w:t>
      </w:r>
      <w:r w:rsidRPr="007F15D8">
        <w:rPr>
          <w:rFonts w:ascii="Times New Roman" w:hAnsi="Times New Roman"/>
          <w:sz w:val="26"/>
        </w:rPr>
        <w:t xml:space="preserve"> </w:t>
      </w:r>
      <w:proofErr w:type="spellStart"/>
      <w:r w:rsidRPr="007F15D8">
        <w:rPr>
          <w:rFonts w:ascii="Times New Roman" w:hAnsi="Times New Roman"/>
          <w:sz w:val="26"/>
        </w:rPr>
        <w:t>Simko</w:t>
      </w:r>
      <w:proofErr w:type="spellEnd"/>
      <w:r w:rsidRPr="007F15D8">
        <w:rPr>
          <w:rFonts w:ascii="Times New Roman" w:hAnsi="Times New Roman"/>
          <w:sz w:val="26"/>
        </w:rPr>
        <w:t xml:space="preserve"> </w:t>
      </w:r>
      <w:r w:rsidR="009A4680" w:rsidRPr="007F15D8">
        <w:rPr>
          <w:rFonts w:ascii="Times New Roman" w:hAnsi="Times New Roman"/>
          <w:sz w:val="26"/>
        </w:rPr>
        <w:t>(</w:t>
      </w:r>
      <w:r w:rsidRPr="007F15D8">
        <w:rPr>
          <w:rFonts w:ascii="Times New Roman" w:hAnsi="Times New Roman"/>
          <w:sz w:val="26"/>
        </w:rPr>
        <w:t>2002)</w:t>
      </w:r>
      <w:r w:rsidR="00A003B1">
        <w:rPr>
          <w:rFonts w:ascii="Times New Roman" w:hAnsi="Times New Roman"/>
          <w:sz w:val="26"/>
        </w:rPr>
        <w:t>,</w:t>
      </w:r>
      <w:r w:rsidRPr="007F15D8">
        <w:rPr>
          <w:rFonts w:ascii="Times New Roman" w:hAnsi="Times New Roman"/>
          <w:sz w:val="26"/>
        </w:rPr>
        <w:t xml:space="preserve"> </w:t>
      </w:r>
      <w:r w:rsidR="009A4680" w:rsidRPr="007F15D8">
        <w:rPr>
          <w:rFonts w:ascii="Times New Roman" w:hAnsi="Times New Roman"/>
          <w:sz w:val="26"/>
        </w:rPr>
        <w:t xml:space="preserve">which indicates </w:t>
      </w:r>
      <w:r w:rsidRPr="007F15D8">
        <w:rPr>
          <w:rFonts w:ascii="Times New Roman" w:hAnsi="Times New Roman"/>
          <w:sz w:val="26"/>
        </w:rPr>
        <w:t xml:space="preserve">that the net assets </w:t>
      </w:r>
      <w:r w:rsidR="009A4680" w:rsidRPr="007F15D8">
        <w:rPr>
          <w:rFonts w:ascii="Times New Roman" w:hAnsi="Times New Roman"/>
          <w:sz w:val="26"/>
        </w:rPr>
        <w:t xml:space="preserve">are </w:t>
      </w:r>
      <w:r w:rsidRPr="007F15D8">
        <w:rPr>
          <w:rFonts w:ascii="Times New Roman" w:hAnsi="Times New Roman"/>
          <w:sz w:val="26"/>
        </w:rPr>
        <w:t>overstated</w:t>
      </w:r>
      <w:r w:rsidR="00A003B1">
        <w:rPr>
          <w:rFonts w:ascii="Times New Roman" w:hAnsi="Times New Roman"/>
          <w:sz w:val="26"/>
        </w:rPr>
        <w:t>,</w:t>
      </w:r>
      <w:r w:rsidRPr="007F15D8">
        <w:rPr>
          <w:rFonts w:ascii="Times New Roman" w:hAnsi="Times New Roman"/>
          <w:sz w:val="26"/>
        </w:rPr>
        <w:t xml:space="preserve"> or there is a level of earnings management </w:t>
      </w:r>
      <w:r w:rsidRPr="00D70DB4">
        <w:rPr>
          <w:rFonts w:ascii="Times New Roman" w:hAnsi="Times New Roman"/>
          <w:sz w:val="26"/>
        </w:rPr>
        <w:t xml:space="preserve">in </w:t>
      </w:r>
      <w:r w:rsidR="00A003B1">
        <w:rPr>
          <w:rFonts w:ascii="Times New Roman" w:hAnsi="Times New Roman"/>
          <w:sz w:val="26"/>
        </w:rPr>
        <w:t xml:space="preserve">the </w:t>
      </w:r>
      <w:r w:rsidRPr="00D70DB4">
        <w:rPr>
          <w:rFonts w:ascii="Times New Roman" w:hAnsi="Times New Roman"/>
          <w:sz w:val="26"/>
        </w:rPr>
        <w:t xml:space="preserve">preparation of financial statements. </w:t>
      </w:r>
      <w:r w:rsidRPr="00D70DB4">
        <w:rPr>
          <w:rFonts w:asciiTheme="majorBidi" w:hAnsiTheme="majorBidi"/>
          <w:sz w:val="26"/>
        </w:rPr>
        <w:t xml:space="preserve">Table </w:t>
      </w:r>
      <w:r w:rsidRPr="00D70DB4">
        <w:rPr>
          <w:rFonts w:asciiTheme="majorBidi" w:hAnsiTheme="majorBidi" w:cstheme="majorBidi"/>
          <w:sz w:val="26"/>
          <w:szCs w:val="26"/>
        </w:rPr>
        <w:t>1</w:t>
      </w:r>
      <w:r w:rsidR="0035550B" w:rsidRPr="00D70DB4">
        <w:rPr>
          <w:rFonts w:asciiTheme="majorBidi" w:hAnsiTheme="majorBidi" w:cstheme="majorBidi"/>
          <w:sz w:val="26"/>
          <w:szCs w:val="26"/>
        </w:rPr>
        <w:t>3</w:t>
      </w:r>
      <w:r w:rsidRPr="00D70DB4">
        <w:rPr>
          <w:rFonts w:asciiTheme="majorBidi" w:hAnsiTheme="majorBidi"/>
          <w:sz w:val="26"/>
        </w:rPr>
        <w:t xml:space="preserve"> shows the results of the relationship between </w:t>
      </w:r>
      <w:r w:rsidR="009A4680" w:rsidRPr="00D70DB4">
        <w:rPr>
          <w:rFonts w:asciiTheme="majorBidi" w:hAnsiTheme="majorBidi"/>
          <w:sz w:val="26"/>
        </w:rPr>
        <w:t>EQ-ESI</w:t>
      </w:r>
      <w:r w:rsidRPr="00D70DB4">
        <w:rPr>
          <w:rFonts w:asciiTheme="majorBidi" w:hAnsiTheme="majorBidi"/>
          <w:sz w:val="26"/>
        </w:rPr>
        <w:t xml:space="preserve"> and </w:t>
      </w:r>
      <w:r w:rsidR="009A4680" w:rsidRPr="00D70DB4">
        <w:rPr>
          <w:rFonts w:asciiTheme="majorBidi" w:hAnsiTheme="majorBidi"/>
          <w:sz w:val="26"/>
        </w:rPr>
        <w:t>FI.</w:t>
      </w:r>
    </w:p>
    <w:p w14:paraId="2138ABAD" w14:textId="77777777" w:rsidR="00D70DB4" w:rsidRPr="000E68F6" w:rsidRDefault="00D70DB4" w:rsidP="00B0497C">
      <w:pPr>
        <w:snapToGrid w:val="0"/>
        <w:spacing w:after="0" w:line="360" w:lineRule="exact"/>
        <w:ind w:firstLine="510"/>
        <w:jc w:val="both"/>
        <w:rPr>
          <w:rFonts w:ascii="Times New Roman" w:hAnsi="Times New Roman"/>
          <w:sz w:val="26"/>
        </w:rPr>
      </w:pPr>
    </w:p>
    <w:p w14:paraId="50C546E5" w14:textId="01E8A353" w:rsidR="00E40A40" w:rsidRPr="004449F8" w:rsidRDefault="0035550B" w:rsidP="00FA3651">
      <w:pPr>
        <w:snapToGrid w:val="0"/>
        <w:spacing w:afterLines="50" w:after="120" w:line="360" w:lineRule="exact"/>
        <w:jc w:val="both"/>
        <w:rPr>
          <w:rFonts w:asciiTheme="majorBidi" w:hAnsiTheme="majorBidi"/>
          <w:sz w:val="26"/>
        </w:rPr>
      </w:pPr>
      <w:r w:rsidRPr="00A152B0">
        <w:rPr>
          <w:rFonts w:asciiTheme="majorBidi" w:hAnsiTheme="majorBidi"/>
          <w:b/>
          <w:sz w:val="26"/>
        </w:rPr>
        <w:t xml:space="preserve">Table </w:t>
      </w:r>
      <w:proofErr w:type="gramStart"/>
      <w:r w:rsidRPr="00A152B0">
        <w:rPr>
          <w:rFonts w:asciiTheme="majorBidi" w:hAnsiTheme="majorBidi"/>
          <w:b/>
          <w:sz w:val="26"/>
        </w:rPr>
        <w:t>13</w:t>
      </w:r>
      <w:r w:rsidR="00A152B0">
        <w:rPr>
          <w:rFonts w:asciiTheme="majorBidi" w:hAnsiTheme="majorBidi"/>
          <w:sz w:val="26"/>
        </w:rPr>
        <w:t xml:space="preserve"> </w:t>
      </w:r>
      <w:r w:rsidR="00E40A40" w:rsidRPr="004449F8">
        <w:rPr>
          <w:rFonts w:asciiTheme="majorBidi" w:hAnsiTheme="majorBidi"/>
          <w:sz w:val="26"/>
        </w:rPr>
        <w:t xml:space="preserve"> </w:t>
      </w:r>
      <w:r w:rsidR="00E40A40" w:rsidRPr="00A152B0">
        <w:rPr>
          <w:rFonts w:asciiTheme="majorBidi" w:hAnsiTheme="majorBidi"/>
          <w:i/>
          <w:sz w:val="26"/>
        </w:rPr>
        <w:t>Regression</w:t>
      </w:r>
      <w:proofErr w:type="gramEnd"/>
      <w:r w:rsidR="00E40A40" w:rsidRPr="00A152B0">
        <w:rPr>
          <w:rFonts w:asciiTheme="majorBidi" w:hAnsiTheme="majorBidi"/>
          <w:i/>
          <w:sz w:val="26"/>
        </w:rPr>
        <w:t xml:space="preserve"> Results between ESI and FI</w:t>
      </w:r>
    </w:p>
    <w:tbl>
      <w:tblPr>
        <w:tblStyle w:val="a9"/>
        <w:tblpPr w:leftFromText="180" w:rightFromText="180" w:vertAnchor="text" w:horzAnchor="margin" w:tblpY="5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
        <w:gridCol w:w="684"/>
        <w:gridCol w:w="668"/>
        <w:gridCol w:w="684"/>
        <w:gridCol w:w="672"/>
        <w:gridCol w:w="684"/>
        <w:gridCol w:w="672"/>
        <w:gridCol w:w="684"/>
        <w:gridCol w:w="672"/>
        <w:gridCol w:w="684"/>
        <w:gridCol w:w="672"/>
        <w:gridCol w:w="684"/>
        <w:gridCol w:w="664"/>
      </w:tblGrid>
      <w:tr w:rsidR="00CE1401" w:rsidRPr="004449F8" w14:paraId="00265043" w14:textId="77777777" w:rsidTr="009E5933">
        <w:trPr>
          <w:trHeight w:val="283"/>
        </w:trPr>
        <w:tc>
          <w:tcPr>
            <w:tcW w:w="500" w:type="pct"/>
            <w:vMerge w:val="restart"/>
            <w:tcBorders>
              <w:top w:val="single" w:sz="4" w:space="0" w:color="auto"/>
              <w:right w:val="single" w:sz="4" w:space="0" w:color="auto"/>
              <w:tl2br w:val="single" w:sz="4" w:space="0" w:color="auto"/>
            </w:tcBorders>
            <w:vAlign w:val="center"/>
          </w:tcPr>
          <w:p w14:paraId="2069F5F3" w14:textId="4A3183AC" w:rsidR="00CE1401" w:rsidRDefault="00CE1401" w:rsidP="00A152B0">
            <w:pPr>
              <w:autoSpaceDE w:val="0"/>
              <w:autoSpaceDN w:val="0"/>
              <w:adjustRightInd w:val="0"/>
              <w:snapToGrid w:val="0"/>
              <w:ind w:firstLineChars="100" w:firstLine="160"/>
              <w:rPr>
                <w:rFonts w:asciiTheme="majorBidi" w:hAnsiTheme="majorBidi" w:cstheme="majorBidi"/>
                <w:sz w:val="16"/>
                <w:szCs w:val="16"/>
              </w:rPr>
            </w:pPr>
            <w:r w:rsidRPr="006D4540">
              <w:rPr>
                <w:rFonts w:asciiTheme="majorBidi" w:hAnsiTheme="majorBidi" w:cstheme="majorBidi"/>
                <w:sz w:val="16"/>
                <w:szCs w:val="16"/>
              </w:rPr>
              <w:t>Country</w:t>
            </w:r>
          </w:p>
          <w:p w14:paraId="68953D9D" w14:textId="77777777" w:rsidR="00CE1401" w:rsidRPr="006D4540" w:rsidRDefault="00CE1401" w:rsidP="00A152B0">
            <w:pPr>
              <w:autoSpaceDE w:val="0"/>
              <w:autoSpaceDN w:val="0"/>
              <w:adjustRightInd w:val="0"/>
              <w:snapToGrid w:val="0"/>
              <w:rPr>
                <w:rFonts w:asciiTheme="majorBidi" w:hAnsiTheme="majorBidi" w:cstheme="majorBidi"/>
                <w:sz w:val="16"/>
                <w:szCs w:val="16"/>
              </w:rPr>
            </w:pPr>
          </w:p>
          <w:p w14:paraId="3842319B" w14:textId="1C0D2AD2" w:rsidR="00CE1401" w:rsidRPr="006D4540" w:rsidRDefault="00CE1401" w:rsidP="00A152B0">
            <w:pPr>
              <w:autoSpaceDE w:val="0"/>
              <w:autoSpaceDN w:val="0"/>
              <w:adjustRightInd w:val="0"/>
              <w:snapToGrid w:val="0"/>
              <w:rPr>
                <w:rFonts w:asciiTheme="majorBidi" w:hAnsiTheme="majorBidi" w:cstheme="majorBidi"/>
                <w:sz w:val="16"/>
                <w:szCs w:val="16"/>
              </w:rPr>
            </w:pPr>
            <w:r w:rsidRPr="006D4540">
              <w:rPr>
                <w:rFonts w:asciiTheme="majorBidi" w:hAnsiTheme="majorBidi" w:cstheme="majorBidi"/>
                <w:sz w:val="16"/>
                <w:szCs w:val="16"/>
              </w:rPr>
              <w:t>Variables</w:t>
            </w:r>
          </w:p>
        </w:tc>
        <w:tc>
          <w:tcPr>
            <w:tcW w:w="749" w:type="pct"/>
            <w:gridSpan w:val="2"/>
            <w:tcBorders>
              <w:top w:val="single" w:sz="4" w:space="0" w:color="auto"/>
              <w:left w:val="single" w:sz="4" w:space="0" w:color="auto"/>
              <w:bottom w:val="single" w:sz="4" w:space="0" w:color="auto"/>
            </w:tcBorders>
            <w:vAlign w:val="center"/>
          </w:tcPr>
          <w:p w14:paraId="5E75D71B" w14:textId="77777777" w:rsidR="00CE1401" w:rsidRPr="006D4540" w:rsidRDefault="00CE1401" w:rsidP="00A152B0">
            <w:pPr>
              <w:autoSpaceDE w:val="0"/>
              <w:autoSpaceDN w:val="0"/>
              <w:adjustRightInd w:val="0"/>
              <w:snapToGrid w:val="0"/>
              <w:jc w:val="center"/>
              <w:rPr>
                <w:rFonts w:asciiTheme="majorBidi" w:hAnsiTheme="majorBidi" w:cstheme="majorBidi"/>
                <w:sz w:val="16"/>
                <w:szCs w:val="16"/>
              </w:rPr>
            </w:pPr>
            <w:r w:rsidRPr="006D4540">
              <w:rPr>
                <w:rFonts w:asciiTheme="majorBidi" w:hAnsiTheme="majorBidi" w:cstheme="majorBidi"/>
                <w:sz w:val="16"/>
                <w:szCs w:val="16"/>
              </w:rPr>
              <w:t>KSA</w:t>
            </w:r>
          </w:p>
        </w:tc>
        <w:tc>
          <w:tcPr>
            <w:tcW w:w="750" w:type="pct"/>
            <w:gridSpan w:val="2"/>
            <w:tcBorders>
              <w:top w:val="single" w:sz="4" w:space="0" w:color="auto"/>
              <w:bottom w:val="single" w:sz="4" w:space="0" w:color="auto"/>
            </w:tcBorders>
            <w:vAlign w:val="center"/>
          </w:tcPr>
          <w:p w14:paraId="69CA11CE" w14:textId="77777777" w:rsidR="00CE1401" w:rsidRPr="006D4540" w:rsidRDefault="00CE1401" w:rsidP="00A152B0">
            <w:pPr>
              <w:autoSpaceDE w:val="0"/>
              <w:autoSpaceDN w:val="0"/>
              <w:adjustRightInd w:val="0"/>
              <w:snapToGrid w:val="0"/>
              <w:jc w:val="center"/>
              <w:rPr>
                <w:rFonts w:asciiTheme="majorBidi" w:hAnsiTheme="majorBidi" w:cstheme="majorBidi"/>
                <w:sz w:val="16"/>
                <w:szCs w:val="16"/>
              </w:rPr>
            </w:pPr>
            <w:r w:rsidRPr="006D4540">
              <w:rPr>
                <w:rFonts w:asciiTheme="majorBidi" w:hAnsiTheme="majorBidi" w:cstheme="majorBidi"/>
                <w:sz w:val="16"/>
                <w:szCs w:val="16"/>
              </w:rPr>
              <w:t>OMN</w:t>
            </w:r>
          </w:p>
        </w:tc>
        <w:tc>
          <w:tcPr>
            <w:tcW w:w="750" w:type="pct"/>
            <w:gridSpan w:val="2"/>
            <w:tcBorders>
              <w:top w:val="single" w:sz="4" w:space="0" w:color="auto"/>
              <w:bottom w:val="single" w:sz="4" w:space="0" w:color="auto"/>
            </w:tcBorders>
            <w:vAlign w:val="center"/>
          </w:tcPr>
          <w:p w14:paraId="0819F45D" w14:textId="77777777" w:rsidR="00CE1401" w:rsidRPr="006D4540" w:rsidRDefault="00CE1401" w:rsidP="00A152B0">
            <w:pPr>
              <w:autoSpaceDE w:val="0"/>
              <w:autoSpaceDN w:val="0"/>
              <w:adjustRightInd w:val="0"/>
              <w:snapToGrid w:val="0"/>
              <w:jc w:val="center"/>
              <w:rPr>
                <w:rFonts w:asciiTheme="majorBidi" w:hAnsiTheme="majorBidi" w:cstheme="majorBidi"/>
                <w:sz w:val="16"/>
                <w:szCs w:val="16"/>
              </w:rPr>
            </w:pPr>
            <w:r w:rsidRPr="006D4540">
              <w:rPr>
                <w:rFonts w:asciiTheme="majorBidi" w:hAnsiTheme="majorBidi" w:cstheme="majorBidi"/>
                <w:sz w:val="16"/>
                <w:szCs w:val="16"/>
              </w:rPr>
              <w:t>QAT</w:t>
            </w:r>
          </w:p>
        </w:tc>
        <w:tc>
          <w:tcPr>
            <w:tcW w:w="751" w:type="pct"/>
            <w:gridSpan w:val="2"/>
            <w:tcBorders>
              <w:top w:val="single" w:sz="4" w:space="0" w:color="auto"/>
              <w:bottom w:val="single" w:sz="4" w:space="0" w:color="auto"/>
            </w:tcBorders>
            <w:vAlign w:val="center"/>
          </w:tcPr>
          <w:p w14:paraId="66C0562B" w14:textId="77777777" w:rsidR="00CE1401" w:rsidRPr="006D4540" w:rsidRDefault="00CE1401" w:rsidP="00A152B0">
            <w:pPr>
              <w:autoSpaceDE w:val="0"/>
              <w:autoSpaceDN w:val="0"/>
              <w:adjustRightInd w:val="0"/>
              <w:snapToGrid w:val="0"/>
              <w:jc w:val="center"/>
              <w:rPr>
                <w:rFonts w:asciiTheme="majorBidi" w:hAnsiTheme="majorBidi" w:cstheme="majorBidi"/>
                <w:sz w:val="16"/>
                <w:szCs w:val="16"/>
              </w:rPr>
            </w:pPr>
            <w:r w:rsidRPr="006D4540">
              <w:rPr>
                <w:rFonts w:asciiTheme="majorBidi" w:hAnsiTheme="majorBidi" w:cstheme="majorBidi"/>
                <w:sz w:val="16"/>
                <w:szCs w:val="16"/>
              </w:rPr>
              <w:t>BAH</w:t>
            </w:r>
          </w:p>
        </w:tc>
        <w:tc>
          <w:tcPr>
            <w:tcW w:w="751" w:type="pct"/>
            <w:gridSpan w:val="2"/>
            <w:tcBorders>
              <w:top w:val="single" w:sz="4" w:space="0" w:color="auto"/>
              <w:bottom w:val="single" w:sz="4" w:space="0" w:color="auto"/>
            </w:tcBorders>
            <w:vAlign w:val="center"/>
          </w:tcPr>
          <w:p w14:paraId="7BB6AD46" w14:textId="77777777" w:rsidR="00CE1401" w:rsidRPr="006D4540" w:rsidRDefault="00CE1401" w:rsidP="00A152B0">
            <w:pPr>
              <w:autoSpaceDE w:val="0"/>
              <w:autoSpaceDN w:val="0"/>
              <w:adjustRightInd w:val="0"/>
              <w:snapToGrid w:val="0"/>
              <w:jc w:val="center"/>
              <w:rPr>
                <w:rFonts w:asciiTheme="majorBidi" w:hAnsiTheme="majorBidi" w:cstheme="majorBidi"/>
                <w:sz w:val="16"/>
                <w:szCs w:val="16"/>
              </w:rPr>
            </w:pPr>
            <w:r w:rsidRPr="006D4540">
              <w:rPr>
                <w:rFonts w:asciiTheme="majorBidi" w:hAnsiTheme="majorBidi" w:cstheme="majorBidi"/>
                <w:sz w:val="16"/>
                <w:szCs w:val="16"/>
              </w:rPr>
              <w:t>KUW</w:t>
            </w:r>
          </w:p>
        </w:tc>
        <w:tc>
          <w:tcPr>
            <w:tcW w:w="750" w:type="pct"/>
            <w:gridSpan w:val="2"/>
            <w:tcBorders>
              <w:top w:val="single" w:sz="4" w:space="0" w:color="auto"/>
              <w:bottom w:val="single" w:sz="4" w:space="0" w:color="auto"/>
            </w:tcBorders>
            <w:vAlign w:val="center"/>
          </w:tcPr>
          <w:p w14:paraId="2A2247B9" w14:textId="77777777" w:rsidR="00CE1401" w:rsidRPr="006D4540" w:rsidRDefault="00CE1401" w:rsidP="00A152B0">
            <w:pPr>
              <w:autoSpaceDE w:val="0"/>
              <w:autoSpaceDN w:val="0"/>
              <w:adjustRightInd w:val="0"/>
              <w:snapToGrid w:val="0"/>
              <w:jc w:val="center"/>
              <w:rPr>
                <w:rFonts w:asciiTheme="majorBidi" w:hAnsiTheme="majorBidi" w:cstheme="majorBidi"/>
                <w:sz w:val="16"/>
                <w:szCs w:val="16"/>
              </w:rPr>
            </w:pPr>
            <w:r w:rsidRPr="006D4540">
              <w:rPr>
                <w:rFonts w:asciiTheme="majorBidi" w:hAnsiTheme="majorBidi" w:cstheme="majorBidi"/>
                <w:sz w:val="16"/>
                <w:szCs w:val="16"/>
              </w:rPr>
              <w:t>UAE</w:t>
            </w:r>
          </w:p>
        </w:tc>
      </w:tr>
      <w:tr w:rsidR="00CE1401" w:rsidRPr="004449F8" w14:paraId="152504F4" w14:textId="77777777" w:rsidTr="009E5933">
        <w:trPr>
          <w:trHeight w:val="283"/>
        </w:trPr>
        <w:tc>
          <w:tcPr>
            <w:tcW w:w="500" w:type="pct"/>
            <w:vMerge/>
            <w:tcBorders>
              <w:bottom w:val="single" w:sz="4" w:space="0" w:color="auto"/>
              <w:right w:val="single" w:sz="4" w:space="0" w:color="auto"/>
            </w:tcBorders>
            <w:vAlign w:val="center"/>
          </w:tcPr>
          <w:p w14:paraId="58E1DBD3" w14:textId="0E5650E4" w:rsidR="00CE1401" w:rsidRPr="006D4540" w:rsidRDefault="00CE1401" w:rsidP="00A152B0">
            <w:pPr>
              <w:autoSpaceDE w:val="0"/>
              <w:autoSpaceDN w:val="0"/>
              <w:adjustRightInd w:val="0"/>
              <w:snapToGrid w:val="0"/>
              <w:jc w:val="center"/>
              <w:rPr>
                <w:rFonts w:asciiTheme="majorBidi" w:hAnsiTheme="majorBidi" w:cstheme="majorBidi"/>
                <w:sz w:val="16"/>
                <w:szCs w:val="16"/>
              </w:rPr>
            </w:pPr>
          </w:p>
        </w:tc>
        <w:tc>
          <w:tcPr>
            <w:tcW w:w="379" w:type="pct"/>
            <w:tcBorders>
              <w:top w:val="single" w:sz="4" w:space="0" w:color="auto"/>
              <w:left w:val="single" w:sz="4" w:space="0" w:color="auto"/>
              <w:bottom w:val="single" w:sz="4" w:space="0" w:color="auto"/>
            </w:tcBorders>
            <w:vAlign w:val="center"/>
          </w:tcPr>
          <w:p w14:paraId="6BBB246A" w14:textId="77777777" w:rsidR="00CE1401" w:rsidRPr="006D4540" w:rsidRDefault="00CE1401" w:rsidP="00A152B0">
            <w:pPr>
              <w:autoSpaceDE w:val="0"/>
              <w:autoSpaceDN w:val="0"/>
              <w:adjustRightInd w:val="0"/>
              <w:snapToGrid w:val="0"/>
              <w:jc w:val="center"/>
              <w:rPr>
                <w:rFonts w:asciiTheme="majorBidi" w:hAnsiTheme="majorBidi" w:cstheme="majorBidi"/>
                <w:sz w:val="16"/>
                <w:szCs w:val="16"/>
              </w:rPr>
            </w:pPr>
            <w:r w:rsidRPr="006D4540">
              <w:rPr>
                <w:rFonts w:asciiTheme="majorBidi" w:hAnsiTheme="majorBidi" w:cstheme="majorBidi"/>
                <w:sz w:val="16"/>
                <w:szCs w:val="16"/>
              </w:rPr>
              <w:t>B</w:t>
            </w:r>
          </w:p>
        </w:tc>
        <w:tc>
          <w:tcPr>
            <w:tcW w:w="370" w:type="pct"/>
            <w:tcBorders>
              <w:top w:val="single" w:sz="4" w:space="0" w:color="auto"/>
              <w:bottom w:val="single" w:sz="4" w:space="0" w:color="auto"/>
            </w:tcBorders>
            <w:vAlign w:val="center"/>
          </w:tcPr>
          <w:p w14:paraId="0570DAEA" w14:textId="77777777" w:rsidR="00CE1401" w:rsidRPr="006D4540" w:rsidRDefault="00CE1401" w:rsidP="00A152B0">
            <w:pPr>
              <w:autoSpaceDE w:val="0"/>
              <w:autoSpaceDN w:val="0"/>
              <w:adjustRightInd w:val="0"/>
              <w:snapToGrid w:val="0"/>
              <w:jc w:val="center"/>
              <w:rPr>
                <w:rFonts w:asciiTheme="majorBidi" w:hAnsiTheme="majorBidi" w:cstheme="majorBidi"/>
                <w:sz w:val="16"/>
                <w:szCs w:val="16"/>
              </w:rPr>
            </w:pPr>
            <w:r w:rsidRPr="006D4540">
              <w:rPr>
                <w:rFonts w:asciiTheme="majorBidi" w:hAnsiTheme="majorBidi" w:cstheme="majorBidi"/>
                <w:sz w:val="16"/>
                <w:szCs w:val="16"/>
              </w:rPr>
              <w:t>t-value</w:t>
            </w:r>
          </w:p>
        </w:tc>
        <w:tc>
          <w:tcPr>
            <w:tcW w:w="379" w:type="pct"/>
            <w:tcBorders>
              <w:top w:val="single" w:sz="4" w:space="0" w:color="auto"/>
              <w:bottom w:val="single" w:sz="4" w:space="0" w:color="auto"/>
            </w:tcBorders>
            <w:vAlign w:val="center"/>
          </w:tcPr>
          <w:p w14:paraId="558B05C5" w14:textId="77777777" w:rsidR="00CE1401" w:rsidRPr="006D4540" w:rsidRDefault="00CE1401" w:rsidP="00A152B0">
            <w:pPr>
              <w:autoSpaceDE w:val="0"/>
              <w:autoSpaceDN w:val="0"/>
              <w:adjustRightInd w:val="0"/>
              <w:snapToGrid w:val="0"/>
              <w:jc w:val="center"/>
              <w:rPr>
                <w:rFonts w:asciiTheme="majorBidi" w:hAnsiTheme="majorBidi" w:cstheme="majorBidi"/>
                <w:sz w:val="16"/>
                <w:szCs w:val="16"/>
              </w:rPr>
            </w:pPr>
            <w:r w:rsidRPr="006D4540">
              <w:rPr>
                <w:rFonts w:asciiTheme="majorBidi" w:hAnsiTheme="majorBidi" w:cstheme="majorBidi"/>
                <w:sz w:val="16"/>
                <w:szCs w:val="16"/>
              </w:rPr>
              <w:t>B</w:t>
            </w:r>
          </w:p>
        </w:tc>
        <w:tc>
          <w:tcPr>
            <w:tcW w:w="372" w:type="pct"/>
            <w:tcBorders>
              <w:top w:val="single" w:sz="4" w:space="0" w:color="auto"/>
              <w:bottom w:val="single" w:sz="4" w:space="0" w:color="auto"/>
            </w:tcBorders>
            <w:vAlign w:val="center"/>
          </w:tcPr>
          <w:p w14:paraId="51692A56" w14:textId="77777777" w:rsidR="00CE1401" w:rsidRPr="006D4540" w:rsidRDefault="00CE1401" w:rsidP="00A152B0">
            <w:pPr>
              <w:autoSpaceDE w:val="0"/>
              <w:autoSpaceDN w:val="0"/>
              <w:adjustRightInd w:val="0"/>
              <w:snapToGrid w:val="0"/>
              <w:jc w:val="center"/>
              <w:rPr>
                <w:rFonts w:asciiTheme="majorBidi" w:hAnsiTheme="majorBidi" w:cstheme="majorBidi"/>
                <w:sz w:val="16"/>
                <w:szCs w:val="16"/>
              </w:rPr>
            </w:pPr>
            <w:r w:rsidRPr="006D4540">
              <w:rPr>
                <w:rFonts w:asciiTheme="majorBidi" w:hAnsiTheme="majorBidi" w:cstheme="majorBidi"/>
                <w:sz w:val="16"/>
                <w:szCs w:val="16"/>
              </w:rPr>
              <w:t>t-value</w:t>
            </w:r>
          </w:p>
        </w:tc>
        <w:tc>
          <w:tcPr>
            <w:tcW w:w="379" w:type="pct"/>
            <w:tcBorders>
              <w:top w:val="single" w:sz="4" w:space="0" w:color="auto"/>
              <w:bottom w:val="single" w:sz="4" w:space="0" w:color="auto"/>
            </w:tcBorders>
            <w:vAlign w:val="center"/>
          </w:tcPr>
          <w:p w14:paraId="4A8A01EE" w14:textId="77777777" w:rsidR="00CE1401" w:rsidRPr="006D4540" w:rsidRDefault="00CE1401" w:rsidP="00A152B0">
            <w:pPr>
              <w:autoSpaceDE w:val="0"/>
              <w:autoSpaceDN w:val="0"/>
              <w:adjustRightInd w:val="0"/>
              <w:snapToGrid w:val="0"/>
              <w:jc w:val="center"/>
              <w:rPr>
                <w:rFonts w:asciiTheme="majorBidi" w:hAnsiTheme="majorBidi" w:cstheme="majorBidi"/>
                <w:sz w:val="16"/>
                <w:szCs w:val="16"/>
              </w:rPr>
            </w:pPr>
            <w:r w:rsidRPr="006D4540">
              <w:rPr>
                <w:rFonts w:asciiTheme="majorBidi" w:hAnsiTheme="majorBidi" w:cstheme="majorBidi"/>
                <w:sz w:val="16"/>
                <w:szCs w:val="16"/>
              </w:rPr>
              <w:t>B</w:t>
            </w:r>
          </w:p>
        </w:tc>
        <w:tc>
          <w:tcPr>
            <w:tcW w:w="372" w:type="pct"/>
            <w:tcBorders>
              <w:top w:val="single" w:sz="4" w:space="0" w:color="auto"/>
              <w:bottom w:val="single" w:sz="4" w:space="0" w:color="auto"/>
            </w:tcBorders>
            <w:vAlign w:val="center"/>
          </w:tcPr>
          <w:p w14:paraId="2B78D563" w14:textId="77777777" w:rsidR="00CE1401" w:rsidRPr="006D4540" w:rsidRDefault="00CE1401" w:rsidP="00A152B0">
            <w:pPr>
              <w:autoSpaceDE w:val="0"/>
              <w:autoSpaceDN w:val="0"/>
              <w:adjustRightInd w:val="0"/>
              <w:snapToGrid w:val="0"/>
              <w:jc w:val="center"/>
              <w:rPr>
                <w:rFonts w:asciiTheme="majorBidi" w:hAnsiTheme="majorBidi" w:cstheme="majorBidi"/>
                <w:sz w:val="16"/>
                <w:szCs w:val="16"/>
              </w:rPr>
            </w:pPr>
            <w:r w:rsidRPr="006D4540">
              <w:rPr>
                <w:rFonts w:asciiTheme="majorBidi" w:hAnsiTheme="majorBidi" w:cstheme="majorBidi"/>
                <w:sz w:val="16"/>
                <w:szCs w:val="16"/>
              </w:rPr>
              <w:t>t-value</w:t>
            </w:r>
          </w:p>
        </w:tc>
        <w:tc>
          <w:tcPr>
            <w:tcW w:w="379" w:type="pct"/>
            <w:tcBorders>
              <w:top w:val="single" w:sz="4" w:space="0" w:color="auto"/>
              <w:bottom w:val="single" w:sz="4" w:space="0" w:color="auto"/>
            </w:tcBorders>
            <w:vAlign w:val="center"/>
          </w:tcPr>
          <w:p w14:paraId="559F0D35" w14:textId="77777777" w:rsidR="00CE1401" w:rsidRPr="006D4540" w:rsidRDefault="00CE1401" w:rsidP="00A152B0">
            <w:pPr>
              <w:autoSpaceDE w:val="0"/>
              <w:autoSpaceDN w:val="0"/>
              <w:adjustRightInd w:val="0"/>
              <w:snapToGrid w:val="0"/>
              <w:jc w:val="center"/>
              <w:rPr>
                <w:rFonts w:asciiTheme="majorBidi" w:hAnsiTheme="majorBidi" w:cstheme="majorBidi"/>
                <w:sz w:val="16"/>
                <w:szCs w:val="16"/>
              </w:rPr>
            </w:pPr>
            <w:r w:rsidRPr="006D4540">
              <w:rPr>
                <w:rFonts w:asciiTheme="majorBidi" w:hAnsiTheme="majorBidi" w:cstheme="majorBidi"/>
                <w:sz w:val="16"/>
                <w:szCs w:val="16"/>
              </w:rPr>
              <w:t>B</w:t>
            </w:r>
          </w:p>
        </w:tc>
        <w:tc>
          <w:tcPr>
            <w:tcW w:w="372" w:type="pct"/>
            <w:tcBorders>
              <w:top w:val="single" w:sz="4" w:space="0" w:color="auto"/>
              <w:bottom w:val="single" w:sz="4" w:space="0" w:color="auto"/>
            </w:tcBorders>
            <w:vAlign w:val="center"/>
          </w:tcPr>
          <w:p w14:paraId="51CA86B7" w14:textId="77777777" w:rsidR="00CE1401" w:rsidRPr="006D4540" w:rsidRDefault="00CE1401" w:rsidP="00A152B0">
            <w:pPr>
              <w:autoSpaceDE w:val="0"/>
              <w:autoSpaceDN w:val="0"/>
              <w:adjustRightInd w:val="0"/>
              <w:snapToGrid w:val="0"/>
              <w:jc w:val="center"/>
              <w:rPr>
                <w:rFonts w:asciiTheme="majorBidi" w:hAnsiTheme="majorBidi" w:cstheme="majorBidi"/>
                <w:sz w:val="16"/>
                <w:szCs w:val="16"/>
              </w:rPr>
            </w:pPr>
            <w:r w:rsidRPr="006D4540">
              <w:rPr>
                <w:rFonts w:asciiTheme="majorBidi" w:hAnsiTheme="majorBidi" w:cstheme="majorBidi"/>
                <w:sz w:val="16"/>
                <w:szCs w:val="16"/>
              </w:rPr>
              <w:t>t-value</w:t>
            </w:r>
          </w:p>
        </w:tc>
        <w:tc>
          <w:tcPr>
            <w:tcW w:w="379" w:type="pct"/>
            <w:tcBorders>
              <w:top w:val="single" w:sz="4" w:space="0" w:color="auto"/>
              <w:bottom w:val="single" w:sz="4" w:space="0" w:color="auto"/>
            </w:tcBorders>
            <w:vAlign w:val="center"/>
          </w:tcPr>
          <w:p w14:paraId="619EF9DD" w14:textId="77777777" w:rsidR="00CE1401" w:rsidRPr="006D4540" w:rsidRDefault="00CE1401" w:rsidP="00A152B0">
            <w:pPr>
              <w:autoSpaceDE w:val="0"/>
              <w:autoSpaceDN w:val="0"/>
              <w:adjustRightInd w:val="0"/>
              <w:snapToGrid w:val="0"/>
              <w:jc w:val="center"/>
              <w:rPr>
                <w:rFonts w:asciiTheme="majorBidi" w:hAnsiTheme="majorBidi" w:cstheme="majorBidi"/>
                <w:sz w:val="16"/>
                <w:szCs w:val="16"/>
              </w:rPr>
            </w:pPr>
            <w:r w:rsidRPr="006D4540">
              <w:rPr>
                <w:rFonts w:asciiTheme="majorBidi" w:hAnsiTheme="majorBidi" w:cstheme="majorBidi"/>
                <w:sz w:val="16"/>
                <w:szCs w:val="16"/>
              </w:rPr>
              <w:t>B</w:t>
            </w:r>
          </w:p>
        </w:tc>
        <w:tc>
          <w:tcPr>
            <w:tcW w:w="372" w:type="pct"/>
            <w:tcBorders>
              <w:top w:val="single" w:sz="4" w:space="0" w:color="auto"/>
              <w:bottom w:val="single" w:sz="4" w:space="0" w:color="auto"/>
            </w:tcBorders>
            <w:vAlign w:val="center"/>
          </w:tcPr>
          <w:p w14:paraId="2AE475E4" w14:textId="77777777" w:rsidR="00CE1401" w:rsidRPr="006D4540" w:rsidRDefault="00CE1401" w:rsidP="00A152B0">
            <w:pPr>
              <w:autoSpaceDE w:val="0"/>
              <w:autoSpaceDN w:val="0"/>
              <w:adjustRightInd w:val="0"/>
              <w:snapToGrid w:val="0"/>
              <w:jc w:val="center"/>
              <w:rPr>
                <w:rFonts w:asciiTheme="majorBidi" w:hAnsiTheme="majorBidi" w:cstheme="majorBidi"/>
                <w:sz w:val="16"/>
                <w:szCs w:val="16"/>
              </w:rPr>
            </w:pPr>
            <w:r w:rsidRPr="006D4540">
              <w:rPr>
                <w:rFonts w:asciiTheme="majorBidi" w:hAnsiTheme="majorBidi" w:cstheme="majorBidi"/>
                <w:sz w:val="16"/>
                <w:szCs w:val="16"/>
              </w:rPr>
              <w:t>t-value</w:t>
            </w:r>
          </w:p>
        </w:tc>
        <w:tc>
          <w:tcPr>
            <w:tcW w:w="379" w:type="pct"/>
            <w:tcBorders>
              <w:top w:val="single" w:sz="4" w:space="0" w:color="auto"/>
              <w:bottom w:val="single" w:sz="4" w:space="0" w:color="auto"/>
            </w:tcBorders>
            <w:vAlign w:val="center"/>
          </w:tcPr>
          <w:p w14:paraId="198B872B" w14:textId="77777777" w:rsidR="00CE1401" w:rsidRPr="006D4540" w:rsidRDefault="00CE1401" w:rsidP="00A152B0">
            <w:pPr>
              <w:autoSpaceDE w:val="0"/>
              <w:autoSpaceDN w:val="0"/>
              <w:adjustRightInd w:val="0"/>
              <w:snapToGrid w:val="0"/>
              <w:jc w:val="center"/>
              <w:rPr>
                <w:rFonts w:asciiTheme="majorBidi" w:hAnsiTheme="majorBidi" w:cstheme="majorBidi"/>
                <w:sz w:val="16"/>
                <w:szCs w:val="16"/>
              </w:rPr>
            </w:pPr>
            <w:r w:rsidRPr="006D4540">
              <w:rPr>
                <w:rFonts w:asciiTheme="majorBidi" w:hAnsiTheme="majorBidi" w:cstheme="majorBidi"/>
                <w:sz w:val="16"/>
                <w:szCs w:val="16"/>
              </w:rPr>
              <w:t>B</w:t>
            </w:r>
          </w:p>
        </w:tc>
        <w:tc>
          <w:tcPr>
            <w:tcW w:w="371" w:type="pct"/>
            <w:tcBorders>
              <w:top w:val="single" w:sz="4" w:space="0" w:color="auto"/>
              <w:bottom w:val="single" w:sz="4" w:space="0" w:color="auto"/>
            </w:tcBorders>
            <w:vAlign w:val="center"/>
          </w:tcPr>
          <w:p w14:paraId="18CD4036" w14:textId="77777777" w:rsidR="00CE1401" w:rsidRPr="006D4540" w:rsidRDefault="00CE1401" w:rsidP="00A152B0">
            <w:pPr>
              <w:autoSpaceDE w:val="0"/>
              <w:autoSpaceDN w:val="0"/>
              <w:adjustRightInd w:val="0"/>
              <w:snapToGrid w:val="0"/>
              <w:jc w:val="center"/>
              <w:rPr>
                <w:rFonts w:asciiTheme="majorBidi" w:hAnsiTheme="majorBidi" w:cstheme="majorBidi"/>
                <w:sz w:val="16"/>
                <w:szCs w:val="16"/>
              </w:rPr>
            </w:pPr>
            <w:r w:rsidRPr="006D4540">
              <w:rPr>
                <w:rFonts w:asciiTheme="majorBidi" w:hAnsiTheme="majorBidi" w:cstheme="majorBidi"/>
                <w:sz w:val="16"/>
                <w:szCs w:val="16"/>
              </w:rPr>
              <w:t>t-value</w:t>
            </w:r>
          </w:p>
        </w:tc>
      </w:tr>
      <w:tr w:rsidR="006D4540" w:rsidRPr="004449F8" w14:paraId="7E7E4AB4" w14:textId="77777777" w:rsidTr="009E5933">
        <w:trPr>
          <w:trHeight w:val="283"/>
        </w:trPr>
        <w:tc>
          <w:tcPr>
            <w:tcW w:w="500" w:type="pct"/>
            <w:tcBorders>
              <w:top w:val="single" w:sz="4" w:space="0" w:color="auto"/>
              <w:bottom w:val="single" w:sz="4" w:space="0" w:color="auto"/>
              <w:right w:val="single" w:sz="4" w:space="0" w:color="auto"/>
            </w:tcBorders>
            <w:vAlign w:val="center"/>
          </w:tcPr>
          <w:p w14:paraId="35750FAF" w14:textId="4A5B639E" w:rsidR="004449F8" w:rsidRPr="006D4540" w:rsidRDefault="004449F8" w:rsidP="00A152B0">
            <w:pPr>
              <w:tabs>
                <w:tab w:val="left" w:pos="4536"/>
              </w:tabs>
              <w:autoSpaceDE w:val="0"/>
              <w:autoSpaceDN w:val="0"/>
              <w:adjustRightInd w:val="0"/>
              <w:snapToGrid w:val="0"/>
              <w:jc w:val="center"/>
              <w:rPr>
                <w:rFonts w:asciiTheme="majorBidi" w:hAnsiTheme="majorBidi" w:cstheme="majorBidi"/>
                <w:sz w:val="16"/>
                <w:szCs w:val="16"/>
              </w:rPr>
            </w:pPr>
            <w:r w:rsidRPr="006D4540">
              <w:rPr>
                <w:rFonts w:asciiTheme="majorBidi" w:hAnsiTheme="majorBidi" w:cstheme="majorBidi"/>
                <w:sz w:val="16"/>
                <w:szCs w:val="16"/>
              </w:rPr>
              <w:t>EQ (ESI) &amp;sig.</w:t>
            </w:r>
          </w:p>
        </w:tc>
        <w:tc>
          <w:tcPr>
            <w:tcW w:w="379" w:type="pct"/>
            <w:tcBorders>
              <w:top w:val="single" w:sz="4" w:space="0" w:color="auto"/>
              <w:left w:val="single" w:sz="4" w:space="0" w:color="auto"/>
              <w:bottom w:val="single" w:sz="4" w:space="0" w:color="auto"/>
            </w:tcBorders>
            <w:vAlign w:val="center"/>
          </w:tcPr>
          <w:p w14:paraId="66E78271" w14:textId="2C17274C" w:rsidR="004449F8" w:rsidRPr="00A152B0" w:rsidRDefault="004449F8" w:rsidP="00A152B0">
            <w:pPr>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0.012</w:t>
            </w:r>
          </w:p>
          <w:p w14:paraId="5A840908" w14:textId="77777777" w:rsidR="004449F8" w:rsidRPr="00A152B0" w:rsidRDefault="004449F8" w:rsidP="00A152B0">
            <w:pPr>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(0.951)</w:t>
            </w:r>
          </w:p>
        </w:tc>
        <w:tc>
          <w:tcPr>
            <w:tcW w:w="370" w:type="pct"/>
            <w:tcBorders>
              <w:top w:val="single" w:sz="4" w:space="0" w:color="auto"/>
              <w:bottom w:val="single" w:sz="4" w:space="0" w:color="auto"/>
            </w:tcBorders>
            <w:vAlign w:val="center"/>
          </w:tcPr>
          <w:p w14:paraId="4C4710EC" w14:textId="2543344C" w:rsidR="004449F8" w:rsidRPr="00A152B0" w:rsidRDefault="004449F8" w:rsidP="00A152B0">
            <w:pPr>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-0.062</w:t>
            </w:r>
          </w:p>
        </w:tc>
        <w:tc>
          <w:tcPr>
            <w:tcW w:w="379" w:type="pct"/>
            <w:tcBorders>
              <w:top w:val="single" w:sz="4" w:space="0" w:color="auto"/>
              <w:bottom w:val="single" w:sz="4" w:space="0" w:color="auto"/>
            </w:tcBorders>
            <w:vAlign w:val="center"/>
          </w:tcPr>
          <w:p w14:paraId="5D611AAE" w14:textId="77777777" w:rsidR="004449F8" w:rsidRPr="00A152B0" w:rsidRDefault="004449F8" w:rsidP="00A152B0">
            <w:pPr>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-0.017</w:t>
            </w:r>
          </w:p>
          <w:p w14:paraId="71496318" w14:textId="77777777" w:rsidR="004449F8" w:rsidRPr="00A152B0" w:rsidRDefault="004449F8" w:rsidP="00A152B0">
            <w:pPr>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(0.884)</w:t>
            </w:r>
          </w:p>
        </w:tc>
        <w:tc>
          <w:tcPr>
            <w:tcW w:w="372" w:type="pct"/>
            <w:tcBorders>
              <w:top w:val="single" w:sz="4" w:space="0" w:color="auto"/>
              <w:bottom w:val="single" w:sz="4" w:space="0" w:color="auto"/>
            </w:tcBorders>
            <w:vAlign w:val="center"/>
          </w:tcPr>
          <w:p w14:paraId="276B806A" w14:textId="77777777" w:rsidR="004449F8" w:rsidRPr="00A152B0" w:rsidRDefault="004449F8" w:rsidP="00A152B0">
            <w:pPr>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-0.147</w:t>
            </w:r>
          </w:p>
        </w:tc>
        <w:tc>
          <w:tcPr>
            <w:tcW w:w="379" w:type="pct"/>
            <w:tcBorders>
              <w:top w:val="single" w:sz="4" w:space="0" w:color="auto"/>
              <w:bottom w:val="single" w:sz="4" w:space="0" w:color="auto"/>
            </w:tcBorders>
            <w:vAlign w:val="center"/>
          </w:tcPr>
          <w:p w14:paraId="622A1D2D" w14:textId="77777777" w:rsidR="004449F8" w:rsidRPr="00A152B0" w:rsidRDefault="004449F8" w:rsidP="00A152B0">
            <w:pPr>
              <w:autoSpaceDE w:val="0"/>
              <w:autoSpaceDN w:val="0"/>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-0.001</w:t>
            </w:r>
          </w:p>
          <w:p w14:paraId="04AE29CF" w14:textId="77777777" w:rsidR="004449F8" w:rsidRPr="00A152B0" w:rsidRDefault="004449F8" w:rsidP="00A152B0">
            <w:pPr>
              <w:autoSpaceDE w:val="0"/>
              <w:autoSpaceDN w:val="0"/>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(0.996)</w:t>
            </w:r>
          </w:p>
        </w:tc>
        <w:tc>
          <w:tcPr>
            <w:tcW w:w="372" w:type="pct"/>
            <w:tcBorders>
              <w:top w:val="single" w:sz="4" w:space="0" w:color="auto"/>
              <w:bottom w:val="single" w:sz="4" w:space="0" w:color="auto"/>
            </w:tcBorders>
            <w:vAlign w:val="center"/>
          </w:tcPr>
          <w:p w14:paraId="2886913D" w14:textId="77777777" w:rsidR="004449F8" w:rsidRPr="00A152B0" w:rsidRDefault="004449F8" w:rsidP="00A152B0">
            <w:pPr>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-0.005</w:t>
            </w:r>
          </w:p>
        </w:tc>
        <w:tc>
          <w:tcPr>
            <w:tcW w:w="379" w:type="pct"/>
            <w:tcBorders>
              <w:top w:val="single" w:sz="4" w:space="0" w:color="auto"/>
              <w:bottom w:val="single" w:sz="4" w:space="0" w:color="auto"/>
            </w:tcBorders>
            <w:vAlign w:val="center"/>
          </w:tcPr>
          <w:p w14:paraId="4D7E9CFD" w14:textId="77777777" w:rsidR="004449F8" w:rsidRPr="00A152B0" w:rsidRDefault="004449F8" w:rsidP="00A152B0">
            <w:pPr>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0.003</w:t>
            </w:r>
          </w:p>
          <w:p w14:paraId="0D5968DC" w14:textId="77777777" w:rsidR="004449F8" w:rsidRPr="00A152B0" w:rsidRDefault="004449F8" w:rsidP="00A152B0">
            <w:pPr>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(0.567)</w:t>
            </w:r>
          </w:p>
        </w:tc>
        <w:tc>
          <w:tcPr>
            <w:tcW w:w="372" w:type="pct"/>
            <w:tcBorders>
              <w:top w:val="single" w:sz="4" w:space="0" w:color="auto"/>
              <w:bottom w:val="single" w:sz="4" w:space="0" w:color="auto"/>
            </w:tcBorders>
            <w:vAlign w:val="center"/>
          </w:tcPr>
          <w:p w14:paraId="3A187652" w14:textId="77777777" w:rsidR="004449F8" w:rsidRPr="00A152B0" w:rsidRDefault="004449F8" w:rsidP="00A152B0">
            <w:pPr>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0.575</w:t>
            </w:r>
          </w:p>
        </w:tc>
        <w:tc>
          <w:tcPr>
            <w:tcW w:w="379" w:type="pct"/>
            <w:tcBorders>
              <w:top w:val="single" w:sz="4" w:space="0" w:color="auto"/>
              <w:bottom w:val="single" w:sz="4" w:space="0" w:color="auto"/>
            </w:tcBorders>
            <w:vAlign w:val="center"/>
          </w:tcPr>
          <w:p w14:paraId="577FFCAF" w14:textId="77777777" w:rsidR="004449F8" w:rsidRPr="00A152B0" w:rsidRDefault="004449F8" w:rsidP="00A152B0">
            <w:pPr>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0.061</w:t>
            </w:r>
          </w:p>
          <w:p w14:paraId="640D97B2" w14:textId="77777777" w:rsidR="004449F8" w:rsidRPr="00A152B0" w:rsidRDefault="004449F8" w:rsidP="00A152B0">
            <w:pPr>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(0.068)</w:t>
            </w:r>
          </w:p>
        </w:tc>
        <w:tc>
          <w:tcPr>
            <w:tcW w:w="372" w:type="pct"/>
            <w:tcBorders>
              <w:top w:val="single" w:sz="4" w:space="0" w:color="auto"/>
              <w:bottom w:val="single" w:sz="4" w:space="0" w:color="auto"/>
            </w:tcBorders>
            <w:vAlign w:val="center"/>
          </w:tcPr>
          <w:p w14:paraId="7881647F" w14:textId="77777777" w:rsidR="004449F8" w:rsidRPr="00A152B0" w:rsidRDefault="004449F8" w:rsidP="00A152B0">
            <w:pPr>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1.868</w:t>
            </w:r>
          </w:p>
        </w:tc>
        <w:tc>
          <w:tcPr>
            <w:tcW w:w="379" w:type="pct"/>
            <w:tcBorders>
              <w:top w:val="single" w:sz="4" w:space="0" w:color="auto"/>
              <w:bottom w:val="single" w:sz="4" w:space="0" w:color="auto"/>
            </w:tcBorders>
            <w:vAlign w:val="center"/>
          </w:tcPr>
          <w:p w14:paraId="16F95E5D" w14:textId="77777777" w:rsidR="004449F8" w:rsidRPr="00A152B0" w:rsidRDefault="004449F8" w:rsidP="00A152B0">
            <w:pPr>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-0.020</w:t>
            </w:r>
          </w:p>
          <w:p w14:paraId="77A5E3EF" w14:textId="77777777" w:rsidR="004449F8" w:rsidRPr="00A152B0" w:rsidRDefault="004449F8" w:rsidP="00A152B0">
            <w:pPr>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(0.831)</w:t>
            </w:r>
          </w:p>
        </w:tc>
        <w:tc>
          <w:tcPr>
            <w:tcW w:w="371" w:type="pct"/>
            <w:tcBorders>
              <w:top w:val="single" w:sz="4" w:space="0" w:color="auto"/>
              <w:bottom w:val="single" w:sz="4" w:space="0" w:color="auto"/>
            </w:tcBorders>
            <w:vAlign w:val="center"/>
          </w:tcPr>
          <w:p w14:paraId="322632F9" w14:textId="77777777" w:rsidR="004449F8" w:rsidRPr="00A152B0" w:rsidRDefault="004449F8" w:rsidP="00A152B0">
            <w:pPr>
              <w:autoSpaceDE w:val="0"/>
              <w:autoSpaceDN w:val="0"/>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-0.214</w:t>
            </w:r>
          </w:p>
        </w:tc>
      </w:tr>
      <w:tr w:rsidR="006D4540" w:rsidRPr="004449F8" w14:paraId="5F4B099E" w14:textId="77777777" w:rsidTr="009E5933">
        <w:trPr>
          <w:trHeight w:val="283"/>
        </w:trPr>
        <w:tc>
          <w:tcPr>
            <w:tcW w:w="500" w:type="pct"/>
            <w:tcBorders>
              <w:top w:val="single" w:sz="4" w:space="0" w:color="auto"/>
              <w:bottom w:val="single" w:sz="4" w:space="0" w:color="auto"/>
              <w:right w:val="single" w:sz="4" w:space="0" w:color="auto"/>
            </w:tcBorders>
            <w:vAlign w:val="center"/>
          </w:tcPr>
          <w:p w14:paraId="4E04C9D6" w14:textId="77777777" w:rsidR="004449F8" w:rsidRPr="006D4540" w:rsidRDefault="004449F8" w:rsidP="00A152B0">
            <w:pPr>
              <w:adjustRightInd w:val="0"/>
              <w:snapToGrid w:val="0"/>
              <w:jc w:val="center"/>
              <w:rPr>
                <w:rFonts w:asciiTheme="majorBidi" w:hAnsiTheme="majorBidi" w:cstheme="majorBidi"/>
                <w:sz w:val="16"/>
                <w:szCs w:val="16"/>
              </w:rPr>
            </w:pPr>
            <w:r w:rsidRPr="006D4540">
              <w:rPr>
                <w:rFonts w:asciiTheme="majorBidi" w:hAnsiTheme="majorBidi" w:cstheme="majorBidi"/>
                <w:sz w:val="16"/>
                <w:szCs w:val="16"/>
              </w:rPr>
              <w:t>Big4</w:t>
            </w:r>
          </w:p>
        </w:tc>
        <w:tc>
          <w:tcPr>
            <w:tcW w:w="379" w:type="pct"/>
            <w:tcBorders>
              <w:top w:val="single" w:sz="4" w:space="0" w:color="auto"/>
              <w:left w:val="single" w:sz="4" w:space="0" w:color="auto"/>
              <w:bottom w:val="single" w:sz="4" w:space="0" w:color="auto"/>
            </w:tcBorders>
            <w:vAlign w:val="center"/>
          </w:tcPr>
          <w:p w14:paraId="28BFE6B1" w14:textId="77777777" w:rsidR="004449F8" w:rsidRPr="00A152B0" w:rsidRDefault="004449F8" w:rsidP="00A152B0">
            <w:pPr>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-0.013</w:t>
            </w:r>
          </w:p>
          <w:p w14:paraId="6501E6DF" w14:textId="77777777" w:rsidR="004449F8" w:rsidRPr="00A152B0" w:rsidRDefault="004449F8" w:rsidP="00A152B0">
            <w:pPr>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(0.039)</w:t>
            </w:r>
          </w:p>
        </w:tc>
        <w:tc>
          <w:tcPr>
            <w:tcW w:w="370" w:type="pct"/>
            <w:tcBorders>
              <w:top w:val="single" w:sz="4" w:space="0" w:color="auto"/>
              <w:bottom w:val="single" w:sz="4" w:space="0" w:color="auto"/>
            </w:tcBorders>
            <w:vAlign w:val="center"/>
          </w:tcPr>
          <w:p w14:paraId="1502D94C" w14:textId="77777777" w:rsidR="004449F8" w:rsidRPr="00A152B0" w:rsidRDefault="004449F8" w:rsidP="00A152B0">
            <w:pPr>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-2.073</w:t>
            </w:r>
          </w:p>
        </w:tc>
        <w:tc>
          <w:tcPr>
            <w:tcW w:w="379" w:type="pct"/>
            <w:tcBorders>
              <w:top w:val="single" w:sz="4" w:space="0" w:color="auto"/>
              <w:bottom w:val="single" w:sz="4" w:space="0" w:color="auto"/>
            </w:tcBorders>
            <w:vAlign w:val="center"/>
          </w:tcPr>
          <w:p w14:paraId="2956FBBF" w14:textId="77777777" w:rsidR="004449F8" w:rsidRPr="00A152B0" w:rsidRDefault="004449F8" w:rsidP="00A152B0">
            <w:pPr>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0.042</w:t>
            </w:r>
          </w:p>
          <w:p w14:paraId="09049EA3" w14:textId="77777777" w:rsidR="004449F8" w:rsidRPr="00A152B0" w:rsidRDefault="004449F8" w:rsidP="00A152B0">
            <w:pPr>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(0.000)</w:t>
            </w:r>
          </w:p>
        </w:tc>
        <w:tc>
          <w:tcPr>
            <w:tcW w:w="372" w:type="pct"/>
            <w:tcBorders>
              <w:top w:val="single" w:sz="4" w:space="0" w:color="auto"/>
              <w:bottom w:val="single" w:sz="4" w:space="0" w:color="auto"/>
            </w:tcBorders>
            <w:vAlign w:val="center"/>
          </w:tcPr>
          <w:p w14:paraId="11469B4D" w14:textId="77777777" w:rsidR="004449F8" w:rsidRPr="00A152B0" w:rsidRDefault="004449F8" w:rsidP="00A152B0">
            <w:pPr>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4.073</w:t>
            </w:r>
          </w:p>
        </w:tc>
        <w:tc>
          <w:tcPr>
            <w:tcW w:w="379" w:type="pct"/>
            <w:tcBorders>
              <w:top w:val="single" w:sz="4" w:space="0" w:color="auto"/>
              <w:bottom w:val="single" w:sz="4" w:space="0" w:color="auto"/>
            </w:tcBorders>
            <w:vAlign w:val="center"/>
          </w:tcPr>
          <w:p w14:paraId="5CC08268" w14:textId="77777777" w:rsidR="004449F8" w:rsidRPr="00A152B0" w:rsidRDefault="004449F8" w:rsidP="00A152B0">
            <w:pPr>
              <w:autoSpaceDE w:val="0"/>
              <w:autoSpaceDN w:val="0"/>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0.302</w:t>
            </w:r>
          </w:p>
          <w:p w14:paraId="6057BAC7" w14:textId="77777777" w:rsidR="004449F8" w:rsidRPr="00A152B0" w:rsidRDefault="004449F8" w:rsidP="00A152B0">
            <w:pPr>
              <w:autoSpaceDE w:val="0"/>
              <w:autoSpaceDN w:val="0"/>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(0.000)</w:t>
            </w:r>
          </w:p>
        </w:tc>
        <w:tc>
          <w:tcPr>
            <w:tcW w:w="372" w:type="pct"/>
            <w:tcBorders>
              <w:top w:val="single" w:sz="4" w:space="0" w:color="auto"/>
              <w:bottom w:val="single" w:sz="4" w:space="0" w:color="auto"/>
            </w:tcBorders>
            <w:vAlign w:val="center"/>
          </w:tcPr>
          <w:p w14:paraId="20A54CD2" w14:textId="77777777" w:rsidR="004449F8" w:rsidRPr="00A152B0" w:rsidRDefault="004449F8" w:rsidP="00A152B0">
            <w:pPr>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3.075</w:t>
            </w:r>
          </w:p>
        </w:tc>
        <w:tc>
          <w:tcPr>
            <w:tcW w:w="379" w:type="pct"/>
            <w:tcBorders>
              <w:top w:val="single" w:sz="4" w:space="0" w:color="auto"/>
              <w:bottom w:val="single" w:sz="4" w:space="0" w:color="auto"/>
            </w:tcBorders>
            <w:vAlign w:val="center"/>
          </w:tcPr>
          <w:p w14:paraId="0080D6AE" w14:textId="77777777" w:rsidR="004449F8" w:rsidRPr="00A152B0" w:rsidRDefault="004449F8" w:rsidP="00A152B0">
            <w:pPr>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0.055</w:t>
            </w:r>
          </w:p>
          <w:p w14:paraId="69B88223" w14:textId="77777777" w:rsidR="004449F8" w:rsidRPr="00A152B0" w:rsidRDefault="004449F8" w:rsidP="00A152B0">
            <w:pPr>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(0.002)</w:t>
            </w:r>
          </w:p>
        </w:tc>
        <w:tc>
          <w:tcPr>
            <w:tcW w:w="372" w:type="pct"/>
            <w:tcBorders>
              <w:top w:val="single" w:sz="4" w:space="0" w:color="auto"/>
              <w:bottom w:val="single" w:sz="4" w:space="0" w:color="auto"/>
            </w:tcBorders>
            <w:vAlign w:val="center"/>
          </w:tcPr>
          <w:p w14:paraId="66656A01" w14:textId="77777777" w:rsidR="004449F8" w:rsidRPr="00A152B0" w:rsidRDefault="004449F8" w:rsidP="00A152B0">
            <w:pPr>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3.149</w:t>
            </w:r>
          </w:p>
        </w:tc>
        <w:tc>
          <w:tcPr>
            <w:tcW w:w="379" w:type="pct"/>
            <w:tcBorders>
              <w:top w:val="single" w:sz="4" w:space="0" w:color="auto"/>
              <w:bottom w:val="single" w:sz="4" w:space="0" w:color="auto"/>
            </w:tcBorders>
            <w:vAlign w:val="center"/>
          </w:tcPr>
          <w:p w14:paraId="5BA0A63E" w14:textId="77777777" w:rsidR="004449F8" w:rsidRPr="00A152B0" w:rsidRDefault="004449F8" w:rsidP="00A152B0">
            <w:pPr>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-0.539</w:t>
            </w:r>
          </w:p>
          <w:p w14:paraId="3D16785B" w14:textId="77777777" w:rsidR="004449F8" w:rsidRPr="00A152B0" w:rsidRDefault="004449F8" w:rsidP="00A152B0">
            <w:pPr>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(0.072)</w:t>
            </w:r>
          </w:p>
        </w:tc>
        <w:tc>
          <w:tcPr>
            <w:tcW w:w="372" w:type="pct"/>
            <w:tcBorders>
              <w:top w:val="single" w:sz="4" w:space="0" w:color="auto"/>
              <w:bottom w:val="single" w:sz="4" w:space="0" w:color="auto"/>
            </w:tcBorders>
            <w:vAlign w:val="center"/>
          </w:tcPr>
          <w:p w14:paraId="2214211D" w14:textId="77777777" w:rsidR="004449F8" w:rsidRPr="00A152B0" w:rsidRDefault="004449F8" w:rsidP="00A152B0">
            <w:pPr>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-1.841</w:t>
            </w:r>
          </w:p>
        </w:tc>
        <w:tc>
          <w:tcPr>
            <w:tcW w:w="379" w:type="pct"/>
            <w:tcBorders>
              <w:top w:val="single" w:sz="4" w:space="0" w:color="auto"/>
              <w:bottom w:val="single" w:sz="4" w:space="0" w:color="auto"/>
            </w:tcBorders>
            <w:vAlign w:val="center"/>
          </w:tcPr>
          <w:p w14:paraId="79471825" w14:textId="77777777" w:rsidR="004449F8" w:rsidRPr="00A152B0" w:rsidRDefault="004449F8" w:rsidP="00A152B0">
            <w:pPr>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0.012</w:t>
            </w:r>
          </w:p>
          <w:p w14:paraId="37762FA4" w14:textId="77777777" w:rsidR="004449F8" w:rsidRPr="00A152B0" w:rsidRDefault="004449F8" w:rsidP="00A152B0">
            <w:pPr>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(0.402)</w:t>
            </w:r>
          </w:p>
        </w:tc>
        <w:tc>
          <w:tcPr>
            <w:tcW w:w="371" w:type="pct"/>
            <w:tcBorders>
              <w:top w:val="single" w:sz="4" w:space="0" w:color="auto"/>
              <w:bottom w:val="single" w:sz="4" w:space="0" w:color="auto"/>
            </w:tcBorders>
            <w:vAlign w:val="center"/>
          </w:tcPr>
          <w:p w14:paraId="4C0E6525" w14:textId="77777777" w:rsidR="004449F8" w:rsidRPr="00A152B0" w:rsidRDefault="004449F8" w:rsidP="00A152B0">
            <w:pPr>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0.842</w:t>
            </w:r>
          </w:p>
        </w:tc>
      </w:tr>
      <w:tr w:rsidR="006D4540" w:rsidRPr="004449F8" w14:paraId="3B15D3F8" w14:textId="77777777" w:rsidTr="009E5933">
        <w:trPr>
          <w:trHeight w:val="283"/>
        </w:trPr>
        <w:tc>
          <w:tcPr>
            <w:tcW w:w="500" w:type="pct"/>
            <w:tcBorders>
              <w:top w:val="single" w:sz="4" w:space="0" w:color="auto"/>
              <w:bottom w:val="single" w:sz="4" w:space="0" w:color="auto"/>
              <w:right w:val="single" w:sz="4" w:space="0" w:color="auto"/>
            </w:tcBorders>
            <w:vAlign w:val="center"/>
          </w:tcPr>
          <w:p w14:paraId="5CBCCFAF" w14:textId="77777777" w:rsidR="004449F8" w:rsidRPr="006D4540" w:rsidRDefault="004449F8" w:rsidP="00A152B0">
            <w:pPr>
              <w:adjustRightInd w:val="0"/>
              <w:snapToGrid w:val="0"/>
              <w:jc w:val="center"/>
              <w:rPr>
                <w:rFonts w:asciiTheme="majorBidi" w:hAnsiTheme="majorBidi" w:cstheme="majorBidi"/>
                <w:sz w:val="16"/>
                <w:szCs w:val="16"/>
              </w:rPr>
            </w:pPr>
            <w:r w:rsidRPr="006D4540">
              <w:rPr>
                <w:rFonts w:asciiTheme="majorBidi" w:hAnsiTheme="majorBidi" w:cstheme="majorBidi"/>
                <w:sz w:val="16"/>
                <w:szCs w:val="16"/>
              </w:rPr>
              <w:t>Risk</w:t>
            </w:r>
          </w:p>
        </w:tc>
        <w:tc>
          <w:tcPr>
            <w:tcW w:w="379" w:type="pct"/>
            <w:tcBorders>
              <w:top w:val="single" w:sz="4" w:space="0" w:color="auto"/>
              <w:left w:val="single" w:sz="4" w:space="0" w:color="auto"/>
              <w:bottom w:val="single" w:sz="4" w:space="0" w:color="auto"/>
            </w:tcBorders>
            <w:vAlign w:val="center"/>
          </w:tcPr>
          <w:p w14:paraId="52784BE2" w14:textId="77777777" w:rsidR="004449F8" w:rsidRPr="00A152B0" w:rsidRDefault="004449F8" w:rsidP="00A152B0">
            <w:pPr>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0.009</w:t>
            </w:r>
          </w:p>
          <w:p w14:paraId="6C03F8BD" w14:textId="77777777" w:rsidR="004449F8" w:rsidRPr="00A152B0" w:rsidRDefault="004449F8" w:rsidP="00A152B0">
            <w:pPr>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(0.005)</w:t>
            </w:r>
          </w:p>
        </w:tc>
        <w:tc>
          <w:tcPr>
            <w:tcW w:w="370" w:type="pct"/>
            <w:tcBorders>
              <w:top w:val="single" w:sz="4" w:space="0" w:color="auto"/>
              <w:bottom w:val="single" w:sz="4" w:space="0" w:color="auto"/>
            </w:tcBorders>
            <w:vAlign w:val="center"/>
          </w:tcPr>
          <w:p w14:paraId="6F6A4A1E" w14:textId="77777777" w:rsidR="004449F8" w:rsidRPr="00A152B0" w:rsidRDefault="004449F8" w:rsidP="00A152B0">
            <w:pPr>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2.832</w:t>
            </w:r>
          </w:p>
        </w:tc>
        <w:tc>
          <w:tcPr>
            <w:tcW w:w="379" w:type="pct"/>
            <w:tcBorders>
              <w:top w:val="single" w:sz="4" w:space="0" w:color="auto"/>
              <w:bottom w:val="single" w:sz="4" w:space="0" w:color="auto"/>
            </w:tcBorders>
            <w:vAlign w:val="center"/>
          </w:tcPr>
          <w:p w14:paraId="5BAA4A9F" w14:textId="77777777" w:rsidR="004449F8" w:rsidRPr="00A152B0" w:rsidRDefault="004449F8" w:rsidP="00A152B0">
            <w:pPr>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0.013</w:t>
            </w:r>
          </w:p>
          <w:p w14:paraId="2EFD9AFE" w14:textId="77777777" w:rsidR="004449F8" w:rsidRPr="00A152B0" w:rsidRDefault="004449F8" w:rsidP="00A152B0">
            <w:pPr>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(0.728)</w:t>
            </w:r>
          </w:p>
        </w:tc>
        <w:tc>
          <w:tcPr>
            <w:tcW w:w="372" w:type="pct"/>
            <w:tcBorders>
              <w:top w:val="single" w:sz="4" w:space="0" w:color="auto"/>
              <w:bottom w:val="single" w:sz="4" w:space="0" w:color="auto"/>
            </w:tcBorders>
            <w:vAlign w:val="center"/>
          </w:tcPr>
          <w:p w14:paraId="522FC4F5" w14:textId="77777777" w:rsidR="004449F8" w:rsidRPr="00A152B0" w:rsidRDefault="004449F8" w:rsidP="00A152B0">
            <w:pPr>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0.348</w:t>
            </w:r>
          </w:p>
        </w:tc>
        <w:tc>
          <w:tcPr>
            <w:tcW w:w="379" w:type="pct"/>
            <w:tcBorders>
              <w:top w:val="single" w:sz="4" w:space="0" w:color="auto"/>
              <w:bottom w:val="single" w:sz="4" w:space="0" w:color="auto"/>
            </w:tcBorders>
            <w:vAlign w:val="center"/>
          </w:tcPr>
          <w:p w14:paraId="0DA3DE2C" w14:textId="77777777" w:rsidR="004449F8" w:rsidRPr="00A152B0" w:rsidRDefault="004449F8" w:rsidP="00A152B0">
            <w:pPr>
              <w:autoSpaceDE w:val="0"/>
              <w:autoSpaceDN w:val="0"/>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0.051</w:t>
            </w:r>
          </w:p>
          <w:p w14:paraId="628EF86D" w14:textId="77777777" w:rsidR="004449F8" w:rsidRPr="00A152B0" w:rsidRDefault="004449F8" w:rsidP="00A152B0">
            <w:pPr>
              <w:autoSpaceDE w:val="0"/>
              <w:autoSpaceDN w:val="0"/>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(0.758)</w:t>
            </w:r>
          </w:p>
        </w:tc>
        <w:tc>
          <w:tcPr>
            <w:tcW w:w="372" w:type="pct"/>
            <w:tcBorders>
              <w:top w:val="single" w:sz="4" w:space="0" w:color="auto"/>
              <w:bottom w:val="single" w:sz="4" w:space="0" w:color="auto"/>
            </w:tcBorders>
            <w:vAlign w:val="center"/>
          </w:tcPr>
          <w:p w14:paraId="21DD6184" w14:textId="77777777" w:rsidR="004449F8" w:rsidRPr="00A152B0" w:rsidRDefault="004449F8" w:rsidP="00A152B0">
            <w:pPr>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0.309</w:t>
            </w:r>
          </w:p>
        </w:tc>
        <w:tc>
          <w:tcPr>
            <w:tcW w:w="379" w:type="pct"/>
            <w:tcBorders>
              <w:top w:val="single" w:sz="4" w:space="0" w:color="auto"/>
              <w:bottom w:val="single" w:sz="4" w:space="0" w:color="auto"/>
            </w:tcBorders>
            <w:vAlign w:val="center"/>
          </w:tcPr>
          <w:p w14:paraId="44F2B85B" w14:textId="77777777" w:rsidR="004449F8" w:rsidRPr="00A152B0" w:rsidRDefault="004449F8" w:rsidP="00A152B0">
            <w:pPr>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-0.032</w:t>
            </w:r>
          </w:p>
          <w:p w14:paraId="2E9745C3" w14:textId="77777777" w:rsidR="004449F8" w:rsidRPr="00A152B0" w:rsidRDefault="004449F8" w:rsidP="00A152B0">
            <w:pPr>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(0.003)</w:t>
            </w:r>
          </w:p>
        </w:tc>
        <w:tc>
          <w:tcPr>
            <w:tcW w:w="372" w:type="pct"/>
            <w:tcBorders>
              <w:top w:val="single" w:sz="4" w:space="0" w:color="auto"/>
              <w:bottom w:val="single" w:sz="4" w:space="0" w:color="auto"/>
            </w:tcBorders>
            <w:vAlign w:val="center"/>
          </w:tcPr>
          <w:p w14:paraId="7C5C2759" w14:textId="77777777" w:rsidR="004449F8" w:rsidRPr="00A152B0" w:rsidRDefault="004449F8" w:rsidP="00A152B0">
            <w:pPr>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-3.097</w:t>
            </w:r>
          </w:p>
        </w:tc>
        <w:tc>
          <w:tcPr>
            <w:tcW w:w="379" w:type="pct"/>
            <w:tcBorders>
              <w:top w:val="single" w:sz="4" w:space="0" w:color="auto"/>
              <w:bottom w:val="single" w:sz="4" w:space="0" w:color="auto"/>
            </w:tcBorders>
            <w:vAlign w:val="center"/>
          </w:tcPr>
          <w:p w14:paraId="765E758B" w14:textId="77777777" w:rsidR="004449F8" w:rsidRPr="00A152B0" w:rsidRDefault="004449F8" w:rsidP="00A152B0">
            <w:pPr>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-0.006</w:t>
            </w:r>
          </w:p>
          <w:p w14:paraId="20D04B36" w14:textId="77777777" w:rsidR="004449F8" w:rsidRPr="00A152B0" w:rsidRDefault="004449F8" w:rsidP="00A152B0">
            <w:pPr>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(0.948)</w:t>
            </w:r>
          </w:p>
        </w:tc>
        <w:tc>
          <w:tcPr>
            <w:tcW w:w="372" w:type="pct"/>
            <w:tcBorders>
              <w:top w:val="single" w:sz="4" w:space="0" w:color="auto"/>
              <w:bottom w:val="single" w:sz="4" w:space="0" w:color="auto"/>
            </w:tcBorders>
            <w:vAlign w:val="center"/>
          </w:tcPr>
          <w:p w14:paraId="71E217E1" w14:textId="77777777" w:rsidR="004449F8" w:rsidRPr="00A152B0" w:rsidRDefault="004449F8" w:rsidP="00A152B0">
            <w:pPr>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-0.066</w:t>
            </w:r>
          </w:p>
        </w:tc>
        <w:tc>
          <w:tcPr>
            <w:tcW w:w="379" w:type="pct"/>
            <w:tcBorders>
              <w:top w:val="single" w:sz="4" w:space="0" w:color="auto"/>
              <w:bottom w:val="single" w:sz="4" w:space="0" w:color="auto"/>
            </w:tcBorders>
            <w:vAlign w:val="center"/>
          </w:tcPr>
          <w:p w14:paraId="09BAF499" w14:textId="77777777" w:rsidR="004449F8" w:rsidRPr="00A152B0" w:rsidRDefault="004449F8" w:rsidP="00A152B0">
            <w:pPr>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-0.004</w:t>
            </w:r>
          </w:p>
          <w:p w14:paraId="64464DBF" w14:textId="77777777" w:rsidR="004449F8" w:rsidRPr="00A152B0" w:rsidRDefault="004449F8" w:rsidP="00A152B0">
            <w:pPr>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(0.418)</w:t>
            </w:r>
          </w:p>
        </w:tc>
        <w:tc>
          <w:tcPr>
            <w:tcW w:w="371" w:type="pct"/>
            <w:tcBorders>
              <w:top w:val="single" w:sz="4" w:space="0" w:color="auto"/>
              <w:bottom w:val="single" w:sz="4" w:space="0" w:color="auto"/>
            </w:tcBorders>
            <w:vAlign w:val="center"/>
          </w:tcPr>
          <w:p w14:paraId="7821931E" w14:textId="77777777" w:rsidR="004449F8" w:rsidRPr="00A152B0" w:rsidRDefault="004449F8" w:rsidP="00A152B0">
            <w:pPr>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-0.813</w:t>
            </w:r>
          </w:p>
        </w:tc>
      </w:tr>
      <w:tr w:rsidR="006D4540" w:rsidRPr="004449F8" w14:paraId="776CE7D4" w14:textId="77777777" w:rsidTr="009E5933">
        <w:trPr>
          <w:trHeight w:val="283"/>
        </w:trPr>
        <w:tc>
          <w:tcPr>
            <w:tcW w:w="500" w:type="pct"/>
            <w:tcBorders>
              <w:top w:val="single" w:sz="4" w:space="0" w:color="auto"/>
              <w:bottom w:val="single" w:sz="4" w:space="0" w:color="auto"/>
              <w:right w:val="single" w:sz="4" w:space="0" w:color="auto"/>
            </w:tcBorders>
            <w:vAlign w:val="center"/>
          </w:tcPr>
          <w:p w14:paraId="4F71A47D" w14:textId="77777777" w:rsidR="004449F8" w:rsidRPr="006D4540" w:rsidRDefault="004449F8" w:rsidP="00A152B0">
            <w:pPr>
              <w:adjustRightInd w:val="0"/>
              <w:snapToGrid w:val="0"/>
              <w:jc w:val="center"/>
              <w:rPr>
                <w:rFonts w:asciiTheme="majorBidi" w:hAnsiTheme="majorBidi" w:cstheme="majorBidi"/>
                <w:sz w:val="16"/>
                <w:szCs w:val="16"/>
              </w:rPr>
            </w:pPr>
            <w:r w:rsidRPr="006D4540">
              <w:rPr>
                <w:rFonts w:asciiTheme="majorBidi" w:hAnsiTheme="majorBidi" w:cstheme="majorBidi"/>
                <w:sz w:val="16"/>
                <w:szCs w:val="16"/>
              </w:rPr>
              <w:t>Size</w:t>
            </w:r>
          </w:p>
        </w:tc>
        <w:tc>
          <w:tcPr>
            <w:tcW w:w="379" w:type="pct"/>
            <w:tcBorders>
              <w:top w:val="single" w:sz="4" w:space="0" w:color="auto"/>
              <w:left w:val="single" w:sz="4" w:space="0" w:color="auto"/>
              <w:bottom w:val="single" w:sz="4" w:space="0" w:color="auto"/>
            </w:tcBorders>
            <w:vAlign w:val="center"/>
          </w:tcPr>
          <w:p w14:paraId="55C02F9E" w14:textId="77777777" w:rsidR="004449F8" w:rsidRPr="00A152B0" w:rsidRDefault="004449F8" w:rsidP="00A152B0">
            <w:pPr>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0.004</w:t>
            </w:r>
          </w:p>
          <w:p w14:paraId="48EFA2EE" w14:textId="77777777" w:rsidR="004449F8" w:rsidRPr="00A152B0" w:rsidRDefault="004449F8" w:rsidP="00A152B0">
            <w:pPr>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(0.388)</w:t>
            </w:r>
          </w:p>
        </w:tc>
        <w:tc>
          <w:tcPr>
            <w:tcW w:w="370" w:type="pct"/>
            <w:tcBorders>
              <w:top w:val="single" w:sz="4" w:space="0" w:color="auto"/>
              <w:bottom w:val="single" w:sz="4" w:space="0" w:color="auto"/>
            </w:tcBorders>
            <w:vAlign w:val="center"/>
          </w:tcPr>
          <w:p w14:paraId="2C4A58D5" w14:textId="77777777" w:rsidR="004449F8" w:rsidRPr="00A152B0" w:rsidRDefault="004449F8" w:rsidP="00A152B0">
            <w:pPr>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0.864</w:t>
            </w:r>
          </w:p>
        </w:tc>
        <w:tc>
          <w:tcPr>
            <w:tcW w:w="379" w:type="pct"/>
            <w:tcBorders>
              <w:top w:val="single" w:sz="4" w:space="0" w:color="auto"/>
              <w:bottom w:val="single" w:sz="4" w:space="0" w:color="auto"/>
            </w:tcBorders>
            <w:vAlign w:val="center"/>
          </w:tcPr>
          <w:p w14:paraId="3B3EAB16" w14:textId="77777777" w:rsidR="004449F8" w:rsidRPr="00A152B0" w:rsidRDefault="004449F8" w:rsidP="00A152B0">
            <w:pPr>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-0.030</w:t>
            </w:r>
          </w:p>
          <w:p w14:paraId="6E363E4F" w14:textId="77777777" w:rsidR="004449F8" w:rsidRPr="00A152B0" w:rsidRDefault="004449F8" w:rsidP="00A152B0">
            <w:pPr>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(0.000)</w:t>
            </w:r>
          </w:p>
        </w:tc>
        <w:tc>
          <w:tcPr>
            <w:tcW w:w="372" w:type="pct"/>
            <w:tcBorders>
              <w:top w:val="single" w:sz="4" w:space="0" w:color="auto"/>
              <w:bottom w:val="single" w:sz="4" w:space="0" w:color="auto"/>
            </w:tcBorders>
            <w:vAlign w:val="center"/>
          </w:tcPr>
          <w:p w14:paraId="32015C4E" w14:textId="77777777" w:rsidR="004449F8" w:rsidRPr="00A152B0" w:rsidRDefault="004449F8" w:rsidP="00A152B0">
            <w:pPr>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-3.725</w:t>
            </w:r>
          </w:p>
        </w:tc>
        <w:tc>
          <w:tcPr>
            <w:tcW w:w="379" w:type="pct"/>
            <w:tcBorders>
              <w:top w:val="single" w:sz="4" w:space="0" w:color="auto"/>
              <w:bottom w:val="single" w:sz="4" w:space="0" w:color="auto"/>
            </w:tcBorders>
            <w:vAlign w:val="center"/>
          </w:tcPr>
          <w:p w14:paraId="793EDCB2" w14:textId="77777777" w:rsidR="004449F8" w:rsidRPr="00A152B0" w:rsidRDefault="004449F8" w:rsidP="00A152B0">
            <w:pPr>
              <w:tabs>
                <w:tab w:val="left" w:pos="4536"/>
              </w:tabs>
              <w:autoSpaceDE w:val="0"/>
              <w:autoSpaceDN w:val="0"/>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-0.004</w:t>
            </w:r>
          </w:p>
          <w:p w14:paraId="7BA599FD" w14:textId="77777777" w:rsidR="004449F8" w:rsidRPr="00A152B0" w:rsidRDefault="004449F8" w:rsidP="00A152B0">
            <w:pPr>
              <w:tabs>
                <w:tab w:val="left" w:pos="4536"/>
              </w:tabs>
              <w:autoSpaceDE w:val="0"/>
              <w:autoSpaceDN w:val="0"/>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(0.001)</w:t>
            </w:r>
          </w:p>
        </w:tc>
        <w:tc>
          <w:tcPr>
            <w:tcW w:w="372" w:type="pct"/>
            <w:tcBorders>
              <w:top w:val="single" w:sz="4" w:space="0" w:color="auto"/>
              <w:bottom w:val="single" w:sz="4" w:space="0" w:color="auto"/>
            </w:tcBorders>
            <w:vAlign w:val="center"/>
          </w:tcPr>
          <w:p w14:paraId="1B116C88" w14:textId="77777777" w:rsidR="004449F8" w:rsidRPr="00A152B0" w:rsidRDefault="004449F8" w:rsidP="00A152B0">
            <w:pPr>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-3.593</w:t>
            </w:r>
          </w:p>
        </w:tc>
        <w:tc>
          <w:tcPr>
            <w:tcW w:w="379" w:type="pct"/>
            <w:tcBorders>
              <w:top w:val="single" w:sz="4" w:space="0" w:color="auto"/>
              <w:bottom w:val="single" w:sz="4" w:space="0" w:color="auto"/>
            </w:tcBorders>
            <w:vAlign w:val="center"/>
          </w:tcPr>
          <w:p w14:paraId="067D6D5C" w14:textId="77777777" w:rsidR="004449F8" w:rsidRPr="00A152B0" w:rsidRDefault="004449F8" w:rsidP="00A152B0">
            <w:pPr>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-0.021</w:t>
            </w:r>
          </w:p>
          <w:p w14:paraId="14D90EA2" w14:textId="77777777" w:rsidR="004449F8" w:rsidRPr="00A152B0" w:rsidRDefault="004449F8" w:rsidP="00A152B0">
            <w:pPr>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(0.000)</w:t>
            </w:r>
          </w:p>
        </w:tc>
        <w:tc>
          <w:tcPr>
            <w:tcW w:w="372" w:type="pct"/>
            <w:tcBorders>
              <w:top w:val="single" w:sz="4" w:space="0" w:color="auto"/>
              <w:bottom w:val="single" w:sz="4" w:space="0" w:color="auto"/>
            </w:tcBorders>
            <w:vAlign w:val="center"/>
          </w:tcPr>
          <w:p w14:paraId="661316C5" w14:textId="77777777" w:rsidR="004449F8" w:rsidRPr="00A152B0" w:rsidRDefault="004449F8" w:rsidP="00A152B0">
            <w:pPr>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-4.054</w:t>
            </w:r>
          </w:p>
        </w:tc>
        <w:tc>
          <w:tcPr>
            <w:tcW w:w="379" w:type="pct"/>
            <w:tcBorders>
              <w:top w:val="single" w:sz="4" w:space="0" w:color="auto"/>
              <w:bottom w:val="single" w:sz="4" w:space="0" w:color="auto"/>
            </w:tcBorders>
            <w:vAlign w:val="center"/>
          </w:tcPr>
          <w:p w14:paraId="055D6D12" w14:textId="77777777" w:rsidR="004449F8" w:rsidRPr="00A152B0" w:rsidRDefault="004449F8" w:rsidP="00A152B0">
            <w:pPr>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0.042</w:t>
            </w:r>
          </w:p>
          <w:p w14:paraId="6C2DF56C" w14:textId="77777777" w:rsidR="004449F8" w:rsidRPr="00A152B0" w:rsidRDefault="004449F8" w:rsidP="00A152B0">
            <w:pPr>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(0.888)</w:t>
            </w:r>
          </w:p>
        </w:tc>
        <w:tc>
          <w:tcPr>
            <w:tcW w:w="372" w:type="pct"/>
            <w:tcBorders>
              <w:top w:val="single" w:sz="4" w:space="0" w:color="auto"/>
              <w:bottom w:val="single" w:sz="4" w:space="0" w:color="auto"/>
            </w:tcBorders>
            <w:vAlign w:val="center"/>
          </w:tcPr>
          <w:p w14:paraId="3A2D1EAE" w14:textId="77777777" w:rsidR="004449F8" w:rsidRPr="00A152B0" w:rsidRDefault="004449F8" w:rsidP="00A152B0">
            <w:pPr>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0.142</w:t>
            </w:r>
          </w:p>
        </w:tc>
        <w:tc>
          <w:tcPr>
            <w:tcW w:w="379" w:type="pct"/>
            <w:tcBorders>
              <w:top w:val="single" w:sz="4" w:space="0" w:color="auto"/>
              <w:bottom w:val="single" w:sz="4" w:space="0" w:color="auto"/>
            </w:tcBorders>
            <w:vAlign w:val="center"/>
          </w:tcPr>
          <w:p w14:paraId="6FFEC928" w14:textId="77777777" w:rsidR="004449F8" w:rsidRPr="00A152B0" w:rsidRDefault="004449F8" w:rsidP="00A152B0">
            <w:pPr>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0.007</w:t>
            </w:r>
          </w:p>
          <w:p w14:paraId="1C77FC78" w14:textId="77777777" w:rsidR="004449F8" w:rsidRPr="00A152B0" w:rsidRDefault="004449F8" w:rsidP="00A152B0">
            <w:pPr>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(0.433)</w:t>
            </w:r>
          </w:p>
        </w:tc>
        <w:tc>
          <w:tcPr>
            <w:tcW w:w="371" w:type="pct"/>
            <w:tcBorders>
              <w:top w:val="single" w:sz="4" w:space="0" w:color="auto"/>
              <w:bottom w:val="single" w:sz="4" w:space="0" w:color="auto"/>
            </w:tcBorders>
            <w:vAlign w:val="center"/>
          </w:tcPr>
          <w:p w14:paraId="421D41AA" w14:textId="77777777" w:rsidR="004449F8" w:rsidRPr="00A152B0" w:rsidRDefault="004449F8" w:rsidP="00A152B0">
            <w:pPr>
              <w:adjustRightInd w:val="0"/>
              <w:snapToGrid w:val="0"/>
              <w:jc w:val="center"/>
              <w:rPr>
                <w:rFonts w:asciiTheme="majorBidi" w:hAnsiTheme="majorBidi" w:cstheme="majorBidi"/>
                <w:sz w:val="16"/>
                <w:szCs w:val="16"/>
              </w:rPr>
            </w:pPr>
            <w:r w:rsidRPr="00A152B0">
              <w:rPr>
                <w:rFonts w:asciiTheme="majorBidi" w:hAnsiTheme="majorBidi" w:cstheme="majorBidi"/>
                <w:sz w:val="16"/>
                <w:szCs w:val="16"/>
              </w:rPr>
              <w:t>0.787</w:t>
            </w:r>
          </w:p>
        </w:tc>
      </w:tr>
      <w:tr w:rsidR="006D4540" w:rsidRPr="004449F8" w14:paraId="795FE674" w14:textId="77777777" w:rsidTr="009E5933">
        <w:trPr>
          <w:trHeight w:val="283"/>
        </w:trPr>
        <w:tc>
          <w:tcPr>
            <w:tcW w:w="500" w:type="pct"/>
            <w:tcBorders>
              <w:top w:val="single" w:sz="4" w:space="0" w:color="auto"/>
              <w:bottom w:val="single" w:sz="4" w:space="0" w:color="auto"/>
              <w:right w:val="single" w:sz="4" w:space="0" w:color="auto"/>
            </w:tcBorders>
            <w:vAlign w:val="center"/>
          </w:tcPr>
          <w:p w14:paraId="28069E63" w14:textId="77777777" w:rsidR="004449F8" w:rsidRPr="006D4540" w:rsidRDefault="004449F8" w:rsidP="00A152B0">
            <w:pPr>
              <w:autoSpaceDE w:val="0"/>
              <w:autoSpaceDN w:val="0"/>
              <w:adjustRightInd w:val="0"/>
              <w:snapToGrid w:val="0"/>
              <w:jc w:val="center"/>
              <w:rPr>
                <w:rFonts w:asciiTheme="majorBidi" w:hAnsiTheme="majorBidi" w:cstheme="majorBidi"/>
                <w:sz w:val="16"/>
                <w:szCs w:val="16"/>
              </w:rPr>
            </w:pPr>
            <w:r w:rsidRPr="006D4540">
              <w:rPr>
                <w:rFonts w:asciiTheme="majorBidi" w:hAnsiTheme="majorBidi" w:cstheme="majorBidi"/>
                <w:sz w:val="16"/>
                <w:szCs w:val="16"/>
              </w:rPr>
              <w:t>R (Model)</w:t>
            </w:r>
          </w:p>
        </w:tc>
        <w:tc>
          <w:tcPr>
            <w:tcW w:w="749" w:type="pct"/>
            <w:gridSpan w:val="2"/>
            <w:tcBorders>
              <w:top w:val="single" w:sz="4" w:space="0" w:color="auto"/>
              <w:left w:val="single" w:sz="4" w:space="0" w:color="auto"/>
              <w:bottom w:val="single" w:sz="4" w:space="0" w:color="auto"/>
            </w:tcBorders>
            <w:vAlign w:val="center"/>
          </w:tcPr>
          <w:p w14:paraId="20F704DF" w14:textId="77777777" w:rsidR="004449F8" w:rsidRPr="006D4540" w:rsidRDefault="004449F8" w:rsidP="00A152B0">
            <w:pPr>
              <w:autoSpaceDE w:val="0"/>
              <w:autoSpaceDN w:val="0"/>
              <w:adjustRightInd w:val="0"/>
              <w:snapToGrid w:val="0"/>
              <w:ind w:firstLineChars="200" w:firstLine="320"/>
              <w:rPr>
                <w:rFonts w:asciiTheme="majorBidi" w:hAnsiTheme="majorBidi" w:cstheme="majorBidi"/>
                <w:sz w:val="16"/>
                <w:szCs w:val="16"/>
              </w:rPr>
            </w:pPr>
            <w:r w:rsidRPr="006D4540">
              <w:rPr>
                <w:rFonts w:asciiTheme="majorBidi" w:hAnsiTheme="majorBidi" w:cstheme="majorBidi"/>
                <w:sz w:val="16"/>
                <w:szCs w:val="16"/>
              </w:rPr>
              <w:t>0.131*</w:t>
            </w:r>
          </w:p>
        </w:tc>
        <w:tc>
          <w:tcPr>
            <w:tcW w:w="750" w:type="pct"/>
            <w:gridSpan w:val="2"/>
            <w:tcBorders>
              <w:top w:val="single" w:sz="4" w:space="0" w:color="auto"/>
              <w:bottom w:val="single" w:sz="4" w:space="0" w:color="auto"/>
            </w:tcBorders>
            <w:vAlign w:val="center"/>
          </w:tcPr>
          <w:p w14:paraId="3F82AEBC" w14:textId="6A717FCA" w:rsidR="004449F8" w:rsidRPr="006D4540" w:rsidRDefault="004449F8" w:rsidP="00A152B0">
            <w:pPr>
              <w:autoSpaceDE w:val="0"/>
              <w:autoSpaceDN w:val="0"/>
              <w:adjustRightInd w:val="0"/>
              <w:snapToGrid w:val="0"/>
              <w:ind w:firstLineChars="200" w:firstLine="320"/>
              <w:rPr>
                <w:rFonts w:asciiTheme="majorBidi" w:hAnsiTheme="majorBidi" w:cstheme="majorBidi"/>
                <w:sz w:val="16"/>
                <w:szCs w:val="16"/>
              </w:rPr>
            </w:pPr>
            <w:r w:rsidRPr="006D4540">
              <w:rPr>
                <w:rFonts w:asciiTheme="majorBidi" w:hAnsiTheme="majorBidi" w:cstheme="majorBidi"/>
                <w:sz w:val="16"/>
                <w:szCs w:val="16"/>
              </w:rPr>
              <w:t>0.210**</w:t>
            </w:r>
          </w:p>
        </w:tc>
        <w:tc>
          <w:tcPr>
            <w:tcW w:w="750" w:type="pct"/>
            <w:gridSpan w:val="2"/>
            <w:tcBorders>
              <w:top w:val="single" w:sz="4" w:space="0" w:color="auto"/>
              <w:bottom w:val="single" w:sz="4" w:space="0" w:color="auto"/>
            </w:tcBorders>
            <w:vAlign w:val="center"/>
          </w:tcPr>
          <w:p w14:paraId="13764654" w14:textId="77777777" w:rsidR="004449F8" w:rsidRPr="006D4540" w:rsidRDefault="004449F8" w:rsidP="00A152B0">
            <w:pPr>
              <w:autoSpaceDE w:val="0"/>
              <w:autoSpaceDN w:val="0"/>
              <w:adjustRightInd w:val="0"/>
              <w:snapToGrid w:val="0"/>
              <w:ind w:firstLineChars="200" w:firstLine="320"/>
              <w:rPr>
                <w:rFonts w:asciiTheme="majorBidi" w:hAnsiTheme="majorBidi" w:cstheme="majorBidi"/>
                <w:sz w:val="16"/>
                <w:szCs w:val="16"/>
              </w:rPr>
            </w:pPr>
            <w:r w:rsidRPr="006D4540">
              <w:rPr>
                <w:rFonts w:asciiTheme="majorBidi" w:hAnsiTheme="majorBidi" w:cstheme="majorBidi"/>
                <w:sz w:val="16"/>
                <w:szCs w:val="16"/>
              </w:rPr>
              <w:t>0.388</w:t>
            </w:r>
          </w:p>
        </w:tc>
        <w:tc>
          <w:tcPr>
            <w:tcW w:w="751" w:type="pct"/>
            <w:gridSpan w:val="2"/>
            <w:tcBorders>
              <w:top w:val="single" w:sz="4" w:space="0" w:color="auto"/>
              <w:bottom w:val="single" w:sz="4" w:space="0" w:color="auto"/>
            </w:tcBorders>
            <w:vAlign w:val="center"/>
          </w:tcPr>
          <w:p w14:paraId="3B74CACD" w14:textId="77777777" w:rsidR="004449F8" w:rsidRPr="006D4540" w:rsidRDefault="004449F8" w:rsidP="00A152B0">
            <w:pPr>
              <w:autoSpaceDE w:val="0"/>
              <w:autoSpaceDN w:val="0"/>
              <w:adjustRightInd w:val="0"/>
              <w:snapToGrid w:val="0"/>
              <w:ind w:firstLineChars="200" w:firstLine="320"/>
              <w:rPr>
                <w:rFonts w:asciiTheme="majorBidi" w:hAnsiTheme="majorBidi" w:cstheme="majorBidi"/>
                <w:sz w:val="16"/>
                <w:szCs w:val="16"/>
              </w:rPr>
            </w:pPr>
            <w:r w:rsidRPr="006D4540">
              <w:rPr>
                <w:rFonts w:asciiTheme="majorBidi" w:hAnsiTheme="majorBidi" w:cstheme="majorBidi"/>
                <w:sz w:val="16"/>
                <w:szCs w:val="16"/>
              </w:rPr>
              <w:t>0.609**</w:t>
            </w:r>
          </w:p>
        </w:tc>
        <w:tc>
          <w:tcPr>
            <w:tcW w:w="751" w:type="pct"/>
            <w:gridSpan w:val="2"/>
            <w:tcBorders>
              <w:top w:val="single" w:sz="4" w:space="0" w:color="auto"/>
              <w:bottom w:val="single" w:sz="4" w:space="0" w:color="auto"/>
            </w:tcBorders>
            <w:vAlign w:val="center"/>
          </w:tcPr>
          <w:p w14:paraId="0A94DC7D" w14:textId="77777777" w:rsidR="004449F8" w:rsidRPr="006D4540" w:rsidRDefault="004449F8" w:rsidP="00A152B0">
            <w:pPr>
              <w:autoSpaceDE w:val="0"/>
              <w:autoSpaceDN w:val="0"/>
              <w:adjustRightInd w:val="0"/>
              <w:snapToGrid w:val="0"/>
              <w:ind w:firstLineChars="200" w:firstLine="320"/>
              <w:rPr>
                <w:rFonts w:asciiTheme="majorBidi" w:hAnsiTheme="majorBidi" w:cstheme="majorBidi"/>
                <w:sz w:val="16"/>
                <w:szCs w:val="16"/>
              </w:rPr>
            </w:pPr>
            <w:r w:rsidRPr="006D4540">
              <w:rPr>
                <w:rFonts w:asciiTheme="majorBidi" w:hAnsiTheme="majorBidi" w:cstheme="majorBidi"/>
                <w:sz w:val="16"/>
                <w:szCs w:val="16"/>
              </w:rPr>
              <w:t>0.445</w:t>
            </w:r>
          </w:p>
        </w:tc>
        <w:tc>
          <w:tcPr>
            <w:tcW w:w="750" w:type="pct"/>
            <w:gridSpan w:val="2"/>
            <w:tcBorders>
              <w:top w:val="single" w:sz="4" w:space="0" w:color="auto"/>
              <w:bottom w:val="single" w:sz="4" w:space="0" w:color="auto"/>
            </w:tcBorders>
            <w:vAlign w:val="center"/>
          </w:tcPr>
          <w:p w14:paraId="0BDB5BDD" w14:textId="77777777" w:rsidR="004449F8" w:rsidRPr="006D4540" w:rsidRDefault="004449F8" w:rsidP="00A152B0">
            <w:pPr>
              <w:autoSpaceDE w:val="0"/>
              <w:autoSpaceDN w:val="0"/>
              <w:adjustRightInd w:val="0"/>
              <w:snapToGrid w:val="0"/>
              <w:ind w:firstLineChars="200" w:firstLine="320"/>
              <w:rPr>
                <w:rFonts w:asciiTheme="majorBidi" w:hAnsiTheme="majorBidi" w:cstheme="majorBidi"/>
                <w:sz w:val="16"/>
                <w:szCs w:val="16"/>
              </w:rPr>
            </w:pPr>
            <w:r w:rsidRPr="006D4540">
              <w:rPr>
                <w:rFonts w:asciiTheme="majorBidi" w:hAnsiTheme="majorBidi" w:cstheme="majorBidi"/>
                <w:sz w:val="16"/>
                <w:szCs w:val="16"/>
              </w:rPr>
              <w:t>0.155</w:t>
            </w:r>
          </w:p>
        </w:tc>
      </w:tr>
      <w:tr w:rsidR="006D4540" w:rsidRPr="004449F8" w14:paraId="6A834351" w14:textId="77777777" w:rsidTr="009E5933">
        <w:trPr>
          <w:trHeight w:val="283"/>
        </w:trPr>
        <w:tc>
          <w:tcPr>
            <w:tcW w:w="500" w:type="pct"/>
            <w:tcBorders>
              <w:top w:val="single" w:sz="4" w:space="0" w:color="auto"/>
              <w:bottom w:val="single" w:sz="4" w:space="0" w:color="auto"/>
              <w:right w:val="single" w:sz="4" w:space="0" w:color="auto"/>
            </w:tcBorders>
            <w:vAlign w:val="center"/>
          </w:tcPr>
          <w:p w14:paraId="6F18E0AE" w14:textId="77777777" w:rsidR="004449F8" w:rsidRPr="006D4540" w:rsidRDefault="004449F8" w:rsidP="00A152B0">
            <w:pPr>
              <w:autoSpaceDE w:val="0"/>
              <w:autoSpaceDN w:val="0"/>
              <w:adjustRightInd w:val="0"/>
              <w:snapToGrid w:val="0"/>
              <w:jc w:val="center"/>
              <w:rPr>
                <w:rFonts w:asciiTheme="majorBidi" w:hAnsiTheme="majorBidi" w:cstheme="majorBidi"/>
                <w:sz w:val="16"/>
                <w:szCs w:val="16"/>
              </w:rPr>
            </w:pPr>
            <w:r w:rsidRPr="006D4540">
              <w:rPr>
                <w:rFonts w:asciiTheme="majorBidi" w:hAnsiTheme="majorBidi" w:cstheme="majorBidi"/>
                <w:sz w:val="16"/>
                <w:szCs w:val="16"/>
              </w:rPr>
              <w:t>R2</w:t>
            </w:r>
          </w:p>
        </w:tc>
        <w:tc>
          <w:tcPr>
            <w:tcW w:w="749" w:type="pct"/>
            <w:gridSpan w:val="2"/>
            <w:tcBorders>
              <w:top w:val="single" w:sz="4" w:space="0" w:color="auto"/>
              <w:left w:val="single" w:sz="4" w:space="0" w:color="auto"/>
              <w:bottom w:val="single" w:sz="4" w:space="0" w:color="auto"/>
            </w:tcBorders>
            <w:vAlign w:val="center"/>
          </w:tcPr>
          <w:p w14:paraId="28706CD2" w14:textId="77777777" w:rsidR="004449F8" w:rsidRPr="006D4540" w:rsidRDefault="004449F8" w:rsidP="00A152B0">
            <w:pPr>
              <w:autoSpaceDE w:val="0"/>
              <w:autoSpaceDN w:val="0"/>
              <w:adjustRightInd w:val="0"/>
              <w:snapToGrid w:val="0"/>
              <w:ind w:firstLineChars="200" w:firstLine="320"/>
              <w:rPr>
                <w:rFonts w:asciiTheme="majorBidi" w:hAnsiTheme="majorBidi" w:cstheme="majorBidi"/>
                <w:sz w:val="16"/>
                <w:szCs w:val="16"/>
              </w:rPr>
            </w:pPr>
            <w:r w:rsidRPr="006D4540">
              <w:rPr>
                <w:rFonts w:asciiTheme="majorBidi" w:hAnsiTheme="majorBidi" w:cstheme="majorBidi"/>
                <w:sz w:val="16"/>
                <w:szCs w:val="16"/>
              </w:rPr>
              <w:t>0.017</w:t>
            </w:r>
          </w:p>
        </w:tc>
        <w:tc>
          <w:tcPr>
            <w:tcW w:w="750" w:type="pct"/>
            <w:gridSpan w:val="2"/>
            <w:tcBorders>
              <w:top w:val="single" w:sz="4" w:space="0" w:color="auto"/>
              <w:bottom w:val="single" w:sz="4" w:space="0" w:color="auto"/>
            </w:tcBorders>
            <w:vAlign w:val="center"/>
          </w:tcPr>
          <w:p w14:paraId="7C0B86A2" w14:textId="77777777" w:rsidR="004449F8" w:rsidRPr="006D4540" w:rsidRDefault="004449F8" w:rsidP="00A152B0">
            <w:pPr>
              <w:autoSpaceDE w:val="0"/>
              <w:autoSpaceDN w:val="0"/>
              <w:adjustRightInd w:val="0"/>
              <w:snapToGrid w:val="0"/>
              <w:ind w:firstLineChars="200" w:firstLine="320"/>
              <w:rPr>
                <w:rFonts w:asciiTheme="majorBidi" w:hAnsiTheme="majorBidi" w:cstheme="majorBidi"/>
                <w:sz w:val="16"/>
                <w:szCs w:val="16"/>
              </w:rPr>
            </w:pPr>
            <w:r w:rsidRPr="006D4540">
              <w:rPr>
                <w:rFonts w:asciiTheme="majorBidi" w:hAnsiTheme="majorBidi" w:cstheme="majorBidi"/>
                <w:sz w:val="16"/>
                <w:szCs w:val="16"/>
              </w:rPr>
              <w:t>0.044</w:t>
            </w:r>
          </w:p>
        </w:tc>
        <w:tc>
          <w:tcPr>
            <w:tcW w:w="750" w:type="pct"/>
            <w:gridSpan w:val="2"/>
            <w:tcBorders>
              <w:top w:val="single" w:sz="4" w:space="0" w:color="auto"/>
              <w:bottom w:val="single" w:sz="4" w:space="0" w:color="auto"/>
            </w:tcBorders>
            <w:vAlign w:val="center"/>
          </w:tcPr>
          <w:p w14:paraId="6138E697" w14:textId="77777777" w:rsidR="004449F8" w:rsidRPr="006D4540" w:rsidRDefault="004449F8" w:rsidP="00A152B0">
            <w:pPr>
              <w:autoSpaceDE w:val="0"/>
              <w:autoSpaceDN w:val="0"/>
              <w:adjustRightInd w:val="0"/>
              <w:snapToGrid w:val="0"/>
              <w:ind w:firstLineChars="200" w:firstLine="320"/>
              <w:rPr>
                <w:rFonts w:asciiTheme="majorBidi" w:hAnsiTheme="majorBidi" w:cstheme="majorBidi"/>
                <w:sz w:val="16"/>
                <w:szCs w:val="16"/>
              </w:rPr>
            </w:pPr>
            <w:r w:rsidRPr="006D4540">
              <w:rPr>
                <w:rFonts w:asciiTheme="majorBidi" w:hAnsiTheme="majorBidi" w:cstheme="majorBidi"/>
                <w:sz w:val="16"/>
                <w:szCs w:val="16"/>
              </w:rPr>
              <w:t>0.150</w:t>
            </w:r>
          </w:p>
        </w:tc>
        <w:tc>
          <w:tcPr>
            <w:tcW w:w="751" w:type="pct"/>
            <w:gridSpan w:val="2"/>
            <w:tcBorders>
              <w:top w:val="single" w:sz="4" w:space="0" w:color="auto"/>
              <w:bottom w:val="single" w:sz="4" w:space="0" w:color="auto"/>
            </w:tcBorders>
            <w:vAlign w:val="center"/>
          </w:tcPr>
          <w:p w14:paraId="5EF324DE" w14:textId="77777777" w:rsidR="004449F8" w:rsidRPr="006D4540" w:rsidRDefault="004449F8" w:rsidP="00A152B0">
            <w:pPr>
              <w:autoSpaceDE w:val="0"/>
              <w:autoSpaceDN w:val="0"/>
              <w:adjustRightInd w:val="0"/>
              <w:snapToGrid w:val="0"/>
              <w:ind w:firstLineChars="200" w:firstLine="320"/>
              <w:rPr>
                <w:rFonts w:asciiTheme="majorBidi" w:hAnsiTheme="majorBidi" w:cstheme="majorBidi"/>
                <w:sz w:val="16"/>
                <w:szCs w:val="16"/>
              </w:rPr>
            </w:pPr>
            <w:r w:rsidRPr="006D4540">
              <w:rPr>
                <w:rFonts w:asciiTheme="majorBidi" w:hAnsiTheme="majorBidi" w:cstheme="majorBidi"/>
                <w:sz w:val="16"/>
                <w:szCs w:val="16"/>
              </w:rPr>
              <w:t>0.371</w:t>
            </w:r>
          </w:p>
        </w:tc>
        <w:tc>
          <w:tcPr>
            <w:tcW w:w="751" w:type="pct"/>
            <w:gridSpan w:val="2"/>
            <w:tcBorders>
              <w:top w:val="single" w:sz="4" w:space="0" w:color="auto"/>
              <w:bottom w:val="single" w:sz="4" w:space="0" w:color="auto"/>
            </w:tcBorders>
            <w:vAlign w:val="center"/>
          </w:tcPr>
          <w:p w14:paraId="30DA35B6" w14:textId="77777777" w:rsidR="004449F8" w:rsidRPr="006D4540" w:rsidRDefault="004449F8" w:rsidP="00A152B0">
            <w:pPr>
              <w:autoSpaceDE w:val="0"/>
              <w:autoSpaceDN w:val="0"/>
              <w:adjustRightInd w:val="0"/>
              <w:snapToGrid w:val="0"/>
              <w:ind w:firstLineChars="200" w:firstLine="320"/>
              <w:rPr>
                <w:rFonts w:asciiTheme="majorBidi" w:hAnsiTheme="majorBidi" w:cstheme="majorBidi"/>
                <w:sz w:val="16"/>
                <w:szCs w:val="16"/>
              </w:rPr>
            </w:pPr>
            <w:r w:rsidRPr="006D4540">
              <w:rPr>
                <w:rFonts w:asciiTheme="majorBidi" w:hAnsiTheme="majorBidi" w:cstheme="majorBidi"/>
                <w:sz w:val="16"/>
                <w:szCs w:val="16"/>
              </w:rPr>
              <w:t>0.207</w:t>
            </w:r>
          </w:p>
        </w:tc>
        <w:tc>
          <w:tcPr>
            <w:tcW w:w="750" w:type="pct"/>
            <w:gridSpan w:val="2"/>
            <w:tcBorders>
              <w:top w:val="single" w:sz="4" w:space="0" w:color="auto"/>
              <w:bottom w:val="single" w:sz="4" w:space="0" w:color="auto"/>
            </w:tcBorders>
            <w:vAlign w:val="center"/>
          </w:tcPr>
          <w:p w14:paraId="3E4B5185" w14:textId="77777777" w:rsidR="004449F8" w:rsidRPr="006D4540" w:rsidRDefault="004449F8" w:rsidP="00A152B0">
            <w:pPr>
              <w:autoSpaceDE w:val="0"/>
              <w:autoSpaceDN w:val="0"/>
              <w:adjustRightInd w:val="0"/>
              <w:snapToGrid w:val="0"/>
              <w:ind w:firstLineChars="200" w:firstLine="320"/>
              <w:rPr>
                <w:rFonts w:asciiTheme="majorBidi" w:hAnsiTheme="majorBidi" w:cstheme="majorBidi"/>
                <w:sz w:val="16"/>
                <w:szCs w:val="16"/>
              </w:rPr>
            </w:pPr>
            <w:r w:rsidRPr="006D4540">
              <w:rPr>
                <w:rFonts w:asciiTheme="majorBidi" w:hAnsiTheme="majorBidi" w:cstheme="majorBidi"/>
                <w:sz w:val="16"/>
                <w:szCs w:val="16"/>
              </w:rPr>
              <w:t>0.024</w:t>
            </w:r>
          </w:p>
        </w:tc>
      </w:tr>
      <w:tr w:rsidR="006D4540" w:rsidRPr="004449F8" w14:paraId="6EE69A5E" w14:textId="77777777" w:rsidTr="009E5933">
        <w:trPr>
          <w:trHeight w:val="283"/>
        </w:trPr>
        <w:tc>
          <w:tcPr>
            <w:tcW w:w="500" w:type="pct"/>
            <w:tcBorders>
              <w:top w:val="single" w:sz="4" w:space="0" w:color="auto"/>
              <w:bottom w:val="single" w:sz="4" w:space="0" w:color="auto"/>
              <w:right w:val="single" w:sz="4" w:space="0" w:color="auto"/>
            </w:tcBorders>
            <w:vAlign w:val="center"/>
          </w:tcPr>
          <w:p w14:paraId="48BA58C3" w14:textId="77777777" w:rsidR="004449F8" w:rsidRPr="006D4540" w:rsidRDefault="004449F8" w:rsidP="00A152B0">
            <w:pPr>
              <w:autoSpaceDE w:val="0"/>
              <w:autoSpaceDN w:val="0"/>
              <w:adjustRightInd w:val="0"/>
              <w:snapToGrid w:val="0"/>
              <w:jc w:val="center"/>
              <w:rPr>
                <w:rFonts w:asciiTheme="majorBidi" w:hAnsiTheme="majorBidi" w:cstheme="majorBidi"/>
                <w:sz w:val="16"/>
                <w:szCs w:val="16"/>
              </w:rPr>
            </w:pPr>
            <w:r w:rsidRPr="006D4540">
              <w:rPr>
                <w:rFonts w:asciiTheme="majorBidi" w:hAnsiTheme="majorBidi" w:cstheme="majorBidi"/>
                <w:sz w:val="16"/>
                <w:szCs w:val="16"/>
              </w:rPr>
              <w:t>F-value</w:t>
            </w:r>
          </w:p>
        </w:tc>
        <w:tc>
          <w:tcPr>
            <w:tcW w:w="749" w:type="pct"/>
            <w:gridSpan w:val="2"/>
            <w:tcBorders>
              <w:top w:val="single" w:sz="4" w:space="0" w:color="auto"/>
              <w:left w:val="single" w:sz="4" w:space="0" w:color="auto"/>
              <w:bottom w:val="single" w:sz="4" w:space="0" w:color="auto"/>
            </w:tcBorders>
            <w:vAlign w:val="center"/>
          </w:tcPr>
          <w:p w14:paraId="2FEBFE9E" w14:textId="77777777" w:rsidR="004449F8" w:rsidRPr="006D4540" w:rsidRDefault="004449F8" w:rsidP="00A152B0">
            <w:pPr>
              <w:autoSpaceDE w:val="0"/>
              <w:autoSpaceDN w:val="0"/>
              <w:adjustRightInd w:val="0"/>
              <w:snapToGrid w:val="0"/>
              <w:ind w:firstLineChars="200" w:firstLine="320"/>
              <w:rPr>
                <w:rFonts w:asciiTheme="majorBidi" w:hAnsiTheme="majorBidi" w:cstheme="majorBidi"/>
                <w:sz w:val="16"/>
                <w:szCs w:val="16"/>
              </w:rPr>
            </w:pPr>
            <w:r w:rsidRPr="006D4540">
              <w:rPr>
                <w:rFonts w:asciiTheme="majorBidi" w:hAnsiTheme="majorBidi" w:cstheme="majorBidi"/>
                <w:sz w:val="16"/>
                <w:szCs w:val="16"/>
              </w:rPr>
              <w:t>3.068</w:t>
            </w:r>
          </w:p>
        </w:tc>
        <w:tc>
          <w:tcPr>
            <w:tcW w:w="750" w:type="pct"/>
            <w:gridSpan w:val="2"/>
            <w:tcBorders>
              <w:top w:val="single" w:sz="4" w:space="0" w:color="auto"/>
              <w:bottom w:val="single" w:sz="4" w:space="0" w:color="auto"/>
            </w:tcBorders>
            <w:vAlign w:val="center"/>
          </w:tcPr>
          <w:p w14:paraId="0B93BBB5" w14:textId="77777777" w:rsidR="004449F8" w:rsidRPr="006D4540" w:rsidRDefault="004449F8" w:rsidP="00A152B0">
            <w:pPr>
              <w:autoSpaceDE w:val="0"/>
              <w:autoSpaceDN w:val="0"/>
              <w:adjustRightInd w:val="0"/>
              <w:snapToGrid w:val="0"/>
              <w:ind w:firstLineChars="200" w:firstLine="320"/>
              <w:rPr>
                <w:rFonts w:asciiTheme="majorBidi" w:hAnsiTheme="majorBidi" w:cstheme="majorBidi"/>
                <w:sz w:val="16"/>
                <w:szCs w:val="16"/>
              </w:rPr>
            </w:pPr>
            <w:r w:rsidRPr="006D4540">
              <w:rPr>
                <w:rFonts w:asciiTheme="majorBidi" w:hAnsiTheme="majorBidi" w:cstheme="majorBidi"/>
                <w:sz w:val="16"/>
                <w:szCs w:val="16"/>
              </w:rPr>
              <w:t>7.364</w:t>
            </w:r>
          </w:p>
        </w:tc>
        <w:tc>
          <w:tcPr>
            <w:tcW w:w="750" w:type="pct"/>
            <w:gridSpan w:val="2"/>
            <w:tcBorders>
              <w:top w:val="single" w:sz="4" w:space="0" w:color="auto"/>
              <w:bottom w:val="single" w:sz="4" w:space="0" w:color="auto"/>
            </w:tcBorders>
            <w:vAlign w:val="center"/>
          </w:tcPr>
          <w:p w14:paraId="3D94CD18" w14:textId="77777777" w:rsidR="004449F8" w:rsidRPr="006D4540" w:rsidRDefault="004449F8" w:rsidP="00A152B0">
            <w:pPr>
              <w:autoSpaceDE w:val="0"/>
              <w:autoSpaceDN w:val="0"/>
              <w:adjustRightInd w:val="0"/>
              <w:snapToGrid w:val="0"/>
              <w:ind w:firstLineChars="200" w:firstLine="320"/>
              <w:rPr>
                <w:rFonts w:asciiTheme="majorBidi" w:hAnsiTheme="majorBidi" w:cstheme="majorBidi"/>
                <w:sz w:val="16"/>
                <w:szCs w:val="16"/>
              </w:rPr>
            </w:pPr>
            <w:r w:rsidRPr="006D4540">
              <w:rPr>
                <w:rFonts w:asciiTheme="majorBidi" w:hAnsiTheme="majorBidi" w:cstheme="majorBidi"/>
                <w:sz w:val="16"/>
                <w:szCs w:val="16"/>
              </w:rPr>
              <w:t>4.365</w:t>
            </w:r>
          </w:p>
        </w:tc>
        <w:tc>
          <w:tcPr>
            <w:tcW w:w="751" w:type="pct"/>
            <w:gridSpan w:val="2"/>
            <w:tcBorders>
              <w:top w:val="single" w:sz="4" w:space="0" w:color="auto"/>
              <w:bottom w:val="single" w:sz="4" w:space="0" w:color="auto"/>
            </w:tcBorders>
            <w:vAlign w:val="center"/>
          </w:tcPr>
          <w:p w14:paraId="108CF05B" w14:textId="77777777" w:rsidR="004449F8" w:rsidRPr="006D4540" w:rsidRDefault="004449F8" w:rsidP="00A152B0">
            <w:pPr>
              <w:autoSpaceDE w:val="0"/>
              <w:autoSpaceDN w:val="0"/>
              <w:adjustRightInd w:val="0"/>
              <w:snapToGrid w:val="0"/>
              <w:ind w:firstLineChars="150" w:firstLine="240"/>
              <w:rPr>
                <w:rFonts w:asciiTheme="majorBidi" w:hAnsiTheme="majorBidi" w:cstheme="majorBidi"/>
                <w:sz w:val="16"/>
                <w:szCs w:val="16"/>
              </w:rPr>
            </w:pPr>
            <w:r w:rsidRPr="006D4540">
              <w:rPr>
                <w:rFonts w:asciiTheme="majorBidi" w:hAnsiTheme="majorBidi" w:cstheme="majorBidi"/>
                <w:sz w:val="16"/>
                <w:szCs w:val="16"/>
              </w:rPr>
              <w:t>10.194</w:t>
            </w:r>
          </w:p>
        </w:tc>
        <w:tc>
          <w:tcPr>
            <w:tcW w:w="751" w:type="pct"/>
            <w:gridSpan w:val="2"/>
            <w:tcBorders>
              <w:top w:val="single" w:sz="4" w:space="0" w:color="auto"/>
              <w:bottom w:val="single" w:sz="4" w:space="0" w:color="auto"/>
            </w:tcBorders>
            <w:vAlign w:val="center"/>
          </w:tcPr>
          <w:p w14:paraId="09ED9659" w14:textId="77777777" w:rsidR="004449F8" w:rsidRPr="006D4540" w:rsidRDefault="004449F8" w:rsidP="00A152B0">
            <w:pPr>
              <w:autoSpaceDE w:val="0"/>
              <w:autoSpaceDN w:val="0"/>
              <w:adjustRightInd w:val="0"/>
              <w:snapToGrid w:val="0"/>
              <w:ind w:firstLineChars="200" w:firstLine="320"/>
              <w:rPr>
                <w:rFonts w:asciiTheme="majorBidi" w:hAnsiTheme="majorBidi" w:cstheme="majorBidi"/>
                <w:sz w:val="16"/>
                <w:szCs w:val="16"/>
              </w:rPr>
            </w:pPr>
            <w:r w:rsidRPr="006D4540">
              <w:rPr>
                <w:rFonts w:asciiTheme="majorBidi" w:hAnsiTheme="majorBidi" w:cstheme="majorBidi"/>
                <w:sz w:val="16"/>
                <w:szCs w:val="16"/>
              </w:rPr>
              <w:t>3.201</w:t>
            </w:r>
          </w:p>
        </w:tc>
        <w:tc>
          <w:tcPr>
            <w:tcW w:w="750" w:type="pct"/>
            <w:gridSpan w:val="2"/>
            <w:tcBorders>
              <w:top w:val="single" w:sz="4" w:space="0" w:color="auto"/>
              <w:bottom w:val="single" w:sz="4" w:space="0" w:color="auto"/>
            </w:tcBorders>
            <w:vAlign w:val="center"/>
          </w:tcPr>
          <w:p w14:paraId="7AAD8C26" w14:textId="77777777" w:rsidR="004449F8" w:rsidRPr="006D4540" w:rsidRDefault="004449F8" w:rsidP="00A152B0">
            <w:pPr>
              <w:autoSpaceDE w:val="0"/>
              <w:autoSpaceDN w:val="0"/>
              <w:adjustRightInd w:val="0"/>
              <w:snapToGrid w:val="0"/>
              <w:ind w:firstLineChars="200" w:firstLine="320"/>
              <w:rPr>
                <w:rFonts w:asciiTheme="majorBidi" w:hAnsiTheme="majorBidi" w:cstheme="majorBidi"/>
                <w:sz w:val="16"/>
                <w:szCs w:val="16"/>
              </w:rPr>
            </w:pPr>
            <w:r w:rsidRPr="006D4540">
              <w:rPr>
                <w:rFonts w:asciiTheme="majorBidi" w:hAnsiTheme="majorBidi" w:cstheme="majorBidi"/>
                <w:sz w:val="16"/>
                <w:szCs w:val="16"/>
              </w:rPr>
              <w:t>0.703</w:t>
            </w:r>
          </w:p>
        </w:tc>
      </w:tr>
      <w:tr w:rsidR="006D4540" w:rsidRPr="004449F8" w14:paraId="0082A07C" w14:textId="77777777" w:rsidTr="009E5933">
        <w:trPr>
          <w:trHeight w:val="283"/>
        </w:trPr>
        <w:tc>
          <w:tcPr>
            <w:tcW w:w="500" w:type="pct"/>
            <w:tcBorders>
              <w:top w:val="single" w:sz="4" w:space="0" w:color="auto"/>
              <w:bottom w:val="single" w:sz="4" w:space="0" w:color="auto"/>
              <w:right w:val="single" w:sz="4" w:space="0" w:color="auto"/>
            </w:tcBorders>
            <w:vAlign w:val="center"/>
          </w:tcPr>
          <w:p w14:paraId="1FBCFF10" w14:textId="77777777" w:rsidR="004449F8" w:rsidRPr="006D4540" w:rsidRDefault="004449F8" w:rsidP="00A152B0">
            <w:pPr>
              <w:autoSpaceDE w:val="0"/>
              <w:autoSpaceDN w:val="0"/>
              <w:adjustRightInd w:val="0"/>
              <w:snapToGrid w:val="0"/>
              <w:jc w:val="center"/>
              <w:rPr>
                <w:rFonts w:asciiTheme="majorBidi" w:hAnsiTheme="majorBidi" w:cstheme="majorBidi"/>
                <w:sz w:val="16"/>
                <w:szCs w:val="16"/>
              </w:rPr>
            </w:pPr>
            <w:r w:rsidRPr="006D4540">
              <w:rPr>
                <w:rFonts w:asciiTheme="majorBidi" w:hAnsiTheme="majorBidi" w:cstheme="majorBidi"/>
                <w:sz w:val="16"/>
                <w:szCs w:val="16"/>
              </w:rPr>
              <w:t>Sig.</w:t>
            </w:r>
          </w:p>
        </w:tc>
        <w:tc>
          <w:tcPr>
            <w:tcW w:w="749" w:type="pct"/>
            <w:gridSpan w:val="2"/>
            <w:tcBorders>
              <w:top w:val="single" w:sz="4" w:space="0" w:color="auto"/>
              <w:left w:val="single" w:sz="4" w:space="0" w:color="auto"/>
              <w:bottom w:val="single" w:sz="4" w:space="0" w:color="auto"/>
            </w:tcBorders>
            <w:vAlign w:val="center"/>
          </w:tcPr>
          <w:p w14:paraId="3091C67B" w14:textId="77777777" w:rsidR="004449F8" w:rsidRPr="006D4540" w:rsidRDefault="004449F8" w:rsidP="00A152B0">
            <w:pPr>
              <w:autoSpaceDE w:val="0"/>
              <w:autoSpaceDN w:val="0"/>
              <w:adjustRightInd w:val="0"/>
              <w:snapToGrid w:val="0"/>
              <w:ind w:firstLineChars="200" w:firstLine="320"/>
              <w:rPr>
                <w:rFonts w:asciiTheme="majorBidi" w:hAnsiTheme="majorBidi" w:cstheme="majorBidi"/>
                <w:sz w:val="16"/>
                <w:szCs w:val="16"/>
              </w:rPr>
            </w:pPr>
            <w:r w:rsidRPr="006D4540">
              <w:rPr>
                <w:rFonts w:asciiTheme="majorBidi" w:hAnsiTheme="majorBidi" w:cstheme="majorBidi"/>
                <w:sz w:val="16"/>
                <w:szCs w:val="16"/>
              </w:rPr>
              <w:t>0.016</w:t>
            </w:r>
          </w:p>
        </w:tc>
        <w:tc>
          <w:tcPr>
            <w:tcW w:w="750" w:type="pct"/>
            <w:gridSpan w:val="2"/>
            <w:tcBorders>
              <w:top w:val="single" w:sz="4" w:space="0" w:color="auto"/>
              <w:bottom w:val="single" w:sz="4" w:space="0" w:color="auto"/>
            </w:tcBorders>
            <w:vAlign w:val="center"/>
          </w:tcPr>
          <w:p w14:paraId="637822F7" w14:textId="77777777" w:rsidR="004449F8" w:rsidRPr="006D4540" w:rsidRDefault="004449F8" w:rsidP="00A152B0">
            <w:pPr>
              <w:autoSpaceDE w:val="0"/>
              <w:autoSpaceDN w:val="0"/>
              <w:adjustRightInd w:val="0"/>
              <w:snapToGrid w:val="0"/>
              <w:ind w:firstLineChars="200" w:firstLine="320"/>
              <w:rPr>
                <w:rFonts w:asciiTheme="majorBidi" w:hAnsiTheme="majorBidi" w:cstheme="majorBidi"/>
                <w:sz w:val="16"/>
                <w:szCs w:val="16"/>
              </w:rPr>
            </w:pPr>
            <w:r w:rsidRPr="006D4540">
              <w:rPr>
                <w:rFonts w:asciiTheme="majorBidi" w:hAnsiTheme="majorBidi" w:cstheme="majorBidi"/>
                <w:sz w:val="16"/>
                <w:szCs w:val="16"/>
              </w:rPr>
              <w:t>0.000</w:t>
            </w:r>
          </w:p>
        </w:tc>
        <w:tc>
          <w:tcPr>
            <w:tcW w:w="750" w:type="pct"/>
            <w:gridSpan w:val="2"/>
            <w:tcBorders>
              <w:top w:val="single" w:sz="4" w:space="0" w:color="auto"/>
              <w:bottom w:val="single" w:sz="4" w:space="0" w:color="auto"/>
            </w:tcBorders>
            <w:vAlign w:val="center"/>
          </w:tcPr>
          <w:p w14:paraId="12E2461C" w14:textId="77777777" w:rsidR="004449F8" w:rsidRPr="006D4540" w:rsidRDefault="004449F8" w:rsidP="00A152B0">
            <w:pPr>
              <w:autoSpaceDE w:val="0"/>
              <w:autoSpaceDN w:val="0"/>
              <w:adjustRightInd w:val="0"/>
              <w:snapToGrid w:val="0"/>
              <w:ind w:firstLineChars="200" w:firstLine="320"/>
              <w:rPr>
                <w:rFonts w:asciiTheme="majorBidi" w:hAnsiTheme="majorBidi" w:cstheme="majorBidi"/>
                <w:sz w:val="16"/>
                <w:szCs w:val="16"/>
              </w:rPr>
            </w:pPr>
            <w:r w:rsidRPr="006D4540">
              <w:rPr>
                <w:rFonts w:asciiTheme="majorBidi" w:hAnsiTheme="majorBidi" w:cstheme="majorBidi"/>
                <w:sz w:val="16"/>
                <w:szCs w:val="16"/>
              </w:rPr>
              <w:t>0.007</w:t>
            </w:r>
          </w:p>
        </w:tc>
        <w:tc>
          <w:tcPr>
            <w:tcW w:w="751" w:type="pct"/>
            <w:gridSpan w:val="2"/>
            <w:tcBorders>
              <w:top w:val="single" w:sz="4" w:space="0" w:color="auto"/>
              <w:bottom w:val="single" w:sz="4" w:space="0" w:color="auto"/>
            </w:tcBorders>
            <w:vAlign w:val="center"/>
          </w:tcPr>
          <w:p w14:paraId="0DA854A0" w14:textId="77777777" w:rsidR="004449F8" w:rsidRPr="006D4540" w:rsidRDefault="004449F8" w:rsidP="00A152B0">
            <w:pPr>
              <w:autoSpaceDE w:val="0"/>
              <w:autoSpaceDN w:val="0"/>
              <w:adjustRightInd w:val="0"/>
              <w:snapToGrid w:val="0"/>
              <w:ind w:firstLineChars="200" w:firstLine="320"/>
              <w:rPr>
                <w:rFonts w:asciiTheme="majorBidi" w:hAnsiTheme="majorBidi" w:cstheme="majorBidi"/>
                <w:sz w:val="16"/>
                <w:szCs w:val="16"/>
              </w:rPr>
            </w:pPr>
            <w:r w:rsidRPr="006D4540">
              <w:rPr>
                <w:rFonts w:asciiTheme="majorBidi" w:hAnsiTheme="majorBidi" w:cstheme="majorBidi"/>
                <w:sz w:val="16"/>
                <w:szCs w:val="16"/>
              </w:rPr>
              <w:t>0.000</w:t>
            </w:r>
          </w:p>
        </w:tc>
        <w:tc>
          <w:tcPr>
            <w:tcW w:w="751" w:type="pct"/>
            <w:gridSpan w:val="2"/>
            <w:tcBorders>
              <w:top w:val="single" w:sz="4" w:space="0" w:color="auto"/>
              <w:bottom w:val="single" w:sz="4" w:space="0" w:color="auto"/>
            </w:tcBorders>
            <w:vAlign w:val="center"/>
          </w:tcPr>
          <w:p w14:paraId="0DC3374C" w14:textId="77777777" w:rsidR="004449F8" w:rsidRPr="006D4540" w:rsidRDefault="004449F8" w:rsidP="00A152B0">
            <w:pPr>
              <w:autoSpaceDE w:val="0"/>
              <w:autoSpaceDN w:val="0"/>
              <w:adjustRightInd w:val="0"/>
              <w:snapToGrid w:val="0"/>
              <w:ind w:firstLineChars="200" w:firstLine="320"/>
              <w:rPr>
                <w:rFonts w:asciiTheme="majorBidi" w:hAnsiTheme="majorBidi" w:cstheme="majorBidi"/>
                <w:sz w:val="16"/>
                <w:szCs w:val="16"/>
              </w:rPr>
            </w:pPr>
            <w:r w:rsidRPr="006D4540">
              <w:rPr>
                <w:rFonts w:asciiTheme="majorBidi" w:hAnsiTheme="majorBidi" w:cstheme="majorBidi"/>
                <w:sz w:val="16"/>
                <w:szCs w:val="16"/>
              </w:rPr>
              <w:t>0.051</w:t>
            </w:r>
          </w:p>
        </w:tc>
        <w:tc>
          <w:tcPr>
            <w:tcW w:w="750" w:type="pct"/>
            <w:gridSpan w:val="2"/>
            <w:tcBorders>
              <w:top w:val="single" w:sz="4" w:space="0" w:color="auto"/>
              <w:bottom w:val="single" w:sz="4" w:space="0" w:color="auto"/>
            </w:tcBorders>
            <w:vAlign w:val="center"/>
          </w:tcPr>
          <w:p w14:paraId="152D28CB" w14:textId="77777777" w:rsidR="004449F8" w:rsidRPr="006D4540" w:rsidRDefault="004449F8" w:rsidP="00A152B0">
            <w:pPr>
              <w:autoSpaceDE w:val="0"/>
              <w:autoSpaceDN w:val="0"/>
              <w:adjustRightInd w:val="0"/>
              <w:snapToGrid w:val="0"/>
              <w:ind w:firstLineChars="200" w:firstLine="320"/>
              <w:rPr>
                <w:rFonts w:asciiTheme="majorBidi" w:hAnsiTheme="majorBidi" w:cstheme="majorBidi"/>
                <w:sz w:val="16"/>
                <w:szCs w:val="16"/>
              </w:rPr>
            </w:pPr>
            <w:r w:rsidRPr="006D4540">
              <w:rPr>
                <w:rFonts w:asciiTheme="majorBidi" w:hAnsiTheme="majorBidi" w:cstheme="majorBidi"/>
                <w:sz w:val="16"/>
                <w:szCs w:val="16"/>
              </w:rPr>
              <w:t>0.591</w:t>
            </w:r>
          </w:p>
        </w:tc>
      </w:tr>
    </w:tbl>
    <w:p w14:paraId="09008177" w14:textId="2D1A0DB9" w:rsidR="00FD4287" w:rsidRPr="007B7066" w:rsidRDefault="00215E9A" w:rsidP="00D70DB4">
      <w:pPr>
        <w:autoSpaceDE w:val="0"/>
        <w:autoSpaceDN w:val="0"/>
        <w:adjustRightInd w:val="0"/>
        <w:spacing w:after="0" w:line="360" w:lineRule="exact"/>
        <w:rPr>
          <w:rFonts w:asciiTheme="majorBidi" w:hAnsiTheme="majorBidi" w:cstheme="majorBidi"/>
          <w:szCs w:val="16"/>
        </w:rPr>
      </w:pPr>
      <w:r w:rsidRPr="00215E9A">
        <w:rPr>
          <w:rFonts w:asciiTheme="majorBidi" w:hAnsiTheme="majorBidi" w:cstheme="majorBidi"/>
          <w:i/>
          <w:szCs w:val="24"/>
        </w:rPr>
        <w:t>Note.</w:t>
      </w:r>
      <w:r>
        <w:rPr>
          <w:rFonts w:asciiTheme="majorBidi" w:hAnsiTheme="majorBidi" w:cstheme="majorBidi"/>
          <w:i/>
          <w:szCs w:val="24"/>
        </w:rPr>
        <w:t xml:space="preserve"> </w:t>
      </w:r>
      <w:r w:rsidR="00FD4287" w:rsidRPr="007B7066">
        <w:rPr>
          <w:rFonts w:asciiTheme="majorBidi" w:hAnsiTheme="majorBidi" w:cstheme="majorBidi"/>
          <w:szCs w:val="16"/>
        </w:rPr>
        <w:t>**Correlation is significant at the 0.01 level (2-tailed).</w:t>
      </w:r>
    </w:p>
    <w:p w14:paraId="73735E10" w14:textId="10E8CA9E" w:rsidR="00FD4287" w:rsidRDefault="00FD4287" w:rsidP="004449F8">
      <w:pPr>
        <w:snapToGrid w:val="0"/>
        <w:spacing w:after="0" w:line="360" w:lineRule="exact"/>
        <w:ind w:firstLine="510"/>
        <w:jc w:val="both"/>
        <w:rPr>
          <w:rFonts w:asciiTheme="majorBidi" w:hAnsiTheme="majorBidi" w:cstheme="majorBidi"/>
          <w:sz w:val="24"/>
          <w:szCs w:val="16"/>
        </w:rPr>
      </w:pPr>
      <w:r w:rsidRPr="007B7066">
        <w:rPr>
          <w:rFonts w:asciiTheme="majorBidi" w:hAnsiTheme="majorBidi" w:cstheme="majorBidi"/>
          <w:szCs w:val="16"/>
        </w:rPr>
        <w:t>*Correlation is significant at the 0.05 level (2-tailed).</w:t>
      </w:r>
    </w:p>
    <w:p w14:paraId="4DB1D648" w14:textId="77777777" w:rsidR="00D70DB4" w:rsidRPr="007F15D8" w:rsidRDefault="00D70DB4" w:rsidP="00D70DB4">
      <w:pPr>
        <w:autoSpaceDE w:val="0"/>
        <w:autoSpaceDN w:val="0"/>
        <w:adjustRightInd w:val="0"/>
        <w:spacing w:after="0" w:line="360" w:lineRule="exact"/>
        <w:rPr>
          <w:rFonts w:asciiTheme="majorBidi" w:hAnsiTheme="majorBidi" w:cstheme="majorBidi"/>
          <w:sz w:val="16"/>
          <w:szCs w:val="16"/>
        </w:rPr>
      </w:pPr>
    </w:p>
    <w:p w14:paraId="608E2EDB" w14:textId="1DF6C3D2" w:rsidR="00A95D9A" w:rsidRPr="007F15D8" w:rsidRDefault="00645D53" w:rsidP="00D70DB4">
      <w:pPr>
        <w:autoSpaceDE w:val="0"/>
        <w:autoSpaceDN w:val="0"/>
        <w:adjustRightInd w:val="0"/>
        <w:spacing w:after="0" w:line="360" w:lineRule="exact"/>
        <w:ind w:firstLine="510"/>
        <w:jc w:val="both"/>
        <w:rPr>
          <w:rFonts w:ascii="Times New Roman" w:hAnsi="Times New Roman"/>
          <w:sz w:val="26"/>
        </w:rPr>
      </w:pPr>
      <w:r w:rsidRPr="007F15D8">
        <w:rPr>
          <w:rFonts w:asciiTheme="majorBidi" w:hAnsiTheme="majorBidi"/>
          <w:sz w:val="26"/>
        </w:rPr>
        <w:t xml:space="preserve">Table </w:t>
      </w:r>
      <w:r w:rsidR="008D3063" w:rsidRPr="007F15D8">
        <w:rPr>
          <w:rFonts w:asciiTheme="majorBidi" w:hAnsiTheme="majorBidi" w:cstheme="majorBidi"/>
          <w:sz w:val="26"/>
          <w:szCs w:val="26"/>
        </w:rPr>
        <w:t>13</w:t>
      </w:r>
      <w:r w:rsidRPr="007F15D8">
        <w:rPr>
          <w:rFonts w:asciiTheme="majorBidi" w:hAnsiTheme="majorBidi"/>
          <w:sz w:val="26"/>
        </w:rPr>
        <w:t xml:space="preserve"> shows that the model of </w:t>
      </w:r>
      <w:r w:rsidR="009A4680" w:rsidRPr="007F15D8">
        <w:rPr>
          <w:rFonts w:asciiTheme="majorBidi" w:hAnsiTheme="majorBidi"/>
          <w:sz w:val="26"/>
        </w:rPr>
        <w:t>EQ-ESI</w:t>
      </w:r>
      <w:r w:rsidRPr="007F15D8">
        <w:rPr>
          <w:rFonts w:asciiTheme="majorBidi" w:hAnsiTheme="majorBidi"/>
          <w:sz w:val="26"/>
        </w:rPr>
        <w:t xml:space="preserve"> and </w:t>
      </w:r>
      <w:r w:rsidR="009A4680" w:rsidRPr="007F15D8">
        <w:rPr>
          <w:rFonts w:asciiTheme="majorBidi" w:hAnsiTheme="majorBidi"/>
          <w:sz w:val="26"/>
        </w:rPr>
        <w:t>FI</w:t>
      </w:r>
      <w:r w:rsidRPr="007F15D8">
        <w:rPr>
          <w:rFonts w:asciiTheme="majorBidi" w:hAnsiTheme="majorBidi"/>
          <w:sz w:val="26"/>
        </w:rPr>
        <w:t xml:space="preserve"> is significant in KSA, Oman, Qatar</w:t>
      </w:r>
      <w:r w:rsidR="00A003B1">
        <w:rPr>
          <w:rFonts w:asciiTheme="majorBidi" w:hAnsiTheme="majorBidi"/>
          <w:sz w:val="26"/>
        </w:rPr>
        <w:t>,</w:t>
      </w:r>
      <w:r w:rsidRPr="007F15D8">
        <w:rPr>
          <w:rFonts w:asciiTheme="majorBidi" w:hAnsiTheme="majorBidi"/>
          <w:sz w:val="26"/>
        </w:rPr>
        <w:t xml:space="preserve"> and Bahrain at </w:t>
      </w:r>
      <w:r w:rsidR="00A003B1">
        <w:rPr>
          <w:rFonts w:asciiTheme="majorBidi" w:hAnsiTheme="majorBidi"/>
          <w:sz w:val="26"/>
        </w:rPr>
        <w:t xml:space="preserve">both </w:t>
      </w:r>
      <w:r w:rsidRPr="007F15D8">
        <w:rPr>
          <w:rFonts w:asciiTheme="majorBidi" w:hAnsiTheme="majorBidi"/>
          <w:sz w:val="26"/>
        </w:rPr>
        <w:t>0.05 and 0.01</w:t>
      </w:r>
      <w:r w:rsidR="00A003B1">
        <w:rPr>
          <w:rFonts w:asciiTheme="majorBidi" w:hAnsiTheme="majorBidi"/>
          <w:sz w:val="26"/>
        </w:rPr>
        <w:t xml:space="preserve"> levels</w:t>
      </w:r>
      <w:r w:rsidR="009A4680" w:rsidRPr="007F15D8">
        <w:rPr>
          <w:rFonts w:asciiTheme="majorBidi" w:hAnsiTheme="majorBidi"/>
          <w:sz w:val="26"/>
        </w:rPr>
        <w:t>,</w:t>
      </w:r>
      <w:r w:rsidRPr="007F15D8">
        <w:rPr>
          <w:rFonts w:asciiTheme="majorBidi" w:hAnsiTheme="majorBidi"/>
          <w:sz w:val="26"/>
        </w:rPr>
        <w:t xml:space="preserve"> but it is insignificant in Kuwait and UAE. Again, the significance of the model is because the control variable</w:t>
      </w:r>
      <w:r w:rsidR="002C7835" w:rsidRPr="007F15D8">
        <w:rPr>
          <w:rFonts w:asciiTheme="majorBidi" w:hAnsiTheme="majorBidi"/>
          <w:sz w:val="26"/>
        </w:rPr>
        <w:t>s</w:t>
      </w:r>
      <w:r w:rsidR="00A003B1">
        <w:rPr>
          <w:rFonts w:asciiTheme="majorBidi" w:hAnsiTheme="majorBidi"/>
          <w:sz w:val="26"/>
        </w:rPr>
        <w:t>,</w:t>
      </w:r>
      <w:r w:rsidRPr="007F15D8">
        <w:rPr>
          <w:rFonts w:asciiTheme="majorBidi" w:hAnsiTheme="majorBidi"/>
          <w:sz w:val="26"/>
        </w:rPr>
        <w:t xml:space="preserve"> as the coefficients of </w:t>
      </w:r>
      <w:r w:rsidR="009A4680" w:rsidRPr="007F15D8">
        <w:rPr>
          <w:rFonts w:asciiTheme="majorBidi" w:hAnsiTheme="majorBidi"/>
          <w:sz w:val="26"/>
        </w:rPr>
        <w:t>ESI</w:t>
      </w:r>
      <w:r w:rsidR="00A003B1">
        <w:rPr>
          <w:rFonts w:asciiTheme="majorBidi" w:hAnsiTheme="majorBidi"/>
          <w:sz w:val="26"/>
        </w:rPr>
        <w:t>,</w:t>
      </w:r>
      <w:r w:rsidRPr="007F15D8">
        <w:rPr>
          <w:rFonts w:asciiTheme="majorBidi" w:hAnsiTheme="majorBidi"/>
          <w:sz w:val="26"/>
        </w:rPr>
        <w:t xml:space="preserve"> are insignificant </w:t>
      </w:r>
      <w:r w:rsidR="00A003B1">
        <w:rPr>
          <w:rFonts w:asciiTheme="majorBidi" w:hAnsiTheme="majorBidi"/>
          <w:sz w:val="26"/>
        </w:rPr>
        <w:t>among</w:t>
      </w:r>
      <w:r w:rsidRPr="007F15D8">
        <w:rPr>
          <w:rFonts w:asciiTheme="majorBidi" w:hAnsiTheme="majorBidi"/>
          <w:sz w:val="26"/>
        </w:rPr>
        <w:t xml:space="preserve"> all GCC countries. H4 is </w:t>
      </w:r>
      <w:r w:rsidR="001361AB" w:rsidRPr="007F15D8">
        <w:rPr>
          <w:rFonts w:asciiTheme="majorBidi" w:hAnsiTheme="majorBidi"/>
          <w:sz w:val="26"/>
        </w:rPr>
        <w:t>rejected</w:t>
      </w:r>
      <w:r w:rsidRPr="007F15D8">
        <w:rPr>
          <w:rFonts w:asciiTheme="majorBidi" w:hAnsiTheme="majorBidi"/>
          <w:sz w:val="26"/>
        </w:rPr>
        <w:t xml:space="preserve"> as the result of this model is supported by </w:t>
      </w:r>
      <w:r w:rsidR="009A4680" w:rsidRPr="007F15D8">
        <w:rPr>
          <w:rFonts w:asciiTheme="majorBidi" w:hAnsiTheme="majorBidi"/>
          <w:sz w:val="26"/>
        </w:rPr>
        <w:t xml:space="preserve">the </w:t>
      </w:r>
      <w:r w:rsidRPr="007F15D8">
        <w:rPr>
          <w:rFonts w:asciiTheme="majorBidi" w:hAnsiTheme="majorBidi"/>
          <w:sz w:val="26"/>
        </w:rPr>
        <w:t>higher value of ESI</w:t>
      </w:r>
      <w:r w:rsidR="009A4680" w:rsidRPr="007F15D8">
        <w:rPr>
          <w:rFonts w:asciiTheme="majorBidi" w:hAnsiTheme="majorBidi"/>
          <w:sz w:val="26"/>
        </w:rPr>
        <w:t>.</w:t>
      </w:r>
      <w:r w:rsidRPr="007F15D8">
        <w:rPr>
          <w:rFonts w:asciiTheme="majorBidi" w:hAnsiTheme="majorBidi"/>
          <w:sz w:val="26"/>
        </w:rPr>
        <w:t xml:space="preserve"> </w:t>
      </w:r>
      <w:r w:rsidR="009A4680" w:rsidRPr="007F15D8">
        <w:rPr>
          <w:rFonts w:asciiTheme="majorBidi" w:hAnsiTheme="majorBidi"/>
          <w:sz w:val="26"/>
        </w:rPr>
        <w:t xml:space="preserve">Foreign </w:t>
      </w:r>
      <w:r w:rsidRPr="007F15D8">
        <w:rPr>
          <w:rFonts w:asciiTheme="majorBidi" w:hAnsiTheme="majorBidi"/>
          <w:sz w:val="26"/>
        </w:rPr>
        <w:t xml:space="preserve">investors prefer to use the forecasting provided by analysts when they want to invest their money </w:t>
      </w:r>
      <w:r w:rsidR="00A003B1">
        <w:rPr>
          <w:rFonts w:asciiTheme="majorBidi" w:hAnsiTheme="majorBidi"/>
          <w:sz w:val="26"/>
        </w:rPr>
        <w:t>for</w:t>
      </w:r>
      <w:r w:rsidR="00A003B1" w:rsidRPr="007F15D8">
        <w:rPr>
          <w:rFonts w:asciiTheme="majorBidi" w:hAnsiTheme="majorBidi"/>
          <w:sz w:val="26"/>
        </w:rPr>
        <w:t xml:space="preserve"> </w:t>
      </w:r>
      <w:r w:rsidRPr="007F15D8">
        <w:rPr>
          <w:rFonts w:asciiTheme="majorBidi" w:hAnsiTheme="majorBidi"/>
          <w:sz w:val="26"/>
        </w:rPr>
        <w:t xml:space="preserve">the first time. The higher ESI </w:t>
      </w:r>
      <w:r w:rsidR="009A4680" w:rsidRPr="007F15D8">
        <w:rPr>
          <w:rFonts w:asciiTheme="majorBidi" w:hAnsiTheme="majorBidi"/>
          <w:sz w:val="26"/>
        </w:rPr>
        <w:t xml:space="preserve">may </w:t>
      </w:r>
      <w:r w:rsidRPr="007F15D8">
        <w:rPr>
          <w:rFonts w:asciiTheme="majorBidi" w:hAnsiTheme="majorBidi"/>
          <w:sz w:val="26"/>
        </w:rPr>
        <w:t xml:space="preserve">have </w:t>
      </w:r>
      <w:r w:rsidR="009A4680" w:rsidRPr="007F15D8">
        <w:rPr>
          <w:rFonts w:asciiTheme="majorBidi" w:hAnsiTheme="majorBidi"/>
          <w:sz w:val="26"/>
        </w:rPr>
        <w:t xml:space="preserve">a </w:t>
      </w:r>
      <w:r w:rsidRPr="007F15D8">
        <w:rPr>
          <w:rFonts w:asciiTheme="majorBidi" w:hAnsiTheme="majorBidi"/>
          <w:sz w:val="26"/>
        </w:rPr>
        <w:t>negative effect on the perception of investor</w:t>
      </w:r>
      <w:r w:rsidR="009A4680" w:rsidRPr="007F15D8">
        <w:rPr>
          <w:rFonts w:asciiTheme="majorBidi" w:hAnsiTheme="majorBidi"/>
          <w:sz w:val="26"/>
        </w:rPr>
        <w:t>s</w:t>
      </w:r>
      <w:r w:rsidRPr="007F15D8">
        <w:rPr>
          <w:rFonts w:asciiTheme="majorBidi" w:hAnsiTheme="majorBidi"/>
          <w:sz w:val="26"/>
        </w:rPr>
        <w:t xml:space="preserve"> about firm</w:t>
      </w:r>
      <w:r w:rsidR="009A4680" w:rsidRPr="007F15D8">
        <w:rPr>
          <w:rFonts w:asciiTheme="majorBidi" w:hAnsiTheme="majorBidi"/>
          <w:sz w:val="26"/>
        </w:rPr>
        <w:t>s</w:t>
      </w:r>
      <w:r w:rsidRPr="007F15D8">
        <w:rPr>
          <w:rFonts w:asciiTheme="majorBidi" w:hAnsiTheme="majorBidi"/>
          <w:sz w:val="26"/>
        </w:rPr>
        <w:t xml:space="preserve">. Therefore, </w:t>
      </w:r>
      <w:r w:rsidR="009A4680" w:rsidRPr="007F15D8">
        <w:rPr>
          <w:rFonts w:asciiTheme="majorBidi" w:hAnsiTheme="majorBidi"/>
          <w:sz w:val="26"/>
        </w:rPr>
        <w:t>with</w:t>
      </w:r>
      <w:r w:rsidRPr="007F15D8">
        <w:rPr>
          <w:rFonts w:asciiTheme="majorBidi" w:hAnsiTheme="majorBidi"/>
          <w:sz w:val="26"/>
        </w:rPr>
        <w:t xml:space="preserve"> less knowledge about </w:t>
      </w:r>
      <w:r w:rsidR="00A003B1">
        <w:rPr>
          <w:rFonts w:asciiTheme="majorBidi" w:hAnsiTheme="majorBidi"/>
          <w:sz w:val="26"/>
        </w:rPr>
        <w:t xml:space="preserve">the </w:t>
      </w:r>
      <w:r w:rsidRPr="007F15D8">
        <w:rPr>
          <w:rFonts w:asciiTheme="majorBidi" w:hAnsiTheme="majorBidi"/>
          <w:sz w:val="26"/>
        </w:rPr>
        <w:t xml:space="preserve">new capital market, </w:t>
      </w:r>
      <w:r w:rsidR="009A4680" w:rsidRPr="007F15D8">
        <w:rPr>
          <w:rFonts w:asciiTheme="majorBidi" w:hAnsiTheme="majorBidi"/>
          <w:sz w:val="26"/>
        </w:rPr>
        <w:t xml:space="preserve">foreign investors </w:t>
      </w:r>
      <w:r w:rsidRPr="007F15D8">
        <w:rPr>
          <w:rFonts w:asciiTheme="majorBidi" w:hAnsiTheme="majorBidi"/>
          <w:sz w:val="26"/>
        </w:rPr>
        <w:t xml:space="preserve">believe that the managers use </w:t>
      </w:r>
      <w:r w:rsidR="005742BC" w:rsidRPr="007F15D8">
        <w:rPr>
          <w:rFonts w:asciiTheme="majorBidi" w:hAnsiTheme="majorBidi"/>
          <w:sz w:val="26"/>
        </w:rPr>
        <w:t>‘</w:t>
      </w:r>
      <w:r w:rsidRPr="007F15D8">
        <w:rPr>
          <w:rFonts w:asciiTheme="majorBidi" w:hAnsiTheme="majorBidi"/>
          <w:sz w:val="26"/>
        </w:rPr>
        <w:t>meeting or beating analysts’ earnings forecasts</w:t>
      </w:r>
      <w:r w:rsidR="005742BC" w:rsidRPr="007F15D8">
        <w:rPr>
          <w:rFonts w:asciiTheme="majorBidi" w:hAnsiTheme="majorBidi"/>
          <w:sz w:val="26"/>
        </w:rPr>
        <w:t>’</w:t>
      </w:r>
      <w:r w:rsidRPr="007F15D8">
        <w:rPr>
          <w:rFonts w:asciiTheme="majorBidi" w:hAnsiTheme="majorBidi"/>
          <w:sz w:val="26"/>
        </w:rPr>
        <w:t xml:space="preserve"> as an incentive to manage the earnings and avoid negative earnings surprises. The result of this indicator is in line with Sen (2009)</w:t>
      </w:r>
      <w:r w:rsidR="00A003B1">
        <w:rPr>
          <w:rFonts w:asciiTheme="majorBidi" w:hAnsiTheme="majorBidi"/>
          <w:sz w:val="26"/>
        </w:rPr>
        <w:t>,</w:t>
      </w:r>
      <w:r w:rsidRPr="007F15D8">
        <w:rPr>
          <w:rFonts w:asciiTheme="majorBidi" w:hAnsiTheme="majorBidi"/>
          <w:sz w:val="26"/>
        </w:rPr>
        <w:t xml:space="preserve"> </w:t>
      </w:r>
      <w:r w:rsidR="00A41BCF" w:rsidRPr="007F15D8">
        <w:rPr>
          <w:rFonts w:asciiTheme="majorBidi" w:hAnsiTheme="majorBidi"/>
          <w:sz w:val="26"/>
        </w:rPr>
        <w:t>wh</w:t>
      </w:r>
      <w:r w:rsidR="00A003B1">
        <w:rPr>
          <w:rFonts w:asciiTheme="majorBidi" w:hAnsiTheme="majorBidi"/>
          <w:sz w:val="26"/>
        </w:rPr>
        <w:t>ich</w:t>
      </w:r>
      <w:r w:rsidR="00A41BCF" w:rsidRPr="007F15D8">
        <w:rPr>
          <w:rFonts w:asciiTheme="majorBidi" w:hAnsiTheme="majorBidi"/>
          <w:sz w:val="26"/>
        </w:rPr>
        <w:t xml:space="preserve"> found</w:t>
      </w:r>
      <w:r w:rsidRPr="007F15D8">
        <w:rPr>
          <w:rFonts w:asciiTheme="majorBidi" w:hAnsiTheme="majorBidi"/>
          <w:sz w:val="26"/>
        </w:rPr>
        <w:t xml:space="preserve"> that ESI is not a key factor used </w:t>
      </w:r>
      <w:r w:rsidRPr="007F15D8">
        <w:rPr>
          <w:rFonts w:asciiTheme="majorBidi" w:hAnsiTheme="majorBidi"/>
          <w:sz w:val="26"/>
        </w:rPr>
        <w:lastRenderedPageBreak/>
        <w:t>by sophisticated institutional investors</w:t>
      </w:r>
      <w:r w:rsidRPr="007F15D8">
        <w:rPr>
          <w:rFonts w:ascii="Times New Roman" w:hAnsi="Times New Roman"/>
          <w:sz w:val="26"/>
        </w:rPr>
        <w:t xml:space="preserve">. </w:t>
      </w:r>
      <w:r w:rsidR="009A4680" w:rsidRPr="007F15D8">
        <w:rPr>
          <w:rFonts w:ascii="Times New Roman" w:hAnsi="Times New Roman"/>
          <w:sz w:val="26"/>
        </w:rPr>
        <w:t xml:space="preserve">The control </w:t>
      </w:r>
      <w:r w:rsidR="002C7835" w:rsidRPr="007F15D8">
        <w:rPr>
          <w:rFonts w:ascii="Times New Roman" w:hAnsi="Times New Roman"/>
          <w:sz w:val="26"/>
        </w:rPr>
        <w:t>v</w:t>
      </w:r>
      <w:r w:rsidR="00A95D9A" w:rsidRPr="007F15D8">
        <w:rPr>
          <w:rFonts w:ascii="Times New Roman" w:hAnsi="Times New Roman"/>
          <w:sz w:val="26"/>
        </w:rPr>
        <w:t>ariable</w:t>
      </w:r>
      <w:r w:rsidR="002C7835" w:rsidRPr="007F15D8">
        <w:rPr>
          <w:rFonts w:ascii="Times New Roman" w:hAnsi="Times New Roman"/>
          <w:sz w:val="26"/>
        </w:rPr>
        <w:t>s</w:t>
      </w:r>
      <w:r w:rsidR="00A95D9A" w:rsidRPr="007F15D8">
        <w:rPr>
          <w:rFonts w:ascii="Times New Roman" w:hAnsi="Times New Roman"/>
          <w:sz w:val="26"/>
        </w:rPr>
        <w:t xml:space="preserve"> have different effect</w:t>
      </w:r>
      <w:r w:rsidR="009A4680" w:rsidRPr="007F15D8">
        <w:rPr>
          <w:rFonts w:ascii="Times New Roman" w:hAnsi="Times New Roman"/>
          <w:sz w:val="26"/>
        </w:rPr>
        <w:t>s</w:t>
      </w:r>
      <w:r w:rsidR="00A95D9A" w:rsidRPr="007F15D8">
        <w:rPr>
          <w:rFonts w:ascii="Times New Roman" w:hAnsi="Times New Roman"/>
          <w:sz w:val="26"/>
        </w:rPr>
        <w:t xml:space="preserve"> on foreign investors</w:t>
      </w:r>
      <w:r w:rsidR="009A4680" w:rsidRPr="007F15D8">
        <w:rPr>
          <w:rFonts w:ascii="Times New Roman" w:hAnsi="Times New Roman"/>
          <w:sz w:val="26"/>
        </w:rPr>
        <w:t>,</w:t>
      </w:r>
      <w:r w:rsidR="00A95D9A" w:rsidRPr="007F15D8">
        <w:rPr>
          <w:rFonts w:ascii="Times New Roman" w:hAnsi="Times New Roman"/>
          <w:sz w:val="26"/>
        </w:rPr>
        <w:t xml:space="preserve"> confirming the significance of these variables.</w:t>
      </w:r>
    </w:p>
    <w:p w14:paraId="49A86991" w14:textId="77777777" w:rsidR="00645D53" w:rsidRPr="007F15D8" w:rsidRDefault="00645D53" w:rsidP="00D70DB4">
      <w:pPr>
        <w:tabs>
          <w:tab w:val="left" w:pos="4536"/>
        </w:tabs>
        <w:autoSpaceDE w:val="0"/>
        <w:autoSpaceDN w:val="0"/>
        <w:adjustRightInd w:val="0"/>
        <w:spacing w:after="0" w:line="360" w:lineRule="exact"/>
        <w:jc w:val="both"/>
        <w:rPr>
          <w:rFonts w:ascii="Times New Roman" w:hAnsi="Times New Roman"/>
          <w:b/>
          <w:sz w:val="26"/>
        </w:rPr>
      </w:pPr>
    </w:p>
    <w:p w14:paraId="5CE6A9A1" w14:textId="4F462349" w:rsidR="00645D53" w:rsidRPr="007F15D8" w:rsidRDefault="003A2A39" w:rsidP="00D70DB4">
      <w:pPr>
        <w:tabs>
          <w:tab w:val="left" w:pos="4536"/>
        </w:tabs>
        <w:autoSpaceDE w:val="0"/>
        <w:autoSpaceDN w:val="0"/>
        <w:adjustRightInd w:val="0"/>
        <w:spacing w:after="0" w:line="360" w:lineRule="exact"/>
        <w:jc w:val="both"/>
        <w:rPr>
          <w:rFonts w:ascii="Times New Roman" w:hAnsi="Times New Roman"/>
          <w:b/>
          <w:sz w:val="26"/>
        </w:rPr>
      </w:pPr>
      <w:r w:rsidRPr="007F15D8">
        <w:rPr>
          <w:rFonts w:ascii="Times New Roman" w:hAnsi="Times New Roman"/>
          <w:b/>
          <w:sz w:val="26"/>
        </w:rPr>
        <w:t>Measuring</w:t>
      </w:r>
      <w:r w:rsidR="00645D53" w:rsidRPr="007F15D8">
        <w:rPr>
          <w:rFonts w:ascii="Times New Roman" w:hAnsi="Times New Roman"/>
          <w:b/>
          <w:sz w:val="26"/>
        </w:rPr>
        <w:t xml:space="preserve"> and Analysis of EQ</w:t>
      </w:r>
      <w:r w:rsidR="003214CA" w:rsidRPr="007F15D8">
        <w:rPr>
          <w:rFonts w:ascii="Times New Roman" w:hAnsi="Times New Roman"/>
          <w:b/>
          <w:sz w:val="26"/>
        </w:rPr>
        <w:t>-</w:t>
      </w:r>
      <w:r w:rsidR="00645D53" w:rsidRPr="007F15D8">
        <w:rPr>
          <w:rFonts w:ascii="Times New Roman" w:hAnsi="Times New Roman"/>
          <w:b/>
          <w:sz w:val="26"/>
        </w:rPr>
        <w:t>AQ</w:t>
      </w:r>
      <w:r w:rsidR="001361AB" w:rsidRPr="007F15D8">
        <w:rPr>
          <w:rFonts w:ascii="Times New Roman" w:hAnsi="Times New Roman"/>
          <w:b/>
          <w:sz w:val="26"/>
        </w:rPr>
        <w:t xml:space="preserve"> and FI</w:t>
      </w:r>
      <w:r w:rsidR="00645D53" w:rsidRPr="007F15D8">
        <w:rPr>
          <w:rFonts w:ascii="Times New Roman" w:hAnsi="Times New Roman"/>
          <w:b/>
          <w:sz w:val="26"/>
        </w:rPr>
        <w:t xml:space="preserve"> </w:t>
      </w:r>
    </w:p>
    <w:p w14:paraId="18066A0B" w14:textId="50B8298B" w:rsidR="00645D53" w:rsidRDefault="00645D53" w:rsidP="00D70DB4">
      <w:pPr>
        <w:spacing w:after="0" w:line="360" w:lineRule="exact"/>
        <w:ind w:firstLine="510"/>
        <w:jc w:val="both"/>
        <w:rPr>
          <w:rFonts w:ascii="Times New Roman" w:hAnsi="Times New Roman"/>
          <w:sz w:val="26"/>
        </w:rPr>
      </w:pPr>
      <w:r w:rsidRPr="007F15D8">
        <w:rPr>
          <w:rFonts w:ascii="Times New Roman" w:hAnsi="Times New Roman"/>
          <w:sz w:val="26"/>
        </w:rPr>
        <w:t xml:space="preserve">The required information to calculate the </w:t>
      </w:r>
      <w:r w:rsidR="006F15D5">
        <w:rPr>
          <w:rFonts w:ascii="Times New Roman" w:hAnsi="Times New Roman"/>
          <w:sz w:val="26"/>
        </w:rPr>
        <w:t>earnings accrual</w:t>
      </w:r>
      <w:r w:rsidRPr="007F15D8">
        <w:rPr>
          <w:rFonts w:ascii="Times New Roman" w:hAnsi="Times New Roman"/>
          <w:sz w:val="26"/>
        </w:rPr>
        <w:t xml:space="preserve"> is the operating cash flow in the current year, the previous year</w:t>
      </w:r>
      <w:r w:rsidR="00A003B1">
        <w:rPr>
          <w:rFonts w:ascii="Times New Roman" w:hAnsi="Times New Roman"/>
          <w:sz w:val="26"/>
        </w:rPr>
        <w:t>,</w:t>
      </w:r>
      <w:r w:rsidRPr="007F15D8">
        <w:rPr>
          <w:rFonts w:ascii="Times New Roman" w:hAnsi="Times New Roman"/>
          <w:sz w:val="26"/>
        </w:rPr>
        <w:t xml:space="preserve"> and the future year. Table </w:t>
      </w:r>
      <w:r w:rsidR="00737024" w:rsidRPr="007F15D8">
        <w:rPr>
          <w:rFonts w:ascii="Times New Roman" w:hAnsi="Times New Roman" w:cs="Times New Roman"/>
          <w:sz w:val="26"/>
          <w:szCs w:val="26"/>
        </w:rPr>
        <w:t>1</w:t>
      </w:r>
      <w:r w:rsidR="008D3063" w:rsidRPr="007F15D8">
        <w:rPr>
          <w:rFonts w:ascii="Times New Roman" w:hAnsi="Times New Roman" w:cs="Times New Roman"/>
          <w:sz w:val="26"/>
          <w:szCs w:val="26"/>
        </w:rPr>
        <w:t>4</w:t>
      </w:r>
      <w:r w:rsidRPr="007F15D8">
        <w:rPr>
          <w:rFonts w:ascii="Times New Roman" w:hAnsi="Times New Roman"/>
          <w:sz w:val="26"/>
        </w:rPr>
        <w:t xml:space="preserve"> shows the mean, SD</w:t>
      </w:r>
      <w:r w:rsidR="00A003B1">
        <w:rPr>
          <w:rFonts w:ascii="Times New Roman" w:hAnsi="Times New Roman"/>
          <w:sz w:val="26"/>
        </w:rPr>
        <w:t>,</w:t>
      </w:r>
      <w:r w:rsidRPr="007F15D8">
        <w:rPr>
          <w:rFonts w:ascii="Times New Roman" w:hAnsi="Times New Roman"/>
          <w:sz w:val="26"/>
        </w:rPr>
        <w:t xml:space="preserve"> and correlation of the variables of accruals. </w:t>
      </w:r>
    </w:p>
    <w:p w14:paraId="1D0859A8" w14:textId="77777777" w:rsidR="00D70DB4" w:rsidRPr="007F15D8" w:rsidRDefault="00D70DB4" w:rsidP="00D70DB4">
      <w:pPr>
        <w:spacing w:after="0" w:line="360" w:lineRule="exact"/>
        <w:ind w:firstLine="510"/>
        <w:jc w:val="both"/>
        <w:rPr>
          <w:rFonts w:ascii="Times New Roman" w:hAnsi="Times New Roman"/>
          <w:sz w:val="26"/>
        </w:rPr>
      </w:pPr>
    </w:p>
    <w:p w14:paraId="7699934C" w14:textId="440D7260" w:rsidR="00E40A40" w:rsidRPr="00FA3651" w:rsidRDefault="008D3063" w:rsidP="00FA3651">
      <w:pPr>
        <w:snapToGrid w:val="0"/>
        <w:spacing w:afterLines="50" w:after="120" w:line="360" w:lineRule="exact"/>
        <w:jc w:val="both"/>
        <w:rPr>
          <w:rFonts w:asciiTheme="majorBidi" w:hAnsiTheme="majorBidi"/>
          <w:sz w:val="26"/>
        </w:rPr>
      </w:pPr>
      <w:r w:rsidRPr="00A152B0">
        <w:rPr>
          <w:rFonts w:asciiTheme="majorBidi" w:hAnsiTheme="majorBidi"/>
          <w:b/>
          <w:sz w:val="26"/>
        </w:rPr>
        <w:t xml:space="preserve">Table </w:t>
      </w:r>
      <w:proofErr w:type="gramStart"/>
      <w:r w:rsidRPr="00A152B0">
        <w:rPr>
          <w:rFonts w:asciiTheme="majorBidi" w:hAnsiTheme="majorBidi"/>
          <w:b/>
          <w:sz w:val="26"/>
        </w:rPr>
        <w:t>14</w:t>
      </w:r>
      <w:r w:rsidR="00A152B0">
        <w:rPr>
          <w:rFonts w:asciiTheme="majorBidi" w:hAnsiTheme="majorBidi"/>
          <w:sz w:val="26"/>
        </w:rPr>
        <w:t xml:space="preserve"> </w:t>
      </w:r>
      <w:r w:rsidR="00E40A40" w:rsidRPr="00FA3651">
        <w:rPr>
          <w:rFonts w:asciiTheme="majorBidi" w:hAnsiTheme="majorBidi"/>
          <w:sz w:val="26"/>
        </w:rPr>
        <w:t xml:space="preserve"> </w:t>
      </w:r>
      <w:r w:rsidR="00E40A40" w:rsidRPr="00A152B0">
        <w:rPr>
          <w:rFonts w:asciiTheme="majorBidi" w:hAnsiTheme="majorBidi"/>
          <w:i/>
          <w:sz w:val="26"/>
        </w:rPr>
        <w:t>Descriptive</w:t>
      </w:r>
      <w:proofErr w:type="gramEnd"/>
      <w:r w:rsidR="00E40A40" w:rsidRPr="00A152B0">
        <w:rPr>
          <w:rFonts w:asciiTheme="majorBidi" w:hAnsiTheme="majorBidi"/>
          <w:i/>
          <w:sz w:val="26"/>
        </w:rPr>
        <w:t xml:space="preserve"> Statistics and Measuring of Accrual Quality</w:t>
      </w: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5"/>
        <w:gridCol w:w="626"/>
        <w:gridCol w:w="621"/>
        <w:gridCol w:w="626"/>
        <w:gridCol w:w="621"/>
        <w:gridCol w:w="626"/>
        <w:gridCol w:w="641"/>
        <w:gridCol w:w="646"/>
        <w:gridCol w:w="614"/>
        <w:gridCol w:w="8"/>
        <w:gridCol w:w="632"/>
        <w:gridCol w:w="7"/>
        <w:gridCol w:w="621"/>
        <w:gridCol w:w="654"/>
        <w:gridCol w:w="7"/>
        <w:gridCol w:w="702"/>
      </w:tblGrid>
      <w:tr w:rsidR="007F15D8" w:rsidRPr="00952DC1" w14:paraId="0A2F124E" w14:textId="77777777" w:rsidTr="00215E9A">
        <w:trPr>
          <w:trHeight w:val="340"/>
        </w:trPr>
        <w:tc>
          <w:tcPr>
            <w:tcW w:w="761" w:type="pct"/>
            <w:vMerge w:val="restart"/>
            <w:tcBorders>
              <w:top w:val="single" w:sz="4" w:space="0" w:color="auto"/>
              <w:bottom w:val="single" w:sz="4" w:space="0" w:color="auto"/>
              <w:right w:val="single" w:sz="4" w:space="0" w:color="auto"/>
              <w:tl2br w:val="single" w:sz="4" w:space="0" w:color="auto"/>
            </w:tcBorders>
          </w:tcPr>
          <w:p w14:paraId="7CB4D3CD" w14:textId="27FF1DDE" w:rsidR="00E40A40" w:rsidRPr="007B7066" w:rsidRDefault="00E40A40" w:rsidP="00A152B0">
            <w:pPr>
              <w:autoSpaceDE w:val="0"/>
              <w:autoSpaceDN w:val="0"/>
              <w:adjustRightInd w:val="0"/>
              <w:ind w:firstLineChars="100" w:firstLine="200"/>
              <w:rPr>
                <w:rFonts w:ascii="Times New Roman" w:hAnsi="Times New Roman" w:cs="Times New Roman"/>
                <w:sz w:val="20"/>
              </w:rPr>
            </w:pPr>
            <w:r w:rsidRPr="007B7066">
              <w:rPr>
                <w:rFonts w:ascii="Times New Roman" w:hAnsi="Times New Roman" w:cs="Times New Roman"/>
                <w:sz w:val="20"/>
              </w:rPr>
              <w:t>Country</w:t>
            </w:r>
            <w:r w:rsidR="00A152B0">
              <w:rPr>
                <w:rFonts w:ascii="Times New Roman" w:hAnsi="Times New Roman" w:cs="Times New Roman"/>
                <w:sz w:val="20"/>
              </w:rPr>
              <w:br/>
            </w:r>
            <w:r w:rsidR="00A152B0">
              <w:rPr>
                <w:rFonts w:ascii="Times New Roman" w:hAnsi="Times New Roman" w:cs="Times New Roman"/>
                <w:sz w:val="20"/>
              </w:rPr>
              <w:br/>
            </w:r>
            <w:r w:rsidRPr="007B7066">
              <w:rPr>
                <w:rFonts w:ascii="Times New Roman" w:hAnsi="Times New Roman" w:cs="Times New Roman"/>
                <w:sz w:val="20"/>
              </w:rPr>
              <w:t>Variable</w:t>
            </w:r>
          </w:p>
        </w:tc>
        <w:tc>
          <w:tcPr>
            <w:tcW w:w="691" w:type="pct"/>
            <w:gridSpan w:val="2"/>
            <w:tcBorders>
              <w:top w:val="single" w:sz="4" w:space="0" w:color="auto"/>
              <w:left w:val="single" w:sz="4" w:space="0" w:color="auto"/>
              <w:bottom w:val="single" w:sz="4" w:space="0" w:color="auto"/>
            </w:tcBorders>
            <w:vAlign w:val="center"/>
          </w:tcPr>
          <w:p w14:paraId="402E4FCA" w14:textId="77777777" w:rsidR="00E40A40" w:rsidRPr="007B7066" w:rsidRDefault="00E40A40" w:rsidP="007B7066">
            <w:pPr>
              <w:autoSpaceDE w:val="0"/>
              <w:autoSpaceDN w:val="0"/>
              <w:adjustRightInd w:val="0"/>
              <w:jc w:val="center"/>
              <w:rPr>
                <w:rFonts w:ascii="Times New Roman" w:hAnsi="Times New Roman" w:cs="Times New Roman"/>
                <w:sz w:val="20"/>
              </w:rPr>
            </w:pPr>
            <w:r w:rsidRPr="007B7066">
              <w:rPr>
                <w:rFonts w:ascii="Times New Roman" w:hAnsi="Times New Roman" w:cs="Times New Roman"/>
                <w:sz w:val="20"/>
              </w:rPr>
              <w:t>KSA</w:t>
            </w:r>
          </w:p>
        </w:tc>
        <w:tc>
          <w:tcPr>
            <w:tcW w:w="691" w:type="pct"/>
            <w:gridSpan w:val="2"/>
            <w:tcBorders>
              <w:top w:val="single" w:sz="4" w:space="0" w:color="auto"/>
              <w:bottom w:val="single" w:sz="4" w:space="0" w:color="auto"/>
            </w:tcBorders>
            <w:vAlign w:val="center"/>
          </w:tcPr>
          <w:p w14:paraId="4BB7DD03" w14:textId="77777777" w:rsidR="00E40A40" w:rsidRPr="007B7066" w:rsidRDefault="00E40A40" w:rsidP="007B7066">
            <w:pPr>
              <w:autoSpaceDE w:val="0"/>
              <w:autoSpaceDN w:val="0"/>
              <w:adjustRightInd w:val="0"/>
              <w:jc w:val="center"/>
              <w:rPr>
                <w:rFonts w:ascii="Times New Roman" w:hAnsi="Times New Roman" w:cs="Times New Roman"/>
                <w:sz w:val="20"/>
              </w:rPr>
            </w:pPr>
            <w:r w:rsidRPr="007B7066">
              <w:rPr>
                <w:rFonts w:ascii="Times New Roman" w:hAnsi="Times New Roman" w:cs="Times New Roman"/>
                <w:sz w:val="20"/>
              </w:rPr>
              <w:t>OMN</w:t>
            </w:r>
          </w:p>
        </w:tc>
        <w:tc>
          <w:tcPr>
            <w:tcW w:w="702" w:type="pct"/>
            <w:gridSpan w:val="2"/>
            <w:tcBorders>
              <w:top w:val="single" w:sz="4" w:space="0" w:color="auto"/>
              <w:bottom w:val="single" w:sz="4" w:space="0" w:color="auto"/>
            </w:tcBorders>
            <w:vAlign w:val="center"/>
          </w:tcPr>
          <w:p w14:paraId="67A693C1" w14:textId="77777777" w:rsidR="00E40A40" w:rsidRPr="007B7066" w:rsidRDefault="00E40A40" w:rsidP="007B7066">
            <w:pPr>
              <w:autoSpaceDE w:val="0"/>
              <w:autoSpaceDN w:val="0"/>
              <w:adjustRightInd w:val="0"/>
              <w:jc w:val="center"/>
              <w:rPr>
                <w:rFonts w:ascii="Times New Roman" w:hAnsi="Times New Roman" w:cs="Times New Roman"/>
                <w:sz w:val="20"/>
              </w:rPr>
            </w:pPr>
            <w:r w:rsidRPr="007B7066">
              <w:rPr>
                <w:rFonts w:ascii="Times New Roman" w:hAnsi="Times New Roman" w:cs="Times New Roman"/>
                <w:sz w:val="20"/>
              </w:rPr>
              <w:t>QAT</w:t>
            </w:r>
          </w:p>
        </w:tc>
        <w:tc>
          <w:tcPr>
            <w:tcW w:w="702" w:type="pct"/>
            <w:gridSpan w:val="3"/>
            <w:tcBorders>
              <w:top w:val="single" w:sz="4" w:space="0" w:color="auto"/>
              <w:bottom w:val="single" w:sz="4" w:space="0" w:color="auto"/>
            </w:tcBorders>
            <w:vAlign w:val="center"/>
          </w:tcPr>
          <w:p w14:paraId="7C7F40E1" w14:textId="77777777" w:rsidR="00E40A40" w:rsidRPr="007B7066" w:rsidRDefault="00E40A40" w:rsidP="007B7066">
            <w:pPr>
              <w:autoSpaceDE w:val="0"/>
              <w:autoSpaceDN w:val="0"/>
              <w:adjustRightInd w:val="0"/>
              <w:jc w:val="center"/>
              <w:rPr>
                <w:rFonts w:ascii="Times New Roman" w:hAnsi="Times New Roman" w:cs="Times New Roman"/>
                <w:sz w:val="20"/>
              </w:rPr>
            </w:pPr>
            <w:r w:rsidRPr="007B7066">
              <w:rPr>
                <w:rFonts w:ascii="Times New Roman" w:hAnsi="Times New Roman" w:cs="Times New Roman"/>
                <w:sz w:val="20"/>
              </w:rPr>
              <w:t>BAH</w:t>
            </w:r>
          </w:p>
        </w:tc>
        <w:tc>
          <w:tcPr>
            <w:tcW w:w="698" w:type="pct"/>
            <w:gridSpan w:val="3"/>
            <w:tcBorders>
              <w:top w:val="single" w:sz="4" w:space="0" w:color="auto"/>
              <w:bottom w:val="single" w:sz="4" w:space="0" w:color="auto"/>
            </w:tcBorders>
            <w:vAlign w:val="center"/>
          </w:tcPr>
          <w:p w14:paraId="38E8FBEA" w14:textId="77777777" w:rsidR="00E40A40" w:rsidRPr="007B7066" w:rsidRDefault="00E40A40" w:rsidP="007B7066">
            <w:pPr>
              <w:autoSpaceDE w:val="0"/>
              <w:autoSpaceDN w:val="0"/>
              <w:adjustRightInd w:val="0"/>
              <w:jc w:val="center"/>
              <w:rPr>
                <w:rFonts w:ascii="Times New Roman" w:hAnsi="Times New Roman" w:cs="Times New Roman"/>
                <w:sz w:val="20"/>
              </w:rPr>
            </w:pPr>
            <w:r w:rsidRPr="007B7066">
              <w:rPr>
                <w:rFonts w:ascii="Times New Roman" w:hAnsi="Times New Roman" w:cs="Times New Roman"/>
                <w:sz w:val="20"/>
              </w:rPr>
              <w:t>KWU</w:t>
            </w:r>
          </w:p>
        </w:tc>
        <w:tc>
          <w:tcPr>
            <w:tcW w:w="756" w:type="pct"/>
            <w:gridSpan w:val="3"/>
            <w:tcBorders>
              <w:top w:val="single" w:sz="4" w:space="0" w:color="auto"/>
              <w:bottom w:val="single" w:sz="4" w:space="0" w:color="auto"/>
            </w:tcBorders>
            <w:vAlign w:val="center"/>
          </w:tcPr>
          <w:p w14:paraId="5D15035E" w14:textId="77777777" w:rsidR="00E40A40" w:rsidRPr="007B7066" w:rsidRDefault="00E40A40" w:rsidP="007B7066">
            <w:pPr>
              <w:autoSpaceDE w:val="0"/>
              <w:autoSpaceDN w:val="0"/>
              <w:adjustRightInd w:val="0"/>
              <w:jc w:val="center"/>
              <w:rPr>
                <w:rFonts w:ascii="Times New Roman" w:hAnsi="Times New Roman" w:cs="Times New Roman"/>
                <w:sz w:val="20"/>
              </w:rPr>
            </w:pPr>
            <w:r w:rsidRPr="007B7066">
              <w:rPr>
                <w:rFonts w:ascii="Times New Roman" w:hAnsi="Times New Roman" w:cs="Times New Roman"/>
                <w:sz w:val="20"/>
              </w:rPr>
              <w:t>UAE</w:t>
            </w:r>
          </w:p>
        </w:tc>
      </w:tr>
      <w:tr w:rsidR="007F15D8" w:rsidRPr="00952DC1" w14:paraId="49533269" w14:textId="77777777" w:rsidTr="00215E9A">
        <w:trPr>
          <w:trHeight w:val="340"/>
        </w:trPr>
        <w:tc>
          <w:tcPr>
            <w:tcW w:w="761" w:type="pct"/>
            <w:vMerge/>
            <w:tcBorders>
              <w:top w:val="single" w:sz="4" w:space="0" w:color="auto"/>
              <w:bottom w:val="single" w:sz="4" w:space="0" w:color="auto"/>
              <w:right w:val="single" w:sz="4" w:space="0" w:color="auto"/>
              <w:tl2br w:val="single" w:sz="4" w:space="0" w:color="auto"/>
            </w:tcBorders>
          </w:tcPr>
          <w:p w14:paraId="4ADDF60E" w14:textId="77777777" w:rsidR="00E40A40" w:rsidRPr="007B7066" w:rsidRDefault="00E40A40" w:rsidP="007B7066">
            <w:pPr>
              <w:autoSpaceDE w:val="0"/>
              <w:autoSpaceDN w:val="0"/>
              <w:adjustRightInd w:val="0"/>
              <w:jc w:val="center"/>
              <w:rPr>
                <w:rFonts w:ascii="Times New Roman" w:hAnsi="Times New Roman" w:cs="Times New Roman"/>
                <w:noProof/>
                <w:sz w:val="20"/>
              </w:rPr>
            </w:pPr>
          </w:p>
        </w:tc>
        <w:tc>
          <w:tcPr>
            <w:tcW w:w="347" w:type="pct"/>
            <w:tcBorders>
              <w:top w:val="single" w:sz="4" w:space="0" w:color="auto"/>
              <w:left w:val="single" w:sz="4" w:space="0" w:color="auto"/>
              <w:bottom w:val="single" w:sz="4" w:space="0" w:color="auto"/>
            </w:tcBorders>
            <w:vAlign w:val="center"/>
          </w:tcPr>
          <w:p w14:paraId="40354802" w14:textId="77777777" w:rsidR="00E40A40" w:rsidRPr="00A152B0" w:rsidRDefault="00E40A40" w:rsidP="007B7066">
            <w:pPr>
              <w:autoSpaceDE w:val="0"/>
              <w:autoSpaceDN w:val="0"/>
              <w:adjustRightInd w:val="0"/>
              <w:jc w:val="center"/>
              <w:rPr>
                <w:rFonts w:ascii="Times New Roman" w:hAnsi="Times New Roman" w:cs="Times New Roman"/>
                <w:sz w:val="18"/>
                <w:szCs w:val="18"/>
              </w:rPr>
            </w:pPr>
            <w:r w:rsidRPr="00A152B0">
              <w:rPr>
                <w:rFonts w:ascii="Times New Roman" w:hAnsi="Times New Roman" w:cs="Times New Roman"/>
                <w:sz w:val="18"/>
                <w:szCs w:val="18"/>
              </w:rPr>
              <w:t>Mean</w:t>
            </w:r>
          </w:p>
        </w:tc>
        <w:tc>
          <w:tcPr>
            <w:tcW w:w="344" w:type="pct"/>
            <w:tcBorders>
              <w:top w:val="single" w:sz="4" w:space="0" w:color="auto"/>
              <w:bottom w:val="single" w:sz="4" w:space="0" w:color="auto"/>
            </w:tcBorders>
            <w:vAlign w:val="center"/>
          </w:tcPr>
          <w:p w14:paraId="57185528" w14:textId="77777777" w:rsidR="00E40A40" w:rsidRPr="00A152B0" w:rsidRDefault="00E40A40" w:rsidP="007B7066">
            <w:pPr>
              <w:autoSpaceDE w:val="0"/>
              <w:autoSpaceDN w:val="0"/>
              <w:adjustRightInd w:val="0"/>
              <w:jc w:val="center"/>
              <w:rPr>
                <w:rFonts w:ascii="Times New Roman" w:hAnsi="Times New Roman" w:cs="Times New Roman"/>
                <w:sz w:val="18"/>
                <w:szCs w:val="18"/>
              </w:rPr>
            </w:pPr>
            <w:r w:rsidRPr="00A152B0">
              <w:rPr>
                <w:rFonts w:ascii="Times New Roman" w:hAnsi="Times New Roman" w:cs="Times New Roman"/>
                <w:sz w:val="18"/>
                <w:szCs w:val="18"/>
              </w:rPr>
              <w:t>SD</w:t>
            </w:r>
          </w:p>
        </w:tc>
        <w:tc>
          <w:tcPr>
            <w:tcW w:w="347" w:type="pct"/>
            <w:tcBorders>
              <w:top w:val="single" w:sz="4" w:space="0" w:color="auto"/>
              <w:bottom w:val="single" w:sz="4" w:space="0" w:color="auto"/>
            </w:tcBorders>
            <w:vAlign w:val="center"/>
          </w:tcPr>
          <w:p w14:paraId="5B87D6F7" w14:textId="77777777" w:rsidR="00E40A40" w:rsidRPr="00A152B0" w:rsidRDefault="00E40A40" w:rsidP="007B7066">
            <w:pPr>
              <w:autoSpaceDE w:val="0"/>
              <w:autoSpaceDN w:val="0"/>
              <w:adjustRightInd w:val="0"/>
              <w:jc w:val="center"/>
              <w:rPr>
                <w:rFonts w:ascii="Times New Roman" w:hAnsi="Times New Roman" w:cs="Times New Roman"/>
                <w:sz w:val="18"/>
                <w:szCs w:val="18"/>
              </w:rPr>
            </w:pPr>
            <w:r w:rsidRPr="00A152B0">
              <w:rPr>
                <w:rFonts w:ascii="Times New Roman" w:hAnsi="Times New Roman" w:cs="Times New Roman"/>
                <w:sz w:val="18"/>
                <w:szCs w:val="18"/>
              </w:rPr>
              <w:t>Mean</w:t>
            </w:r>
          </w:p>
        </w:tc>
        <w:tc>
          <w:tcPr>
            <w:tcW w:w="344" w:type="pct"/>
            <w:tcBorders>
              <w:top w:val="single" w:sz="4" w:space="0" w:color="auto"/>
              <w:bottom w:val="single" w:sz="4" w:space="0" w:color="auto"/>
            </w:tcBorders>
            <w:vAlign w:val="center"/>
          </w:tcPr>
          <w:p w14:paraId="054EB01B" w14:textId="77777777" w:rsidR="00E40A40" w:rsidRPr="00A152B0" w:rsidRDefault="00E40A40" w:rsidP="007B7066">
            <w:pPr>
              <w:autoSpaceDE w:val="0"/>
              <w:autoSpaceDN w:val="0"/>
              <w:adjustRightInd w:val="0"/>
              <w:jc w:val="center"/>
              <w:rPr>
                <w:rFonts w:ascii="Times New Roman" w:hAnsi="Times New Roman" w:cs="Times New Roman"/>
                <w:sz w:val="18"/>
                <w:szCs w:val="18"/>
              </w:rPr>
            </w:pPr>
            <w:r w:rsidRPr="00A152B0">
              <w:rPr>
                <w:rFonts w:ascii="Times New Roman" w:hAnsi="Times New Roman" w:cs="Times New Roman"/>
                <w:sz w:val="18"/>
                <w:szCs w:val="18"/>
              </w:rPr>
              <w:t>SD</w:t>
            </w:r>
          </w:p>
        </w:tc>
        <w:tc>
          <w:tcPr>
            <w:tcW w:w="347" w:type="pct"/>
            <w:tcBorders>
              <w:top w:val="single" w:sz="4" w:space="0" w:color="auto"/>
              <w:bottom w:val="single" w:sz="4" w:space="0" w:color="auto"/>
            </w:tcBorders>
            <w:vAlign w:val="center"/>
          </w:tcPr>
          <w:p w14:paraId="36C69E47" w14:textId="77777777" w:rsidR="00E40A40" w:rsidRPr="00A152B0" w:rsidRDefault="00E40A40" w:rsidP="007B7066">
            <w:pPr>
              <w:autoSpaceDE w:val="0"/>
              <w:autoSpaceDN w:val="0"/>
              <w:adjustRightInd w:val="0"/>
              <w:jc w:val="center"/>
              <w:rPr>
                <w:rFonts w:ascii="Times New Roman" w:hAnsi="Times New Roman" w:cs="Times New Roman"/>
                <w:sz w:val="18"/>
                <w:szCs w:val="18"/>
              </w:rPr>
            </w:pPr>
            <w:r w:rsidRPr="00A152B0">
              <w:rPr>
                <w:rFonts w:ascii="Times New Roman" w:hAnsi="Times New Roman" w:cs="Times New Roman"/>
                <w:sz w:val="18"/>
                <w:szCs w:val="18"/>
              </w:rPr>
              <w:t>Mean</w:t>
            </w:r>
          </w:p>
        </w:tc>
        <w:tc>
          <w:tcPr>
            <w:tcW w:w="355" w:type="pct"/>
            <w:tcBorders>
              <w:top w:val="single" w:sz="4" w:space="0" w:color="auto"/>
              <w:bottom w:val="single" w:sz="4" w:space="0" w:color="auto"/>
            </w:tcBorders>
            <w:vAlign w:val="center"/>
          </w:tcPr>
          <w:p w14:paraId="7CB2D28C" w14:textId="77777777" w:rsidR="00E40A40" w:rsidRPr="00A152B0" w:rsidRDefault="00E40A40" w:rsidP="007B7066">
            <w:pPr>
              <w:autoSpaceDE w:val="0"/>
              <w:autoSpaceDN w:val="0"/>
              <w:adjustRightInd w:val="0"/>
              <w:jc w:val="center"/>
              <w:rPr>
                <w:rFonts w:ascii="Times New Roman" w:hAnsi="Times New Roman" w:cs="Times New Roman"/>
                <w:sz w:val="18"/>
                <w:szCs w:val="18"/>
              </w:rPr>
            </w:pPr>
            <w:r w:rsidRPr="00A152B0">
              <w:rPr>
                <w:rFonts w:ascii="Times New Roman" w:hAnsi="Times New Roman" w:cs="Times New Roman"/>
                <w:sz w:val="18"/>
                <w:szCs w:val="18"/>
              </w:rPr>
              <w:t>SD</w:t>
            </w:r>
          </w:p>
        </w:tc>
        <w:tc>
          <w:tcPr>
            <w:tcW w:w="358" w:type="pct"/>
            <w:tcBorders>
              <w:top w:val="single" w:sz="4" w:space="0" w:color="auto"/>
              <w:bottom w:val="single" w:sz="4" w:space="0" w:color="auto"/>
            </w:tcBorders>
            <w:vAlign w:val="center"/>
          </w:tcPr>
          <w:p w14:paraId="73442D02" w14:textId="77777777" w:rsidR="00E40A40" w:rsidRPr="00A152B0" w:rsidRDefault="00E40A40" w:rsidP="007B7066">
            <w:pPr>
              <w:autoSpaceDE w:val="0"/>
              <w:autoSpaceDN w:val="0"/>
              <w:adjustRightInd w:val="0"/>
              <w:jc w:val="center"/>
              <w:rPr>
                <w:rFonts w:ascii="Times New Roman" w:hAnsi="Times New Roman" w:cs="Times New Roman"/>
                <w:sz w:val="18"/>
                <w:szCs w:val="18"/>
              </w:rPr>
            </w:pPr>
            <w:r w:rsidRPr="00A152B0">
              <w:rPr>
                <w:rFonts w:ascii="Times New Roman" w:hAnsi="Times New Roman" w:cs="Times New Roman"/>
                <w:sz w:val="18"/>
                <w:szCs w:val="18"/>
              </w:rPr>
              <w:t>Mean</w:t>
            </w:r>
          </w:p>
        </w:tc>
        <w:tc>
          <w:tcPr>
            <w:tcW w:w="340" w:type="pct"/>
            <w:tcBorders>
              <w:top w:val="single" w:sz="4" w:space="0" w:color="auto"/>
              <w:bottom w:val="single" w:sz="4" w:space="0" w:color="auto"/>
            </w:tcBorders>
            <w:vAlign w:val="center"/>
          </w:tcPr>
          <w:p w14:paraId="197F9227" w14:textId="77777777" w:rsidR="00E40A40" w:rsidRPr="00A152B0" w:rsidRDefault="00E40A40" w:rsidP="007B7066">
            <w:pPr>
              <w:autoSpaceDE w:val="0"/>
              <w:autoSpaceDN w:val="0"/>
              <w:adjustRightInd w:val="0"/>
              <w:jc w:val="center"/>
              <w:rPr>
                <w:rFonts w:ascii="Times New Roman" w:hAnsi="Times New Roman" w:cs="Times New Roman"/>
                <w:sz w:val="18"/>
                <w:szCs w:val="18"/>
              </w:rPr>
            </w:pPr>
            <w:r w:rsidRPr="00A152B0">
              <w:rPr>
                <w:rFonts w:ascii="Times New Roman" w:hAnsi="Times New Roman" w:cs="Times New Roman"/>
                <w:sz w:val="18"/>
                <w:szCs w:val="18"/>
              </w:rPr>
              <w:t>SD</w:t>
            </w:r>
          </w:p>
        </w:tc>
        <w:tc>
          <w:tcPr>
            <w:tcW w:w="354" w:type="pct"/>
            <w:gridSpan w:val="2"/>
            <w:tcBorders>
              <w:top w:val="single" w:sz="4" w:space="0" w:color="auto"/>
              <w:bottom w:val="single" w:sz="4" w:space="0" w:color="auto"/>
            </w:tcBorders>
            <w:vAlign w:val="center"/>
          </w:tcPr>
          <w:p w14:paraId="4E168F59" w14:textId="77777777" w:rsidR="00E40A40" w:rsidRPr="00A152B0" w:rsidRDefault="00E40A40" w:rsidP="007B7066">
            <w:pPr>
              <w:autoSpaceDE w:val="0"/>
              <w:autoSpaceDN w:val="0"/>
              <w:adjustRightInd w:val="0"/>
              <w:jc w:val="center"/>
              <w:rPr>
                <w:rFonts w:ascii="Times New Roman" w:hAnsi="Times New Roman" w:cs="Times New Roman"/>
                <w:sz w:val="18"/>
                <w:szCs w:val="18"/>
              </w:rPr>
            </w:pPr>
            <w:r w:rsidRPr="00A152B0">
              <w:rPr>
                <w:rFonts w:ascii="Times New Roman" w:hAnsi="Times New Roman" w:cs="Times New Roman"/>
                <w:sz w:val="18"/>
                <w:szCs w:val="18"/>
              </w:rPr>
              <w:t>Mean</w:t>
            </w:r>
          </w:p>
        </w:tc>
        <w:tc>
          <w:tcPr>
            <w:tcW w:w="347" w:type="pct"/>
            <w:gridSpan w:val="2"/>
            <w:tcBorders>
              <w:top w:val="single" w:sz="4" w:space="0" w:color="auto"/>
              <w:bottom w:val="single" w:sz="4" w:space="0" w:color="auto"/>
            </w:tcBorders>
            <w:vAlign w:val="center"/>
          </w:tcPr>
          <w:p w14:paraId="5286377A" w14:textId="77777777" w:rsidR="00E40A40" w:rsidRPr="00A152B0" w:rsidRDefault="00E40A40" w:rsidP="007B7066">
            <w:pPr>
              <w:autoSpaceDE w:val="0"/>
              <w:autoSpaceDN w:val="0"/>
              <w:adjustRightInd w:val="0"/>
              <w:jc w:val="center"/>
              <w:rPr>
                <w:rFonts w:ascii="Times New Roman" w:hAnsi="Times New Roman" w:cs="Times New Roman"/>
                <w:sz w:val="18"/>
                <w:szCs w:val="18"/>
              </w:rPr>
            </w:pPr>
            <w:r w:rsidRPr="00A152B0">
              <w:rPr>
                <w:rFonts w:ascii="Times New Roman" w:hAnsi="Times New Roman" w:cs="Times New Roman"/>
                <w:sz w:val="18"/>
                <w:szCs w:val="18"/>
              </w:rPr>
              <w:t>SD</w:t>
            </w:r>
          </w:p>
        </w:tc>
        <w:tc>
          <w:tcPr>
            <w:tcW w:w="366" w:type="pct"/>
            <w:gridSpan w:val="2"/>
            <w:tcBorders>
              <w:top w:val="single" w:sz="4" w:space="0" w:color="auto"/>
              <w:bottom w:val="single" w:sz="4" w:space="0" w:color="auto"/>
            </w:tcBorders>
            <w:vAlign w:val="center"/>
          </w:tcPr>
          <w:p w14:paraId="020B1D9D" w14:textId="77777777" w:rsidR="00E40A40" w:rsidRPr="00A152B0" w:rsidRDefault="00E40A40" w:rsidP="007B7066">
            <w:pPr>
              <w:autoSpaceDE w:val="0"/>
              <w:autoSpaceDN w:val="0"/>
              <w:adjustRightInd w:val="0"/>
              <w:jc w:val="center"/>
              <w:rPr>
                <w:rFonts w:ascii="Times New Roman" w:hAnsi="Times New Roman" w:cs="Times New Roman"/>
                <w:sz w:val="18"/>
                <w:szCs w:val="18"/>
              </w:rPr>
            </w:pPr>
            <w:r w:rsidRPr="00A152B0">
              <w:rPr>
                <w:rFonts w:ascii="Times New Roman" w:hAnsi="Times New Roman" w:cs="Times New Roman"/>
                <w:sz w:val="18"/>
                <w:szCs w:val="18"/>
              </w:rPr>
              <w:t>Mean</w:t>
            </w:r>
          </w:p>
        </w:tc>
        <w:tc>
          <w:tcPr>
            <w:tcW w:w="390" w:type="pct"/>
            <w:tcBorders>
              <w:top w:val="single" w:sz="4" w:space="0" w:color="auto"/>
              <w:bottom w:val="single" w:sz="4" w:space="0" w:color="auto"/>
            </w:tcBorders>
            <w:vAlign w:val="center"/>
          </w:tcPr>
          <w:p w14:paraId="7F7BBEC9" w14:textId="77777777" w:rsidR="00E40A40" w:rsidRPr="00A152B0" w:rsidRDefault="00E40A40" w:rsidP="007B7066">
            <w:pPr>
              <w:autoSpaceDE w:val="0"/>
              <w:autoSpaceDN w:val="0"/>
              <w:adjustRightInd w:val="0"/>
              <w:jc w:val="center"/>
              <w:rPr>
                <w:rFonts w:ascii="Times New Roman" w:hAnsi="Times New Roman" w:cs="Times New Roman"/>
                <w:sz w:val="18"/>
                <w:szCs w:val="18"/>
              </w:rPr>
            </w:pPr>
            <w:r w:rsidRPr="00A152B0">
              <w:rPr>
                <w:rFonts w:ascii="Times New Roman" w:hAnsi="Times New Roman" w:cs="Times New Roman"/>
                <w:sz w:val="18"/>
                <w:szCs w:val="18"/>
              </w:rPr>
              <w:t>SD</w:t>
            </w:r>
          </w:p>
        </w:tc>
      </w:tr>
      <w:tr w:rsidR="007F15D8" w:rsidRPr="00952DC1" w14:paraId="7536C8CF" w14:textId="77777777" w:rsidTr="00215E9A">
        <w:trPr>
          <w:trHeight w:val="340"/>
        </w:trPr>
        <w:tc>
          <w:tcPr>
            <w:tcW w:w="761" w:type="pct"/>
            <w:tcBorders>
              <w:top w:val="single" w:sz="4" w:space="0" w:color="auto"/>
              <w:bottom w:val="single" w:sz="4" w:space="0" w:color="auto"/>
              <w:right w:val="single" w:sz="4" w:space="0" w:color="auto"/>
            </w:tcBorders>
          </w:tcPr>
          <w:p w14:paraId="17C1CDA0" w14:textId="77777777" w:rsidR="00E40A40" w:rsidRPr="00A152B0" w:rsidRDefault="00E40A40" w:rsidP="007B7066">
            <w:pPr>
              <w:autoSpaceDE w:val="0"/>
              <w:autoSpaceDN w:val="0"/>
              <w:adjustRightInd w:val="0"/>
              <w:jc w:val="center"/>
              <w:rPr>
                <w:rFonts w:ascii="Times New Roman" w:hAnsi="Times New Roman" w:cs="Times New Roman"/>
                <w:sz w:val="18"/>
              </w:rPr>
            </w:pPr>
            <w:r w:rsidRPr="00A152B0">
              <w:rPr>
                <w:rFonts w:ascii="Times New Roman" w:hAnsi="Times New Roman" w:cs="Times New Roman"/>
                <w:sz w:val="18"/>
              </w:rPr>
              <w:t>CFO</w:t>
            </w:r>
          </w:p>
        </w:tc>
        <w:tc>
          <w:tcPr>
            <w:tcW w:w="347" w:type="pct"/>
            <w:tcBorders>
              <w:top w:val="single" w:sz="4" w:space="0" w:color="auto"/>
              <w:left w:val="single" w:sz="4" w:space="0" w:color="auto"/>
              <w:bottom w:val="single" w:sz="4" w:space="0" w:color="auto"/>
            </w:tcBorders>
            <w:vAlign w:val="center"/>
          </w:tcPr>
          <w:p w14:paraId="00FA20B0" w14:textId="77777777" w:rsidR="00E40A40" w:rsidRPr="00A152B0" w:rsidRDefault="00E40A40" w:rsidP="007B7066">
            <w:pPr>
              <w:autoSpaceDE w:val="0"/>
              <w:autoSpaceDN w:val="0"/>
              <w:adjustRightInd w:val="0"/>
              <w:jc w:val="center"/>
              <w:rPr>
                <w:rFonts w:ascii="Times New Roman" w:hAnsi="Times New Roman" w:cs="Times New Roman"/>
                <w:sz w:val="18"/>
                <w:szCs w:val="18"/>
              </w:rPr>
            </w:pPr>
            <w:r w:rsidRPr="00A152B0">
              <w:rPr>
                <w:rFonts w:ascii="Times New Roman" w:hAnsi="Times New Roman" w:cs="Times New Roman"/>
                <w:sz w:val="18"/>
                <w:szCs w:val="18"/>
              </w:rPr>
              <w:t>1.77</w:t>
            </w:r>
          </w:p>
        </w:tc>
        <w:tc>
          <w:tcPr>
            <w:tcW w:w="344" w:type="pct"/>
            <w:tcBorders>
              <w:top w:val="single" w:sz="4" w:space="0" w:color="auto"/>
              <w:bottom w:val="single" w:sz="4" w:space="0" w:color="auto"/>
            </w:tcBorders>
            <w:vAlign w:val="center"/>
          </w:tcPr>
          <w:p w14:paraId="16C49DD6" w14:textId="77777777" w:rsidR="00E40A40" w:rsidRPr="00A152B0" w:rsidRDefault="00E40A40" w:rsidP="007B7066">
            <w:pPr>
              <w:autoSpaceDE w:val="0"/>
              <w:autoSpaceDN w:val="0"/>
              <w:adjustRightInd w:val="0"/>
              <w:jc w:val="center"/>
              <w:rPr>
                <w:rFonts w:ascii="Times New Roman" w:hAnsi="Times New Roman" w:cs="Times New Roman"/>
                <w:sz w:val="18"/>
                <w:szCs w:val="18"/>
              </w:rPr>
            </w:pPr>
            <w:r w:rsidRPr="00A152B0">
              <w:rPr>
                <w:rFonts w:ascii="Times New Roman" w:hAnsi="Times New Roman" w:cs="Times New Roman"/>
                <w:sz w:val="18"/>
                <w:szCs w:val="18"/>
              </w:rPr>
              <w:t>0.843</w:t>
            </w:r>
          </w:p>
        </w:tc>
        <w:tc>
          <w:tcPr>
            <w:tcW w:w="347" w:type="pct"/>
            <w:tcBorders>
              <w:top w:val="single" w:sz="4" w:space="0" w:color="auto"/>
              <w:bottom w:val="single" w:sz="4" w:space="0" w:color="auto"/>
            </w:tcBorders>
            <w:vAlign w:val="center"/>
          </w:tcPr>
          <w:p w14:paraId="0FE7E06E" w14:textId="77777777" w:rsidR="00E40A40" w:rsidRPr="00A152B0" w:rsidRDefault="00E40A40" w:rsidP="007B7066">
            <w:pPr>
              <w:autoSpaceDE w:val="0"/>
              <w:autoSpaceDN w:val="0"/>
              <w:adjustRightInd w:val="0"/>
              <w:jc w:val="center"/>
              <w:rPr>
                <w:rFonts w:ascii="Times New Roman" w:hAnsi="Times New Roman" w:cs="Times New Roman"/>
                <w:sz w:val="18"/>
                <w:szCs w:val="18"/>
              </w:rPr>
            </w:pPr>
            <w:r w:rsidRPr="00A152B0">
              <w:rPr>
                <w:rFonts w:ascii="Times New Roman" w:hAnsi="Times New Roman" w:cs="Times New Roman"/>
                <w:sz w:val="18"/>
                <w:szCs w:val="18"/>
              </w:rPr>
              <w:t>0.733</w:t>
            </w:r>
          </w:p>
        </w:tc>
        <w:tc>
          <w:tcPr>
            <w:tcW w:w="344" w:type="pct"/>
            <w:tcBorders>
              <w:top w:val="single" w:sz="4" w:space="0" w:color="auto"/>
              <w:bottom w:val="single" w:sz="4" w:space="0" w:color="auto"/>
            </w:tcBorders>
            <w:vAlign w:val="center"/>
          </w:tcPr>
          <w:p w14:paraId="4D999817" w14:textId="77777777" w:rsidR="00E40A40" w:rsidRPr="00A152B0" w:rsidRDefault="00E40A40" w:rsidP="007B7066">
            <w:pPr>
              <w:autoSpaceDE w:val="0"/>
              <w:autoSpaceDN w:val="0"/>
              <w:adjustRightInd w:val="0"/>
              <w:jc w:val="center"/>
              <w:rPr>
                <w:rFonts w:ascii="Times New Roman" w:hAnsi="Times New Roman" w:cs="Times New Roman"/>
                <w:sz w:val="18"/>
                <w:szCs w:val="18"/>
              </w:rPr>
            </w:pPr>
            <w:r w:rsidRPr="00A152B0">
              <w:rPr>
                <w:rFonts w:ascii="Times New Roman" w:hAnsi="Times New Roman" w:cs="Times New Roman"/>
                <w:sz w:val="18"/>
                <w:szCs w:val="18"/>
              </w:rPr>
              <w:t>0.790</w:t>
            </w:r>
          </w:p>
        </w:tc>
        <w:tc>
          <w:tcPr>
            <w:tcW w:w="347" w:type="pct"/>
            <w:tcBorders>
              <w:top w:val="single" w:sz="4" w:space="0" w:color="auto"/>
              <w:bottom w:val="single" w:sz="4" w:space="0" w:color="auto"/>
            </w:tcBorders>
            <w:vAlign w:val="center"/>
          </w:tcPr>
          <w:p w14:paraId="186C8E6D" w14:textId="77777777" w:rsidR="00E40A40" w:rsidRPr="00A152B0" w:rsidRDefault="00E40A40" w:rsidP="007B7066">
            <w:pPr>
              <w:autoSpaceDE w:val="0"/>
              <w:autoSpaceDN w:val="0"/>
              <w:adjustRightInd w:val="0"/>
              <w:jc w:val="center"/>
              <w:rPr>
                <w:rFonts w:ascii="Times New Roman" w:hAnsi="Times New Roman" w:cs="Times New Roman"/>
                <w:sz w:val="18"/>
                <w:szCs w:val="18"/>
              </w:rPr>
            </w:pPr>
            <w:r w:rsidRPr="00A152B0">
              <w:rPr>
                <w:rFonts w:ascii="Times New Roman" w:hAnsi="Times New Roman" w:cs="Times New Roman"/>
                <w:sz w:val="18"/>
                <w:szCs w:val="18"/>
              </w:rPr>
              <w:t>2.13</w:t>
            </w:r>
          </w:p>
        </w:tc>
        <w:tc>
          <w:tcPr>
            <w:tcW w:w="355" w:type="pct"/>
            <w:tcBorders>
              <w:top w:val="single" w:sz="4" w:space="0" w:color="auto"/>
              <w:bottom w:val="single" w:sz="4" w:space="0" w:color="auto"/>
            </w:tcBorders>
            <w:vAlign w:val="center"/>
          </w:tcPr>
          <w:p w14:paraId="17A0A226" w14:textId="77777777" w:rsidR="00E40A40" w:rsidRPr="00A152B0" w:rsidRDefault="00E40A40" w:rsidP="007B7066">
            <w:pPr>
              <w:autoSpaceDE w:val="0"/>
              <w:autoSpaceDN w:val="0"/>
              <w:adjustRightInd w:val="0"/>
              <w:jc w:val="center"/>
              <w:rPr>
                <w:rFonts w:ascii="Times New Roman" w:hAnsi="Times New Roman" w:cs="Times New Roman"/>
                <w:sz w:val="18"/>
                <w:szCs w:val="18"/>
              </w:rPr>
            </w:pPr>
            <w:r w:rsidRPr="00A152B0">
              <w:rPr>
                <w:rFonts w:ascii="Times New Roman" w:hAnsi="Times New Roman" w:cs="Times New Roman"/>
                <w:sz w:val="18"/>
                <w:szCs w:val="18"/>
              </w:rPr>
              <w:t>0.626</w:t>
            </w:r>
          </w:p>
        </w:tc>
        <w:tc>
          <w:tcPr>
            <w:tcW w:w="358" w:type="pct"/>
            <w:tcBorders>
              <w:top w:val="single" w:sz="4" w:space="0" w:color="auto"/>
              <w:bottom w:val="single" w:sz="4" w:space="0" w:color="auto"/>
            </w:tcBorders>
            <w:vAlign w:val="center"/>
          </w:tcPr>
          <w:p w14:paraId="08794847" w14:textId="77777777" w:rsidR="00E40A40" w:rsidRPr="00A152B0" w:rsidRDefault="00E40A40" w:rsidP="007B7066">
            <w:pPr>
              <w:autoSpaceDE w:val="0"/>
              <w:autoSpaceDN w:val="0"/>
              <w:adjustRightInd w:val="0"/>
              <w:jc w:val="center"/>
              <w:rPr>
                <w:rFonts w:ascii="Times New Roman" w:hAnsi="Times New Roman" w:cs="Times New Roman"/>
                <w:sz w:val="18"/>
                <w:szCs w:val="18"/>
              </w:rPr>
            </w:pPr>
            <w:r w:rsidRPr="00A152B0">
              <w:rPr>
                <w:rFonts w:ascii="Times New Roman" w:hAnsi="Times New Roman" w:cs="Times New Roman"/>
                <w:sz w:val="18"/>
                <w:szCs w:val="18"/>
              </w:rPr>
              <w:t>1.30</w:t>
            </w:r>
          </w:p>
        </w:tc>
        <w:tc>
          <w:tcPr>
            <w:tcW w:w="344" w:type="pct"/>
            <w:gridSpan w:val="2"/>
            <w:tcBorders>
              <w:top w:val="single" w:sz="4" w:space="0" w:color="auto"/>
              <w:bottom w:val="single" w:sz="4" w:space="0" w:color="auto"/>
            </w:tcBorders>
            <w:vAlign w:val="center"/>
          </w:tcPr>
          <w:p w14:paraId="2FD66F4F" w14:textId="77777777" w:rsidR="00E40A40" w:rsidRPr="00A152B0" w:rsidRDefault="00E40A40" w:rsidP="007B7066">
            <w:pPr>
              <w:autoSpaceDE w:val="0"/>
              <w:autoSpaceDN w:val="0"/>
              <w:adjustRightInd w:val="0"/>
              <w:jc w:val="center"/>
              <w:rPr>
                <w:rFonts w:ascii="Times New Roman" w:hAnsi="Times New Roman" w:cs="Times New Roman"/>
                <w:sz w:val="18"/>
                <w:szCs w:val="18"/>
              </w:rPr>
            </w:pPr>
            <w:r w:rsidRPr="00A152B0">
              <w:rPr>
                <w:rFonts w:ascii="Times New Roman" w:hAnsi="Times New Roman" w:cs="Times New Roman"/>
                <w:sz w:val="18"/>
                <w:szCs w:val="18"/>
              </w:rPr>
              <w:t>0.898</w:t>
            </w:r>
          </w:p>
        </w:tc>
        <w:tc>
          <w:tcPr>
            <w:tcW w:w="354" w:type="pct"/>
            <w:gridSpan w:val="2"/>
            <w:tcBorders>
              <w:top w:val="single" w:sz="4" w:space="0" w:color="auto"/>
              <w:bottom w:val="single" w:sz="4" w:space="0" w:color="auto"/>
            </w:tcBorders>
            <w:vAlign w:val="center"/>
          </w:tcPr>
          <w:p w14:paraId="50790749" w14:textId="77777777" w:rsidR="00E40A40" w:rsidRPr="00A152B0" w:rsidRDefault="00E40A40" w:rsidP="007B7066">
            <w:pPr>
              <w:autoSpaceDE w:val="0"/>
              <w:autoSpaceDN w:val="0"/>
              <w:adjustRightInd w:val="0"/>
              <w:jc w:val="center"/>
              <w:rPr>
                <w:rFonts w:ascii="Times New Roman" w:hAnsi="Times New Roman" w:cs="Times New Roman"/>
                <w:sz w:val="18"/>
                <w:szCs w:val="18"/>
              </w:rPr>
            </w:pPr>
            <w:r w:rsidRPr="00A152B0">
              <w:rPr>
                <w:rFonts w:ascii="Times New Roman" w:hAnsi="Times New Roman" w:cs="Times New Roman"/>
                <w:sz w:val="18"/>
                <w:szCs w:val="18"/>
              </w:rPr>
              <w:t>1.37</w:t>
            </w:r>
          </w:p>
        </w:tc>
        <w:tc>
          <w:tcPr>
            <w:tcW w:w="344" w:type="pct"/>
            <w:tcBorders>
              <w:top w:val="single" w:sz="4" w:space="0" w:color="auto"/>
              <w:bottom w:val="single" w:sz="4" w:space="0" w:color="auto"/>
            </w:tcBorders>
            <w:vAlign w:val="center"/>
          </w:tcPr>
          <w:p w14:paraId="4E195056" w14:textId="77777777" w:rsidR="00E40A40" w:rsidRPr="00A152B0" w:rsidRDefault="00E40A40" w:rsidP="007B7066">
            <w:pPr>
              <w:autoSpaceDE w:val="0"/>
              <w:autoSpaceDN w:val="0"/>
              <w:adjustRightInd w:val="0"/>
              <w:jc w:val="center"/>
              <w:rPr>
                <w:rFonts w:ascii="Times New Roman" w:hAnsi="Times New Roman" w:cs="Times New Roman"/>
                <w:sz w:val="18"/>
                <w:szCs w:val="18"/>
              </w:rPr>
            </w:pPr>
            <w:r w:rsidRPr="00A152B0">
              <w:rPr>
                <w:rFonts w:ascii="Times New Roman" w:hAnsi="Times New Roman" w:cs="Times New Roman"/>
                <w:sz w:val="18"/>
                <w:szCs w:val="18"/>
              </w:rPr>
              <w:t>0.643</w:t>
            </w:r>
          </w:p>
        </w:tc>
        <w:tc>
          <w:tcPr>
            <w:tcW w:w="362" w:type="pct"/>
            <w:tcBorders>
              <w:top w:val="single" w:sz="4" w:space="0" w:color="auto"/>
              <w:bottom w:val="single" w:sz="4" w:space="0" w:color="auto"/>
            </w:tcBorders>
            <w:vAlign w:val="center"/>
          </w:tcPr>
          <w:p w14:paraId="3C2BE4C2" w14:textId="77777777" w:rsidR="00E40A40" w:rsidRPr="00A152B0" w:rsidRDefault="00E40A40" w:rsidP="007B7066">
            <w:pPr>
              <w:autoSpaceDE w:val="0"/>
              <w:autoSpaceDN w:val="0"/>
              <w:adjustRightInd w:val="0"/>
              <w:jc w:val="center"/>
              <w:rPr>
                <w:rFonts w:ascii="Times New Roman" w:hAnsi="Times New Roman" w:cs="Times New Roman"/>
                <w:sz w:val="18"/>
                <w:szCs w:val="18"/>
              </w:rPr>
            </w:pPr>
            <w:r w:rsidRPr="00A152B0">
              <w:rPr>
                <w:rFonts w:ascii="Times New Roman" w:hAnsi="Times New Roman" w:cs="Times New Roman"/>
                <w:sz w:val="18"/>
                <w:szCs w:val="18"/>
              </w:rPr>
              <w:t>1.87</w:t>
            </w:r>
          </w:p>
        </w:tc>
        <w:tc>
          <w:tcPr>
            <w:tcW w:w="394" w:type="pct"/>
            <w:gridSpan w:val="2"/>
            <w:tcBorders>
              <w:top w:val="single" w:sz="4" w:space="0" w:color="auto"/>
              <w:bottom w:val="single" w:sz="4" w:space="0" w:color="auto"/>
            </w:tcBorders>
            <w:vAlign w:val="center"/>
          </w:tcPr>
          <w:p w14:paraId="7AF3C76E" w14:textId="77777777" w:rsidR="00E40A40" w:rsidRPr="00A152B0" w:rsidRDefault="00E40A40" w:rsidP="007B7066">
            <w:pPr>
              <w:autoSpaceDE w:val="0"/>
              <w:autoSpaceDN w:val="0"/>
              <w:adjustRightInd w:val="0"/>
              <w:jc w:val="center"/>
              <w:rPr>
                <w:rFonts w:ascii="Times New Roman" w:hAnsi="Times New Roman" w:cs="Times New Roman"/>
                <w:sz w:val="18"/>
                <w:szCs w:val="18"/>
              </w:rPr>
            </w:pPr>
            <w:r w:rsidRPr="00A152B0">
              <w:rPr>
                <w:rFonts w:ascii="Times New Roman" w:hAnsi="Times New Roman" w:cs="Times New Roman"/>
                <w:sz w:val="18"/>
                <w:szCs w:val="18"/>
              </w:rPr>
              <w:t>0.757</w:t>
            </w:r>
          </w:p>
        </w:tc>
      </w:tr>
      <w:tr w:rsidR="007F15D8" w:rsidRPr="00952DC1" w14:paraId="10F6B77F" w14:textId="77777777" w:rsidTr="00215E9A">
        <w:trPr>
          <w:trHeight w:val="340"/>
        </w:trPr>
        <w:tc>
          <w:tcPr>
            <w:tcW w:w="761" w:type="pct"/>
            <w:tcBorders>
              <w:top w:val="single" w:sz="4" w:space="0" w:color="auto"/>
              <w:bottom w:val="single" w:sz="4" w:space="0" w:color="auto"/>
              <w:right w:val="single" w:sz="4" w:space="0" w:color="auto"/>
            </w:tcBorders>
          </w:tcPr>
          <w:p w14:paraId="51C2A529" w14:textId="77777777" w:rsidR="00E40A40" w:rsidRPr="00A152B0" w:rsidRDefault="00E40A40" w:rsidP="007B7066">
            <w:pPr>
              <w:autoSpaceDE w:val="0"/>
              <w:autoSpaceDN w:val="0"/>
              <w:adjustRightInd w:val="0"/>
              <w:jc w:val="center"/>
              <w:rPr>
                <w:rFonts w:ascii="Times New Roman" w:hAnsi="Times New Roman" w:cs="Times New Roman"/>
                <w:sz w:val="18"/>
              </w:rPr>
            </w:pPr>
            <w:r w:rsidRPr="00A152B0">
              <w:rPr>
                <w:rFonts w:ascii="Times New Roman" w:hAnsi="Times New Roman" w:cs="Times New Roman"/>
                <w:sz w:val="18"/>
              </w:rPr>
              <w:t>CFO-1</w:t>
            </w:r>
          </w:p>
        </w:tc>
        <w:tc>
          <w:tcPr>
            <w:tcW w:w="347" w:type="pct"/>
            <w:tcBorders>
              <w:top w:val="single" w:sz="4" w:space="0" w:color="auto"/>
              <w:left w:val="single" w:sz="4" w:space="0" w:color="auto"/>
              <w:bottom w:val="single" w:sz="4" w:space="0" w:color="auto"/>
            </w:tcBorders>
            <w:vAlign w:val="center"/>
          </w:tcPr>
          <w:p w14:paraId="3346E864" w14:textId="77777777" w:rsidR="00E40A40" w:rsidRPr="00A152B0" w:rsidRDefault="00E40A40" w:rsidP="007B7066">
            <w:pPr>
              <w:autoSpaceDE w:val="0"/>
              <w:autoSpaceDN w:val="0"/>
              <w:adjustRightInd w:val="0"/>
              <w:jc w:val="center"/>
              <w:rPr>
                <w:rFonts w:ascii="Times New Roman" w:hAnsi="Times New Roman" w:cs="Times New Roman"/>
                <w:sz w:val="18"/>
                <w:szCs w:val="18"/>
              </w:rPr>
            </w:pPr>
            <w:r w:rsidRPr="00A152B0">
              <w:rPr>
                <w:rFonts w:ascii="Times New Roman" w:hAnsi="Times New Roman" w:cs="Times New Roman"/>
                <w:sz w:val="18"/>
                <w:szCs w:val="18"/>
              </w:rPr>
              <w:t>1.39</w:t>
            </w:r>
          </w:p>
        </w:tc>
        <w:tc>
          <w:tcPr>
            <w:tcW w:w="344" w:type="pct"/>
            <w:tcBorders>
              <w:top w:val="single" w:sz="4" w:space="0" w:color="auto"/>
              <w:bottom w:val="single" w:sz="4" w:space="0" w:color="auto"/>
            </w:tcBorders>
            <w:vAlign w:val="center"/>
          </w:tcPr>
          <w:p w14:paraId="424E1DA5" w14:textId="77777777" w:rsidR="00E40A40" w:rsidRPr="00A152B0" w:rsidRDefault="00E40A40" w:rsidP="007B7066">
            <w:pPr>
              <w:autoSpaceDE w:val="0"/>
              <w:autoSpaceDN w:val="0"/>
              <w:adjustRightInd w:val="0"/>
              <w:jc w:val="center"/>
              <w:rPr>
                <w:rFonts w:ascii="Times New Roman" w:hAnsi="Times New Roman" w:cs="Times New Roman"/>
                <w:sz w:val="18"/>
                <w:szCs w:val="18"/>
              </w:rPr>
            </w:pPr>
            <w:r w:rsidRPr="00A152B0">
              <w:rPr>
                <w:rFonts w:ascii="Times New Roman" w:hAnsi="Times New Roman" w:cs="Times New Roman"/>
                <w:sz w:val="18"/>
                <w:szCs w:val="18"/>
              </w:rPr>
              <w:t>0.845</w:t>
            </w:r>
          </w:p>
        </w:tc>
        <w:tc>
          <w:tcPr>
            <w:tcW w:w="347" w:type="pct"/>
            <w:tcBorders>
              <w:top w:val="single" w:sz="4" w:space="0" w:color="auto"/>
              <w:bottom w:val="single" w:sz="4" w:space="0" w:color="auto"/>
            </w:tcBorders>
            <w:vAlign w:val="center"/>
          </w:tcPr>
          <w:p w14:paraId="49D40A33" w14:textId="77777777" w:rsidR="00E40A40" w:rsidRPr="00A152B0" w:rsidRDefault="00E40A40" w:rsidP="007B7066">
            <w:pPr>
              <w:autoSpaceDE w:val="0"/>
              <w:autoSpaceDN w:val="0"/>
              <w:adjustRightInd w:val="0"/>
              <w:jc w:val="center"/>
              <w:rPr>
                <w:rFonts w:ascii="Times New Roman" w:hAnsi="Times New Roman" w:cs="Times New Roman"/>
                <w:sz w:val="18"/>
                <w:szCs w:val="18"/>
              </w:rPr>
            </w:pPr>
            <w:r w:rsidRPr="00A152B0">
              <w:rPr>
                <w:rFonts w:ascii="Times New Roman" w:hAnsi="Times New Roman" w:cs="Times New Roman"/>
                <w:sz w:val="18"/>
                <w:szCs w:val="18"/>
              </w:rPr>
              <w:t>0.433</w:t>
            </w:r>
          </w:p>
        </w:tc>
        <w:tc>
          <w:tcPr>
            <w:tcW w:w="344" w:type="pct"/>
            <w:tcBorders>
              <w:top w:val="single" w:sz="4" w:space="0" w:color="auto"/>
              <w:bottom w:val="single" w:sz="4" w:space="0" w:color="auto"/>
            </w:tcBorders>
            <w:vAlign w:val="center"/>
          </w:tcPr>
          <w:p w14:paraId="66981666" w14:textId="77777777" w:rsidR="00E40A40" w:rsidRPr="00A152B0" w:rsidRDefault="00E40A40" w:rsidP="007B7066">
            <w:pPr>
              <w:autoSpaceDE w:val="0"/>
              <w:autoSpaceDN w:val="0"/>
              <w:adjustRightInd w:val="0"/>
              <w:jc w:val="center"/>
              <w:rPr>
                <w:rFonts w:ascii="Times New Roman" w:hAnsi="Times New Roman" w:cs="Times New Roman"/>
                <w:sz w:val="18"/>
                <w:szCs w:val="18"/>
              </w:rPr>
            </w:pPr>
            <w:r w:rsidRPr="00A152B0">
              <w:rPr>
                <w:rFonts w:ascii="Times New Roman" w:hAnsi="Times New Roman" w:cs="Times New Roman"/>
                <w:sz w:val="18"/>
                <w:szCs w:val="18"/>
              </w:rPr>
              <w:t>0.828</w:t>
            </w:r>
          </w:p>
        </w:tc>
        <w:tc>
          <w:tcPr>
            <w:tcW w:w="347" w:type="pct"/>
            <w:tcBorders>
              <w:top w:val="single" w:sz="4" w:space="0" w:color="auto"/>
              <w:bottom w:val="single" w:sz="4" w:space="0" w:color="auto"/>
            </w:tcBorders>
            <w:vAlign w:val="center"/>
          </w:tcPr>
          <w:p w14:paraId="73A03905" w14:textId="77777777" w:rsidR="00E40A40" w:rsidRPr="00A152B0" w:rsidRDefault="00E40A40" w:rsidP="007B7066">
            <w:pPr>
              <w:autoSpaceDE w:val="0"/>
              <w:autoSpaceDN w:val="0"/>
              <w:adjustRightInd w:val="0"/>
              <w:jc w:val="center"/>
              <w:rPr>
                <w:rFonts w:ascii="Times New Roman" w:hAnsi="Times New Roman" w:cs="Times New Roman"/>
                <w:sz w:val="18"/>
                <w:szCs w:val="18"/>
              </w:rPr>
            </w:pPr>
            <w:r w:rsidRPr="00A152B0">
              <w:rPr>
                <w:rFonts w:ascii="Times New Roman" w:hAnsi="Times New Roman" w:cs="Times New Roman"/>
                <w:sz w:val="18"/>
                <w:szCs w:val="18"/>
              </w:rPr>
              <w:t>1.69</w:t>
            </w:r>
          </w:p>
        </w:tc>
        <w:tc>
          <w:tcPr>
            <w:tcW w:w="355" w:type="pct"/>
            <w:tcBorders>
              <w:top w:val="single" w:sz="4" w:space="0" w:color="auto"/>
              <w:bottom w:val="single" w:sz="4" w:space="0" w:color="auto"/>
            </w:tcBorders>
            <w:vAlign w:val="center"/>
          </w:tcPr>
          <w:p w14:paraId="64B85938" w14:textId="77777777" w:rsidR="00E40A40" w:rsidRPr="00A152B0" w:rsidRDefault="00E40A40" w:rsidP="007B7066">
            <w:pPr>
              <w:autoSpaceDE w:val="0"/>
              <w:autoSpaceDN w:val="0"/>
              <w:adjustRightInd w:val="0"/>
              <w:jc w:val="center"/>
              <w:rPr>
                <w:rFonts w:ascii="Times New Roman" w:hAnsi="Times New Roman" w:cs="Times New Roman"/>
                <w:sz w:val="18"/>
                <w:szCs w:val="18"/>
              </w:rPr>
            </w:pPr>
            <w:r w:rsidRPr="00A152B0">
              <w:rPr>
                <w:rFonts w:ascii="Times New Roman" w:hAnsi="Times New Roman" w:cs="Times New Roman"/>
                <w:sz w:val="18"/>
                <w:szCs w:val="18"/>
              </w:rPr>
              <w:t>0.675</w:t>
            </w:r>
          </w:p>
        </w:tc>
        <w:tc>
          <w:tcPr>
            <w:tcW w:w="358" w:type="pct"/>
            <w:tcBorders>
              <w:top w:val="single" w:sz="4" w:space="0" w:color="auto"/>
              <w:bottom w:val="single" w:sz="4" w:space="0" w:color="auto"/>
            </w:tcBorders>
            <w:vAlign w:val="center"/>
          </w:tcPr>
          <w:p w14:paraId="0F43A279" w14:textId="77777777" w:rsidR="00E40A40" w:rsidRPr="00A152B0" w:rsidRDefault="00E40A40" w:rsidP="007B7066">
            <w:pPr>
              <w:autoSpaceDE w:val="0"/>
              <w:autoSpaceDN w:val="0"/>
              <w:adjustRightInd w:val="0"/>
              <w:jc w:val="center"/>
              <w:rPr>
                <w:rFonts w:ascii="Times New Roman" w:hAnsi="Times New Roman" w:cs="Times New Roman"/>
                <w:sz w:val="18"/>
                <w:szCs w:val="18"/>
              </w:rPr>
            </w:pPr>
            <w:r w:rsidRPr="00A152B0">
              <w:rPr>
                <w:rFonts w:ascii="Times New Roman" w:hAnsi="Times New Roman" w:cs="Times New Roman"/>
                <w:sz w:val="18"/>
                <w:szCs w:val="18"/>
              </w:rPr>
              <w:t>0.721</w:t>
            </w:r>
          </w:p>
        </w:tc>
        <w:tc>
          <w:tcPr>
            <w:tcW w:w="344" w:type="pct"/>
            <w:gridSpan w:val="2"/>
            <w:tcBorders>
              <w:top w:val="single" w:sz="4" w:space="0" w:color="auto"/>
              <w:bottom w:val="single" w:sz="4" w:space="0" w:color="auto"/>
            </w:tcBorders>
            <w:vAlign w:val="center"/>
          </w:tcPr>
          <w:p w14:paraId="30BCA95D" w14:textId="77777777" w:rsidR="00E40A40" w:rsidRPr="00A152B0" w:rsidRDefault="00E40A40" w:rsidP="007B7066">
            <w:pPr>
              <w:autoSpaceDE w:val="0"/>
              <w:autoSpaceDN w:val="0"/>
              <w:adjustRightInd w:val="0"/>
              <w:jc w:val="center"/>
              <w:rPr>
                <w:rFonts w:ascii="Times New Roman" w:hAnsi="Times New Roman" w:cs="Times New Roman"/>
                <w:sz w:val="18"/>
                <w:szCs w:val="18"/>
              </w:rPr>
            </w:pPr>
            <w:r w:rsidRPr="00A152B0">
              <w:rPr>
                <w:rFonts w:ascii="Times New Roman" w:hAnsi="Times New Roman" w:cs="Times New Roman"/>
                <w:sz w:val="18"/>
                <w:szCs w:val="18"/>
              </w:rPr>
              <w:t>0.794</w:t>
            </w:r>
          </w:p>
        </w:tc>
        <w:tc>
          <w:tcPr>
            <w:tcW w:w="354" w:type="pct"/>
            <w:gridSpan w:val="2"/>
            <w:tcBorders>
              <w:top w:val="single" w:sz="4" w:space="0" w:color="auto"/>
              <w:bottom w:val="single" w:sz="4" w:space="0" w:color="auto"/>
            </w:tcBorders>
            <w:vAlign w:val="center"/>
          </w:tcPr>
          <w:p w14:paraId="50BA3179" w14:textId="77777777" w:rsidR="00E40A40" w:rsidRPr="00A152B0" w:rsidRDefault="00E40A40" w:rsidP="007B7066">
            <w:pPr>
              <w:autoSpaceDE w:val="0"/>
              <w:autoSpaceDN w:val="0"/>
              <w:adjustRightInd w:val="0"/>
              <w:jc w:val="center"/>
              <w:rPr>
                <w:rFonts w:ascii="Times New Roman" w:hAnsi="Times New Roman" w:cs="Times New Roman"/>
                <w:sz w:val="18"/>
                <w:szCs w:val="18"/>
              </w:rPr>
            </w:pPr>
            <w:r w:rsidRPr="00A152B0">
              <w:rPr>
                <w:rFonts w:ascii="Times New Roman" w:hAnsi="Times New Roman" w:cs="Times New Roman"/>
                <w:sz w:val="18"/>
                <w:szCs w:val="18"/>
              </w:rPr>
              <w:t>1.03</w:t>
            </w:r>
          </w:p>
        </w:tc>
        <w:tc>
          <w:tcPr>
            <w:tcW w:w="344" w:type="pct"/>
            <w:tcBorders>
              <w:top w:val="single" w:sz="4" w:space="0" w:color="auto"/>
              <w:bottom w:val="single" w:sz="4" w:space="0" w:color="auto"/>
            </w:tcBorders>
            <w:vAlign w:val="center"/>
          </w:tcPr>
          <w:p w14:paraId="1208BCE3" w14:textId="77777777" w:rsidR="00E40A40" w:rsidRPr="00A152B0" w:rsidRDefault="00E40A40" w:rsidP="007B7066">
            <w:pPr>
              <w:autoSpaceDE w:val="0"/>
              <w:autoSpaceDN w:val="0"/>
              <w:adjustRightInd w:val="0"/>
              <w:jc w:val="center"/>
              <w:rPr>
                <w:rFonts w:ascii="Times New Roman" w:hAnsi="Times New Roman" w:cs="Times New Roman"/>
                <w:sz w:val="18"/>
                <w:szCs w:val="18"/>
              </w:rPr>
            </w:pPr>
            <w:r w:rsidRPr="00A152B0">
              <w:rPr>
                <w:rFonts w:ascii="Times New Roman" w:hAnsi="Times New Roman" w:cs="Times New Roman"/>
                <w:sz w:val="18"/>
                <w:szCs w:val="18"/>
              </w:rPr>
              <w:t>0.776</w:t>
            </w:r>
          </w:p>
        </w:tc>
        <w:tc>
          <w:tcPr>
            <w:tcW w:w="362" w:type="pct"/>
            <w:tcBorders>
              <w:top w:val="single" w:sz="4" w:space="0" w:color="auto"/>
              <w:bottom w:val="single" w:sz="4" w:space="0" w:color="auto"/>
            </w:tcBorders>
            <w:vAlign w:val="center"/>
          </w:tcPr>
          <w:p w14:paraId="74430057" w14:textId="77777777" w:rsidR="00E40A40" w:rsidRPr="00A152B0" w:rsidRDefault="00E40A40" w:rsidP="007B7066">
            <w:pPr>
              <w:autoSpaceDE w:val="0"/>
              <w:autoSpaceDN w:val="0"/>
              <w:adjustRightInd w:val="0"/>
              <w:jc w:val="center"/>
              <w:rPr>
                <w:rFonts w:ascii="Times New Roman" w:hAnsi="Times New Roman" w:cs="Times New Roman"/>
                <w:sz w:val="18"/>
                <w:szCs w:val="18"/>
              </w:rPr>
            </w:pPr>
            <w:r w:rsidRPr="00A152B0">
              <w:rPr>
                <w:rFonts w:ascii="Times New Roman" w:hAnsi="Times New Roman" w:cs="Times New Roman"/>
                <w:sz w:val="18"/>
                <w:szCs w:val="18"/>
              </w:rPr>
              <w:t>1.47</w:t>
            </w:r>
          </w:p>
        </w:tc>
        <w:tc>
          <w:tcPr>
            <w:tcW w:w="394" w:type="pct"/>
            <w:gridSpan w:val="2"/>
            <w:tcBorders>
              <w:top w:val="single" w:sz="4" w:space="0" w:color="auto"/>
              <w:bottom w:val="single" w:sz="4" w:space="0" w:color="auto"/>
            </w:tcBorders>
            <w:vAlign w:val="center"/>
          </w:tcPr>
          <w:p w14:paraId="49710C6E" w14:textId="77777777" w:rsidR="00E40A40" w:rsidRPr="00A152B0" w:rsidRDefault="00E40A40" w:rsidP="007B7066">
            <w:pPr>
              <w:autoSpaceDE w:val="0"/>
              <w:autoSpaceDN w:val="0"/>
              <w:adjustRightInd w:val="0"/>
              <w:jc w:val="center"/>
              <w:rPr>
                <w:rFonts w:ascii="Times New Roman" w:hAnsi="Times New Roman" w:cs="Times New Roman"/>
                <w:sz w:val="18"/>
                <w:szCs w:val="18"/>
              </w:rPr>
            </w:pPr>
            <w:r w:rsidRPr="00A152B0">
              <w:rPr>
                <w:rFonts w:ascii="Times New Roman" w:hAnsi="Times New Roman" w:cs="Times New Roman"/>
                <w:sz w:val="18"/>
                <w:szCs w:val="18"/>
              </w:rPr>
              <w:t>0.776</w:t>
            </w:r>
          </w:p>
        </w:tc>
      </w:tr>
      <w:tr w:rsidR="007F15D8" w:rsidRPr="00952DC1" w14:paraId="3C287085" w14:textId="77777777" w:rsidTr="00215E9A">
        <w:trPr>
          <w:trHeight w:val="340"/>
        </w:trPr>
        <w:tc>
          <w:tcPr>
            <w:tcW w:w="761" w:type="pct"/>
            <w:tcBorders>
              <w:top w:val="single" w:sz="4" w:space="0" w:color="auto"/>
              <w:bottom w:val="single" w:sz="4" w:space="0" w:color="auto"/>
              <w:right w:val="single" w:sz="4" w:space="0" w:color="auto"/>
            </w:tcBorders>
          </w:tcPr>
          <w:p w14:paraId="63EA4D50" w14:textId="77777777" w:rsidR="00E40A40" w:rsidRPr="00A152B0" w:rsidRDefault="00E40A40" w:rsidP="007B7066">
            <w:pPr>
              <w:autoSpaceDE w:val="0"/>
              <w:autoSpaceDN w:val="0"/>
              <w:adjustRightInd w:val="0"/>
              <w:jc w:val="center"/>
              <w:rPr>
                <w:rFonts w:ascii="Times New Roman" w:hAnsi="Times New Roman" w:cs="Times New Roman"/>
                <w:sz w:val="18"/>
              </w:rPr>
            </w:pPr>
            <w:r w:rsidRPr="00A152B0">
              <w:rPr>
                <w:rFonts w:ascii="Times New Roman" w:hAnsi="Times New Roman" w:cs="Times New Roman"/>
                <w:sz w:val="18"/>
              </w:rPr>
              <w:t>CFO+1</w:t>
            </w:r>
          </w:p>
        </w:tc>
        <w:tc>
          <w:tcPr>
            <w:tcW w:w="347" w:type="pct"/>
            <w:tcBorders>
              <w:top w:val="single" w:sz="4" w:space="0" w:color="auto"/>
              <w:left w:val="single" w:sz="4" w:space="0" w:color="auto"/>
              <w:bottom w:val="single" w:sz="4" w:space="0" w:color="auto"/>
            </w:tcBorders>
            <w:vAlign w:val="center"/>
          </w:tcPr>
          <w:p w14:paraId="2EA4EF86" w14:textId="77777777" w:rsidR="00E40A40" w:rsidRPr="00A152B0" w:rsidRDefault="00E40A40" w:rsidP="007B7066">
            <w:pPr>
              <w:autoSpaceDE w:val="0"/>
              <w:autoSpaceDN w:val="0"/>
              <w:adjustRightInd w:val="0"/>
              <w:jc w:val="center"/>
              <w:rPr>
                <w:rFonts w:ascii="Times New Roman" w:hAnsi="Times New Roman" w:cs="Times New Roman"/>
                <w:sz w:val="18"/>
                <w:szCs w:val="18"/>
              </w:rPr>
            </w:pPr>
            <w:r w:rsidRPr="00A152B0">
              <w:rPr>
                <w:rFonts w:ascii="Times New Roman" w:hAnsi="Times New Roman" w:cs="Times New Roman"/>
                <w:sz w:val="18"/>
                <w:szCs w:val="18"/>
              </w:rPr>
              <w:t>2.08</w:t>
            </w:r>
          </w:p>
        </w:tc>
        <w:tc>
          <w:tcPr>
            <w:tcW w:w="344" w:type="pct"/>
            <w:tcBorders>
              <w:top w:val="single" w:sz="4" w:space="0" w:color="auto"/>
              <w:bottom w:val="single" w:sz="4" w:space="0" w:color="auto"/>
            </w:tcBorders>
            <w:vAlign w:val="center"/>
          </w:tcPr>
          <w:p w14:paraId="0885AC05" w14:textId="77777777" w:rsidR="00E40A40" w:rsidRPr="00A152B0" w:rsidRDefault="00E40A40" w:rsidP="007B7066">
            <w:pPr>
              <w:autoSpaceDE w:val="0"/>
              <w:autoSpaceDN w:val="0"/>
              <w:adjustRightInd w:val="0"/>
              <w:jc w:val="center"/>
              <w:rPr>
                <w:rFonts w:ascii="Times New Roman" w:hAnsi="Times New Roman" w:cs="Times New Roman"/>
                <w:sz w:val="18"/>
                <w:szCs w:val="18"/>
              </w:rPr>
            </w:pPr>
            <w:r w:rsidRPr="00A152B0">
              <w:rPr>
                <w:rFonts w:ascii="Times New Roman" w:hAnsi="Times New Roman" w:cs="Times New Roman"/>
                <w:sz w:val="18"/>
                <w:szCs w:val="18"/>
              </w:rPr>
              <w:t>0.830</w:t>
            </w:r>
          </w:p>
        </w:tc>
        <w:tc>
          <w:tcPr>
            <w:tcW w:w="347" w:type="pct"/>
            <w:tcBorders>
              <w:top w:val="single" w:sz="4" w:space="0" w:color="auto"/>
              <w:bottom w:val="single" w:sz="4" w:space="0" w:color="auto"/>
            </w:tcBorders>
            <w:vAlign w:val="center"/>
          </w:tcPr>
          <w:p w14:paraId="0B24E21C" w14:textId="77777777" w:rsidR="00E40A40" w:rsidRPr="00A152B0" w:rsidRDefault="00E40A40" w:rsidP="007B7066">
            <w:pPr>
              <w:autoSpaceDE w:val="0"/>
              <w:autoSpaceDN w:val="0"/>
              <w:adjustRightInd w:val="0"/>
              <w:jc w:val="center"/>
              <w:rPr>
                <w:rFonts w:ascii="Times New Roman" w:hAnsi="Times New Roman" w:cs="Times New Roman"/>
                <w:sz w:val="18"/>
                <w:szCs w:val="18"/>
              </w:rPr>
            </w:pPr>
            <w:r w:rsidRPr="00A152B0">
              <w:rPr>
                <w:rFonts w:ascii="Times New Roman" w:hAnsi="Times New Roman" w:cs="Times New Roman"/>
                <w:sz w:val="18"/>
                <w:szCs w:val="18"/>
              </w:rPr>
              <w:t>1.028</w:t>
            </w:r>
          </w:p>
        </w:tc>
        <w:tc>
          <w:tcPr>
            <w:tcW w:w="344" w:type="pct"/>
            <w:tcBorders>
              <w:top w:val="single" w:sz="4" w:space="0" w:color="auto"/>
              <w:bottom w:val="single" w:sz="4" w:space="0" w:color="auto"/>
            </w:tcBorders>
            <w:vAlign w:val="center"/>
          </w:tcPr>
          <w:p w14:paraId="2102F8AE" w14:textId="77777777" w:rsidR="00E40A40" w:rsidRPr="00A152B0" w:rsidRDefault="00E40A40" w:rsidP="007B7066">
            <w:pPr>
              <w:autoSpaceDE w:val="0"/>
              <w:autoSpaceDN w:val="0"/>
              <w:adjustRightInd w:val="0"/>
              <w:jc w:val="center"/>
              <w:rPr>
                <w:rFonts w:ascii="Times New Roman" w:hAnsi="Times New Roman" w:cs="Times New Roman"/>
                <w:sz w:val="18"/>
                <w:szCs w:val="18"/>
              </w:rPr>
            </w:pPr>
            <w:r w:rsidRPr="00A152B0">
              <w:rPr>
                <w:rFonts w:ascii="Times New Roman" w:hAnsi="Times New Roman" w:cs="Times New Roman"/>
                <w:sz w:val="18"/>
                <w:szCs w:val="18"/>
              </w:rPr>
              <w:t>0.785</w:t>
            </w:r>
          </w:p>
        </w:tc>
        <w:tc>
          <w:tcPr>
            <w:tcW w:w="347" w:type="pct"/>
            <w:tcBorders>
              <w:top w:val="single" w:sz="4" w:space="0" w:color="auto"/>
              <w:bottom w:val="single" w:sz="4" w:space="0" w:color="auto"/>
            </w:tcBorders>
            <w:vAlign w:val="center"/>
          </w:tcPr>
          <w:p w14:paraId="0A0B0102" w14:textId="77777777" w:rsidR="00E40A40" w:rsidRPr="00A152B0" w:rsidRDefault="00E40A40" w:rsidP="007B7066">
            <w:pPr>
              <w:autoSpaceDE w:val="0"/>
              <w:autoSpaceDN w:val="0"/>
              <w:adjustRightInd w:val="0"/>
              <w:jc w:val="center"/>
              <w:rPr>
                <w:rFonts w:ascii="Times New Roman" w:hAnsi="Times New Roman" w:cs="Times New Roman"/>
                <w:sz w:val="18"/>
                <w:szCs w:val="18"/>
              </w:rPr>
            </w:pPr>
            <w:r w:rsidRPr="00A152B0">
              <w:rPr>
                <w:rFonts w:ascii="Times New Roman" w:hAnsi="Times New Roman" w:cs="Times New Roman"/>
                <w:sz w:val="18"/>
                <w:szCs w:val="18"/>
              </w:rPr>
              <w:t>2.44</w:t>
            </w:r>
          </w:p>
        </w:tc>
        <w:tc>
          <w:tcPr>
            <w:tcW w:w="355" w:type="pct"/>
            <w:tcBorders>
              <w:top w:val="single" w:sz="4" w:space="0" w:color="auto"/>
              <w:bottom w:val="single" w:sz="4" w:space="0" w:color="auto"/>
            </w:tcBorders>
            <w:vAlign w:val="center"/>
          </w:tcPr>
          <w:p w14:paraId="63325C60" w14:textId="77777777" w:rsidR="00E40A40" w:rsidRPr="00A152B0" w:rsidRDefault="00E40A40" w:rsidP="007B7066">
            <w:pPr>
              <w:autoSpaceDE w:val="0"/>
              <w:autoSpaceDN w:val="0"/>
              <w:adjustRightInd w:val="0"/>
              <w:jc w:val="center"/>
              <w:rPr>
                <w:rFonts w:ascii="Times New Roman" w:hAnsi="Times New Roman" w:cs="Times New Roman"/>
                <w:sz w:val="18"/>
                <w:szCs w:val="18"/>
              </w:rPr>
            </w:pPr>
            <w:r w:rsidRPr="00A152B0">
              <w:rPr>
                <w:rFonts w:ascii="Times New Roman" w:hAnsi="Times New Roman" w:cs="Times New Roman"/>
                <w:sz w:val="18"/>
                <w:szCs w:val="18"/>
              </w:rPr>
              <w:t>0.591</w:t>
            </w:r>
          </w:p>
        </w:tc>
        <w:tc>
          <w:tcPr>
            <w:tcW w:w="358" w:type="pct"/>
            <w:tcBorders>
              <w:top w:val="single" w:sz="4" w:space="0" w:color="auto"/>
              <w:bottom w:val="single" w:sz="4" w:space="0" w:color="auto"/>
            </w:tcBorders>
            <w:vAlign w:val="center"/>
          </w:tcPr>
          <w:p w14:paraId="1E0EC6FD" w14:textId="77777777" w:rsidR="00E40A40" w:rsidRPr="00A152B0" w:rsidRDefault="00E40A40" w:rsidP="007B7066">
            <w:pPr>
              <w:autoSpaceDE w:val="0"/>
              <w:autoSpaceDN w:val="0"/>
              <w:adjustRightInd w:val="0"/>
              <w:jc w:val="center"/>
              <w:rPr>
                <w:rFonts w:ascii="Times New Roman" w:hAnsi="Times New Roman" w:cs="Times New Roman"/>
                <w:sz w:val="18"/>
                <w:szCs w:val="18"/>
              </w:rPr>
            </w:pPr>
            <w:r w:rsidRPr="00A152B0">
              <w:rPr>
                <w:rFonts w:ascii="Times New Roman" w:hAnsi="Times New Roman" w:cs="Times New Roman"/>
                <w:sz w:val="18"/>
                <w:szCs w:val="18"/>
              </w:rPr>
              <w:t>1.58</w:t>
            </w:r>
          </w:p>
        </w:tc>
        <w:tc>
          <w:tcPr>
            <w:tcW w:w="344" w:type="pct"/>
            <w:gridSpan w:val="2"/>
            <w:tcBorders>
              <w:top w:val="single" w:sz="4" w:space="0" w:color="auto"/>
              <w:bottom w:val="single" w:sz="4" w:space="0" w:color="auto"/>
            </w:tcBorders>
            <w:vAlign w:val="center"/>
          </w:tcPr>
          <w:p w14:paraId="37F491E8" w14:textId="77777777" w:rsidR="00E40A40" w:rsidRPr="00A152B0" w:rsidRDefault="00E40A40" w:rsidP="007B7066">
            <w:pPr>
              <w:autoSpaceDE w:val="0"/>
              <w:autoSpaceDN w:val="0"/>
              <w:adjustRightInd w:val="0"/>
              <w:jc w:val="center"/>
              <w:rPr>
                <w:rFonts w:ascii="Times New Roman" w:hAnsi="Times New Roman" w:cs="Times New Roman"/>
                <w:sz w:val="18"/>
                <w:szCs w:val="18"/>
              </w:rPr>
            </w:pPr>
            <w:r w:rsidRPr="00A152B0">
              <w:rPr>
                <w:rFonts w:ascii="Times New Roman" w:hAnsi="Times New Roman" w:cs="Times New Roman"/>
                <w:sz w:val="18"/>
                <w:szCs w:val="18"/>
              </w:rPr>
              <w:t>0.888</w:t>
            </w:r>
          </w:p>
        </w:tc>
        <w:tc>
          <w:tcPr>
            <w:tcW w:w="354" w:type="pct"/>
            <w:gridSpan w:val="2"/>
            <w:tcBorders>
              <w:top w:val="single" w:sz="4" w:space="0" w:color="auto"/>
              <w:bottom w:val="single" w:sz="4" w:space="0" w:color="auto"/>
            </w:tcBorders>
            <w:vAlign w:val="center"/>
          </w:tcPr>
          <w:p w14:paraId="3C8E3B63" w14:textId="77777777" w:rsidR="00E40A40" w:rsidRPr="00A152B0" w:rsidRDefault="00E40A40" w:rsidP="007B7066">
            <w:pPr>
              <w:autoSpaceDE w:val="0"/>
              <w:autoSpaceDN w:val="0"/>
              <w:adjustRightInd w:val="0"/>
              <w:jc w:val="center"/>
              <w:rPr>
                <w:rFonts w:ascii="Times New Roman" w:hAnsi="Times New Roman" w:cs="Times New Roman"/>
                <w:sz w:val="18"/>
                <w:szCs w:val="18"/>
              </w:rPr>
            </w:pPr>
            <w:r w:rsidRPr="00A152B0">
              <w:rPr>
                <w:rFonts w:ascii="Times New Roman" w:hAnsi="Times New Roman" w:cs="Times New Roman"/>
                <w:sz w:val="18"/>
                <w:szCs w:val="18"/>
              </w:rPr>
              <w:t>1.69</w:t>
            </w:r>
          </w:p>
        </w:tc>
        <w:tc>
          <w:tcPr>
            <w:tcW w:w="344" w:type="pct"/>
            <w:tcBorders>
              <w:top w:val="single" w:sz="4" w:space="0" w:color="auto"/>
              <w:bottom w:val="single" w:sz="4" w:space="0" w:color="auto"/>
            </w:tcBorders>
            <w:vAlign w:val="center"/>
          </w:tcPr>
          <w:p w14:paraId="37891118" w14:textId="77777777" w:rsidR="00E40A40" w:rsidRPr="00A152B0" w:rsidRDefault="00E40A40" w:rsidP="007B7066">
            <w:pPr>
              <w:autoSpaceDE w:val="0"/>
              <w:autoSpaceDN w:val="0"/>
              <w:adjustRightInd w:val="0"/>
              <w:jc w:val="center"/>
              <w:rPr>
                <w:rFonts w:ascii="Times New Roman" w:hAnsi="Times New Roman" w:cs="Times New Roman"/>
                <w:sz w:val="18"/>
                <w:szCs w:val="18"/>
              </w:rPr>
            </w:pPr>
            <w:r w:rsidRPr="00A152B0">
              <w:rPr>
                <w:rFonts w:ascii="Times New Roman" w:hAnsi="Times New Roman" w:cs="Times New Roman"/>
                <w:sz w:val="18"/>
                <w:szCs w:val="18"/>
              </w:rPr>
              <w:t>0.661</w:t>
            </w:r>
          </w:p>
        </w:tc>
        <w:tc>
          <w:tcPr>
            <w:tcW w:w="362" w:type="pct"/>
            <w:tcBorders>
              <w:top w:val="single" w:sz="4" w:space="0" w:color="auto"/>
              <w:bottom w:val="single" w:sz="4" w:space="0" w:color="auto"/>
            </w:tcBorders>
            <w:vAlign w:val="center"/>
          </w:tcPr>
          <w:p w14:paraId="20618E2D" w14:textId="77777777" w:rsidR="00E40A40" w:rsidRPr="00A152B0" w:rsidRDefault="00E40A40" w:rsidP="007B7066">
            <w:pPr>
              <w:autoSpaceDE w:val="0"/>
              <w:autoSpaceDN w:val="0"/>
              <w:adjustRightInd w:val="0"/>
              <w:jc w:val="center"/>
              <w:rPr>
                <w:rFonts w:ascii="Times New Roman" w:hAnsi="Times New Roman" w:cs="Times New Roman"/>
                <w:sz w:val="18"/>
                <w:szCs w:val="18"/>
              </w:rPr>
            </w:pPr>
            <w:r w:rsidRPr="00A152B0">
              <w:rPr>
                <w:rFonts w:ascii="Times New Roman" w:hAnsi="Times New Roman" w:cs="Times New Roman"/>
                <w:sz w:val="18"/>
                <w:szCs w:val="18"/>
              </w:rPr>
              <w:t>2.17</w:t>
            </w:r>
          </w:p>
        </w:tc>
        <w:tc>
          <w:tcPr>
            <w:tcW w:w="394" w:type="pct"/>
            <w:gridSpan w:val="2"/>
            <w:tcBorders>
              <w:top w:val="single" w:sz="4" w:space="0" w:color="auto"/>
              <w:bottom w:val="single" w:sz="4" w:space="0" w:color="auto"/>
            </w:tcBorders>
            <w:vAlign w:val="center"/>
          </w:tcPr>
          <w:p w14:paraId="599820A0" w14:textId="77777777" w:rsidR="00E40A40" w:rsidRPr="00A152B0" w:rsidRDefault="00E40A40" w:rsidP="007B7066">
            <w:pPr>
              <w:autoSpaceDE w:val="0"/>
              <w:autoSpaceDN w:val="0"/>
              <w:adjustRightInd w:val="0"/>
              <w:jc w:val="center"/>
              <w:rPr>
                <w:rFonts w:ascii="Times New Roman" w:hAnsi="Times New Roman" w:cs="Times New Roman"/>
                <w:sz w:val="18"/>
                <w:szCs w:val="18"/>
              </w:rPr>
            </w:pPr>
            <w:r w:rsidRPr="00A152B0">
              <w:rPr>
                <w:rFonts w:ascii="Times New Roman" w:hAnsi="Times New Roman" w:cs="Times New Roman"/>
                <w:sz w:val="18"/>
                <w:szCs w:val="18"/>
              </w:rPr>
              <w:t>0.732</w:t>
            </w:r>
          </w:p>
        </w:tc>
      </w:tr>
      <w:tr w:rsidR="007F15D8" w:rsidRPr="00952DC1" w14:paraId="56E6E8F8" w14:textId="77777777" w:rsidTr="00215E9A">
        <w:trPr>
          <w:trHeight w:val="340"/>
        </w:trPr>
        <w:tc>
          <w:tcPr>
            <w:tcW w:w="761" w:type="pct"/>
            <w:tcBorders>
              <w:top w:val="single" w:sz="4" w:space="0" w:color="auto"/>
              <w:bottom w:val="single" w:sz="4" w:space="0" w:color="auto"/>
              <w:right w:val="single" w:sz="4" w:space="0" w:color="auto"/>
            </w:tcBorders>
          </w:tcPr>
          <w:p w14:paraId="76716259" w14:textId="77777777" w:rsidR="00E40A40" w:rsidRPr="00A152B0" w:rsidRDefault="00E40A40" w:rsidP="007B7066">
            <w:pPr>
              <w:autoSpaceDE w:val="0"/>
              <w:autoSpaceDN w:val="0"/>
              <w:adjustRightInd w:val="0"/>
              <w:jc w:val="center"/>
              <w:rPr>
                <w:rFonts w:ascii="Times New Roman" w:hAnsi="Times New Roman" w:cs="Times New Roman"/>
                <w:sz w:val="18"/>
              </w:rPr>
            </w:pPr>
            <w:r w:rsidRPr="00A152B0">
              <w:rPr>
                <w:rFonts w:ascii="Times New Roman" w:hAnsi="Times New Roman" w:cs="Times New Roman"/>
                <w:sz w:val="18"/>
              </w:rPr>
              <w:t>VWC</w:t>
            </w:r>
          </w:p>
        </w:tc>
        <w:tc>
          <w:tcPr>
            <w:tcW w:w="347" w:type="pct"/>
            <w:tcBorders>
              <w:top w:val="single" w:sz="4" w:space="0" w:color="auto"/>
              <w:left w:val="single" w:sz="4" w:space="0" w:color="auto"/>
              <w:bottom w:val="single" w:sz="4" w:space="0" w:color="auto"/>
            </w:tcBorders>
            <w:vAlign w:val="center"/>
          </w:tcPr>
          <w:p w14:paraId="76D6EDD5" w14:textId="77777777" w:rsidR="00E40A40" w:rsidRPr="00A152B0" w:rsidRDefault="00E40A40" w:rsidP="007B7066">
            <w:pPr>
              <w:autoSpaceDE w:val="0"/>
              <w:autoSpaceDN w:val="0"/>
              <w:adjustRightInd w:val="0"/>
              <w:jc w:val="center"/>
              <w:rPr>
                <w:rFonts w:ascii="Times New Roman" w:hAnsi="Times New Roman" w:cs="Times New Roman"/>
                <w:sz w:val="18"/>
                <w:szCs w:val="18"/>
              </w:rPr>
            </w:pPr>
            <w:r w:rsidRPr="00A152B0">
              <w:rPr>
                <w:rFonts w:ascii="Times New Roman" w:hAnsi="Times New Roman" w:cs="Times New Roman"/>
                <w:sz w:val="18"/>
                <w:szCs w:val="18"/>
              </w:rPr>
              <w:t>1.41</w:t>
            </w:r>
          </w:p>
        </w:tc>
        <w:tc>
          <w:tcPr>
            <w:tcW w:w="344" w:type="pct"/>
            <w:tcBorders>
              <w:top w:val="single" w:sz="4" w:space="0" w:color="auto"/>
              <w:bottom w:val="single" w:sz="4" w:space="0" w:color="auto"/>
            </w:tcBorders>
            <w:vAlign w:val="center"/>
          </w:tcPr>
          <w:p w14:paraId="2E6F0E2C" w14:textId="77777777" w:rsidR="00E40A40" w:rsidRPr="00A152B0" w:rsidRDefault="00E40A40" w:rsidP="007B7066">
            <w:pPr>
              <w:autoSpaceDE w:val="0"/>
              <w:autoSpaceDN w:val="0"/>
              <w:adjustRightInd w:val="0"/>
              <w:jc w:val="center"/>
              <w:rPr>
                <w:rFonts w:ascii="Times New Roman" w:hAnsi="Times New Roman" w:cs="Times New Roman"/>
                <w:sz w:val="18"/>
                <w:szCs w:val="18"/>
              </w:rPr>
            </w:pPr>
            <w:r w:rsidRPr="00A152B0">
              <w:rPr>
                <w:rFonts w:ascii="Times New Roman" w:hAnsi="Times New Roman" w:cs="Times New Roman"/>
                <w:sz w:val="18"/>
                <w:szCs w:val="18"/>
              </w:rPr>
              <w:t>0.850</w:t>
            </w:r>
          </w:p>
        </w:tc>
        <w:tc>
          <w:tcPr>
            <w:tcW w:w="347" w:type="pct"/>
            <w:tcBorders>
              <w:top w:val="single" w:sz="4" w:space="0" w:color="auto"/>
              <w:bottom w:val="single" w:sz="4" w:space="0" w:color="auto"/>
            </w:tcBorders>
            <w:vAlign w:val="center"/>
          </w:tcPr>
          <w:p w14:paraId="757F8952" w14:textId="77777777" w:rsidR="00E40A40" w:rsidRPr="00A152B0" w:rsidRDefault="00E40A40" w:rsidP="007B7066">
            <w:pPr>
              <w:autoSpaceDE w:val="0"/>
              <w:autoSpaceDN w:val="0"/>
              <w:adjustRightInd w:val="0"/>
              <w:jc w:val="center"/>
              <w:rPr>
                <w:rFonts w:ascii="Times New Roman" w:hAnsi="Times New Roman" w:cs="Times New Roman"/>
                <w:sz w:val="18"/>
                <w:szCs w:val="18"/>
              </w:rPr>
            </w:pPr>
            <w:r w:rsidRPr="00A152B0">
              <w:rPr>
                <w:rFonts w:ascii="Times New Roman" w:hAnsi="Times New Roman" w:cs="Times New Roman"/>
                <w:sz w:val="18"/>
                <w:szCs w:val="18"/>
              </w:rPr>
              <w:t>0.387</w:t>
            </w:r>
          </w:p>
        </w:tc>
        <w:tc>
          <w:tcPr>
            <w:tcW w:w="344" w:type="pct"/>
            <w:tcBorders>
              <w:top w:val="single" w:sz="4" w:space="0" w:color="auto"/>
              <w:bottom w:val="single" w:sz="4" w:space="0" w:color="auto"/>
            </w:tcBorders>
            <w:vAlign w:val="center"/>
          </w:tcPr>
          <w:p w14:paraId="38C3F8BD" w14:textId="77777777" w:rsidR="00E40A40" w:rsidRPr="00A152B0" w:rsidRDefault="00E40A40" w:rsidP="007B7066">
            <w:pPr>
              <w:autoSpaceDE w:val="0"/>
              <w:autoSpaceDN w:val="0"/>
              <w:adjustRightInd w:val="0"/>
              <w:jc w:val="center"/>
              <w:rPr>
                <w:rFonts w:ascii="Times New Roman" w:hAnsi="Times New Roman" w:cs="Times New Roman"/>
                <w:sz w:val="18"/>
                <w:szCs w:val="18"/>
              </w:rPr>
            </w:pPr>
            <w:r w:rsidRPr="00A152B0">
              <w:rPr>
                <w:rFonts w:ascii="Times New Roman" w:hAnsi="Times New Roman" w:cs="Times New Roman"/>
                <w:sz w:val="18"/>
                <w:szCs w:val="18"/>
              </w:rPr>
              <w:t>0.703</w:t>
            </w:r>
          </w:p>
        </w:tc>
        <w:tc>
          <w:tcPr>
            <w:tcW w:w="347" w:type="pct"/>
            <w:tcBorders>
              <w:top w:val="single" w:sz="4" w:space="0" w:color="auto"/>
              <w:bottom w:val="single" w:sz="4" w:space="0" w:color="auto"/>
            </w:tcBorders>
            <w:vAlign w:val="center"/>
          </w:tcPr>
          <w:p w14:paraId="512A3E81" w14:textId="77777777" w:rsidR="00E40A40" w:rsidRPr="00A152B0" w:rsidRDefault="00E40A40" w:rsidP="007B7066">
            <w:pPr>
              <w:autoSpaceDE w:val="0"/>
              <w:autoSpaceDN w:val="0"/>
              <w:adjustRightInd w:val="0"/>
              <w:jc w:val="center"/>
              <w:rPr>
                <w:rFonts w:ascii="Times New Roman" w:hAnsi="Times New Roman" w:cs="Times New Roman"/>
                <w:sz w:val="18"/>
                <w:szCs w:val="18"/>
              </w:rPr>
            </w:pPr>
            <w:r w:rsidRPr="00A152B0">
              <w:rPr>
                <w:rFonts w:ascii="Times New Roman" w:hAnsi="Times New Roman" w:cs="Times New Roman"/>
                <w:sz w:val="18"/>
                <w:szCs w:val="18"/>
              </w:rPr>
              <w:t>1.71</w:t>
            </w:r>
          </w:p>
        </w:tc>
        <w:tc>
          <w:tcPr>
            <w:tcW w:w="355" w:type="pct"/>
            <w:tcBorders>
              <w:top w:val="single" w:sz="4" w:space="0" w:color="auto"/>
              <w:bottom w:val="single" w:sz="4" w:space="0" w:color="auto"/>
            </w:tcBorders>
            <w:vAlign w:val="center"/>
          </w:tcPr>
          <w:p w14:paraId="5CACBE84" w14:textId="77777777" w:rsidR="00E40A40" w:rsidRPr="00A152B0" w:rsidRDefault="00E40A40" w:rsidP="007B7066">
            <w:pPr>
              <w:autoSpaceDE w:val="0"/>
              <w:autoSpaceDN w:val="0"/>
              <w:adjustRightInd w:val="0"/>
              <w:jc w:val="center"/>
              <w:rPr>
                <w:rFonts w:ascii="Times New Roman" w:hAnsi="Times New Roman" w:cs="Times New Roman"/>
                <w:sz w:val="18"/>
                <w:szCs w:val="18"/>
              </w:rPr>
            </w:pPr>
            <w:r w:rsidRPr="00A152B0">
              <w:rPr>
                <w:rFonts w:ascii="Times New Roman" w:hAnsi="Times New Roman" w:cs="Times New Roman"/>
                <w:sz w:val="18"/>
                <w:szCs w:val="18"/>
              </w:rPr>
              <w:t>0.761</w:t>
            </w:r>
          </w:p>
        </w:tc>
        <w:tc>
          <w:tcPr>
            <w:tcW w:w="358" w:type="pct"/>
            <w:tcBorders>
              <w:top w:val="single" w:sz="4" w:space="0" w:color="auto"/>
              <w:bottom w:val="single" w:sz="4" w:space="0" w:color="auto"/>
            </w:tcBorders>
            <w:vAlign w:val="center"/>
          </w:tcPr>
          <w:p w14:paraId="6A15BE1E" w14:textId="77777777" w:rsidR="00E40A40" w:rsidRPr="00A152B0" w:rsidRDefault="00E40A40" w:rsidP="007B7066">
            <w:pPr>
              <w:autoSpaceDE w:val="0"/>
              <w:autoSpaceDN w:val="0"/>
              <w:adjustRightInd w:val="0"/>
              <w:jc w:val="center"/>
              <w:rPr>
                <w:rFonts w:ascii="Times New Roman" w:hAnsi="Times New Roman" w:cs="Times New Roman"/>
                <w:sz w:val="18"/>
                <w:szCs w:val="18"/>
              </w:rPr>
            </w:pPr>
            <w:r w:rsidRPr="00A152B0">
              <w:rPr>
                <w:rFonts w:ascii="Times New Roman" w:hAnsi="Times New Roman" w:cs="Times New Roman"/>
                <w:sz w:val="18"/>
                <w:szCs w:val="18"/>
              </w:rPr>
              <w:t>0.882</w:t>
            </w:r>
          </w:p>
        </w:tc>
        <w:tc>
          <w:tcPr>
            <w:tcW w:w="344" w:type="pct"/>
            <w:gridSpan w:val="2"/>
            <w:tcBorders>
              <w:top w:val="single" w:sz="4" w:space="0" w:color="auto"/>
              <w:bottom w:val="single" w:sz="4" w:space="0" w:color="auto"/>
            </w:tcBorders>
            <w:vAlign w:val="center"/>
          </w:tcPr>
          <w:p w14:paraId="5F2B81E1" w14:textId="77777777" w:rsidR="00E40A40" w:rsidRPr="00A152B0" w:rsidRDefault="00E40A40" w:rsidP="007B7066">
            <w:pPr>
              <w:autoSpaceDE w:val="0"/>
              <w:autoSpaceDN w:val="0"/>
              <w:adjustRightInd w:val="0"/>
              <w:jc w:val="center"/>
              <w:rPr>
                <w:rFonts w:ascii="Times New Roman" w:hAnsi="Times New Roman" w:cs="Times New Roman"/>
                <w:sz w:val="18"/>
                <w:szCs w:val="18"/>
              </w:rPr>
            </w:pPr>
            <w:r w:rsidRPr="00A152B0">
              <w:rPr>
                <w:rFonts w:ascii="Times New Roman" w:hAnsi="Times New Roman" w:cs="Times New Roman"/>
                <w:sz w:val="18"/>
                <w:szCs w:val="18"/>
              </w:rPr>
              <w:t>0.723</w:t>
            </w:r>
          </w:p>
        </w:tc>
        <w:tc>
          <w:tcPr>
            <w:tcW w:w="354" w:type="pct"/>
            <w:gridSpan w:val="2"/>
            <w:tcBorders>
              <w:top w:val="single" w:sz="4" w:space="0" w:color="auto"/>
              <w:bottom w:val="single" w:sz="4" w:space="0" w:color="auto"/>
            </w:tcBorders>
            <w:vAlign w:val="center"/>
          </w:tcPr>
          <w:p w14:paraId="23226DAE" w14:textId="77777777" w:rsidR="00E40A40" w:rsidRPr="00A152B0" w:rsidRDefault="00E40A40" w:rsidP="007B7066">
            <w:pPr>
              <w:autoSpaceDE w:val="0"/>
              <w:autoSpaceDN w:val="0"/>
              <w:adjustRightInd w:val="0"/>
              <w:jc w:val="center"/>
              <w:rPr>
                <w:rFonts w:ascii="Times New Roman" w:hAnsi="Times New Roman" w:cs="Times New Roman"/>
                <w:sz w:val="18"/>
                <w:szCs w:val="18"/>
              </w:rPr>
            </w:pPr>
            <w:r w:rsidRPr="00A152B0">
              <w:rPr>
                <w:rFonts w:ascii="Times New Roman" w:hAnsi="Times New Roman" w:cs="Times New Roman"/>
                <w:sz w:val="18"/>
                <w:szCs w:val="18"/>
              </w:rPr>
              <w:t>1.14</w:t>
            </w:r>
          </w:p>
        </w:tc>
        <w:tc>
          <w:tcPr>
            <w:tcW w:w="344" w:type="pct"/>
            <w:tcBorders>
              <w:top w:val="single" w:sz="4" w:space="0" w:color="auto"/>
              <w:bottom w:val="single" w:sz="4" w:space="0" w:color="auto"/>
            </w:tcBorders>
            <w:vAlign w:val="center"/>
          </w:tcPr>
          <w:p w14:paraId="7AD676FC" w14:textId="77777777" w:rsidR="00E40A40" w:rsidRPr="00A152B0" w:rsidRDefault="00E40A40" w:rsidP="007B7066">
            <w:pPr>
              <w:autoSpaceDE w:val="0"/>
              <w:autoSpaceDN w:val="0"/>
              <w:adjustRightInd w:val="0"/>
              <w:jc w:val="center"/>
              <w:rPr>
                <w:rFonts w:ascii="Times New Roman" w:hAnsi="Times New Roman" w:cs="Times New Roman"/>
                <w:sz w:val="18"/>
                <w:szCs w:val="18"/>
              </w:rPr>
            </w:pPr>
            <w:r w:rsidRPr="00A152B0">
              <w:rPr>
                <w:rFonts w:ascii="Times New Roman" w:hAnsi="Times New Roman" w:cs="Times New Roman"/>
                <w:sz w:val="18"/>
                <w:szCs w:val="18"/>
              </w:rPr>
              <w:t>0.677</w:t>
            </w:r>
          </w:p>
        </w:tc>
        <w:tc>
          <w:tcPr>
            <w:tcW w:w="362" w:type="pct"/>
            <w:tcBorders>
              <w:top w:val="single" w:sz="4" w:space="0" w:color="auto"/>
              <w:bottom w:val="single" w:sz="4" w:space="0" w:color="auto"/>
            </w:tcBorders>
            <w:vAlign w:val="center"/>
          </w:tcPr>
          <w:p w14:paraId="109FAC64" w14:textId="77777777" w:rsidR="00E40A40" w:rsidRPr="00A152B0" w:rsidRDefault="00E40A40" w:rsidP="007B7066">
            <w:pPr>
              <w:autoSpaceDE w:val="0"/>
              <w:autoSpaceDN w:val="0"/>
              <w:adjustRightInd w:val="0"/>
              <w:jc w:val="center"/>
              <w:rPr>
                <w:rFonts w:ascii="Times New Roman" w:hAnsi="Times New Roman" w:cs="Times New Roman"/>
                <w:sz w:val="18"/>
                <w:szCs w:val="18"/>
              </w:rPr>
            </w:pPr>
            <w:r w:rsidRPr="00A152B0">
              <w:rPr>
                <w:rFonts w:ascii="Times New Roman" w:hAnsi="Times New Roman" w:cs="Times New Roman"/>
                <w:sz w:val="18"/>
                <w:szCs w:val="18"/>
              </w:rPr>
              <w:t>1.62</w:t>
            </w:r>
          </w:p>
        </w:tc>
        <w:tc>
          <w:tcPr>
            <w:tcW w:w="394" w:type="pct"/>
            <w:gridSpan w:val="2"/>
            <w:tcBorders>
              <w:top w:val="single" w:sz="4" w:space="0" w:color="auto"/>
              <w:bottom w:val="single" w:sz="4" w:space="0" w:color="auto"/>
            </w:tcBorders>
            <w:vAlign w:val="center"/>
          </w:tcPr>
          <w:p w14:paraId="58A54222" w14:textId="77777777" w:rsidR="00E40A40" w:rsidRPr="00A152B0" w:rsidRDefault="00E40A40" w:rsidP="007B7066">
            <w:pPr>
              <w:autoSpaceDE w:val="0"/>
              <w:autoSpaceDN w:val="0"/>
              <w:adjustRightInd w:val="0"/>
              <w:jc w:val="center"/>
              <w:rPr>
                <w:rFonts w:ascii="Times New Roman" w:hAnsi="Times New Roman" w:cs="Times New Roman"/>
                <w:sz w:val="18"/>
                <w:szCs w:val="18"/>
              </w:rPr>
            </w:pPr>
            <w:r w:rsidRPr="00A152B0">
              <w:rPr>
                <w:rFonts w:ascii="Times New Roman" w:hAnsi="Times New Roman" w:cs="Times New Roman"/>
                <w:sz w:val="18"/>
                <w:szCs w:val="18"/>
              </w:rPr>
              <w:t>0.747</w:t>
            </w:r>
          </w:p>
        </w:tc>
      </w:tr>
      <w:tr w:rsidR="007F15D8" w:rsidRPr="00952DC1" w14:paraId="71C993BF" w14:textId="77777777" w:rsidTr="00215E9A">
        <w:tc>
          <w:tcPr>
            <w:tcW w:w="761" w:type="pct"/>
            <w:tcBorders>
              <w:top w:val="single" w:sz="4" w:space="0" w:color="auto"/>
              <w:bottom w:val="single" w:sz="4" w:space="0" w:color="auto"/>
              <w:right w:val="single" w:sz="4" w:space="0" w:color="auto"/>
            </w:tcBorders>
          </w:tcPr>
          <w:p w14:paraId="73844B08" w14:textId="77777777" w:rsidR="00E40A40" w:rsidRPr="00A152B0" w:rsidRDefault="00E40A40" w:rsidP="007B7066">
            <w:pPr>
              <w:autoSpaceDE w:val="0"/>
              <w:autoSpaceDN w:val="0"/>
              <w:adjustRightInd w:val="0"/>
              <w:jc w:val="center"/>
              <w:rPr>
                <w:rFonts w:ascii="Times New Roman" w:hAnsi="Times New Roman" w:cs="Times New Roman"/>
                <w:sz w:val="18"/>
              </w:rPr>
            </w:pPr>
            <w:r w:rsidRPr="00A152B0">
              <w:rPr>
                <w:rFonts w:ascii="Times New Roman" w:hAnsi="Times New Roman" w:cs="Times New Roman"/>
                <w:sz w:val="18"/>
              </w:rPr>
              <w:t>Correlation (VWC and CFO)</w:t>
            </w:r>
          </w:p>
        </w:tc>
        <w:tc>
          <w:tcPr>
            <w:tcW w:w="691" w:type="pct"/>
            <w:gridSpan w:val="2"/>
            <w:tcBorders>
              <w:top w:val="single" w:sz="4" w:space="0" w:color="auto"/>
              <w:left w:val="single" w:sz="4" w:space="0" w:color="auto"/>
              <w:bottom w:val="single" w:sz="4" w:space="0" w:color="auto"/>
            </w:tcBorders>
            <w:vAlign w:val="center"/>
          </w:tcPr>
          <w:p w14:paraId="353F630D" w14:textId="77777777" w:rsidR="00E40A40" w:rsidRPr="00A152B0" w:rsidRDefault="00E40A40" w:rsidP="007B7066">
            <w:pPr>
              <w:autoSpaceDE w:val="0"/>
              <w:autoSpaceDN w:val="0"/>
              <w:adjustRightInd w:val="0"/>
              <w:jc w:val="center"/>
              <w:rPr>
                <w:rFonts w:ascii="Times New Roman" w:hAnsi="Times New Roman" w:cs="Times New Roman"/>
                <w:sz w:val="18"/>
              </w:rPr>
            </w:pPr>
            <w:r w:rsidRPr="00A152B0">
              <w:rPr>
                <w:rFonts w:ascii="Times New Roman" w:hAnsi="Times New Roman" w:cs="Times New Roman"/>
                <w:sz w:val="18"/>
              </w:rPr>
              <w:t>0.644**</w:t>
            </w:r>
          </w:p>
        </w:tc>
        <w:tc>
          <w:tcPr>
            <w:tcW w:w="691" w:type="pct"/>
            <w:gridSpan w:val="2"/>
            <w:tcBorders>
              <w:top w:val="single" w:sz="4" w:space="0" w:color="auto"/>
              <w:bottom w:val="single" w:sz="4" w:space="0" w:color="auto"/>
            </w:tcBorders>
            <w:vAlign w:val="center"/>
          </w:tcPr>
          <w:p w14:paraId="5BC7A7FD" w14:textId="77777777" w:rsidR="00E40A40" w:rsidRPr="00A152B0" w:rsidRDefault="00E40A40" w:rsidP="007B7066">
            <w:pPr>
              <w:autoSpaceDE w:val="0"/>
              <w:autoSpaceDN w:val="0"/>
              <w:adjustRightInd w:val="0"/>
              <w:jc w:val="center"/>
              <w:rPr>
                <w:rFonts w:ascii="Times New Roman" w:hAnsi="Times New Roman" w:cs="Times New Roman"/>
                <w:sz w:val="18"/>
              </w:rPr>
            </w:pPr>
            <w:r w:rsidRPr="00A152B0">
              <w:rPr>
                <w:rFonts w:ascii="Times New Roman" w:hAnsi="Times New Roman" w:cs="Times New Roman"/>
                <w:sz w:val="18"/>
              </w:rPr>
              <w:t>0.597**</w:t>
            </w:r>
          </w:p>
        </w:tc>
        <w:tc>
          <w:tcPr>
            <w:tcW w:w="702" w:type="pct"/>
            <w:gridSpan w:val="2"/>
            <w:tcBorders>
              <w:top w:val="single" w:sz="4" w:space="0" w:color="auto"/>
              <w:bottom w:val="single" w:sz="4" w:space="0" w:color="auto"/>
            </w:tcBorders>
            <w:vAlign w:val="center"/>
          </w:tcPr>
          <w:p w14:paraId="15846C94" w14:textId="77777777" w:rsidR="00E40A40" w:rsidRPr="00A152B0" w:rsidRDefault="00E40A40" w:rsidP="007B7066">
            <w:pPr>
              <w:autoSpaceDE w:val="0"/>
              <w:autoSpaceDN w:val="0"/>
              <w:adjustRightInd w:val="0"/>
              <w:jc w:val="center"/>
              <w:rPr>
                <w:rFonts w:ascii="Times New Roman" w:hAnsi="Times New Roman" w:cs="Times New Roman"/>
                <w:sz w:val="18"/>
              </w:rPr>
            </w:pPr>
            <w:r w:rsidRPr="00A152B0">
              <w:rPr>
                <w:rFonts w:ascii="Times New Roman" w:hAnsi="Times New Roman" w:cs="Times New Roman"/>
                <w:sz w:val="18"/>
              </w:rPr>
              <w:t>0.583**</w:t>
            </w:r>
          </w:p>
        </w:tc>
        <w:tc>
          <w:tcPr>
            <w:tcW w:w="702" w:type="pct"/>
            <w:gridSpan w:val="3"/>
            <w:tcBorders>
              <w:top w:val="single" w:sz="4" w:space="0" w:color="auto"/>
              <w:bottom w:val="single" w:sz="4" w:space="0" w:color="auto"/>
            </w:tcBorders>
            <w:vAlign w:val="center"/>
          </w:tcPr>
          <w:p w14:paraId="1446312D" w14:textId="77777777" w:rsidR="00E40A40" w:rsidRPr="00A152B0" w:rsidRDefault="00E40A40" w:rsidP="007B7066">
            <w:pPr>
              <w:autoSpaceDE w:val="0"/>
              <w:autoSpaceDN w:val="0"/>
              <w:adjustRightInd w:val="0"/>
              <w:jc w:val="center"/>
              <w:rPr>
                <w:rFonts w:ascii="Times New Roman" w:hAnsi="Times New Roman" w:cs="Times New Roman"/>
                <w:sz w:val="18"/>
              </w:rPr>
            </w:pPr>
            <w:r w:rsidRPr="00A152B0">
              <w:rPr>
                <w:rFonts w:ascii="Times New Roman" w:hAnsi="Times New Roman" w:cs="Times New Roman"/>
                <w:sz w:val="18"/>
              </w:rPr>
              <w:t>0.814**</w:t>
            </w:r>
          </w:p>
        </w:tc>
        <w:tc>
          <w:tcPr>
            <w:tcW w:w="698" w:type="pct"/>
            <w:gridSpan w:val="3"/>
            <w:tcBorders>
              <w:top w:val="single" w:sz="4" w:space="0" w:color="auto"/>
              <w:bottom w:val="single" w:sz="4" w:space="0" w:color="auto"/>
            </w:tcBorders>
            <w:vAlign w:val="center"/>
          </w:tcPr>
          <w:p w14:paraId="63D942CB" w14:textId="77777777" w:rsidR="00E40A40" w:rsidRPr="00A152B0" w:rsidRDefault="00E40A40" w:rsidP="007B7066">
            <w:pPr>
              <w:autoSpaceDE w:val="0"/>
              <w:autoSpaceDN w:val="0"/>
              <w:adjustRightInd w:val="0"/>
              <w:jc w:val="center"/>
              <w:rPr>
                <w:rFonts w:ascii="Times New Roman" w:hAnsi="Times New Roman" w:cs="Times New Roman"/>
                <w:sz w:val="18"/>
              </w:rPr>
            </w:pPr>
            <w:r w:rsidRPr="00A152B0">
              <w:rPr>
                <w:rFonts w:ascii="Times New Roman" w:hAnsi="Times New Roman" w:cs="Times New Roman"/>
                <w:sz w:val="18"/>
              </w:rPr>
              <w:t>0.637**</w:t>
            </w:r>
          </w:p>
        </w:tc>
        <w:tc>
          <w:tcPr>
            <w:tcW w:w="756" w:type="pct"/>
            <w:gridSpan w:val="3"/>
            <w:tcBorders>
              <w:top w:val="single" w:sz="4" w:space="0" w:color="auto"/>
              <w:bottom w:val="single" w:sz="4" w:space="0" w:color="auto"/>
            </w:tcBorders>
            <w:vAlign w:val="center"/>
          </w:tcPr>
          <w:p w14:paraId="20E44F79" w14:textId="77777777" w:rsidR="00E40A40" w:rsidRPr="00A152B0" w:rsidRDefault="00E40A40" w:rsidP="007B7066">
            <w:pPr>
              <w:autoSpaceDE w:val="0"/>
              <w:autoSpaceDN w:val="0"/>
              <w:adjustRightInd w:val="0"/>
              <w:jc w:val="center"/>
              <w:rPr>
                <w:rFonts w:ascii="Times New Roman" w:hAnsi="Times New Roman" w:cs="Times New Roman"/>
                <w:sz w:val="18"/>
              </w:rPr>
            </w:pPr>
            <w:r w:rsidRPr="00A152B0">
              <w:rPr>
                <w:rFonts w:ascii="Times New Roman" w:hAnsi="Times New Roman" w:cs="Times New Roman"/>
                <w:sz w:val="18"/>
              </w:rPr>
              <w:t>0.581**</w:t>
            </w:r>
          </w:p>
        </w:tc>
      </w:tr>
      <w:tr w:rsidR="007F15D8" w:rsidRPr="00952DC1" w14:paraId="425E85DC" w14:textId="77777777" w:rsidTr="00215E9A">
        <w:tc>
          <w:tcPr>
            <w:tcW w:w="761" w:type="pct"/>
            <w:tcBorders>
              <w:top w:val="single" w:sz="4" w:space="0" w:color="auto"/>
              <w:bottom w:val="single" w:sz="4" w:space="0" w:color="auto"/>
              <w:right w:val="single" w:sz="4" w:space="0" w:color="auto"/>
            </w:tcBorders>
          </w:tcPr>
          <w:p w14:paraId="5D35E877" w14:textId="77777777" w:rsidR="00E40A40" w:rsidRPr="00A152B0" w:rsidRDefault="00E40A40" w:rsidP="007B7066">
            <w:pPr>
              <w:autoSpaceDE w:val="0"/>
              <w:autoSpaceDN w:val="0"/>
              <w:adjustRightInd w:val="0"/>
              <w:jc w:val="center"/>
              <w:rPr>
                <w:rFonts w:ascii="Times New Roman" w:hAnsi="Times New Roman" w:cs="Times New Roman"/>
                <w:sz w:val="18"/>
              </w:rPr>
            </w:pPr>
            <w:r w:rsidRPr="00A152B0">
              <w:rPr>
                <w:rFonts w:ascii="Times New Roman" w:hAnsi="Times New Roman" w:cs="Times New Roman"/>
                <w:sz w:val="18"/>
              </w:rPr>
              <w:t>Correlation (VWC and CFO-1)</w:t>
            </w:r>
          </w:p>
        </w:tc>
        <w:tc>
          <w:tcPr>
            <w:tcW w:w="691" w:type="pct"/>
            <w:gridSpan w:val="2"/>
            <w:tcBorders>
              <w:top w:val="single" w:sz="4" w:space="0" w:color="auto"/>
              <w:left w:val="single" w:sz="4" w:space="0" w:color="auto"/>
              <w:bottom w:val="single" w:sz="4" w:space="0" w:color="auto"/>
            </w:tcBorders>
            <w:vAlign w:val="center"/>
          </w:tcPr>
          <w:p w14:paraId="78241497" w14:textId="77777777" w:rsidR="00E40A40" w:rsidRPr="00A152B0" w:rsidRDefault="00E40A40" w:rsidP="007B7066">
            <w:pPr>
              <w:autoSpaceDE w:val="0"/>
              <w:autoSpaceDN w:val="0"/>
              <w:adjustRightInd w:val="0"/>
              <w:jc w:val="center"/>
              <w:rPr>
                <w:rFonts w:ascii="Times New Roman" w:hAnsi="Times New Roman" w:cs="Times New Roman"/>
                <w:sz w:val="18"/>
              </w:rPr>
            </w:pPr>
            <w:r w:rsidRPr="00A152B0">
              <w:rPr>
                <w:rFonts w:ascii="Times New Roman" w:hAnsi="Times New Roman" w:cs="Times New Roman"/>
                <w:sz w:val="18"/>
              </w:rPr>
              <w:t>0.716**</w:t>
            </w:r>
          </w:p>
        </w:tc>
        <w:tc>
          <w:tcPr>
            <w:tcW w:w="691" w:type="pct"/>
            <w:gridSpan w:val="2"/>
            <w:tcBorders>
              <w:top w:val="single" w:sz="4" w:space="0" w:color="auto"/>
              <w:bottom w:val="single" w:sz="4" w:space="0" w:color="auto"/>
            </w:tcBorders>
            <w:vAlign w:val="center"/>
          </w:tcPr>
          <w:p w14:paraId="1B36CC42" w14:textId="77777777" w:rsidR="00E40A40" w:rsidRPr="00A152B0" w:rsidRDefault="00E40A40" w:rsidP="007B7066">
            <w:pPr>
              <w:autoSpaceDE w:val="0"/>
              <w:autoSpaceDN w:val="0"/>
              <w:adjustRightInd w:val="0"/>
              <w:jc w:val="center"/>
              <w:rPr>
                <w:rFonts w:ascii="Times New Roman" w:hAnsi="Times New Roman" w:cs="Times New Roman"/>
                <w:sz w:val="18"/>
              </w:rPr>
            </w:pPr>
            <w:r w:rsidRPr="00A152B0">
              <w:rPr>
                <w:rFonts w:ascii="Times New Roman" w:hAnsi="Times New Roman" w:cs="Times New Roman"/>
                <w:sz w:val="18"/>
              </w:rPr>
              <w:t>0.545**</w:t>
            </w:r>
          </w:p>
        </w:tc>
        <w:tc>
          <w:tcPr>
            <w:tcW w:w="702" w:type="pct"/>
            <w:gridSpan w:val="2"/>
            <w:tcBorders>
              <w:top w:val="single" w:sz="4" w:space="0" w:color="auto"/>
              <w:bottom w:val="single" w:sz="4" w:space="0" w:color="auto"/>
            </w:tcBorders>
            <w:vAlign w:val="center"/>
          </w:tcPr>
          <w:p w14:paraId="2046CCEE" w14:textId="77777777" w:rsidR="00E40A40" w:rsidRPr="00A152B0" w:rsidRDefault="00E40A40" w:rsidP="007B7066">
            <w:pPr>
              <w:autoSpaceDE w:val="0"/>
              <w:autoSpaceDN w:val="0"/>
              <w:adjustRightInd w:val="0"/>
              <w:jc w:val="center"/>
              <w:rPr>
                <w:rFonts w:ascii="Times New Roman" w:hAnsi="Times New Roman" w:cs="Times New Roman"/>
                <w:sz w:val="18"/>
              </w:rPr>
            </w:pPr>
            <w:r w:rsidRPr="00A152B0">
              <w:rPr>
                <w:rFonts w:ascii="Times New Roman" w:hAnsi="Times New Roman" w:cs="Times New Roman"/>
                <w:sz w:val="18"/>
              </w:rPr>
              <w:t>0.536**</w:t>
            </w:r>
          </w:p>
        </w:tc>
        <w:tc>
          <w:tcPr>
            <w:tcW w:w="702" w:type="pct"/>
            <w:gridSpan w:val="3"/>
            <w:tcBorders>
              <w:top w:val="single" w:sz="4" w:space="0" w:color="auto"/>
              <w:bottom w:val="single" w:sz="4" w:space="0" w:color="auto"/>
            </w:tcBorders>
            <w:vAlign w:val="center"/>
          </w:tcPr>
          <w:p w14:paraId="57308ED7" w14:textId="77777777" w:rsidR="00E40A40" w:rsidRPr="00A152B0" w:rsidRDefault="00E40A40" w:rsidP="007B7066">
            <w:pPr>
              <w:autoSpaceDE w:val="0"/>
              <w:autoSpaceDN w:val="0"/>
              <w:adjustRightInd w:val="0"/>
              <w:jc w:val="center"/>
              <w:rPr>
                <w:rFonts w:ascii="Times New Roman" w:hAnsi="Times New Roman" w:cs="Times New Roman"/>
                <w:sz w:val="18"/>
              </w:rPr>
            </w:pPr>
            <w:r w:rsidRPr="00A152B0">
              <w:rPr>
                <w:rFonts w:ascii="Times New Roman" w:hAnsi="Times New Roman" w:cs="Times New Roman"/>
                <w:sz w:val="18"/>
              </w:rPr>
              <w:t>0.686**</w:t>
            </w:r>
          </w:p>
        </w:tc>
        <w:tc>
          <w:tcPr>
            <w:tcW w:w="698" w:type="pct"/>
            <w:gridSpan w:val="3"/>
            <w:tcBorders>
              <w:top w:val="single" w:sz="4" w:space="0" w:color="auto"/>
              <w:bottom w:val="single" w:sz="4" w:space="0" w:color="auto"/>
            </w:tcBorders>
            <w:vAlign w:val="center"/>
          </w:tcPr>
          <w:p w14:paraId="7CE4B9C6" w14:textId="77777777" w:rsidR="00E40A40" w:rsidRPr="00A152B0" w:rsidRDefault="00E40A40" w:rsidP="007B7066">
            <w:pPr>
              <w:autoSpaceDE w:val="0"/>
              <w:autoSpaceDN w:val="0"/>
              <w:adjustRightInd w:val="0"/>
              <w:jc w:val="center"/>
              <w:rPr>
                <w:rFonts w:ascii="Times New Roman" w:hAnsi="Times New Roman" w:cs="Times New Roman"/>
                <w:sz w:val="18"/>
              </w:rPr>
            </w:pPr>
            <w:r w:rsidRPr="00A152B0">
              <w:rPr>
                <w:rFonts w:ascii="Times New Roman" w:hAnsi="Times New Roman" w:cs="Times New Roman"/>
                <w:sz w:val="18"/>
              </w:rPr>
              <w:t>0.632**</w:t>
            </w:r>
          </w:p>
        </w:tc>
        <w:tc>
          <w:tcPr>
            <w:tcW w:w="756" w:type="pct"/>
            <w:gridSpan w:val="3"/>
            <w:tcBorders>
              <w:top w:val="single" w:sz="4" w:space="0" w:color="auto"/>
              <w:bottom w:val="single" w:sz="4" w:space="0" w:color="auto"/>
            </w:tcBorders>
            <w:vAlign w:val="center"/>
          </w:tcPr>
          <w:p w14:paraId="6DB7E1CE" w14:textId="77777777" w:rsidR="00E40A40" w:rsidRPr="00A152B0" w:rsidRDefault="00E40A40" w:rsidP="007B7066">
            <w:pPr>
              <w:autoSpaceDE w:val="0"/>
              <w:autoSpaceDN w:val="0"/>
              <w:adjustRightInd w:val="0"/>
              <w:jc w:val="center"/>
              <w:rPr>
                <w:rFonts w:ascii="Times New Roman" w:hAnsi="Times New Roman" w:cs="Times New Roman"/>
                <w:sz w:val="18"/>
              </w:rPr>
            </w:pPr>
            <w:r w:rsidRPr="00A152B0">
              <w:rPr>
                <w:rFonts w:ascii="Times New Roman" w:hAnsi="Times New Roman" w:cs="Times New Roman"/>
                <w:sz w:val="18"/>
              </w:rPr>
              <w:t>0.422**</w:t>
            </w:r>
          </w:p>
        </w:tc>
      </w:tr>
      <w:tr w:rsidR="007F15D8" w:rsidRPr="00952DC1" w14:paraId="14534F7B" w14:textId="77777777" w:rsidTr="00215E9A">
        <w:tc>
          <w:tcPr>
            <w:tcW w:w="761" w:type="pct"/>
            <w:tcBorders>
              <w:top w:val="single" w:sz="4" w:space="0" w:color="auto"/>
              <w:bottom w:val="single" w:sz="4" w:space="0" w:color="auto"/>
              <w:right w:val="single" w:sz="4" w:space="0" w:color="auto"/>
            </w:tcBorders>
          </w:tcPr>
          <w:p w14:paraId="3F4223A9" w14:textId="77777777" w:rsidR="00E40A40" w:rsidRPr="00A152B0" w:rsidRDefault="00E40A40" w:rsidP="007B7066">
            <w:pPr>
              <w:autoSpaceDE w:val="0"/>
              <w:autoSpaceDN w:val="0"/>
              <w:adjustRightInd w:val="0"/>
              <w:jc w:val="center"/>
              <w:rPr>
                <w:rFonts w:ascii="Times New Roman" w:hAnsi="Times New Roman" w:cs="Times New Roman"/>
                <w:sz w:val="18"/>
              </w:rPr>
            </w:pPr>
            <w:r w:rsidRPr="00A152B0">
              <w:rPr>
                <w:rFonts w:ascii="Times New Roman" w:hAnsi="Times New Roman" w:cs="Times New Roman"/>
                <w:sz w:val="18"/>
              </w:rPr>
              <w:t>Correlation (VWC and CFO+1)</w:t>
            </w:r>
          </w:p>
        </w:tc>
        <w:tc>
          <w:tcPr>
            <w:tcW w:w="691" w:type="pct"/>
            <w:gridSpan w:val="2"/>
            <w:tcBorders>
              <w:top w:val="single" w:sz="4" w:space="0" w:color="auto"/>
              <w:left w:val="single" w:sz="4" w:space="0" w:color="auto"/>
              <w:bottom w:val="single" w:sz="4" w:space="0" w:color="auto"/>
            </w:tcBorders>
            <w:vAlign w:val="center"/>
          </w:tcPr>
          <w:p w14:paraId="675EE2F5" w14:textId="77777777" w:rsidR="00E40A40" w:rsidRPr="00A152B0" w:rsidRDefault="00E40A40" w:rsidP="007B7066">
            <w:pPr>
              <w:autoSpaceDE w:val="0"/>
              <w:autoSpaceDN w:val="0"/>
              <w:adjustRightInd w:val="0"/>
              <w:jc w:val="center"/>
              <w:rPr>
                <w:rFonts w:ascii="Times New Roman" w:hAnsi="Times New Roman" w:cs="Times New Roman"/>
                <w:sz w:val="18"/>
              </w:rPr>
            </w:pPr>
            <w:r w:rsidRPr="00A152B0">
              <w:rPr>
                <w:rFonts w:ascii="Times New Roman" w:hAnsi="Times New Roman" w:cs="Times New Roman"/>
                <w:sz w:val="18"/>
              </w:rPr>
              <w:t>0.683**</w:t>
            </w:r>
          </w:p>
        </w:tc>
        <w:tc>
          <w:tcPr>
            <w:tcW w:w="691" w:type="pct"/>
            <w:gridSpan w:val="2"/>
            <w:tcBorders>
              <w:top w:val="single" w:sz="4" w:space="0" w:color="auto"/>
              <w:bottom w:val="single" w:sz="4" w:space="0" w:color="auto"/>
            </w:tcBorders>
            <w:vAlign w:val="center"/>
          </w:tcPr>
          <w:p w14:paraId="3E35C5AB" w14:textId="77777777" w:rsidR="00E40A40" w:rsidRPr="00A152B0" w:rsidRDefault="00E40A40" w:rsidP="007B7066">
            <w:pPr>
              <w:autoSpaceDE w:val="0"/>
              <w:autoSpaceDN w:val="0"/>
              <w:adjustRightInd w:val="0"/>
              <w:jc w:val="center"/>
              <w:rPr>
                <w:rFonts w:ascii="Times New Roman" w:hAnsi="Times New Roman" w:cs="Times New Roman"/>
                <w:sz w:val="18"/>
              </w:rPr>
            </w:pPr>
            <w:r w:rsidRPr="00A152B0">
              <w:rPr>
                <w:rFonts w:ascii="Times New Roman" w:hAnsi="Times New Roman" w:cs="Times New Roman"/>
                <w:sz w:val="18"/>
              </w:rPr>
              <w:t>0.556**</w:t>
            </w:r>
          </w:p>
        </w:tc>
        <w:tc>
          <w:tcPr>
            <w:tcW w:w="702" w:type="pct"/>
            <w:gridSpan w:val="2"/>
            <w:tcBorders>
              <w:top w:val="single" w:sz="4" w:space="0" w:color="auto"/>
              <w:bottom w:val="single" w:sz="4" w:space="0" w:color="auto"/>
            </w:tcBorders>
            <w:vAlign w:val="center"/>
          </w:tcPr>
          <w:p w14:paraId="2FED03D8" w14:textId="77777777" w:rsidR="00E40A40" w:rsidRPr="00A152B0" w:rsidRDefault="00E40A40" w:rsidP="007B7066">
            <w:pPr>
              <w:autoSpaceDE w:val="0"/>
              <w:autoSpaceDN w:val="0"/>
              <w:adjustRightInd w:val="0"/>
              <w:jc w:val="center"/>
              <w:rPr>
                <w:rFonts w:ascii="Times New Roman" w:hAnsi="Times New Roman" w:cs="Times New Roman"/>
                <w:sz w:val="18"/>
              </w:rPr>
            </w:pPr>
            <w:r w:rsidRPr="00A152B0">
              <w:rPr>
                <w:rFonts w:ascii="Times New Roman" w:hAnsi="Times New Roman" w:cs="Times New Roman"/>
                <w:sz w:val="18"/>
              </w:rPr>
              <w:t>0.692**</w:t>
            </w:r>
          </w:p>
        </w:tc>
        <w:tc>
          <w:tcPr>
            <w:tcW w:w="702" w:type="pct"/>
            <w:gridSpan w:val="3"/>
            <w:tcBorders>
              <w:top w:val="single" w:sz="4" w:space="0" w:color="auto"/>
              <w:bottom w:val="single" w:sz="4" w:space="0" w:color="auto"/>
            </w:tcBorders>
            <w:vAlign w:val="center"/>
          </w:tcPr>
          <w:p w14:paraId="32B93D53" w14:textId="77777777" w:rsidR="00E40A40" w:rsidRPr="00A152B0" w:rsidRDefault="00E40A40" w:rsidP="007B7066">
            <w:pPr>
              <w:autoSpaceDE w:val="0"/>
              <w:autoSpaceDN w:val="0"/>
              <w:adjustRightInd w:val="0"/>
              <w:jc w:val="center"/>
              <w:rPr>
                <w:rFonts w:ascii="Times New Roman" w:hAnsi="Times New Roman" w:cs="Times New Roman"/>
                <w:sz w:val="18"/>
              </w:rPr>
            </w:pPr>
            <w:r w:rsidRPr="00A152B0">
              <w:rPr>
                <w:rFonts w:ascii="Times New Roman" w:hAnsi="Times New Roman" w:cs="Times New Roman"/>
                <w:sz w:val="18"/>
              </w:rPr>
              <w:t>0.843**</w:t>
            </w:r>
          </w:p>
        </w:tc>
        <w:tc>
          <w:tcPr>
            <w:tcW w:w="698" w:type="pct"/>
            <w:gridSpan w:val="3"/>
            <w:tcBorders>
              <w:top w:val="single" w:sz="4" w:space="0" w:color="auto"/>
              <w:bottom w:val="single" w:sz="4" w:space="0" w:color="auto"/>
            </w:tcBorders>
            <w:vAlign w:val="center"/>
          </w:tcPr>
          <w:p w14:paraId="07727A6A" w14:textId="77777777" w:rsidR="00E40A40" w:rsidRPr="00A152B0" w:rsidRDefault="00E40A40" w:rsidP="007B7066">
            <w:pPr>
              <w:autoSpaceDE w:val="0"/>
              <w:autoSpaceDN w:val="0"/>
              <w:adjustRightInd w:val="0"/>
              <w:jc w:val="center"/>
              <w:rPr>
                <w:rFonts w:ascii="Times New Roman" w:hAnsi="Times New Roman" w:cs="Times New Roman"/>
                <w:sz w:val="18"/>
              </w:rPr>
            </w:pPr>
            <w:r w:rsidRPr="00A152B0">
              <w:rPr>
                <w:rFonts w:ascii="Times New Roman" w:hAnsi="Times New Roman" w:cs="Times New Roman"/>
                <w:sz w:val="18"/>
              </w:rPr>
              <w:t>0.762**</w:t>
            </w:r>
          </w:p>
        </w:tc>
        <w:tc>
          <w:tcPr>
            <w:tcW w:w="756" w:type="pct"/>
            <w:gridSpan w:val="3"/>
            <w:tcBorders>
              <w:top w:val="single" w:sz="4" w:space="0" w:color="auto"/>
              <w:bottom w:val="single" w:sz="4" w:space="0" w:color="auto"/>
            </w:tcBorders>
            <w:vAlign w:val="center"/>
          </w:tcPr>
          <w:p w14:paraId="4DCEDF24" w14:textId="77777777" w:rsidR="00E40A40" w:rsidRPr="00A152B0" w:rsidRDefault="00E40A40" w:rsidP="007B7066">
            <w:pPr>
              <w:autoSpaceDE w:val="0"/>
              <w:autoSpaceDN w:val="0"/>
              <w:adjustRightInd w:val="0"/>
              <w:jc w:val="center"/>
              <w:rPr>
                <w:rFonts w:ascii="Times New Roman" w:hAnsi="Times New Roman" w:cs="Times New Roman"/>
                <w:sz w:val="18"/>
              </w:rPr>
            </w:pPr>
            <w:r w:rsidRPr="00A152B0">
              <w:rPr>
                <w:rFonts w:ascii="Times New Roman" w:hAnsi="Times New Roman" w:cs="Times New Roman"/>
                <w:sz w:val="18"/>
              </w:rPr>
              <w:t>0.558**</w:t>
            </w:r>
          </w:p>
        </w:tc>
      </w:tr>
      <w:tr w:rsidR="007F15D8" w:rsidRPr="00952DC1" w14:paraId="19542233" w14:textId="77777777" w:rsidTr="00215E9A">
        <w:trPr>
          <w:trHeight w:val="340"/>
        </w:trPr>
        <w:tc>
          <w:tcPr>
            <w:tcW w:w="761" w:type="pct"/>
            <w:tcBorders>
              <w:top w:val="single" w:sz="4" w:space="0" w:color="auto"/>
              <w:bottom w:val="single" w:sz="4" w:space="0" w:color="auto"/>
              <w:right w:val="single" w:sz="4" w:space="0" w:color="auto"/>
            </w:tcBorders>
          </w:tcPr>
          <w:p w14:paraId="5B1CEEA2" w14:textId="77777777" w:rsidR="00E40A40" w:rsidRPr="00A152B0" w:rsidRDefault="00E40A40" w:rsidP="007B7066">
            <w:pPr>
              <w:autoSpaceDE w:val="0"/>
              <w:autoSpaceDN w:val="0"/>
              <w:adjustRightInd w:val="0"/>
              <w:jc w:val="center"/>
              <w:rPr>
                <w:rFonts w:ascii="Times New Roman" w:hAnsi="Times New Roman" w:cs="Times New Roman"/>
                <w:sz w:val="18"/>
              </w:rPr>
            </w:pPr>
            <w:r w:rsidRPr="00A152B0">
              <w:rPr>
                <w:rFonts w:ascii="Times New Roman" w:hAnsi="Times New Roman" w:cs="Times New Roman"/>
                <w:sz w:val="18"/>
              </w:rPr>
              <w:t>P-value</w:t>
            </w:r>
          </w:p>
        </w:tc>
        <w:tc>
          <w:tcPr>
            <w:tcW w:w="691" w:type="pct"/>
            <w:gridSpan w:val="2"/>
            <w:tcBorders>
              <w:top w:val="single" w:sz="4" w:space="0" w:color="auto"/>
              <w:left w:val="single" w:sz="4" w:space="0" w:color="auto"/>
              <w:bottom w:val="single" w:sz="4" w:space="0" w:color="auto"/>
            </w:tcBorders>
            <w:vAlign w:val="center"/>
          </w:tcPr>
          <w:p w14:paraId="7FFBAB98" w14:textId="77777777" w:rsidR="00E40A40" w:rsidRPr="00A152B0" w:rsidRDefault="00E40A40" w:rsidP="006311F8">
            <w:pPr>
              <w:autoSpaceDE w:val="0"/>
              <w:autoSpaceDN w:val="0"/>
              <w:adjustRightInd w:val="0"/>
              <w:ind w:leftChars="-100" w:left="-220"/>
              <w:jc w:val="center"/>
              <w:rPr>
                <w:rFonts w:ascii="Times New Roman" w:hAnsi="Times New Roman" w:cs="Times New Roman"/>
                <w:sz w:val="18"/>
              </w:rPr>
            </w:pPr>
            <w:r w:rsidRPr="00A152B0">
              <w:rPr>
                <w:rFonts w:ascii="Times New Roman" w:hAnsi="Times New Roman" w:cs="Times New Roman"/>
                <w:sz w:val="18"/>
              </w:rPr>
              <w:t>0.000</w:t>
            </w:r>
          </w:p>
        </w:tc>
        <w:tc>
          <w:tcPr>
            <w:tcW w:w="691" w:type="pct"/>
            <w:gridSpan w:val="2"/>
            <w:tcBorders>
              <w:top w:val="single" w:sz="4" w:space="0" w:color="auto"/>
              <w:bottom w:val="single" w:sz="4" w:space="0" w:color="auto"/>
            </w:tcBorders>
            <w:vAlign w:val="center"/>
          </w:tcPr>
          <w:p w14:paraId="74F2D1E3" w14:textId="77777777" w:rsidR="00E40A40" w:rsidRPr="00A152B0" w:rsidRDefault="00E40A40" w:rsidP="006311F8">
            <w:pPr>
              <w:ind w:leftChars="-100" w:left="-220"/>
              <w:jc w:val="center"/>
              <w:rPr>
                <w:sz w:val="18"/>
              </w:rPr>
            </w:pPr>
            <w:r w:rsidRPr="00A152B0">
              <w:rPr>
                <w:rFonts w:ascii="Times New Roman" w:hAnsi="Times New Roman" w:cs="Times New Roman"/>
                <w:sz w:val="18"/>
              </w:rPr>
              <w:t>0.000</w:t>
            </w:r>
          </w:p>
        </w:tc>
        <w:tc>
          <w:tcPr>
            <w:tcW w:w="702" w:type="pct"/>
            <w:gridSpan w:val="2"/>
            <w:tcBorders>
              <w:top w:val="single" w:sz="4" w:space="0" w:color="auto"/>
              <w:bottom w:val="single" w:sz="4" w:space="0" w:color="auto"/>
            </w:tcBorders>
            <w:vAlign w:val="center"/>
          </w:tcPr>
          <w:p w14:paraId="226AF26B" w14:textId="77777777" w:rsidR="00E40A40" w:rsidRPr="00A152B0" w:rsidRDefault="00E40A40" w:rsidP="006311F8">
            <w:pPr>
              <w:ind w:leftChars="-100" w:left="-220"/>
              <w:jc w:val="center"/>
              <w:rPr>
                <w:sz w:val="18"/>
              </w:rPr>
            </w:pPr>
            <w:r w:rsidRPr="00A152B0">
              <w:rPr>
                <w:rFonts w:ascii="Times New Roman" w:hAnsi="Times New Roman" w:cs="Times New Roman"/>
                <w:sz w:val="18"/>
              </w:rPr>
              <w:t>0.000</w:t>
            </w:r>
          </w:p>
        </w:tc>
        <w:tc>
          <w:tcPr>
            <w:tcW w:w="702" w:type="pct"/>
            <w:gridSpan w:val="3"/>
            <w:tcBorders>
              <w:top w:val="single" w:sz="4" w:space="0" w:color="auto"/>
              <w:bottom w:val="single" w:sz="4" w:space="0" w:color="auto"/>
            </w:tcBorders>
            <w:vAlign w:val="center"/>
          </w:tcPr>
          <w:p w14:paraId="7BE2BD92" w14:textId="77777777" w:rsidR="00E40A40" w:rsidRPr="00A152B0" w:rsidRDefault="00E40A40" w:rsidP="006311F8">
            <w:pPr>
              <w:ind w:leftChars="-100" w:left="-220"/>
              <w:jc w:val="center"/>
              <w:rPr>
                <w:sz w:val="18"/>
              </w:rPr>
            </w:pPr>
            <w:r w:rsidRPr="00A152B0">
              <w:rPr>
                <w:rFonts w:ascii="Times New Roman" w:hAnsi="Times New Roman" w:cs="Times New Roman"/>
                <w:sz w:val="18"/>
              </w:rPr>
              <w:t>0.000</w:t>
            </w:r>
          </w:p>
        </w:tc>
        <w:tc>
          <w:tcPr>
            <w:tcW w:w="698" w:type="pct"/>
            <w:gridSpan w:val="3"/>
            <w:tcBorders>
              <w:top w:val="single" w:sz="4" w:space="0" w:color="auto"/>
              <w:bottom w:val="single" w:sz="4" w:space="0" w:color="auto"/>
            </w:tcBorders>
            <w:vAlign w:val="center"/>
          </w:tcPr>
          <w:p w14:paraId="448F8DEA" w14:textId="77777777" w:rsidR="00E40A40" w:rsidRPr="00A152B0" w:rsidRDefault="00E40A40" w:rsidP="006311F8">
            <w:pPr>
              <w:ind w:leftChars="-100" w:left="-220"/>
              <w:jc w:val="center"/>
              <w:rPr>
                <w:sz w:val="18"/>
              </w:rPr>
            </w:pPr>
            <w:r w:rsidRPr="00A152B0">
              <w:rPr>
                <w:rFonts w:ascii="Times New Roman" w:hAnsi="Times New Roman" w:cs="Times New Roman"/>
                <w:sz w:val="18"/>
              </w:rPr>
              <w:t>0.000</w:t>
            </w:r>
          </w:p>
        </w:tc>
        <w:tc>
          <w:tcPr>
            <w:tcW w:w="756" w:type="pct"/>
            <w:gridSpan w:val="3"/>
            <w:tcBorders>
              <w:top w:val="single" w:sz="4" w:space="0" w:color="auto"/>
              <w:bottom w:val="single" w:sz="4" w:space="0" w:color="auto"/>
            </w:tcBorders>
            <w:vAlign w:val="center"/>
          </w:tcPr>
          <w:p w14:paraId="524417DC" w14:textId="77777777" w:rsidR="00E40A40" w:rsidRPr="00A152B0" w:rsidRDefault="00E40A40" w:rsidP="006311F8">
            <w:pPr>
              <w:ind w:leftChars="-100" w:left="-220"/>
              <w:jc w:val="center"/>
              <w:rPr>
                <w:sz w:val="18"/>
              </w:rPr>
            </w:pPr>
            <w:r w:rsidRPr="00A152B0">
              <w:rPr>
                <w:rFonts w:ascii="Times New Roman" w:hAnsi="Times New Roman" w:cs="Times New Roman"/>
                <w:sz w:val="18"/>
              </w:rPr>
              <w:t>0.000</w:t>
            </w:r>
          </w:p>
        </w:tc>
      </w:tr>
      <w:tr w:rsidR="007F15D8" w:rsidRPr="00952DC1" w14:paraId="235FE192" w14:textId="77777777" w:rsidTr="00215E9A">
        <w:tc>
          <w:tcPr>
            <w:tcW w:w="761" w:type="pct"/>
            <w:tcBorders>
              <w:top w:val="single" w:sz="4" w:space="0" w:color="auto"/>
              <w:bottom w:val="single" w:sz="4" w:space="0" w:color="auto"/>
              <w:right w:val="single" w:sz="4" w:space="0" w:color="auto"/>
            </w:tcBorders>
          </w:tcPr>
          <w:p w14:paraId="4BB0B8BF" w14:textId="77777777" w:rsidR="00E40A40" w:rsidRPr="00A152B0" w:rsidRDefault="00E40A40" w:rsidP="007B7066">
            <w:pPr>
              <w:tabs>
                <w:tab w:val="left" w:pos="4536"/>
              </w:tabs>
              <w:autoSpaceDE w:val="0"/>
              <w:autoSpaceDN w:val="0"/>
              <w:adjustRightInd w:val="0"/>
              <w:jc w:val="center"/>
              <w:rPr>
                <w:rFonts w:ascii="Times New Roman" w:hAnsi="Times New Roman" w:cs="Times New Roman"/>
                <w:sz w:val="18"/>
              </w:rPr>
            </w:pPr>
            <w:r w:rsidRPr="00A152B0">
              <w:rPr>
                <w:rFonts w:ascii="Times New Roman" w:hAnsi="Times New Roman" w:cs="Times New Roman"/>
                <w:sz w:val="18"/>
              </w:rPr>
              <w:t>EQ(VWC)- Residual</w:t>
            </w:r>
          </w:p>
        </w:tc>
        <w:tc>
          <w:tcPr>
            <w:tcW w:w="691" w:type="pct"/>
            <w:gridSpan w:val="2"/>
            <w:tcBorders>
              <w:top w:val="single" w:sz="4" w:space="0" w:color="auto"/>
              <w:left w:val="single" w:sz="4" w:space="0" w:color="auto"/>
              <w:bottom w:val="single" w:sz="4" w:space="0" w:color="auto"/>
            </w:tcBorders>
            <w:vAlign w:val="center"/>
          </w:tcPr>
          <w:p w14:paraId="55AC5665" w14:textId="77777777" w:rsidR="00E40A40" w:rsidRPr="00A152B0" w:rsidRDefault="00E40A40" w:rsidP="006311F8">
            <w:pPr>
              <w:tabs>
                <w:tab w:val="left" w:pos="4536"/>
              </w:tabs>
              <w:autoSpaceDE w:val="0"/>
              <w:autoSpaceDN w:val="0"/>
              <w:adjustRightInd w:val="0"/>
              <w:ind w:leftChars="50" w:left="110"/>
              <w:rPr>
                <w:rFonts w:ascii="Times New Roman" w:hAnsi="Times New Roman" w:cs="Times New Roman"/>
                <w:sz w:val="18"/>
              </w:rPr>
            </w:pPr>
            <w:r w:rsidRPr="00A152B0">
              <w:rPr>
                <w:rFonts w:ascii="Times New Roman" w:hAnsi="Times New Roman" w:cs="Times New Roman"/>
                <w:sz w:val="18"/>
              </w:rPr>
              <w:t>63.866</w:t>
            </w:r>
          </w:p>
        </w:tc>
        <w:tc>
          <w:tcPr>
            <w:tcW w:w="691" w:type="pct"/>
            <w:gridSpan w:val="2"/>
            <w:tcBorders>
              <w:top w:val="single" w:sz="4" w:space="0" w:color="auto"/>
              <w:bottom w:val="single" w:sz="4" w:space="0" w:color="auto"/>
            </w:tcBorders>
            <w:vAlign w:val="center"/>
          </w:tcPr>
          <w:p w14:paraId="4F7B46D1" w14:textId="77777777" w:rsidR="00E40A40" w:rsidRPr="00A152B0" w:rsidRDefault="00E40A40" w:rsidP="00A152B0">
            <w:pPr>
              <w:tabs>
                <w:tab w:val="left" w:pos="4536"/>
              </w:tabs>
              <w:autoSpaceDE w:val="0"/>
              <w:autoSpaceDN w:val="0"/>
              <w:adjustRightInd w:val="0"/>
              <w:ind w:leftChars="60" w:left="132"/>
              <w:rPr>
                <w:rFonts w:ascii="Times New Roman" w:hAnsi="Times New Roman" w:cs="Times New Roman"/>
                <w:sz w:val="18"/>
              </w:rPr>
            </w:pPr>
            <w:r w:rsidRPr="00A152B0">
              <w:rPr>
                <w:rFonts w:ascii="Times New Roman" w:hAnsi="Times New Roman" w:cs="Times New Roman"/>
                <w:sz w:val="18"/>
              </w:rPr>
              <w:t>48.685</w:t>
            </w:r>
          </w:p>
        </w:tc>
        <w:tc>
          <w:tcPr>
            <w:tcW w:w="702" w:type="pct"/>
            <w:gridSpan w:val="2"/>
            <w:tcBorders>
              <w:top w:val="single" w:sz="4" w:space="0" w:color="auto"/>
              <w:bottom w:val="single" w:sz="4" w:space="0" w:color="auto"/>
            </w:tcBorders>
            <w:vAlign w:val="center"/>
          </w:tcPr>
          <w:p w14:paraId="4758AFDE" w14:textId="77777777" w:rsidR="00E40A40" w:rsidRPr="00A152B0" w:rsidRDefault="00E40A40" w:rsidP="00A152B0">
            <w:pPr>
              <w:tabs>
                <w:tab w:val="left" w:pos="4536"/>
              </w:tabs>
              <w:autoSpaceDE w:val="0"/>
              <w:autoSpaceDN w:val="0"/>
              <w:adjustRightInd w:val="0"/>
              <w:ind w:leftChars="70" w:left="154"/>
              <w:rPr>
                <w:rFonts w:ascii="Times New Roman" w:hAnsi="Times New Roman" w:cs="Times New Roman"/>
                <w:sz w:val="18"/>
              </w:rPr>
            </w:pPr>
            <w:r w:rsidRPr="00A152B0">
              <w:rPr>
                <w:rFonts w:ascii="Times New Roman" w:hAnsi="Times New Roman" w:cs="Times New Roman"/>
                <w:sz w:val="18"/>
              </w:rPr>
              <w:t>8.385</w:t>
            </w:r>
          </w:p>
        </w:tc>
        <w:tc>
          <w:tcPr>
            <w:tcW w:w="702" w:type="pct"/>
            <w:gridSpan w:val="3"/>
            <w:tcBorders>
              <w:top w:val="single" w:sz="4" w:space="0" w:color="auto"/>
              <w:bottom w:val="single" w:sz="4" w:space="0" w:color="auto"/>
            </w:tcBorders>
            <w:vAlign w:val="center"/>
          </w:tcPr>
          <w:p w14:paraId="305FBFBA" w14:textId="77777777" w:rsidR="00E40A40" w:rsidRPr="00A152B0" w:rsidRDefault="00E40A40" w:rsidP="00A152B0">
            <w:pPr>
              <w:tabs>
                <w:tab w:val="left" w:pos="4536"/>
              </w:tabs>
              <w:autoSpaceDE w:val="0"/>
              <w:autoSpaceDN w:val="0"/>
              <w:adjustRightInd w:val="0"/>
              <w:ind w:leftChars="70" w:left="154"/>
              <w:rPr>
                <w:rFonts w:ascii="Times New Roman" w:hAnsi="Times New Roman" w:cs="Times New Roman"/>
                <w:sz w:val="18"/>
              </w:rPr>
            </w:pPr>
            <w:r w:rsidRPr="00A152B0">
              <w:rPr>
                <w:rFonts w:ascii="Times New Roman" w:hAnsi="Times New Roman" w:cs="Times New Roman"/>
                <w:sz w:val="18"/>
              </w:rPr>
              <w:t>2.549</w:t>
            </w:r>
          </w:p>
        </w:tc>
        <w:tc>
          <w:tcPr>
            <w:tcW w:w="698" w:type="pct"/>
            <w:gridSpan w:val="3"/>
            <w:tcBorders>
              <w:top w:val="single" w:sz="4" w:space="0" w:color="auto"/>
              <w:bottom w:val="single" w:sz="4" w:space="0" w:color="auto"/>
            </w:tcBorders>
            <w:vAlign w:val="center"/>
          </w:tcPr>
          <w:p w14:paraId="644B0182" w14:textId="77777777" w:rsidR="00E40A40" w:rsidRPr="00A152B0" w:rsidRDefault="00E40A40" w:rsidP="00A152B0">
            <w:pPr>
              <w:tabs>
                <w:tab w:val="left" w:pos="4536"/>
              </w:tabs>
              <w:autoSpaceDE w:val="0"/>
              <w:autoSpaceDN w:val="0"/>
              <w:adjustRightInd w:val="0"/>
              <w:ind w:leftChars="70" w:left="154"/>
              <w:rPr>
                <w:rFonts w:ascii="Times New Roman" w:hAnsi="Times New Roman" w:cs="Times New Roman"/>
                <w:sz w:val="18"/>
              </w:rPr>
            </w:pPr>
            <w:r w:rsidRPr="00A152B0">
              <w:rPr>
                <w:rFonts w:ascii="Times New Roman" w:hAnsi="Times New Roman" w:cs="Times New Roman"/>
                <w:sz w:val="18"/>
              </w:rPr>
              <w:t>3.760</w:t>
            </w:r>
          </w:p>
        </w:tc>
        <w:tc>
          <w:tcPr>
            <w:tcW w:w="756" w:type="pct"/>
            <w:gridSpan w:val="3"/>
            <w:tcBorders>
              <w:top w:val="single" w:sz="4" w:space="0" w:color="auto"/>
              <w:bottom w:val="single" w:sz="4" w:space="0" w:color="auto"/>
            </w:tcBorders>
            <w:vAlign w:val="center"/>
          </w:tcPr>
          <w:p w14:paraId="2C85C83F" w14:textId="77777777" w:rsidR="00E40A40" w:rsidRPr="00A152B0" w:rsidRDefault="00E40A40" w:rsidP="00A152B0">
            <w:pPr>
              <w:tabs>
                <w:tab w:val="left" w:pos="4536"/>
              </w:tabs>
              <w:autoSpaceDE w:val="0"/>
              <w:autoSpaceDN w:val="0"/>
              <w:adjustRightInd w:val="0"/>
              <w:ind w:leftChars="70" w:left="154"/>
              <w:rPr>
                <w:rFonts w:ascii="Times New Roman" w:hAnsi="Times New Roman" w:cs="Times New Roman"/>
                <w:sz w:val="18"/>
              </w:rPr>
            </w:pPr>
            <w:r w:rsidRPr="00A152B0">
              <w:rPr>
                <w:rFonts w:ascii="Times New Roman" w:hAnsi="Times New Roman" w:cs="Times New Roman"/>
                <w:sz w:val="18"/>
              </w:rPr>
              <w:t>16.552</w:t>
            </w:r>
          </w:p>
        </w:tc>
      </w:tr>
      <w:tr w:rsidR="007F15D8" w:rsidRPr="00952DC1" w14:paraId="3FBFCBB3" w14:textId="77777777" w:rsidTr="00215E9A">
        <w:tc>
          <w:tcPr>
            <w:tcW w:w="761" w:type="pct"/>
            <w:tcBorders>
              <w:top w:val="single" w:sz="4" w:space="0" w:color="auto"/>
              <w:bottom w:val="single" w:sz="4" w:space="0" w:color="auto"/>
              <w:right w:val="single" w:sz="4" w:space="0" w:color="auto"/>
            </w:tcBorders>
          </w:tcPr>
          <w:p w14:paraId="305D58DC" w14:textId="77777777" w:rsidR="00E40A40" w:rsidRPr="00A152B0" w:rsidRDefault="00E40A40" w:rsidP="007B7066">
            <w:pPr>
              <w:tabs>
                <w:tab w:val="left" w:pos="4536"/>
              </w:tabs>
              <w:autoSpaceDE w:val="0"/>
              <w:autoSpaceDN w:val="0"/>
              <w:adjustRightInd w:val="0"/>
              <w:jc w:val="center"/>
              <w:rPr>
                <w:rFonts w:ascii="Times New Roman" w:hAnsi="Times New Roman" w:cs="Times New Roman"/>
                <w:sz w:val="18"/>
              </w:rPr>
            </w:pPr>
            <w:r w:rsidRPr="00A152B0">
              <w:rPr>
                <w:rFonts w:ascii="Times New Roman" w:hAnsi="Times New Roman" w:cs="Times New Roman"/>
                <w:sz w:val="18"/>
              </w:rPr>
              <w:t>SD of Residual</w:t>
            </w:r>
          </w:p>
        </w:tc>
        <w:tc>
          <w:tcPr>
            <w:tcW w:w="691" w:type="pct"/>
            <w:gridSpan w:val="2"/>
            <w:tcBorders>
              <w:top w:val="single" w:sz="4" w:space="0" w:color="auto"/>
              <w:left w:val="single" w:sz="4" w:space="0" w:color="auto"/>
              <w:bottom w:val="single" w:sz="4" w:space="0" w:color="auto"/>
            </w:tcBorders>
            <w:vAlign w:val="center"/>
          </w:tcPr>
          <w:p w14:paraId="0826B9F4" w14:textId="77777777" w:rsidR="00E40A40" w:rsidRPr="00A152B0" w:rsidRDefault="00E40A40" w:rsidP="006311F8">
            <w:pPr>
              <w:tabs>
                <w:tab w:val="left" w:pos="4536"/>
              </w:tabs>
              <w:autoSpaceDE w:val="0"/>
              <w:autoSpaceDN w:val="0"/>
              <w:adjustRightInd w:val="0"/>
              <w:ind w:leftChars="-120" w:left="-264"/>
              <w:jc w:val="center"/>
              <w:rPr>
                <w:rFonts w:ascii="Times New Roman" w:hAnsi="Times New Roman" w:cs="Times New Roman"/>
                <w:sz w:val="18"/>
              </w:rPr>
            </w:pPr>
            <w:r w:rsidRPr="00A152B0">
              <w:rPr>
                <w:rFonts w:ascii="Times New Roman" w:hAnsi="Times New Roman" w:cs="Times New Roman"/>
                <w:sz w:val="18"/>
              </w:rPr>
              <w:t>0.577</w:t>
            </w:r>
          </w:p>
        </w:tc>
        <w:tc>
          <w:tcPr>
            <w:tcW w:w="691" w:type="pct"/>
            <w:gridSpan w:val="2"/>
            <w:tcBorders>
              <w:top w:val="single" w:sz="4" w:space="0" w:color="auto"/>
              <w:bottom w:val="single" w:sz="4" w:space="0" w:color="auto"/>
            </w:tcBorders>
            <w:vAlign w:val="center"/>
          </w:tcPr>
          <w:p w14:paraId="50B88ACC" w14:textId="77777777" w:rsidR="00E40A40" w:rsidRPr="00A152B0" w:rsidRDefault="00E40A40" w:rsidP="006311F8">
            <w:pPr>
              <w:tabs>
                <w:tab w:val="left" w:pos="4536"/>
              </w:tabs>
              <w:autoSpaceDE w:val="0"/>
              <w:autoSpaceDN w:val="0"/>
              <w:adjustRightInd w:val="0"/>
              <w:ind w:leftChars="-120" w:left="-264"/>
              <w:jc w:val="center"/>
              <w:rPr>
                <w:rFonts w:ascii="Times New Roman" w:hAnsi="Times New Roman" w:cs="Times New Roman"/>
                <w:sz w:val="18"/>
              </w:rPr>
            </w:pPr>
            <w:r w:rsidRPr="00A152B0">
              <w:rPr>
                <w:rFonts w:ascii="Times New Roman" w:hAnsi="Times New Roman" w:cs="Times New Roman"/>
                <w:sz w:val="18"/>
              </w:rPr>
              <w:t>0.504</w:t>
            </w:r>
          </w:p>
        </w:tc>
        <w:tc>
          <w:tcPr>
            <w:tcW w:w="702" w:type="pct"/>
            <w:gridSpan w:val="2"/>
            <w:tcBorders>
              <w:top w:val="single" w:sz="4" w:space="0" w:color="auto"/>
              <w:bottom w:val="single" w:sz="4" w:space="0" w:color="auto"/>
            </w:tcBorders>
            <w:vAlign w:val="center"/>
          </w:tcPr>
          <w:p w14:paraId="52B1A70C" w14:textId="77777777" w:rsidR="00E40A40" w:rsidRPr="00A152B0" w:rsidRDefault="00E40A40" w:rsidP="006311F8">
            <w:pPr>
              <w:tabs>
                <w:tab w:val="left" w:pos="4536"/>
              </w:tabs>
              <w:autoSpaceDE w:val="0"/>
              <w:autoSpaceDN w:val="0"/>
              <w:adjustRightInd w:val="0"/>
              <w:ind w:leftChars="-120" w:left="-264"/>
              <w:jc w:val="center"/>
              <w:rPr>
                <w:rFonts w:ascii="Times New Roman" w:hAnsi="Times New Roman" w:cs="Times New Roman"/>
                <w:sz w:val="18"/>
              </w:rPr>
            </w:pPr>
            <w:r w:rsidRPr="00A152B0">
              <w:rPr>
                <w:rFonts w:ascii="Times New Roman" w:hAnsi="Times New Roman" w:cs="Times New Roman"/>
                <w:sz w:val="18"/>
              </w:rPr>
              <w:t>0.504</w:t>
            </w:r>
          </w:p>
        </w:tc>
        <w:tc>
          <w:tcPr>
            <w:tcW w:w="702" w:type="pct"/>
            <w:gridSpan w:val="3"/>
            <w:tcBorders>
              <w:top w:val="single" w:sz="4" w:space="0" w:color="auto"/>
              <w:bottom w:val="single" w:sz="4" w:space="0" w:color="auto"/>
            </w:tcBorders>
            <w:vAlign w:val="center"/>
          </w:tcPr>
          <w:p w14:paraId="046269A1" w14:textId="77777777" w:rsidR="00E40A40" w:rsidRPr="00A152B0" w:rsidRDefault="00E40A40" w:rsidP="006311F8">
            <w:pPr>
              <w:tabs>
                <w:tab w:val="left" w:pos="4536"/>
              </w:tabs>
              <w:autoSpaceDE w:val="0"/>
              <w:autoSpaceDN w:val="0"/>
              <w:adjustRightInd w:val="0"/>
              <w:ind w:leftChars="-120" w:left="-264"/>
              <w:jc w:val="center"/>
              <w:rPr>
                <w:rFonts w:ascii="Times New Roman" w:hAnsi="Times New Roman" w:cs="Times New Roman"/>
                <w:sz w:val="18"/>
              </w:rPr>
            </w:pPr>
            <w:r w:rsidRPr="00A152B0">
              <w:rPr>
                <w:rFonts w:ascii="Times New Roman" w:hAnsi="Times New Roman" w:cs="Times New Roman"/>
                <w:sz w:val="18"/>
              </w:rPr>
              <w:t>0.348</w:t>
            </w:r>
          </w:p>
        </w:tc>
        <w:tc>
          <w:tcPr>
            <w:tcW w:w="698" w:type="pct"/>
            <w:gridSpan w:val="3"/>
            <w:tcBorders>
              <w:top w:val="single" w:sz="4" w:space="0" w:color="auto"/>
              <w:bottom w:val="single" w:sz="4" w:space="0" w:color="auto"/>
            </w:tcBorders>
            <w:vAlign w:val="center"/>
          </w:tcPr>
          <w:p w14:paraId="4E7AF90A" w14:textId="77777777" w:rsidR="00E40A40" w:rsidRPr="00A152B0" w:rsidRDefault="00E40A40" w:rsidP="006311F8">
            <w:pPr>
              <w:tabs>
                <w:tab w:val="left" w:pos="4536"/>
              </w:tabs>
              <w:autoSpaceDE w:val="0"/>
              <w:autoSpaceDN w:val="0"/>
              <w:adjustRightInd w:val="0"/>
              <w:ind w:leftChars="-120" w:left="-264"/>
              <w:jc w:val="center"/>
              <w:rPr>
                <w:rFonts w:ascii="Times New Roman" w:hAnsi="Times New Roman" w:cs="Times New Roman"/>
                <w:sz w:val="18"/>
              </w:rPr>
            </w:pPr>
            <w:r w:rsidRPr="00A152B0">
              <w:rPr>
                <w:rFonts w:ascii="Times New Roman" w:hAnsi="Times New Roman" w:cs="Times New Roman"/>
                <w:sz w:val="18"/>
              </w:rPr>
              <w:t>0.457</w:t>
            </w:r>
          </w:p>
        </w:tc>
        <w:tc>
          <w:tcPr>
            <w:tcW w:w="756" w:type="pct"/>
            <w:gridSpan w:val="3"/>
            <w:tcBorders>
              <w:top w:val="single" w:sz="4" w:space="0" w:color="auto"/>
              <w:bottom w:val="single" w:sz="4" w:space="0" w:color="auto"/>
            </w:tcBorders>
            <w:vAlign w:val="center"/>
          </w:tcPr>
          <w:p w14:paraId="5EB0CD45" w14:textId="77777777" w:rsidR="00E40A40" w:rsidRPr="00A152B0" w:rsidRDefault="00E40A40" w:rsidP="006311F8">
            <w:pPr>
              <w:tabs>
                <w:tab w:val="left" w:pos="4536"/>
              </w:tabs>
              <w:autoSpaceDE w:val="0"/>
              <w:autoSpaceDN w:val="0"/>
              <w:adjustRightInd w:val="0"/>
              <w:ind w:leftChars="-120" w:left="-264"/>
              <w:jc w:val="center"/>
              <w:rPr>
                <w:rFonts w:ascii="Times New Roman" w:hAnsi="Times New Roman" w:cs="Times New Roman"/>
                <w:sz w:val="18"/>
              </w:rPr>
            </w:pPr>
            <w:r w:rsidRPr="00A152B0">
              <w:rPr>
                <w:rFonts w:ascii="Times New Roman" w:hAnsi="Times New Roman" w:cs="Times New Roman"/>
                <w:sz w:val="18"/>
              </w:rPr>
              <w:t>0.559</w:t>
            </w:r>
          </w:p>
        </w:tc>
      </w:tr>
      <w:tr w:rsidR="007F15D8" w:rsidRPr="00952DC1" w14:paraId="58E20D85" w14:textId="77777777" w:rsidTr="00215E9A">
        <w:tc>
          <w:tcPr>
            <w:tcW w:w="761" w:type="pct"/>
            <w:tcBorders>
              <w:top w:val="single" w:sz="4" w:space="0" w:color="auto"/>
              <w:bottom w:val="single" w:sz="4" w:space="0" w:color="auto"/>
              <w:right w:val="single" w:sz="4" w:space="0" w:color="auto"/>
            </w:tcBorders>
          </w:tcPr>
          <w:p w14:paraId="3BF660A1" w14:textId="77777777" w:rsidR="00E40A40" w:rsidRPr="00A152B0" w:rsidRDefault="00E40A40" w:rsidP="007B7066">
            <w:pPr>
              <w:tabs>
                <w:tab w:val="left" w:pos="4536"/>
              </w:tabs>
              <w:autoSpaceDE w:val="0"/>
              <w:autoSpaceDN w:val="0"/>
              <w:adjustRightInd w:val="0"/>
              <w:jc w:val="center"/>
              <w:rPr>
                <w:rFonts w:ascii="Times New Roman" w:hAnsi="Times New Roman" w:cs="Times New Roman"/>
                <w:sz w:val="18"/>
              </w:rPr>
            </w:pPr>
            <w:r w:rsidRPr="00A152B0">
              <w:rPr>
                <w:rFonts w:ascii="Times New Roman" w:hAnsi="Times New Roman" w:cs="Times New Roman"/>
                <w:sz w:val="18"/>
              </w:rPr>
              <w:t>R-Square</w:t>
            </w:r>
          </w:p>
        </w:tc>
        <w:tc>
          <w:tcPr>
            <w:tcW w:w="691" w:type="pct"/>
            <w:gridSpan w:val="2"/>
            <w:tcBorders>
              <w:top w:val="single" w:sz="4" w:space="0" w:color="auto"/>
              <w:left w:val="single" w:sz="4" w:space="0" w:color="auto"/>
              <w:bottom w:val="single" w:sz="4" w:space="0" w:color="auto"/>
            </w:tcBorders>
            <w:vAlign w:val="center"/>
          </w:tcPr>
          <w:p w14:paraId="75E5C8B7" w14:textId="77777777" w:rsidR="00E40A40" w:rsidRPr="00A152B0" w:rsidRDefault="00E40A40" w:rsidP="007B7066">
            <w:pPr>
              <w:tabs>
                <w:tab w:val="left" w:pos="4536"/>
              </w:tabs>
              <w:autoSpaceDE w:val="0"/>
              <w:autoSpaceDN w:val="0"/>
              <w:adjustRightInd w:val="0"/>
              <w:jc w:val="center"/>
              <w:rPr>
                <w:rFonts w:ascii="Times New Roman" w:hAnsi="Times New Roman" w:cs="Times New Roman"/>
                <w:sz w:val="18"/>
              </w:rPr>
            </w:pPr>
            <w:r w:rsidRPr="00A152B0">
              <w:rPr>
                <w:rFonts w:ascii="Times New Roman" w:hAnsi="Times New Roman" w:cs="Times New Roman"/>
                <w:sz w:val="18"/>
              </w:rPr>
              <w:t>56.3%</w:t>
            </w:r>
          </w:p>
        </w:tc>
        <w:tc>
          <w:tcPr>
            <w:tcW w:w="691" w:type="pct"/>
            <w:gridSpan w:val="2"/>
            <w:tcBorders>
              <w:top w:val="single" w:sz="4" w:space="0" w:color="auto"/>
              <w:bottom w:val="single" w:sz="4" w:space="0" w:color="auto"/>
            </w:tcBorders>
            <w:vAlign w:val="center"/>
          </w:tcPr>
          <w:p w14:paraId="0B521895" w14:textId="77777777" w:rsidR="00E40A40" w:rsidRPr="00A152B0" w:rsidRDefault="00E40A40" w:rsidP="007B7066">
            <w:pPr>
              <w:tabs>
                <w:tab w:val="left" w:pos="4536"/>
              </w:tabs>
              <w:autoSpaceDE w:val="0"/>
              <w:autoSpaceDN w:val="0"/>
              <w:adjustRightInd w:val="0"/>
              <w:jc w:val="center"/>
              <w:rPr>
                <w:rFonts w:ascii="Times New Roman" w:hAnsi="Times New Roman" w:cs="Times New Roman"/>
                <w:sz w:val="18"/>
              </w:rPr>
            </w:pPr>
            <w:r w:rsidRPr="00A152B0">
              <w:rPr>
                <w:rFonts w:ascii="Times New Roman" w:hAnsi="Times New Roman" w:cs="Times New Roman"/>
                <w:sz w:val="18"/>
              </w:rPr>
              <w:t>46.2%</w:t>
            </w:r>
          </w:p>
        </w:tc>
        <w:tc>
          <w:tcPr>
            <w:tcW w:w="702" w:type="pct"/>
            <w:gridSpan w:val="2"/>
            <w:tcBorders>
              <w:top w:val="single" w:sz="4" w:space="0" w:color="auto"/>
              <w:bottom w:val="single" w:sz="4" w:space="0" w:color="auto"/>
            </w:tcBorders>
            <w:vAlign w:val="center"/>
          </w:tcPr>
          <w:p w14:paraId="6785C898" w14:textId="77777777" w:rsidR="00E40A40" w:rsidRPr="00A152B0" w:rsidRDefault="00E40A40" w:rsidP="007B7066">
            <w:pPr>
              <w:tabs>
                <w:tab w:val="left" w:pos="4536"/>
              </w:tabs>
              <w:autoSpaceDE w:val="0"/>
              <w:autoSpaceDN w:val="0"/>
              <w:adjustRightInd w:val="0"/>
              <w:jc w:val="center"/>
              <w:rPr>
                <w:rFonts w:ascii="Times New Roman" w:hAnsi="Times New Roman" w:cs="Times New Roman"/>
                <w:sz w:val="18"/>
              </w:rPr>
            </w:pPr>
            <w:r w:rsidRPr="00A152B0">
              <w:rPr>
                <w:rFonts w:ascii="Times New Roman" w:hAnsi="Times New Roman" w:cs="Times New Roman"/>
                <w:sz w:val="18"/>
              </w:rPr>
              <w:t>59.3%</w:t>
            </w:r>
          </w:p>
        </w:tc>
        <w:tc>
          <w:tcPr>
            <w:tcW w:w="702" w:type="pct"/>
            <w:gridSpan w:val="3"/>
            <w:tcBorders>
              <w:top w:val="single" w:sz="4" w:space="0" w:color="auto"/>
              <w:bottom w:val="single" w:sz="4" w:space="0" w:color="auto"/>
            </w:tcBorders>
            <w:vAlign w:val="center"/>
          </w:tcPr>
          <w:p w14:paraId="126D5F77" w14:textId="77777777" w:rsidR="00E40A40" w:rsidRPr="00A152B0" w:rsidRDefault="00E40A40" w:rsidP="007B7066">
            <w:pPr>
              <w:tabs>
                <w:tab w:val="left" w:pos="4536"/>
              </w:tabs>
              <w:autoSpaceDE w:val="0"/>
              <w:autoSpaceDN w:val="0"/>
              <w:adjustRightInd w:val="0"/>
              <w:jc w:val="center"/>
              <w:rPr>
                <w:rFonts w:ascii="Times New Roman" w:hAnsi="Times New Roman" w:cs="Times New Roman"/>
                <w:sz w:val="18"/>
              </w:rPr>
            </w:pPr>
            <w:r w:rsidRPr="00A152B0">
              <w:rPr>
                <w:rFonts w:ascii="Times New Roman" w:hAnsi="Times New Roman" w:cs="Times New Roman"/>
                <w:sz w:val="18"/>
              </w:rPr>
              <w:t>77.5%</w:t>
            </w:r>
          </w:p>
        </w:tc>
        <w:tc>
          <w:tcPr>
            <w:tcW w:w="698" w:type="pct"/>
            <w:gridSpan w:val="3"/>
            <w:tcBorders>
              <w:top w:val="single" w:sz="4" w:space="0" w:color="auto"/>
              <w:bottom w:val="single" w:sz="4" w:space="0" w:color="auto"/>
            </w:tcBorders>
            <w:vAlign w:val="center"/>
          </w:tcPr>
          <w:p w14:paraId="08F40F75" w14:textId="77777777" w:rsidR="00E40A40" w:rsidRPr="00A152B0" w:rsidRDefault="00E40A40" w:rsidP="007B7066">
            <w:pPr>
              <w:tabs>
                <w:tab w:val="left" w:pos="4536"/>
              </w:tabs>
              <w:autoSpaceDE w:val="0"/>
              <w:autoSpaceDN w:val="0"/>
              <w:adjustRightInd w:val="0"/>
              <w:jc w:val="center"/>
              <w:rPr>
                <w:rFonts w:ascii="Times New Roman" w:hAnsi="Times New Roman" w:cs="Times New Roman"/>
                <w:sz w:val="18"/>
              </w:rPr>
            </w:pPr>
            <w:r w:rsidRPr="00A152B0">
              <w:rPr>
                <w:rFonts w:ascii="Times New Roman" w:hAnsi="Times New Roman" w:cs="Times New Roman"/>
                <w:sz w:val="18"/>
              </w:rPr>
              <w:t>66.8%</w:t>
            </w:r>
          </w:p>
        </w:tc>
        <w:tc>
          <w:tcPr>
            <w:tcW w:w="756" w:type="pct"/>
            <w:gridSpan w:val="3"/>
            <w:tcBorders>
              <w:top w:val="single" w:sz="4" w:space="0" w:color="auto"/>
              <w:bottom w:val="single" w:sz="4" w:space="0" w:color="auto"/>
            </w:tcBorders>
            <w:vAlign w:val="center"/>
          </w:tcPr>
          <w:p w14:paraId="1601A9F6" w14:textId="77777777" w:rsidR="00E40A40" w:rsidRPr="00A152B0" w:rsidRDefault="00E40A40" w:rsidP="007B7066">
            <w:pPr>
              <w:tabs>
                <w:tab w:val="left" w:pos="4536"/>
              </w:tabs>
              <w:autoSpaceDE w:val="0"/>
              <w:autoSpaceDN w:val="0"/>
              <w:adjustRightInd w:val="0"/>
              <w:jc w:val="center"/>
              <w:rPr>
                <w:rFonts w:ascii="Times New Roman" w:hAnsi="Times New Roman" w:cs="Times New Roman"/>
                <w:sz w:val="18"/>
              </w:rPr>
            </w:pPr>
            <w:r w:rsidRPr="00A152B0">
              <w:rPr>
                <w:rFonts w:ascii="Times New Roman" w:hAnsi="Times New Roman" w:cs="Times New Roman"/>
                <w:sz w:val="18"/>
              </w:rPr>
              <w:t>51.8%</w:t>
            </w:r>
          </w:p>
        </w:tc>
      </w:tr>
    </w:tbl>
    <w:p w14:paraId="2BEC6F9E" w14:textId="161D7E31" w:rsidR="00FD4287" w:rsidRPr="00A152B0" w:rsidRDefault="00215E9A" w:rsidP="00A152B0">
      <w:pPr>
        <w:autoSpaceDE w:val="0"/>
        <w:autoSpaceDN w:val="0"/>
        <w:adjustRightInd w:val="0"/>
        <w:spacing w:after="0" w:line="360" w:lineRule="exact"/>
        <w:rPr>
          <w:rFonts w:asciiTheme="majorBidi" w:hAnsiTheme="majorBidi" w:cstheme="majorBidi"/>
          <w:szCs w:val="24"/>
        </w:rPr>
      </w:pPr>
      <w:r w:rsidRPr="00215E9A">
        <w:rPr>
          <w:rFonts w:asciiTheme="majorBidi" w:hAnsiTheme="majorBidi" w:cstheme="majorBidi"/>
          <w:i/>
          <w:szCs w:val="24"/>
        </w:rPr>
        <w:t>Note.</w:t>
      </w:r>
      <w:r>
        <w:rPr>
          <w:rFonts w:asciiTheme="majorBidi" w:hAnsiTheme="majorBidi" w:cstheme="majorBidi"/>
          <w:i/>
          <w:szCs w:val="24"/>
        </w:rPr>
        <w:t xml:space="preserve"> </w:t>
      </w:r>
      <w:r w:rsidR="00FD4287" w:rsidRPr="00A152B0">
        <w:rPr>
          <w:rFonts w:asciiTheme="majorBidi" w:hAnsiTheme="majorBidi" w:cstheme="majorBidi"/>
          <w:szCs w:val="24"/>
        </w:rPr>
        <w:t>**Correlation is significant at the 0.01 level (2-tailed).</w:t>
      </w:r>
    </w:p>
    <w:p w14:paraId="4A152C68" w14:textId="77777777" w:rsidR="007B7066" w:rsidRPr="00A152B0" w:rsidRDefault="007B7066" w:rsidP="00A152B0">
      <w:pPr>
        <w:adjustRightInd w:val="0"/>
        <w:snapToGrid w:val="0"/>
        <w:spacing w:after="0" w:line="360" w:lineRule="exact"/>
        <w:ind w:firstLineChars="200" w:firstLine="520"/>
        <w:jc w:val="both"/>
        <w:rPr>
          <w:rFonts w:ascii="Times New Roman" w:hAnsi="Times New Roman" w:cs="Times New Roman"/>
          <w:sz w:val="26"/>
        </w:rPr>
      </w:pPr>
    </w:p>
    <w:p w14:paraId="44379031" w14:textId="3F078A61" w:rsidR="00645D53" w:rsidRPr="00A152B0" w:rsidRDefault="009A4680" w:rsidP="00B730DC">
      <w:pPr>
        <w:adjustRightInd w:val="0"/>
        <w:snapToGrid w:val="0"/>
        <w:spacing w:after="0" w:line="360" w:lineRule="exact"/>
        <w:ind w:firstLineChars="200" w:firstLine="520"/>
        <w:jc w:val="both"/>
        <w:rPr>
          <w:rFonts w:ascii="Times New Roman" w:hAnsi="Times New Roman" w:cs="Times New Roman"/>
          <w:sz w:val="26"/>
          <w:szCs w:val="26"/>
        </w:rPr>
      </w:pPr>
      <w:r w:rsidRPr="00A152B0">
        <w:rPr>
          <w:rFonts w:ascii="Times New Roman" w:hAnsi="Times New Roman" w:cs="Times New Roman"/>
          <w:sz w:val="26"/>
          <w:szCs w:val="26"/>
        </w:rPr>
        <w:t>T</w:t>
      </w:r>
      <w:r w:rsidR="00645D53" w:rsidRPr="00A152B0">
        <w:rPr>
          <w:rFonts w:ascii="Times New Roman" w:hAnsi="Times New Roman" w:cs="Times New Roman"/>
          <w:sz w:val="26"/>
          <w:szCs w:val="26"/>
        </w:rPr>
        <w:t xml:space="preserve">he mean of operating cash flow is more than the mean of NIBE in all GCC </w:t>
      </w:r>
      <w:r w:rsidRPr="00A152B0">
        <w:rPr>
          <w:rFonts w:ascii="Times New Roman" w:hAnsi="Times New Roman" w:cs="Times New Roman"/>
          <w:sz w:val="26"/>
          <w:szCs w:val="26"/>
        </w:rPr>
        <w:t>countries</w:t>
      </w:r>
      <w:r w:rsidR="00A003B1">
        <w:rPr>
          <w:rFonts w:ascii="Times New Roman" w:hAnsi="Times New Roman" w:cs="Times New Roman"/>
          <w:sz w:val="26"/>
          <w:szCs w:val="26"/>
        </w:rPr>
        <w:t>,</w:t>
      </w:r>
      <w:r w:rsidR="00645D53" w:rsidRPr="00A152B0">
        <w:rPr>
          <w:rFonts w:ascii="Times New Roman" w:hAnsi="Times New Roman" w:cs="Times New Roman"/>
          <w:sz w:val="26"/>
          <w:szCs w:val="26"/>
        </w:rPr>
        <w:t xml:space="preserve"> but the difference between them is </w:t>
      </w:r>
      <w:r w:rsidRPr="00A152B0">
        <w:rPr>
          <w:rFonts w:ascii="Times New Roman" w:hAnsi="Times New Roman" w:cs="Times New Roman"/>
          <w:sz w:val="26"/>
          <w:szCs w:val="26"/>
        </w:rPr>
        <w:t>small</w:t>
      </w:r>
      <w:r w:rsidR="00645D53" w:rsidRPr="00A152B0">
        <w:rPr>
          <w:rFonts w:ascii="Times New Roman" w:hAnsi="Times New Roman" w:cs="Times New Roman"/>
          <w:sz w:val="26"/>
          <w:szCs w:val="26"/>
        </w:rPr>
        <w:t xml:space="preserve">. </w:t>
      </w:r>
      <w:r w:rsidRPr="00A152B0">
        <w:rPr>
          <w:rFonts w:ascii="Times New Roman" w:hAnsi="Times New Roman" w:cs="Times New Roman"/>
          <w:sz w:val="26"/>
          <w:szCs w:val="26"/>
        </w:rPr>
        <w:t>T</w:t>
      </w:r>
      <w:r w:rsidR="00645D53" w:rsidRPr="00A152B0">
        <w:rPr>
          <w:rFonts w:ascii="Times New Roman" w:hAnsi="Times New Roman" w:cs="Times New Roman"/>
          <w:sz w:val="26"/>
          <w:szCs w:val="26"/>
        </w:rPr>
        <w:t xml:space="preserve">here is </w:t>
      </w:r>
      <w:r w:rsidRPr="00A152B0">
        <w:rPr>
          <w:rFonts w:ascii="Times New Roman" w:hAnsi="Times New Roman" w:cs="Times New Roman"/>
          <w:sz w:val="26"/>
          <w:szCs w:val="26"/>
        </w:rPr>
        <w:t xml:space="preserve">also </w:t>
      </w:r>
      <w:r w:rsidR="00645D53" w:rsidRPr="00A152B0">
        <w:rPr>
          <w:rFonts w:ascii="Times New Roman" w:hAnsi="Times New Roman" w:cs="Times New Roman"/>
          <w:sz w:val="26"/>
          <w:szCs w:val="26"/>
        </w:rPr>
        <w:t>a positive and significant correlation between accruals and current, past</w:t>
      </w:r>
      <w:r w:rsidR="00A003B1">
        <w:rPr>
          <w:rFonts w:ascii="Times New Roman" w:hAnsi="Times New Roman" w:cs="Times New Roman"/>
          <w:sz w:val="26"/>
          <w:szCs w:val="26"/>
        </w:rPr>
        <w:t>,</w:t>
      </w:r>
      <w:r w:rsidR="00645D53" w:rsidRPr="00A152B0">
        <w:rPr>
          <w:rFonts w:ascii="Times New Roman" w:hAnsi="Times New Roman" w:cs="Times New Roman"/>
          <w:sz w:val="26"/>
          <w:szCs w:val="26"/>
        </w:rPr>
        <w:t xml:space="preserve"> and future operating cash flow in all six GCC countries. The result of the correlation between accruals and past and future CFO is in alignment with the argument of </w:t>
      </w:r>
      <w:proofErr w:type="spellStart"/>
      <w:r w:rsidR="00645D53" w:rsidRPr="00A152B0">
        <w:rPr>
          <w:rFonts w:ascii="Times New Roman" w:hAnsi="Times New Roman" w:cs="Times New Roman"/>
          <w:sz w:val="26"/>
          <w:szCs w:val="26"/>
        </w:rPr>
        <w:t>Dechow</w:t>
      </w:r>
      <w:proofErr w:type="spellEnd"/>
      <w:r w:rsidR="00645D53" w:rsidRPr="00A152B0">
        <w:rPr>
          <w:rFonts w:ascii="Times New Roman" w:hAnsi="Times New Roman" w:cs="Times New Roman"/>
          <w:sz w:val="26"/>
          <w:szCs w:val="26"/>
        </w:rPr>
        <w:t xml:space="preserve"> </w:t>
      </w:r>
      <w:r w:rsidR="00523653">
        <w:rPr>
          <w:rFonts w:ascii="Times New Roman" w:hAnsi="Times New Roman" w:cs="Times New Roman"/>
          <w:sz w:val="26"/>
          <w:szCs w:val="26"/>
        </w:rPr>
        <w:t>and</w:t>
      </w:r>
      <w:r w:rsidR="00645D53" w:rsidRPr="00A152B0">
        <w:rPr>
          <w:rFonts w:ascii="Times New Roman" w:hAnsi="Times New Roman" w:cs="Times New Roman"/>
          <w:sz w:val="26"/>
          <w:szCs w:val="26"/>
        </w:rPr>
        <w:t xml:space="preserve"> </w:t>
      </w:r>
      <w:proofErr w:type="spellStart"/>
      <w:r w:rsidR="00645D53" w:rsidRPr="00A152B0">
        <w:rPr>
          <w:rFonts w:ascii="Times New Roman" w:hAnsi="Times New Roman" w:cs="Times New Roman"/>
          <w:sz w:val="26"/>
          <w:szCs w:val="26"/>
        </w:rPr>
        <w:t>Dichev</w:t>
      </w:r>
      <w:proofErr w:type="spellEnd"/>
      <w:r w:rsidR="00645D53" w:rsidRPr="00A152B0">
        <w:rPr>
          <w:rFonts w:ascii="Times New Roman" w:hAnsi="Times New Roman" w:cs="Times New Roman"/>
          <w:sz w:val="26"/>
          <w:szCs w:val="26"/>
        </w:rPr>
        <w:t xml:space="preserve"> (2002)</w:t>
      </w:r>
      <w:r w:rsidRPr="00A152B0">
        <w:rPr>
          <w:rFonts w:ascii="Times New Roman" w:hAnsi="Times New Roman" w:cs="Times New Roman"/>
          <w:sz w:val="26"/>
          <w:szCs w:val="26"/>
        </w:rPr>
        <w:t>,</w:t>
      </w:r>
      <w:r w:rsidR="00645D53" w:rsidRPr="00A152B0">
        <w:rPr>
          <w:rFonts w:ascii="Times New Roman" w:hAnsi="Times New Roman" w:cs="Times New Roman"/>
          <w:sz w:val="26"/>
          <w:szCs w:val="26"/>
        </w:rPr>
        <w:t xml:space="preserve"> but it is inconsistent with respect to the correlation between accruals and current CFO. However, the most important point in this theory is the relationship between accruals and the future operating cash flow</w:t>
      </w:r>
      <w:r w:rsidR="00A003B1">
        <w:rPr>
          <w:rFonts w:ascii="Times New Roman" w:hAnsi="Times New Roman" w:cs="Times New Roman"/>
          <w:sz w:val="26"/>
          <w:szCs w:val="26"/>
        </w:rPr>
        <w:t>,</w:t>
      </w:r>
      <w:r w:rsidR="00645D53" w:rsidRPr="00A152B0">
        <w:rPr>
          <w:rFonts w:ascii="Times New Roman" w:hAnsi="Times New Roman" w:cs="Times New Roman"/>
          <w:sz w:val="26"/>
          <w:szCs w:val="26"/>
        </w:rPr>
        <w:t xml:space="preserve"> as s</w:t>
      </w:r>
      <w:r w:rsidR="007C75D5" w:rsidRPr="00A152B0">
        <w:rPr>
          <w:rFonts w:ascii="Times New Roman" w:hAnsi="Times New Roman" w:cs="Times New Roman"/>
          <w:sz w:val="26"/>
          <w:szCs w:val="26"/>
        </w:rPr>
        <w:t xml:space="preserve">uggested by </w:t>
      </w:r>
      <w:proofErr w:type="spellStart"/>
      <w:r w:rsidR="007C75D5" w:rsidRPr="00A152B0">
        <w:rPr>
          <w:rFonts w:ascii="Times New Roman" w:hAnsi="Times New Roman" w:cs="Times New Roman"/>
          <w:sz w:val="26"/>
          <w:szCs w:val="26"/>
        </w:rPr>
        <w:t>Dechow</w:t>
      </w:r>
      <w:proofErr w:type="spellEnd"/>
      <w:r w:rsidR="007C75D5" w:rsidRPr="00A152B0">
        <w:rPr>
          <w:rFonts w:ascii="Times New Roman" w:hAnsi="Times New Roman" w:cs="Times New Roman"/>
          <w:sz w:val="26"/>
          <w:szCs w:val="26"/>
        </w:rPr>
        <w:t xml:space="preserve"> </w:t>
      </w:r>
      <w:r w:rsidR="00523653">
        <w:rPr>
          <w:rFonts w:ascii="Times New Roman" w:hAnsi="Times New Roman" w:cs="Times New Roman"/>
          <w:sz w:val="26"/>
          <w:szCs w:val="26"/>
        </w:rPr>
        <w:t>and</w:t>
      </w:r>
      <w:r w:rsidR="007C75D5" w:rsidRPr="00A152B0">
        <w:rPr>
          <w:rFonts w:ascii="Times New Roman" w:hAnsi="Times New Roman" w:cs="Times New Roman"/>
          <w:sz w:val="26"/>
          <w:szCs w:val="26"/>
        </w:rPr>
        <w:t xml:space="preserve"> </w:t>
      </w:r>
      <w:proofErr w:type="spellStart"/>
      <w:r w:rsidR="007C75D5" w:rsidRPr="00A152B0">
        <w:rPr>
          <w:rFonts w:ascii="Times New Roman" w:hAnsi="Times New Roman" w:cs="Times New Roman"/>
          <w:sz w:val="26"/>
          <w:szCs w:val="26"/>
        </w:rPr>
        <w:t>Dichev</w:t>
      </w:r>
      <w:proofErr w:type="spellEnd"/>
      <w:r w:rsidR="007C75D5" w:rsidRPr="00A152B0">
        <w:rPr>
          <w:rFonts w:ascii="Times New Roman" w:hAnsi="Times New Roman" w:cs="Times New Roman"/>
          <w:sz w:val="26"/>
          <w:szCs w:val="26"/>
        </w:rPr>
        <w:t xml:space="preserve"> </w:t>
      </w:r>
      <w:r w:rsidRPr="00A152B0">
        <w:rPr>
          <w:rFonts w:ascii="Times New Roman" w:hAnsi="Times New Roman" w:cs="Times New Roman"/>
          <w:sz w:val="26"/>
          <w:szCs w:val="26"/>
        </w:rPr>
        <w:t>(</w:t>
      </w:r>
      <w:r w:rsidR="00645D53" w:rsidRPr="00A152B0">
        <w:rPr>
          <w:rFonts w:ascii="Times New Roman" w:hAnsi="Times New Roman" w:cs="Times New Roman"/>
          <w:sz w:val="26"/>
          <w:szCs w:val="26"/>
        </w:rPr>
        <w:t>2002)</w:t>
      </w:r>
      <w:r w:rsidR="00A003B1">
        <w:rPr>
          <w:rFonts w:ascii="Times New Roman" w:hAnsi="Times New Roman" w:cs="Times New Roman"/>
          <w:sz w:val="26"/>
          <w:szCs w:val="26"/>
        </w:rPr>
        <w:t>,</w:t>
      </w:r>
      <w:r w:rsidR="00645D53" w:rsidRPr="00A152B0">
        <w:rPr>
          <w:rFonts w:ascii="Times New Roman" w:hAnsi="Times New Roman" w:cs="Times New Roman"/>
          <w:sz w:val="26"/>
          <w:szCs w:val="26"/>
        </w:rPr>
        <w:t xml:space="preserve"> wh</w:t>
      </w:r>
      <w:r w:rsidR="00A003B1">
        <w:rPr>
          <w:rFonts w:ascii="Times New Roman" w:hAnsi="Times New Roman" w:cs="Times New Roman"/>
          <w:sz w:val="26"/>
          <w:szCs w:val="26"/>
        </w:rPr>
        <w:t>ich</w:t>
      </w:r>
      <w:r w:rsidR="00645D53" w:rsidRPr="00A152B0">
        <w:rPr>
          <w:rFonts w:ascii="Times New Roman" w:hAnsi="Times New Roman" w:cs="Times New Roman"/>
          <w:sz w:val="26"/>
          <w:szCs w:val="26"/>
        </w:rPr>
        <w:t xml:space="preserve"> defined good </w:t>
      </w:r>
      <w:r w:rsidR="006B1C85" w:rsidRPr="00A152B0">
        <w:rPr>
          <w:rFonts w:ascii="Times New Roman" w:hAnsi="Times New Roman" w:cs="Times New Roman"/>
          <w:sz w:val="26"/>
          <w:szCs w:val="26"/>
        </w:rPr>
        <w:t>EQ</w:t>
      </w:r>
      <w:r w:rsidR="00645D53" w:rsidRPr="00A152B0">
        <w:rPr>
          <w:rFonts w:ascii="Times New Roman" w:hAnsi="Times New Roman" w:cs="Times New Roman"/>
          <w:sz w:val="26"/>
          <w:szCs w:val="26"/>
        </w:rPr>
        <w:t xml:space="preserve"> as a good relation between accruals and future operating cash flow.</w:t>
      </w:r>
    </w:p>
    <w:p w14:paraId="22A3853D" w14:textId="2E71D3E6" w:rsidR="00645D53" w:rsidRPr="00A152B0" w:rsidRDefault="009A4680" w:rsidP="00A152B0">
      <w:pPr>
        <w:adjustRightInd w:val="0"/>
        <w:snapToGrid w:val="0"/>
        <w:spacing w:after="0" w:line="360" w:lineRule="exact"/>
        <w:ind w:firstLineChars="200" w:firstLine="520"/>
        <w:jc w:val="both"/>
        <w:rPr>
          <w:rFonts w:ascii="Times New Roman" w:hAnsi="Times New Roman" w:cs="Times New Roman"/>
          <w:sz w:val="26"/>
          <w:szCs w:val="26"/>
        </w:rPr>
      </w:pPr>
      <w:r w:rsidRPr="00A152B0">
        <w:rPr>
          <w:rFonts w:ascii="Times New Roman" w:hAnsi="Times New Roman" w:cs="Times New Roman"/>
          <w:sz w:val="26"/>
          <w:szCs w:val="26"/>
        </w:rPr>
        <w:t>T</w:t>
      </w:r>
      <w:r w:rsidR="00645D53" w:rsidRPr="00A152B0">
        <w:rPr>
          <w:rFonts w:ascii="Times New Roman" w:hAnsi="Times New Roman" w:cs="Times New Roman"/>
          <w:sz w:val="26"/>
          <w:szCs w:val="26"/>
        </w:rPr>
        <w:t>he result</w:t>
      </w:r>
      <w:r w:rsidRPr="00A152B0">
        <w:rPr>
          <w:rFonts w:ascii="Times New Roman" w:hAnsi="Times New Roman" w:cs="Times New Roman"/>
          <w:sz w:val="26"/>
          <w:szCs w:val="26"/>
        </w:rPr>
        <w:t>s</w:t>
      </w:r>
      <w:r w:rsidR="00645D53" w:rsidRPr="00A152B0">
        <w:rPr>
          <w:rFonts w:ascii="Times New Roman" w:hAnsi="Times New Roman" w:cs="Times New Roman"/>
          <w:sz w:val="26"/>
          <w:szCs w:val="26"/>
        </w:rPr>
        <w:t xml:space="preserve"> of EQ</w:t>
      </w:r>
      <w:r w:rsidRPr="00A152B0">
        <w:rPr>
          <w:rFonts w:ascii="Times New Roman" w:hAnsi="Times New Roman" w:cs="Times New Roman"/>
          <w:sz w:val="26"/>
          <w:szCs w:val="26"/>
        </w:rPr>
        <w:t>-</w:t>
      </w:r>
      <w:r w:rsidR="00645D53" w:rsidRPr="00A152B0">
        <w:rPr>
          <w:rFonts w:ascii="Times New Roman" w:hAnsi="Times New Roman" w:cs="Times New Roman"/>
          <w:sz w:val="26"/>
          <w:szCs w:val="26"/>
        </w:rPr>
        <w:t>AQ)</w:t>
      </w:r>
      <w:r w:rsidRPr="00A152B0">
        <w:rPr>
          <w:rFonts w:ascii="Times New Roman" w:hAnsi="Times New Roman" w:cs="Times New Roman"/>
          <w:sz w:val="26"/>
          <w:szCs w:val="26"/>
        </w:rPr>
        <w:t xml:space="preserve"> shows</w:t>
      </w:r>
      <w:r w:rsidR="00645D53" w:rsidRPr="00A152B0">
        <w:rPr>
          <w:rFonts w:ascii="Times New Roman" w:hAnsi="Times New Roman" w:cs="Times New Roman"/>
          <w:sz w:val="26"/>
          <w:szCs w:val="26"/>
        </w:rPr>
        <w:t xml:space="preserve"> </w:t>
      </w:r>
      <w:r w:rsidRPr="00A152B0">
        <w:rPr>
          <w:rFonts w:ascii="Times New Roman" w:hAnsi="Times New Roman" w:cs="Times New Roman"/>
          <w:sz w:val="26"/>
          <w:szCs w:val="26"/>
        </w:rPr>
        <w:t xml:space="preserve">that </w:t>
      </w:r>
      <w:r w:rsidR="00645D53" w:rsidRPr="00A152B0">
        <w:rPr>
          <w:rFonts w:ascii="Times New Roman" w:hAnsi="Times New Roman" w:cs="Times New Roman"/>
          <w:sz w:val="26"/>
          <w:szCs w:val="26"/>
        </w:rPr>
        <w:t xml:space="preserve">the less magnitude of residual or error estimation is found in Bahrain (2.549) with less </w:t>
      </w:r>
      <w:r w:rsidRPr="00A152B0">
        <w:rPr>
          <w:rFonts w:ascii="Times New Roman" w:hAnsi="Times New Roman" w:cs="Times New Roman"/>
          <w:sz w:val="26"/>
          <w:szCs w:val="26"/>
        </w:rPr>
        <w:t>SD</w:t>
      </w:r>
      <w:r w:rsidR="00645D53" w:rsidRPr="00A152B0">
        <w:rPr>
          <w:rFonts w:ascii="Times New Roman" w:hAnsi="Times New Roman" w:cs="Times New Roman"/>
          <w:sz w:val="26"/>
          <w:szCs w:val="26"/>
        </w:rPr>
        <w:t xml:space="preserve"> (0.348)</w:t>
      </w:r>
      <w:r w:rsidRPr="00A152B0">
        <w:rPr>
          <w:rFonts w:ascii="Times New Roman" w:hAnsi="Times New Roman" w:cs="Times New Roman"/>
          <w:sz w:val="26"/>
          <w:szCs w:val="26"/>
        </w:rPr>
        <w:t>,</w:t>
      </w:r>
      <w:r w:rsidR="00645D53" w:rsidRPr="00A152B0">
        <w:rPr>
          <w:rFonts w:ascii="Times New Roman" w:hAnsi="Times New Roman" w:cs="Times New Roman"/>
          <w:sz w:val="26"/>
          <w:szCs w:val="26"/>
        </w:rPr>
        <w:t xml:space="preserve"> and the highest magnitude of residual or error estimation is found in KSA (63.866) with high </w:t>
      </w:r>
      <w:r w:rsidRPr="00A152B0">
        <w:rPr>
          <w:rFonts w:ascii="Times New Roman" w:hAnsi="Times New Roman" w:cs="Times New Roman"/>
          <w:sz w:val="26"/>
          <w:szCs w:val="26"/>
        </w:rPr>
        <w:t>SD</w:t>
      </w:r>
      <w:r w:rsidR="00645D53" w:rsidRPr="00A152B0">
        <w:rPr>
          <w:rFonts w:ascii="Times New Roman" w:hAnsi="Times New Roman" w:cs="Times New Roman"/>
          <w:sz w:val="26"/>
          <w:szCs w:val="26"/>
        </w:rPr>
        <w:t xml:space="preserve"> (0.577). </w:t>
      </w:r>
      <w:r w:rsidRPr="00A152B0">
        <w:rPr>
          <w:rFonts w:ascii="Times New Roman" w:hAnsi="Times New Roman" w:cs="Times New Roman"/>
          <w:sz w:val="26"/>
          <w:szCs w:val="26"/>
        </w:rPr>
        <w:t>The</w:t>
      </w:r>
      <w:r w:rsidR="00645D53" w:rsidRPr="00A152B0">
        <w:rPr>
          <w:rFonts w:ascii="Times New Roman" w:hAnsi="Times New Roman" w:cs="Times New Roman"/>
          <w:sz w:val="26"/>
          <w:szCs w:val="26"/>
        </w:rPr>
        <w:t xml:space="preserve"> R</w:t>
      </w:r>
      <w:r w:rsidR="00645D53" w:rsidRPr="00A152B0">
        <w:rPr>
          <w:rFonts w:ascii="Times New Roman" w:hAnsi="Times New Roman" w:cs="Times New Roman"/>
          <w:sz w:val="26"/>
          <w:szCs w:val="26"/>
          <w:vertAlign w:val="superscript"/>
        </w:rPr>
        <w:t>2</w:t>
      </w:r>
      <w:r w:rsidR="00645D53" w:rsidRPr="00A152B0">
        <w:rPr>
          <w:rFonts w:ascii="Times New Roman" w:hAnsi="Times New Roman" w:cs="Times New Roman"/>
          <w:sz w:val="26"/>
          <w:szCs w:val="26"/>
        </w:rPr>
        <w:t xml:space="preserve"> </w:t>
      </w:r>
      <w:r w:rsidR="00645D53" w:rsidRPr="00A152B0">
        <w:rPr>
          <w:rFonts w:ascii="Times New Roman" w:hAnsi="Times New Roman" w:cs="Times New Roman"/>
          <w:sz w:val="26"/>
          <w:szCs w:val="26"/>
        </w:rPr>
        <w:lastRenderedPageBreak/>
        <w:t xml:space="preserve">supports these results and provides reasonable explanatory power for variation in working capital as the highest one is found in Bahrain (77.5%) and the lowest one is found in Oman (46.2%). </w:t>
      </w:r>
    </w:p>
    <w:p w14:paraId="763B3C0A" w14:textId="088AC18E" w:rsidR="00645D53" w:rsidRDefault="00645D53" w:rsidP="00B730DC">
      <w:pPr>
        <w:pStyle w:val="af7"/>
        <w:adjustRightInd w:val="0"/>
        <w:snapToGrid w:val="0"/>
        <w:spacing w:line="360" w:lineRule="exact"/>
        <w:ind w:firstLineChars="200" w:firstLine="520"/>
        <w:jc w:val="both"/>
        <w:rPr>
          <w:rFonts w:ascii="Times New Roman" w:hAnsi="Times New Roman" w:cs="Times New Roman"/>
          <w:sz w:val="26"/>
          <w:szCs w:val="26"/>
        </w:rPr>
      </w:pPr>
      <w:r w:rsidRPr="00A152B0">
        <w:rPr>
          <w:rFonts w:ascii="Times New Roman" w:hAnsi="Times New Roman" w:cs="Times New Roman"/>
          <w:sz w:val="26"/>
          <w:szCs w:val="26"/>
        </w:rPr>
        <w:t xml:space="preserve">In </w:t>
      </w:r>
      <w:r w:rsidR="009A4680" w:rsidRPr="00A152B0">
        <w:rPr>
          <w:rFonts w:ascii="Times New Roman" w:hAnsi="Times New Roman" w:cs="Times New Roman"/>
          <w:sz w:val="26"/>
          <w:szCs w:val="26"/>
        </w:rPr>
        <w:t>general</w:t>
      </w:r>
      <w:r w:rsidRPr="00A152B0">
        <w:rPr>
          <w:rFonts w:ascii="Times New Roman" w:hAnsi="Times New Roman" w:cs="Times New Roman"/>
          <w:sz w:val="26"/>
          <w:szCs w:val="26"/>
        </w:rPr>
        <w:t xml:space="preserve">, these results are supported by </w:t>
      </w:r>
      <w:proofErr w:type="spellStart"/>
      <w:r w:rsidRPr="00A152B0">
        <w:rPr>
          <w:rFonts w:ascii="Times New Roman" w:hAnsi="Times New Roman" w:cs="Times New Roman"/>
          <w:sz w:val="26"/>
          <w:szCs w:val="26"/>
        </w:rPr>
        <w:t>Dechow</w:t>
      </w:r>
      <w:proofErr w:type="spellEnd"/>
      <w:r w:rsidRPr="00A152B0">
        <w:rPr>
          <w:rFonts w:ascii="Times New Roman" w:hAnsi="Times New Roman" w:cs="Times New Roman"/>
          <w:sz w:val="26"/>
          <w:szCs w:val="26"/>
        </w:rPr>
        <w:t xml:space="preserve"> </w:t>
      </w:r>
      <w:r w:rsidR="00523653">
        <w:rPr>
          <w:rFonts w:ascii="Times New Roman" w:hAnsi="Times New Roman" w:cs="Times New Roman"/>
          <w:sz w:val="26"/>
          <w:szCs w:val="26"/>
        </w:rPr>
        <w:t>and</w:t>
      </w:r>
      <w:r w:rsidRPr="00A152B0">
        <w:rPr>
          <w:rFonts w:ascii="Times New Roman" w:hAnsi="Times New Roman" w:cs="Times New Roman"/>
          <w:sz w:val="26"/>
          <w:szCs w:val="26"/>
        </w:rPr>
        <w:t xml:space="preserve"> </w:t>
      </w:r>
      <w:proofErr w:type="spellStart"/>
      <w:r w:rsidRPr="00A152B0">
        <w:rPr>
          <w:rFonts w:ascii="Times New Roman" w:hAnsi="Times New Roman" w:cs="Times New Roman"/>
          <w:sz w:val="26"/>
          <w:szCs w:val="26"/>
        </w:rPr>
        <w:t>Dichev</w:t>
      </w:r>
      <w:proofErr w:type="spellEnd"/>
      <w:r w:rsidRPr="00A152B0">
        <w:rPr>
          <w:rFonts w:ascii="Times New Roman" w:hAnsi="Times New Roman" w:cs="Times New Roman"/>
          <w:sz w:val="26"/>
          <w:szCs w:val="26"/>
        </w:rPr>
        <w:t xml:space="preserve"> (2002) with respect to the association between accruals and cash flows</w:t>
      </w:r>
      <w:r w:rsidR="009A4680" w:rsidRPr="00A152B0">
        <w:rPr>
          <w:rFonts w:ascii="Times New Roman" w:hAnsi="Times New Roman" w:cs="Times New Roman"/>
          <w:sz w:val="26"/>
          <w:szCs w:val="26"/>
        </w:rPr>
        <w:t>,</w:t>
      </w:r>
      <w:r w:rsidRPr="00A152B0">
        <w:rPr>
          <w:rFonts w:ascii="Times New Roman" w:hAnsi="Times New Roman" w:cs="Times New Roman"/>
          <w:sz w:val="26"/>
          <w:szCs w:val="26"/>
        </w:rPr>
        <w:t xml:space="preserve"> but </w:t>
      </w:r>
      <w:r w:rsidR="009A4680" w:rsidRPr="00A152B0">
        <w:rPr>
          <w:rFonts w:ascii="Times New Roman" w:hAnsi="Times New Roman" w:cs="Times New Roman"/>
          <w:sz w:val="26"/>
          <w:szCs w:val="26"/>
        </w:rPr>
        <w:t>they are</w:t>
      </w:r>
      <w:r w:rsidRPr="00A152B0">
        <w:rPr>
          <w:rFonts w:ascii="Times New Roman" w:hAnsi="Times New Roman" w:cs="Times New Roman"/>
          <w:sz w:val="26"/>
          <w:szCs w:val="26"/>
        </w:rPr>
        <w:t xml:space="preserve"> inconsistent with Leal et al.</w:t>
      </w:r>
      <w:r w:rsidR="00944F99" w:rsidRPr="00A152B0">
        <w:rPr>
          <w:rFonts w:ascii="Times New Roman" w:hAnsi="Times New Roman" w:cs="Times New Roman"/>
          <w:sz w:val="26"/>
          <w:szCs w:val="26"/>
        </w:rPr>
        <w:t xml:space="preserve"> (</w:t>
      </w:r>
      <w:r w:rsidRPr="00A152B0">
        <w:rPr>
          <w:rFonts w:ascii="Times New Roman" w:hAnsi="Times New Roman" w:cs="Times New Roman"/>
          <w:sz w:val="26"/>
          <w:szCs w:val="26"/>
        </w:rPr>
        <w:t xml:space="preserve">2017) </w:t>
      </w:r>
      <w:r w:rsidR="00A41BCF" w:rsidRPr="00A152B0">
        <w:rPr>
          <w:rFonts w:ascii="Times New Roman" w:hAnsi="Times New Roman" w:cs="Times New Roman"/>
          <w:sz w:val="26"/>
          <w:szCs w:val="26"/>
        </w:rPr>
        <w:t>wh</w:t>
      </w:r>
      <w:r w:rsidR="00A003B1">
        <w:rPr>
          <w:rFonts w:ascii="Times New Roman" w:hAnsi="Times New Roman" w:cs="Times New Roman"/>
          <w:sz w:val="26"/>
          <w:szCs w:val="26"/>
        </w:rPr>
        <w:t>ich</w:t>
      </w:r>
      <w:r w:rsidR="00A41BCF" w:rsidRPr="00A152B0">
        <w:rPr>
          <w:rFonts w:ascii="Times New Roman" w:hAnsi="Times New Roman" w:cs="Times New Roman"/>
          <w:sz w:val="26"/>
          <w:szCs w:val="26"/>
        </w:rPr>
        <w:t xml:space="preserve"> found</w:t>
      </w:r>
      <w:r w:rsidRPr="00A152B0">
        <w:rPr>
          <w:rFonts w:ascii="Times New Roman" w:hAnsi="Times New Roman" w:cs="Times New Roman"/>
          <w:sz w:val="26"/>
          <w:szCs w:val="26"/>
        </w:rPr>
        <w:t xml:space="preserve"> that accruals quality </w:t>
      </w:r>
      <w:r w:rsidR="009A4680" w:rsidRPr="00A152B0">
        <w:rPr>
          <w:rFonts w:ascii="Times New Roman" w:hAnsi="Times New Roman" w:cs="Times New Roman"/>
          <w:sz w:val="26"/>
          <w:szCs w:val="26"/>
        </w:rPr>
        <w:t xml:space="preserve">are </w:t>
      </w:r>
      <w:r w:rsidRPr="00A152B0">
        <w:rPr>
          <w:rFonts w:ascii="Times New Roman" w:hAnsi="Times New Roman" w:cs="Times New Roman"/>
          <w:sz w:val="26"/>
          <w:szCs w:val="26"/>
        </w:rPr>
        <w:t xml:space="preserve">affected by extreme values of </w:t>
      </w:r>
      <w:r w:rsidR="009A4680" w:rsidRPr="00A152B0">
        <w:rPr>
          <w:rFonts w:ascii="Times New Roman" w:hAnsi="Times New Roman" w:cs="Times New Roman"/>
          <w:sz w:val="26"/>
          <w:szCs w:val="26"/>
        </w:rPr>
        <w:t>SD</w:t>
      </w:r>
      <w:r w:rsidR="00737024" w:rsidRPr="00A152B0">
        <w:rPr>
          <w:rFonts w:ascii="Times New Roman" w:hAnsi="Times New Roman" w:cs="Times New Roman"/>
          <w:sz w:val="26"/>
          <w:szCs w:val="26"/>
        </w:rPr>
        <w:t xml:space="preserve"> of residual. </w:t>
      </w:r>
      <w:r w:rsidRPr="00A152B0">
        <w:rPr>
          <w:rFonts w:ascii="Times New Roman" w:hAnsi="Times New Roman" w:cs="Times New Roman"/>
          <w:sz w:val="26"/>
          <w:szCs w:val="26"/>
        </w:rPr>
        <w:t>Table 1</w:t>
      </w:r>
      <w:r w:rsidR="008D3063" w:rsidRPr="00A152B0">
        <w:rPr>
          <w:rFonts w:ascii="Times New Roman" w:hAnsi="Times New Roman" w:cs="Times New Roman"/>
          <w:sz w:val="26"/>
          <w:szCs w:val="26"/>
        </w:rPr>
        <w:t>5</w:t>
      </w:r>
      <w:r w:rsidRPr="00A152B0">
        <w:rPr>
          <w:rFonts w:ascii="Times New Roman" w:hAnsi="Times New Roman" w:cs="Times New Roman"/>
          <w:sz w:val="26"/>
          <w:szCs w:val="26"/>
        </w:rPr>
        <w:t xml:space="preserve"> shows the results of the relationship between </w:t>
      </w:r>
      <w:r w:rsidR="003214CA" w:rsidRPr="00A152B0">
        <w:rPr>
          <w:rFonts w:ascii="Times New Roman" w:hAnsi="Times New Roman" w:cs="Times New Roman"/>
          <w:sz w:val="26"/>
          <w:szCs w:val="26"/>
        </w:rPr>
        <w:t xml:space="preserve">EQ-AQ </w:t>
      </w:r>
      <w:r w:rsidRPr="00A152B0">
        <w:rPr>
          <w:rFonts w:ascii="Times New Roman" w:hAnsi="Times New Roman" w:cs="Times New Roman"/>
          <w:sz w:val="26"/>
          <w:szCs w:val="26"/>
        </w:rPr>
        <w:t xml:space="preserve">and </w:t>
      </w:r>
      <w:r w:rsidR="003214CA" w:rsidRPr="00A152B0">
        <w:rPr>
          <w:rFonts w:ascii="Times New Roman" w:hAnsi="Times New Roman" w:cs="Times New Roman"/>
          <w:sz w:val="26"/>
          <w:szCs w:val="26"/>
        </w:rPr>
        <w:t>FI</w:t>
      </w:r>
      <w:r w:rsidR="00737024" w:rsidRPr="00A152B0">
        <w:rPr>
          <w:rFonts w:ascii="Times New Roman" w:hAnsi="Times New Roman" w:cs="Times New Roman"/>
          <w:sz w:val="26"/>
          <w:szCs w:val="26"/>
        </w:rPr>
        <w:t>.</w:t>
      </w:r>
    </w:p>
    <w:p w14:paraId="582E90E5" w14:textId="77777777" w:rsidR="00A152B0" w:rsidRPr="00A152B0" w:rsidRDefault="00A152B0" w:rsidP="00A152B0">
      <w:pPr>
        <w:pStyle w:val="af7"/>
        <w:adjustRightInd w:val="0"/>
        <w:snapToGrid w:val="0"/>
        <w:spacing w:line="360" w:lineRule="exact"/>
        <w:ind w:firstLineChars="200" w:firstLine="520"/>
        <w:rPr>
          <w:rFonts w:ascii="Times New Roman" w:hAnsi="Times New Roman" w:cs="Times New Roman"/>
          <w:sz w:val="26"/>
          <w:szCs w:val="26"/>
        </w:rPr>
      </w:pPr>
    </w:p>
    <w:p w14:paraId="527A7C53" w14:textId="0A96BAE1" w:rsidR="00E40A40" w:rsidRPr="00FA3651" w:rsidRDefault="00E40A40" w:rsidP="00FA3651">
      <w:pPr>
        <w:snapToGrid w:val="0"/>
        <w:spacing w:afterLines="50" w:after="120" w:line="360" w:lineRule="exact"/>
        <w:jc w:val="both"/>
        <w:rPr>
          <w:rFonts w:asciiTheme="majorBidi" w:hAnsiTheme="majorBidi"/>
          <w:sz w:val="26"/>
        </w:rPr>
      </w:pPr>
      <w:r w:rsidRPr="00A152B0">
        <w:rPr>
          <w:rFonts w:asciiTheme="majorBidi" w:hAnsiTheme="majorBidi"/>
          <w:b/>
          <w:sz w:val="26"/>
        </w:rPr>
        <w:t xml:space="preserve">Table </w:t>
      </w:r>
      <w:proofErr w:type="gramStart"/>
      <w:r w:rsidRPr="00A152B0">
        <w:rPr>
          <w:rFonts w:asciiTheme="majorBidi" w:hAnsiTheme="majorBidi"/>
          <w:b/>
          <w:sz w:val="26"/>
        </w:rPr>
        <w:t>1</w:t>
      </w:r>
      <w:r w:rsidR="008D3063" w:rsidRPr="00A152B0">
        <w:rPr>
          <w:rFonts w:asciiTheme="majorBidi" w:hAnsiTheme="majorBidi"/>
          <w:b/>
          <w:sz w:val="26"/>
        </w:rPr>
        <w:t>5</w:t>
      </w:r>
      <w:r w:rsidR="00A152B0">
        <w:rPr>
          <w:rFonts w:ascii="新細明體" w:eastAsia="新細明體" w:hAnsi="新細明體" w:hint="eastAsia"/>
          <w:sz w:val="26"/>
          <w:lang w:eastAsia="zh-TW"/>
        </w:rPr>
        <w:t xml:space="preserve"> </w:t>
      </w:r>
      <w:r w:rsidRPr="00FA3651">
        <w:rPr>
          <w:rFonts w:asciiTheme="majorBidi" w:hAnsiTheme="majorBidi"/>
          <w:sz w:val="26"/>
        </w:rPr>
        <w:t xml:space="preserve"> </w:t>
      </w:r>
      <w:r w:rsidRPr="00A152B0">
        <w:rPr>
          <w:rFonts w:asciiTheme="majorBidi" w:hAnsiTheme="majorBidi"/>
          <w:i/>
          <w:sz w:val="26"/>
        </w:rPr>
        <w:t>Results</w:t>
      </w:r>
      <w:proofErr w:type="gramEnd"/>
      <w:r w:rsidRPr="00A152B0">
        <w:rPr>
          <w:rFonts w:asciiTheme="majorBidi" w:hAnsiTheme="majorBidi"/>
          <w:i/>
          <w:sz w:val="26"/>
        </w:rPr>
        <w:t xml:space="preserve"> of regression between AQ and FI</w:t>
      </w:r>
    </w:p>
    <w:tbl>
      <w:tblPr>
        <w:tblStyle w:val="a9"/>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
        <w:gridCol w:w="684"/>
        <w:gridCol w:w="684"/>
        <w:gridCol w:w="683"/>
        <w:gridCol w:w="684"/>
        <w:gridCol w:w="683"/>
        <w:gridCol w:w="684"/>
        <w:gridCol w:w="683"/>
        <w:gridCol w:w="684"/>
        <w:gridCol w:w="684"/>
        <w:gridCol w:w="684"/>
        <w:gridCol w:w="684"/>
        <w:gridCol w:w="675"/>
      </w:tblGrid>
      <w:tr w:rsidR="007F15D8" w:rsidRPr="00952DC1" w14:paraId="55523857" w14:textId="77777777" w:rsidTr="00F22E7B">
        <w:trPr>
          <w:trHeight w:val="301"/>
          <w:jc w:val="center"/>
        </w:trPr>
        <w:tc>
          <w:tcPr>
            <w:tcW w:w="460" w:type="pct"/>
            <w:vMerge w:val="restart"/>
            <w:tcBorders>
              <w:top w:val="single" w:sz="4" w:space="0" w:color="auto"/>
              <w:right w:val="single" w:sz="4" w:space="0" w:color="auto"/>
            </w:tcBorders>
          </w:tcPr>
          <w:p w14:paraId="4000552B" w14:textId="24A2CF83" w:rsidR="00E40A40" w:rsidRPr="006311F8" w:rsidRDefault="00F22E7B" w:rsidP="00A152B0">
            <w:pPr>
              <w:autoSpaceDE w:val="0"/>
              <w:autoSpaceDN w:val="0"/>
              <w:adjustRightInd w:val="0"/>
              <w:snapToGrid w:val="0"/>
              <w:rPr>
                <w:rFonts w:ascii="Times New Roman" w:hAnsi="Times New Roman" w:cs="Times New Roman"/>
                <w:sz w:val="16"/>
                <w:szCs w:val="20"/>
              </w:rPr>
            </w:pPr>
            <w:r>
              <w:rPr>
                <w:rFonts w:ascii="Times New Roman" w:hAnsi="Times New Roman" w:cs="Times New Roman"/>
                <w:noProof/>
                <w:sz w:val="16"/>
                <w:szCs w:val="20"/>
                <w:lang w:val="en-US"/>
              </w:rPr>
              <mc:AlternateContent>
                <mc:Choice Requires="wps">
                  <w:drawing>
                    <wp:anchor distT="0" distB="0" distL="114300" distR="114300" simplePos="0" relativeHeight="251659264" behindDoc="0" locked="0" layoutInCell="1" allowOverlap="1" wp14:anchorId="14FFA9C9" wp14:editId="1FA0272E">
                      <wp:simplePos x="0" y="0"/>
                      <wp:positionH relativeFrom="column">
                        <wp:posOffset>-40943</wp:posOffset>
                      </wp:positionH>
                      <wp:positionV relativeFrom="paragraph">
                        <wp:posOffset>9572</wp:posOffset>
                      </wp:positionV>
                      <wp:extent cx="491319" cy="348018"/>
                      <wp:effectExtent l="0" t="0" r="23495" b="33020"/>
                      <wp:wrapNone/>
                      <wp:docPr id="1" name="Straight Connector 1"/>
                      <wp:cNvGraphicFramePr/>
                      <a:graphic xmlns:a="http://schemas.openxmlformats.org/drawingml/2006/main">
                        <a:graphicData uri="http://schemas.microsoft.com/office/word/2010/wordprocessingShape">
                          <wps:wsp>
                            <wps:cNvCnPr/>
                            <wps:spPr>
                              <a:xfrm>
                                <a:off x="0" y="0"/>
                                <a:ext cx="491319" cy="34801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E549A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pt,.75pt" to="35.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" strokecolor="#4579b8 [3044]"/>
                  </w:pict>
                </mc:Fallback>
              </mc:AlternateContent>
            </w:r>
            <w:r w:rsidR="00E40A40" w:rsidRPr="006311F8">
              <w:rPr>
                <w:rFonts w:ascii="Times New Roman" w:hAnsi="Times New Roman" w:cs="Times New Roman"/>
                <w:sz w:val="16"/>
                <w:szCs w:val="20"/>
              </w:rPr>
              <w:t xml:space="preserve">  Country </w:t>
            </w:r>
          </w:p>
          <w:p w14:paraId="67D0245E" w14:textId="77777777" w:rsidR="00E40A40" w:rsidRPr="006311F8" w:rsidRDefault="00E40A40" w:rsidP="00A152B0">
            <w:pPr>
              <w:autoSpaceDE w:val="0"/>
              <w:autoSpaceDN w:val="0"/>
              <w:adjustRightInd w:val="0"/>
              <w:snapToGrid w:val="0"/>
              <w:rPr>
                <w:rFonts w:ascii="Times New Roman" w:hAnsi="Times New Roman" w:cs="Times New Roman"/>
                <w:sz w:val="16"/>
                <w:szCs w:val="20"/>
              </w:rPr>
            </w:pPr>
          </w:p>
          <w:p w14:paraId="37100A82" w14:textId="77777777" w:rsidR="00E40A40" w:rsidRPr="006311F8" w:rsidRDefault="00E40A40" w:rsidP="00A152B0">
            <w:pPr>
              <w:autoSpaceDE w:val="0"/>
              <w:autoSpaceDN w:val="0"/>
              <w:adjustRightInd w:val="0"/>
              <w:snapToGrid w:val="0"/>
              <w:rPr>
                <w:rFonts w:ascii="Times New Roman" w:hAnsi="Times New Roman" w:cs="Times New Roman"/>
                <w:sz w:val="16"/>
                <w:szCs w:val="20"/>
              </w:rPr>
            </w:pPr>
            <w:r w:rsidRPr="006311F8">
              <w:rPr>
                <w:rFonts w:ascii="Times New Roman" w:hAnsi="Times New Roman" w:cs="Times New Roman"/>
                <w:sz w:val="16"/>
                <w:szCs w:val="20"/>
              </w:rPr>
              <w:t>Variables</w:t>
            </w:r>
          </w:p>
        </w:tc>
        <w:tc>
          <w:tcPr>
            <w:tcW w:w="758" w:type="pct"/>
            <w:gridSpan w:val="2"/>
            <w:tcBorders>
              <w:top w:val="single" w:sz="4" w:space="0" w:color="auto"/>
              <w:left w:val="single" w:sz="4" w:space="0" w:color="auto"/>
              <w:bottom w:val="single" w:sz="4" w:space="0" w:color="auto"/>
            </w:tcBorders>
            <w:vAlign w:val="center"/>
          </w:tcPr>
          <w:p w14:paraId="7D6FE754" w14:textId="77777777" w:rsidR="00E40A40" w:rsidRPr="006311F8" w:rsidRDefault="00E40A40" w:rsidP="006311F8">
            <w:pPr>
              <w:autoSpaceDE w:val="0"/>
              <w:autoSpaceDN w:val="0"/>
              <w:adjustRightInd w:val="0"/>
              <w:jc w:val="center"/>
              <w:rPr>
                <w:rFonts w:ascii="Times New Roman" w:hAnsi="Times New Roman" w:cs="Times New Roman"/>
                <w:sz w:val="16"/>
                <w:szCs w:val="20"/>
              </w:rPr>
            </w:pPr>
            <w:r w:rsidRPr="006311F8">
              <w:rPr>
                <w:rFonts w:ascii="Times New Roman" w:hAnsi="Times New Roman" w:cs="Times New Roman"/>
                <w:sz w:val="16"/>
                <w:szCs w:val="20"/>
              </w:rPr>
              <w:t>KSA</w:t>
            </w:r>
          </w:p>
        </w:tc>
        <w:tc>
          <w:tcPr>
            <w:tcW w:w="757" w:type="pct"/>
            <w:gridSpan w:val="2"/>
            <w:tcBorders>
              <w:top w:val="single" w:sz="4" w:space="0" w:color="auto"/>
              <w:bottom w:val="single" w:sz="4" w:space="0" w:color="auto"/>
            </w:tcBorders>
            <w:vAlign w:val="center"/>
          </w:tcPr>
          <w:p w14:paraId="490A7401" w14:textId="77777777" w:rsidR="00E40A40" w:rsidRPr="006311F8" w:rsidRDefault="00E40A40" w:rsidP="006311F8">
            <w:pPr>
              <w:autoSpaceDE w:val="0"/>
              <w:autoSpaceDN w:val="0"/>
              <w:adjustRightInd w:val="0"/>
              <w:jc w:val="center"/>
              <w:rPr>
                <w:rFonts w:ascii="Times New Roman" w:hAnsi="Times New Roman" w:cs="Times New Roman"/>
                <w:sz w:val="16"/>
                <w:szCs w:val="20"/>
              </w:rPr>
            </w:pPr>
            <w:r w:rsidRPr="006311F8">
              <w:rPr>
                <w:rFonts w:ascii="Times New Roman" w:hAnsi="Times New Roman" w:cs="Times New Roman"/>
                <w:sz w:val="16"/>
                <w:szCs w:val="20"/>
              </w:rPr>
              <w:t>OMN</w:t>
            </w:r>
          </w:p>
        </w:tc>
        <w:tc>
          <w:tcPr>
            <w:tcW w:w="757" w:type="pct"/>
            <w:gridSpan w:val="2"/>
            <w:tcBorders>
              <w:top w:val="single" w:sz="4" w:space="0" w:color="auto"/>
              <w:bottom w:val="single" w:sz="4" w:space="0" w:color="auto"/>
            </w:tcBorders>
            <w:vAlign w:val="center"/>
          </w:tcPr>
          <w:p w14:paraId="3111392F" w14:textId="77777777" w:rsidR="00E40A40" w:rsidRPr="006311F8" w:rsidRDefault="00E40A40" w:rsidP="006311F8">
            <w:pPr>
              <w:autoSpaceDE w:val="0"/>
              <w:autoSpaceDN w:val="0"/>
              <w:adjustRightInd w:val="0"/>
              <w:jc w:val="center"/>
              <w:rPr>
                <w:rFonts w:ascii="Times New Roman" w:hAnsi="Times New Roman" w:cs="Times New Roman"/>
                <w:sz w:val="16"/>
                <w:szCs w:val="20"/>
              </w:rPr>
            </w:pPr>
            <w:r w:rsidRPr="006311F8">
              <w:rPr>
                <w:rFonts w:ascii="Times New Roman" w:hAnsi="Times New Roman" w:cs="Times New Roman"/>
                <w:sz w:val="16"/>
                <w:szCs w:val="20"/>
              </w:rPr>
              <w:t>QAT</w:t>
            </w:r>
          </w:p>
        </w:tc>
        <w:tc>
          <w:tcPr>
            <w:tcW w:w="757" w:type="pct"/>
            <w:gridSpan w:val="2"/>
            <w:tcBorders>
              <w:top w:val="single" w:sz="4" w:space="0" w:color="auto"/>
              <w:bottom w:val="single" w:sz="4" w:space="0" w:color="auto"/>
            </w:tcBorders>
            <w:vAlign w:val="center"/>
          </w:tcPr>
          <w:p w14:paraId="7CCB8C59" w14:textId="77777777" w:rsidR="00E40A40" w:rsidRPr="006311F8" w:rsidRDefault="00E40A40" w:rsidP="006311F8">
            <w:pPr>
              <w:autoSpaceDE w:val="0"/>
              <w:autoSpaceDN w:val="0"/>
              <w:adjustRightInd w:val="0"/>
              <w:jc w:val="center"/>
              <w:rPr>
                <w:rFonts w:ascii="Times New Roman" w:hAnsi="Times New Roman" w:cs="Times New Roman"/>
                <w:sz w:val="16"/>
                <w:szCs w:val="20"/>
              </w:rPr>
            </w:pPr>
            <w:r w:rsidRPr="006311F8">
              <w:rPr>
                <w:rFonts w:ascii="Times New Roman" w:hAnsi="Times New Roman" w:cs="Times New Roman"/>
                <w:sz w:val="16"/>
                <w:szCs w:val="20"/>
              </w:rPr>
              <w:t>BAH</w:t>
            </w:r>
          </w:p>
        </w:tc>
        <w:tc>
          <w:tcPr>
            <w:tcW w:w="758" w:type="pct"/>
            <w:gridSpan w:val="2"/>
            <w:tcBorders>
              <w:top w:val="single" w:sz="4" w:space="0" w:color="auto"/>
              <w:bottom w:val="single" w:sz="4" w:space="0" w:color="auto"/>
            </w:tcBorders>
            <w:vAlign w:val="center"/>
          </w:tcPr>
          <w:p w14:paraId="27D42F17" w14:textId="7E6ABDFC" w:rsidR="00E40A40" w:rsidRPr="006311F8" w:rsidRDefault="004175B6" w:rsidP="006311F8">
            <w:pPr>
              <w:autoSpaceDE w:val="0"/>
              <w:autoSpaceDN w:val="0"/>
              <w:adjustRightInd w:val="0"/>
              <w:jc w:val="center"/>
              <w:rPr>
                <w:rFonts w:ascii="Times New Roman" w:hAnsi="Times New Roman" w:cs="Times New Roman"/>
                <w:sz w:val="16"/>
                <w:szCs w:val="20"/>
              </w:rPr>
            </w:pPr>
            <w:r w:rsidRPr="006311F8">
              <w:rPr>
                <w:rFonts w:ascii="Times New Roman" w:hAnsi="Times New Roman" w:cs="Times New Roman"/>
                <w:sz w:val="16"/>
                <w:szCs w:val="20"/>
              </w:rPr>
              <w:t>KUW</w:t>
            </w:r>
          </w:p>
        </w:tc>
        <w:tc>
          <w:tcPr>
            <w:tcW w:w="755" w:type="pct"/>
            <w:gridSpan w:val="2"/>
            <w:tcBorders>
              <w:top w:val="single" w:sz="4" w:space="0" w:color="auto"/>
              <w:bottom w:val="single" w:sz="4" w:space="0" w:color="auto"/>
            </w:tcBorders>
            <w:vAlign w:val="center"/>
          </w:tcPr>
          <w:p w14:paraId="121F4978" w14:textId="77777777" w:rsidR="00E40A40" w:rsidRPr="006311F8" w:rsidRDefault="00E40A40" w:rsidP="006311F8">
            <w:pPr>
              <w:autoSpaceDE w:val="0"/>
              <w:autoSpaceDN w:val="0"/>
              <w:adjustRightInd w:val="0"/>
              <w:jc w:val="center"/>
              <w:rPr>
                <w:rFonts w:ascii="Times New Roman" w:hAnsi="Times New Roman" w:cs="Times New Roman"/>
                <w:sz w:val="16"/>
                <w:szCs w:val="20"/>
              </w:rPr>
            </w:pPr>
            <w:r w:rsidRPr="006311F8">
              <w:rPr>
                <w:rFonts w:ascii="Times New Roman" w:hAnsi="Times New Roman" w:cs="Times New Roman"/>
                <w:sz w:val="16"/>
                <w:szCs w:val="20"/>
              </w:rPr>
              <w:t>UAE</w:t>
            </w:r>
          </w:p>
        </w:tc>
      </w:tr>
      <w:tr w:rsidR="006311F8" w:rsidRPr="00952DC1" w14:paraId="28AD6F7A" w14:textId="77777777" w:rsidTr="00F22E7B">
        <w:trPr>
          <w:trHeight w:val="150"/>
          <w:jc w:val="center"/>
        </w:trPr>
        <w:tc>
          <w:tcPr>
            <w:tcW w:w="460" w:type="pct"/>
            <w:vMerge/>
            <w:tcBorders>
              <w:bottom w:val="single" w:sz="4" w:space="0" w:color="auto"/>
              <w:right w:val="single" w:sz="4" w:space="0" w:color="auto"/>
            </w:tcBorders>
          </w:tcPr>
          <w:p w14:paraId="4E4840D7" w14:textId="77777777" w:rsidR="00E40A40" w:rsidRPr="006311F8" w:rsidRDefault="00E40A40" w:rsidP="00E40A40">
            <w:pPr>
              <w:autoSpaceDE w:val="0"/>
              <w:autoSpaceDN w:val="0"/>
              <w:adjustRightInd w:val="0"/>
              <w:jc w:val="both"/>
              <w:rPr>
                <w:rFonts w:ascii="Times New Roman" w:hAnsi="Times New Roman" w:cs="Times New Roman"/>
                <w:noProof/>
                <w:sz w:val="16"/>
                <w:szCs w:val="20"/>
              </w:rPr>
            </w:pPr>
          </w:p>
        </w:tc>
        <w:tc>
          <w:tcPr>
            <w:tcW w:w="379" w:type="pct"/>
            <w:tcBorders>
              <w:top w:val="single" w:sz="4" w:space="0" w:color="auto"/>
              <w:left w:val="single" w:sz="4" w:space="0" w:color="auto"/>
              <w:bottom w:val="single" w:sz="4" w:space="0" w:color="auto"/>
            </w:tcBorders>
            <w:vAlign w:val="center"/>
          </w:tcPr>
          <w:p w14:paraId="44EC4CC6" w14:textId="77777777" w:rsidR="00E40A40" w:rsidRPr="006311F8" w:rsidRDefault="00E40A40" w:rsidP="006311F8">
            <w:pPr>
              <w:autoSpaceDE w:val="0"/>
              <w:autoSpaceDN w:val="0"/>
              <w:adjustRightInd w:val="0"/>
              <w:jc w:val="center"/>
              <w:rPr>
                <w:rFonts w:ascii="Times New Roman" w:hAnsi="Times New Roman" w:cs="Times New Roman"/>
                <w:sz w:val="16"/>
                <w:szCs w:val="20"/>
              </w:rPr>
            </w:pPr>
            <w:r w:rsidRPr="006311F8">
              <w:rPr>
                <w:rFonts w:ascii="Times New Roman" w:hAnsi="Times New Roman" w:cs="Times New Roman"/>
                <w:sz w:val="16"/>
                <w:szCs w:val="20"/>
              </w:rPr>
              <w:t>B</w:t>
            </w:r>
          </w:p>
        </w:tc>
        <w:tc>
          <w:tcPr>
            <w:tcW w:w="378" w:type="pct"/>
            <w:tcBorders>
              <w:top w:val="single" w:sz="4" w:space="0" w:color="auto"/>
              <w:bottom w:val="single" w:sz="4" w:space="0" w:color="auto"/>
            </w:tcBorders>
            <w:vAlign w:val="center"/>
          </w:tcPr>
          <w:p w14:paraId="384A2B83" w14:textId="77777777" w:rsidR="00E40A40" w:rsidRPr="006311F8" w:rsidRDefault="00E40A40" w:rsidP="006311F8">
            <w:pPr>
              <w:autoSpaceDE w:val="0"/>
              <w:autoSpaceDN w:val="0"/>
              <w:adjustRightInd w:val="0"/>
              <w:jc w:val="center"/>
              <w:rPr>
                <w:rFonts w:ascii="Times New Roman" w:hAnsi="Times New Roman" w:cs="Times New Roman"/>
                <w:sz w:val="16"/>
                <w:szCs w:val="20"/>
              </w:rPr>
            </w:pPr>
            <w:r w:rsidRPr="006311F8">
              <w:rPr>
                <w:rFonts w:ascii="Times New Roman" w:hAnsi="Times New Roman" w:cs="Times New Roman"/>
                <w:sz w:val="16"/>
                <w:szCs w:val="20"/>
              </w:rPr>
              <w:t>t-value</w:t>
            </w:r>
          </w:p>
        </w:tc>
        <w:tc>
          <w:tcPr>
            <w:tcW w:w="378" w:type="pct"/>
            <w:tcBorders>
              <w:top w:val="single" w:sz="4" w:space="0" w:color="auto"/>
              <w:bottom w:val="single" w:sz="4" w:space="0" w:color="auto"/>
            </w:tcBorders>
            <w:vAlign w:val="center"/>
          </w:tcPr>
          <w:p w14:paraId="1074036E" w14:textId="77777777" w:rsidR="00E40A40" w:rsidRPr="006311F8" w:rsidRDefault="00E40A40" w:rsidP="006311F8">
            <w:pPr>
              <w:autoSpaceDE w:val="0"/>
              <w:autoSpaceDN w:val="0"/>
              <w:adjustRightInd w:val="0"/>
              <w:jc w:val="center"/>
              <w:rPr>
                <w:rFonts w:ascii="Times New Roman" w:hAnsi="Times New Roman" w:cs="Times New Roman"/>
                <w:sz w:val="16"/>
                <w:szCs w:val="20"/>
              </w:rPr>
            </w:pPr>
            <w:r w:rsidRPr="006311F8">
              <w:rPr>
                <w:rFonts w:ascii="Times New Roman" w:hAnsi="Times New Roman" w:cs="Times New Roman"/>
                <w:sz w:val="16"/>
                <w:szCs w:val="20"/>
              </w:rPr>
              <w:t>B</w:t>
            </w:r>
          </w:p>
        </w:tc>
        <w:tc>
          <w:tcPr>
            <w:tcW w:w="378" w:type="pct"/>
            <w:tcBorders>
              <w:top w:val="single" w:sz="4" w:space="0" w:color="auto"/>
              <w:bottom w:val="single" w:sz="4" w:space="0" w:color="auto"/>
            </w:tcBorders>
            <w:vAlign w:val="center"/>
          </w:tcPr>
          <w:p w14:paraId="4DB44756" w14:textId="77777777" w:rsidR="00E40A40" w:rsidRPr="006311F8" w:rsidRDefault="00E40A40" w:rsidP="006311F8">
            <w:pPr>
              <w:autoSpaceDE w:val="0"/>
              <w:autoSpaceDN w:val="0"/>
              <w:adjustRightInd w:val="0"/>
              <w:jc w:val="center"/>
              <w:rPr>
                <w:rFonts w:ascii="Times New Roman" w:hAnsi="Times New Roman" w:cs="Times New Roman"/>
                <w:sz w:val="16"/>
                <w:szCs w:val="20"/>
              </w:rPr>
            </w:pPr>
            <w:r w:rsidRPr="006311F8">
              <w:rPr>
                <w:rFonts w:ascii="Times New Roman" w:hAnsi="Times New Roman" w:cs="Times New Roman"/>
                <w:sz w:val="16"/>
                <w:szCs w:val="20"/>
              </w:rPr>
              <w:t>t-value</w:t>
            </w:r>
          </w:p>
        </w:tc>
        <w:tc>
          <w:tcPr>
            <w:tcW w:w="378" w:type="pct"/>
            <w:tcBorders>
              <w:top w:val="single" w:sz="4" w:space="0" w:color="auto"/>
              <w:bottom w:val="single" w:sz="4" w:space="0" w:color="auto"/>
            </w:tcBorders>
            <w:vAlign w:val="center"/>
          </w:tcPr>
          <w:p w14:paraId="182186CF" w14:textId="77777777" w:rsidR="00E40A40" w:rsidRPr="006311F8" w:rsidRDefault="00E40A40" w:rsidP="006311F8">
            <w:pPr>
              <w:autoSpaceDE w:val="0"/>
              <w:autoSpaceDN w:val="0"/>
              <w:adjustRightInd w:val="0"/>
              <w:jc w:val="center"/>
              <w:rPr>
                <w:rFonts w:ascii="Times New Roman" w:hAnsi="Times New Roman" w:cs="Times New Roman"/>
                <w:sz w:val="16"/>
                <w:szCs w:val="20"/>
              </w:rPr>
            </w:pPr>
            <w:r w:rsidRPr="006311F8">
              <w:rPr>
                <w:rFonts w:ascii="Times New Roman" w:hAnsi="Times New Roman" w:cs="Times New Roman"/>
                <w:sz w:val="16"/>
                <w:szCs w:val="20"/>
              </w:rPr>
              <w:t>B</w:t>
            </w:r>
          </w:p>
        </w:tc>
        <w:tc>
          <w:tcPr>
            <w:tcW w:w="378" w:type="pct"/>
            <w:tcBorders>
              <w:top w:val="single" w:sz="4" w:space="0" w:color="auto"/>
              <w:bottom w:val="single" w:sz="4" w:space="0" w:color="auto"/>
            </w:tcBorders>
            <w:vAlign w:val="center"/>
          </w:tcPr>
          <w:p w14:paraId="593D8180" w14:textId="77777777" w:rsidR="00E40A40" w:rsidRPr="006311F8" w:rsidRDefault="00E40A40" w:rsidP="006311F8">
            <w:pPr>
              <w:autoSpaceDE w:val="0"/>
              <w:autoSpaceDN w:val="0"/>
              <w:adjustRightInd w:val="0"/>
              <w:jc w:val="center"/>
              <w:rPr>
                <w:rFonts w:ascii="Times New Roman" w:hAnsi="Times New Roman" w:cs="Times New Roman"/>
                <w:sz w:val="16"/>
                <w:szCs w:val="20"/>
              </w:rPr>
            </w:pPr>
            <w:r w:rsidRPr="006311F8">
              <w:rPr>
                <w:rFonts w:ascii="Times New Roman" w:hAnsi="Times New Roman" w:cs="Times New Roman"/>
                <w:sz w:val="16"/>
                <w:szCs w:val="20"/>
              </w:rPr>
              <w:t>t-value</w:t>
            </w:r>
          </w:p>
        </w:tc>
        <w:tc>
          <w:tcPr>
            <w:tcW w:w="378" w:type="pct"/>
            <w:tcBorders>
              <w:top w:val="single" w:sz="4" w:space="0" w:color="auto"/>
              <w:bottom w:val="single" w:sz="4" w:space="0" w:color="auto"/>
            </w:tcBorders>
            <w:vAlign w:val="center"/>
          </w:tcPr>
          <w:p w14:paraId="279DDE39" w14:textId="77777777" w:rsidR="00E40A40" w:rsidRPr="006311F8" w:rsidRDefault="00E40A40" w:rsidP="006311F8">
            <w:pPr>
              <w:autoSpaceDE w:val="0"/>
              <w:autoSpaceDN w:val="0"/>
              <w:adjustRightInd w:val="0"/>
              <w:jc w:val="center"/>
              <w:rPr>
                <w:rFonts w:ascii="Times New Roman" w:hAnsi="Times New Roman" w:cs="Times New Roman"/>
                <w:sz w:val="16"/>
                <w:szCs w:val="20"/>
              </w:rPr>
            </w:pPr>
            <w:r w:rsidRPr="006311F8">
              <w:rPr>
                <w:rFonts w:ascii="Times New Roman" w:hAnsi="Times New Roman" w:cs="Times New Roman"/>
                <w:sz w:val="16"/>
                <w:szCs w:val="20"/>
              </w:rPr>
              <w:t>B</w:t>
            </w:r>
          </w:p>
        </w:tc>
        <w:tc>
          <w:tcPr>
            <w:tcW w:w="378" w:type="pct"/>
            <w:tcBorders>
              <w:top w:val="single" w:sz="4" w:space="0" w:color="auto"/>
              <w:bottom w:val="single" w:sz="4" w:space="0" w:color="auto"/>
            </w:tcBorders>
            <w:vAlign w:val="center"/>
          </w:tcPr>
          <w:p w14:paraId="6E62F890" w14:textId="77777777" w:rsidR="00E40A40" w:rsidRPr="006311F8" w:rsidRDefault="00E40A40" w:rsidP="006311F8">
            <w:pPr>
              <w:autoSpaceDE w:val="0"/>
              <w:autoSpaceDN w:val="0"/>
              <w:adjustRightInd w:val="0"/>
              <w:jc w:val="center"/>
              <w:rPr>
                <w:rFonts w:ascii="Times New Roman" w:hAnsi="Times New Roman" w:cs="Times New Roman"/>
                <w:sz w:val="16"/>
                <w:szCs w:val="20"/>
              </w:rPr>
            </w:pPr>
            <w:r w:rsidRPr="006311F8">
              <w:rPr>
                <w:rFonts w:ascii="Times New Roman" w:hAnsi="Times New Roman" w:cs="Times New Roman"/>
                <w:sz w:val="16"/>
                <w:szCs w:val="20"/>
              </w:rPr>
              <w:t>t-value</w:t>
            </w:r>
          </w:p>
        </w:tc>
        <w:tc>
          <w:tcPr>
            <w:tcW w:w="379" w:type="pct"/>
            <w:tcBorders>
              <w:top w:val="single" w:sz="4" w:space="0" w:color="auto"/>
              <w:bottom w:val="single" w:sz="4" w:space="0" w:color="auto"/>
            </w:tcBorders>
            <w:vAlign w:val="center"/>
          </w:tcPr>
          <w:p w14:paraId="65E68D91" w14:textId="77777777" w:rsidR="00E40A40" w:rsidRPr="006311F8" w:rsidRDefault="00E40A40" w:rsidP="006311F8">
            <w:pPr>
              <w:autoSpaceDE w:val="0"/>
              <w:autoSpaceDN w:val="0"/>
              <w:adjustRightInd w:val="0"/>
              <w:jc w:val="center"/>
              <w:rPr>
                <w:rFonts w:ascii="Times New Roman" w:hAnsi="Times New Roman" w:cs="Times New Roman"/>
                <w:sz w:val="16"/>
                <w:szCs w:val="20"/>
              </w:rPr>
            </w:pPr>
            <w:r w:rsidRPr="006311F8">
              <w:rPr>
                <w:rFonts w:ascii="Times New Roman" w:hAnsi="Times New Roman" w:cs="Times New Roman"/>
                <w:sz w:val="16"/>
                <w:szCs w:val="20"/>
              </w:rPr>
              <w:t>B</w:t>
            </w:r>
          </w:p>
        </w:tc>
        <w:tc>
          <w:tcPr>
            <w:tcW w:w="379" w:type="pct"/>
            <w:tcBorders>
              <w:top w:val="single" w:sz="4" w:space="0" w:color="auto"/>
              <w:bottom w:val="single" w:sz="4" w:space="0" w:color="auto"/>
            </w:tcBorders>
            <w:vAlign w:val="center"/>
          </w:tcPr>
          <w:p w14:paraId="58D1EB2F" w14:textId="77777777" w:rsidR="00E40A40" w:rsidRPr="006311F8" w:rsidRDefault="00E40A40" w:rsidP="006311F8">
            <w:pPr>
              <w:autoSpaceDE w:val="0"/>
              <w:autoSpaceDN w:val="0"/>
              <w:adjustRightInd w:val="0"/>
              <w:jc w:val="center"/>
              <w:rPr>
                <w:rFonts w:ascii="Times New Roman" w:hAnsi="Times New Roman" w:cs="Times New Roman"/>
                <w:sz w:val="16"/>
                <w:szCs w:val="20"/>
              </w:rPr>
            </w:pPr>
            <w:r w:rsidRPr="006311F8">
              <w:rPr>
                <w:rFonts w:ascii="Times New Roman" w:hAnsi="Times New Roman" w:cs="Times New Roman"/>
                <w:sz w:val="16"/>
                <w:szCs w:val="20"/>
              </w:rPr>
              <w:t>t-value</w:t>
            </w:r>
          </w:p>
        </w:tc>
        <w:tc>
          <w:tcPr>
            <w:tcW w:w="379" w:type="pct"/>
            <w:tcBorders>
              <w:top w:val="single" w:sz="4" w:space="0" w:color="auto"/>
              <w:bottom w:val="single" w:sz="4" w:space="0" w:color="auto"/>
            </w:tcBorders>
            <w:vAlign w:val="center"/>
          </w:tcPr>
          <w:p w14:paraId="08385F6A" w14:textId="77777777" w:rsidR="00E40A40" w:rsidRPr="006311F8" w:rsidRDefault="00E40A40" w:rsidP="006311F8">
            <w:pPr>
              <w:autoSpaceDE w:val="0"/>
              <w:autoSpaceDN w:val="0"/>
              <w:adjustRightInd w:val="0"/>
              <w:jc w:val="center"/>
              <w:rPr>
                <w:rFonts w:ascii="Times New Roman" w:hAnsi="Times New Roman" w:cs="Times New Roman"/>
                <w:sz w:val="16"/>
                <w:szCs w:val="20"/>
              </w:rPr>
            </w:pPr>
            <w:r w:rsidRPr="006311F8">
              <w:rPr>
                <w:rFonts w:ascii="Times New Roman" w:hAnsi="Times New Roman" w:cs="Times New Roman"/>
                <w:sz w:val="16"/>
                <w:szCs w:val="20"/>
              </w:rPr>
              <w:t>B</w:t>
            </w:r>
          </w:p>
        </w:tc>
        <w:tc>
          <w:tcPr>
            <w:tcW w:w="376" w:type="pct"/>
            <w:tcBorders>
              <w:top w:val="single" w:sz="4" w:space="0" w:color="auto"/>
              <w:bottom w:val="single" w:sz="4" w:space="0" w:color="auto"/>
            </w:tcBorders>
            <w:vAlign w:val="center"/>
          </w:tcPr>
          <w:p w14:paraId="75B12A37" w14:textId="77777777" w:rsidR="00E40A40" w:rsidRPr="006311F8" w:rsidRDefault="00E40A40" w:rsidP="006311F8">
            <w:pPr>
              <w:autoSpaceDE w:val="0"/>
              <w:autoSpaceDN w:val="0"/>
              <w:adjustRightInd w:val="0"/>
              <w:jc w:val="center"/>
              <w:rPr>
                <w:rFonts w:ascii="Times New Roman" w:hAnsi="Times New Roman" w:cs="Times New Roman"/>
                <w:sz w:val="16"/>
                <w:szCs w:val="20"/>
              </w:rPr>
            </w:pPr>
            <w:r w:rsidRPr="006311F8">
              <w:rPr>
                <w:rFonts w:ascii="Times New Roman" w:hAnsi="Times New Roman" w:cs="Times New Roman"/>
                <w:sz w:val="16"/>
                <w:szCs w:val="20"/>
              </w:rPr>
              <w:t>t-value</w:t>
            </w:r>
          </w:p>
        </w:tc>
      </w:tr>
      <w:tr w:rsidR="006311F8" w:rsidRPr="00952DC1" w14:paraId="4EBDE61E" w14:textId="77777777" w:rsidTr="00F22E7B">
        <w:trPr>
          <w:jc w:val="center"/>
        </w:trPr>
        <w:tc>
          <w:tcPr>
            <w:tcW w:w="460" w:type="pct"/>
            <w:tcBorders>
              <w:top w:val="single" w:sz="4" w:space="0" w:color="auto"/>
              <w:bottom w:val="single" w:sz="4" w:space="0" w:color="auto"/>
              <w:right w:val="single" w:sz="4" w:space="0" w:color="auto"/>
            </w:tcBorders>
          </w:tcPr>
          <w:p w14:paraId="209A5997" w14:textId="267FB018" w:rsidR="00E40A40" w:rsidRPr="006311F8" w:rsidRDefault="00E40A40" w:rsidP="00A152B0">
            <w:pPr>
              <w:tabs>
                <w:tab w:val="left" w:pos="4536"/>
              </w:tabs>
              <w:autoSpaceDE w:val="0"/>
              <w:autoSpaceDN w:val="0"/>
              <w:adjustRightInd w:val="0"/>
              <w:jc w:val="center"/>
              <w:rPr>
                <w:rFonts w:ascii="Times New Roman" w:hAnsi="Times New Roman" w:cs="Times New Roman"/>
                <w:sz w:val="16"/>
                <w:szCs w:val="20"/>
              </w:rPr>
            </w:pPr>
            <w:r w:rsidRPr="006311F8">
              <w:rPr>
                <w:rFonts w:ascii="Times New Roman" w:hAnsi="Times New Roman" w:cs="Times New Roman"/>
                <w:sz w:val="16"/>
                <w:szCs w:val="20"/>
              </w:rPr>
              <w:t>EQ</w:t>
            </w:r>
            <w:r w:rsidR="00A152B0">
              <w:rPr>
                <w:rFonts w:ascii="新細明體" w:eastAsia="新細明體" w:hAnsi="新細明體" w:cs="Times New Roman" w:hint="eastAsia"/>
                <w:sz w:val="16"/>
                <w:szCs w:val="20"/>
                <w:lang w:eastAsia="zh-TW"/>
              </w:rPr>
              <w:t xml:space="preserve"> </w:t>
            </w:r>
            <w:r w:rsidRPr="006311F8">
              <w:rPr>
                <w:rFonts w:ascii="Times New Roman" w:hAnsi="Times New Roman" w:cs="Times New Roman"/>
                <w:sz w:val="16"/>
                <w:szCs w:val="20"/>
              </w:rPr>
              <w:t>(AQ)</w:t>
            </w:r>
          </w:p>
        </w:tc>
        <w:tc>
          <w:tcPr>
            <w:tcW w:w="379" w:type="pct"/>
            <w:tcBorders>
              <w:top w:val="single" w:sz="4" w:space="0" w:color="auto"/>
              <w:left w:val="single" w:sz="4" w:space="0" w:color="auto"/>
              <w:bottom w:val="single" w:sz="4" w:space="0" w:color="auto"/>
            </w:tcBorders>
            <w:vAlign w:val="center"/>
          </w:tcPr>
          <w:p w14:paraId="5C6BA728" w14:textId="77777777" w:rsidR="00E40A40" w:rsidRPr="006311F8" w:rsidRDefault="00E40A40" w:rsidP="006311F8">
            <w:pPr>
              <w:jc w:val="center"/>
              <w:rPr>
                <w:rFonts w:ascii="Times New Roman" w:hAnsi="Times New Roman" w:cs="Times New Roman"/>
                <w:sz w:val="16"/>
                <w:szCs w:val="20"/>
              </w:rPr>
            </w:pPr>
            <w:r w:rsidRPr="006311F8">
              <w:rPr>
                <w:rFonts w:ascii="Times New Roman" w:hAnsi="Times New Roman" w:cs="Times New Roman"/>
                <w:sz w:val="16"/>
                <w:szCs w:val="20"/>
              </w:rPr>
              <w:t>-1.616</w:t>
            </w:r>
          </w:p>
          <w:p w14:paraId="28F8974E" w14:textId="77777777" w:rsidR="00E40A40" w:rsidRPr="006311F8" w:rsidRDefault="00E40A40" w:rsidP="006311F8">
            <w:pPr>
              <w:jc w:val="center"/>
              <w:rPr>
                <w:rFonts w:ascii="Times New Roman" w:hAnsi="Times New Roman" w:cs="Times New Roman"/>
                <w:sz w:val="16"/>
                <w:szCs w:val="20"/>
              </w:rPr>
            </w:pPr>
            <w:r w:rsidRPr="006311F8">
              <w:rPr>
                <w:rFonts w:ascii="Times New Roman" w:hAnsi="Times New Roman" w:cs="Times New Roman"/>
                <w:sz w:val="16"/>
                <w:szCs w:val="20"/>
              </w:rPr>
              <w:t>(0.01)</w:t>
            </w:r>
          </w:p>
        </w:tc>
        <w:tc>
          <w:tcPr>
            <w:tcW w:w="378" w:type="pct"/>
            <w:tcBorders>
              <w:top w:val="single" w:sz="4" w:space="0" w:color="auto"/>
              <w:bottom w:val="single" w:sz="4" w:space="0" w:color="auto"/>
            </w:tcBorders>
            <w:vAlign w:val="center"/>
          </w:tcPr>
          <w:p w14:paraId="63D142C8" w14:textId="77777777" w:rsidR="00E40A40" w:rsidRPr="006311F8" w:rsidRDefault="00E40A40" w:rsidP="006311F8">
            <w:pPr>
              <w:jc w:val="center"/>
              <w:rPr>
                <w:rFonts w:ascii="Times New Roman" w:hAnsi="Times New Roman" w:cs="Times New Roman"/>
                <w:sz w:val="16"/>
                <w:szCs w:val="20"/>
              </w:rPr>
            </w:pPr>
            <w:r w:rsidRPr="006311F8">
              <w:rPr>
                <w:rFonts w:ascii="Times New Roman" w:hAnsi="Times New Roman" w:cs="Times New Roman"/>
                <w:sz w:val="16"/>
                <w:szCs w:val="20"/>
              </w:rPr>
              <w:t>-2.584</w:t>
            </w:r>
          </w:p>
        </w:tc>
        <w:tc>
          <w:tcPr>
            <w:tcW w:w="378" w:type="pct"/>
            <w:tcBorders>
              <w:top w:val="single" w:sz="4" w:space="0" w:color="auto"/>
              <w:bottom w:val="single" w:sz="4" w:space="0" w:color="auto"/>
            </w:tcBorders>
            <w:vAlign w:val="center"/>
          </w:tcPr>
          <w:p w14:paraId="6DFBDC61" w14:textId="77777777" w:rsidR="00E40A40" w:rsidRPr="006311F8" w:rsidRDefault="00E40A40" w:rsidP="006311F8">
            <w:pPr>
              <w:jc w:val="center"/>
              <w:rPr>
                <w:rFonts w:ascii="Times New Roman" w:hAnsi="Times New Roman" w:cs="Times New Roman"/>
                <w:sz w:val="16"/>
                <w:szCs w:val="20"/>
              </w:rPr>
            </w:pPr>
            <w:r w:rsidRPr="006311F8">
              <w:rPr>
                <w:rFonts w:ascii="Times New Roman" w:hAnsi="Times New Roman" w:cs="Times New Roman"/>
                <w:sz w:val="16"/>
                <w:szCs w:val="20"/>
              </w:rPr>
              <w:t>1.992</w:t>
            </w:r>
          </w:p>
          <w:p w14:paraId="72425A64" w14:textId="77777777" w:rsidR="00E40A40" w:rsidRPr="006311F8" w:rsidRDefault="00E40A40" w:rsidP="006311F8">
            <w:pPr>
              <w:jc w:val="center"/>
              <w:rPr>
                <w:rFonts w:ascii="Times New Roman" w:hAnsi="Times New Roman" w:cs="Times New Roman"/>
                <w:sz w:val="16"/>
                <w:szCs w:val="20"/>
              </w:rPr>
            </w:pPr>
            <w:r w:rsidRPr="006311F8">
              <w:rPr>
                <w:rFonts w:ascii="Times New Roman" w:hAnsi="Times New Roman" w:cs="Times New Roman"/>
                <w:sz w:val="16"/>
                <w:szCs w:val="20"/>
              </w:rPr>
              <w:t>(0.045)</w:t>
            </w:r>
          </w:p>
        </w:tc>
        <w:tc>
          <w:tcPr>
            <w:tcW w:w="378" w:type="pct"/>
            <w:tcBorders>
              <w:top w:val="single" w:sz="4" w:space="0" w:color="auto"/>
              <w:bottom w:val="single" w:sz="4" w:space="0" w:color="auto"/>
            </w:tcBorders>
            <w:vAlign w:val="center"/>
          </w:tcPr>
          <w:p w14:paraId="7692908E" w14:textId="77777777" w:rsidR="00E40A40" w:rsidRPr="006311F8" w:rsidRDefault="00E40A40" w:rsidP="006311F8">
            <w:pPr>
              <w:jc w:val="center"/>
              <w:rPr>
                <w:rFonts w:ascii="Times New Roman" w:hAnsi="Times New Roman" w:cs="Times New Roman"/>
                <w:sz w:val="16"/>
                <w:szCs w:val="20"/>
              </w:rPr>
            </w:pPr>
            <w:r w:rsidRPr="006311F8">
              <w:rPr>
                <w:rFonts w:ascii="Times New Roman" w:hAnsi="Times New Roman" w:cs="Times New Roman"/>
                <w:sz w:val="16"/>
                <w:szCs w:val="20"/>
              </w:rPr>
              <w:t>1.672</w:t>
            </w:r>
          </w:p>
          <w:p w14:paraId="6FC09CE1" w14:textId="77777777" w:rsidR="00E40A40" w:rsidRPr="006311F8" w:rsidRDefault="00E40A40" w:rsidP="006311F8">
            <w:pPr>
              <w:jc w:val="center"/>
              <w:rPr>
                <w:rFonts w:ascii="Times New Roman" w:hAnsi="Times New Roman" w:cs="Times New Roman"/>
                <w:sz w:val="16"/>
                <w:szCs w:val="20"/>
              </w:rPr>
            </w:pPr>
          </w:p>
        </w:tc>
        <w:tc>
          <w:tcPr>
            <w:tcW w:w="378" w:type="pct"/>
            <w:tcBorders>
              <w:top w:val="single" w:sz="4" w:space="0" w:color="auto"/>
              <w:bottom w:val="single" w:sz="4" w:space="0" w:color="auto"/>
            </w:tcBorders>
            <w:vAlign w:val="center"/>
          </w:tcPr>
          <w:p w14:paraId="4B4F6956" w14:textId="77777777" w:rsidR="00E40A40" w:rsidRPr="006311F8" w:rsidRDefault="00E40A40" w:rsidP="006311F8">
            <w:pPr>
              <w:autoSpaceDE w:val="0"/>
              <w:autoSpaceDN w:val="0"/>
              <w:adjustRightInd w:val="0"/>
              <w:jc w:val="center"/>
              <w:rPr>
                <w:rFonts w:ascii="Times New Roman" w:hAnsi="Times New Roman" w:cs="Times New Roman"/>
                <w:sz w:val="16"/>
                <w:szCs w:val="20"/>
              </w:rPr>
            </w:pPr>
            <w:r w:rsidRPr="006311F8">
              <w:rPr>
                <w:rFonts w:ascii="Times New Roman" w:hAnsi="Times New Roman" w:cs="Times New Roman"/>
                <w:sz w:val="16"/>
                <w:szCs w:val="20"/>
              </w:rPr>
              <w:t>0.055</w:t>
            </w:r>
          </w:p>
          <w:p w14:paraId="4088DCFD" w14:textId="77777777" w:rsidR="00E40A40" w:rsidRPr="006311F8" w:rsidRDefault="00E40A40" w:rsidP="006311F8">
            <w:pPr>
              <w:autoSpaceDE w:val="0"/>
              <w:autoSpaceDN w:val="0"/>
              <w:adjustRightInd w:val="0"/>
              <w:jc w:val="center"/>
              <w:rPr>
                <w:rFonts w:ascii="Times New Roman" w:hAnsi="Times New Roman" w:cs="Times New Roman"/>
                <w:sz w:val="16"/>
                <w:szCs w:val="20"/>
              </w:rPr>
            </w:pPr>
            <w:r w:rsidRPr="006311F8">
              <w:rPr>
                <w:rFonts w:ascii="Times New Roman" w:hAnsi="Times New Roman" w:cs="Times New Roman"/>
                <w:sz w:val="16"/>
                <w:szCs w:val="20"/>
              </w:rPr>
              <w:t>(0.177)</w:t>
            </w:r>
          </w:p>
        </w:tc>
        <w:tc>
          <w:tcPr>
            <w:tcW w:w="378" w:type="pct"/>
            <w:tcBorders>
              <w:top w:val="single" w:sz="4" w:space="0" w:color="auto"/>
              <w:bottom w:val="single" w:sz="4" w:space="0" w:color="auto"/>
            </w:tcBorders>
            <w:vAlign w:val="center"/>
          </w:tcPr>
          <w:p w14:paraId="5D929A18" w14:textId="77777777" w:rsidR="00E40A40" w:rsidRPr="006311F8" w:rsidRDefault="00E40A40" w:rsidP="006311F8">
            <w:pPr>
              <w:jc w:val="center"/>
              <w:rPr>
                <w:rFonts w:ascii="Times New Roman" w:hAnsi="Times New Roman" w:cs="Times New Roman"/>
                <w:sz w:val="16"/>
                <w:szCs w:val="20"/>
              </w:rPr>
            </w:pPr>
            <w:r w:rsidRPr="006311F8">
              <w:rPr>
                <w:rFonts w:ascii="Times New Roman" w:hAnsi="Times New Roman" w:cs="Times New Roman"/>
                <w:sz w:val="16"/>
                <w:szCs w:val="20"/>
              </w:rPr>
              <w:t>1.368</w:t>
            </w:r>
          </w:p>
        </w:tc>
        <w:tc>
          <w:tcPr>
            <w:tcW w:w="378" w:type="pct"/>
            <w:tcBorders>
              <w:top w:val="single" w:sz="4" w:space="0" w:color="auto"/>
              <w:bottom w:val="single" w:sz="4" w:space="0" w:color="auto"/>
            </w:tcBorders>
            <w:vAlign w:val="center"/>
          </w:tcPr>
          <w:p w14:paraId="5C2E6FCC" w14:textId="5504C409" w:rsidR="00E40A40" w:rsidRPr="006311F8" w:rsidRDefault="00337B39" w:rsidP="006311F8">
            <w:pPr>
              <w:jc w:val="center"/>
              <w:rPr>
                <w:rFonts w:ascii="Times New Roman" w:hAnsi="Times New Roman" w:cs="Times New Roman"/>
                <w:sz w:val="16"/>
                <w:szCs w:val="20"/>
              </w:rPr>
            </w:pPr>
            <w:r w:rsidRPr="006311F8">
              <w:rPr>
                <w:rFonts w:ascii="Times New Roman" w:hAnsi="Times New Roman" w:cs="Times New Roman"/>
                <w:sz w:val="16"/>
                <w:szCs w:val="20"/>
              </w:rPr>
              <w:t>0</w:t>
            </w:r>
            <w:r w:rsidR="00E40A40" w:rsidRPr="006311F8">
              <w:rPr>
                <w:rFonts w:ascii="Times New Roman" w:hAnsi="Times New Roman" w:cs="Times New Roman"/>
                <w:sz w:val="16"/>
                <w:szCs w:val="20"/>
              </w:rPr>
              <w:t>.055</w:t>
            </w:r>
          </w:p>
          <w:p w14:paraId="7C83C038" w14:textId="77777777" w:rsidR="00E40A40" w:rsidRPr="006311F8" w:rsidRDefault="00E40A40" w:rsidP="006311F8">
            <w:pPr>
              <w:jc w:val="center"/>
              <w:rPr>
                <w:rFonts w:ascii="Times New Roman" w:hAnsi="Times New Roman" w:cs="Times New Roman"/>
                <w:sz w:val="16"/>
                <w:szCs w:val="20"/>
              </w:rPr>
            </w:pPr>
            <w:r w:rsidRPr="006311F8">
              <w:rPr>
                <w:rFonts w:ascii="Times New Roman" w:hAnsi="Times New Roman" w:cs="Times New Roman"/>
                <w:sz w:val="16"/>
                <w:szCs w:val="20"/>
              </w:rPr>
              <w:t>(0.510)</w:t>
            </w:r>
          </w:p>
        </w:tc>
        <w:tc>
          <w:tcPr>
            <w:tcW w:w="378" w:type="pct"/>
            <w:tcBorders>
              <w:top w:val="single" w:sz="4" w:space="0" w:color="auto"/>
              <w:bottom w:val="single" w:sz="4" w:space="0" w:color="auto"/>
            </w:tcBorders>
            <w:vAlign w:val="center"/>
          </w:tcPr>
          <w:p w14:paraId="65721FC0" w14:textId="77777777" w:rsidR="00E40A40" w:rsidRPr="006311F8" w:rsidRDefault="00E40A40" w:rsidP="006311F8">
            <w:pPr>
              <w:jc w:val="center"/>
              <w:rPr>
                <w:rFonts w:ascii="Times New Roman" w:hAnsi="Times New Roman" w:cs="Times New Roman"/>
                <w:sz w:val="16"/>
                <w:szCs w:val="20"/>
              </w:rPr>
            </w:pPr>
            <w:r w:rsidRPr="006311F8">
              <w:rPr>
                <w:rFonts w:ascii="Times New Roman" w:hAnsi="Times New Roman" w:cs="Times New Roman"/>
                <w:sz w:val="16"/>
                <w:szCs w:val="20"/>
              </w:rPr>
              <w:t>0.662</w:t>
            </w:r>
          </w:p>
        </w:tc>
        <w:tc>
          <w:tcPr>
            <w:tcW w:w="379" w:type="pct"/>
            <w:tcBorders>
              <w:top w:val="single" w:sz="4" w:space="0" w:color="auto"/>
              <w:bottom w:val="single" w:sz="4" w:space="0" w:color="auto"/>
            </w:tcBorders>
            <w:vAlign w:val="center"/>
          </w:tcPr>
          <w:p w14:paraId="6638E8E2" w14:textId="77777777" w:rsidR="00E40A40" w:rsidRPr="006311F8" w:rsidRDefault="00E40A40" w:rsidP="006311F8">
            <w:pPr>
              <w:jc w:val="center"/>
              <w:rPr>
                <w:rFonts w:ascii="Times New Roman" w:hAnsi="Times New Roman" w:cs="Times New Roman"/>
                <w:sz w:val="16"/>
                <w:szCs w:val="20"/>
              </w:rPr>
            </w:pPr>
            <w:r w:rsidRPr="006311F8">
              <w:rPr>
                <w:rFonts w:ascii="Times New Roman" w:hAnsi="Times New Roman" w:cs="Times New Roman"/>
                <w:sz w:val="16"/>
                <w:szCs w:val="20"/>
              </w:rPr>
              <w:t>-0.006</w:t>
            </w:r>
          </w:p>
          <w:p w14:paraId="304B01AA" w14:textId="77777777" w:rsidR="00E40A40" w:rsidRPr="006311F8" w:rsidRDefault="00E40A40" w:rsidP="006311F8">
            <w:pPr>
              <w:jc w:val="center"/>
              <w:rPr>
                <w:rFonts w:ascii="Times New Roman" w:hAnsi="Times New Roman" w:cs="Times New Roman"/>
                <w:sz w:val="16"/>
                <w:szCs w:val="20"/>
              </w:rPr>
            </w:pPr>
            <w:r w:rsidRPr="006311F8">
              <w:rPr>
                <w:rFonts w:ascii="Times New Roman" w:hAnsi="Times New Roman" w:cs="Times New Roman"/>
                <w:sz w:val="16"/>
                <w:szCs w:val="20"/>
              </w:rPr>
              <w:t>(0.967)</w:t>
            </w:r>
          </w:p>
        </w:tc>
        <w:tc>
          <w:tcPr>
            <w:tcW w:w="379" w:type="pct"/>
            <w:tcBorders>
              <w:top w:val="single" w:sz="4" w:space="0" w:color="auto"/>
              <w:bottom w:val="single" w:sz="4" w:space="0" w:color="auto"/>
            </w:tcBorders>
            <w:vAlign w:val="center"/>
          </w:tcPr>
          <w:p w14:paraId="488BAF3F" w14:textId="77777777" w:rsidR="00E40A40" w:rsidRPr="006311F8" w:rsidRDefault="00E40A40" w:rsidP="006311F8">
            <w:pPr>
              <w:jc w:val="center"/>
              <w:rPr>
                <w:rFonts w:ascii="Times New Roman" w:hAnsi="Times New Roman" w:cs="Times New Roman"/>
                <w:sz w:val="16"/>
                <w:szCs w:val="20"/>
              </w:rPr>
            </w:pPr>
            <w:r w:rsidRPr="006311F8">
              <w:rPr>
                <w:rFonts w:ascii="Times New Roman" w:hAnsi="Times New Roman" w:cs="Times New Roman"/>
                <w:sz w:val="16"/>
                <w:szCs w:val="20"/>
              </w:rPr>
              <w:t>-0.042</w:t>
            </w:r>
          </w:p>
        </w:tc>
        <w:tc>
          <w:tcPr>
            <w:tcW w:w="379" w:type="pct"/>
            <w:tcBorders>
              <w:top w:val="single" w:sz="4" w:space="0" w:color="auto"/>
              <w:bottom w:val="single" w:sz="4" w:space="0" w:color="auto"/>
            </w:tcBorders>
            <w:vAlign w:val="center"/>
          </w:tcPr>
          <w:p w14:paraId="31CEF195" w14:textId="5A36858B" w:rsidR="00E40A40" w:rsidRPr="006311F8" w:rsidRDefault="00337B39" w:rsidP="006311F8">
            <w:pPr>
              <w:jc w:val="center"/>
              <w:rPr>
                <w:rFonts w:ascii="Times New Roman" w:hAnsi="Times New Roman" w:cs="Times New Roman"/>
                <w:sz w:val="16"/>
                <w:szCs w:val="20"/>
              </w:rPr>
            </w:pPr>
            <w:r w:rsidRPr="006311F8">
              <w:rPr>
                <w:rFonts w:ascii="Times New Roman" w:hAnsi="Times New Roman" w:cs="Times New Roman"/>
                <w:sz w:val="16"/>
                <w:szCs w:val="20"/>
              </w:rPr>
              <w:t>0</w:t>
            </w:r>
            <w:r w:rsidR="00E40A40" w:rsidRPr="006311F8">
              <w:rPr>
                <w:rFonts w:ascii="Times New Roman" w:hAnsi="Times New Roman" w:cs="Times New Roman"/>
                <w:sz w:val="16"/>
                <w:szCs w:val="20"/>
              </w:rPr>
              <w:t>.010</w:t>
            </w:r>
          </w:p>
          <w:p w14:paraId="6B16B7F8" w14:textId="77777777" w:rsidR="00E40A40" w:rsidRPr="006311F8" w:rsidRDefault="00E40A40" w:rsidP="006311F8">
            <w:pPr>
              <w:jc w:val="center"/>
              <w:rPr>
                <w:rFonts w:ascii="Times New Roman" w:hAnsi="Times New Roman" w:cs="Times New Roman"/>
                <w:sz w:val="16"/>
                <w:szCs w:val="20"/>
              </w:rPr>
            </w:pPr>
            <w:r w:rsidRPr="006311F8">
              <w:rPr>
                <w:rFonts w:ascii="Times New Roman" w:hAnsi="Times New Roman" w:cs="Times New Roman"/>
                <w:sz w:val="16"/>
                <w:szCs w:val="20"/>
              </w:rPr>
              <w:t>(0.098)</w:t>
            </w:r>
          </w:p>
        </w:tc>
        <w:tc>
          <w:tcPr>
            <w:tcW w:w="376" w:type="pct"/>
            <w:tcBorders>
              <w:top w:val="single" w:sz="4" w:space="0" w:color="auto"/>
              <w:bottom w:val="single" w:sz="4" w:space="0" w:color="auto"/>
            </w:tcBorders>
            <w:vAlign w:val="center"/>
          </w:tcPr>
          <w:p w14:paraId="619C92F0" w14:textId="77777777" w:rsidR="00E40A40" w:rsidRPr="006311F8" w:rsidRDefault="00E40A40" w:rsidP="006311F8">
            <w:pPr>
              <w:autoSpaceDE w:val="0"/>
              <w:autoSpaceDN w:val="0"/>
              <w:adjustRightInd w:val="0"/>
              <w:jc w:val="center"/>
              <w:rPr>
                <w:rFonts w:ascii="Times New Roman" w:hAnsi="Times New Roman" w:cs="Times New Roman"/>
                <w:sz w:val="16"/>
                <w:szCs w:val="20"/>
              </w:rPr>
            </w:pPr>
            <w:r w:rsidRPr="006311F8">
              <w:rPr>
                <w:rFonts w:ascii="Times New Roman" w:hAnsi="Times New Roman" w:cs="Times New Roman"/>
                <w:sz w:val="16"/>
                <w:szCs w:val="20"/>
              </w:rPr>
              <w:t>1.669</w:t>
            </w:r>
          </w:p>
        </w:tc>
      </w:tr>
      <w:tr w:rsidR="006311F8" w:rsidRPr="00952DC1" w14:paraId="42116CC2" w14:textId="77777777" w:rsidTr="00F22E7B">
        <w:trPr>
          <w:jc w:val="center"/>
        </w:trPr>
        <w:tc>
          <w:tcPr>
            <w:tcW w:w="460" w:type="pct"/>
            <w:tcBorders>
              <w:top w:val="single" w:sz="4" w:space="0" w:color="auto"/>
              <w:bottom w:val="single" w:sz="4" w:space="0" w:color="auto"/>
              <w:right w:val="single" w:sz="4" w:space="0" w:color="auto"/>
            </w:tcBorders>
          </w:tcPr>
          <w:p w14:paraId="6631DA13" w14:textId="77777777" w:rsidR="00E40A40" w:rsidRPr="006311F8" w:rsidRDefault="00E40A40" w:rsidP="00A152B0">
            <w:pPr>
              <w:tabs>
                <w:tab w:val="left" w:pos="4536"/>
              </w:tabs>
              <w:autoSpaceDE w:val="0"/>
              <w:autoSpaceDN w:val="0"/>
              <w:adjustRightInd w:val="0"/>
              <w:jc w:val="center"/>
              <w:rPr>
                <w:rFonts w:ascii="Times New Roman" w:hAnsi="Times New Roman" w:cs="Times New Roman"/>
                <w:sz w:val="16"/>
                <w:szCs w:val="20"/>
              </w:rPr>
            </w:pPr>
            <w:r w:rsidRPr="006311F8">
              <w:rPr>
                <w:rFonts w:ascii="Times New Roman" w:hAnsi="Times New Roman" w:cs="Times New Roman"/>
                <w:sz w:val="16"/>
                <w:szCs w:val="20"/>
              </w:rPr>
              <w:t>Big4</w:t>
            </w:r>
          </w:p>
        </w:tc>
        <w:tc>
          <w:tcPr>
            <w:tcW w:w="379" w:type="pct"/>
            <w:tcBorders>
              <w:top w:val="single" w:sz="4" w:space="0" w:color="auto"/>
              <w:left w:val="single" w:sz="4" w:space="0" w:color="auto"/>
              <w:bottom w:val="single" w:sz="4" w:space="0" w:color="auto"/>
            </w:tcBorders>
            <w:vAlign w:val="center"/>
          </w:tcPr>
          <w:p w14:paraId="2187E831" w14:textId="0D51626F" w:rsidR="00E40A40" w:rsidRPr="006311F8" w:rsidRDefault="00337B39" w:rsidP="006311F8">
            <w:pPr>
              <w:jc w:val="center"/>
              <w:rPr>
                <w:rFonts w:ascii="Times New Roman" w:hAnsi="Times New Roman" w:cs="Times New Roman"/>
                <w:sz w:val="16"/>
                <w:szCs w:val="20"/>
              </w:rPr>
            </w:pPr>
            <w:r w:rsidRPr="006311F8">
              <w:rPr>
                <w:rFonts w:ascii="Times New Roman" w:hAnsi="Times New Roman" w:cs="Times New Roman"/>
                <w:sz w:val="16"/>
                <w:szCs w:val="20"/>
              </w:rPr>
              <w:t>0</w:t>
            </w:r>
            <w:r w:rsidR="00E40A40" w:rsidRPr="006311F8">
              <w:rPr>
                <w:rFonts w:ascii="Times New Roman" w:hAnsi="Times New Roman" w:cs="Times New Roman"/>
                <w:sz w:val="16"/>
                <w:szCs w:val="20"/>
              </w:rPr>
              <w:t>-.014</w:t>
            </w:r>
          </w:p>
          <w:p w14:paraId="75E358BE" w14:textId="77777777" w:rsidR="00E40A40" w:rsidRPr="006311F8" w:rsidRDefault="00E40A40" w:rsidP="006311F8">
            <w:pPr>
              <w:jc w:val="center"/>
              <w:rPr>
                <w:rFonts w:ascii="Times New Roman" w:hAnsi="Times New Roman" w:cs="Times New Roman"/>
                <w:sz w:val="16"/>
                <w:szCs w:val="20"/>
              </w:rPr>
            </w:pPr>
            <w:r w:rsidRPr="006311F8">
              <w:rPr>
                <w:rFonts w:ascii="Times New Roman" w:hAnsi="Times New Roman" w:cs="Times New Roman"/>
                <w:sz w:val="16"/>
                <w:szCs w:val="20"/>
              </w:rPr>
              <w:t>(0.024)</w:t>
            </w:r>
          </w:p>
        </w:tc>
        <w:tc>
          <w:tcPr>
            <w:tcW w:w="378" w:type="pct"/>
            <w:tcBorders>
              <w:top w:val="single" w:sz="4" w:space="0" w:color="auto"/>
              <w:bottom w:val="single" w:sz="4" w:space="0" w:color="auto"/>
            </w:tcBorders>
            <w:vAlign w:val="center"/>
          </w:tcPr>
          <w:p w14:paraId="2DD07307" w14:textId="77777777" w:rsidR="00E40A40" w:rsidRPr="006311F8" w:rsidRDefault="00E40A40" w:rsidP="006311F8">
            <w:pPr>
              <w:jc w:val="center"/>
              <w:rPr>
                <w:rFonts w:ascii="Times New Roman" w:hAnsi="Times New Roman" w:cs="Times New Roman"/>
                <w:sz w:val="16"/>
                <w:szCs w:val="20"/>
              </w:rPr>
            </w:pPr>
            <w:r w:rsidRPr="006311F8">
              <w:rPr>
                <w:rFonts w:ascii="Times New Roman" w:hAnsi="Times New Roman" w:cs="Times New Roman"/>
                <w:sz w:val="16"/>
                <w:szCs w:val="20"/>
              </w:rPr>
              <w:t>-2.261</w:t>
            </w:r>
          </w:p>
        </w:tc>
        <w:tc>
          <w:tcPr>
            <w:tcW w:w="378" w:type="pct"/>
            <w:tcBorders>
              <w:top w:val="single" w:sz="4" w:space="0" w:color="auto"/>
              <w:bottom w:val="single" w:sz="4" w:space="0" w:color="auto"/>
            </w:tcBorders>
            <w:vAlign w:val="center"/>
          </w:tcPr>
          <w:p w14:paraId="30D98CB7" w14:textId="6DA4595A" w:rsidR="00E40A40" w:rsidRPr="006311F8" w:rsidRDefault="00E40A40" w:rsidP="006311F8">
            <w:pPr>
              <w:jc w:val="center"/>
              <w:rPr>
                <w:rFonts w:ascii="Times New Roman" w:hAnsi="Times New Roman" w:cs="Times New Roman"/>
                <w:sz w:val="16"/>
                <w:szCs w:val="20"/>
              </w:rPr>
            </w:pPr>
            <w:r w:rsidRPr="006311F8">
              <w:rPr>
                <w:rFonts w:ascii="Times New Roman" w:hAnsi="Times New Roman" w:cs="Times New Roman"/>
                <w:sz w:val="16"/>
                <w:szCs w:val="20"/>
              </w:rPr>
              <w:t>-</w:t>
            </w:r>
            <w:r w:rsidR="00337B39" w:rsidRPr="006311F8">
              <w:rPr>
                <w:rFonts w:ascii="Times New Roman" w:hAnsi="Times New Roman" w:cs="Times New Roman"/>
                <w:sz w:val="16"/>
                <w:szCs w:val="20"/>
              </w:rPr>
              <w:t>0</w:t>
            </w:r>
            <w:r w:rsidRPr="006311F8">
              <w:rPr>
                <w:rFonts w:ascii="Times New Roman" w:hAnsi="Times New Roman" w:cs="Times New Roman"/>
                <w:sz w:val="16"/>
                <w:szCs w:val="20"/>
              </w:rPr>
              <w:t>.031</w:t>
            </w:r>
          </w:p>
          <w:p w14:paraId="24F812A9" w14:textId="77777777" w:rsidR="00E40A40" w:rsidRPr="006311F8" w:rsidRDefault="00E40A40" w:rsidP="006311F8">
            <w:pPr>
              <w:jc w:val="center"/>
              <w:rPr>
                <w:rFonts w:ascii="Times New Roman" w:hAnsi="Times New Roman" w:cs="Times New Roman"/>
                <w:sz w:val="16"/>
                <w:szCs w:val="20"/>
              </w:rPr>
            </w:pPr>
            <w:r w:rsidRPr="006311F8">
              <w:rPr>
                <w:rFonts w:ascii="Times New Roman" w:hAnsi="Times New Roman" w:cs="Times New Roman"/>
                <w:sz w:val="16"/>
                <w:szCs w:val="20"/>
              </w:rPr>
              <w:t>(0.000)</w:t>
            </w:r>
          </w:p>
        </w:tc>
        <w:tc>
          <w:tcPr>
            <w:tcW w:w="378" w:type="pct"/>
            <w:tcBorders>
              <w:top w:val="single" w:sz="4" w:space="0" w:color="auto"/>
              <w:bottom w:val="single" w:sz="4" w:space="0" w:color="auto"/>
            </w:tcBorders>
            <w:vAlign w:val="center"/>
          </w:tcPr>
          <w:p w14:paraId="5BF0B07D" w14:textId="77777777" w:rsidR="00E40A40" w:rsidRPr="006311F8" w:rsidRDefault="00E40A40" w:rsidP="006311F8">
            <w:pPr>
              <w:jc w:val="center"/>
              <w:rPr>
                <w:rFonts w:ascii="Times New Roman" w:hAnsi="Times New Roman" w:cs="Times New Roman"/>
                <w:sz w:val="16"/>
                <w:szCs w:val="20"/>
              </w:rPr>
            </w:pPr>
            <w:r w:rsidRPr="006311F8">
              <w:rPr>
                <w:rFonts w:ascii="Times New Roman" w:hAnsi="Times New Roman" w:cs="Times New Roman"/>
                <w:sz w:val="16"/>
                <w:szCs w:val="20"/>
              </w:rPr>
              <w:t>-3.810</w:t>
            </w:r>
          </w:p>
          <w:p w14:paraId="3BAF961C" w14:textId="77777777" w:rsidR="00E40A40" w:rsidRPr="006311F8" w:rsidRDefault="00E40A40" w:rsidP="006311F8">
            <w:pPr>
              <w:jc w:val="center"/>
              <w:rPr>
                <w:rFonts w:ascii="Times New Roman" w:hAnsi="Times New Roman" w:cs="Times New Roman"/>
                <w:sz w:val="16"/>
                <w:szCs w:val="20"/>
              </w:rPr>
            </w:pPr>
          </w:p>
        </w:tc>
        <w:tc>
          <w:tcPr>
            <w:tcW w:w="378" w:type="pct"/>
            <w:tcBorders>
              <w:top w:val="single" w:sz="4" w:space="0" w:color="auto"/>
              <w:bottom w:val="single" w:sz="4" w:space="0" w:color="auto"/>
            </w:tcBorders>
            <w:vAlign w:val="center"/>
          </w:tcPr>
          <w:p w14:paraId="67A93227" w14:textId="77777777" w:rsidR="00E40A40" w:rsidRPr="006311F8" w:rsidRDefault="00337B39" w:rsidP="006311F8">
            <w:pPr>
              <w:autoSpaceDE w:val="0"/>
              <w:autoSpaceDN w:val="0"/>
              <w:adjustRightInd w:val="0"/>
              <w:jc w:val="center"/>
              <w:rPr>
                <w:rFonts w:ascii="Times New Roman" w:hAnsi="Times New Roman" w:cs="Times New Roman"/>
                <w:sz w:val="16"/>
                <w:szCs w:val="20"/>
              </w:rPr>
            </w:pPr>
            <w:r w:rsidRPr="006311F8">
              <w:rPr>
                <w:rFonts w:ascii="Times New Roman" w:hAnsi="Times New Roman" w:cs="Times New Roman"/>
                <w:sz w:val="16"/>
                <w:szCs w:val="20"/>
              </w:rPr>
              <w:t>0.012</w:t>
            </w:r>
          </w:p>
          <w:p w14:paraId="5A1E7CD2" w14:textId="578C7647" w:rsidR="00337B39" w:rsidRPr="006311F8" w:rsidRDefault="00337B39" w:rsidP="006311F8">
            <w:pPr>
              <w:autoSpaceDE w:val="0"/>
              <w:autoSpaceDN w:val="0"/>
              <w:adjustRightInd w:val="0"/>
              <w:jc w:val="center"/>
              <w:rPr>
                <w:rFonts w:ascii="Times New Roman" w:hAnsi="Times New Roman" w:cs="Times New Roman"/>
                <w:sz w:val="16"/>
                <w:szCs w:val="20"/>
              </w:rPr>
            </w:pPr>
            <w:r w:rsidRPr="006311F8">
              <w:rPr>
                <w:rFonts w:ascii="Times New Roman" w:hAnsi="Times New Roman" w:cs="Times New Roman"/>
                <w:sz w:val="16"/>
                <w:szCs w:val="20"/>
              </w:rPr>
              <w:t>(0.116)</w:t>
            </w:r>
          </w:p>
        </w:tc>
        <w:tc>
          <w:tcPr>
            <w:tcW w:w="378" w:type="pct"/>
            <w:tcBorders>
              <w:top w:val="single" w:sz="4" w:space="0" w:color="auto"/>
              <w:bottom w:val="single" w:sz="4" w:space="0" w:color="auto"/>
            </w:tcBorders>
            <w:vAlign w:val="center"/>
          </w:tcPr>
          <w:p w14:paraId="5EA77D86" w14:textId="42A27662" w:rsidR="00E40A40" w:rsidRPr="006311F8" w:rsidRDefault="00337B39" w:rsidP="006311F8">
            <w:pPr>
              <w:jc w:val="center"/>
              <w:rPr>
                <w:rFonts w:ascii="Times New Roman" w:hAnsi="Times New Roman" w:cs="Times New Roman"/>
                <w:sz w:val="16"/>
                <w:szCs w:val="20"/>
              </w:rPr>
            </w:pPr>
            <w:r w:rsidRPr="006311F8">
              <w:rPr>
                <w:rFonts w:ascii="Times New Roman" w:hAnsi="Times New Roman" w:cs="Times New Roman"/>
                <w:sz w:val="16"/>
                <w:szCs w:val="20"/>
              </w:rPr>
              <w:t>0.102</w:t>
            </w:r>
          </w:p>
        </w:tc>
        <w:tc>
          <w:tcPr>
            <w:tcW w:w="378" w:type="pct"/>
            <w:tcBorders>
              <w:top w:val="single" w:sz="4" w:space="0" w:color="auto"/>
              <w:bottom w:val="single" w:sz="4" w:space="0" w:color="auto"/>
            </w:tcBorders>
            <w:vAlign w:val="center"/>
          </w:tcPr>
          <w:p w14:paraId="5A875379" w14:textId="77777777" w:rsidR="00E40A40" w:rsidRPr="006311F8" w:rsidRDefault="00E40A40" w:rsidP="006311F8">
            <w:pPr>
              <w:jc w:val="center"/>
              <w:rPr>
                <w:rFonts w:ascii="Times New Roman" w:hAnsi="Times New Roman" w:cs="Times New Roman"/>
                <w:sz w:val="16"/>
                <w:szCs w:val="20"/>
              </w:rPr>
            </w:pPr>
            <w:r w:rsidRPr="006311F8">
              <w:rPr>
                <w:rFonts w:ascii="Times New Roman" w:hAnsi="Times New Roman" w:cs="Times New Roman"/>
                <w:sz w:val="16"/>
                <w:szCs w:val="20"/>
              </w:rPr>
              <w:t>.044</w:t>
            </w:r>
          </w:p>
          <w:p w14:paraId="149A21FA" w14:textId="77777777" w:rsidR="00E40A40" w:rsidRPr="006311F8" w:rsidRDefault="00E40A40" w:rsidP="006311F8">
            <w:pPr>
              <w:jc w:val="center"/>
              <w:rPr>
                <w:rFonts w:ascii="Times New Roman" w:hAnsi="Times New Roman" w:cs="Times New Roman"/>
                <w:sz w:val="16"/>
                <w:szCs w:val="20"/>
              </w:rPr>
            </w:pPr>
            <w:r w:rsidRPr="006311F8">
              <w:rPr>
                <w:rFonts w:ascii="Times New Roman" w:hAnsi="Times New Roman" w:cs="Times New Roman"/>
                <w:sz w:val="16"/>
                <w:szCs w:val="20"/>
              </w:rPr>
              <w:t>(0.000)</w:t>
            </w:r>
          </w:p>
        </w:tc>
        <w:tc>
          <w:tcPr>
            <w:tcW w:w="378" w:type="pct"/>
            <w:tcBorders>
              <w:top w:val="single" w:sz="4" w:space="0" w:color="auto"/>
              <w:bottom w:val="single" w:sz="4" w:space="0" w:color="auto"/>
            </w:tcBorders>
            <w:vAlign w:val="center"/>
          </w:tcPr>
          <w:p w14:paraId="78161F33" w14:textId="77777777" w:rsidR="00E40A40" w:rsidRPr="006311F8" w:rsidRDefault="00E40A40" w:rsidP="006311F8">
            <w:pPr>
              <w:jc w:val="center"/>
              <w:rPr>
                <w:rFonts w:ascii="Times New Roman" w:hAnsi="Times New Roman" w:cs="Times New Roman"/>
                <w:sz w:val="16"/>
                <w:szCs w:val="20"/>
              </w:rPr>
            </w:pPr>
            <w:r w:rsidRPr="006311F8">
              <w:rPr>
                <w:rFonts w:ascii="Times New Roman" w:hAnsi="Times New Roman" w:cs="Times New Roman"/>
                <w:sz w:val="16"/>
                <w:szCs w:val="20"/>
              </w:rPr>
              <w:t>4.417</w:t>
            </w:r>
          </w:p>
        </w:tc>
        <w:tc>
          <w:tcPr>
            <w:tcW w:w="379" w:type="pct"/>
            <w:tcBorders>
              <w:top w:val="single" w:sz="4" w:space="0" w:color="auto"/>
              <w:bottom w:val="single" w:sz="4" w:space="0" w:color="auto"/>
            </w:tcBorders>
            <w:vAlign w:val="center"/>
          </w:tcPr>
          <w:p w14:paraId="03B7EE41" w14:textId="77777777" w:rsidR="00E40A40" w:rsidRPr="006311F8" w:rsidRDefault="00E40A40" w:rsidP="006311F8">
            <w:pPr>
              <w:jc w:val="center"/>
              <w:rPr>
                <w:rFonts w:ascii="Times New Roman" w:hAnsi="Times New Roman" w:cs="Times New Roman"/>
                <w:sz w:val="16"/>
                <w:szCs w:val="20"/>
              </w:rPr>
            </w:pPr>
            <w:r w:rsidRPr="006311F8">
              <w:rPr>
                <w:rFonts w:ascii="Times New Roman" w:hAnsi="Times New Roman" w:cs="Times New Roman"/>
                <w:sz w:val="16"/>
                <w:szCs w:val="20"/>
              </w:rPr>
              <w:t>-0.184</w:t>
            </w:r>
          </w:p>
          <w:p w14:paraId="423BD781" w14:textId="77777777" w:rsidR="00E40A40" w:rsidRPr="006311F8" w:rsidRDefault="00E40A40" w:rsidP="006311F8">
            <w:pPr>
              <w:jc w:val="center"/>
              <w:rPr>
                <w:rFonts w:ascii="Times New Roman" w:hAnsi="Times New Roman" w:cs="Times New Roman"/>
                <w:sz w:val="16"/>
                <w:szCs w:val="20"/>
              </w:rPr>
            </w:pPr>
            <w:r w:rsidRPr="006311F8">
              <w:rPr>
                <w:rFonts w:ascii="Times New Roman" w:hAnsi="Times New Roman" w:cs="Times New Roman"/>
                <w:sz w:val="16"/>
                <w:szCs w:val="20"/>
              </w:rPr>
              <w:t>(0.434)</w:t>
            </w:r>
          </w:p>
        </w:tc>
        <w:tc>
          <w:tcPr>
            <w:tcW w:w="379" w:type="pct"/>
            <w:tcBorders>
              <w:top w:val="single" w:sz="4" w:space="0" w:color="auto"/>
              <w:bottom w:val="single" w:sz="4" w:space="0" w:color="auto"/>
            </w:tcBorders>
            <w:vAlign w:val="center"/>
          </w:tcPr>
          <w:p w14:paraId="0CC749EE" w14:textId="77777777" w:rsidR="00E40A40" w:rsidRPr="006311F8" w:rsidRDefault="00E40A40" w:rsidP="006311F8">
            <w:pPr>
              <w:jc w:val="center"/>
              <w:rPr>
                <w:rFonts w:ascii="Times New Roman" w:hAnsi="Times New Roman" w:cs="Times New Roman"/>
                <w:sz w:val="16"/>
                <w:szCs w:val="20"/>
              </w:rPr>
            </w:pPr>
            <w:r w:rsidRPr="006311F8">
              <w:rPr>
                <w:rFonts w:ascii="Times New Roman" w:hAnsi="Times New Roman" w:cs="Times New Roman"/>
                <w:sz w:val="16"/>
                <w:szCs w:val="20"/>
              </w:rPr>
              <w:t>-0.789</w:t>
            </w:r>
          </w:p>
        </w:tc>
        <w:tc>
          <w:tcPr>
            <w:tcW w:w="379" w:type="pct"/>
            <w:tcBorders>
              <w:top w:val="single" w:sz="4" w:space="0" w:color="auto"/>
              <w:bottom w:val="single" w:sz="4" w:space="0" w:color="auto"/>
            </w:tcBorders>
            <w:vAlign w:val="center"/>
          </w:tcPr>
          <w:p w14:paraId="546BEFAC" w14:textId="10AD0F74" w:rsidR="00E40A40" w:rsidRPr="006311F8" w:rsidRDefault="00337B39" w:rsidP="006311F8">
            <w:pPr>
              <w:jc w:val="center"/>
              <w:rPr>
                <w:rFonts w:ascii="Times New Roman" w:hAnsi="Times New Roman" w:cs="Times New Roman"/>
                <w:sz w:val="16"/>
                <w:szCs w:val="20"/>
              </w:rPr>
            </w:pPr>
            <w:r w:rsidRPr="006311F8">
              <w:rPr>
                <w:rFonts w:ascii="Times New Roman" w:hAnsi="Times New Roman" w:cs="Times New Roman"/>
                <w:sz w:val="16"/>
                <w:szCs w:val="20"/>
              </w:rPr>
              <w:t>0</w:t>
            </w:r>
            <w:r w:rsidR="00E40A40" w:rsidRPr="006311F8">
              <w:rPr>
                <w:rFonts w:ascii="Times New Roman" w:hAnsi="Times New Roman" w:cs="Times New Roman"/>
                <w:sz w:val="16"/>
                <w:szCs w:val="20"/>
              </w:rPr>
              <w:t>.013</w:t>
            </w:r>
          </w:p>
          <w:p w14:paraId="4BD68CE0" w14:textId="77777777" w:rsidR="00E40A40" w:rsidRPr="006311F8" w:rsidRDefault="00E40A40" w:rsidP="006311F8">
            <w:pPr>
              <w:jc w:val="center"/>
              <w:rPr>
                <w:rFonts w:ascii="Times New Roman" w:hAnsi="Times New Roman" w:cs="Times New Roman"/>
                <w:sz w:val="16"/>
                <w:szCs w:val="20"/>
              </w:rPr>
            </w:pPr>
            <w:r w:rsidRPr="006311F8">
              <w:rPr>
                <w:rFonts w:ascii="Times New Roman" w:hAnsi="Times New Roman" w:cs="Times New Roman"/>
                <w:sz w:val="16"/>
                <w:szCs w:val="20"/>
              </w:rPr>
              <w:t>(0.333)</w:t>
            </w:r>
          </w:p>
        </w:tc>
        <w:tc>
          <w:tcPr>
            <w:tcW w:w="376" w:type="pct"/>
            <w:tcBorders>
              <w:top w:val="single" w:sz="4" w:space="0" w:color="auto"/>
              <w:bottom w:val="single" w:sz="4" w:space="0" w:color="auto"/>
            </w:tcBorders>
            <w:vAlign w:val="center"/>
          </w:tcPr>
          <w:p w14:paraId="00E73CBA" w14:textId="77777777" w:rsidR="00E40A40" w:rsidRPr="006311F8" w:rsidRDefault="00E40A40" w:rsidP="006311F8">
            <w:pPr>
              <w:jc w:val="center"/>
              <w:rPr>
                <w:rFonts w:ascii="Times New Roman" w:hAnsi="Times New Roman" w:cs="Times New Roman"/>
                <w:sz w:val="16"/>
                <w:szCs w:val="20"/>
              </w:rPr>
            </w:pPr>
            <w:r w:rsidRPr="006311F8">
              <w:rPr>
                <w:rFonts w:ascii="Times New Roman" w:hAnsi="Times New Roman" w:cs="Times New Roman"/>
                <w:sz w:val="16"/>
                <w:szCs w:val="20"/>
              </w:rPr>
              <w:t>0.972</w:t>
            </w:r>
          </w:p>
        </w:tc>
      </w:tr>
      <w:tr w:rsidR="006311F8" w:rsidRPr="00952DC1" w14:paraId="0C6E03B2" w14:textId="77777777" w:rsidTr="00F22E7B">
        <w:trPr>
          <w:jc w:val="center"/>
        </w:trPr>
        <w:tc>
          <w:tcPr>
            <w:tcW w:w="460" w:type="pct"/>
            <w:tcBorders>
              <w:top w:val="single" w:sz="4" w:space="0" w:color="auto"/>
              <w:bottom w:val="single" w:sz="4" w:space="0" w:color="auto"/>
              <w:right w:val="single" w:sz="4" w:space="0" w:color="auto"/>
            </w:tcBorders>
          </w:tcPr>
          <w:p w14:paraId="3186295E" w14:textId="60F5FA34" w:rsidR="00E40A40" w:rsidRPr="006311F8" w:rsidRDefault="00E40A40" w:rsidP="00A152B0">
            <w:pPr>
              <w:tabs>
                <w:tab w:val="left" w:pos="4536"/>
              </w:tabs>
              <w:autoSpaceDE w:val="0"/>
              <w:autoSpaceDN w:val="0"/>
              <w:adjustRightInd w:val="0"/>
              <w:jc w:val="center"/>
              <w:rPr>
                <w:rFonts w:ascii="Times New Roman" w:hAnsi="Times New Roman" w:cs="Times New Roman"/>
                <w:sz w:val="16"/>
                <w:szCs w:val="20"/>
              </w:rPr>
            </w:pPr>
            <w:r w:rsidRPr="006311F8">
              <w:rPr>
                <w:rFonts w:ascii="Times New Roman" w:hAnsi="Times New Roman" w:cs="Times New Roman"/>
                <w:sz w:val="16"/>
                <w:szCs w:val="20"/>
              </w:rPr>
              <w:t>Risk</w:t>
            </w:r>
          </w:p>
        </w:tc>
        <w:tc>
          <w:tcPr>
            <w:tcW w:w="379" w:type="pct"/>
            <w:tcBorders>
              <w:top w:val="single" w:sz="4" w:space="0" w:color="auto"/>
              <w:left w:val="single" w:sz="4" w:space="0" w:color="auto"/>
              <w:bottom w:val="single" w:sz="4" w:space="0" w:color="auto"/>
            </w:tcBorders>
            <w:vAlign w:val="center"/>
          </w:tcPr>
          <w:p w14:paraId="02EDC6C1" w14:textId="77777777" w:rsidR="00E40A40" w:rsidRPr="006311F8" w:rsidRDefault="00E40A40" w:rsidP="006311F8">
            <w:pPr>
              <w:jc w:val="center"/>
              <w:rPr>
                <w:rFonts w:ascii="Times New Roman" w:hAnsi="Times New Roman" w:cs="Times New Roman"/>
                <w:sz w:val="16"/>
                <w:szCs w:val="20"/>
              </w:rPr>
            </w:pPr>
            <w:r w:rsidRPr="006311F8">
              <w:rPr>
                <w:rFonts w:ascii="Times New Roman" w:hAnsi="Times New Roman" w:cs="Times New Roman"/>
                <w:sz w:val="16"/>
                <w:szCs w:val="20"/>
              </w:rPr>
              <w:t>0.011</w:t>
            </w:r>
          </w:p>
          <w:p w14:paraId="76EE9827" w14:textId="77777777" w:rsidR="00E40A40" w:rsidRPr="006311F8" w:rsidRDefault="00E40A40" w:rsidP="006311F8">
            <w:pPr>
              <w:jc w:val="center"/>
              <w:rPr>
                <w:rFonts w:ascii="Times New Roman" w:hAnsi="Times New Roman" w:cs="Times New Roman"/>
                <w:sz w:val="16"/>
                <w:szCs w:val="20"/>
              </w:rPr>
            </w:pPr>
            <w:r w:rsidRPr="006311F8">
              <w:rPr>
                <w:rFonts w:ascii="Times New Roman" w:hAnsi="Times New Roman" w:cs="Times New Roman"/>
                <w:sz w:val="16"/>
                <w:szCs w:val="20"/>
              </w:rPr>
              <w:t>(0.001)</w:t>
            </w:r>
          </w:p>
        </w:tc>
        <w:tc>
          <w:tcPr>
            <w:tcW w:w="378" w:type="pct"/>
            <w:tcBorders>
              <w:top w:val="single" w:sz="4" w:space="0" w:color="auto"/>
              <w:bottom w:val="single" w:sz="4" w:space="0" w:color="auto"/>
            </w:tcBorders>
            <w:vAlign w:val="center"/>
          </w:tcPr>
          <w:p w14:paraId="3A4FF94C" w14:textId="77777777" w:rsidR="00E40A40" w:rsidRPr="006311F8" w:rsidRDefault="00E40A40" w:rsidP="006311F8">
            <w:pPr>
              <w:jc w:val="center"/>
              <w:rPr>
                <w:rFonts w:ascii="Times New Roman" w:hAnsi="Times New Roman" w:cs="Times New Roman"/>
                <w:sz w:val="16"/>
                <w:szCs w:val="20"/>
              </w:rPr>
            </w:pPr>
            <w:r w:rsidRPr="006311F8">
              <w:rPr>
                <w:rFonts w:ascii="Times New Roman" w:hAnsi="Times New Roman" w:cs="Times New Roman"/>
                <w:sz w:val="16"/>
                <w:szCs w:val="20"/>
              </w:rPr>
              <w:t>3.201</w:t>
            </w:r>
          </w:p>
        </w:tc>
        <w:tc>
          <w:tcPr>
            <w:tcW w:w="378" w:type="pct"/>
            <w:tcBorders>
              <w:top w:val="single" w:sz="4" w:space="0" w:color="auto"/>
              <w:bottom w:val="single" w:sz="4" w:space="0" w:color="auto"/>
            </w:tcBorders>
            <w:vAlign w:val="center"/>
          </w:tcPr>
          <w:p w14:paraId="291B9D05" w14:textId="77777777" w:rsidR="00E40A40" w:rsidRPr="006311F8" w:rsidRDefault="00E40A40" w:rsidP="006311F8">
            <w:pPr>
              <w:jc w:val="center"/>
              <w:rPr>
                <w:rFonts w:ascii="Times New Roman" w:hAnsi="Times New Roman" w:cs="Times New Roman"/>
                <w:sz w:val="16"/>
                <w:szCs w:val="20"/>
              </w:rPr>
            </w:pPr>
            <w:r w:rsidRPr="006311F8">
              <w:rPr>
                <w:rFonts w:ascii="Times New Roman" w:hAnsi="Times New Roman" w:cs="Times New Roman"/>
                <w:sz w:val="16"/>
                <w:szCs w:val="20"/>
              </w:rPr>
              <w:t>0.039</w:t>
            </w:r>
          </w:p>
          <w:p w14:paraId="23639C70" w14:textId="77777777" w:rsidR="00E40A40" w:rsidRPr="006311F8" w:rsidRDefault="00E40A40" w:rsidP="006311F8">
            <w:pPr>
              <w:jc w:val="center"/>
              <w:rPr>
                <w:rFonts w:ascii="Times New Roman" w:hAnsi="Times New Roman" w:cs="Times New Roman"/>
                <w:sz w:val="16"/>
                <w:szCs w:val="20"/>
              </w:rPr>
            </w:pPr>
            <w:r w:rsidRPr="006311F8">
              <w:rPr>
                <w:rFonts w:ascii="Times New Roman" w:hAnsi="Times New Roman" w:cs="Times New Roman"/>
                <w:sz w:val="16"/>
                <w:szCs w:val="20"/>
              </w:rPr>
              <w:t>(0.000)</w:t>
            </w:r>
          </w:p>
        </w:tc>
        <w:tc>
          <w:tcPr>
            <w:tcW w:w="378" w:type="pct"/>
            <w:tcBorders>
              <w:top w:val="single" w:sz="4" w:space="0" w:color="auto"/>
              <w:bottom w:val="single" w:sz="4" w:space="0" w:color="auto"/>
            </w:tcBorders>
            <w:vAlign w:val="center"/>
          </w:tcPr>
          <w:p w14:paraId="3F754370" w14:textId="77777777" w:rsidR="00E40A40" w:rsidRPr="006311F8" w:rsidRDefault="00E40A40" w:rsidP="006311F8">
            <w:pPr>
              <w:jc w:val="center"/>
              <w:rPr>
                <w:rFonts w:ascii="Times New Roman" w:hAnsi="Times New Roman" w:cs="Times New Roman"/>
                <w:sz w:val="16"/>
                <w:szCs w:val="20"/>
              </w:rPr>
            </w:pPr>
            <w:r w:rsidRPr="006311F8">
              <w:rPr>
                <w:rFonts w:ascii="Times New Roman" w:hAnsi="Times New Roman" w:cs="Times New Roman"/>
                <w:sz w:val="16"/>
                <w:szCs w:val="20"/>
              </w:rPr>
              <w:t>3.839</w:t>
            </w:r>
          </w:p>
        </w:tc>
        <w:tc>
          <w:tcPr>
            <w:tcW w:w="378" w:type="pct"/>
            <w:tcBorders>
              <w:top w:val="single" w:sz="4" w:space="0" w:color="auto"/>
              <w:bottom w:val="single" w:sz="4" w:space="0" w:color="auto"/>
            </w:tcBorders>
            <w:vAlign w:val="center"/>
          </w:tcPr>
          <w:p w14:paraId="10A8F5DC" w14:textId="77777777" w:rsidR="00E40A40" w:rsidRPr="006311F8" w:rsidRDefault="00E40A40" w:rsidP="006311F8">
            <w:pPr>
              <w:autoSpaceDE w:val="0"/>
              <w:autoSpaceDN w:val="0"/>
              <w:adjustRightInd w:val="0"/>
              <w:jc w:val="center"/>
              <w:rPr>
                <w:rFonts w:ascii="Times New Roman" w:hAnsi="Times New Roman" w:cs="Times New Roman"/>
                <w:sz w:val="16"/>
                <w:szCs w:val="20"/>
              </w:rPr>
            </w:pPr>
            <w:r w:rsidRPr="006311F8">
              <w:rPr>
                <w:rFonts w:ascii="Times New Roman" w:hAnsi="Times New Roman" w:cs="Times New Roman"/>
                <w:sz w:val="16"/>
                <w:szCs w:val="20"/>
              </w:rPr>
              <w:t>-0.001 (0.441)</w:t>
            </w:r>
          </w:p>
        </w:tc>
        <w:tc>
          <w:tcPr>
            <w:tcW w:w="378" w:type="pct"/>
            <w:tcBorders>
              <w:top w:val="single" w:sz="4" w:space="0" w:color="auto"/>
              <w:bottom w:val="single" w:sz="4" w:space="0" w:color="auto"/>
            </w:tcBorders>
            <w:vAlign w:val="center"/>
          </w:tcPr>
          <w:p w14:paraId="3CECA80D" w14:textId="77777777" w:rsidR="00E40A40" w:rsidRPr="006311F8" w:rsidRDefault="00E40A40" w:rsidP="006311F8">
            <w:pPr>
              <w:autoSpaceDE w:val="0"/>
              <w:autoSpaceDN w:val="0"/>
              <w:adjustRightInd w:val="0"/>
              <w:jc w:val="center"/>
              <w:rPr>
                <w:rFonts w:ascii="Times New Roman" w:hAnsi="Times New Roman" w:cs="Times New Roman"/>
                <w:sz w:val="16"/>
                <w:szCs w:val="20"/>
              </w:rPr>
            </w:pPr>
            <w:r w:rsidRPr="006311F8">
              <w:rPr>
                <w:rFonts w:ascii="Times New Roman" w:hAnsi="Times New Roman" w:cs="Times New Roman"/>
                <w:sz w:val="16"/>
                <w:szCs w:val="20"/>
              </w:rPr>
              <w:t>-0.776</w:t>
            </w:r>
          </w:p>
          <w:p w14:paraId="5DF7DE3A" w14:textId="77777777" w:rsidR="00E40A40" w:rsidRPr="006311F8" w:rsidRDefault="00E40A40" w:rsidP="006311F8">
            <w:pPr>
              <w:jc w:val="center"/>
              <w:rPr>
                <w:rFonts w:ascii="Times New Roman" w:hAnsi="Times New Roman" w:cs="Times New Roman"/>
                <w:sz w:val="16"/>
                <w:szCs w:val="20"/>
              </w:rPr>
            </w:pPr>
          </w:p>
        </w:tc>
        <w:tc>
          <w:tcPr>
            <w:tcW w:w="378" w:type="pct"/>
            <w:tcBorders>
              <w:top w:val="single" w:sz="4" w:space="0" w:color="auto"/>
              <w:bottom w:val="single" w:sz="4" w:space="0" w:color="auto"/>
            </w:tcBorders>
            <w:vAlign w:val="center"/>
          </w:tcPr>
          <w:p w14:paraId="0915394E" w14:textId="77777777" w:rsidR="00E40A40" w:rsidRPr="006311F8" w:rsidRDefault="00E40A40" w:rsidP="006311F8">
            <w:pPr>
              <w:jc w:val="center"/>
              <w:rPr>
                <w:rFonts w:ascii="Times New Roman" w:hAnsi="Times New Roman" w:cs="Times New Roman"/>
                <w:sz w:val="16"/>
                <w:szCs w:val="20"/>
              </w:rPr>
            </w:pPr>
            <w:r w:rsidRPr="006311F8">
              <w:rPr>
                <w:rFonts w:ascii="Times New Roman" w:hAnsi="Times New Roman" w:cs="Times New Roman"/>
                <w:sz w:val="16"/>
                <w:szCs w:val="20"/>
              </w:rPr>
              <w:t>-.033</w:t>
            </w:r>
          </w:p>
          <w:p w14:paraId="0E441DD6" w14:textId="77777777" w:rsidR="00E40A40" w:rsidRPr="006311F8" w:rsidRDefault="00E40A40" w:rsidP="006311F8">
            <w:pPr>
              <w:jc w:val="center"/>
              <w:rPr>
                <w:rFonts w:ascii="Times New Roman" w:hAnsi="Times New Roman" w:cs="Times New Roman"/>
                <w:sz w:val="16"/>
                <w:szCs w:val="20"/>
              </w:rPr>
            </w:pPr>
            <w:r w:rsidRPr="006311F8">
              <w:rPr>
                <w:rFonts w:ascii="Times New Roman" w:hAnsi="Times New Roman" w:cs="Times New Roman"/>
                <w:sz w:val="16"/>
                <w:szCs w:val="20"/>
              </w:rPr>
              <w:t>(0.002)</w:t>
            </w:r>
          </w:p>
        </w:tc>
        <w:tc>
          <w:tcPr>
            <w:tcW w:w="378" w:type="pct"/>
            <w:tcBorders>
              <w:top w:val="single" w:sz="4" w:space="0" w:color="auto"/>
              <w:bottom w:val="single" w:sz="4" w:space="0" w:color="auto"/>
            </w:tcBorders>
            <w:vAlign w:val="center"/>
          </w:tcPr>
          <w:p w14:paraId="66394C91" w14:textId="77777777" w:rsidR="00E40A40" w:rsidRPr="006311F8" w:rsidRDefault="00E40A40" w:rsidP="006311F8">
            <w:pPr>
              <w:jc w:val="center"/>
              <w:rPr>
                <w:rFonts w:ascii="Times New Roman" w:hAnsi="Times New Roman" w:cs="Times New Roman"/>
                <w:sz w:val="16"/>
                <w:szCs w:val="20"/>
              </w:rPr>
            </w:pPr>
            <w:r w:rsidRPr="006311F8">
              <w:rPr>
                <w:rFonts w:ascii="Times New Roman" w:hAnsi="Times New Roman" w:cs="Times New Roman"/>
                <w:sz w:val="16"/>
                <w:szCs w:val="20"/>
              </w:rPr>
              <w:t>-3.164</w:t>
            </w:r>
          </w:p>
        </w:tc>
        <w:tc>
          <w:tcPr>
            <w:tcW w:w="379" w:type="pct"/>
            <w:tcBorders>
              <w:top w:val="single" w:sz="4" w:space="0" w:color="auto"/>
              <w:bottom w:val="single" w:sz="4" w:space="0" w:color="auto"/>
            </w:tcBorders>
            <w:vAlign w:val="center"/>
          </w:tcPr>
          <w:p w14:paraId="3F3B4EDC" w14:textId="77777777" w:rsidR="00E40A40" w:rsidRPr="006311F8" w:rsidRDefault="00E40A40" w:rsidP="006311F8">
            <w:pPr>
              <w:jc w:val="center"/>
              <w:rPr>
                <w:rFonts w:ascii="Times New Roman" w:hAnsi="Times New Roman" w:cs="Times New Roman"/>
                <w:sz w:val="16"/>
                <w:szCs w:val="20"/>
              </w:rPr>
            </w:pPr>
            <w:r w:rsidRPr="006311F8">
              <w:rPr>
                <w:rFonts w:ascii="Times New Roman" w:hAnsi="Times New Roman" w:cs="Times New Roman"/>
                <w:sz w:val="16"/>
                <w:szCs w:val="20"/>
              </w:rPr>
              <w:t>-0.012</w:t>
            </w:r>
          </w:p>
          <w:p w14:paraId="614D353F" w14:textId="77777777" w:rsidR="00E40A40" w:rsidRPr="006311F8" w:rsidRDefault="00E40A40" w:rsidP="006311F8">
            <w:pPr>
              <w:jc w:val="center"/>
              <w:rPr>
                <w:rFonts w:ascii="Times New Roman" w:hAnsi="Times New Roman" w:cs="Times New Roman"/>
                <w:sz w:val="16"/>
                <w:szCs w:val="20"/>
              </w:rPr>
            </w:pPr>
            <w:r w:rsidRPr="006311F8">
              <w:rPr>
                <w:rFonts w:ascii="Times New Roman" w:hAnsi="Times New Roman" w:cs="Times New Roman"/>
                <w:sz w:val="16"/>
                <w:szCs w:val="20"/>
              </w:rPr>
              <w:t>(0.893)</w:t>
            </w:r>
          </w:p>
        </w:tc>
        <w:tc>
          <w:tcPr>
            <w:tcW w:w="379" w:type="pct"/>
            <w:tcBorders>
              <w:top w:val="single" w:sz="4" w:space="0" w:color="auto"/>
              <w:bottom w:val="single" w:sz="4" w:space="0" w:color="auto"/>
            </w:tcBorders>
            <w:vAlign w:val="center"/>
          </w:tcPr>
          <w:p w14:paraId="6A009E3B" w14:textId="77777777" w:rsidR="00E40A40" w:rsidRPr="006311F8" w:rsidRDefault="00E40A40" w:rsidP="006311F8">
            <w:pPr>
              <w:jc w:val="center"/>
              <w:rPr>
                <w:rFonts w:ascii="Times New Roman" w:hAnsi="Times New Roman" w:cs="Times New Roman"/>
                <w:sz w:val="16"/>
                <w:szCs w:val="20"/>
              </w:rPr>
            </w:pPr>
            <w:r w:rsidRPr="006311F8">
              <w:rPr>
                <w:rFonts w:ascii="Times New Roman" w:hAnsi="Times New Roman" w:cs="Times New Roman"/>
                <w:sz w:val="16"/>
                <w:szCs w:val="20"/>
              </w:rPr>
              <w:t>-0.135</w:t>
            </w:r>
          </w:p>
        </w:tc>
        <w:tc>
          <w:tcPr>
            <w:tcW w:w="379" w:type="pct"/>
            <w:tcBorders>
              <w:top w:val="single" w:sz="4" w:space="0" w:color="auto"/>
              <w:bottom w:val="single" w:sz="4" w:space="0" w:color="auto"/>
            </w:tcBorders>
            <w:vAlign w:val="center"/>
          </w:tcPr>
          <w:p w14:paraId="34C3304D" w14:textId="77777777" w:rsidR="00E40A40" w:rsidRPr="006311F8" w:rsidRDefault="00E40A40" w:rsidP="006311F8">
            <w:pPr>
              <w:jc w:val="center"/>
              <w:rPr>
                <w:rFonts w:ascii="Times New Roman" w:hAnsi="Times New Roman" w:cs="Times New Roman"/>
                <w:sz w:val="16"/>
                <w:szCs w:val="20"/>
              </w:rPr>
            </w:pPr>
            <w:r w:rsidRPr="006311F8">
              <w:rPr>
                <w:rFonts w:ascii="Times New Roman" w:hAnsi="Times New Roman" w:cs="Times New Roman"/>
                <w:sz w:val="16"/>
                <w:szCs w:val="20"/>
              </w:rPr>
              <w:t>-0.002</w:t>
            </w:r>
          </w:p>
          <w:p w14:paraId="3F20BEE8" w14:textId="77777777" w:rsidR="00E40A40" w:rsidRPr="006311F8" w:rsidRDefault="00E40A40" w:rsidP="006311F8">
            <w:pPr>
              <w:jc w:val="center"/>
              <w:rPr>
                <w:rFonts w:ascii="Times New Roman" w:hAnsi="Times New Roman" w:cs="Times New Roman"/>
                <w:sz w:val="16"/>
                <w:szCs w:val="20"/>
              </w:rPr>
            </w:pPr>
            <w:r w:rsidRPr="006311F8">
              <w:rPr>
                <w:rFonts w:ascii="Times New Roman" w:hAnsi="Times New Roman" w:cs="Times New Roman"/>
                <w:sz w:val="16"/>
                <w:szCs w:val="20"/>
              </w:rPr>
              <w:t>(0.744)</w:t>
            </w:r>
          </w:p>
        </w:tc>
        <w:tc>
          <w:tcPr>
            <w:tcW w:w="376" w:type="pct"/>
            <w:tcBorders>
              <w:top w:val="single" w:sz="4" w:space="0" w:color="auto"/>
              <w:bottom w:val="single" w:sz="4" w:space="0" w:color="auto"/>
            </w:tcBorders>
            <w:vAlign w:val="center"/>
          </w:tcPr>
          <w:p w14:paraId="6648A850" w14:textId="77777777" w:rsidR="00E40A40" w:rsidRPr="006311F8" w:rsidRDefault="00E40A40" w:rsidP="006311F8">
            <w:pPr>
              <w:jc w:val="center"/>
              <w:rPr>
                <w:sz w:val="16"/>
                <w:szCs w:val="20"/>
              </w:rPr>
            </w:pPr>
            <w:r w:rsidRPr="006311F8">
              <w:rPr>
                <w:rFonts w:ascii="Times New Roman" w:hAnsi="Times New Roman" w:cs="Times New Roman"/>
                <w:sz w:val="16"/>
                <w:szCs w:val="20"/>
              </w:rPr>
              <w:t>0-.327</w:t>
            </w:r>
          </w:p>
        </w:tc>
      </w:tr>
      <w:tr w:rsidR="006311F8" w:rsidRPr="00952DC1" w14:paraId="4B1348BC" w14:textId="77777777" w:rsidTr="00F22E7B">
        <w:trPr>
          <w:jc w:val="center"/>
        </w:trPr>
        <w:tc>
          <w:tcPr>
            <w:tcW w:w="460" w:type="pct"/>
            <w:tcBorders>
              <w:top w:val="single" w:sz="4" w:space="0" w:color="auto"/>
              <w:bottom w:val="single" w:sz="4" w:space="0" w:color="auto"/>
              <w:right w:val="single" w:sz="4" w:space="0" w:color="auto"/>
            </w:tcBorders>
          </w:tcPr>
          <w:p w14:paraId="73907617" w14:textId="77777777" w:rsidR="00E40A40" w:rsidRPr="006311F8" w:rsidRDefault="00E40A40" w:rsidP="00A152B0">
            <w:pPr>
              <w:tabs>
                <w:tab w:val="left" w:pos="4536"/>
              </w:tabs>
              <w:autoSpaceDE w:val="0"/>
              <w:autoSpaceDN w:val="0"/>
              <w:adjustRightInd w:val="0"/>
              <w:jc w:val="center"/>
              <w:rPr>
                <w:rFonts w:ascii="Times New Roman" w:hAnsi="Times New Roman" w:cs="Times New Roman"/>
                <w:sz w:val="16"/>
                <w:szCs w:val="20"/>
              </w:rPr>
            </w:pPr>
            <w:r w:rsidRPr="006311F8">
              <w:rPr>
                <w:rFonts w:ascii="Times New Roman" w:hAnsi="Times New Roman" w:cs="Times New Roman"/>
                <w:sz w:val="16"/>
                <w:szCs w:val="20"/>
              </w:rPr>
              <w:t>Size</w:t>
            </w:r>
          </w:p>
        </w:tc>
        <w:tc>
          <w:tcPr>
            <w:tcW w:w="379" w:type="pct"/>
            <w:tcBorders>
              <w:top w:val="single" w:sz="4" w:space="0" w:color="auto"/>
              <w:left w:val="single" w:sz="4" w:space="0" w:color="auto"/>
              <w:bottom w:val="single" w:sz="4" w:space="0" w:color="auto"/>
            </w:tcBorders>
            <w:vAlign w:val="center"/>
          </w:tcPr>
          <w:p w14:paraId="080F3390" w14:textId="32E16E4E" w:rsidR="00E40A40" w:rsidRPr="006311F8" w:rsidRDefault="00337B39" w:rsidP="006311F8">
            <w:pPr>
              <w:jc w:val="center"/>
              <w:rPr>
                <w:rFonts w:ascii="Times New Roman" w:hAnsi="Times New Roman" w:cs="Times New Roman"/>
                <w:sz w:val="16"/>
                <w:szCs w:val="20"/>
              </w:rPr>
            </w:pPr>
            <w:r w:rsidRPr="006311F8">
              <w:rPr>
                <w:rFonts w:ascii="Times New Roman" w:hAnsi="Times New Roman" w:cs="Times New Roman"/>
                <w:sz w:val="16"/>
                <w:szCs w:val="20"/>
              </w:rPr>
              <w:t>0</w:t>
            </w:r>
            <w:r w:rsidR="00E40A40" w:rsidRPr="006311F8">
              <w:rPr>
                <w:rFonts w:ascii="Times New Roman" w:hAnsi="Times New Roman" w:cs="Times New Roman"/>
                <w:sz w:val="16"/>
                <w:szCs w:val="20"/>
              </w:rPr>
              <w:t>.006</w:t>
            </w:r>
          </w:p>
          <w:p w14:paraId="4A39E1AB" w14:textId="77777777" w:rsidR="00E40A40" w:rsidRPr="006311F8" w:rsidRDefault="00E40A40" w:rsidP="006311F8">
            <w:pPr>
              <w:jc w:val="center"/>
              <w:rPr>
                <w:rFonts w:ascii="Times New Roman" w:hAnsi="Times New Roman" w:cs="Times New Roman"/>
                <w:sz w:val="16"/>
                <w:szCs w:val="20"/>
              </w:rPr>
            </w:pPr>
            <w:r w:rsidRPr="006311F8">
              <w:rPr>
                <w:rFonts w:ascii="Times New Roman" w:hAnsi="Times New Roman" w:cs="Times New Roman"/>
                <w:sz w:val="16"/>
                <w:szCs w:val="20"/>
              </w:rPr>
              <w:t>(0.152)</w:t>
            </w:r>
          </w:p>
        </w:tc>
        <w:tc>
          <w:tcPr>
            <w:tcW w:w="378" w:type="pct"/>
            <w:tcBorders>
              <w:top w:val="single" w:sz="4" w:space="0" w:color="auto"/>
              <w:bottom w:val="single" w:sz="4" w:space="0" w:color="auto"/>
            </w:tcBorders>
            <w:vAlign w:val="center"/>
          </w:tcPr>
          <w:p w14:paraId="29934C77" w14:textId="77777777" w:rsidR="00E40A40" w:rsidRPr="006311F8" w:rsidRDefault="00E40A40" w:rsidP="006311F8">
            <w:pPr>
              <w:jc w:val="center"/>
              <w:rPr>
                <w:rFonts w:ascii="Times New Roman" w:hAnsi="Times New Roman" w:cs="Times New Roman"/>
                <w:sz w:val="16"/>
                <w:szCs w:val="20"/>
              </w:rPr>
            </w:pPr>
            <w:r w:rsidRPr="006311F8">
              <w:rPr>
                <w:rFonts w:ascii="Times New Roman" w:hAnsi="Times New Roman" w:cs="Times New Roman"/>
                <w:sz w:val="16"/>
                <w:szCs w:val="20"/>
              </w:rPr>
              <w:t>1.435</w:t>
            </w:r>
          </w:p>
        </w:tc>
        <w:tc>
          <w:tcPr>
            <w:tcW w:w="378" w:type="pct"/>
            <w:tcBorders>
              <w:top w:val="single" w:sz="4" w:space="0" w:color="auto"/>
              <w:bottom w:val="single" w:sz="4" w:space="0" w:color="auto"/>
            </w:tcBorders>
            <w:vAlign w:val="center"/>
          </w:tcPr>
          <w:p w14:paraId="12E947ED" w14:textId="77777777" w:rsidR="00E40A40" w:rsidRPr="006311F8" w:rsidRDefault="00E40A40" w:rsidP="006311F8">
            <w:pPr>
              <w:jc w:val="center"/>
              <w:rPr>
                <w:rFonts w:ascii="Times New Roman" w:hAnsi="Times New Roman" w:cs="Times New Roman"/>
                <w:sz w:val="16"/>
                <w:szCs w:val="20"/>
              </w:rPr>
            </w:pPr>
            <w:r w:rsidRPr="006311F8">
              <w:rPr>
                <w:rFonts w:ascii="Times New Roman" w:hAnsi="Times New Roman" w:cs="Times New Roman"/>
                <w:sz w:val="16"/>
                <w:szCs w:val="20"/>
              </w:rPr>
              <w:t>0.292</w:t>
            </w:r>
          </w:p>
          <w:p w14:paraId="1A7908A5" w14:textId="77777777" w:rsidR="00E40A40" w:rsidRPr="006311F8" w:rsidRDefault="00E40A40" w:rsidP="006311F8">
            <w:pPr>
              <w:jc w:val="center"/>
              <w:rPr>
                <w:rFonts w:ascii="Times New Roman" w:hAnsi="Times New Roman" w:cs="Times New Roman"/>
                <w:sz w:val="16"/>
                <w:szCs w:val="20"/>
              </w:rPr>
            </w:pPr>
            <w:r w:rsidRPr="006311F8">
              <w:rPr>
                <w:rFonts w:ascii="Times New Roman" w:hAnsi="Times New Roman" w:cs="Times New Roman"/>
                <w:sz w:val="16"/>
                <w:szCs w:val="20"/>
              </w:rPr>
              <w:t>(0.722)</w:t>
            </w:r>
          </w:p>
        </w:tc>
        <w:tc>
          <w:tcPr>
            <w:tcW w:w="378" w:type="pct"/>
            <w:tcBorders>
              <w:top w:val="single" w:sz="4" w:space="0" w:color="auto"/>
              <w:bottom w:val="single" w:sz="4" w:space="0" w:color="auto"/>
            </w:tcBorders>
            <w:vAlign w:val="center"/>
          </w:tcPr>
          <w:p w14:paraId="304D689A" w14:textId="77777777" w:rsidR="00E40A40" w:rsidRPr="006311F8" w:rsidRDefault="00E40A40" w:rsidP="006311F8">
            <w:pPr>
              <w:jc w:val="center"/>
              <w:rPr>
                <w:rFonts w:ascii="Times New Roman" w:hAnsi="Times New Roman" w:cs="Times New Roman"/>
                <w:sz w:val="16"/>
                <w:szCs w:val="20"/>
              </w:rPr>
            </w:pPr>
            <w:r w:rsidRPr="006311F8">
              <w:rPr>
                <w:rFonts w:ascii="Times New Roman" w:hAnsi="Times New Roman" w:cs="Times New Roman"/>
                <w:sz w:val="16"/>
                <w:szCs w:val="20"/>
              </w:rPr>
              <w:t>0.356</w:t>
            </w:r>
          </w:p>
          <w:p w14:paraId="24B29A70" w14:textId="77777777" w:rsidR="00E40A40" w:rsidRPr="006311F8" w:rsidRDefault="00E40A40" w:rsidP="006311F8">
            <w:pPr>
              <w:jc w:val="center"/>
              <w:rPr>
                <w:rFonts w:ascii="Times New Roman" w:hAnsi="Times New Roman" w:cs="Times New Roman"/>
                <w:sz w:val="16"/>
                <w:szCs w:val="20"/>
              </w:rPr>
            </w:pPr>
          </w:p>
        </w:tc>
        <w:tc>
          <w:tcPr>
            <w:tcW w:w="378" w:type="pct"/>
            <w:tcBorders>
              <w:top w:val="single" w:sz="4" w:space="0" w:color="auto"/>
              <w:bottom w:val="single" w:sz="4" w:space="0" w:color="auto"/>
            </w:tcBorders>
            <w:vAlign w:val="center"/>
          </w:tcPr>
          <w:p w14:paraId="72DB80E4" w14:textId="77777777" w:rsidR="00E40A40" w:rsidRPr="006311F8" w:rsidRDefault="00E40A40" w:rsidP="006311F8">
            <w:pPr>
              <w:tabs>
                <w:tab w:val="left" w:pos="4536"/>
              </w:tabs>
              <w:autoSpaceDE w:val="0"/>
              <w:autoSpaceDN w:val="0"/>
              <w:adjustRightInd w:val="0"/>
              <w:jc w:val="center"/>
              <w:rPr>
                <w:rFonts w:ascii="Times New Roman" w:hAnsi="Times New Roman" w:cs="Times New Roman"/>
                <w:sz w:val="16"/>
                <w:szCs w:val="20"/>
              </w:rPr>
            </w:pPr>
            <w:r w:rsidRPr="006311F8">
              <w:rPr>
                <w:rFonts w:ascii="Times New Roman" w:hAnsi="Times New Roman" w:cs="Times New Roman"/>
                <w:sz w:val="16"/>
                <w:szCs w:val="20"/>
              </w:rPr>
              <w:t>-0.007</w:t>
            </w:r>
          </w:p>
          <w:p w14:paraId="69ECB299" w14:textId="77777777" w:rsidR="00E40A40" w:rsidRPr="006311F8" w:rsidRDefault="00E40A40" w:rsidP="006311F8">
            <w:pPr>
              <w:tabs>
                <w:tab w:val="left" w:pos="4536"/>
              </w:tabs>
              <w:autoSpaceDE w:val="0"/>
              <w:autoSpaceDN w:val="0"/>
              <w:adjustRightInd w:val="0"/>
              <w:jc w:val="center"/>
              <w:rPr>
                <w:rFonts w:ascii="Times New Roman" w:hAnsi="Times New Roman" w:cs="Times New Roman"/>
                <w:sz w:val="16"/>
                <w:szCs w:val="20"/>
              </w:rPr>
            </w:pPr>
            <w:r w:rsidRPr="006311F8">
              <w:rPr>
                <w:rFonts w:ascii="Times New Roman" w:hAnsi="Times New Roman" w:cs="Times New Roman"/>
                <w:sz w:val="16"/>
                <w:szCs w:val="20"/>
              </w:rPr>
              <w:t>(0.002)</w:t>
            </w:r>
          </w:p>
        </w:tc>
        <w:tc>
          <w:tcPr>
            <w:tcW w:w="378" w:type="pct"/>
            <w:tcBorders>
              <w:top w:val="single" w:sz="4" w:space="0" w:color="auto"/>
              <w:bottom w:val="single" w:sz="4" w:space="0" w:color="auto"/>
            </w:tcBorders>
            <w:vAlign w:val="center"/>
          </w:tcPr>
          <w:p w14:paraId="388C7684" w14:textId="77777777" w:rsidR="00E40A40" w:rsidRPr="006311F8" w:rsidRDefault="00E40A40" w:rsidP="006311F8">
            <w:pPr>
              <w:jc w:val="center"/>
              <w:rPr>
                <w:rFonts w:ascii="Times New Roman" w:hAnsi="Times New Roman" w:cs="Times New Roman"/>
                <w:sz w:val="16"/>
                <w:szCs w:val="20"/>
              </w:rPr>
            </w:pPr>
            <w:r w:rsidRPr="006311F8">
              <w:rPr>
                <w:rFonts w:ascii="Times New Roman" w:hAnsi="Times New Roman" w:cs="Times New Roman"/>
                <w:sz w:val="16"/>
                <w:szCs w:val="20"/>
              </w:rPr>
              <w:t>-3.215</w:t>
            </w:r>
          </w:p>
          <w:p w14:paraId="7FAB851C" w14:textId="77777777" w:rsidR="00E40A40" w:rsidRPr="006311F8" w:rsidRDefault="00E40A40" w:rsidP="006311F8">
            <w:pPr>
              <w:jc w:val="center"/>
              <w:rPr>
                <w:rFonts w:ascii="Times New Roman" w:hAnsi="Times New Roman" w:cs="Times New Roman"/>
                <w:sz w:val="16"/>
                <w:szCs w:val="20"/>
              </w:rPr>
            </w:pPr>
          </w:p>
        </w:tc>
        <w:tc>
          <w:tcPr>
            <w:tcW w:w="378" w:type="pct"/>
            <w:tcBorders>
              <w:top w:val="single" w:sz="4" w:space="0" w:color="auto"/>
              <w:bottom w:val="single" w:sz="4" w:space="0" w:color="auto"/>
            </w:tcBorders>
            <w:vAlign w:val="center"/>
          </w:tcPr>
          <w:p w14:paraId="721E773C" w14:textId="77777777" w:rsidR="00E40A40" w:rsidRPr="006311F8" w:rsidRDefault="00E40A40" w:rsidP="006311F8">
            <w:pPr>
              <w:jc w:val="center"/>
              <w:rPr>
                <w:rFonts w:ascii="Times New Roman" w:hAnsi="Times New Roman" w:cs="Times New Roman"/>
                <w:sz w:val="16"/>
                <w:szCs w:val="20"/>
              </w:rPr>
            </w:pPr>
            <w:r w:rsidRPr="006311F8">
              <w:rPr>
                <w:rFonts w:ascii="Times New Roman" w:hAnsi="Times New Roman" w:cs="Times New Roman"/>
                <w:sz w:val="16"/>
                <w:szCs w:val="20"/>
              </w:rPr>
              <w:t>-.026</w:t>
            </w:r>
          </w:p>
          <w:p w14:paraId="15D12093" w14:textId="77777777" w:rsidR="00E40A40" w:rsidRPr="006311F8" w:rsidRDefault="00E40A40" w:rsidP="006311F8">
            <w:pPr>
              <w:jc w:val="center"/>
              <w:rPr>
                <w:rFonts w:ascii="Times New Roman" w:hAnsi="Times New Roman" w:cs="Times New Roman"/>
                <w:sz w:val="16"/>
                <w:szCs w:val="20"/>
              </w:rPr>
            </w:pPr>
            <w:r w:rsidRPr="006311F8">
              <w:rPr>
                <w:rFonts w:ascii="Times New Roman" w:hAnsi="Times New Roman" w:cs="Times New Roman"/>
                <w:sz w:val="16"/>
                <w:szCs w:val="20"/>
              </w:rPr>
              <w:t>(0.008)</w:t>
            </w:r>
          </w:p>
        </w:tc>
        <w:tc>
          <w:tcPr>
            <w:tcW w:w="378" w:type="pct"/>
            <w:tcBorders>
              <w:top w:val="single" w:sz="4" w:space="0" w:color="auto"/>
              <w:bottom w:val="single" w:sz="4" w:space="0" w:color="auto"/>
            </w:tcBorders>
            <w:vAlign w:val="center"/>
          </w:tcPr>
          <w:p w14:paraId="12DB70E9" w14:textId="77777777" w:rsidR="00E40A40" w:rsidRPr="006311F8" w:rsidRDefault="00E40A40" w:rsidP="006311F8">
            <w:pPr>
              <w:jc w:val="center"/>
              <w:rPr>
                <w:rFonts w:ascii="Times New Roman" w:hAnsi="Times New Roman" w:cs="Times New Roman"/>
                <w:sz w:val="16"/>
                <w:szCs w:val="20"/>
              </w:rPr>
            </w:pPr>
            <w:r w:rsidRPr="006311F8">
              <w:rPr>
                <w:rFonts w:ascii="Times New Roman" w:hAnsi="Times New Roman" w:cs="Times New Roman"/>
                <w:sz w:val="16"/>
                <w:szCs w:val="20"/>
              </w:rPr>
              <w:t>-2.725</w:t>
            </w:r>
          </w:p>
        </w:tc>
        <w:tc>
          <w:tcPr>
            <w:tcW w:w="379" w:type="pct"/>
            <w:tcBorders>
              <w:top w:val="single" w:sz="4" w:space="0" w:color="auto"/>
              <w:bottom w:val="single" w:sz="4" w:space="0" w:color="auto"/>
            </w:tcBorders>
            <w:vAlign w:val="center"/>
          </w:tcPr>
          <w:p w14:paraId="07875564" w14:textId="77777777" w:rsidR="00E40A40" w:rsidRPr="006311F8" w:rsidRDefault="00E40A40" w:rsidP="006311F8">
            <w:pPr>
              <w:jc w:val="center"/>
              <w:rPr>
                <w:rFonts w:ascii="Times New Roman" w:hAnsi="Times New Roman" w:cs="Times New Roman"/>
                <w:sz w:val="16"/>
                <w:szCs w:val="20"/>
              </w:rPr>
            </w:pPr>
            <w:r w:rsidRPr="006311F8">
              <w:rPr>
                <w:rFonts w:ascii="Times New Roman" w:hAnsi="Times New Roman" w:cs="Times New Roman"/>
                <w:sz w:val="16"/>
                <w:szCs w:val="20"/>
              </w:rPr>
              <w:t>0.484</w:t>
            </w:r>
          </w:p>
          <w:p w14:paraId="6DE3A063" w14:textId="77777777" w:rsidR="00E40A40" w:rsidRPr="006311F8" w:rsidRDefault="00E40A40" w:rsidP="006311F8">
            <w:pPr>
              <w:jc w:val="center"/>
              <w:rPr>
                <w:rFonts w:ascii="Times New Roman" w:hAnsi="Times New Roman" w:cs="Times New Roman"/>
                <w:sz w:val="16"/>
                <w:szCs w:val="20"/>
              </w:rPr>
            </w:pPr>
            <w:r w:rsidRPr="006311F8">
              <w:rPr>
                <w:rFonts w:ascii="Times New Roman" w:hAnsi="Times New Roman" w:cs="Times New Roman"/>
                <w:sz w:val="16"/>
                <w:szCs w:val="20"/>
              </w:rPr>
              <w:t>(0.024)</w:t>
            </w:r>
          </w:p>
        </w:tc>
        <w:tc>
          <w:tcPr>
            <w:tcW w:w="379" w:type="pct"/>
            <w:tcBorders>
              <w:top w:val="single" w:sz="4" w:space="0" w:color="auto"/>
              <w:bottom w:val="single" w:sz="4" w:space="0" w:color="auto"/>
            </w:tcBorders>
            <w:vAlign w:val="center"/>
          </w:tcPr>
          <w:p w14:paraId="508CE59B" w14:textId="77777777" w:rsidR="00E40A40" w:rsidRPr="006311F8" w:rsidRDefault="00E40A40" w:rsidP="006311F8">
            <w:pPr>
              <w:jc w:val="center"/>
              <w:rPr>
                <w:rFonts w:ascii="Times New Roman" w:hAnsi="Times New Roman" w:cs="Times New Roman"/>
                <w:sz w:val="16"/>
                <w:szCs w:val="20"/>
              </w:rPr>
            </w:pPr>
            <w:r w:rsidRPr="006311F8">
              <w:rPr>
                <w:rFonts w:ascii="Times New Roman" w:hAnsi="Times New Roman" w:cs="Times New Roman"/>
                <w:sz w:val="16"/>
                <w:szCs w:val="20"/>
              </w:rPr>
              <w:t>2.323</w:t>
            </w:r>
          </w:p>
        </w:tc>
        <w:tc>
          <w:tcPr>
            <w:tcW w:w="379" w:type="pct"/>
            <w:tcBorders>
              <w:top w:val="single" w:sz="4" w:space="0" w:color="auto"/>
              <w:bottom w:val="single" w:sz="4" w:space="0" w:color="auto"/>
            </w:tcBorders>
            <w:vAlign w:val="center"/>
          </w:tcPr>
          <w:p w14:paraId="48515E06" w14:textId="78AE0C5F" w:rsidR="00E40A40" w:rsidRPr="006311F8" w:rsidRDefault="00337B39" w:rsidP="006311F8">
            <w:pPr>
              <w:jc w:val="center"/>
              <w:rPr>
                <w:rFonts w:ascii="Times New Roman" w:hAnsi="Times New Roman" w:cs="Times New Roman"/>
                <w:sz w:val="16"/>
                <w:szCs w:val="20"/>
              </w:rPr>
            </w:pPr>
            <w:r w:rsidRPr="006311F8">
              <w:rPr>
                <w:rFonts w:ascii="Times New Roman" w:hAnsi="Times New Roman" w:cs="Times New Roman"/>
                <w:sz w:val="16"/>
                <w:szCs w:val="20"/>
              </w:rPr>
              <w:t>0</w:t>
            </w:r>
            <w:r w:rsidR="00E40A40" w:rsidRPr="006311F8">
              <w:rPr>
                <w:rFonts w:ascii="Times New Roman" w:hAnsi="Times New Roman" w:cs="Times New Roman"/>
                <w:sz w:val="16"/>
                <w:szCs w:val="20"/>
              </w:rPr>
              <w:t>.001</w:t>
            </w:r>
          </w:p>
          <w:p w14:paraId="7490E98A" w14:textId="77777777" w:rsidR="00E40A40" w:rsidRPr="006311F8" w:rsidRDefault="00E40A40" w:rsidP="006311F8">
            <w:pPr>
              <w:jc w:val="center"/>
              <w:rPr>
                <w:rFonts w:ascii="Times New Roman" w:hAnsi="Times New Roman" w:cs="Times New Roman"/>
                <w:sz w:val="16"/>
                <w:szCs w:val="20"/>
              </w:rPr>
            </w:pPr>
            <w:r w:rsidRPr="006311F8">
              <w:rPr>
                <w:rFonts w:ascii="Times New Roman" w:hAnsi="Times New Roman" w:cs="Times New Roman"/>
                <w:sz w:val="16"/>
                <w:szCs w:val="20"/>
              </w:rPr>
              <w:t>(0.952)</w:t>
            </w:r>
          </w:p>
        </w:tc>
        <w:tc>
          <w:tcPr>
            <w:tcW w:w="376" w:type="pct"/>
            <w:tcBorders>
              <w:top w:val="single" w:sz="4" w:space="0" w:color="auto"/>
              <w:bottom w:val="single" w:sz="4" w:space="0" w:color="auto"/>
            </w:tcBorders>
            <w:vAlign w:val="center"/>
          </w:tcPr>
          <w:p w14:paraId="765C3968" w14:textId="77777777" w:rsidR="00E40A40" w:rsidRPr="006311F8" w:rsidRDefault="00E40A40" w:rsidP="006311F8">
            <w:pPr>
              <w:jc w:val="center"/>
              <w:rPr>
                <w:rFonts w:ascii="Times New Roman" w:hAnsi="Times New Roman" w:cs="Times New Roman"/>
                <w:sz w:val="16"/>
                <w:szCs w:val="20"/>
              </w:rPr>
            </w:pPr>
            <w:r w:rsidRPr="006311F8">
              <w:rPr>
                <w:rFonts w:ascii="Times New Roman" w:hAnsi="Times New Roman" w:cs="Times New Roman"/>
                <w:sz w:val="16"/>
                <w:szCs w:val="20"/>
              </w:rPr>
              <w:t>0.060</w:t>
            </w:r>
          </w:p>
        </w:tc>
      </w:tr>
      <w:tr w:rsidR="007F15D8" w:rsidRPr="00952DC1" w14:paraId="78DB2343" w14:textId="77777777" w:rsidTr="00F22E7B">
        <w:trPr>
          <w:jc w:val="center"/>
        </w:trPr>
        <w:tc>
          <w:tcPr>
            <w:tcW w:w="460" w:type="pct"/>
            <w:tcBorders>
              <w:top w:val="single" w:sz="4" w:space="0" w:color="auto"/>
              <w:bottom w:val="single" w:sz="4" w:space="0" w:color="auto"/>
              <w:right w:val="single" w:sz="4" w:space="0" w:color="auto"/>
            </w:tcBorders>
          </w:tcPr>
          <w:p w14:paraId="3DDA3B2D" w14:textId="77777777" w:rsidR="00E40A40" w:rsidRPr="006311F8" w:rsidRDefault="00E40A40" w:rsidP="00A152B0">
            <w:pPr>
              <w:tabs>
                <w:tab w:val="left" w:pos="4536"/>
              </w:tabs>
              <w:autoSpaceDE w:val="0"/>
              <w:autoSpaceDN w:val="0"/>
              <w:adjustRightInd w:val="0"/>
              <w:jc w:val="center"/>
              <w:rPr>
                <w:rFonts w:ascii="Times New Roman" w:hAnsi="Times New Roman" w:cs="Times New Roman"/>
                <w:sz w:val="16"/>
                <w:szCs w:val="20"/>
              </w:rPr>
            </w:pPr>
            <w:r w:rsidRPr="006311F8">
              <w:rPr>
                <w:rFonts w:ascii="Times New Roman" w:hAnsi="Times New Roman" w:cs="Times New Roman"/>
                <w:sz w:val="16"/>
                <w:szCs w:val="20"/>
              </w:rPr>
              <w:t>R (Model)</w:t>
            </w:r>
          </w:p>
        </w:tc>
        <w:tc>
          <w:tcPr>
            <w:tcW w:w="758" w:type="pct"/>
            <w:gridSpan w:val="2"/>
            <w:tcBorders>
              <w:top w:val="single" w:sz="4" w:space="0" w:color="auto"/>
              <w:left w:val="single" w:sz="4" w:space="0" w:color="auto"/>
              <w:bottom w:val="single" w:sz="4" w:space="0" w:color="auto"/>
            </w:tcBorders>
            <w:vAlign w:val="center"/>
          </w:tcPr>
          <w:p w14:paraId="781CEFE2" w14:textId="77777777" w:rsidR="00E40A40" w:rsidRPr="006311F8" w:rsidRDefault="00E40A40" w:rsidP="006311F8">
            <w:pPr>
              <w:autoSpaceDE w:val="0"/>
              <w:autoSpaceDN w:val="0"/>
              <w:adjustRightInd w:val="0"/>
              <w:jc w:val="center"/>
              <w:rPr>
                <w:rFonts w:ascii="Times New Roman" w:hAnsi="Times New Roman" w:cs="Times New Roman"/>
                <w:sz w:val="16"/>
                <w:szCs w:val="20"/>
              </w:rPr>
            </w:pPr>
            <w:r w:rsidRPr="006311F8">
              <w:rPr>
                <w:rFonts w:ascii="Times New Roman" w:hAnsi="Times New Roman" w:cs="Times New Roman"/>
                <w:sz w:val="16"/>
                <w:szCs w:val="20"/>
              </w:rPr>
              <w:t>0.162**</w:t>
            </w:r>
          </w:p>
        </w:tc>
        <w:tc>
          <w:tcPr>
            <w:tcW w:w="757" w:type="pct"/>
            <w:gridSpan w:val="2"/>
            <w:tcBorders>
              <w:top w:val="single" w:sz="4" w:space="0" w:color="auto"/>
              <w:bottom w:val="single" w:sz="4" w:space="0" w:color="auto"/>
            </w:tcBorders>
            <w:vAlign w:val="center"/>
          </w:tcPr>
          <w:p w14:paraId="092B9655" w14:textId="77777777" w:rsidR="00E40A40" w:rsidRPr="006311F8" w:rsidRDefault="00E40A40" w:rsidP="006311F8">
            <w:pPr>
              <w:autoSpaceDE w:val="0"/>
              <w:autoSpaceDN w:val="0"/>
              <w:adjustRightInd w:val="0"/>
              <w:jc w:val="center"/>
              <w:rPr>
                <w:rFonts w:ascii="Times New Roman" w:hAnsi="Times New Roman" w:cs="Times New Roman"/>
                <w:sz w:val="16"/>
                <w:szCs w:val="20"/>
              </w:rPr>
            </w:pPr>
            <w:r w:rsidRPr="006311F8">
              <w:rPr>
                <w:rFonts w:ascii="Times New Roman" w:hAnsi="Times New Roman" w:cs="Times New Roman"/>
                <w:sz w:val="16"/>
                <w:szCs w:val="20"/>
              </w:rPr>
              <w:t>0.220**</w:t>
            </w:r>
          </w:p>
        </w:tc>
        <w:tc>
          <w:tcPr>
            <w:tcW w:w="757" w:type="pct"/>
            <w:gridSpan w:val="2"/>
            <w:tcBorders>
              <w:top w:val="single" w:sz="4" w:space="0" w:color="auto"/>
              <w:bottom w:val="single" w:sz="4" w:space="0" w:color="auto"/>
            </w:tcBorders>
            <w:vAlign w:val="center"/>
          </w:tcPr>
          <w:p w14:paraId="6832FDA3" w14:textId="77777777" w:rsidR="00E40A40" w:rsidRPr="006311F8" w:rsidRDefault="00E40A40" w:rsidP="006311F8">
            <w:pPr>
              <w:autoSpaceDE w:val="0"/>
              <w:autoSpaceDN w:val="0"/>
              <w:adjustRightInd w:val="0"/>
              <w:jc w:val="center"/>
              <w:rPr>
                <w:rFonts w:ascii="Times New Roman" w:hAnsi="Times New Roman" w:cs="Times New Roman"/>
                <w:sz w:val="16"/>
                <w:szCs w:val="20"/>
              </w:rPr>
            </w:pPr>
            <w:r w:rsidRPr="006311F8">
              <w:rPr>
                <w:rFonts w:ascii="Times New Roman" w:hAnsi="Times New Roman" w:cs="Times New Roman"/>
                <w:sz w:val="16"/>
                <w:szCs w:val="20"/>
              </w:rPr>
              <w:t>0.450**</w:t>
            </w:r>
          </w:p>
        </w:tc>
        <w:tc>
          <w:tcPr>
            <w:tcW w:w="757" w:type="pct"/>
            <w:gridSpan w:val="2"/>
            <w:tcBorders>
              <w:top w:val="single" w:sz="4" w:space="0" w:color="auto"/>
              <w:bottom w:val="single" w:sz="4" w:space="0" w:color="auto"/>
            </w:tcBorders>
            <w:vAlign w:val="center"/>
          </w:tcPr>
          <w:p w14:paraId="0739505A" w14:textId="77777777" w:rsidR="00E40A40" w:rsidRPr="006311F8" w:rsidRDefault="00E40A40" w:rsidP="006311F8">
            <w:pPr>
              <w:autoSpaceDE w:val="0"/>
              <w:autoSpaceDN w:val="0"/>
              <w:adjustRightInd w:val="0"/>
              <w:jc w:val="center"/>
              <w:rPr>
                <w:rFonts w:ascii="Times New Roman" w:hAnsi="Times New Roman" w:cs="Times New Roman"/>
                <w:sz w:val="16"/>
                <w:szCs w:val="20"/>
              </w:rPr>
            </w:pPr>
            <w:r w:rsidRPr="006311F8">
              <w:rPr>
                <w:rFonts w:ascii="Times New Roman" w:hAnsi="Times New Roman" w:cs="Times New Roman"/>
                <w:sz w:val="16"/>
                <w:szCs w:val="20"/>
              </w:rPr>
              <w:t>0.610**</w:t>
            </w:r>
          </w:p>
        </w:tc>
        <w:tc>
          <w:tcPr>
            <w:tcW w:w="758" w:type="pct"/>
            <w:gridSpan w:val="2"/>
            <w:tcBorders>
              <w:top w:val="single" w:sz="4" w:space="0" w:color="auto"/>
              <w:bottom w:val="single" w:sz="4" w:space="0" w:color="auto"/>
            </w:tcBorders>
            <w:vAlign w:val="center"/>
          </w:tcPr>
          <w:p w14:paraId="3CCC4305" w14:textId="77777777" w:rsidR="00E40A40" w:rsidRPr="006311F8" w:rsidRDefault="00E40A40" w:rsidP="006311F8">
            <w:pPr>
              <w:autoSpaceDE w:val="0"/>
              <w:autoSpaceDN w:val="0"/>
              <w:adjustRightInd w:val="0"/>
              <w:jc w:val="center"/>
              <w:rPr>
                <w:rFonts w:ascii="Times New Roman" w:hAnsi="Times New Roman" w:cs="Times New Roman"/>
                <w:sz w:val="16"/>
                <w:szCs w:val="20"/>
              </w:rPr>
            </w:pPr>
            <w:r w:rsidRPr="006311F8">
              <w:rPr>
                <w:rFonts w:ascii="Times New Roman" w:hAnsi="Times New Roman" w:cs="Times New Roman"/>
                <w:sz w:val="16"/>
                <w:szCs w:val="20"/>
              </w:rPr>
              <w:t>0.388</w:t>
            </w:r>
          </w:p>
        </w:tc>
        <w:tc>
          <w:tcPr>
            <w:tcW w:w="755" w:type="pct"/>
            <w:gridSpan w:val="2"/>
            <w:tcBorders>
              <w:top w:val="single" w:sz="4" w:space="0" w:color="auto"/>
              <w:bottom w:val="single" w:sz="4" w:space="0" w:color="auto"/>
            </w:tcBorders>
            <w:vAlign w:val="center"/>
          </w:tcPr>
          <w:p w14:paraId="0333E4BF" w14:textId="77777777" w:rsidR="00E40A40" w:rsidRPr="006311F8" w:rsidRDefault="00E40A40" w:rsidP="006311F8">
            <w:pPr>
              <w:autoSpaceDE w:val="0"/>
              <w:autoSpaceDN w:val="0"/>
              <w:adjustRightInd w:val="0"/>
              <w:jc w:val="center"/>
              <w:rPr>
                <w:rFonts w:ascii="Times New Roman" w:hAnsi="Times New Roman" w:cs="Times New Roman"/>
                <w:sz w:val="16"/>
                <w:szCs w:val="20"/>
              </w:rPr>
            </w:pPr>
            <w:r w:rsidRPr="006311F8">
              <w:rPr>
                <w:rFonts w:ascii="Times New Roman" w:hAnsi="Times New Roman" w:cs="Times New Roman"/>
                <w:sz w:val="16"/>
                <w:szCs w:val="20"/>
              </w:rPr>
              <w:t>0.217</w:t>
            </w:r>
          </w:p>
        </w:tc>
      </w:tr>
      <w:tr w:rsidR="007F15D8" w:rsidRPr="00952DC1" w14:paraId="2209C6B1" w14:textId="77777777" w:rsidTr="00F22E7B">
        <w:trPr>
          <w:trHeight w:val="340"/>
          <w:jc w:val="center"/>
        </w:trPr>
        <w:tc>
          <w:tcPr>
            <w:tcW w:w="460" w:type="pct"/>
            <w:tcBorders>
              <w:top w:val="single" w:sz="4" w:space="0" w:color="auto"/>
              <w:bottom w:val="single" w:sz="4" w:space="0" w:color="auto"/>
              <w:right w:val="single" w:sz="4" w:space="0" w:color="auto"/>
            </w:tcBorders>
          </w:tcPr>
          <w:p w14:paraId="09E4C42C" w14:textId="77777777" w:rsidR="00E40A40" w:rsidRPr="006311F8" w:rsidRDefault="00E40A40" w:rsidP="00A152B0">
            <w:pPr>
              <w:tabs>
                <w:tab w:val="left" w:pos="4536"/>
              </w:tabs>
              <w:autoSpaceDE w:val="0"/>
              <w:autoSpaceDN w:val="0"/>
              <w:adjustRightInd w:val="0"/>
              <w:jc w:val="center"/>
              <w:rPr>
                <w:rFonts w:ascii="Times New Roman" w:hAnsi="Times New Roman" w:cs="Times New Roman"/>
                <w:sz w:val="16"/>
                <w:szCs w:val="20"/>
              </w:rPr>
            </w:pPr>
            <w:r w:rsidRPr="006311F8">
              <w:rPr>
                <w:rFonts w:ascii="Times New Roman" w:hAnsi="Times New Roman" w:cs="Times New Roman"/>
                <w:sz w:val="16"/>
                <w:szCs w:val="20"/>
              </w:rPr>
              <w:t>R2</w:t>
            </w:r>
          </w:p>
        </w:tc>
        <w:tc>
          <w:tcPr>
            <w:tcW w:w="758" w:type="pct"/>
            <w:gridSpan w:val="2"/>
            <w:tcBorders>
              <w:top w:val="single" w:sz="4" w:space="0" w:color="auto"/>
              <w:left w:val="single" w:sz="4" w:space="0" w:color="auto"/>
              <w:bottom w:val="single" w:sz="4" w:space="0" w:color="auto"/>
            </w:tcBorders>
            <w:vAlign w:val="center"/>
          </w:tcPr>
          <w:p w14:paraId="284675B9" w14:textId="77777777" w:rsidR="00E40A40" w:rsidRPr="006311F8" w:rsidRDefault="00E40A40" w:rsidP="006311F8">
            <w:pPr>
              <w:autoSpaceDE w:val="0"/>
              <w:autoSpaceDN w:val="0"/>
              <w:adjustRightInd w:val="0"/>
              <w:jc w:val="center"/>
              <w:rPr>
                <w:rFonts w:ascii="Times New Roman" w:hAnsi="Times New Roman" w:cs="Times New Roman"/>
                <w:sz w:val="16"/>
                <w:szCs w:val="20"/>
              </w:rPr>
            </w:pPr>
            <w:r w:rsidRPr="006311F8">
              <w:rPr>
                <w:rFonts w:ascii="Times New Roman" w:hAnsi="Times New Roman" w:cs="Times New Roman"/>
                <w:sz w:val="16"/>
                <w:szCs w:val="20"/>
              </w:rPr>
              <w:t>0.026</w:t>
            </w:r>
          </w:p>
        </w:tc>
        <w:tc>
          <w:tcPr>
            <w:tcW w:w="757" w:type="pct"/>
            <w:gridSpan w:val="2"/>
            <w:tcBorders>
              <w:top w:val="single" w:sz="4" w:space="0" w:color="auto"/>
              <w:bottom w:val="single" w:sz="4" w:space="0" w:color="auto"/>
            </w:tcBorders>
            <w:vAlign w:val="center"/>
          </w:tcPr>
          <w:p w14:paraId="321EF45A" w14:textId="77777777" w:rsidR="00E40A40" w:rsidRPr="006311F8" w:rsidRDefault="00E40A40" w:rsidP="006311F8">
            <w:pPr>
              <w:autoSpaceDE w:val="0"/>
              <w:autoSpaceDN w:val="0"/>
              <w:adjustRightInd w:val="0"/>
              <w:jc w:val="center"/>
              <w:rPr>
                <w:rFonts w:ascii="Times New Roman" w:hAnsi="Times New Roman" w:cs="Times New Roman"/>
                <w:sz w:val="16"/>
                <w:szCs w:val="20"/>
              </w:rPr>
            </w:pPr>
            <w:r w:rsidRPr="006311F8">
              <w:rPr>
                <w:rFonts w:ascii="Times New Roman" w:hAnsi="Times New Roman" w:cs="Times New Roman"/>
                <w:sz w:val="16"/>
                <w:szCs w:val="20"/>
              </w:rPr>
              <w:t>0.048</w:t>
            </w:r>
          </w:p>
        </w:tc>
        <w:tc>
          <w:tcPr>
            <w:tcW w:w="757" w:type="pct"/>
            <w:gridSpan w:val="2"/>
            <w:tcBorders>
              <w:top w:val="single" w:sz="4" w:space="0" w:color="auto"/>
              <w:bottom w:val="single" w:sz="4" w:space="0" w:color="auto"/>
            </w:tcBorders>
            <w:vAlign w:val="center"/>
          </w:tcPr>
          <w:p w14:paraId="6890F8BC" w14:textId="77777777" w:rsidR="00E40A40" w:rsidRPr="006311F8" w:rsidRDefault="00E40A40" w:rsidP="006311F8">
            <w:pPr>
              <w:autoSpaceDE w:val="0"/>
              <w:autoSpaceDN w:val="0"/>
              <w:adjustRightInd w:val="0"/>
              <w:jc w:val="center"/>
              <w:rPr>
                <w:rFonts w:ascii="Times New Roman" w:hAnsi="Times New Roman" w:cs="Times New Roman"/>
                <w:sz w:val="16"/>
                <w:szCs w:val="20"/>
              </w:rPr>
            </w:pPr>
            <w:r w:rsidRPr="006311F8">
              <w:rPr>
                <w:rFonts w:ascii="Times New Roman" w:hAnsi="Times New Roman" w:cs="Times New Roman"/>
                <w:sz w:val="16"/>
                <w:szCs w:val="20"/>
              </w:rPr>
              <w:t>0.203</w:t>
            </w:r>
          </w:p>
        </w:tc>
        <w:tc>
          <w:tcPr>
            <w:tcW w:w="757" w:type="pct"/>
            <w:gridSpan w:val="2"/>
            <w:tcBorders>
              <w:top w:val="single" w:sz="4" w:space="0" w:color="auto"/>
              <w:bottom w:val="single" w:sz="4" w:space="0" w:color="auto"/>
            </w:tcBorders>
            <w:vAlign w:val="center"/>
          </w:tcPr>
          <w:p w14:paraId="1CA32E8C" w14:textId="77777777" w:rsidR="00E40A40" w:rsidRPr="006311F8" w:rsidRDefault="00E40A40" w:rsidP="006311F8">
            <w:pPr>
              <w:autoSpaceDE w:val="0"/>
              <w:autoSpaceDN w:val="0"/>
              <w:adjustRightInd w:val="0"/>
              <w:jc w:val="center"/>
              <w:rPr>
                <w:rFonts w:ascii="Times New Roman" w:hAnsi="Times New Roman" w:cs="Times New Roman"/>
                <w:sz w:val="16"/>
                <w:szCs w:val="20"/>
              </w:rPr>
            </w:pPr>
            <w:r w:rsidRPr="006311F8">
              <w:rPr>
                <w:rFonts w:ascii="Times New Roman" w:hAnsi="Times New Roman" w:cs="Times New Roman"/>
                <w:sz w:val="16"/>
                <w:szCs w:val="20"/>
              </w:rPr>
              <w:t>0.372</w:t>
            </w:r>
          </w:p>
        </w:tc>
        <w:tc>
          <w:tcPr>
            <w:tcW w:w="758" w:type="pct"/>
            <w:gridSpan w:val="2"/>
            <w:tcBorders>
              <w:top w:val="single" w:sz="4" w:space="0" w:color="auto"/>
              <w:bottom w:val="single" w:sz="4" w:space="0" w:color="auto"/>
            </w:tcBorders>
            <w:vAlign w:val="center"/>
          </w:tcPr>
          <w:p w14:paraId="3B3D7A11" w14:textId="77777777" w:rsidR="00E40A40" w:rsidRPr="006311F8" w:rsidRDefault="00E40A40" w:rsidP="006311F8">
            <w:pPr>
              <w:autoSpaceDE w:val="0"/>
              <w:autoSpaceDN w:val="0"/>
              <w:adjustRightInd w:val="0"/>
              <w:jc w:val="center"/>
              <w:rPr>
                <w:rFonts w:ascii="Times New Roman" w:hAnsi="Times New Roman" w:cs="Times New Roman"/>
                <w:sz w:val="16"/>
                <w:szCs w:val="20"/>
              </w:rPr>
            </w:pPr>
            <w:r w:rsidRPr="006311F8">
              <w:rPr>
                <w:rFonts w:ascii="Times New Roman" w:hAnsi="Times New Roman" w:cs="Times New Roman"/>
                <w:sz w:val="16"/>
                <w:szCs w:val="20"/>
              </w:rPr>
              <w:t>0.151</w:t>
            </w:r>
          </w:p>
        </w:tc>
        <w:tc>
          <w:tcPr>
            <w:tcW w:w="755" w:type="pct"/>
            <w:gridSpan w:val="2"/>
            <w:tcBorders>
              <w:top w:val="single" w:sz="4" w:space="0" w:color="auto"/>
              <w:bottom w:val="single" w:sz="4" w:space="0" w:color="auto"/>
            </w:tcBorders>
            <w:vAlign w:val="center"/>
          </w:tcPr>
          <w:p w14:paraId="4080A369" w14:textId="77777777" w:rsidR="00E40A40" w:rsidRPr="006311F8" w:rsidRDefault="00E40A40" w:rsidP="006311F8">
            <w:pPr>
              <w:autoSpaceDE w:val="0"/>
              <w:autoSpaceDN w:val="0"/>
              <w:adjustRightInd w:val="0"/>
              <w:jc w:val="center"/>
              <w:rPr>
                <w:rFonts w:ascii="Times New Roman" w:hAnsi="Times New Roman" w:cs="Times New Roman"/>
                <w:sz w:val="16"/>
                <w:szCs w:val="20"/>
              </w:rPr>
            </w:pPr>
            <w:r w:rsidRPr="006311F8">
              <w:rPr>
                <w:rFonts w:ascii="Times New Roman" w:hAnsi="Times New Roman" w:cs="Times New Roman"/>
                <w:sz w:val="16"/>
                <w:szCs w:val="20"/>
              </w:rPr>
              <w:t>0.047</w:t>
            </w:r>
          </w:p>
        </w:tc>
      </w:tr>
      <w:tr w:rsidR="007F15D8" w:rsidRPr="00952DC1" w14:paraId="3351022B" w14:textId="77777777" w:rsidTr="00F22E7B">
        <w:trPr>
          <w:trHeight w:val="340"/>
          <w:jc w:val="center"/>
        </w:trPr>
        <w:tc>
          <w:tcPr>
            <w:tcW w:w="460" w:type="pct"/>
            <w:tcBorders>
              <w:top w:val="single" w:sz="4" w:space="0" w:color="auto"/>
              <w:bottom w:val="single" w:sz="4" w:space="0" w:color="auto"/>
              <w:right w:val="single" w:sz="4" w:space="0" w:color="auto"/>
            </w:tcBorders>
          </w:tcPr>
          <w:p w14:paraId="6C183C14" w14:textId="77777777" w:rsidR="00E40A40" w:rsidRPr="006311F8" w:rsidRDefault="00E40A40" w:rsidP="00A152B0">
            <w:pPr>
              <w:tabs>
                <w:tab w:val="left" w:pos="4536"/>
              </w:tabs>
              <w:autoSpaceDE w:val="0"/>
              <w:autoSpaceDN w:val="0"/>
              <w:adjustRightInd w:val="0"/>
              <w:jc w:val="center"/>
              <w:rPr>
                <w:rFonts w:ascii="Times New Roman" w:hAnsi="Times New Roman" w:cs="Times New Roman"/>
                <w:sz w:val="16"/>
                <w:szCs w:val="20"/>
              </w:rPr>
            </w:pPr>
            <w:r w:rsidRPr="006311F8">
              <w:rPr>
                <w:rFonts w:ascii="Times New Roman" w:hAnsi="Times New Roman" w:cs="Times New Roman"/>
                <w:sz w:val="16"/>
                <w:szCs w:val="20"/>
              </w:rPr>
              <w:t>F-value</w:t>
            </w:r>
          </w:p>
        </w:tc>
        <w:tc>
          <w:tcPr>
            <w:tcW w:w="758" w:type="pct"/>
            <w:gridSpan w:val="2"/>
            <w:tcBorders>
              <w:top w:val="single" w:sz="4" w:space="0" w:color="auto"/>
              <w:left w:val="single" w:sz="4" w:space="0" w:color="auto"/>
              <w:bottom w:val="single" w:sz="4" w:space="0" w:color="auto"/>
            </w:tcBorders>
            <w:vAlign w:val="center"/>
          </w:tcPr>
          <w:p w14:paraId="78C5CBEA" w14:textId="77777777" w:rsidR="00E40A40" w:rsidRPr="006311F8" w:rsidRDefault="00E40A40" w:rsidP="006311F8">
            <w:pPr>
              <w:autoSpaceDE w:val="0"/>
              <w:autoSpaceDN w:val="0"/>
              <w:adjustRightInd w:val="0"/>
              <w:jc w:val="center"/>
              <w:rPr>
                <w:rFonts w:ascii="Times New Roman" w:hAnsi="Times New Roman" w:cs="Times New Roman"/>
                <w:sz w:val="16"/>
                <w:szCs w:val="20"/>
              </w:rPr>
            </w:pPr>
            <w:r w:rsidRPr="006311F8">
              <w:rPr>
                <w:rFonts w:ascii="Times New Roman" w:hAnsi="Times New Roman" w:cs="Times New Roman"/>
                <w:sz w:val="16"/>
                <w:szCs w:val="20"/>
              </w:rPr>
              <w:t>4.765</w:t>
            </w:r>
          </w:p>
        </w:tc>
        <w:tc>
          <w:tcPr>
            <w:tcW w:w="757" w:type="pct"/>
            <w:gridSpan w:val="2"/>
            <w:tcBorders>
              <w:top w:val="single" w:sz="4" w:space="0" w:color="auto"/>
              <w:bottom w:val="single" w:sz="4" w:space="0" w:color="auto"/>
            </w:tcBorders>
            <w:vAlign w:val="center"/>
          </w:tcPr>
          <w:p w14:paraId="572CCB90" w14:textId="77777777" w:rsidR="00E40A40" w:rsidRPr="006311F8" w:rsidRDefault="00E40A40" w:rsidP="006311F8">
            <w:pPr>
              <w:autoSpaceDE w:val="0"/>
              <w:autoSpaceDN w:val="0"/>
              <w:adjustRightInd w:val="0"/>
              <w:jc w:val="center"/>
              <w:rPr>
                <w:rFonts w:ascii="Times New Roman" w:hAnsi="Times New Roman" w:cs="Times New Roman"/>
                <w:sz w:val="16"/>
                <w:szCs w:val="20"/>
              </w:rPr>
            </w:pPr>
            <w:r w:rsidRPr="006311F8">
              <w:rPr>
                <w:rFonts w:ascii="Times New Roman" w:hAnsi="Times New Roman" w:cs="Times New Roman"/>
                <w:sz w:val="16"/>
                <w:szCs w:val="20"/>
              </w:rPr>
              <w:t>8.089</w:t>
            </w:r>
          </w:p>
        </w:tc>
        <w:tc>
          <w:tcPr>
            <w:tcW w:w="757" w:type="pct"/>
            <w:gridSpan w:val="2"/>
            <w:tcBorders>
              <w:top w:val="single" w:sz="4" w:space="0" w:color="auto"/>
              <w:bottom w:val="single" w:sz="4" w:space="0" w:color="auto"/>
            </w:tcBorders>
            <w:vAlign w:val="center"/>
          </w:tcPr>
          <w:p w14:paraId="6C8A4161" w14:textId="77777777" w:rsidR="00E40A40" w:rsidRPr="006311F8" w:rsidRDefault="00E40A40" w:rsidP="006311F8">
            <w:pPr>
              <w:autoSpaceDE w:val="0"/>
              <w:autoSpaceDN w:val="0"/>
              <w:adjustRightInd w:val="0"/>
              <w:jc w:val="center"/>
              <w:rPr>
                <w:rFonts w:ascii="Times New Roman" w:hAnsi="Times New Roman" w:cs="Times New Roman"/>
                <w:sz w:val="16"/>
                <w:szCs w:val="20"/>
              </w:rPr>
            </w:pPr>
            <w:r w:rsidRPr="006311F8">
              <w:rPr>
                <w:rFonts w:ascii="Times New Roman" w:hAnsi="Times New Roman" w:cs="Times New Roman"/>
                <w:sz w:val="16"/>
                <w:szCs w:val="20"/>
              </w:rPr>
              <w:t>4.656</w:t>
            </w:r>
          </w:p>
        </w:tc>
        <w:tc>
          <w:tcPr>
            <w:tcW w:w="757" w:type="pct"/>
            <w:gridSpan w:val="2"/>
            <w:tcBorders>
              <w:top w:val="single" w:sz="4" w:space="0" w:color="auto"/>
              <w:bottom w:val="single" w:sz="4" w:space="0" w:color="auto"/>
            </w:tcBorders>
            <w:vAlign w:val="center"/>
          </w:tcPr>
          <w:p w14:paraId="0EFB1FED" w14:textId="77777777" w:rsidR="00E40A40" w:rsidRPr="006311F8" w:rsidRDefault="00E40A40" w:rsidP="006311F8">
            <w:pPr>
              <w:autoSpaceDE w:val="0"/>
              <w:autoSpaceDN w:val="0"/>
              <w:adjustRightInd w:val="0"/>
              <w:jc w:val="center"/>
              <w:rPr>
                <w:rFonts w:ascii="Times New Roman" w:hAnsi="Times New Roman" w:cs="Times New Roman"/>
                <w:sz w:val="16"/>
                <w:szCs w:val="20"/>
              </w:rPr>
            </w:pPr>
            <w:r w:rsidRPr="006311F8">
              <w:rPr>
                <w:rFonts w:ascii="Times New Roman" w:hAnsi="Times New Roman" w:cs="Times New Roman"/>
                <w:sz w:val="16"/>
                <w:szCs w:val="20"/>
              </w:rPr>
              <w:t>10.236</w:t>
            </w:r>
          </w:p>
        </w:tc>
        <w:tc>
          <w:tcPr>
            <w:tcW w:w="758" w:type="pct"/>
            <w:gridSpan w:val="2"/>
            <w:tcBorders>
              <w:top w:val="single" w:sz="4" w:space="0" w:color="auto"/>
              <w:bottom w:val="single" w:sz="4" w:space="0" w:color="auto"/>
            </w:tcBorders>
            <w:vAlign w:val="center"/>
          </w:tcPr>
          <w:p w14:paraId="530479F9" w14:textId="77777777" w:rsidR="00E40A40" w:rsidRPr="006311F8" w:rsidRDefault="00E40A40" w:rsidP="006311F8">
            <w:pPr>
              <w:autoSpaceDE w:val="0"/>
              <w:autoSpaceDN w:val="0"/>
              <w:adjustRightInd w:val="0"/>
              <w:jc w:val="center"/>
              <w:rPr>
                <w:rFonts w:ascii="Times New Roman" w:hAnsi="Times New Roman" w:cs="Times New Roman"/>
                <w:sz w:val="16"/>
                <w:szCs w:val="20"/>
              </w:rPr>
            </w:pPr>
            <w:r w:rsidRPr="006311F8">
              <w:rPr>
                <w:rFonts w:ascii="Times New Roman" w:hAnsi="Times New Roman" w:cs="Times New Roman"/>
                <w:sz w:val="16"/>
                <w:szCs w:val="20"/>
              </w:rPr>
              <w:t>2.174</w:t>
            </w:r>
          </w:p>
        </w:tc>
        <w:tc>
          <w:tcPr>
            <w:tcW w:w="755" w:type="pct"/>
            <w:gridSpan w:val="2"/>
            <w:tcBorders>
              <w:top w:val="single" w:sz="4" w:space="0" w:color="auto"/>
              <w:bottom w:val="single" w:sz="4" w:space="0" w:color="auto"/>
            </w:tcBorders>
            <w:vAlign w:val="center"/>
          </w:tcPr>
          <w:p w14:paraId="6DC82C1B" w14:textId="77777777" w:rsidR="00E40A40" w:rsidRPr="006311F8" w:rsidRDefault="00E40A40" w:rsidP="006311F8">
            <w:pPr>
              <w:autoSpaceDE w:val="0"/>
              <w:autoSpaceDN w:val="0"/>
              <w:adjustRightInd w:val="0"/>
              <w:jc w:val="center"/>
              <w:rPr>
                <w:rFonts w:ascii="Times New Roman" w:hAnsi="Times New Roman" w:cs="Times New Roman"/>
                <w:sz w:val="16"/>
                <w:szCs w:val="20"/>
              </w:rPr>
            </w:pPr>
            <w:r w:rsidRPr="006311F8">
              <w:rPr>
                <w:rFonts w:ascii="Times New Roman" w:hAnsi="Times New Roman" w:cs="Times New Roman"/>
                <w:sz w:val="16"/>
                <w:szCs w:val="20"/>
              </w:rPr>
              <w:t>1.404</w:t>
            </w:r>
          </w:p>
        </w:tc>
      </w:tr>
      <w:tr w:rsidR="007F15D8" w:rsidRPr="00952DC1" w14:paraId="178FFF02" w14:textId="77777777" w:rsidTr="00F22E7B">
        <w:trPr>
          <w:trHeight w:val="340"/>
          <w:jc w:val="center"/>
        </w:trPr>
        <w:tc>
          <w:tcPr>
            <w:tcW w:w="460" w:type="pct"/>
            <w:tcBorders>
              <w:top w:val="single" w:sz="4" w:space="0" w:color="auto"/>
              <w:bottom w:val="single" w:sz="4" w:space="0" w:color="auto"/>
              <w:right w:val="single" w:sz="4" w:space="0" w:color="auto"/>
            </w:tcBorders>
          </w:tcPr>
          <w:p w14:paraId="45CCF6ED" w14:textId="77777777" w:rsidR="00E40A40" w:rsidRPr="006311F8" w:rsidRDefault="00E40A40" w:rsidP="00A152B0">
            <w:pPr>
              <w:tabs>
                <w:tab w:val="left" w:pos="4536"/>
              </w:tabs>
              <w:autoSpaceDE w:val="0"/>
              <w:autoSpaceDN w:val="0"/>
              <w:adjustRightInd w:val="0"/>
              <w:jc w:val="center"/>
              <w:rPr>
                <w:rFonts w:ascii="Times New Roman" w:hAnsi="Times New Roman" w:cs="Times New Roman"/>
                <w:sz w:val="16"/>
                <w:szCs w:val="20"/>
              </w:rPr>
            </w:pPr>
            <w:r w:rsidRPr="006311F8">
              <w:rPr>
                <w:rFonts w:ascii="Times New Roman" w:hAnsi="Times New Roman" w:cs="Times New Roman"/>
                <w:sz w:val="16"/>
                <w:szCs w:val="20"/>
              </w:rPr>
              <w:t>Sig.</w:t>
            </w:r>
          </w:p>
        </w:tc>
        <w:tc>
          <w:tcPr>
            <w:tcW w:w="758" w:type="pct"/>
            <w:gridSpan w:val="2"/>
            <w:tcBorders>
              <w:top w:val="single" w:sz="4" w:space="0" w:color="auto"/>
              <w:left w:val="single" w:sz="4" w:space="0" w:color="auto"/>
              <w:bottom w:val="single" w:sz="4" w:space="0" w:color="auto"/>
            </w:tcBorders>
            <w:vAlign w:val="center"/>
          </w:tcPr>
          <w:p w14:paraId="6329AAA0" w14:textId="77777777" w:rsidR="00E40A40" w:rsidRPr="006311F8" w:rsidRDefault="00E40A40" w:rsidP="006311F8">
            <w:pPr>
              <w:autoSpaceDE w:val="0"/>
              <w:autoSpaceDN w:val="0"/>
              <w:adjustRightInd w:val="0"/>
              <w:jc w:val="center"/>
              <w:rPr>
                <w:rFonts w:ascii="Times New Roman" w:hAnsi="Times New Roman" w:cs="Times New Roman"/>
                <w:sz w:val="16"/>
                <w:szCs w:val="20"/>
              </w:rPr>
            </w:pPr>
            <w:r w:rsidRPr="006311F8">
              <w:rPr>
                <w:rFonts w:ascii="Times New Roman" w:hAnsi="Times New Roman" w:cs="Times New Roman"/>
                <w:sz w:val="16"/>
                <w:szCs w:val="20"/>
              </w:rPr>
              <w:t>0.001</w:t>
            </w:r>
          </w:p>
        </w:tc>
        <w:tc>
          <w:tcPr>
            <w:tcW w:w="757" w:type="pct"/>
            <w:gridSpan w:val="2"/>
            <w:tcBorders>
              <w:top w:val="single" w:sz="4" w:space="0" w:color="auto"/>
              <w:bottom w:val="single" w:sz="4" w:space="0" w:color="auto"/>
            </w:tcBorders>
            <w:vAlign w:val="center"/>
          </w:tcPr>
          <w:p w14:paraId="5083B5BC" w14:textId="77777777" w:rsidR="00E40A40" w:rsidRPr="006311F8" w:rsidRDefault="00E40A40" w:rsidP="006311F8">
            <w:pPr>
              <w:autoSpaceDE w:val="0"/>
              <w:autoSpaceDN w:val="0"/>
              <w:adjustRightInd w:val="0"/>
              <w:jc w:val="center"/>
              <w:rPr>
                <w:rFonts w:ascii="Times New Roman" w:hAnsi="Times New Roman" w:cs="Times New Roman"/>
                <w:sz w:val="16"/>
                <w:szCs w:val="20"/>
              </w:rPr>
            </w:pPr>
            <w:r w:rsidRPr="006311F8">
              <w:rPr>
                <w:rFonts w:ascii="Times New Roman" w:hAnsi="Times New Roman" w:cs="Times New Roman"/>
                <w:sz w:val="16"/>
                <w:szCs w:val="20"/>
              </w:rPr>
              <w:t>0.000</w:t>
            </w:r>
          </w:p>
        </w:tc>
        <w:tc>
          <w:tcPr>
            <w:tcW w:w="757" w:type="pct"/>
            <w:gridSpan w:val="2"/>
            <w:tcBorders>
              <w:top w:val="single" w:sz="4" w:space="0" w:color="auto"/>
              <w:bottom w:val="single" w:sz="4" w:space="0" w:color="auto"/>
            </w:tcBorders>
            <w:vAlign w:val="center"/>
          </w:tcPr>
          <w:p w14:paraId="67DFBF91" w14:textId="77777777" w:rsidR="00E40A40" w:rsidRPr="006311F8" w:rsidRDefault="00E40A40" w:rsidP="006311F8">
            <w:pPr>
              <w:autoSpaceDE w:val="0"/>
              <w:autoSpaceDN w:val="0"/>
              <w:adjustRightInd w:val="0"/>
              <w:jc w:val="center"/>
              <w:rPr>
                <w:rFonts w:ascii="Times New Roman" w:hAnsi="Times New Roman" w:cs="Times New Roman"/>
                <w:sz w:val="16"/>
                <w:szCs w:val="20"/>
              </w:rPr>
            </w:pPr>
            <w:r w:rsidRPr="006311F8">
              <w:rPr>
                <w:rFonts w:ascii="Times New Roman" w:hAnsi="Times New Roman" w:cs="Times New Roman"/>
                <w:sz w:val="16"/>
                <w:szCs w:val="20"/>
              </w:rPr>
              <w:t>0.006</w:t>
            </w:r>
          </w:p>
        </w:tc>
        <w:tc>
          <w:tcPr>
            <w:tcW w:w="757" w:type="pct"/>
            <w:gridSpan w:val="2"/>
            <w:tcBorders>
              <w:top w:val="single" w:sz="4" w:space="0" w:color="auto"/>
              <w:bottom w:val="single" w:sz="4" w:space="0" w:color="auto"/>
            </w:tcBorders>
            <w:vAlign w:val="center"/>
          </w:tcPr>
          <w:p w14:paraId="0DC50874" w14:textId="77777777" w:rsidR="00E40A40" w:rsidRPr="006311F8" w:rsidRDefault="00E40A40" w:rsidP="006311F8">
            <w:pPr>
              <w:autoSpaceDE w:val="0"/>
              <w:autoSpaceDN w:val="0"/>
              <w:adjustRightInd w:val="0"/>
              <w:jc w:val="center"/>
              <w:rPr>
                <w:rFonts w:ascii="Times New Roman" w:hAnsi="Times New Roman" w:cs="Times New Roman"/>
                <w:sz w:val="16"/>
                <w:szCs w:val="20"/>
              </w:rPr>
            </w:pPr>
            <w:r w:rsidRPr="006311F8">
              <w:rPr>
                <w:rFonts w:ascii="Times New Roman" w:hAnsi="Times New Roman" w:cs="Times New Roman"/>
                <w:sz w:val="16"/>
                <w:szCs w:val="20"/>
              </w:rPr>
              <w:t>0.000</w:t>
            </w:r>
          </w:p>
        </w:tc>
        <w:tc>
          <w:tcPr>
            <w:tcW w:w="758" w:type="pct"/>
            <w:gridSpan w:val="2"/>
            <w:tcBorders>
              <w:top w:val="single" w:sz="4" w:space="0" w:color="auto"/>
              <w:bottom w:val="single" w:sz="4" w:space="0" w:color="auto"/>
            </w:tcBorders>
            <w:vAlign w:val="center"/>
          </w:tcPr>
          <w:p w14:paraId="5AE1F765" w14:textId="77777777" w:rsidR="00E40A40" w:rsidRPr="006311F8" w:rsidRDefault="00E40A40" w:rsidP="006311F8">
            <w:pPr>
              <w:autoSpaceDE w:val="0"/>
              <w:autoSpaceDN w:val="0"/>
              <w:adjustRightInd w:val="0"/>
              <w:jc w:val="center"/>
              <w:rPr>
                <w:rFonts w:ascii="Times New Roman" w:hAnsi="Times New Roman" w:cs="Times New Roman"/>
                <w:sz w:val="16"/>
                <w:szCs w:val="20"/>
              </w:rPr>
            </w:pPr>
            <w:r w:rsidRPr="006311F8">
              <w:rPr>
                <w:rFonts w:ascii="Times New Roman" w:hAnsi="Times New Roman" w:cs="Times New Roman"/>
                <w:sz w:val="16"/>
                <w:szCs w:val="20"/>
              </w:rPr>
              <w:t>0.086</w:t>
            </w:r>
          </w:p>
        </w:tc>
        <w:tc>
          <w:tcPr>
            <w:tcW w:w="755" w:type="pct"/>
            <w:gridSpan w:val="2"/>
            <w:tcBorders>
              <w:top w:val="single" w:sz="4" w:space="0" w:color="auto"/>
              <w:bottom w:val="single" w:sz="4" w:space="0" w:color="auto"/>
            </w:tcBorders>
            <w:vAlign w:val="center"/>
          </w:tcPr>
          <w:p w14:paraId="29DCD2CE" w14:textId="77777777" w:rsidR="00E40A40" w:rsidRPr="006311F8" w:rsidRDefault="00E40A40" w:rsidP="006311F8">
            <w:pPr>
              <w:autoSpaceDE w:val="0"/>
              <w:autoSpaceDN w:val="0"/>
              <w:adjustRightInd w:val="0"/>
              <w:jc w:val="center"/>
              <w:rPr>
                <w:rFonts w:ascii="Times New Roman" w:hAnsi="Times New Roman" w:cs="Times New Roman"/>
                <w:sz w:val="16"/>
                <w:szCs w:val="20"/>
              </w:rPr>
            </w:pPr>
            <w:r w:rsidRPr="006311F8">
              <w:rPr>
                <w:rFonts w:ascii="Times New Roman" w:hAnsi="Times New Roman" w:cs="Times New Roman"/>
                <w:sz w:val="16"/>
                <w:szCs w:val="20"/>
              </w:rPr>
              <w:t>0.237</w:t>
            </w:r>
          </w:p>
        </w:tc>
      </w:tr>
    </w:tbl>
    <w:p w14:paraId="3EAAAB74" w14:textId="6CE7B3CA" w:rsidR="00FD4287" w:rsidRPr="00A152B0" w:rsidRDefault="00215E9A" w:rsidP="00A152B0">
      <w:pPr>
        <w:autoSpaceDE w:val="0"/>
        <w:autoSpaceDN w:val="0"/>
        <w:adjustRightInd w:val="0"/>
        <w:snapToGrid w:val="0"/>
        <w:spacing w:after="0" w:line="360" w:lineRule="exact"/>
        <w:rPr>
          <w:rFonts w:asciiTheme="majorBidi" w:hAnsiTheme="majorBidi" w:cstheme="majorBidi"/>
        </w:rPr>
      </w:pPr>
      <w:r w:rsidRPr="00215E9A">
        <w:rPr>
          <w:rFonts w:asciiTheme="majorBidi" w:hAnsiTheme="majorBidi" w:cstheme="majorBidi"/>
          <w:i/>
          <w:szCs w:val="24"/>
        </w:rPr>
        <w:t>Note.</w:t>
      </w:r>
      <w:r>
        <w:rPr>
          <w:rFonts w:asciiTheme="majorBidi" w:hAnsiTheme="majorBidi" w:cstheme="majorBidi"/>
          <w:i/>
          <w:szCs w:val="24"/>
        </w:rPr>
        <w:t xml:space="preserve"> </w:t>
      </w:r>
      <w:r w:rsidR="00FD4287" w:rsidRPr="00A152B0">
        <w:rPr>
          <w:rFonts w:asciiTheme="majorBidi" w:hAnsiTheme="majorBidi" w:cstheme="majorBidi"/>
        </w:rPr>
        <w:t>**Correlation is significant at the 0.01 level (2-tailed).</w:t>
      </w:r>
    </w:p>
    <w:p w14:paraId="1AFF691E" w14:textId="150C75C5" w:rsidR="00AB7A97" w:rsidRPr="00A152B0" w:rsidRDefault="00AB7A97" w:rsidP="00A152B0">
      <w:pPr>
        <w:autoSpaceDE w:val="0"/>
        <w:autoSpaceDN w:val="0"/>
        <w:adjustRightInd w:val="0"/>
        <w:snapToGrid w:val="0"/>
        <w:spacing w:after="0" w:line="360" w:lineRule="exact"/>
        <w:rPr>
          <w:rFonts w:asciiTheme="majorBidi" w:hAnsiTheme="majorBidi" w:cstheme="majorBidi"/>
        </w:rPr>
      </w:pPr>
      <w:r w:rsidRPr="00A152B0">
        <w:rPr>
          <w:rFonts w:asciiTheme="majorBidi" w:hAnsiTheme="majorBidi" w:cstheme="majorBidi"/>
        </w:rPr>
        <w:t>*Correlation is significant at the 0.05 level (2-tailed).</w:t>
      </w:r>
    </w:p>
    <w:p w14:paraId="62159666" w14:textId="77777777" w:rsidR="00E96B20" w:rsidRDefault="00E96B20" w:rsidP="00A152B0">
      <w:pPr>
        <w:autoSpaceDE w:val="0"/>
        <w:autoSpaceDN w:val="0"/>
        <w:adjustRightInd w:val="0"/>
        <w:snapToGrid w:val="0"/>
        <w:spacing w:after="0" w:line="360" w:lineRule="exact"/>
        <w:ind w:firstLine="510"/>
        <w:jc w:val="both"/>
        <w:rPr>
          <w:rFonts w:ascii="Times New Roman" w:hAnsi="Times New Roman"/>
          <w:sz w:val="26"/>
        </w:rPr>
      </w:pPr>
    </w:p>
    <w:p w14:paraId="6921ED9C" w14:textId="4CF98955" w:rsidR="00645D53" w:rsidRPr="007F15D8" w:rsidRDefault="008D3063" w:rsidP="00A152B0">
      <w:pPr>
        <w:autoSpaceDE w:val="0"/>
        <w:autoSpaceDN w:val="0"/>
        <w:adjustRightInd w:val="0"/>
        <w:snapToGrid w:val="0"/>
        <w:spacing w:after="0" w:line="360" w:lineRule="exact"/>
        <w:ind w:firstLine="510"/>
        <w:jc w:val="both"/>
        <w:rPr>
          <w:rFonts w:ascii="Times New Roman" w:hAnsi="Times New Roman"/>
          <w:sz w:val="26"/>
        </w:rPr>
      </w:pPr>
      <w:r w:rsidRPr="007F15D8">
        <w:rPr>
          <w:rFonts w:ascii="Times New Roman" w:hAnsi="Times New Roman"/>
          <w:sz w:val="26"/>
        </w:rPr>
        <w:t xml:space="preserve">Table </w:t>
      </w:r>
      <w:r w:rsidRPr="007F15D8">
        <w:rPr>
          <w:rFonts w:ascii="Times New Roman" w:hAnsi="Times New Roman" w:cs="Times New Roman"/>
          <w:sz w:val="26"/>
          <w:szCs w:val="26"/>
        </w:rPr>
        <w:t>15</w:t>
      </w:r>
      <w:r w:rsidR="00645D53" w:rsidRPr="007F15D8">
        <w:rPr>
          <w:rFonts w:ascii="Times New Roman" w:hAnsi="Times New Roman"/>
          <w:sz w:val="26"/>
        </w:rPr>
        <w:t xml:space="preserve"> shows that the regression model in KSA, Oman, Qatar</w:t>
      </w:r>
      <w:r w:rsidR="009076E0">
        <w:rPr>
          <w:rFonts w:ascii="Times New Roman" w:hAnsi="Times New Roman"/>
          <w:sz w:val="26"/>
        </w:rPr>
        <w:t>,</w:t>
      </w:r>
      <w:r w:rsidR="00645D53" w:rsidRPr="007F15D8">
        <w:rPr>
          <w:rFonts w:ascii="Times New Roman" w:hAnsi="Times New Roman"/>
          <w:sz w:val="26"/>
        </w:rPr>
        <w:t xml:space="preserve"> and Bahrain </w:t>
      </w:r>
      <w:proofErr w:type="gramStart"/>
      <w:r w:rsidR="00645D53" w:rsidRPr="007F15D8">
        <w:rPr>
          <w:rFonts w:ascii="Times New Roman" w:hAnsi="Times New Roman"/>
          <w:sz w:val="26"/>
        </w:rPr>
        <w:t>is</w:t>
      </w:r>
      <w:proofErr w:type="gramEnd"/>
      <w:r w:rsidR="00645D53" w:rsidRPr="007F15D8">
        <w:rPr>
          <w:rFonts w:ascii="Times New Roman" w:hAnsi="Times New Roman"/>
          <w:sz w:val="26"/>
        </w:rPr>
        <w:t xml:space="preserve"> significant at </w:t>
      </w:r>
      <w:r w:rsidR="009076E0">
        <w:rPr>
          <w:rFonts w:ascii="Times New Roman" w:hAnsi="Times New Roman"/>
          <w:sz w:val="26"/>
        </w:rPr>
        <w:t xml:space="preserve">the </w:t>
      </w:r>
      <w:r w:rsidR="00645D53" w:rsidRPr="007F15D8">
        <w:rPr>
          <w:rFonts w:ascii="Times New Roman" w:hAnsi="Times New Roman"/>
          <w:sz w:val="26"/>
        </w:rPr>
        <w:t>0.01</w:t>
      </w:r>
      <w:r w:rsidR="009076E0">
        <w:rPr>
          <w:rFonts w:ascii="Times New Roman" w:hAnsi="Times New Roman"/>
          <w:sz w:val="26"/>
        </w:rPr>
        <w:t xml:space="preserve"> level</w:t>
      </w:r>
      <w:r w:rsidR="003214CA" w:rsidRPr="007F15D8">
        <w:rPr>
          <w:rFonts w:ascii="Times New Roman" w:hAnsi="Times New Roman"/>
          <w:sz w:val="26"/>
        </w:rPr>
        <w:t>,</w:t>
      </w:r>
      <w:r w:rsidR="00645D53" w:rsidRPr="007F15D8">
        <w:rPr>
          <w:rFonts w:ascii="Times New Roman" w:hAnsi="Times New Roman"/>
          <w:sz w:val="26"/>
        </w:rPr>
        <w:t xml:space="preserve"> but it is insignificant in Kuwait and UAE. </w:t>
      </w:r>
      <w:r w:rsidR="003214CA" w:rsidRPr="007F15D8">
        <w:rPr>
          <w:rFonts w:ascii="Times New Roman" w:hAnsi="Times New Roman"/>
          <w:sz w:val="26"/>
        </w:rPr>
        <w:t>EQ-</w:t>
      </w:r>
      <w:r w:rsidR="00645D53" w:rsidRPr="007F15D8">
        <w:rPr>
          <w:rFonts w:ascii="Times New Roman" w:hAnsi="Times New Roman"/>
          <w:sz w:val="26"/>
        </w:rPr>
        <w:t xml:space="preserve">AQ has </w:t>
      </w:r>
      <w:r w:rsidR="009076E0">
        <w:rPr>
          <w:rFonts w:ascii="Times New Roman" w:hAnsi="Times New Roman"/>
          <w:sz w:val="26"/>
        </w:rPr>
        <w:t xml:space="preserve">a </w:t>
      </w:r>
      <w:r w:rsidR="00645D53" w:rsidRPr="007F15D8">
        <w:rPr>
          <w:rFonts w:ascii="Times New Roman" w:hAnsi="Times New Roman"/>
          <w:sz w:val="26"/>
        </w:rPr>
        <w:t>significantly positive effect on attracting foreign investors only in Oman as the coefficient is 1.992</w:t>
      </w:r>
      <w:r w:rsidR="00944F99" w:rsidRPr="007F15D8">
        <w:rPr>
          <w:rFonts w:ascii="Times New Roman" w:hAnsi="Times New Roman"/>
          <w:sz w:val="26"/>
        </w:rPr>
        <w:t xml:space="preserve"> (</w:t>
      </w:r>
      <w:r w:rsidR="00645D53" w:rsidRPr="007F15D8">
        <w:rPr>
          <w:rFonts w:ascii="Times New Roman" w:hAnsi="Times New Roman"/>
          <w:sz w:val="26"/>
        </w:rPr>
        <w:t>p-value&lt;0.05)</w:t>
      </w:r>
      <w:r w:rsidR="003214CA" w:rsidRPr="007F15D8">
        <w:rPr>
          <w:rFonts w:ascii="Times New Roman" w:hAnsi="Times New Roman"/>
          <w:sz w:val="26"/>
        </w:rPr>
        <w:t>,</w:t>
      </w:r>
      <w:r w:rsidR="00645D53" w:rsidRPr="007F15D8">
        <w:rPr>
          <w:rFonts w:ascii="Times New Roman" w:hAnsi="Times New Roman"/>
          <w:sz w:val="26"/>
        </w:rPr>
        <w:t xml:space="preserve"> and </w:t>
      </w:r>
      <w:r w:rsidR="003214CA" w:rsidRPr="007F15D8">
        <w:rPr>
          <w:rFonts w:ascii="Times New Roman" w:hAnsi="Times New Roman"/>
          <w:sz w:val="26"/>
        </w:rPr>
        <w:t xml:space="preserve">the </w:t>
      </w:r>
      <w:r w:rsidR="00645D53" w:rsidRPr="007F15D8">
        <w:rPr>
          <w:rFonts w:ascii="Times New Roman" w:hAnsi="Times New Roman"/>
          <w:sz w:val="26"/>
        </w:rPr>
        <w:t>R</w:t>
      </w:r>
      <w:r w:rsidR="00645D53" w:rsidRPr="007F15D8">
        <w:rPr>
          <w:rFonts w:ascii="Times New Roman" w:hAnsi="Times New Roman"/>
          <w:sz w:val="26"/>
          <w:vertAlign w:val="superscript"/>
        </w:rPr>
        <w:t>2</w:t>
      </w:r>
      <w:r w:rsidR="00645D53" w:rsidRPr="007F15D8">
        <w:rPr>
          <w:rFonts w:ascii="Times New Roman" w:hAnsi="Times New Roman"/>
          <w:sz w:val="26"/>
        </w:rPr>
        <w:t xml:space="preserve"> of </w:t>
      </w:r>
      <w:r w:rsidR="00645D53" w:rsidRPr="007F15D8">
        <w:rPr>
          <w:rFonts w:ascii="Times New Roman" w:hAnsi="Times New Roman" w:cs="Times New Roman"/>
          <w:sz w:val="26"/>
          <w:szCs w:val="26"/>
        </w:rPr>
        <w:t>A</w:t>
      </w:r>
      <w:r w:rsidR="00AC2C48" w:rsidRPr="007F15D8">
        <w:rPr>
          <w:rFonts w:ascii="Times New Roman" w:hAnsi="Times New Roman" w:cs="Times New Roman"/>
          <w:sz w:val="26"/>
          <w:szCs w:val="26"/>
        </w:rPr>
        <w:t>Q</w:t>
      </w:r>
      <w:r w:rsidR="00645D53" w:rsidRPr="007F15D8">
        <w:rPr>
          <w:rFonts w:ascii="Times New Roman" w:hAnsi="Times New Roman"/>
          <w:sz w:val="26"/>
        </w:rPr>
        <w:t xml:space="preserve"> </w:t>
      </w:r>
      <w:r w:rsidR="00F72273" w:rsidRPr="007F15D8">
        <w:rPr>
          <w:rFonts w:ascii="Times New Roman" w:hAnsi="Times New Roman"/>
          <w:sz w:val="26"/>
        </w:rPr>
        <w:t>explains</w:t>
      </w:r>
      <w:r w:rsidR="00645D53" w:rsidRPr="007F15D8">
        <w:rPr>
          <w:rFonts w:ascii="Times New Roman" w:hAnsi="Times New Roman"/>
          <w:sz w:val="26"/>
        </w:rPr>
        <w:t xml:space="preserve"> 4.8% of </w:t>
      </w:r>
      <w:r w:rsidR="009076E0">
        <w:rPr>
          <w:rFonts w:ascii="Times New Roman" w:hAnsi="Times New Roman"/>
          <w:sz w:val="26"/>
        </w:rPr>
        <w:t xml:space="preserve">the </w:t>
      </w:r>
      <w:r w:rsidR="00645D53" w:rsidRPr="007F15D8">
        <w:rPr>
          <w:rFonts w:ascii="Times New Roman" w:hAnsi="Times New Roman"/>
          <w:sz w:val="26"/>
        </w:rPr>
        <w:t xml:space="preserve">variation of attracting foreign investors. This result indicates that foreign investors can use the earnings to predict future cash flows and </w:t>
      </w:r>
      <w:r w:rsidR="009076E0">
        <w:rPr>
          <w:rFonts w:ascii="Times New Roman" w:hAnsi="Times New Roman"/>
          <w:sz w:val="26"/>
        </w:rPr>
        <w:t>which</w:t>
      </w:r>
      <w:r w:rsidR="00645D53" w:rsidRPr="007F15D8">
        <w:rPr>
          <w:rFonts w:ascii="Times New Roman" w:hAnsi="Times New Roman"/>
          <w:sz w:val="26"/>
        </w:rPr>
        <w:t xml:space="preserve"> will attract more foreign investors. </w:t>
      </w:r>
      <w:r w:rsidR="003214CA" w:rsidRPr="007F15D8">
        <w:rPr>
          <w:rFonts w:ascii="Times New Roman" w:hAnsi="Times New Roman"/>
          <w:sz w:val="26"/>
        </w:rPr>
        <w:t>T</w:t>
      </w:r>
      <w:r w:rsidR="00645D53" w:rsidRPr="007F15D8">
        <w:rPr>
          <w:rFonts w:ascii="Times New Roman" w:hAnsi="Times New Roman"/>
          <w:sz w:val="26"/>
        </w:rPr>
        <w:t>he model is inversely significant in KSA as the coefficient is -1.616 (p-value&lt;0.05)</w:t>
      </w:r>
      <w:r w:rsidR="003214CA" w:rsidRPr="007F15D8">
        <w:rPr>
          <w:rFonts w:ascii="Times New Roman" w:hAnsi="Times New Roman"/>
          <w:sz w:val="26"/>
        </w:rPr>
        <w:t>,</w:t>
      </w:r>
      <w:r w:rsidR="00645D53" w:rsidRPr="007F15D8">
        <w:rPr>
          <w:rFonts w:ascii="Times New Roman" w:hAnsi="Times New Roman"/>
          <w:sz w:val="26"/>
        </w:rPr>
        <w:t xml:space="preserve"> </w:t>
      </w:r>
      <w:r w:rsidR="003214CA" w:rsidRPr="007F15D8">
        <w:rPr>
          <w:rFonts w:ascii="Times New Roman" w:hAnsi="Times New Roman"/>
          <w:sz w:val="26"/>
        </w:rPr>
        <w:t xml:space="preserve">and the </w:t>
      </w:r>
      <w:r w:rsidR="00645D53" w:rsidRPr="007F15D8">
        <w:rPr>
          <w:rFonts w:ascii="Times New Roman" w:hAnsi="Times New Roman"/>
          <w:sz w:val="26"/>
        </w:rPr>
        <w:t>R</w:t>
      </w:r>
      <w:r w:rsidR="00645D53" w:rsidRPr="007F15D8">
        <w:rPr>
          <w:rFonts w:ascii="Times New Roman" w:hAnsi="Times New Roman"/>
          <w:sz w:val="26"/>
          <w:vertAlign w:val="superscript"/>
        </w:rPr>
        <w:t>2</w:t>
      </w:r>
      <w:r w:rsidR="00645D53" w:rsidRPr="007F15D8">
        <w:rPr>
          <w:rFonts w:ascii="Times New Roman" w:hAnsi="Times New Roman"/>
          <w:sz w:val="26"/>
        </w:rPr>
        <w:t xml:space="preserve"> is 2.6%. The result in KSA indicates that the foreign investors have doubts about </w:t>
      </w:r>
      <w:r w:rsidR="009076E0">
        <w:rPr>
          <w:rFonts w:ascii="Times New Roman" w:hAnsi="Times New Roman"/>
          <w:sz w:val="26"/>
        </w:rPr>
        <w:t xml:space="preserve">the </w:t>
      </w:r>
      <w:r w:rsidR="00645D53" w:rsidRPr="007F15D8">
        <w:rPr>
          <w:rFonts w:ascii="Times New Roman" w:hAnsi="Times New Roman"/>
          <w:sz w:val="26"/>
        </w:rPr>
        <w:t>sing earnings of KSA firms to pred</w:t>
      </w:r>
      <w:r w:rsidR="001361AB" w:rsidRPr="007F15D8">
        <w:rPr>
          <w:rFonts w:ascii="Times New Roman" w:hAnsi="Times New Roman"/>
          <w:sz w:val="26"/>
        </w:rPr>
        <w:t>ict the future cash flow. H5</w:t>
      </w:r>
      <w:r w:rsidR="00645D53" w:rsidRPr="007F15D8">
        <w:rPr>
          <w:rFonts w:ascii="Times New Roman" w:hAnsi="Times New Roman"/>
          <w:sz w:val="26"/>
        </w:rPr>
        <w:t xml:space="preserve"> is accepted in Oman and rejected in KSA and other GCC countries. Risk has </w:t>
      </w:r>
      <w:r w:rsidR="009076E0">
        <w:rPr>
          <w:rFonts w:ascii="Times New Roman" w:hAnsi="Times New Roman"/>
          <w:sz w:val="26"/>
        </w:rPr>
        <w:t>a positive effect (0.011 in KSA and 0.039 Oman), and firms audited by big 4 audit firms have a</w:t>
      </w:r>
      <w:r w:rsidR="00645D53" w:rsidRPr="007F15D8">
        <w:rPr>
          <w:rFonts w:ascii="Times New Roman" w:hAnsi="Times New Roman"/>
          <w:sz w:val="26"/>
        </w:rPr>
        <w:t xml:space="preserve"> negative effect (-0.014 in KSA and -0.031 in Oman) as the coefficients are significant at 0.05 and 0.01. </w:t>
      </w:r>
    </w:p>
    <w:p w14:paraId="55A5632B" w14:textId="242C659A" w:rsidR="003A2A39" w:rsidRPr="007F15D8" w:rsidRDefault="00645D53" w:rsidP="00B730DC">
      <w:pPr>
        <w:autoSpaceDE w:val="0"/>
        <w:autoSpaceDN w:val="0"/>
        <w:adjustRightInd w:val="0"/>
        <w:snapToGrid w:val="0"/>
        <w:spacing w:after="0" w:line="360" w:lineRule="exact"/>
        <w:ind w:firstLine="510"/>
        <w:jc w:val="both"/>
        <w:rPr>
          <w:rFonts w:ascii="Times New Roman" w:hAnsi="Times New Roman"/>
          <w:sz w:val="26"/>
        </w:rPr>
      </w:pPr>
      <w:r w:rsidRPr="007F15D8">
        <w:rPr>
          <w:rFonts w:ascii="Times New Roman" w:hAnsi="Times New Roman"/>
          <w:sz w:val="26"/>
        </w:rPr>
        <w:t xml:space="preserve">The results of this measure in GCC (except for Oman and KSA) are not in line with </w:t>
      </w:r>
      <w:proofErr w:type="gramStart"/>
      <w:r w:rsidRPr="007F15D8">
        <w:rPr>
          <w:rFonts w:ascii="Times New Roman" w:hAnsi="Times New Roman"/>
          <w:sz w:val="26"/>
        </w:rPr>
        <w:t>An</w:t>
      </w:r>
      <w:proofErr w:type="gramEnd"/>
      <w:r w:rsidRPr="007F15D8">
        <w:rPr>
          <w:rFonts w:ascii="Times New Roman" w:hAnsi="Times New Roman"/>
          <w:sz w:val="26"/>
        </w:rPr>
        <w:t xml:space="preserve"> (2019) wh</w:t>
      </w:r>
      <w:r w:rsidR="009076E0">
        <w:rPr>
          <w:rFonts w:ascii="Times New Roman" w:hAnsi="Times New Roman"/>
          <w:sz w:val="26"/>
        </w:rPr>
        <w:t>ich</w:t>
      </w:r>
      <w:r w:rsidRPr="007F15D8">
        <w:rPr>
          <w:rFonts w:ascii="Times New Roman" w:hAnsi="Times New Roman"/>
          <w:sz w:val="26"/>
        </w:rPr>
        <w:t xml:space="preserve"> did not find a significant association between </w:t>
      </w:r>
      <w:r w:rsidR="005506C1" w:rsidRPr="007F15D8">
        <w:rPr>
          <w:rFonts w:ascii="Times New Roman" w:hAnsi="Times New Roman"/>
          <w:sz w:val="26"/>
        </w:rPr>
        <w:t xml:space="preserve">FI </w:t>
      </w:r>
      <w:r w:rsidRPr="007F15D8">
        <w:rPr>
          <w:rFonts w:ascii="Times New Roman" w:hAnsi="Times New Roman"/>
          <w:sz w:val="26"/>
        </w:rPr>
        <w:t xml:space="preserve">and </w:t>
      </w:r>
      <w:r w:rsidR="003214CA" w:rsidRPr="007F15D8">
        <w:rPr>
          <w:rFonts w:ascii="Times New Roman" w:hAnsi="Times New Roman"/>
          <w:sz w:val="26"/>
        </w:rPr>
        <w:t>EQ-AQ</w:t>
      </w:r>
      <w:r w:rsidRPr="007F15D8">
        <w:rPr>
          <w:rFonts w:ascii="Times New Roman" w:hAnsi="Times New Roman"/>
          <w:sz w:val="26"/>
        </w:rPr>
        <w:t xml:space="preserve">. The results are (except for Oman and KSA) in line with Vo </w:t>
      </w:r>
      <w:r w:rsidR="00523653">
        <w:rPr>
          <w:rFonts w:ascii="Times New Roman" w:hAnsi="Times New Roman"/>
          <w:sz w:val="26"/>
        </w:rPr>
        <w:t>and</w:t>
      </w:r>
      <w:r w:rsidRPr="007F15D8">
        <w:rPr>
          <w:rFonts w:ascii="Times New Roman" w:hAnsi="Times New Roman"/>
          <w:sz w:val="26"/>
        </w:rPr>
        <w:t xml:space="preserve"> Chu (2019) </w:t>
      </w:r>
      <w:r w:rsidR="00A41BCF" w:rsidRPr="007F15D8">
        <w:rPr>
          <w:rFonts w:ascii="Times New Roman" w:hAnsi="Times New Roman"/>
          <w:sz w:val="26"/>
        </w:rPr>
        <w:t>wh</w:t>
      </w:r>
      <w:r w:rsidR="009076E0">
        <w:rPr>
          <w:rFonts w:ascii="Times New Roman" w:hAnsi="Times New Roman"/>
          <w:sz w:val="26"/>
        </w:rPr>
        <w:t>ich</w:t>
      </w:r>
      <w:r w:rsidR="00A41BCF" w:rsidRPr="007F15D8">
        <w:rPr>
          <w:rFonts w:ascii="Times New Roman" w:hAnsi="Times New Roman"/>
          <w:sz w:val="26"/>
        </w:rPr>
        <w:t xml:space="preserve"> found</w:t>
      </w:r>
      <w:r w:rsidRPr="007F15D8">
        <w:rPr>
          <w:rFonts w:ascii="Times New Roman" w:hAnsi="Times New Roman"/>
          <w:sz w:val="26"/>
        </w:rPr>
        <w:t xml:space="preserve"> </w:t>
      </w:r>
      <w:r w:rsidRPr="007F15D8">
        <w:rPr>
          <w:rFonts w:ascii="Times New Roman" w:hAnsi="Times New Roman"/>
          <w:sz w:val="26"/>
        </w:rPr>
        <w:lastRenderedPageBreak/>
        <w:t xml:space="preserve">no clear evidence of the association between </w:t>
      </w:r>
      <w:r w:rsidR="005506C1" w:rsidRPr="007F15D8">
        <w:rPr>
          <w:rFonts w:ascii="Times New Roman" w:hAnsi="Times New Roman"/>
          <w:sz w:val="26"/>
        </w:rPr>
        <w:t xml:space="preserve">FI </w:t>
      </w:r>
      <w:r w:rsidRPr="007F15D8">
        <w:rPr>
          <w:rFonts w:ascii="Times New Roman" w:hAnsi="Times New Roman"/>
          <w:sz w:val="26"/>
        </w:rPr>
        <w:t xml:space="preserve">and </w:t>
      </w:r>
      <w:r w:rsidR="003214CA" w:rsidRPr="007F15D8">
        <w:rPr>
          <w:rFonts w:ascii="Times New Roman" w:hAnsi="Times New Roman"/>
          <w:sz w:val="26"/>
        </w:rPr>
        <w:t>EQ-AQ</w:t>
      </w:r>
      <w:r w:rsidRPr="007F15D8">
        <w:rPr>
          <w:rFonts w:ascii="Times New Roman" w:hAnsi="Times New Roman"/>
          <w:sz w:val="26"/>
        </w:rPr>
        <w:t xml:space="preserve">. </w:t>
      </w:r>
      <w:r w:rsidR="009A4680" w:rsidRPr="007F15D8">
        <w:rPr>
          <w:rFonts w:ascii="Times New Roman" w:hAnsi="Times New Roman"/>
          <w:sz w:val="26"/>
        </w:rPr>
        <w:t xml:space="preserve">The control </w:t>
      </w:r>
      <w:r w:rsidR="002C7835" w:rsidRPr="007F15D8">
        <w:rPr>
          <w:rFonts w:ascii="Times New Roman" w:hAnsi="Times New Roman"/>
          <w:sz w:val="26"/>
        </w:rPr>
        <w:t>v</w:t>
      </w:r>
      <w:r w:rsidR="00314638" w:rsidRPr="007F15D8">
        <w:rPr>
          <w:rFonts w:ascii="Times New Roman" w:hAnsi="Times New Roman"/>
          <w:sz w:val="26"/>
        </w:rPr>
        <w:t>ariable</w:t>
      </w:r>
      <w:r w:rsidR="002C7835" w:rsidRPr="007F15D8">
        <w:rPr>
          <w:rFonts w:ascii="Times New Roman" w:hAnsi="Times New Roman"/>
          <w:sz w:val="26"/>
        </w:rPr>
        <w:t>s</w:t>
      </w:r>
      <w:r w:rsidR="00314638" w:rsidRPr="007F15D8">
        <w:rPr>
          <w:rFonts w:ascii="Times New Roman" w:hAnsi="Times New Roman"/>
          <w:sz w:val="26"/>
        </w:rPr>
        <w:t xml:space="preserve"> have different effect</w:t>
      </w:r>
      <w:r w:rsidR="009A4680" w:rsidRPr="007F15D8">
        <w:rPr>
          <w:rFonts w:ascii="Times New Roman" w:hAnsi="Times New Roman"/>
          <w:sz w:val="26"/>
        </w:rPr>
        <w:t>s</w:t>
      </w:r>
      <w:r w:rsidR="00314638" w:rsidRPr="007F15D8">
        <w:rPr>
          <w:rFonts w:ascii="Times New Roman" w:hAnsi="Times New Roman"/>
          <w:sz w:val="26"/>
        </w:rPr>
        <w:t xml:space="preserve"> on foreign investors</w:t>
      </w:r>
      <w:r w:rsidR="009A4680" w:rsidRPr="007F15D8">
        <w:rPr>
          <w:rFonts w:ascii="Times New Roman" w:hAnsi="Times New Roman"/>
          <w:sz w:val="26"/>
        </w:rPr>
        <w:t>,</w:t>
      </w:r>
      <w:r w:rsidR="00314638" w:rsidRPr="007F15D8">
        <w:rPr>
          <w:rFonts w:ascii="Times New Roman" w:hAnsi="Times New Roman"/>
          <w:sz w:val="26"/>
        </w:rPr>
        <w:t xml:space="preserve"> confirming the significance of these variables.</w:t>
      </w:r>
    </w:p>
    <w:p w14:paraId="5CE20E06" w14:textId="77777777" w:rsidR="003214CA" w:rsidRPr="007F15D8" w:rsidRDefault="003214CA" w:rsidP="00A152B0">
      <w:pPr>
        <w:autoSpaceDE w:val="0"/>
        <w:autoSpaceDN w:val="0"/>
        <w:adjustRightInd w:val="0"/>
        <w:snapToGrid w:val="0"/>
        <w:spacing w:after="0" w:line="360" w:lineRule="exact"/>
        <w:jc w:val="both"/>
        <w:rPr>
          <w:rFonts w:ascii="Times New Roman" w:hAnsi="Times New Roman"/>
          <w:sz w:val="26"/>
        </w:rPr>
      </w:pPr>
    </w:p>
    <w:p w14:paraId="44DA5F3C" w14:textId="6625F6ED" w:rsidR="00E07A4D" w:rsidRPr="007F15D8" w:rsidRDefault="003A2A39" w:rsidP="00A152B0">
      <w:pPr>
        <w:snapToGrid w:val="0"/>
        <w:spacing w:after="0" w:line="360" w:lineRule="exact"/>
        <w:jc w:val="both"/>
        <w:rPr>
          <w:rFonts w:ascii="Times New Roman" w:hAnsi="Times New Roman"/>
          <w:b/>
          <w:sz w:val="26"/>
        </w:rPr>
      </w:pPr>
      <w:r w:rsidRPr="007F15D8">
        <w:rPr>
          <w:rFonts w:ascii="Times New Roman" w:hAnsi="Times New Roman"/>
          <w:b/>
          <w:sz w:val="26"/>
        </w:rPr>
        <w:t>Measuring</w:t>
      </w:r>
      <w:r w:rsidR="00285C6A" w:rsidRPr="007F15D8">
        <w:rPr>
          <w:rFonts w:ascii="Times New Roman" w:hAnsi="Times New Roman"/>
          <w:b/>
          <w:sz w:val="26"/>
        </w:rPr>
        <w:t xml:space="preserve"> and </w:t>
      </w:r>
      <w:r w:rsidR="00C94562" w:rsidRPr="007F15D8">
        <w:rPr>
          <w:rFonts w:ascii="Times New Roman" w:hAnsi="Times New Roman"/>
          <w:b/>
          <w:sz w:val="26"/>
        </w:rPr>
        <w:t xml:space="preserve">Analysis of </w:t>
      </w:r>
      <w:r w:rsidR="00285C6A" w:rsidRPr="007F15D8">
        <w:rPr>
          <w:rFonts w:ascii="Times New Roman" w:hAnsi="Times New Roman"/>
          <w:b/>
          <w:sz w:val="26"/>
        </w:rPr>
        <w:t>EQ</w:t>
      </w:r>
      <w:r w:rsidR="00C94562" w:rsidRPr="007F15D8">
        <w:rPr>
          <w:rFonts w:ascii="Times New Roman" w:hAnsi="Times New Roman"/>
          <w:b/>
          <w:sz w:val="26"/>
        </w:rPr>
        <w:t>-</w:t>
      </w:r>
      <w:r w:rsidR="00285C6A" w:rsidRPr="007F15D8">
        <w:rPr>
          <w:rFonts w:ascii="Times New Roman" w:hAnsi="Times New Roman"/>
          <w:b/>
          <w:sz w:val="26"/>
        </w:rPr>
        <w:t>SM</w:t>
      </w:r>
      <w:r w:rsidR="001361AB" w:rsidRPr="007F15D8">
        <w:rPr>
          <w:rFonts w:ascii="Times New Roman" w:hAnsi="Times New Roman"/>
          <w:b/>
          <w:sz w:val="26"/>
        </w:rPr>
        <w:t xml:space="preserve"> and FI</w:t>
      </w:r>
    </w:p>
    <w:p w14:paraId="088448E2" w14:textId="741F2CE2" w:rsidR="00567F52" w:rsidRDefault="00567F52" w:rsidP="00A152B0">
      <w:pPr>
        <w:snapToGrid w:val="0"/>
        <w:spacing w:after="0" w:line="360" w:lineRule="exact"/>
        <w:ind w:firstLine="510"/>
        <w:jc w:val="both"/>
        <w:rPr>
          <w:rFonts w:ascii="Times New Roman" w:hAnsi="Times New Roman"/>
          <w:sz w:val="26"/>
        </w:rPr>
      </w:pPr>
      <w:r w:rsidRPr="007F15D8">
        <w:rPr>
          <w:rFonts w:ascii="Times New Roman" w:hAnsi="Times New Roman"/>
          <w:sz w:val="26"/>
        </w:rPr>
        <w:t xml:space="preserve">The required information to calculate the earnings smoothness is the NIBE and its SD and CFO. Table </w:t>
      </w:r>
      <w:r w:rsidR="008D3063" w:rsidRPr="007F15D8">
        <w:rPr>
          <w:rFonts w:ascii="Times New Roman" w:hAnsi="Times New Roman" w:cs="Times New Roman"/>
          <w:sz w:val="26"/>
          <w:szCs w:val="26"/>
        </w:rPr>
        <w:t>16</w:t>
      </w:r>
      <w:r w:rsidRPr="007F15D8">
        <w:rPr>
          <w:rFonts w:ascii="Times New Roman" w:hAnsi="Times New Roman"/>
          <w:sz w:val="26"/>
        </w:rPr>
        <w:t xml:space="preserve"> shows SD for all required variables.</w:t>
      </w:r>
    </w:p>
    <w:p w14:paraId="6B09D68E" w14:textId="77777777" w:rsidR="00E96B20" w:rsidRPr="007F15D8" w:rsidRDefault="00E96B20" w:rsidP="00E96B20">
      <w:pPr>
        <w:snapToGrid w:val="0"/>
        <w:spacing w:after="0" w:line="360" w:lineRule="exact"/>
        <w:ind w:firstLine="510"/>
        <w:jc w:val="both"/>
        <w:rPr>
          <w:rFonts w:ascii="Times New Roman" w:hAnsi="Times New Roman"/>
          <w:sz w:val="26"/>
        </w:rPr>
      </w:pPr>
    </w:p>
    <w:p w14:paraId="58A5EF9B" w14:textId="0E1CDA73" w:rsidR="00E40A40" w:rsidRPr="00FA3651" w:rsidRDefault="008D3063" w:rsidP="00FA3651">
      <w:pPr>
        <w:snapToGrid w:val="0"/>
        <w:spacing w:afterLines="50" w:after="120" w:line="360" w:lineRule="exact"/>
        <w:jc w:val="both"/>
        <w:rPr>
          <w:rFonts w:asciiTheme="majorBidi" w:hAnsiTheme="majorBidi"/>
          <w:sz w:val="26"/>
        </w:rPr>
      </w:pPr>
      <w:r w:rsidRPr="00A152B0">
        <w:rPr>
          <w:rFonts w:asciiTheme="majorBidi" w:hAnsiTheme="majorBidi"/>
          <w:b/>
          <w:sz w:val="26"/>
        </w:rPr>
        <w:t xml:space="preserve">Table </w:t>
      </w:r>
      <w:proofErr w:type="gramStart"/>
      <w:r w:rsidRPr="00A152B0">
        <w:rPr>
          <w:rFonts w:asciiTheme="majorBidi" w:hAnsiTheme="majorBidi"/>
          <w:b/>
          <w:sz w:val="26"/>
        </w:rPr>
        <w:t>16</w:t>
      </w:r>
      <w:r w:rsidR="00A152B0">
        <w:rPr>
          <w:rFonts w:ascii="新細明體" w:eastAsia="新細明體" w:hAnsi="新細明體" w:hint="eastAsia"/>
          <w:b/>
          <w:sz w:val="26"/>
          <w:lang w:eastAsia="zh-TW"/>
        </w:rPr>
        <w:t xml:space="preserve"> </w:t>
      </w:r>
      <w:r w:rsidR="00E40A40" w:rsidRPr="00FA3651">
        <w:rPr>
          <w:rFonts w:asciiTheme="majorBidi" w:hAnsiTheme="majorBidi"/>
          <w:sz w:val="26"/>
        </w:rPr>
        <w:t xml:space="preserve"> </w:t>
      </w:r>
      <w:r w:rsidR="00E40A40" w:rsidRPr="00A152B0">
        <w:rPr>
          <w:rFonts w:asciiTheme="majorBidi" w:hAnsiTheme="majorBidi"/>
          <w:i/>
          <w:sz w:val="26"/>
        </w:rPr>
        <w:t>Descriptive</w:t>
      </w:r>
      <w:proofErr w:type="gramEnd"/>
      <w:r w:rsidR="00E40A40" w:rsidRPr="00A152B0">
        <w:rPr>
          <w:rFonts w:asciiTheme="majorBidi" w:hAnsiTheme="majorBidi"/>
          <w:i/>
          <w:sz w:val="26"/>
        </w:rPr>
        <w:t xml:space="preserve"> Statistics and Measuring of Earnings Smoothness</w:t>
      </w:r>
    </w:p>
    <w:tbl>
      <w:tblPr>
        <w:tblStyle w:val="a9"/>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1"/>
        <w:gridCol w:w="1443"/>
        <w:gridCol w:w="1443"/>
        <w:gridCol w:w="1239"/>
        <w:gridCol w:w="1031"/>
        <w:gridCol w:w="1031"/>
        <w:gridCol w:w="1239"/>
      </w:tblGrid>
      <w:tr w:rsidR="007F15D8" w:rsidRPr="00EA76AA" w14:paraId="6A1220E0" w14:textId="77777777" w:rsidTr="00A152B0">
        <w:trPr>
          <w:trHeight w:val="340"/>
          <w:jc w:val="center"/>
        </w:trPr>
        <w:tc>
          <w:tcPr>
            <w:tcW w:w="887" w:type="pct"/>
            <w:vMerge w:val="restart"/>
            <w:tcBorders>
              <w:top w:val="single" w:sz="4" w:space="0" w:color="auto"/>
              <w:bottom w:val="single" w:sz="4" w:space="0" w:color="auto"/>
              <w:right w:val="single" w:sz="4" w:space="0" w:color="auto"/>
              <w:tl2br w:val="single" w:sz="4" w:space="0" w:color="auto"/>
            </w:tcBorders>
            <w:vAlign w:val="bottom"/>
          </w:tcPr>
          <w:p w14:paraId="4CE1AE30" w14:textId="363E1D5D" w:rsidR="00E96B20" w:rsidRDefault="00A152B0" w:rsidP="00E96B20">
            <w:pPr>
              <w:autoSpaceDE w:val="0"/>
              <w:autoSpaceDN w:val="0"/>
              <w:adjustRightInd w:val="0"/>
              <w:jc w:val="both"/>
              <w:rPr>
                <w:rFonts w:ascii="Times New Roman" w:hAnsi="Times New Roman" w:cs="Times New Roman"/>
                <w:sz w:val="20"/>
                <w:szCs w:val="20"/>
              </w:rPr>
            </w:pPr>
            <w:r>
              <w:rPr>
                <w:rFonts w:ascii="新細明體" w:eastAsia="新細明體" w:hAnsi="新細明體" w:cs="Times New Roman" w:hint="eastAsia"/>
                <w:sz w:val="20"/>
                <w:szCs w:val="20"/>
                <w:lang w:eastAsia="zh-TW"/>
              </w:rPr>
              <w:t xml:space="preserve">              </w:t>
            </w:r>
            <w:r w:rsidR="00E40A40" w:rsidRPr="00EA76AA">
              <w:rPr>
                <w:rFonts w:ascii="Times New Roman" w:hAnsi="Times New Roman" w:cs="Times New Roman"/>
                <w:sz w:val="20"/>
                <w:szCs w:val="20"/>
              </w:rPr>
              <w:t>Country</w:t>
            </w:r>
          </w:p>
          <w:p w14:paraId="2AE56F45" w14:textId="77777777" w:rsidR="00E96B20" w:rsidRDefault="00E96B20" w:rsidP="00E96B20">
            <w:pPr>
              <w:autoSpaceDE w:val="0"/>
              <w:autoSpaceDN w:val="0"/>
              <w:adjustRightInd w:val="0"/>
              <w:jc w:val="both"/>
              <w:rPr>
                <w:rFonts w:ascii="Times New Roman" w:hAnsi="Times New Roman" w:cs="Times New Roman"/>
                <w:sz w:val="20"/>
                <w:szCs w:val="20"/>
              </w:rPr>
            </w:pPr>
          </w:p>
          <w:p w14:paraId="70E5ED70" w14:textId="32143929" w:rsidR="00E40A40" w:rsidRPr="00EA76AA" w:rsidRDefault="00E40A40" w:rsidP="00E96B20">
            <w:pPr>
              <w:autoSpaceDE w:val="0"/>
              <w:autoSpaceDN w:val="0"/>
              <w:adjustRightInd w:val="0"/>
              <w:jc w:val="both"/>
              <w:rPr>
                <w:rFonts w:ascii="Times New Roman" w:hAnsi="Times New Roman" w:cs="Times New Roman"/>
                <w:sz w:val="20"/>
                <w:szCs w:val="20"/>
              </w:rPr>
            </w:pPr>
            <w:r w:rsidRPr="00EA76AA">
              <w:rPr>
                <w:rFonts w:ascii="Times New Roman" w:hAnsi="Times New Roman" w:cs="Times New Roman"/>
                <w:sz w:val="20"/>
                <w:szCs w:val="20"/>
              </w:rPr>
              <w:t>Variable</w:t>
            </w:r>
          </w:p>
        </w:tc>
        <w:tc>
          <w:tcPr>
            <w:tcW w:w="799" w:type="pct"/>
            <w:tcBorders>
              <w:top w:val="single" w:sz="4" w:space="0" w:color="auto"/>
              <w:left w:val="single" w:sz="4" w:space="0" w:color="auto"/>
              <w:bottom w:val="single" w:sz="4" w:space="0" w:color="auto"/>
            </w:tcBorders>
            <w:vAlign w:val="center"/>
          </w:tcPr>
          <w:p w14:paraId="3FD2E39D" w14:textId="77777777" w:rsidR="00E40A40" w:rsidRPr="00EA76AA" w:rsidRDefault="00E40A40" w:rsidP="00E96B20">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KSA</w:t>
            </w:r>
          </w:p>
        </w:tc>
        <w:tc>
          <w:tcPr>
            <w:tcW w:w="799" w:type="pct"/>
            <w:tcBorders>
              <w:top w:val="single" w:sz="4" w:space="0" w:color="auto"/>
              <w:bottom w:val="single" w:sz="4" w:space="0" w:color="auto"/>
            </w:tcBorders>
            <w:vAlign w:val="center"/>
          </w:tcPr>
          <w:p w14:paraId="1872D6AE" w14:textId="77777777" w:rsidR="00E40A40" w:rsidRPr="00EA76AA" w:rsidRDefault="00E40A40" w:rsidP="00E96B20">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OMN</w:t>
            </w:r>
          </w:p>
        </w:tc>
        <w:tc>
          <w:tcPr>
            <w:tcW w:w="686" w:type="pct"/>
            <w:tcBorders>
              <w:top w:val="single" w:sz="4" w:space="0" w:color="auto"/>
              <w:bottom w:val="single" w:sz="4" w:space="0" w:color="auto"/>
            </w:tcBorders>
            <w:vAlign w:val="center"/>
          </w:tcPr>
          <w:p w14:paraId="08A2801F" w14:textId="77777777" w:rsidR="00E40A40" w:rsidRPr="00EA76AA" w:rsidRDefault="00E40A40" w:rsidP="00E96B20">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QAT</w:t>
            </w:r>
          </w:p>
        </w:tc>
        <w:tc>
          <w:tcPr>
            <w:tcW w:w="571" w:type="pct"/>
            <w:tcBorders>
              <w:top w:val="single" w:sz="4" w:space="0" w:color="auto"/>
              <w:bottom w:val="single" w:sz="4" w:space="0" w:color="auto"/>
            </w:tcBorders>
            <w:vAlign w:val="center"/>
          </w:tcPr>
          <w:p w14:paraId="5D19CD7F" w14:textId="77777777" w:rsidR="00E40A40" w:rsidRPr="00EA76AA" w:rsidRDefault="00E40A40" w:rsidP="00E96B20">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BAH</w:t>
            </w:r>
          </w:p>
        </w:tc>
        <w:tc>
          <w:tcPr>
            <w:tcW w:w="571" w:type="pct"/>
            <w:tcBorders>
              <w:top w:val="single" w:sz="4" w:space="0" w:color="auto"/>
              <w:bottom w:val="single" w:sz="4" w:space="0" w:color="auto"/>
            </w:tcBorders>
            <w:vAlign w:val="center"/>
          </w:tcPr>
          <w:p w14:paraId="41ED6FBB" w14:textId="77777777" w:rsidR="00E40A40" w:rsidRPr="00EA76AA" w:rsidRDefault="00E40A40" w:rsidP="00E96B20">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KWU</w:t>
            </w:r>
          </w:p>
        </w:tc>
        <w:tc>
          <w:tcPr>
            <w:tcW w:w="686" w:type="pct"/>
            <w:tcBorders>
              <w:top w:val="single" w:sz="4" w:space="0" w:color="auto"/>
              <w:bottom w:val="single" w:sz="4" w:space="0" w:color="auto"/>
            </w:tcBorders>
            <w:vAlign w:val="center"/>
          </w:tcPr>
          <w:p w14:paraId="4CE436AB" w14:textId="77777777" w:rsidR="00E40A40" w:rsidRPr="00EA76AA" w:rsidRDefault="00E40A40" w:rsidP="00E96B20">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UAE</w:t>
            </w:r>
          </w:p>
        </w:tc>
      </w:tr>
      <w:tr w:rsidR="007F15D8" w:rsidRPr="00EA76AA" w14:paraId="5FF90F72" w14:textId="77777777" w:rsidTr="00A152B0">
        <w:trPr>
          <w:trHeight w:val="340"/>
          <w:jc w:val="center"/>
        </w:trPr>
        <w:tc>
          <w:tcPr>
            <w:tcW w:w="887" w:type="pct"/>
            <w:vMerge/>
            <w:tcBorders>
              <w:bottom w:val="single" w:sz="4" w:space="0" w:color="auto"/>
              <w:right w:val="single" w:sz="4" w:space="0" w:color="auto"/>
              <w:tl2br w:val="single" w:sz="4" w:space="0" w:color="auto"/>
            </w:tcBorders>
            <w:vAlign w:val="center"/>
          </w:tcPr>
          <w:p w14:paraId="54841AA6" w14:textId="77777777" w:rsidR="00E40A40" w:rsidRPr="00EA76AA" w:rsidRDefault="00E40A40" w:rsidP="00E96B20">
            <w:pPr>
              <w:autoSpaceDE w:val="0"/>
              <w:autoSpaceDN w:val="0"/>
              <w:adjustRightInd w:val="0"/>
              <w:jc w:val="center"/>
              <w:rPr>
                <w:rFonts w:ascii="Times New Roman" w:hAnsi="Times New Roman" w:cs="Times New Roman"/>
                <w:noProof/>
                <w:sz w:val="20"/>
                <w:szCs w:val="20"/>
              </w:rPr>
            </w:pPr>
          </w:p>
        </w:tc>
        <w:tc>
          <w:tcPr>
            <w:tcW w:w="799" w:type="pct"/>
            <w:tcBorders>
              <w:top w:val="single" w:sz="4" w:space="0" w:color="auto"/>
              <w:left w:val="single" w:sz="4" w:space="0" w:color="auto"/>
              <w:bottom w:val="single" w:sz="4" w:space="0" w:color="auto"/>
            </w:tcBorders>
            <w:vAlign w:val="center"/>
          </w:tcPr>
          <w:p w14:paraId="6AFF3402" w14:textId="77777777" w:rsidR="00E40A40" w:rsidRPr="00EA76AA" w:rsidRDefault="00E40A40" w:rsidP="00E96B20">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SD</w:t>
            </w:r>
          </w:p>
        </w:tc>
        <w:tc>
          <w:tcPr>
            <w:tcW w:w="799" w:type="pct"/>
            <w:tcBorders>
              <w:top w:val="single" w:sz="4" w:space="0" w:color="auto"/>
              <w:bottom w:val="single" w:sz="4" w:space="0" w:color="auto"/>
            </w:tcBorders>
            <w:vAlign w:val="center"/>
          </w:tcPr>
          <w:p w14:paraId="5B7B2B88" w14:textId="77777777" w:rsidR="00E40A40" w:rsidRPr="00EA76AA" w:rsidRDefault="00E40A40" w:rsidP="00E96B20">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SD</w:t>
            </w:r>
          </w:p>
        </w:tc>
        <w:tc>
          <w:tcPr>
            <w:tcW w:w="686" w:type="pct"/>
            <w:tcBorders>
              <w:top w:val="single" w:sz="4" w:space="0" w:color="auto"/>
              <w:bottom w:val="single" w:sz="4" w:space="0" w:color="auto"/>
            </w:tcBorders>
            <w:vAlign w:val="center"/>
          </w:tcPr>
          <w:p w14:paraId="1F41F586" w14:textId="77777777" w:rsidR="00E40A40" w:rsidRPr="00EA76AA" w:rsidRDefault="00E40A40" w:rsidP="00E96B20">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SD</w:t>
            </w:r>
          </w:p>
        </w:tc>
        <w:tc>
          <w:tcPr>
            <w:tcW w:w="571" w:type="pct"/>
            <w:tcBorders>
              <w:top w:val="single" w:sz="4" w:space="0" w:color="auto"/>
              <w:bottom w:val="single" w:sz="4" w:space="0" w:color="auto"/>
            </w:tcBorders>
            <w:vAlign w:val="center"/>
          </w:tcPr>
          <w:p w14:paraId="4074C57C" w14:textId="77777777" w:rsidR="00E40A40" w:rsidRPr="00EA76AA" w:rsidRDefault="00E40A40" w:rsidP="00E96B20">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SD</w:t>
            </w:r>
          </w:p>
        </w:tc>
        <w:tc>
          <w:tcPr>
            <w:tcW w:w="571" w:type="pct"/>
            <w:tcBorders>
              <w:top w:val="single" w:sz="4" w:space="0" w:color="auto"/>
              <w:bottom w:val="single" w:sz="4" w:space="0" w:color="auto"/>
            </w:tcBorders>
            <w:vAlign w:val="center"/>
          </w:tcPr>
          <w:p w14:paraId="5AC8FB8A" w14:textId="77777777" w:rsidR="00E40A40" w:rsidRPr="00EA76AA" w:rsidRDefault="00E40A40" w:rsidP="00E96B20">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SD</w:t>
            </w:r>
          </w:p>
        </w:tc>
        <w:tc>
          <w:tcPr>
            <w:tcW w:w="686" w:type="pct"/>
            <w:tcBorders>
              <w:top w:val="single" w:sz="4" w:space="0" w:color="auto"/>
              <w:bottom w:val="single" w:sz="4" w:space="0" w:color="auto"/>
            </w:tcBorders>
            <w:vAlign w:val="center"/>
          </w:tcPr>
          <w:p w14:paraId="6B66C0A3" w14:textId="77777777" w:rsidR="00E40A40" w:rsidRPr="00EA76AA" w:rsidRDefault="00E40A40" w:rsidP="00E96B20">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SD</w:t>
            </w:r>
          </w:p>
        </w:tc>
      </w:tr>
      <w:tr w:rsidR="007F15D8" w:rsidRPr="00EA76AA" w14:paraId="11FACBCA" w14:textId="77777777" w:rsidTr="00A152B0">
        <w:trPr>
          <w:trHeight w:val="340"/>
          <w:jc w:val="center"/>
        </w:trPr>
        <w:tc>
          <w:tcPr>
            <w:tcW w:w="887" w:type="pct"/>
            <w:tcBorders>
              <w:top w:val="single" w:sz="4" w:space="0" w:color="auto"/>
              <w:bottom w:val="single" w:sz="4" w:space="0" w:color="auto"/>
              <w:right w:val="single" w:sz="4" w:space="0" w:color="auto"/>
            </w:tcBorders>
            <w:vAlign w:val="center"/>
          </w:tcPr>
          <w:p w14:paraId="70D26758" w14:textId="4D860B72" w:rsidR="00E40A40" w:rsidRPr="00EA76AA" w:rsidRDefault="00E40A40" w:rsidP="00E96B20">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NIBE</w:t>
            </w:r>
          </w:p>
        </w:tc>
        <w:tc>
          <w:tcPr>
            <w:tcW w:w="799" w:type="pct"/>
            <w:tcBorders>
              <w:top w:val="single" w:sz="4" w:space="0" w:color="auto"/>
              <w:left w:val="single" w:sz="4" w:space="0" w:color="auto"/>
              <w:bottom w:val="single" w:sz="4" w:space="0" w:color="auto"/>
            </w:tcBorders>
            <w:vAlign w:val="center"/>
          </w:tcPr>
          <w:p w14:paraId="52D3A07D" w14:textId="77777777" w:rsidR="00E40A40" w:rsidRPr="00EA76AA" w:rsidRDefault="00E40A40" w:rsidP="00E96B20">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0.784</w:t>
            </w:r>
          </w:p>
        </w:tc>
        <w:tc>
          <w:tcPr>
            <w:tcW w:w="799" w:type="pct"/>
            <w:tcBorders>
              <w:top w:val="single" w:sz="4" w:space="0" w:color="auto"/>
              <w:bottom w:val="single" w:sz="4" w:space="0" w:color="auto"/>
            </w:tcBorders>
            <w:vAlign w:val="center"/>
          </w:tcPr>
          <w:p w14:paraId="1BC0CFA0" w14:textId="77777777" w:rsidR="00E40A40" w:rsidRPr="00EA76AA" w:rsidRDefault="00E40A40" w:rsidP="00E96B20">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0.738</w:t>
            </w:r>
          </w:p>
        </w:tc>
        <w:tc>
          <w:tcPr>
            <w:tcW w:w="686" w:type="pct"/>
            <w:tcBorders>
              <w:top w:val="single" w:sz="4" w:space="0" w:color="auto"/>
              <w:bottom w:val="single" w:sz="4" w:space="0" w:color="auto"/>
            </w:tcBorders>
            <w:vAlign w:val="center"/>
          </w:tcPr>
          <w:p w14:paraId="4EE9FC66" w14:textId="77777777" w:rsidR="00E40A40" w:rsidRPr="00EA76AA" w:rsidRDefault="00E40A40" w:rsidP="00E96B20">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0.550</w:t>
            </w:r>
          </w:p>
        </w:tc>
        <w:tc>
          <w:tcPr>
            <w:tcW w:w="571" w:type="pct"/>
            <w:tcBorders>
              <w:top w:val="single" w:sz="4" w:space="0" w:color="auto"/>
              <w:bottom w:val="single" w:sz="4" w:space="0" w:color="auto"/>
            </w:tcBorders>
            <w:vAlign w:val="center"/>
          </w:tcPr>
          <w:p w14:paraId="0184B5A4" w14:textId="77777777" w:rsidR="00E40A40" w:rsidRPr="00EA76AA" w:rsidRDefault="00E40A40" w:rsidP="00E96B20">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0.720</w:t>
            </w:r>
          </w:p>
        </w:tc>
        <w:tc>
          <w:tcPr>
            <w:tcW w:w="571" w:type="pct"/>
            <w:tcBorders>
              <w:top w:val="single" w:sz="4" w:space="0" w:color="auto"/>
              <w:bottom w:val="single" w:sz="4" w:space="0" w:color="auto"/>
            </w:tcBorders>
            <w:vAlign w:val="center"/>
          </w:tcPr>
          <w:p w14:paraId="5B390D39" w14:textId="77777777" w:rsidR="00E40A40" w:rsidRPr="00EA76AA" w:rsidRDefault="00E40A40" w:rsidP="00E96B20">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0.729</w:t>
            </w:r>
          </w:p>
        </w:tc>
        <w:tc>
          <w:tcPr>
            <w:tcW w:w="686" w:type="pct"/>
            <w:tcBorders>
              <w:top w:val="single" w:sz="4" w:space="0" w:color="auto"/>
              <w:bottom w:val="single" w:sz="4" w:space="0" w:color="auto"/>
            </w:tcBorders>
            <w:vAlign w:val="center"/>
          </w:tcPr>
          <w:p w14:paraId="36BD29D6" w14:textId="77777777" w:rsidR="00E40A40" w:rsidRPr="00EA76AA" w:rsidRDefault="00E40A40" w:rsidP="00E96B20">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0.643</w:t>
            </w:r>
          </w:p>
        </w:tc>
      </w:tr>
      <w:tr w:rsidR="007F15D8" w:rsidRPr="00EA76AA" w14:paraId="54593712" w14:textId="77777777" w:rsidTr="00A152B0">
        <w:trPr>
          <w:trHeight w:val="340"/>
          <w:jc w:val="center"/>
        </w:trPr>
        <w:tc>
          <w:tcPr>
            <w:tcW w:w="887" w:type="pct"/>
            <w:tcBorders>
              <w:top w:val="single" w:sz="4" w:space="0" w:color="auto"/>
              <w:bottom w:val="single" w:sz="4" w:space="0" w:color="auto"/>
              <w:right w:val="single" w:sz="4" w:space="0" w:color="auto"/>
            </w:tcBorders>
            <w:vAlign w:val="center"/>
          </w:tcPr>
          <w:p w14:paraId="5D68BE13" w14:textId="77777777" w:rsidR="00E40A40" w:rsidRPr="00EA76AA" w:rsidRDefault="00E40A40" w:rsidP="00E96B20">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CFO</w:t>
            </w:r>
          </w:p>
        </w:tc>
        <w:tc>
          <w:tcPr>
            <w:tcW w:w="799" w:type="pct"/>
            <w:tcBorders>
              <w:top w:val="single" w:sz="4" w:space="0" w:color="auto"/>
              <w:left w:val="single" w:sz="4" w:space="0" w:color="auto"/>
              <w:bottom w:val="single" w:sz="4" w:space="0" w:color="auto"/>
            </w:tcBorders>
            <w:vAlign w:val="center"/>
          </w:tcPr>
          <w:p w14:paraId="1650D9DD" w14:textId="77777777" w:rsidR="00E40A40" w:rsidRPr="00EA76AA" w:rsidRDefault="00E40A40" w:rsidP="00E96B20">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0.843</w:t>
            </w:r>
          </w:p>
        </w:tc>
        <w:tc>
          <w:tcPr>
            <w:tcW w:w="799" w:type="pct"/>
            <w:tcBorders>
              <w:top w:val="single" w:sz="4" w:space="0" w:color="auto"/>
              <w:bottom w:val="single" w:sz="4" w:space="0" w:color="auto"/>
            </w:tcBorders>
            <w:vAlign w:val="center"/>
          </w:tcPr>
          <w:p w14:paraId="36C2A989" w14:textId="77777777" w:rsidR="00E40A40" w:rsidRPr="00EA76AA" w:rsidRDefault="00E40A40" w:rsidP="00E96B20">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0.790</w:t>
            </w:r>
          </w:p>
        </w:tc>
        <w:tc>
          <w:tcPr>
            <w:tcW w:w="686" w:type="pct"/>
            <w:tcBorders>
              <w:top w:val="single" w:sz="4" w:space="0" w:color="auto"/>
              <w:bottom w:val="single" w:sz="4" w:space="0" w:color="auto"/>
            </w:tcBorders>
            <w:vAlign w:val="center"/>
          </w:tcPr>
          <w:p w14:paraId="64EEB3BA" w14:textId="77777777" w:rsidR="00E40A40" w:rsidRPr="00EA76AA" w:rsidRDefault="00E40A40" w:rsidP="00E96B20">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0.206</w:t>
            </w:r>
          </w:p>
        </w:tc>
        <w:tc>
          <w:tcPr>
            <w:tcW w:w="571" w:type="pct"/>
            <w:tcBorders>
              <w:top w:val="single" w:sz="4" w:space="0" w:color="auto"/>
              <w:bottom w:val="single" w:sz="4" w:space="0" w:color="auto"/>
            </w:tcBorders>
            <w:vAlign w:val="center"/>
          </w:tcPr>
          <w:p w14:paraId="3471C0EF" w14:textId="77777777" w:rsidR="00E40A40" w:rsidRPr="00EA76AA" w:rsidRDefault="00E40A40" w:rsidP="00E96B20">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0.898</w:t>
            </w:r>
          </w:p>
        </w:tc>
        <w:tc>
          <w:tcPr>
            <w:tcW w:w="571" w:type="pct"/>
            <w:tcBorders>
              <w:top w:val="single" w:sz="4" w:space="0" w:color="auto"/>
              <w:bottom w:val="single" w:sz="4" w:space="0" w:color="auto"/>
            </w:tcBorders>
            <w:vAlign w:val="center"/>
          </w:tcPr>
          <w:p w14:paraId="0B036CEA" w14:textId="77777777" w:rsidR="00E40A40" w:rsidRPr="00EA76AA" w:rsidRDefault="00E40A40" w:rsidP="00E96B20">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0.643</w:t>
            </w:r>
          </w:p>
        </w:tc>
        <w:tc>
          <w:tcPr>
            <w:tcW w:w="686" w:type="pct"/>
            <w:tcBorders>
              <w:top w:val="single" w:sz="4" w:space="0" w:color="auto"/>
              <w:bottom w:val="single" w:sz="4" w:space="0" w:color="auto"/>
            </w:tcBorders>
            <w:vAlign w:val="center"/>
          </w:tcPr>
          <w:p w14:paraId="1D76098D" w14:textId="77777777" w:rsidR="00E40A40" w:rsidRPr="00EA76AA" w:rsidRDefault="00E40A40" w:rsidP="00E96B20">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0.757</w:t>
            </w:r>
          </w:p>
        </w:tc>
      </w:tr>
      <w:tr w:rsidR="007F15D8" w:rsidRPr="00EA76AA" w14:paraId="5AA419A7" w14:textId="77777777" w:rsidTr="00A152B0">
        <w:trPr>
          <w:trHeight w:val="340"/>
          <w:jc w:val="center"/>
        </w:trPr>
        <w:tc>
          <w:tcPr>
            <w:tcW w:w="887" w:type="pct"/>
            <w:tcBorders>
              <w:top w:val="single" w:sz="4" w:space="0" w:color="auto"/>
              <w:bottom w:val="single" w:sz="4" w:space="0" w:color="auto"/>
              <w:right w:val="single" w:sz="4" w:space="0" w:color="auto"/>
            </w:tcBorders>
            <w:vAlign w:val="center"/>
          </w:tcPr>
          <w:p w14:paraId="7DA28700" w14:textId="77777777" w:rsidR="00E40A40" w:rsidRPr="00EA76AA" w:rsidRDefault="00E40A40" w:rsidP="00E96B20">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SM</w:t>
            </w:r>
          </w:p>
        </w:tc>
        <w:tc>
          <w:tcPr>
            <w:tcW w:w="799" w:type="pct"/>
            <w:tcBorders>
              <w:top w:val="single" w:sz="4" w:space="0" w:color="auto"/>
              <w:left w:val="single" w:sz="4" w:space="0" w:color="auto"/>
              <w:bottom w:val="single" w:sz="4" w:space="0" w:color="auto"/>
            </w:tcBorders>
            <w:vAlign w:val="center"/>
          </w:tcPr>
          <w:p w14:paraId="5F22068E" w14:textId="77777777" w:rsidR="00E40A40" w:rsidRPr="00EA76AA" w:rsidRDefault="00E40A40" w:rsidP="00E96B20">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0.930</w:t>
            </w:r>
          </w:p>
        </w:tc>
        <w:tc>
          <w:tcPr>
            <w:tcW w:w="799" w:type="pct"/>
            <w:tcBorders>
              <w:top w:val="single" w:sz="4" w:space="0" w:color="auto"/>
              <w:bottom w:val="single" w:sz="4" w:space="0" w:color="auto"/>
            </w:tcBorders>
            <w:vAlign w:val="center"/>
          </w:tcPr>
          <w:p w14:paraId="376263A8" w14:textId="77777777" w:rsidR="00E40A40" w:rsidRPr="00EA76AA" w:rsidRDefault="00E40A40" w:rsidP="00E96B20">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0.934</w:t>
            </w:r>
          </w:p>
        </w:tc>
        <w:tc>
          <w:tcPr>
            <w:tcW w:w="686" w:type="pct"/>
            <w:tcBorders>
              <w:top w:val="single" w:sz="4" w:space="0" w:color="auto"/>
              <w:bottom w:val="single" w:sz="4" w:space="0" w:color="auto"/>
            </w:tcBorders>
            <w:vAlign w:val="center"/>
          </w:tcPr>
          <w:p w14:paraId="5495F75A" w14:textId="77777777" w:rsidR="00E40A40" w:rsidRPr="00EA76AA" w:rsidRDefault="00E40A40" w:rsidP="00E96B20">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2.67</w:t>
            </w:r>
          </w:p>
        </w:tc>
        <w:tc>
          <w:tcPr>
            <w:tcW w:w="571" w:type="pct"/>
            <w:tcBorders>
              <w:top w:val="single" w:sz="4" w:space="0" w:color="auto"/>
              <w:bottom w:val="single" w:sz="4" w:space="0" w:color="auto"/>
            </w:tcBorders>
            <w:vAlign w:val="center"/>
          </w:tcPr>
          <w:p w14:paraId="183F10F0" w14:textId="77777777" w:rsidR="00E40A40" w:rsidRPr="00EA76AA" w:rsidRDefault="00E40A40" w:rsidP="00E96B20">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0.802</w:t>
            </w:r>
          </w:p>
        </w:tc>
        <w:tc>
          <w:tcPr>
            <w:tcW w:w="571" w:type="pct"/>
            <w:tcBorders>
              <w:top w:val="single" w:sz="4" w:space="0" w:color="auto"/>
              <w:bottom w:val="single" w:sz="4" w:space="0" w:color="auto"/>
            </w:tcBorders>
            <w:vAlign w:val="center"/>
          </w:tcPr>
          <w:p w14:paraId="4679877A" w14:textId="77777777" w:rsidR="00E40A40" w:rsidRPr="00EA76AA" w:rsidRDefault="00E40A40" w:rsidP="00E96B20">
            <w:pPr>
              <w:jc w:val="center"/>
              <w:rPr>
                <w:rFonts w:ascii="Times New Roman" w:hAnsi="Times New Roman" w:cs="Times New Roman"/>
                <w:sz w:val="20"/>
                <w:szCs w:val="20"/>
              </w:rPr>
            </w:pPr>
            <w:r w:rsidRPr="00EA76AA">
              <w:rPr>
                <w:rFonts w:ascii="Times New Roman" w:hAnsi="Times New Roman" w:cs="Times New Roman"/>
                <w:sz w:val="20"/>
                <w:szCs w:val="20"/>
              </w:rPr>
              <w:t>1.134</w:t>
            </w:r>
          </w:p>
        </w:tc>
        <w:tc>
          <w:tcPr>
            <w:tcW w:w="686" w:type="pct"/>
            <w:tcBorders>
              <w:top w:val="single" w:sz="4" w:space="0" w:color="auto"/>
              <w:bottom w:val="single" w:sz="4" w:space="0" w:color="auto"/>
            </w:tcBorders>
            <w:vAlign w:val="center"/>
          </w:tcPr>
          <w:p w14:paraId="3F4F2751" w14:textId="77777777" w:rsidR="00E40A40" w:rsidRPr="00EA76AA" w:rsidRDefault="00E40A40" w:rsidP="00E96B20">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0.849</w:t>
            </w:r>
          </w:p>
        </w:tc>
      </w:tr>
    </w:tbl>
    <w:p w14:paraId="6FFC0337" w14:textId="77777777" w:rsidR="00E96B20" w:rsidRPr="00E96B20" w:rsidRDefault="00E96B20" w:rsidP="00E96B20">
      <w:pPr>
        <w:adjustRightInd w:val="0"/>
        <w:snapToGrid w:val="0"/>
        <w:spacing w:after="0" w:line="360" w:lineRule="exact"/>
        <w:ind w:firstLine="510"/>
        <w:jc w:val="both"/>
        <w:rPr>
          <w:rFonts w:ascii="Times New Roman" w:hAnsi="Times New Roman"/>
          <w:sz w:val="26"/>
          <w:szCs w:val="26"/>
        </w:rPr>
      </w:pPr>
    </w:p>
    <w:p w14:paraId="741705C4" w14:textId="02967453" w:rsidR="004F5D71" w:rsidRPr="00E96B20" w:rsidRDefault="003214CA" w:rsidP="00E96B20">
      <w:pPr>
        <w:adjustRightInd w:val="0"/>
        <w:snapToGrid w:val="0"/>
        <w:spacing w:after="0" w:line="360" w:lineRule="exact"/>
        <w:ind w:firstLine="510"/>
        <w:jc w:val="both"/>
        <w:rPr>
          <w:rFonts w:ascii="Times New Roman" w:hAnsi="Times New Roman"/>
          <w:sz w:val="26"/>
          <w:szCs w:val="26"/>
        </w:rPr>
      </w:pPr>
      <w:r w:rsidRPr="00E96B20">
        <w:rPr>
          <w:rFonts w:ascii="Times New Roman" w:hAnsi="Times New Roman"/>
          <w:sz w:val="26"/>
          <w:szCs w:val="26"/>
        </w:rPr>
        <w:t>T</w:t>
      </w:r>
      <w:r w:rsidR="003E42B4" w:rsidRPr="00E96B20">
        <w:rPr>
          <w:rFonts w:ascii="Times New Roman" w:hAnsi="Times New Roman"/>
          <w:sz w:val="26"/>
          <w:szCs w:val="26"/>
        </w:rPr>
        <w:t xml:space="preserve">he SD of smoothness in </w:t>
      </w:r>
      <w:r w:rsidR="00D1353F" w:rsidRPr="00E96B20">
        <w:rPr>
          <w:rFonts w:ascii="Times New Roman" w:hAnsi="Times New Roman"/>
          <w:sz w:val="26"/>
          <w:szCs w:val="26"/>
        </w:rPr>
        <w:t>Bahrain (0.802)</w:t>
      </w:r>
      <w:r w:rsidR="003E42B4" w:rsidRPr="00E96B20">
        <w:rPr>
          <w:rFonts w:ascii="Times New Roman" w:hAnsi="Times New Roman"/>
          <w:sz w:val="26"/>
          <w:szCs w:val="26"/>
        </w:rPr>
        <w:t xml:space="preserve"> is the lower one among the GCC countries</w:t>
      </w:r>
      <w:r w:rsidRPr="00E96B20">
        <w:rPr>
          <w:rFonts w:ascii="Times New Roman" w:hAnsi="Times New Roman"/>
          <w:sz w:val="26"/>
          <w:szCs w:val="26"/>
        </w:rPr>
        <w:t>, indicating that</w:t>
      </w:r>
      <w:r w:rsidR="003E42B4" w:rsidRPr="00E96B20">
        <w:rPr>
          <w:rFonts w:ascii="Times New Roman" w:hAnsi="Times New Roman"/>
          <w:sz w:val="26"/>
          <w:szCs w:val="26"/>
        </w:rPr>
        <w:t xml:space="preserve"> </w:t>
      </w:r>
      <w:r w:rsidR="006B1C85" w:rsidRPr="00E96B20">
        <w:rPr>
          <w:rFonts w:ascii="Times New Roman" w:hAnsi="Times New Roman"/>
          <w:sz w:val="26"/>
          <w:szCs w:val="26"/>
        </w:rPr>
        <w:t>EQ</w:t>
      </w:r>
      <w:r w:rsidR="003E42B4" w:rsidRPr="00E96B20">
        <w:rPr>
          <w:rFonts w:ascii="Times New Roman" w:hAnsi="Times New Roman"/>
          <w:sz w:val="26"/>
          <w:szCs w:val="26"/>
        </w:rPr>
        <w:t xml:space="preserve"> is good</w:t>
      </w:r>
      <w:r w:rsidRPr="00E96B20">
        <w:rPr>
          <w:rFonts w:ascii="Times New Roman" w:hAnsi="Times New Roman"/>
          <w:sz w:val="26"/>
          <w:szCs w:val="26"/>
        </w:rPr>
        <w:t>.</w:t>
      </w:r>
      <w:r w:rsidR="003E42B4" w:rsidRPr="00E96B20">
        <w:rPr>
          <w:rFonts w:ascii="Times New Roman" w:hAnsi="Times New Roman"/>
          <w:sz w:val="26"/>
          <w:szCs w:val="26"/>
        </w:rPr>
        <w:t xml:space="preserve"> </w:t>
      </w:r>
      <w:r w:rsidRPr="00E96B20">
        <w:rPr>
          <w:rFonts w:ascii="Times New Roman" w:hAnsi="Times New Roman"/>
          <w:sz w:val="26"/>
          <w:szCs w:val="26"/>
        </w:rPr>
        <w:t>T</w:t>
      </w:r>
      <w:r w:rsidR="003E42B4" w:rsidRPr="00E96B20">
        <w:rPr>
          <w:rFonts w:ascii="Times New Roman" w:hAnsi="Times New Roman"/>
          <w:sz w:val="26"/>
          <w:szCs w:val="26"/>
        </w:rPr>
        <w:t>he highest SD of smoothness is found in Qatar</w:t>
      </w:r>
      <w:r w:rsidRPr="00E96B20">
        <w:rPr>
          <w:rFonts w:ascii="Times New Roman" w:hAnsi="Times New Roman"/>
          <w:sz w:val="26"/>
          <w:szCs w:val="26"/>
        </w:rPr>
        <w:t>,</w:t>
      </w:r>
      <w:r w:rsidR="003E42B4" w:rsidRPr="00E96B20">
        <w:rPr>
          <w:rFonts w:ascii="Times New Roman" w:hAnsi="Times New Roman"/>
          <w:sz w:val="26"/>
          <w:szCs w:val="26"/>
        </w:rPr>
        <w:t xml:space="preserve"> indicating </w:t>
      </w:r>
      <w:r w:rsidR="00C000DC" w:rsidRPr="00E96B20">
        <w:rPr>
          <w:rFonts w:ascii="Times New Roman" w:hAnsi="Times New Roman"/>
          <w:sz w:val="26"/>
          <w:szCs w:val="26"/>
        </w:rPr>
        <w:t>lower</w:t>
      </w:r>
      <w:r w:rsidR="003E42B4" w:rsidRPr="00E96B20">
        <w:rPr>
          <w:rFonts w:ascii="Times New Roman" w:hAnsi="Times New Roman"/>
          <w:sz w:val="26"/>
          <w:szCs w:val="26"/>
        </w:rPr>
        <w:t xml:space="preserve"> </w:t>
      </w:r>
      <w:r w:rsidR="006B1C85" w:rsidRPr="00E96B20">
        <w:rPr>
          <w:rFonts w:ascii="Times New Roman" w:hAnsi="Times New Roman"/>
          <w:sz w:val="26"/>
          <w:szCs w:val="26"/>
        </w:rPr>
        <w:t>EQ</w:t>
      </w:r>
      <w:r w:rsidR="003E42B4" w:rsidRPr="00E96B20">
        <w:rPr>
          <w:rFonts w:ascii="Times New Roman" w:hAnsi="Times New Roman"/>
          <w:sz w:val="26"/>
          <w:szCs w:val="26"/>
        </w:rPr>
        <w:t xml:space="preserve">. </w:t>
      </w:r>
    </w:p>
    <w:p w14:paraId="324518BB" w14:textId="1FB99D46" w:rsidR="00D717B9" w:rsidRPr="00E96B20" w:rsidRDefault="003214CA" w:rsidP="00E96B20">
      <w:pPr>
        <w:adjustRightInd w:val="0"/>
        <w:snapToGrid w:val="0"/>
        <w:spacing w:after="0" w:line="360" w:lineRule="exact"/>
        <w:ind w:firstLine="510"/>
        <w:jc w:val="both"/>
        <w:rPr>
          <w:rFonts w:ascii="Times New Roman" w:hAnsi="Times New Roman"/>
          <w:sz w:val="26"/>
          <w:szCs w:val="26"/>
        </w:rPr>
      </w:pPr>
      <w:r w:rsidRPr="00E96B20">
        <w:rPr>
          <w:rFonts w:ascii="Times New Roman" w:hAnsi="Times New Roman"/>
          <w:sz w:val="26"/>
          <w:szCs w:val="26"/>
        </w:rPr>
        <w:t>Although</w:t>
      </w:r>
      <w:r w:rsidR="00C000DC" w:rsidRPr="00E96B20">
        <w:rPr>
          <w:rFonts w:ascii="Times New Roman" w:hAnsi="Times New Roman"/>
          <w:sz w:val="26"/>
          <w:szCs w:val="26"/>
        </w:rPr>
        <w:t xml:space="preserve"> earnings smoothness </w:t>
      </w:r>
      <w:r w:rsidRPr="00E96B20">
        <w:rPr>
          <w:rFonts w:ascii="Times New Roman" w:hAnsi="Times New Roman"/>
          <w:sz w:val="26"/>
          <w:szCs w:val="26"/>
        </w:rPr>
        <w:t xml:space="preserve">is </w:t>
      </w:r>
      <w:r w:rsidR="00C000DC" w:rsidRPr="00E96B20">
        <w:rPr>
          <w:rFonts w:ascii="Times New Roman" w:hAnsi="Times New Roman"/>
          <w:sz w:val="26"/>
          <w:szCs w:val="26"/>
        </w:rPr>
        <w:t xml:space="preserve">discussed in relation </w:t>
      </w:r>
      <w:r w:rsidR="00493F85">
        <w:rPr>
          <w:rFonts w:ascii="Times New Roman" w:hAnsi="Times New Roman"/>
          <w:sz w:val="26"/>
          <w:szCs w:val="26"/>
        </w:rPr>
        <w:t>to</w:t>
      </w:r>
      <w:r w:rsidR="00493F85" w:rsidRPr="00E96B20">
        <w:rPr>
          <w:rFonts w:ascii="Times New Roman" w:hAnsi="Times New Roman"/>
          <w:sz w:val="26"/>
          <w:szCs w:val="26"/>
        </w:rPr>
        <w:t xml:space="preserve"> </w:t>
      </w:r>
      <w:r w:rsidR="00C000DC" w:rsidRPr="00E96B20">
        <w:rPr>
          <w:rFonts w:ascii="Times New Roman" w:hAnsi="Times New Roman"/>
          <w:sz w:val="26"/>
          <w:szCs w:val="26"/>
        </w:rPr>
        <w:t>many variable</w:t>
      </w:r>
      <w:r w:rsidR="000362EF" w:rsidRPr="00E96B20">
        <w:rPr>
          <w:rFonts w:ascii="Times New Roman" w:hAnsi="Times New Roman"/>
          <w:sz w:val="26"/>
          <w:szCs w:val="26"/>
        </w:rPr>
        <w:t>s</w:t>
      </w:r>
      <w:r w:rsidR="00C000DC" w:rsidRPr="00E96B20">
        <w:rPr>
          <w:rFonts w:ascii="Times New Roman" w:hAnsi="Times New Roman"/>
          <w:sz w:val="26"/>
          <w:szCs w:val="26"/>
        </w:rPr>
        <w:t xml:space="preserve"> such as earning management</w:t>
      </w:r>
      <w:r w:rsidR="003E6B5C" w:rsidRPr="00E96B20">
        <w:rPr>
          <w:rFonts w:ascii="Times New Roman" w:hAnsi="Times New Roman"/>
          <w:sz w:val="26"/>
          <w:szCs w:val="26"/>
        </w:rPr>
        <w:t xml:space="preserve"> (</w:t>
      </w:r>
      <w:proofErr w:type="spellStart"/>
      <w:r w:rsidR="003E6B5C" w:rsidRPr="00E96B20">
        <w:rPr>
          <w:rFonts w:ascii="Times New Roman" w:hAnsi="Times New Roman"/>
          <w:sz w:val="26"/>
          <w:szCs w:val="26"/>
        </w:rPr>
        <w:t>Aflatooni</w:t>
      </w:r>
      <w:proofErr w:type="spellEnd"/>
      <w:r w:rsidR="003E6B5C" w:rsidRPr="00E96B20">
        <w:rPr>
          <w:rFonts w:ascii="Times New Roman" w:hAnsi="Times New Roman"/>
          <w:sz w:val="26"/>
          <w:szCs w:val="26"/>
        </w:rPr>
        <w:t xml:space="preserve"> </w:t>
      </w:r>
      <w:r w:rsidR="00493F85">
        <w:rPr>
          <w:rFonts w:ascii="Times New Roman" w:hAnsi="Times New Roman"/>
          <w:sz w:val="26"/>
          <w:szCs w:val="26"/>
        </w:rPr>
        <w:t>&amp;</w:t>
      </w:r>
      <w:r w:rsidR="00493F85" w:rsidRPr="00E96B20">
        <w:rPr>
          <w:rFonts w:ascii="Times New Roman" w:hAnsi="Times New Roman"/>
          <w:sz w:val="26"/>
          <w:szCs w:val="26"/>
        </w:rPr>
        <w:t xml:space="preserve"> </w:t>
      </w:r>
      <w:proofErr w:type="spellStart"/>
      <w:r w:rsidR="003E6B5C" w:rsidRPr="00E96B20">
        <w:rPr>
          <w:rFonts w:ascii="Times New Roman" w:hAnsi="Times New Roman"/>
          <w:sz w:val="26"/>
          <w:szCs w:val="26"/>
        </w:rPr>
        <w:t>Nikbakht</w:t>
      </w:r>
      <w:proofErr w:type="spellEnd"/>
      <w:r w:rsidR="00C000DC" w:rsidRPr="00E96B20">
        <w:rPr>
          <w:rFonts w:ascii="Times New Roman" w:hAnsi="Times New Roman"/>
          <w:sz w:val="26"/>
          <w:szCs w:val="26"/>
        </w:rPr>
        <w:t>,</w:t>
      </w:r>
      <w:r w:rsidR="003E6B5C" w:rsidRPr="00E96B20">
        <w:rPr>
          <w:rFonts w:ascii="Times New Roman" w:hAnsi="Times New Roman"/>
          <w:sz w:val="26"/>
          <w:szCs w:val="26"/>
        </w:rPr>
        <w:t xml:space="preserve"> 2010)</w:t>
      </w:r>
      <w:r w:rsidRPr="00E96B20">
        <w:rPr>
          <w:rFonts w:ascii="Times New Roman" w:hAnsi="Times New Roman"/>
          <w:sz w:val="26"/>
          <w:szCs w:val="26"/>
        </w:rPr>
        <w:t>,</w:t>
      </w:r>
      <w:r w:rsidR="00C000DC" w:rsidRPr="00E96B20">
        <w:rPr>
          <w:rFonts w:ascii="Times New Roman" w:hAnsi="Times New Roman"/>
          <w:sz w:val="26"/>
          <w:szCs w:val="26"/>
        </w:rPr>
        <w:t xml:space="preserve"> firm value (</w:t>
      </w:r>
      <w:proofErr w:type="spellStart"/>
      <w:r w:rsidR="00C000DC" w:rsidRPr="00E96B20">
        <w:rPr>
          <w:rFonts w:ascii="Times New Roman" w:hAnsi="Times New Roman"/>
          <w:sz w:val="26"/>
          <w:szCs w:val="26"/>
        </w:rPr>
        <w:t>Allayannis</w:t>
      </w:r>
      <w:proofErr w:type="spellEnd"/>
      <w:r w:rsidR="00C000DC" w:rsidRPr="00E96B20">
        <w:rPr>
          <w:rFonts w:ascii="Times New Roman" w:hAnsi="Times New Roman"/>
          <w:sz w:val="26"/>
          <w:szCs w:val="26"/>
        </w:rPr>
        <w:t xml:space="preserve"> </w:t>
      </w:r>
      <w:r w:rsidR="007875AD">
        <w:rPr>
          <w:rFonts w:ascii="Times New Roman" w:hAnsi="Times New Roman"/>
          <w:sz w:val="26"/>
          <w:szCs w:val="26"/>
        </w:rPr>
        <w:t xml:space="preserve">&amp; </w:t>
      </w:r>
      <w:proofErr w:type="spellStart"/>
      <w:r w:rsidR="00C000DC" w:rsidRPr="00E96B20">
        <w:rPr>
          <w:rFonts w:ascii="Times New Roman" w:hAnsi="Times New Roman"/>
          <w:sz w:val="26"/>
          <w:szCs w:val="26"/>
        </w:rPr>
        <w:t>Simko</w:t>
      </w:r>
      <w:proofErr w:type="spellEnd"/>
      <w:r w:rsidR="00C000DC" w:rsidRPr="00E96B20">
        <w:rPr>
          <w:rFonts w:ascii="Times New Roman" w:hAnsi="Times New Roman"/>
          <w:sz w:val="26"/>
          <w:szCs w:val="26"/>
        </w:rPr>
        <w:t>, 2009)</w:t>
      </w:r>
      <w:r w:rsidRPr="00E96B20">
        <w:rPr>
          <w:rFonts w:ascii="Times New Roman" w:hAnsi="Times New Roman"/>
          <w:sz w:val="26"/>
          <w:szCs w:val="26"/>
        </w:rPr>
        <w:t>,</w:t>
      </w:r>
      <w:r w:rsidR="000362EF" w:rsidRPr="00E96B20">
        <w:rPr>
          <w:rFonts w:ascii="Times New Roman" w:hAnsi="Times New Roman"/>
          <w:sz w:val="26"/>
          <w:szCs w:val="26"/>
        </w:rPr>
        <w:t xml:space="preserve"> earnings informativeness </w:t>
      </w:r>
      <w:r w:rsidR="009B35EB" w:rsidRPr="00E96B20">
        <w:rPr>
          <w:rFonts w:ascii="Times New Roman" w:hAnsi="Times New Roman"/>
          <w:sz w:val="26"/>
          <w:szCs w:val="26"/>
        </w:rPr>
        <w:t xml:space="preserve">(Cheng </w:t>
      </w:r>
      <w:r w:rsidR="007875AD">
        <w:rPr>
          <w:rFonts w:ascii="Times New Roman" w:hAnsi="Times New Roman"/>
          <w:sz w:val="26"/>
          <w:szCs w:val="26"/>
        </w:rPr>
        <w:t xml:space="preserve">&amp; </w:t>
      </w:r>
      <w:r w:rsidR="009B35EB" w:rsidRPr="00E96B20">
        <w:rPr>
          <w:rFonts w:ascii="Times New Roman" w:hAnsi="Times New Roman"/>
          <w:sz w:val="26"/>
          <w:szCs w:val="26"/>
        </w:rPr>
        <w:t>Li</w:t>
      </w:r>
      <w:r w:rsidR="009B35EB" w:rsidRPr="00E96B20">
        <w:rPr>
          <w:rFonts w:ascii="Times New Roman" w:hAnsi="Times New Roman" w:cs="Times New Roman"/>
          <w:sz w:val="26"/>
          <w:szCs w:val="26"/>
        </w:rPr>
        <w:t>,</w:t>
      </w:r>
      <w:r w:rsidR="000362EF" w:rsidRPr="00E96B20">
        <w:rPr>
          <w:rFonts w:ascii="Times New Roman" w:hAnsi="Times New Roman"/>
          <w:sz w:val="26"/>
          <w:szCs w:val="26"/>
        </w:rPr>
        <w:t xml:space="preserve"> 2014)</w:t>
      </w:r>
      <w:r w:rsidR="00493F85">
        <w:rPr>
          <w:rFonts w:ascii="Times New Roman" w:hAnsi="Times New Roman"/>
          <w:sz w:val="26"/>
          <w:szCs w:val="26"/>
        </w:rPr>
        <w:t>,</w:t>
      </w:r>
      <w:r w:rsidR="000362EF" w:rsidRPr="00E96B20">
        <w:rPr>
          <w:rFonts w:ascii="Times New Roman" w:hAnsi="Times New Roman"/>
          <w:sz w:val="26"/>
          <w:szCs w:val="26"/>
        </w:rPr>
        <w:t xml:space="preserve"> and stock price (</w:t>
      </w:r>
      <w:proofErr w:type="spellStart"/>
      <w:r w:rsidR="000362EF" w:rsidRPr="00E96B20">
        <w:rPr>
          <w:rFonts w:ascii="Times New Roman" w:hAnsi="Times New Roman"/>
          <w:sz w:val="26"/>
          <w:szCs w:val="26"/>
        </w:rPr>
        <w:t>Lyimo</w:t>
      </w:r>
      <w:proofErr w:type="spellEnd"/>
      <w:r w:rsidR="000362EF" w:rsidRPr="00E96B20">
        <w:rPr>
          <w:rFonts w:ascii="Times New Roman" w:hAnsi="Times New Roman"/>
          <w:sz w:val="26"/>
          <w:szCs w:val="26"/>
        </w:rPr>
        <w:t>, 2014)</w:t>
      </w:r>
      <w:r w:rsidR="004B3A24" w:rsidRPr="00E96B20">
        <w:rPr>
          <w:rFonts w:ascii="Times New Roman" w:hAnsi="Times New Roman"/>
          <w:sz w:val="26"/>
          <w:szCs w:val="26"/>
        </w:rPr>
        <w:t xml:space="preserve">, there </w:t>
      </w:r>
      <w:r w:rsidR="00961CD4" w:rsidRPr="00E96B20">
        <w:rPr>
          <w:rFonts w:ascii="Times New Roman" w:hAnsi="Times New Roman"/>
          <w:sz w:val="26"/>
          <w:szCs w:val="26"/>
        </w:rPr>
        <w:t>is limited</w:t>
      </w:r>
      <w:r w:rsidR="004B3A24" w:rsidRPr="00E96B20">
        <w:rPr>
          <w:rFonts w:ascii="Times New Roman" w:hAnsi="Times New Roman"/>
          <w:sz w:val="26"/>
          <w:szCs w:val="26"/>
        </w:rPr>
        <w:t xml:space="preserve"> evidence that smoothness practices are </w:t>
      </w:r>
      <w:r w:rsidR="00A643BD" w:rsidRPr="00E96B20">
        <w:rPr>
          <w:rFonts w:ascii="Times New Roman" w:hAnsi="Times New Roman"/>
          <w:sz w:val="26"/>
          <w:szCs w:val="26"/>
        </w:rPr>
        <w:t xml:space="preserve">either </w:t>
      </w:r>
      <w:r w:rsidR="00F92EAE" w:rsidRPr="00E96B20">
        <w:rPr>
          <w:rFonts w:ascii="Times New Roman" w:hAnsi="Times New Roman"/>
          <w:sz w:val="26"/>
          <w:szCs w:val="26"/>
        </w:rPr>
        <w:t xml:space="preserve">desirable </w:t>
      </w:r>
      <w:r w:rsidR="00961CD4" w:rsidRPr="00E96B20">
        <w:rPr>
          <w:rFonts w:ascii="Times New Roman" w:hAnsi="Times New Roman"/>
          <w:sz w:val="26"/>
          <w:szCs w:val="26"/>
        </w:rPr>
        <w:t xml:space="preserve">or </w:t>
      </w:r>
      <w:r w:rsidR="00F92EAE" w:rsidRPr="00E96B20">
        <w:rPr>
          <w:rFonts w:ascii="Times New Roman" w:hAnsi="Times New Roman"/>
          <w:sz w:val="26"/>
          <w:szCs w:val="26"/>
        </w:rPr>
        <w:t>not</w:t>
      </w:r>
      <w:r w:rsidR="000362EF" w:rsidRPr="00E96B20">
        <w:rPr>
          <w:rFonts w:ascii="Times New Roman" w:hAnsi="Times New Roman"/>
          <w:sz w:val="26"/>
          <w:szCs w:val="26"/>
        </w:rPr>
        <w:t xml:space="preserve"> in GCC</w:t>
      </w:r>
      <w:r w:rsidRPr="00E96B20">
        <w:rPr>
          <w:rFonts w:ascii="Times New Roman" w:hAnsi="Times New Roman"/>
          <w:sz w:val="26"/>
          <w:szCs w:val="26"/>
        </w:rPr>
        <w:t xml:space="preserve"> countries</w:t>
      </w:r>
      <w:r w:rsidR="004B3A24" w:rsidRPr="00E96B20">
        <w:rPr>
          <w:rFonts w:ascii="Times New Roman" w:hAnsi="Times New Roman"/>
          <w:sz w:val="26"/>
          <w:szCs w:val="26"/>
        </w:rPr>
        <w:t xml:space="preserve">. For example, </w:t>
      </w:r>
      <w:proofErr w:type="spellStart"/>
      <w:r w:rsidR="00AB3D06" w:rsidRPr="00E96B20">
        <w:rPr>
          <w:rFonts w:ascii="Times New Roman" w:hAnsi="Times New Roman"/>
          <w:sz w:val="26"/>
          <w:szCs w:val="26"/>
        </w:rPr>
        <w:t>Shubita</w:t>
      </w:r>
      <w:proofErr w:type="spellEnd"/>
      <w:r w:rsidR="00AB3D06" w:rsidRPr="00E96B20">
        <w:rPr>
          <w:rFonts w:ascii="Times New Roman" w:hAnsi="Times New Roman"/>
          <w:sz w:val="26"/>
          <w:szCs w:val="26"/>
        </w:rPr>
        <w:t xml:space="preserve"> (2015) found that income smoothing improves </w:t>
      </w:r>
      <w:r w:rsidR="006B1C85" w:rsidRPr="00E96B20">
        <w:rPr>
          <w:rFonts w:ascii="Times New Roman" w:hAnsi="Times New Roman"/>
          <w:sz w:val="26"/>
          <w:szCs w:val="26"/>
        </w:rPr>
        <w:t>EQ</w:t>
      </w:r>
      <w:r w:rsidRPr="00E96B20">
        <w:rPr>
          <w:rFonts w:ascii="Times New Roman" w:hAnsi="Times New Roman"/>
          <w:sz w:val="26"/>
          <w:szCs w:val="26"/>
        </w:rPr>
        <w:t>,</w:t>
      </w:r>
      <w:r w:rsidR="00A643BD" w:rsidRPr="00E96B20">
        <w:rPr>
          <w:rFonts w:ascii="Times New Roman" w:hAnsi="Times New Roman"/>
          <w:sz w:val="26"/>
          <w:szCs w:val="26"/>
        </w:rPr>
        <w:t xml:space="preserve"> but we did not find any reversed evidence against this association.</w:t>
      </w:r>
      <w:r w:rsidR="00F90346" w:rsidRPr="00E96B20">
        <w:rPr>
          <w:rFonts w:ascii="Times New Roman" w:hAnsi="Times New Roman"/>
          <w:sz w:val="26"/>
          <w:szCs w:val="26"/>
        </w:rPr>
        <w:t xml:space="preserve"> </w:t>
      </w:r>
      <w:r w:rsidR="00D6200A" w:rsidRPr="00E96B20">
        <w:rPr>
          <w:rFonts w:ascii="Times New Roman" w:hAnsi="Times New Roman"/>
          <w:sz w:val="26"/>
          <w:szCs w:val="26"/>
        </w:rPr>
        <w:t xml:space="preserve">The interpretation of </w:t>
      </w:r>
      <w:r w:rsidR="00493F85">
        <w:rPr>
          <w:rFonts w:ascii="Times New Roman" w:hAnsi="Times New Roman"/>
          <w:sz w:val="26"/>
          <w:szCs w:val="26"/>
        </w:rPr>
        <w:t xml:space="preserve">a </w:t>
      </w:r>
      <w:r w:rsidR="00D6200A" w:rsidRPr="00E96B20">
        <w:rPr>
          <w:rFonts w:ascii="Times New Roman" w:hAnsi="Times New Roman"/>
          <w:sz w:val="26"/>
          <w:szCs w:val="26"/>
        </w:rPr>
        <w:t xml:space="preserve">higher degree of smoothness is </w:t>
      </w:r>
      <w:r w:rsidR="008C2EEC" w:rsidRPr="00E96B20">
        <w:rPr>
          <w:rFonts w:ascii="Times New Roman" w:hAnsi="Times New Roman"/>
          <w:sz w:val="26"/>
          <w:szCs w:val="26"/>
        </w:rPr>
        <w:t xml:space="preserve">that the </w:t>
      </w:r>
      <w:r w:rsidR="00450B83" w:rsidRPr="00E96B20">
        <w:rPr>
          <w:rFonts w:ascii="Times New Roman" w:hAnsi="Times New Roman"/>
          <w:sz w:val="26"/>
          <w:szCs w:val="26"/>
        </w:rPr>
        <w:t xml:space="preserve">managers </w:t>
      </w:r>
      <w:r w:rsidR="00B37C84" w:rsidRPr="00E96B20">
        <w:rPr>
          <w:rFonts w:ascii="Times New Roman" w:hAnsi="Times New Roman"/>
          <w:sz w:val="26"/>
          <w:szCs w:val="26"/>
        </w:rPr>
        <w:t xml:space="preserve">in GCC firms </w:t>
      </w:r>
      <w:r w:rsidR="00450B83" w:rsidRPr="00E96B20">
        <w:rPr>
          <w:rFonts w:ascii="Times New Roman" w:hAnsi="Times New Roman"/>
          <w:sz w:val="26"/>
          <w:szCs w:val="26"/>
        </w:rPr>
        <w:t xml:space="preserve">exercise the practices of </w:t>
      </w:r>
      <w:r w:rsidR="003E6B5C" w:rsidRPr="00E96B20">
        <w:rPr>
          <w:rFonts w:ascii="Times New Roman" w:hAnsi="Times New Roman"/>
          <w:sz w:val="26"/>
          <w:szCs w:val="26"/>
        </w:rPr>
        <w:t>earnings smoothness</w:t>
      </w:r>
      <w:r w:rsidR="00450B83" w:rsidRPr="00E96B20">
        <w:rPr>
          <w:rFonts w:ascii="Times New Roman" w:hAnsi="Times New Roman"/>
          <w:sz w:val="26"/>
          <w:szCs w:val="26"/>
        </w:rPr>
        <w:t xml:space="preserve"> to </w:t>
      </w:r>
      <w:r w:rsidR="004B2212" w:rsidRPr="00E96B20">
        <w:rPr>
          <w:rFonts w:ascii="Times New Roman" w:hAnsi="Times New Roman"/>
          <w:sz w:val="26"/>
          <w:szCs w:val="26"/>
        </w:rPr>
        <w:t>reduce the fluctuations in earnings</w:t>
      </w:r>
      <w:r w:rsidRPr="00E96B20">
        <w:rPr>
          <w:rFonts w:ascii="Times New Roman" w:hAnsi="Times New Roman"/>
          <w:sz w:val="26"/>
          <w:szCs w:val="26"/>
        </w:rPr>
        <w:t>.</w:t>
      </w:r>
      <w:r w:rsidR="004B2212" w:rsidRPr="00E96B20">
        <w:rPr>
          <w:rFonts w:ascii="Times New Roman" w:hAnsi="Times New Roman"/>
          <w:sz w:val="26"/>
          <w:szCs w:val="26"/>
        </w:rPr>
        <w:t xml:space="preserve"> </w:t>
      </w:r>
      <w:r w:rsidRPr="00E96B20">
        <w:rPr>
          <w:rFonts w:ascii="Times New Roman" w:hAnsi="Times New Roman"/>
          <w:sz w:val="26"/>
          <w:szCs w:val="26"/>
        </w:rPr>
        <w:t xml:space="preserve">However, </w:t>
      </w:r>
      <w:r w:rsidR="00450B83" w:rsidRPr="00E96B20">
        <w:rPr>
          <w:rFonts w:ascii="Times New Roman" w:hAnsi="Times New Roman"/>
          <w:sz w:val="26"/>
          <w:szCs w:val="26"/>
        </w:rPr>
        <w:t>this result</w:t>
      </w:r>
      <w:r w:rsidR="00D6200A" w:rsidRPr="00E96B20">
        <w:rPr>
          <w:rFonts w:ascii="Times New Roman" w:hAnsi="Times New Roman"/>
          <w:sz w:val="26"/>
          <w:szCs w:val="26"/>
        </w:rPr>
        <w:t xml:space="preserve"> leads</w:t>
      </w:r>
      <w:r w:rsidR="00450B83" w:rsidRPr="00E96B20">
        <w:rPr>
          <w:rFonts w:ascii="Times New Roman" w:hAnsi="Times New Roman"/>
          <w:sz w:val="26"/>
          <w:szCs w:val="26"/>
        </w:rPr>
        <w:t xml:space="preserve"> to </w:t>
      </w:r>
      <w:r w:rsidR="00493F85">
        <w:rPr>
          <w:rFonts w:ascii="Times New Roman" w:hAnsi="Times New Roman"/>
          <w:sz w:val="26"/>
          <w:szCs w:val="26"/>
        </w:rPr>
        <w:t xml:space="preserve">an </w:t>
      </w:r>
      <w:r w:rsidR="00450B83" w:rsidRPr="00E96B20">
        <w:rPr>
          <w:rFonts w:ascii="Times New Roman" w:hAnsi="Times New Roman"/>
          <w:sz w:val="26"/>
          <w:szCs w:val="26"/>
        </w:rPr>
        <w:t>increase</w:t>
      </w:r>
      <w:r w:rsidRPr="00E96B20">
        <w:rPr>
          <w:rFonts w:ascii="Times New Roman" w:hAnsi="Times New Roman"/>
          <w:sz w:val="26"/>
          <w:szCs w:val="26"/>
        </w:rPr>
        <w:t>d</w:t>
      </w:r>
      <w:r w:rsidR="00450B83" w:rsidRPr="00E96B20">
        <w:rPr>
          <w:rFonts w:ascii="Times New Roman" w:hAnsi="Times New Roman"/>
          <w:sz w:val="26"/>
          <w:szCs w:val="26"/>
        </w:rPr>
        <w:t xml:space="preserve"> degree of smoothness</w:t>
      </w:r>
      <w:r w:rsidRPr="00E96B20">
        <w:rPr>
          <w:rFonts w:ascii="Times New Roman" w:hAnsi="Times New Roman"/>
          <w:sz w:val="26"/>
          <w:szCs w:val="26"/>
        </w:rPr>
        <w:t>,</w:t>
      </w:r>
      <w:r w:rsidR="00450B83" w:rsidRPr="00E96B20">
        <w:rPr>
          <w:rFonts w:ascii="Times New Roman" w:hAnsi="Times New Roman"/>
          <w:sz w:val="26"/>
          <w:szCs w:val="26"/>
        </w:rPr>
        <w:t xml:space="preserve"> which make</w:t>
      </w:r>
      <w:r w:rsidRPr="00E96B20">
        <w:rPr>
          <w:rFonts w:ascii="Times New Roman" w:hAnsi="Times New Roman"/>
          <w:sz w:val="26"/>
          <w:szCs w:val="26"/>
        </w:rPr>
        <w:t>s</w:t>
      </w:r>
      <w:r w:rsidR="00450B83" w:rsidRPr="00E96B20">
        <w:rPr>
          <w:rFonts w:ascii="Times New Roman" w:hAnsi="Times New Roman"/>
          <w:sz w:val="26"/>
          <w:szCs w:val="26"/>
        </w:rPr>
        <w:t xml:space="preserve"> </w:t>
      </w:r>
      <w:r w:rsidR="00D5410E" w:rsidRPr="00E96B20">
        <w:rPr>
          <w:rFonts w:ascii="Times New Roman" w:hAnsi="Times New Roman"/>
          <w:sz w:val="26"/>
          <w:szCs w:val="26"/>
        </w:rPr>
        <w:t xml:space="preserve">the </w:t>
      </w:r>
      <w:r w:rsidR="00DD7E5E" w:rsidRPr="00E96B20">
        <w:rPr>
          <w:rFonts w:ascii="Times New Roman" w:hAnsi="Times New Roman"/>
          <w:sz w:val="26"/>
          <w:szCs w:val="26"/>
        </w:rPr>
        <w:t>SD high</w:t>
      </w:r>
      <w:r w:rsidRPr="00E96B20">
        <w:rPr>
          <w:rFonts w:ascii="Times New Roman" w:hAnsi="Times New Roman"/>
          <w:sz w:val="26"/>
          <w:szCs w:val="26"/>
        </w:rPr>
        <w:t>.</w:t>
      </w:r>
      <w:r w:rsidR="00DD7E5E" w:rsidRPr="00E96B20">
        <w:rPr>
          <w:rFonts w:ascii="Times New Roman" w:hAnsi="Times New Roman"/>
          <w:sz w:val="26"/>
          <w:szCs w:val="26"/>
        </w:rPr>
        <w:t xml:space="preserve"> </w:t>
      </w:r>
      <w:r w:rsidRPr="00E96B20">
        <w:rPr>
          <w:rFonts w:ascii="Times New Roman" w:hAnsi="Times New Roman"/>
          <w:sz w:val="26"/>
          <w:szCs w:val="26"/>
        </w:rPr>
        <w:t>T</w:t>
      </w:r>
      <w:r w:rsidR="00DD7E5E" w:rsidRPr="00E96B20">
        <w:rPr>
          <w:rFonts w:ascii="Times New Roman" w:hAnsi="Times New Roman"/>
          <w:sz w:val="26"/>
          <w:szCs w:val="26"/>
        </w:rPr>
        <w:t xml:space="preserve">his proxy of </w:t>
      </w:r>
      <w:r w:rsidR="006B1C85" w:rsidRPr="00E96B20">
        <w:rPr>
          <w:rFonts w:ascii="Times New Roman" w:hAnsi="Times New Roman"/>
          <w:sz w:val="26"/>
          <w:szCs w:val="26"/>
        </w:rPr>
        <w:t>EQ</w:t>
      </w:r>
      <w:r w:rsidR="00DD7E5E" w:rsidRPr="00E96B20">
        <w:rPr>
          <w:rFonts w:ascii="Times New Roman" w:hAnsi="Times New Roman"/>
          <w:sz w:val="26"/>
          <w:szCs w:val="26"/>
        </w:rPr>
        <w:t xml:space="preserve"> </w:t>
      </w:r>
      <w:r w:rsidRPr="00E96B20">
        <w:rPr>
          <w:rFonts w:ascii="Times New Roman" w:hAnsi="Times New Roman"/>
          <w:sz w:val="26"/>
          <w:szCs w:val="26"/>
        </w:rPr>
        <w:t xml:space="preserve">is </w:t>
      </w:r>
      <w:r w:rsidR="00DD7E5E" w:rsidRPr="00E96B20">
        <w:rPr>
          <w:rFonts w:ascii="Times New Roman" w:hAnsi="Times New Roman"/>
          <w:sz w:val="26"/>
          <w:szCs w:val="26"/>
        </w:rPr>
        <w:t>le</w:t>
      </w:r>
      <w:r w:rsidR="00D6200A" w:rsidRPr="00E96B20">
        <w:rPr>
          <w:rFonts w:ascii="Times New Roman" w:hAnsi="Times New Roman"/>
          <w:sz w:val="26"/>
          <w:szCs w:val="26"/>
        </w:rPr>
        <w:t xml:space="preserve">ss useful for stakeholders because </w:t>
      </w:r>
      <w:r w:rsidRPr="00E96B20">
        <w:rPr>
          <w:rFonts w:ascii="Times New Roman" w:hAnsi="Times New Roman"/>
          <w:sz w:val="26"/>
          <w:szCs w:val="26"/>
        </w:rPr>
        <w:t>they</w:t>
      </w:r>
      <w:r w:rsidR="00D6200A" w:rsidRPr="00E96B20">
        <w:rPr>
          <w:rFonts w:ascii="Times New Roman" w:hAnsi="Times New Roman"/>
          <w:sz w:val="26"/>
          <w:szCs w:val="26"/>
        </w:rPr>
        <w:t xml:space="preserve"> have less knowledge about earnings management in </w:t>
      </w:r>
      <w:r w:rsidR="00493F85" w:rsidRPr="00E96B20">
        <w:rPr>
          <w:rFonts w:ascii="Times New Roman" w:hAnsi="Times New Roman"/>
          <w:sz w:val="26"/>
          <w:szCs w:val="26"/>
        </w:rPr>
        <w:t>GCC</w:t>
      </w:r>
      <w:r w:rsidR="00493F85">
        <w:rPr>
          <w:rFonts w:ascii="Times New Roman" w:hAnsi="Times New Roman"/>
          <w:sz w:val="26"/>
          <w:szCs w:val="26"/>
        </w:rPr>
        <w:t>-</w:t>
      </w:r>
      <w:r w:rsidR="00D6200A" w:rsidRPr="00E96B20">
        <w:rPr>
          <w:rFonts w:ascii="Times New Roman" w:hAnsi="Times New Roman"/>
          <w:sz w:val="26"/>
          <w:szCs w:val="26"/>
        </w:rPr>
        <w:t xml:space="preserve">listed firms. </w:t>
      </w:r>
    </w:p>
    <w:p w14:paraId="1FD28066" w14:textId="0D9CDAFC" w:rsidR="00D5790E" w:rsidRDefault="00737024" w:rsidP="00A152B0">
      <w:pPr>
        <w:autoSpaceDE w:val="0"/>
        <w:autoSpaceDN w:val="0"/>
        <w:adjustRightInd w:val="0"/>
        <w:snapToGrid w:val="0"/>
        <w:spacing w:after="0" w:line="360" w:lineRule="exact"/>
        <w:ind w:firstLineChars="200" w:firstLine="520"/>
        <w:jc w:val="both"/>
        <w:rPr>
          <w:rFonts w:ascii="Times New Roman" w:hAnsi="Times New Roman"/>
          <w:sz w:val="26"/>
          <w:szCs w:val="26"/>
        </w:rPr>
      </w:pPr>
      <w:r w:rsidRPr="00E96B20">
        <w:rPr>
          <w:rFonts w:ascii="Times New Roman" w:hAnsi="Times New Roman"/>
          <w:sz w:val="26"/>
          <w:szCs w:val="26"/>
        </w:rPr>
        <w:t xml:space="preserve">Table </w:t>
      </w:r>
      <w:r w:rsidR="008D3063" w:rsidRPr="00E96B20">
        <w:rPr>
          <w:rFonts w:ascii="Times New Roman" w:hAnsi="Times New Roman" w:cs="Times New Roman"/>
          <w:sz w:val="26"/>
          <w:szCs w:val="26"/>
        </w:rPr>
        <w:t>17</w:t>
      </w:r>
      <w:r w:rsidR="00D5790E" w:rsidRPr="00E96B20">
        <w:rPr>
          <w:rFonts w:ascii="Times New Roman" w:hAnsi="Times New Roman"/>
          <w:sz w:val="26"/>
          <w:szCs w:val="26"/>
        </w:rPr>
        <w:t xml:space="preserve"> shows the results of the relationship between </w:t>
      </w:r>
      <w:r w:rsidR="003214CA" w:rsidRPr="00E96B20">
        <w:rPr>
          <w:rFonts w:ascii="Times New Roman" w:hAnsi="Times New Roman"/>
          <w:sz w:val="26"/>
          <w:szCs w:val="26"/>
        </w:rPr>
        <w:t>EQ-SM</w:t>
      </w:r>
      <w:r w:rsidR="00D5790E" w:rsidRPr="00E96B20">
        <w:rPr>
          <w:rFonts w:ascii="Times New Roman" w:hAnsi="Times New Roman"/>
          <w:sz w:val="26"/>
          <w:szCs w:val="26"/>
        </w:rPr>
        <w:t xml:space="preserve"> and </w:t>
      </w:r>
      <w:r w:rsidR="003214CA" w:rsidRPr="00E96B20">
        <w:rPr>
          <w:rFonts w:ascii="Times New Roman" w:hAnsi="Times New Roman"/>
          <w:sz w:val="26"/>
          <w:szCs w:val="26"/>
        </w:rPr>
        <w:t>FI.</w:t>
      </w:r>
    </w:p>
    <w:p w14:paraId="5589BCBA" w14:textId="77777777" w:rsidR="00E96B20" w:rsidRPr="00E96B20" w:rsidRDefault="00E96B20" w:rsidP="00E96B20">
      <w:pPr>
        <w:autoSpaceDE w:val="0"/>
        <w:autoSpaceDN w:val="0"/>
        <w:adjustRightInd w:val="0"/>
        <w:snapToGrid w:val="0"/>
        <w:spacing w:after="0" w:line="360" w:lineRule="exact"/>
        <w:jc w:val="both"/>
        <w:rPr>
          <w:rFonts w:ascii="Times New Roman" w:hAnsi="Times New Roman"/>
          <w:sz w:val="26"/>
          <w:szCs w:val="26"/>
        </w:rPr>
      </w:pPr>
    </w:p>
    <w:p w14:paraId="605633D2" w14:textId="77777777" w:rsidR="00B47B68" w:rsidRDefault="00B47B68">
      <w:pPr>
        <w:rPr>
          <w:rFonts w:asciiTheme="majorBidi" w:hAnsiTheme="majorBidi"/>
          <w:b/>
          <w:sz w:val="26"/>
        </w:rPr>
      </w:pPr>
      <w:r>
        <w:rPr>
          <w:rFonts w:asciiTheme="majorBidi" w:hAnsiTheme="majorBidi"/>
          <w:b/>
          <w:sz w:val="26"/>
        </w:rPr>
        <w:br w:type="page"/>
      </w:r>
    </w:p>
    <w:p w14:paraId="77E939AC" w14:textId="264FD975" w:rsidR="00E40A40" w:rsidRPr="00FA3651" w:rsidRDefault="008D3063" w:rsidP="00FA3651">
      <w:pPr>
        <w:snapToGrid w:val="0"/>
        <w:spacing w:afterLines="50" w:after="120" w:line="360" w:lineRule="exact"/>
        <w:jc w:val="both"/>
        <w:rPr>
          <w:rFonts w:asciiTheme="majorBidi" w:hAnsiTheme="majorBidi"/>
          <w:sz w:val="26"/>
        </w:rPr>
      </w:pPr>
      <w:r w:rsidRPr="00A152B0">
        <w:rPr>
          <w:rFonts w:asciiTheme="majorBidi" w:hAnsiTheme="majorBidi"/>
          <w:b/>
          <w:sz w:val="26"/>
        </w:rPr>
        <w:lastRenderedPageBreak/>
        <w:t xml:space="preserve">Table </w:t>
      </w:r>
      <w:proofErr w:type="gramStart"/>
      <w:r w:rsidRPr="00A152B0">
        <w:rPr>
          <w:rFonts w:asciiTheme="majorBidi" w:hAnsiTheme="majorBidi"/>
          <w:b/>
          <w:sz w:val="26"/>
        </w:rPr>
        <w:t>17</w:t>
      </w:r>
      <w:r w:rsidR="00A152B0">
        <w:rPr>
          <w:rFonts w:ascii="新細明體" w:eastAsia="新細明體" w:hAnsi="新細明體" w:hint="eastAsia"/>
          <w:sz w:val="26"/>
          <w:lang w:eastAsia="zh-TW"/>
        </w:rPr>
        <w:t xml:space="preserve"> </w:t>
      </w:r>
      <w:r w:rsidR="00E40A40" w:rsidRPr="00FA3651">
        <w:rPr>
          <w:rFonts w:asciiTheme="majorBidi" w:hAnsiTheme="majorBidi"/>
          <w:sz w:val="26"/>
        </w:rPr>
        <w:t xml:space="preserve"> </w:t>
      </w:r>
      <w:r w:rsidR="00E40A40" w:rsidRPr="00B47B68">
        <w:rPr>
          <w:rFonts w:asciiTheme="majorBidi" w:hAnsiTheme="majorBidi"/>
          <w:i/>
          <w:sz w:val="26"/>
        </w:rPr>
        <w:t>Regression</w:t>
      </w:r>
      <w:proofErr w:type="gramEnd"/>
      <w:r w:rsidR="00E40A40" w:rsidRPr="00B47B68">
        <w:rPr>
          <w:rFonts w:asciiTheme="majorBidi" w:hAnsiTheme="majorBidi"/>
          <w:i/>
          <w:sz w:val="26"/>
        </w:rPr>
        <w:t xml:space="preserve"> Results between SM and FI</w:t>
      </w:r>
    </w:p>
    <w:tbl>
      <w:tblPr>
        <w:tblStyle w:val="a9"/>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
        <w:gridCol w:w="687"/>
        <w:gridCol w:w="668"/>
        <w:gridCol w:w="688"/>
        <w:gridCol w:w="668"/>
        <w:gridCol w:w="688"/>
        <w:gridCol w:w="668"/>
        <w:gridCol w:w="688"/>
        <w:gridCol w:w="668"/>
        <w:gridCol w:w="688"/>
        <w:gridCol w:w="668"/>
        <w:gridCol w:w="688"/>
        <w:gridCol w:w="668"/>
      </w:tblGrid>
      <w:tr w:rsidR="007F15D8" w:rsidRPr="00E96B20" w14:paraId="5071BFE7" w14:textId="77777777" w:rsidTr="00575C43">
        <w:trPr>
          <w:trHeight w:val="283"/>
          <w:jc w:val="center"/>
        </w:trPr>
        <w:tc>
          <w:tcPr>
            <w:tcW w:w="494" w:type="pct"/>
            <w:vMerge w:val="restart"/>
            <w:tcBorders>
              <w:top w:val="single" w:sz="4" w:space="0" w:color="auto"/>
              <w:right w:val="single" w:sz="4" w:space="0" w:color="auto"/>
              <w:tl2br w:val="single" w:sz="4" w:space="0" w:color="auto"/>
            </w:tcBorders>
          </w:tcPr>
          <w:p w14:paraId="495681C1" w14:textId="7EE429E4" w:rsidR="00E40A40" w:rsidRPr="00E96B20" w:rsidRDefault="00E40A40" w:rsidP="00E40A40">
            <w:pPr>
              <w:autoSpaceDE w:val="0"/>
              <w:autoSpaceDN w:val="0"/>
              <w:adjustRightInd w:val="0"/>
              <w:jc w:val="both"/>
              <w:rPr>
                <w:rFonts w:ascii="Times New Roman" w:hAnsi="Times New Roman" w:cs="Times New Roman"/>
                <w:sz w:val="16"/>
                <w:szCs w:val="20"/>
              </w:rPr>
            </w:pPr>
            <w:r w:rsidRPr="00E96B20">
              <w:rPr>
                <w:rFonts w:ascii="Times New Roman" w:hAnsi="Times New Roman" w:cs="Times New Roman"/>
                <w:sz w:val="16"/>
                <w:szCs w:val="20"/>
              </w:rPr>
              <w:t xml:space="preserve">   Country </w:t>
            </w:r>
          </w:p>
          <w:p w14:paraId="16BCB623" w14:textId="77777777" w:rsidR="00E40A40" w:rsidRPr="00E96B20" w:rsidRDefault="00E40A40" w:rsidP="00E40A40">
            <w:pPr>
              <w:autoSpaceDE w:val="0"/>
              <w:autoSpaceDN w:val="0"/>
              <w:adjustRightInd w:val="0"/>
              <w:jc w:val="both"/>
              <w:rPr>
                <w:rFonts w:ascii="Times New Roman" w:hAnsi="Times New Roman" w:cs="Times New Roman"/>
                <w:sz w:val="16"/>
                <w:szCs w:val="20"/>
              </w:rPr>
            </w:pPr>
          </w:p>
          <w:p w14:paraId="60A41B34" w14:textId="77777777" w:rsidR="00E40A40" w:rsidRPr="00E96B20" w:rsidRDefault="00E40A40" w:rsidP="00E40A40">
            <w:pPr>
              <w:autoSpaceDE w:val="0"/>
              <w:autoSpaceDN w:val="0"/>
              <w:adjustRightInd w:val="0"/>
              <w:jc w:val="both"/>
              <w:rPr>
                <w:rFonts w:ascii="Times New Roman" w:hAnsi="Times New Roman" w:cs="Times New Roman"/>
                <w:sz w:val="16"/>
                <w:szCs w:val="20"/>
              </w:rPr>
            </w:pPr>
            <w:r w:rsidRPr="00E96B20">
              <w:rPr>
                <w:rFonts w:ascii="Times New Roman" w:hAnsi="Times New Roman" w:cs="Times New Roman"/>
                <w:sz w:val="16"/>
                <w:szCs w:val="20"/>
              </w:rPr>
              <w:t>Variables</w:t>
            </w:r>
          </w:p>
        </w:tc>
        <w:tc>
          <w:tcPr>
            <w:tcW w:w="751" w:type="pct"/>
            <w:gridSpan w:val="2"/>
            <w:tcBorders>
              <w:top w:val="single" w:sz="4" w:space="0" w:color="auto"/>
              <w:left w:val="single" w:sz="4" w:space="0" w:color="auto"/>
              <w:bottom w:val="single" w:sz="4" w:space="0" w:color="auto"/>
            </w:tcBorders>
            <w:vAlign w:val="center"/>
          </w:tcPr>
          <w:p w14:paraId="12B48677"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KSA</w:t>
            </w:r>
          </w:p>
        </w:tc>
        <w:tc>
          <w:tcPr>
            <w:tcW w:w="751" w:type="pct"/>
            <w:gridSpan w:val="2"/>
            <w:tcBorders>
              <w:top w:val="single" w:sz="4" w:space="0" w:color="auto"/>
              <w:bottom w:val="single" w:sz="4" w:space="0" w:color="auto"/>
            </w:tcBorders>
            <w:vAlign w:val="center"/>
          </w:tcPr>
          <w:p w14:paraId="32973E46"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OMN</w:t>
            </w:r>
          </w:p>
        </w:tc>
        <w:tc>
          <w:tcPr>
            <w:tcW w:w="751" w:type="pct"/>
            <w:gridSpan w:val="2"/>
            <w:tcBorders>
              <w:top w:val="single" w:sz="4" w:space="0" w:color="auto"/>
              <w:bottom w:val="single" w:sz="4" w:space="0" w:color="auto"/>
            </w:tcBorders>
            <w:vAlign w:val="center"/>
          </w:tcPr>
          <w:p w14:paraId="6F3CE25C"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QAT</w:t>
            </w:r>
          </w:p>
        </w:tc>
        <w:tc>
          <w:tcPr>
            <w:tcW w:w="751" w:type="pct"/>
            <w:gridSpan w:val="2"/>
            <w:tcBorders>
              <w:top w:val="single" w:sz="4" w:space="0" w:color="auto"/>
              <w:bottom w:val="single" w:sz="4" w:space="0" w:color="auto"/>
            </w:tcBorders>
            <w:vAlign w:val="center"/>
          </w:tcPr>
          <w:p w14:paraId="0DC4E8F3"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BAH</w:t>
            </w:r>
          </w:p>
        </w:tc>
        <w:tc>
          <w:tcPr>
            <w:tcW w:w="751" w:type="pct"/>
            <w:gridSpan w:val="2"/>
            <w:tcBorders>
              <w:top w:val="single" w:sz="4" w:space="0" w:color="auto"/>
              <w:bottom w:val="single" w:sz="4" w:space="0" w:color="auto"/>
            </w:tcBorders>
            <w:vAlign w:val="center"/>
          </w:tcPr>
          <w:p w14:paraId="562959C3"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KWU</w:t>
            </w:r>
          </w:p>
        </w:tc>
        <w:tc>
          <w:tcPr>
            <w:tcW w:w="751" w:type="pct"/>
            <w:gridSpan w:val="2"/>
            <w:tcBorders>
              <w:top w:val="single" w:sz="4" w:space="0" w:color="auto"/>
              <w:bottom w:val="single" w:sz="4" w:space="0" w:color="auto"/>
            </w:tcBorders>
            <w:vAlign w:val="center"/>
          </w:tcPr>
          <w:p w14:paraId="0B65837B"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UAE</w:t>
            </w:r>
          </w:p>
        </w:tc>
      </w:tr>
      <w:tr w:rsidR="00E96B20" w:rsidRPr="00E96B20" w14:paraId="5F3F498D" w14:textId="77777777" w:rsidTr="00575C43">
        <w:trPr>
          <w:trHeight w:val="283"/>
          <w:jc w:val="center"/>
        </w:trPr>
        <w:tc>
          <w:tcPr>
            <w:tcW w:w="494" w:type="pct"/>
            <w:vMerge/>
            <w:tcBorders>
              <w:bottom w:val="single" w:sz="4" w:space="0" w:color="auto"/>
              <w:right w:val="single" w:sz="4" w:space="0" w:color="auto"/>
            </w:tcBorders>
          </w:tcPr>
          <w:p w14:paraId="36DBDFEE" w14:textId="77777777" w:rsidR="00E40A40" w:rsidRPr="00E96B20" w:rsidRDefault="00E40A40" w:rsidP="00E40A40">
            <w:pPr>
              <w:autoSpaceDE w:val="0"/>
              <w:autoSpaceDN w:val="0"/>
              <w:adjustRightInd w:val="0"/>
              <w:jc w:val="both"/>
              <w:rPr>
                <w:rFonts w:ascii="Times New Roman" w:hAnsi="Times New Roman" w:cs="Times New Roman"/>
                <w:noProof/>
                <w:sz w:val="16"/>
                <w:szCs w:val="20"/>
              </w:rPr>
            </w:pPr>
          </w:p>
        </w:tc>
        <w:tc>
          <w:tcPr>
            <w:tcW w:w="381" w:type="pct"/>
            <w:tcBorders>
              <w:top w:val="single" w:sz="4" w:space="0" w:color="auto"/>
              <w:left w:val="single" w:sz="4" w:space="0" w:color="auto"/>
              <w:bottom w:val="single" w:sz="4" w:space="0" w:color="auto"/>
            </w:tcBorders>
            <w:vAlign w:val="center"/>
          </w:tcPr>
          <w:p w14:paraId="2C2A6D3A"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B</w:t>
            </w:r>
          </w:p>
        </w:tc>
        <w:tc>
          <w:tcPr>
            <w:tcW w:w="370" w:type="pct"/>
            <w:tcBorders>
              <w:top w:val="single" w:sz="4" w:space="0" w:color="auto"/>
              <w:bottom w:val="single" w:sz="4" w:space="0" w:color="auto"/>
            </w:tcBorders>
            <w:vAlign w:val="center"/>
          </w:tcPr>
          <w:p w14:paraId="72AD13A6"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t-value</w:t>
            </w:r>
          </w:p>
        </w:tc>
        <w:tc>
          <w:tcPr>
            <w:tcW w:w="381" w:type="pct"/>
            <w:tcBorders>
              <w:top w:val="single" w:sz="4" w:space="0" w:color="auto"/>
              <w:bottom w:val="single" w:sz="4" w:space="0" w:color="auto"/>
            </w:tcBorders>
            <w:vAlign w:val="center"/>
          </w:tcPr>
          <w:p w14:paraId="74D7AF61"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B</w:t>
            </w:r>
          </w:p>
        </w:tc>
        <w:tc>
          <w:tcPr>
            <w:tcW w:w="370" w:type="pct"/>
            <w:tcBorders>
              <w:top w:val="single" w:sz="4" w:space="0" w:color="auto"/>
              <w:bottom w:val="single" w:sz="4" w:space="0" w:color="auto"/>
            </w:tcBorders>
            <w:vAlign w:val="center"/>
          </w:tcPr>
          <w:p w14:paraId="1170019F"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t-value</w:t>
            </w:r>
          </w:p>
        </w:tc>
        <w:tc>
          <w:tcPr>
            <w:tcW w:w="381" w:type="pct"/>
            <w:tcBorders>
              <w:top w:val="single" w:sz="4" w:space="0" w:color="auto"/>
              <w:bottom w:val="single" w:sz="4" w:space="0" w:color="auto"/>
            </w:tcBorders>
            <w:vAlign w:val="center"/>
          </w:tcPr>
          <w:p w14:paraId="10FADB19"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B</w:t>
            </w:r>
          </w:p>
        </w:tc>
        <w:tc>
          <w:tcPr>
            <w:tcW w:w="370" w:type="pct"/>
            <w:tcBorders>
              <w:top w:val="single" w:sz="4" w:space="0" w:color="auto"/>
              <w:bottom w:val="single" w:sz="4" w:space="0" w:color="auto"/>
            </w:tcBorders>
            <w:vAlign w:val="center"/>
          </w:tcPr>
          <w:p w14:paraId="02B4199D"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t-value</w:t>
            </w:r>
          </w:p>
        </w:tc>
        <w:tc>
          <w:tcPr>
            <w:tcW w:w="381" w:type="pct"/>
            <w:tcBorders>
              <w:top w:val="single" w:sz="4" w:space="0" w:color="auto"/>
              <w:bottom w:val="single" w:sz="4" w:space="0" w:color="auto"/>
            </w:tcBorders>
            <w:vAlign w:val="center"/>
          </w:tcPr>
          <w:p w14:paraId="5247531B"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B</w:t>
            </w:r>
          </w:p>
        </w:tc>
        <w:tc>
          <w:tcPr>
            <w:tcW w:w="370" w:type="pct"/>
            <w:tcBorders>
              <w:top w:val="single" w:sz="4" w:space="0" w:color="auto"/>
              <w:bottom w:val="single" w:sz="4" w:space="0" w:color="auto"/>
            </w:tcBorders>
            <w:vAlign w:val="center"/>
          </w:tcPr>
          <w:p w14:paraId="154C200F"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t-value</w:t>
            </w:r>
          </w:p>
        </w:tc>
        <w:tc>
          <w:tcPr>
            <w:tcW w:w="381" w:type="pct"/>
            <w:tcBorders>
              <w:top w:val="single" w:sz="4" w:space="0" w:color="auto"/>
              <w:bottom w:val="single" w:sz="4" w:space="0" w:color="auto"/>
            </w:tcBorders>
            <w:vAlign w:val="center"/>
          </w:tcPr>
          <w:p w14:paraId="2476A37C"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B</w:t>
            </w:r>
          </w:p>
        </w:tc>
        <w:tc>
          <w:tcPr>
            <w:tcW w:w="370" w:type="pct"/>
            <w:tcBorders>
              <w:top w:val="single" w:sz="4" w:space="0" w:color="auto"/>
              <w:bottom w:val="single" w:sz="4" w:space="0" w:color="auto"/>
            </w:tcBorders>
            <w:vAlign w:val="center"/>
          </w:tcPr>
          <w:p w14:paraId="766AA32F"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t-value</w:t>
            </w:r>
          </w:p>
        </w:tc>
        <w:tc>
          <w:tcPr>
            <w:tcW w:w="381" w:type="pct"/>
            <w:tcBorders>
              <w:top w:val="single" w:sz="4" w:space="0" w:color="auto"/>
              <w:bottom w:val="single" w:sz="4" w:space="0" w:color="auto"/>
            </w:tcBorders>
            <w:vAlign w:val="center"/>
          </w:tcPr>
          <w:p w14:paraId="74034BCA"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B</w:t>
            </w:r>
          </w:p>
        </w:tc>
        <w:tc>
          <w:tcPr>
            <w:tcW w:w="369" w:type="pct"/>
            <w:tcBorders>
              <w:top w:val="single" w:sz="4" w:space="0" w:color="auto"/>
              <w:bottom w:val="single" w:sz="4" w:space="0" w:color="auto"/>
            </w:tcBorders>
            <w:vAlign w:val="center"/>
          </w:tcPr>
          <w:p w14:paraId="3D7F7F31"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t-value</w:t>
            </w:r>
          </w:p>
        </w:tc>
      </w:tr>
      <w:tr w:rsidR="00E96B20" w:rsidRPr="00E96B20" w14:paraId="7F6DB52A" w14:textId="77777777" w:rsidTr="00575C43">
        <w:trPr>
          <w:trHeight w:val="283"/>
          <w:jc w:val="center"/>
        </w:trPr>
        <w:tc>
          <w:tcPr>
            <w:tcW w:w="494" w:type="pct"/>
            <w:tcBorders>
              <w:top w:val="single" w:sz="4" w:space="0" w:color="auto"/>
              <w:bottom w:val="single" w:sz="4" w:space="0" w:color="auto"/>
              <w:right w:val="single" w:sz="4" w:space="0" w:color="auto"/>
            </w:tcBorders>
          </w:tcPr>
          <w:p w14:paraId="19F57C65" w14:textId="77777777" w:rsidR="00E40A40" w:rsidRPr="00E96B20" w:rsidRDefault="00E40A40" w:rsidP="00E40A40">
            <w:pPr>
              <w:tabs>
                <w:tab w:val="left" w:pos="4536"/>
              </w:tabs>
              <w:autoSpaceDE w:val="0"/>
              <w:autoSpaceDN w:val="0"/>
              <w:adjustRightInd w:val="0"/>
              <w:jc w:val="both"/>
              <w:rPr>
                <w:rFonts w:ascii="Times New Roman" w:hAnsi="Times New Roman" w:cs="Times New Roman"/>
                <w:sz w:val="16"/>
                <w:szCs w:val="20"/>
              </w:rPr>
            </w:pPr>
            <w:r w:rsidRPr="00E96B20">
              <w:rPr>
                <w:rFonts w:ascii="Times New Roman" w:hAnsi="Times New Roman" w:cs="Times New Roman"/>
                <w:sz w:val="16"/>
                <w:szCs w:val="20"/>
              </w:rPr>
              <w:t>EQ(SM)&amp;</w:t>
            </w:r>
          </w:p>
          <w:p w14:paraId="79B1DDD1" w14:textId="77777777" w:rsidR="00E40A40" w:rsidRPr="00E96B20" w:rsidRDefault="00E40A40" w:rsidP="00E40A40">
            <w:pPr>
              <w:tabs>
                <w:tab w:val="left" w:pos="4536"/>
              </w:tabs>
              <w:autoSpaceDE w:val="0"/>
              <w:autoSpaceDN w:val="0"/>
              <w:adjustRightInd w:val="0"/>
              <w:jc w:val="both"/>
              <w:rPr>
                <w:rFonts w:ascii="Times New Roman" w:hAnsi="Times New Roman" w:cs="Times New Roman"/>
                <w:sz w:val="16"/>
                <w:szCs w:val="20"/>
              </w:rPr>
            </w:pPr>
            <w:r w:rsidRPr="00E96B20">
              <w:rPr>
                <w:rFonts w:ascii="Times New Roman" w:hAnsi="Times New Roman" w:cs="Times New Roman"/>
                <w:sz w:val="16"/>
                <w:szCs w:val="20"/>
              </w:rPr>
              <w:t>sig.</w:t>
            </w:r>
          </w:p>
        </w:tc>
        <w:tc>
          <w:tcPr>
            <w:tcW w:w="381" w:type="pct"/>
            <w:tcBorders>
              <w:top w:val="single" w:sz="4" w:space="0" w:color="auto"/>
              <w:left w:val="single" w:sz="4" w:space="0" w:color="auto"/>
              <w:bottom w:val="single" w:sz="4" w:space="0" w:color="auto"/>
            </w:tcBorders>
            <w:vAlign w:val="center"/>
          </w:tcPr>
          <w:p w14:paraId="3797A4CB"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-0.002</w:t>
            </w:r>
          </w:p>
          <w:p w14:paraId="4F99E1FA"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(0.440)</w:t>
            </w:r>
          </w:p>
        </w:tc>
        <w:tc>
          <w:tcPr>
            <w:tcW w:w="370" w:type="pct"/>
            <w:tcBorders>
              <w:top w:val="single" w:sz="4" w:space="0" w:color="auto"/>
              <w:bottom w:val="single" w:sz="4" w:space="0" w:color="auto"/>
            </w:tcBorders>
            <w:vAlign w:val="center"/>
          </w:tcPr>
          <w:p w14:paraId="5D7F12AE"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-0.772</w:t>
            </w:r>
          </w:p>
        </w:tc>
        <w:tc>
          <w:tcPr>
            <w:tcW w:w="381" w:type="pct"/>
            <w:tcBorders>
              <w:top w:val="single" w:sz="4" w:space="0" w:color="auto"/>
              <w:bottom w:val="single" w:sz="4" w:space="0" w:color="auto"/>
            </w:tcBorders>
            <w:vAlign w:val="center"/>
          </w:tcPr>
          <w:p w14:paraId="6EFC7566"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-0.003</w:t>
            </w:r>
          </w:p>
          <w:p w14:paraId="6630C23D"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(0.649)</w:t>
            </w:r>
          </w:p>
        </w:tc>
        <w:tc>
          <w:tcPr>
            <w:tcW w:w="370" w:type="pct"/>
            <w:tcBorders>
              <w:top w:val="single" w:sz="4" w:space="0" w:color="auto"/>
              <w:bottom w:val="single" w:sz="4" w:space="0" w:color="auto"/>
            </w:tcBorders>
            <w:vAlign w:val="center"/>
          </w:tcPr>
          <w:p w14:paraId="7798857C"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-0.456</w:t>
            </w:r>
          </w:p>
        </w:tc>
        <w:tc>
          <w:tcPr>
            <w:tcW w:w="381" w:type="pct"/>
            <w:tcBorders>
              <w:top w:val="single" w:sz="4" w:space="0" w:color="auto"/>
              <w:bottom w:val="single" w:sz="4" w:space="0" w:color="auto"/>
            </w:tcBorders>
            <w:vAlign w:val="center"/>
          </w:tcPr>
          <w:p w14:paraId="3145D265"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0.001</w:t>
            </w:r>
          </w:p>
          <w:p w14:paraId="5EA53957"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(0.656)</w:t>
            </w:r>
          </w:p>
        </w:tc>
        <w:tc>
          <w:tcPr>
            <w:tcW w:w="370" w:type="pct"/>
            <w:tcBorders>
              <w:top w:val="single" w:sz="4" w:space="0" w:color="auto"/>
              <w:bottom w:val="single" w:sz="4" w:space="0" w:color="auto"/>
            </w:tcBorders>
            <w:vAlign w:val="center"/>
          </w:tcPr>
          <w:p w14:paraId="0395B7D8"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0.448</w:t>
            </w:r>
          </w:p>
        </w:tc>
        <w:tc>
          <w:tcPr>
            <w:tcW w:w="381" w:type="pct"/>
            <w:tcBorders>
              <w:top w:val="single" w:sz="4" w:space="0" w:color="auto"/>
              <w:bottom w:val="single" w:sz="4" w:space="0" w:color="auto"/>
            </w:tcBorders>
            <w:vAlign w:val="center"/>
          </w:tcPr>
          <w:p w14:paraId="21BA88E7"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0.003</w:t>
            </w:r>
          </w:p>
          <w:p w14:paraId="0C22B893"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(0.658)</w:t>
            </w:r>
          </w:p>
        </w:tc>
        <w:tc>
          <w:tcPr>
            <w:tcW w:w="370" w:type="pct"/>
            <w:tcBorders>
              <w:top w:val="single" w:sz="4" w:space="0" w:color="auto"/>
              <w:bottom w:val="single" w:sz="4" w:space="0" w:color="auto"/>
            </w:tcBorders>
            <w:vAlign w:val="center"/>
          </w:tcPr>
          <w:p w14:paraId="2B0F8ACA"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0.043</w:t>
            </w:r>
          </w:p>
        </w:tc>
        <w:tc>
          <w:tcPr>
            <w:tcW w:w="381" w:type="pct"/>
            <w:tcBorders>
              <w:top w:val="single" w:sz="4" w:space="0" w:color="auto"/>
              <w:bottom w:val="single" w:sz="4" w:space="0" w:color="auto"/>
            </w:tcBorders>
            <w:vAlign w:val="center"/>
          </w:tcPr>
          <w:p w14:paraId="0E4C2161"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-0.046</w:t>
            </w:r>
          </w:p>
          <w:p w14:paraId="19A95058"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(0.722)</w:t>
            </w:r>
          </w:p>
        </w:tc>
        <w:tc>
          <w:tcPr>
            <w:tcW w:w="370" w:type="pct"/>
            <w:tcBorders>
              <w:top w:val="single" w:sz="4" w:space="0" w:color="auto"/>
              <w:bottom w:val="single" w:sz="4" w:space="0" w:color="auto"/>
            </w:tcBorders>
            <w:vAlign w:val="center"/>
          </w:tcPr>
          <w:p w14:paraId="0F7C0C19"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-0.358</w:t>
            </w:r>
          </w:p>
        </w:tc>
        <w:tc>
          <w:tcPr>
            <w:tcW w:w="381" w:type="pct"/>
            <w:tcBorders>
              <w:top w:val="single" w:sz="4" w:space="0" w:color="auto"/>
              <w:bottom w:val="single" w:sz="4" w:space="0" w:color="auto"/>
            </w:tcBorders>
            <w:vAlign w:val="center"/>
          </w:tcPr>
          <w:p w14:paraId="24E8E38A"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0.020</w:t>
            </w:r>
          </w:p>
          <w:p w14:paraId="156DF16A"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(0.090)</w:t>
            </w:r>
          </w:p>
        </w:tc>
        <w:tc>
          <w:tcPr>
            <w:tcW w:w="369" w:type="pct"/>
            <w:tcBorders>
              <w:top w:val="single" w:sz="4" w:space="0" w:color="auto"/>
              <w:bottom w:val="single" w:sz="4" w:space="0" w:color="auto"/>
            </w:tcBorders>
            <w:vAlign w:val="center"/>
          </w:tcPr>
          <w:p w14:paraId="35D31F8A"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1.710</w:t>
            </w:r>
          </w:p>
        </w:tc>
      </w:tr>
      <w:tr w:rsidR="00E96B20" w:rsidRPr="00E96B20" w14:paraId="1FA7627C" w14:textId="77777777" w:rsidTr="00575C43">
        <w:trPr>
          <w:trHeight w:val="283"/>
          <w:jc w:val="center"/>
        </w:trPr>
        <w:tc>
          <w:tcPr>
            <w:tcW w:w="494" w:type="pct"/>
            <w:tcBorders>
              <w:top w:val="single" w:sz="4" w:space="0" w:color="auto"/>
              <w:bottom w:val="single" w:sz="4" w:space="0" w:color="auto"/>
              <w:right w:val="single" w:sz="4" w:space="0" w:color="auto"/>
            </w:tcBorders>
          </w:tcPr>
          <w:p w14:paraId="2ECC09C4" w14:textId="77777777" w:rsidR="00E40A40" w:rsidRPr="00E96B20" w:rsidRDefault="00E40A40" w:rsidP="00E40A40">
            <w:pPr>
              <w:tabs>
                <w:tab w:val="left" w:pos="4536"/>
              </w:tabs>
              <w:autoSpaceDE w:val="0"/>
              <w:autoSpaceDN w:val="0"/>
              <w:adjustRightInd w:val="0"/>
              <w:jc w:val="both"/>
              <w:rPr>
                <w:rFonts w:ascii="Times New Roman" w:hAnsi="Times New Roman" w:cs="Times New Roman"/>
                <w:sz w:val="16"/>
                <w:szCs w:val="20"/>
              </w:rPr>
            </w:pPr>
            <w:r w:rsidRPr="00E96B20">
              <w:rPr>
                <w:rFonts w:ascii="Times New Roman" w:hAnsi="Times New Roman" w:cs="Times New Roman"/>
                <w:sz w:val="16"/>
                <w:szCs w:val="20"/>
              </w:rPr>
              <w:t>Big4</w:t>
            </w:r>
          </w:p>
        </w:tc>
        <w:tc>
          <w:tcPr>
            <w:tcW w:w="381" w:type="pct"/>
            <w:tcBorders>
              <w:top w:val="single" w:sz="4" w:space="0" w:color="auto"/>
              <w:left w:val="single" w:sz="4" w:space="0" w:color="auto"/>
              <w:bottom w:val="single" w:sz="4" w:space="0" w:color="auto"/>
            </w:tcBorders>
            <w:vAlign w:val="center"/>
          </w:tcPr>
          <w:p w14:paraId="649F6145"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-0.013</w:t>
            </w:r>
          </w:p>
          <w:p w14:paraId="51636F54"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(0.043)</w:t>
            </w:r>
          </w:p>
        </w:tc>
        <w:tc>
          <w:tcPr>
            <w:tcW w:w="370" w:type="pct"/>
            <w:tcBorders>
              <w:top w:val="single" w:sz="4" w:space="0" w:color="auto"/>
              <w:bottom w:val="single" w:sz="4" w:space="0" w:color="auto"/>
            </w:tcBorders>
            <w:vAlign w:val="center"/>
          </w:tcPr>
          <w:p w14:paraId="6EB2CC7E"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-2.027</w:t>
            </w:r>
          </w:p>
        </w:tc>
        <w:tc>
          <w:tcPr>
            <w:tcW w:w="381" w:type="pct"/>
            <w:tcBorders>
              <w:top w:val="single" w:sz="4" w:space="0" w:color="auto"/>
              <w:bottom w:val="single" w:sz="4" w:space="0" w:color="auto"/>
            </w:tcBorders>
            <w:vAlign w:val="center"/>
          </w:tcPr>
          <w:p w14:paraId="5C5BFBF4"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0.041</w:t>
            </w:r>
          </w:p>
          <w:p w14:paraId="4FDD94FC"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(0.000)</w:t>
            </w:r>
          </w:p>
        </w:tc>
        <w:tc>
          <w:tcPr>
            <w:tcW w:w="370" w:type="pct"/>
            <w:tcBorders>
              <w:top w:val="single" w:sz="4" w:space="0" w:color="auto"/>
              <w:bottom w:val="single" w:sz="4" w:space="0" w:color="auto"/>
            </w:tcBorders>
            <w:vAlign w:val="center"/>
          </w:tcPr>
          <w:p w14:paraId="02A95D1E"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3.901</w:t>
            </w:r>
          </w:p>
        </w:tc>
        <w:tc>
          <w:tcPr>
            <w:tcW w:w="381" w:type="pct"/>
            <w:tcBorders>
              <w:top w:val="single" w:sz="4" w:space="0" w:color="auto"/>
              <w:bottom w:val="single" w:sz="4" w:space="0" w:color="auto"/>
            </w:tcBorders>
            <w:vAlign w:val="center"/>
          </w:tcPr>
          <w:p w14:paraId="53A7D25B" w14:textId="77777777" w:rsidR="00E40A40" w:rsidRPr="00E96B20" w:rsidRDefault="00337B39"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0.111</w:t>
            </w:r>
          </w:p>
          <w:p w14:paraId="36660C02" w14:textId="25EA2CE2" w:rsidR="00337B39" w:rsidRPr="00E96B20" w:rsidRDefault="00337B39"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(0.000)</w:t>
            </w:r>
          </w:p>
        </w:tc>
        <w:tc>
          <w:tcPr>
            <w:tcW w:w="370" w:type="pct"/>
            <w:tcBorders>
              <w:top w:val="single" w:sz="4" w:space="0" w:color="auto"/>
              <w:bottom w:val="single" w:sz="4" w:space="0" w:color="auto"/>
            </w:tcBorders>
            <w:vAlign w:val="center"/>
          </w:tcPr>
          <w:p w14:paraId="03E786D8" w14:textId="7FAAB9D3" w:rsidR="00E40A40" w:rsidRPr="00E96B20" w:rsidRDefault="00337B39" w:rsidP="00E96B20">
            <w:pPr>
              <w:jc w:val="center"/>
              <w:rPr>
                <w:rFonts w:ascii="Times New Roman" w:hAnsi="Times New Roman" w:cs="Times New Roman"/>
                <w:sz w:val="16"/>
                <w:szCs w:val="20"/>
              </w:rPr>
            </w:pPr>
            <w:r w:rsidRPr="00E96B20">
              <w:rPr>
                <w:rFonts w:ascii="Times New Roman" w:hAnsi="Times New Roman" w:cs="Times New Roman"/>
                <w:sz w:val="16"/>
                <w:szCs w:val="20"/>
              </w:rPr>
              <w:t>3.255</w:t>
            </w:r>
          </w:p>
        </w:tc>
        <w:tc>
          <w:tcPr>
            <w:tcW w:w="381" w:type="pct"/>
            <w:tcBorders>
              <w:top w:val="single" w:sz="4" w:space="0" w:color="auto"/>
              <w:bottom w:val="single" w:sz="4" w:space="0" w:color="auto"/>
            </w:tcBorders>
            <w:vAlign w:val="center"/>
          </w:tcPr>
          <w:p w14:paraId="642CB5FA"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0.046</w:t>
            </w:r>
          </w:p>
          <w:p w14:paraId="224E29CA"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(0.000)</w:t>
            </w:r>
          </w:p>
        </w:tc>
        <w:tc>
          <w:tcPr>
            <w:tcW w:w="370" w:type="pct"/>
            <w:tcBorders>
              <w:top w:val="single" w:sz="4" w:space="0" w:color="auto"/>
              <w:bottom w:val="single" w:sz="4" w:space="0" w:color="auto"/>
            </w:tcBorders>
            <w:vAlign w:val="center"/>
          </w:tcPr>
          <w:p w14:paraId="2BA5E86D"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4.751</w:t>
            </w:r>
          </w:p>
        </w:tc>
        <w:tc>
          <w:tcPr>
            <w:tcW w:w="381" w:type="pct"/>
            <w:tcBorders>
              <w:top w:val="single" w:sz="4" w:space="0" w:color="auto"/>
              <w:bottom w:val="single" w:sz="4" w:space="0" w:color="auto"/>
            </w:tcBorders>
            <w:vAlign w:val="center"/>
          </w:tcPr>
          <w:p w14:paraId="16D2605D"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-0.180</w:t>
            </w:r>
          </w:p>
          <w:p w14:paraId="1FC77D32"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(0.439)</w:t>
            </w:r>
          </w:p>
        </w:tc>
        <w:tc>
          <w:tcPr>
            <w:tcW w:w="370" w:type="pct"/>
            <w:tcBorders>
              <w:top w:val="single" w:sz="4" w:space="0" w:color="auto"/>
              <w:bottom w:val="single" w:sz="4" w:space="0" w:color="auto"/>
            </w:tcBorders>
            <w:vAlign w:val="center"/>
          </w:tcPr>
          <w:p w14:paraId="431A9D7D"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-0.780</w:t>
            </w:r>
          </w:p>
        </w:tc>
        <w:tc>
          <w:tcPr>
            <w:tcW w:w="381" w:type="pct"/>
            <w:tcBorders>
              <w:top w:val="single" w:sz="4" w:space="0" w:color="auto"/>
              <w:bottom w:val="single" w:sz="4" w:space="0" w:color="auto"/>
            </w:tcBorders>
            <w:vAlign w:val="center"/>
          </w:tcPr>
          <w:p w14:paraId="6F189255"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0.018</w:t>
            </w:r>
          </w:p>
          <w:p w14:paraId="1CB2C37D"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(0.217)</w:t>
            </w:r>
          </w:p>
        </w:tc>
        <w:tc>
          <w:tcPr>
            <w:tcW w:w="369" w:type="pct"/>
            <w:tcBorders>
              <w:top w:val="single" w:sz="4" w:space="0" w:color="auto"/>
              <w:bottom w:val="single" w:sz="4" w:space="0" w:color="auto"/>
            </w:tcBorders>
            <w:vAlign w:val="center"/>
          </w:tcPr>
          <w:p w14:paraId="11024896"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1.241</w:t>
            </w:r>
          </w:p>
        </w:tc>
      </w:tr>
      <w:tr w:rsidR="00E96B20" w:rsidRPr="00E96B20" w14:paraId="48057679" w14:textId="77777777" w:rsidTr="00575C43">
        <w:trPr>
          <w:trHeight w:val="283"/>
          <w:jc w:val="center"/>
        </w:trPr>
        <w:tc>
          <w:tcPr>
            <w:tcW w:w="494" w:type="pct"/>
            <w:tcBorders>
              <w:top w:val="single" w:sz="4" w:space="0" w:color="auto"/>
              <w:bottom w:val="single" w:sz="4" w:space="0" w:color="auto"/>
              <w:right w:val="single" w:sz="4" w:space="0" w:color="auto"/>
            </w:tcBorders>
          </w:tcPr>
          <w:p w14:paraId="7379E72A" w14:textId="683DCCE4" w:rsidR="00E40A40" w:rsidRPr="00E96B20" w:rsidRDefault="00E40A40" w:rsidP="00E40A40">
            <w:pPr>
              <w:tabs>
                <w:tab w:val="left" w:pos="4536"/>
              </w:tabs>
              <w:autoSpaceDE w:val="0"/>
              <w:autoSpaceDN w:val="0"/>
              <w:adjustRightInd w:val="0"/>
              <w:jc w:val="both"/>
              <w:rPr>
                <w:rFonts w:ascii="Times New Roman" w:hAnsi="Times New Roman" w:cs="Times New Roman"/>
                <w:sz w:val="16"/>
                <w:szCs w:val="20"/>
              </w:rPr>
            </w:pPr>
            <w:r w:rsidRPr="00E96B20">
              <w:rPr>
                <w:rFonts w:ascii="Times New Roman" w:hAnsi="Times New Roman" w:cs="Times New Roman"/>
                <w:sz w:val="16"/>
                <w:szCs w:val="20"/>
              </w:rPr>
              <w:t>Risk</w:t>
            </w:r>
          </w:p>
        </w:tc>
        <w:tc>
          <w:tcPr>
            <w:tcW w:w="381" w:type="pct"/>
            <w:tcBorders>
              <w:top w:val="single" w:sz="4" w:space="0" w:color="auto"/>
              <w:left w:val="single" w:sz="4" w:space="0" w:color="auto"/>
              <w:bottom w:val="single" w:sz="4" w:space="0" w:color="auto"/>
            </w:tcBorders>
            <w:vAlign w:val="center"/>
          </w:tcPr>
          <w:p w14:paraId="26A63856"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0.009</w:t>
            </w:r>
          </w:p>
          <w:p w14:paraId="51CBFB4E"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(0.005)</w:t>
            </w:r>
          </w:p>
        </w:tc>
        <w:tc>
          <w:tcPr>
            <w:tcW w:w="370" w:type="pct"/>
            <w:tcBorders>
              <w:top w:val="single" w:sz="4" w:space="0" w:color="auto"/>
              <w:bottom w:val="single" w:sz="4" w:space="0" w:color="auto"/>
            </w:tcBorders>
            <w:vAlign w:val="center"/>
          </w:tcPr>
          <w:p w14:paraId="1974C4CB"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2.806</w:t>
            </w:r>
          </w:p>
        </w:tc>
        <w:tc>
          <w:tcPr>
            <w:tcW w:w="381" w:type="pct"/>
            <w:tcBorders>
              <w:top w:val="single" w:sz="4" w:space="0" w:color="auto"/>
              <w:bottom w:val="single" w:sz="4" w:space="0" w:color="auto"/>
            </w:tcBorders>
            <w:vAlign w:val="center"/>
          </w:tcPr>
          <w:p w14:paraId="2FAE50FA"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0.322</w:t>
            </w:r>
          </w:p>
          <w:p w14:paraId="4D654742"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(0.718)</w:t>
            </w:r>
          </w:p>
        </w:tc>
        <w:tc>
          <w:tcPr>
            <w:tcW w:w="370" w:type="pct"/>
            <w:tcBorders>
              <w:top w:val="single" w:sz="4" w:space="0" w:color="auto"/>
              <w:bottom w:val="single" w:sz="4" w:space="0" w:color="auto"/>
            </w:tcBorders>
            <w:vAlign w:val="center"/>
          </w:tcPr>
          <w:p w14:paraId="416B90E8"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0.362</w:t>
            </w:r>
          </w:p>
        </w:tc>
        <w:tc>
          <w:tcPr>
            <w:tcW w:w="381" w:type="pct"/>
            <w:tcBorders>
              <w:top w:val="single" w:sz="4" w:space="0" w:color="auto"/>
              <w:bottom w:val="single" w:sz="4" w:space="0" w:color="auto"/>
            </w:tcBorders>
            <w:vAlign w:val="center"/>
          </w:tcPr>
          <w:p w14:paraId="56A2FDA1"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0.017</w:t>
            </w:r>
          </w:p>
          <w:p w14:paraId="45E8F22A"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(0.883)</w:t>
            </w:r>
          </w:p>
        </w:tc>
        <w:tc>
          <w:tcPr>
            <w:tcW w:w="370" w:type="pct"/>
            <w:tcBorders>
              <w:top w:val="single" w:sz="4" w:space="0" w:color="auto"/>
              <w:bottom w:val="single" w:sz="4" w:space="0" w:color="auto"/>
            </w:tcBorders>
            <w:vAlign w:val="center"/>
          </w:tcPr>
          <w:p w14:paraId="149F0595"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0.148</w:t>
            </w:r>
          </w:p>
        </w:tc>
        <w:tc>
          <w:tcPr>
            <w:tcW w:w="381" w:type="pct"/>
            <w:tcBorders>
              <w:top w:val="single" w:sz="4" w:space="0" w:color="auto"/>
              <w:bottom w:val="single" w:sz="4" w:space="0" w:color="auto"/>
            </w:tcBorders>
            <w:vAlign w:val="center"/>
          </w:tcPr>
          <w:p w14:paraId="33A5F42E"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-0.031</w:t>
            </w:r>
          </w:p>
          <w:p w14:paraId="00955465"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(0.004)</w:t>
            </w:r>
          </w:p>
        </w:tc>
        <w:tc>
          <w:tcPr>
            <w:tcW w:w="370" w:type="pct"/>
            <w:tcBorders>
              <w:top w:val="single" w:sz="4" w:space="0" w:color="auto"/>
              <w:bottom w:val="single" w:sz="4" w:space="0" w:color="auto"/>
            </w:tcBorders>
            <w:vAlign w:val="center"/>
          </w:tcPr>
          <w:p w14:paraId="7BD34555"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-2.988</w:t>
            </w:r>
          </w:p>
        </w:tc>
        <w:tc>
          <w:tcPr>
            <w:tcW w:w="381" w:type="pct"/>
            <w:tcBorders>
              <w:top w:val="single" w:sz="4" w:space="0" w:color="auto"/>
              <w:bottom w:val="single" w:sz="4" w:space="0" w:color="auto"/>
            </w:tcBorders>
            <w:vAlign w:val="center"/>
          </w:tcPr>
          <w:p w14:paraId="7317D93E"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-0.015</w:t>
            </w:r>
          </w:p>
          <w:p w14:paraId="74F62591"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(0.856)</w:t>
            </w:r>
          </w:p>
        </w:tc>
        <w:tc>
          <w:tcPr>
            <w:tcW w:w="370" w:type="pct"/>
            <w:tcBorders>
              <w:top w:val="single" w:sz="4" w:space="0" w:color="auto"/>
              <w:bottom w:val="single" w:sz="4" w:space="0" w:color="auto"/>
            </w:tcBorders>
            <w:vAlign w:val="center"/>
          </w:tcPr>
          <w:p w14:paraId="220C2A3B"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-0.170</w:t>
            </w:r>
          </w:p>
        </w:tc>
        <w:tc>
          <w:tcPr>
            <w:tcW w:w="381" w:type="pct"/>
            <w:tcBorders>
              <w:top w:val="single" w:sz="4" w:space="0" w:color="auto"/>
              <w:bottom w:val="single" w:sz="4" w:space="0" w:color="auto"/>
            </w:tcBorders>
            <w:vAlign w:val="center"/>
          </w:tcPr>
          <w:p w14:paraId="47BCEB54"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-0.003</w:t>
            </w:r>
          </w:p>
          <w:p w14:paraId="359CE3D0"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(0.591)</w:t>
            </w:r>
          </w:p>
        </w:tc>
        <w:tc>
          <w:tcPr>
            <w:tcW w:w="369" w:type="pct"/>
            <w:tcBorders>
              <w:top w:val="single" w:sz="4" w:space="0" w:color="auto"/>
              <w:bottom w:val="single" w:sz="4" w:space="0" w:color="auto"/>
            </w:tcBorders>
            <w:vAlign w:val="center"/>
          </w:tcPr>
          <w:p w14:paraId="5EDC646C"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-0.539</w:t>
            </w:r>
          </w:p>
        </w:tc>
      </w:tr>
      <w:tr w:rsidR="00E96B20" w:rsidRPr="00E96B20" w14:paraId="59EC86B7" w14:textId="77777777" w:rsidTr="00575C43">
        <w:trPr>
          <w:trHeight w:val="283"/>
          <w:jc w:val="center"/>
        </w:trPr>
        <w:tc>
          <w:tcPr>
            <w:tcW w:w="494" w:type="pct"/>
            <w:tcBorders>
              <w:top w:val="single" w:sz="4" w:space="0" w:color="auto"/>
              <w:bottom w:val="single" w:sz="4" w:space="0" w:color="auto"/>
              <w:right w:val="single" w:sz="4" w:space="0" w:color="auto"/>
            </w:tcBorders>
          </w:tcPr>
          <w:p w14:paraId="149EE7BC" w14:textId="77777777" w:rsidR="00E40A40" w:rsidRPr="00E96B20" w:rsidRDefault="00E40A40" w:rsidP="00E40A40">
            <w:pPr>
              <w:tabs>
                <w:tab w:val="left" w:pos="4536"/>
              </w:tabs>
              <w:autoSpaceDE w:val="0"/>
              <w:autoSpaceDN w:val="0"/>
              <w:adjustRightInd w:val="0"/>
              <w:jc w:val="both"/>
              <w:rPr>
                <w:rFonts w:ascii="Times New Roman" w:hAnsi="Times New Roman" w:cs="Times New Roman"/>
                <w:sz w:val="16"/>
                <w:szCs w:val="20"/>
              </w:rPr>
            </w:pPr>
            <w:r w:rsidRPr="00E96B20">
              <w:rPr>
                <w:rFonts w:ascii="Times New Roman" w:hAnsi="Times New Roman" w:cs="Times New Roman"/>
                <w:sz w:val="16"/>
                <w:szCs w:val="20"/>
              </w:rPr>
              <w:t>Size</w:t>
            </w:r>
          </w:p>
        </w:tc>
        <w:tc>
          <w:tcPr>
            <w:tcW w:w="381" w:type="pct"/>
            <w:tcBorders>
              <w:top w:val="single" w:sz="4" w:space="0" w:color="auto"/>
              <w:left w:val="single" w:sz="4" w:space="0" w:color="auto"/>
              <w:bottom w:val="single" w:sz="4" w:space="0" w:color="auto"/>
            </w:tcBorders>
            <w:vAlign w:val="center"/>
          </w:tcPr>
          <w:p w14:paraId="2F2CE0BA"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0.004</w:t>
            </w:r>
          </w:p>
          <w:p w14:paraId="67B619B5"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(0.384</w:t>
            </w:r>
          </w:p>
        </w:tc>
        <w:tc>
          <w:tcPr>
            <w:tcW w:w="370" w:type="pct"/>
            <w:tcBorders>
              <w:top w:val="single" w:sz="4" w:space="0" w:color="auto"/>
              <w:bottom w:val="single" w:sz="4" w:space="0" w:color="auto"/>
            </w:tcBorders>
            <w:vAlign w:val="center"/>
          </w:tcPr>
          <w:p w14:paraId="5005224C"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0.671</w:t>
            </w:r>
          </w:p>
        </w:tc>
        <w:tc>
          <w:tcPr>
            <w:tcW w:w="381" w:type="pct"/>
            <w:tcBorders>
              <w:top w:val="single" w:sz="4" w:space="0" w:color="auto"/>
              <w:bottom w:val="single" w:sz="4" w:space="0" w:color="auto"/>
            </w:tcBorders>
            <w:vAlign w:val="center"/>
          </w:tcPr>
          <w:p w14:paraId="7001ACE0"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-0.031</w:t>
            </w:r>
          </w:p>
          <w:p w14:paraId="0B520377"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(0.000)</w:t>
            </w:r>
          </w:p>
        </w:tc>
        <w:tc>
          <w:tcPr>
            <w:tcW w:w="370" w:type="pct"/>
            <w:tcBorders>
              <w:top w:val="single" w:sz="4" w:space="0" w:color="auto"/>
              <w:bottom w:val="single" w:sz="4" w:space="0" w:color="auto"/>
            </w:tcBorders>
            <w:vAlign w:val="center"/>
          </w:tcPr>
          <w:p w14:paraId="645BA9E5"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-3.756</w:t>
            </w:r>
          </w:p>
        </w:tc>
        <w:tc>
          <w:tcPr>
            <w:tcW w:w="381" w:type="pct"/>
            <w:tcBorders>
              <w:top w:val="single" w:sz="4" w:space="0" w:color="auto"/>
              <w:bottom w:val="single" w:sz="4" w:space="0" w:color="auto"/>
            </w:tcBorders>
            <w:vAlign w:val="center"/>
          </w:tcPr>
          <w:p w14:paraId="2B91A2D7" w14:textId="77777777" w:rsidR="00E40A40" w:rsidRPr="00E96B20" w:rsidRDefault="00E40A40" w:rsidP="00E96B20">
            <w:pPr>
              <w:tabs>
                <w:tab w:val="left" w:pos="4536"/>
              </w:tabs>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-0.005</w:t>
            </w:r>
          </w:p>
          <w:p w14:paraId="0D20D41F" w14:textId="77777777" w:rsidR="00E40A40" w:rsidRPr="00E96B20" w:rsidRDefault="00E40A40" w:rsidP="00E96B20">
            <w:pPr>
              <w:tabs>
                <w:tab w:val="left" w:pos="4536"/>
              </w:tabs>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(0.314)</w:t>
            </w:r>
          </w:p>
        </w:tc>
        <w:tc>
          <w:tcPr>
            <w:tcW w:w="370" w:type="pct"/>
            <w:tcBorders>
              <w:top w:val="single" w:sz="4" w:space="0" w:color="auto"/>
              <w:bottom w:val="single" w:sz="4" w:space="0" w:color="auto"/>
            </w:tcBorders>
            <w:vAlign w:val="center"/>
          </w:tcPr>
          <w:p w14:paraId="3F765DB6"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-0.436</w:t>
            </w:r>
          </w:p>
        </w:tc>
        <w:tc>
          <w:tcPr>
            <w:tcW w:w="381" w:type="pct"/>
            <w:tcBorders>
              <w:top w:val="single" w:sz="4" w:space="0" w:color="auto"/>
              <w:bottom w:val="single" w:sz="4" w:space="0" w:color="auto"/>
            </w:tcBorders>
            <w:vAlign w:val="center"/>
          </w:tcPr>
          <w:p w14:paraId="3AF5EEA7"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-0.021</w:t>
            </w:r>
          </w:p>
          <w:p w14:paraId="07D146DA"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(0.000)</w:t>
            </w:r>
          </w:p>
        </w:tc>
        <w:tc>
          <w:tcPr>
            <w:tcW w:w="370" w:type="pct"/>
            <w:tcBorders>
              <w:top w:val="single" w:sz="4" w:space="0" w:color="auto"/>
              <w:bottom w:val="single" w:sz="4" w:space="0" w:color="auto"/>
            </w:tcBorders>
            <w:vAlign w:val="center"/>
          </w:tcPr>
          <w:p w14:paraId="0297C5EE"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-3.934</w:t>
            </w:r>
          </w:p>
        </w:tc>
        <w:tc>
          <w:tcPr>
            <w:tcW w:w="381" w:type="pct"/>
            <w:tcBorders>
              <w:top w:val="single" w:sz="4" w:space="0" w:color="auto"/>
              <w:bottom w:val="single" w:sz="4" w:space="0" w:color="auto"/>
            </w:tcBorders>
            <w:vAlign w:val="center"/>
          </w:tcPr>
          <w:p w14:paraId="1390FFCC"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0.463</w:t>
            </w:r>
          </w:p>
          <w:p w14:paraId="3CB201C4"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(0.021)</w:t>
            </w:r>
          </w:p>
        </w:tc>
        <w:tc>
          <w:tcPr>
            <w:tcW w:w="370" w:type="pct"/>
            <w:tcBorders>
              <w:top w:val="single" w:sz="4" w:space="0" w:color="auto"/>
              <w:bottom w:val="single" w:sz="4" w:space="0" w:color="auto"/>
            </w:tcBorders>
            <w:vAlign w:val="center"/>
          </w:tcPr>
          <w:p w14:paraId="13FA7FB7"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2.383</w:t>
            </w:r>
          </w:p>
        </w:tc>
        <w:tc>
          <w:tcPr>
            <w:tcW w:w="381" w:type="pct"/>
            <w:tcBorders>
              <w:top w:val="single" w:sz="4" w:space="0" w:color="auto"/>
              <w:bottom w:val="single" w:sz="4" w:space="0" w:color="auto"/>
            </w:tcBorders>
            <w:vAlign w:val="center"/>
          </w:tcPr>
          <w:p w14:paraId="0C025C36"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0.009</w:t>
            </w:r>
          </w:p>
          <w:p w14:paraId="51983718"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(0.307)</w:t>
            </w:r>
          </w:p>
        </w:tc>
        <w:tc>
          <w:tcPr>
            <w:tcW w:w="369" w:type="pct"/>
            <w:tcBorders>
              <w:top w:val="single" w:sz="4" w:space="0" w:color="auto"/>
              <w:bottom w:val="single" w:sz="4" w:space="0" w:color="auto"/>
            </w:tcBorders>
            <w:vAlign w:val="center"/>
          </w:tcPr>
          <w:p w14:paraId="57866564"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1.027</w:t>
            </w:r>
          </w:p>
        </w:tc>
      </w:tr>
      <w:tr w:rsidR="007F15D8" w:rsidRPr="00E96B20" w14:paraId="2E9DABAF" w14:textId="77777777" w:rsidTr="00575C43">
        <w:trPr>
          <w:trHeight w:val="283"/>
          <w:jc w:val="center"/>
        </w:trPr>
        <w:tc>
          <w:tcPr>
            <w:tcW w:w="494" w:type="pct"/>
            <w:tcBorders>
              <w:top w:val="single" w:sz="4" w:space="0" w:color="auto"/>
              <w:bottom w:val="single" w:sz="4" w:space="0" w:color="auto"/>
              <w:right w:val="single" w:sz="4" w:space="0" w:color="auto"/>
            </w:tcBorders>
          </w:tcPr>
          <w:p w14:paraId="61F90F11" w14:textId="77777777" w:rsidR="00E40A40" w:rsidRPr="00E96B20" w:rsidRDefault="00E40A40" w:rsidP="00E40A40">
            <w:pPr>
              <w:tabs>
                <w:tab w:val="left" w:pos="4536"/>
              </w:tabs>
              <w:autoSpaceDE w:val="0"/>
              <w:autoSpaceDN w:val="0"/>
              <w:adjustRightInd w:val="0"/>
              <w:jc w:val="both"/>
              <w:rPr>
                <w:rFonts w:ascii="Times New Roman" w:hAnsi="Times New Roman" w:cs="Times New Roman"/>
                <w:sz w:val="16"/>
                <w:szCs w:val="20"/>
              </w:rPr>
            </w:pPr>
            <w:r w:rsidRPr="00E96B20">
              <w:rPr>
                <w:rFonts w:ascii="Times New Roman" w:hAnsi="Times New Roman" w:cs="Times New Roman"/>
                <w:sz w:val="16"/>
                <w:szCs w:val="20"/>
              </w:rPr>
              <w:t>R (Model)</w:t>
            </w:r>
          </w:p>
        </w:tc>
        <w:tc>
          <w:tcPr>
            <w:tcW w:w="751" w:type="pct"/>
            <w:gridSpan w:val="2"/>
            <w:tcBorders>
              <w:top w:val="single" w:sz="4" w:space="0" w:color="auto"/>
              <w:left w:val="single" w:sz="4" w:space="0" w:color="auto"/>
              <w:bottom w:val="single" w:sz="4" w:space="0" w:color="auto"/>
            </w:tcBorders>
            <w:vAlign w:val="center"/>
          </w:tcPr>
          <w:p w14:paraId="2AC3F14B"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0.134*</w:t>
            </w:r>
          </w:p>
        </w:tc>
        <w:tc>
          <w:tcPr>
            <w:tcW w:w="751" w:type="pct"/>
            <w:gridSpan w:val="2"/>
            <w:tcBorders>
              <w:top w:val="single" w:sz="4" w:space="0" w:color="auto"/>
              <w:bottom w:val="single" w:sz="4" w:space="0" w:color="auto"/>
            </w:tcBorders>
            <w:vAlign w:val="center"/>
          </w:tcPr>
          <w:p w14:paraId="3A0C9639"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0.211**</w:t>
            </w:r>
          </w:p>
        </w:tc>
        <w:tc>
          <w:tcPr>
            <w:tcW w:w="751" w:type="pct"/>
            <w:gridSpan w:val="2"/>
            <w:tcBorders>
              <w:top w:val="single" w:sz="4" w:space="0" w:color="auto"/>
              <w:bottom w:val="single" w:sz="4" w:space="0" w:color="auto"/>
            </w:tcBorders>
            <w:vAlign w:val="center"/>
          </w:tcPr>
          <w:p w14:paraId="0FEBE998"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0.055</w:t>
            </w:r>
          </w:p>
        </w:tc>
        <w:tc>
          <w:tcPr>
            <w:tcW w:w="751" w:type="pct"/>
            <w:gridSpan w:val="2"/>
            <w:tcBorders>
              <w:top w:val="single" w:sz="4" w:space="0" w:color="auto"/>
              <w:bottom w:val="single" w:sz="4" w:space="0" w:color="auto"/>
            </w:tcBorders>
            <w:vAlign w:val="center"/>
          </w:tcPr>
          <w:p w14:paraId="686D1A5F"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0.608</w:t>
            </w:r>
          </w:p>
        </w:tc>
        <w:tc>
          <w:tcPr>
            <w:tcW w:w="751" w:type="pct"/>
            <w:gridSpan w:val="2"/>
            <w:tcBorders>
              <w:top w:val="single" w:sz="4" w:space="0" w:color="auto"/>
              <w:bottom w:val="single" w:sz="4" w:space="0" w:color="auto"/>
            </w:tcBorders>
            <w:vAlign w:val="center"/>
          </w:tcPr>
          <w:p w14:paraId="3C99AA85"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0.391</w:t>
            </w:r>
          </w:p>
        </w:tc>
        <w:tc>
          <w:tcPr>
            <w:tcW w:w="751" w:type="pct"/>
            <w:gridSpan w:val="2"/>
            <w:tcBorders>
              <w:top w:val="single" w:sz="4" w:space="0" w:color="auto"/>
              <w:bottom w:val="single" w:sz="4" w:space="0" w:color="auto"/>
            </w:tcBorders>
            <w:vAlign w:val="center"/>
          </w:tcPr>
          <w:p w14:paraId="6E2F7B64"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0.219</w:t>
            </w:r>
          </w:p>
        </w:tc>
      </w:tr>
      <w:tr w:rsidR="007F15D8" w:rsidRPr="00E96B20" w14:paraId="5DFFDD79" w14:textId="77777777" w:rsidTr="00575C43">
        <w:trPr>
          <w:trHeight w:val="283"/>
          <w:jc w:val="center"/>
        </w:trPr>
        <w:tc>
          <w:tcPr>
            <w:tcW w:w="494" w:type="pct"/>
            <w:tcBorders>
              <w:top w:val="single" w:sz="4" w:space="0" w:color="auto"/>
              <w:bottom w:val="single" w:sz="4" w:space="0" w:color="auto"/>
              <w:right w:val="single" w:sz="4" w:space="0" w:color="auto"/>
            </w:tcBorders>
          </w:tcPr>
          <w:p w14:paraId="71D011E4" w14:textId="77777777" w:rsidR="00E40A40" w:rsidRPr="00E96B20" w:rsidRDefault="00E40A40" w:rsidP="00E40A40">
            <w:pPr>
              <w:tabs>
                <w:tab w:val="left" w:pos="4536"/>
              </w:tabs>
              <w:autoSpaceDE w:val="0"/>
              <w:autoSpaceDN w:val="0"/>
              <w:adjustRightInd w:val="0"/>
              <w:jc w:val="both"/>
              <w:rPr>
                <w:rFonts w:ascii="Times New Roman" w:hAnsi="Times New Roman" w:cs="Times New Roman"/>
                <w:sz w:val="16"/>
                <w:szCs w:val="20"/>
              </w:rPr>
            </w:pPr>
            <w:r w:rsidRPr="00E96B20">
              <w:rPr>
                <w:rFonts w:ascii="Times New Roman" w:hAnsi="Times New Roman" w:cs="Times New Roman"/>
                <w:sz w:val="16"/>
                <w:szCs w:val="20"/>
              </w:rPr>
              <w:t>R2</w:t>
            </w:r>
          </w:p>
        </w:tc>
        <w:tc>
          <w:tcPr>
            <w:tcW w:w="751" w:type="pct"/>
            <w:gridSpan w:val="2"/>
            <w:tcBorders>
              <w:top w:val="single" w:sz="4" w:space="0" w:color="auto"/>
              <w:left w:val="single" w:sz="4" w:space="0" w:color="auto"/>
              <w:bottom w:val="single" w:sz="4" w:space="0" w:color="auto"/>
            </w:tcBorders>
            <w:vAlign w:val="center"/>
          </w:tcPr>
          <w:p w14:paraId="564B564E"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0.018</w:t>
            </w:r>
          </w:p>
        </w:tc>
        <w:tc>
          <w:tcPr>
            <w:tcW w:w="751" w:type="pct"/>
            <w:gridSpan w:val="2"/>
            <w:tcBorders>
              <w:top w:val="single" w:sz="4" w:space="0" w:color="auto"/>
              <w:bottom w:val="single" w:sz="4" w:space="0" w:color="auto"/>
            </w:tcBorders>
            <w:vAlign w:val="center"/>
          </w:tcPr>
          <w:p w14:paraId="233ADF8E"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0.044</w:t>
            </w:r>
          </w:p>
        </w:tc>
        <w:tc>
          <w:tcPr>
            <w:tcW w:w="751" w:type="pct"/>
            <w:gridSpan w:val="2"/>
            <w:tcBorders>
              <w:top w:val="single" w:sz="4" w:space="0" w:color="auto"/>
              <w:bottom w:val="single" w:sz="4" w:space="0" w:color="auto"/>
            </w:tcBorders>
            <w:vAlign w:val="center"/>
          </w:tcPr>
          <w:p w14:paraId="249F0FAC"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0.003</w:t>
            </w:r>
          </w:p>
        </w:tc>
        <w:tc>
          <w:tcPr>
            <w:tcW w:w="751" w:type="pct"/>
            <w:gridSpan w:val="2"/>
            <w:tcBorders>
              <w:top w:val="single" w:sz="4" w:space="0" w:color="auto"/>
              <w:bottom w:val="single" w:sz="4" w:space="0" w:color="auto"/>
            </w:tcBorders>
            <w:vAlign w:val="center"/>
          </w:tcPr>
          <w:p w14:paraId="0528FF19"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0.370</w:t>
            </w:r>
          </w:p>
        </w:tc>
        <w:tc>
          <w:tcPr>
            <w:tcW w:w="751" w:type="pct"/>
            <w:gridSpan w:val="2"/>
            <w:tcBorders>
              <w:top w:val="single" w:sz="4" w:space="0" w:color="auto"/>
              <w:bottom w:val="single" w:sz="4" w:space="0" w:color="auto"/>
            </w:tcBorders>
            <w:vAlign w:val="center"/>
          </w:tcPr>
          <w:p w14:paraId="10CF0BBF"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0.153</w:t>
            </w:r>
          </w:p>
        </w:tc>
        <w:tc>
          <w:tcPr>
            <w:tcW w:w="751" w:type="pct"/>
            <w:gridSpan w:val="2"/>
            <w:tcBorders>
              <w:top w:val="single" w:sz="4" w:space="0" w:color="auto"/>
              <w:bottom w:val="single" w:sz="4" w:space="0" w:color="auto"/>
            </w:tcBorders>
            <w:vAlign w:val="center"/>
          </w:tcPr>
          <w:p w14:paraId="7202518F"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0.048</w:t>
            </w:r>
          </w:p>
        </w:tc>
      </w:tr>
      <w:tr w:rsidR="007F15D8" w:rsidRPr="00E96B20" w14:paraId="5FD06D45" w14:textId="77777777" w:rsidTr="00575C43">
        <w:trPr>
          <w:trHeight w:val="283"/>
          <w:jc w:val="center"/>
        </w:trPr>
        <w:tc>
          <w:tcPr>
            <w:tcW w:w="494" w:type="pct"/>
            <w:tcBorders>
              <w:top w:val="single" w:sz="4" w:space="0" w:color="auto"/>
              <w:bottom w:val="single" w:sz="4" w:space="0" w:color="auto"/>
              <w:right w:val="single" w:sz="4" w:space="0" w:color="auto"/>
            </w:tcBorders>
          </w:tcPr>
          <w:p w14:paraId="3BE054FB" w14:textId="77777777" w:rsidR="00E40A40" w:rsidRPr="00E96B20" w:rsidRDefault="00E40A40" w:rsidP="00E40A40">
            <w:pPr>
              <w:tabs>
                <w:tab w:val="left" w:pos="4536"/>
              </w:tabs>
              <w:autoSpaceDE w:val="0"/>
              <w:autoSpaceDN w:val="0"/>
              <w:adjustRightInd w:val="0"/>
              <w:jc w:val="both"/>
              <w:rPr>
                <w:rFonts w:ascii="Times New Roman" w:hAnsi="Times New Roman" w:cs="Times New Roman"/>
                <w:sz w:val="16"/>
                <w:szCs w:val="20"/>
              </w:rPr>
            </w:pPr>
            <w:r w:rsidRPr="00E96B20">
              <w:rPr>
                <w:rFonts w:ascii="Times New Roman" w:hAnsi="Times New Roman" w:cs="Times New Roman"/>
                <w:sz w:val="16"/>
                <w:szCs w:val="20"/>
              </w:rPr>
              <w:t>F-value</w:t>
            </w:r>
          </w:p>
        </w:tc>
        <w:tc>
          <w:tcPr>
            <w:tcW w:w="751" w:type="pct"/>
            <w:gridSpan w:val="2"/>
            <w:tcBorders>
              <w:top w:val="single" w:sz="4" w:space="0" w:color="auto"/>
              <w:left w:val="single" w:sz="4" w:space="0" w:color="auto"/>
              <w:bottom w:val="single" w:sz="4" w:space="0" w:color="auto"/>
            </w:tcBorders>
            <w:vAlign w:val="center"/>
          </w:tcPr>
          <w:p w14:paraId="2828FBD9"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3.218</w:t>
            </w:r>
          </w:p>
        </w:tc>
        <w:tc>
          <w:tcPr>
            <w:tcW w:w="751" w:type="pct"/>
            <w:gridSpan w:val="2"/>
            <w:tcBorders>
              <w:top w:val="single" w:sz="4" w:space="0" w:color="auto"/>
              <w:bottom w:val="single" w:sz="4" w:space="0" w:color="auto"/>
            </w:tcBorders>
            <w:vAlign w:val="center"/>
          </w:tcPr>
          <w:p w14:paraId="4752856E"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7.413</w:t>
            </w:r>
          </w:p>
        </w:tc>
        <w:tc>
          <w:tcPr>
            <w:tcW w:w="751" w:type="pct"/>
            <w:gridSpan w:val="2"/>
            <w:tcBorders>
              <w:top w:val="single" w:sz="4" w:space="0" w:color="auto"/>
              <w:bottom w:val="single" w:sz="4" w:space="0" w:color="auto"/>
            </w:tcBorders>
            <w:vAlign w:val="center"/>
          </w:tcPr>
          <w:p w14:paraId="43D59F62"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0.113</w:t>
            </w:r>
          </w:p>
        </w:tc>
        <w:tc>
          <w:tcPr>
            <w:tcW w:w="751" w:type="pct"/>
            <w:gridSpan w:val="2"/>
            <w:tcBorders>
              <w:top w:val="single" w:sz="4" w:space="0" w:color="auto"/>
              <w:bottom w:val="single" w:sz="4" w:space="0" w:color="auto"/>
            </w:tcBorders>
            <w:vAlign w:val="center"/>
          </w:tcPr>
          <w:p w14:paraId="755044F2"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10.141</w:t>
            </w:r>
          </w:p>
        </w:tc>
        <w:tc>
          <w:tcPr>
            <w:tcW w:w="751" w:type="pct"/>
            <w:gridSpan w:val="2"/>
            <w:tcBorders>
              <w:top w:val="single" w:sz="4" w:space="0" w:color="auto"/>
              <w:bottom w:val="single" w:sz="4" w:space="0" w:color="auto"/>
            </w:tcBorders>
            <w:vAlign w:val="center"/>
          </w:tcPr>
          <w:p w14:paraId="2371E9A8"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2.211</w:t>
            </w:r>
          </w:p>
        </w:tc>
        <w:tc>
          <w:tcPr>
            <w:tcW w:w="751" w:type="pct"/>
            <w:gridSpan w:val="2"/>
            <w:tcBorders>
              <w:top w:val="single" w:sz="4" w:space="0" w:color="auto"/>
              <w:bottom w:val="single" w:sz="4" w:space="0" w:color="auto"/>
            </w:tcBorders>
            <w:vAlign w:val="center"/>
          </w:tcPr>
          <w:p w14:paraId="641DA1AE"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1.440</w:t>
            </w:r>
          </w:p>
        </w:tc>
      </w:tr>
      <w:tr w:rsidR="007F15D8" w:rsidRPr="00E96B20" w14:paraId="12B807FC" w14:textId="77777777" w:rsidTr="00575C43">
        <w:trPr>
          <w:trHeight w:val="283"/>
          <w:jc w:val="center"/>
        </w:trPr>
        <w:tc>
          <w:tcPr>
            <w:tcW w:w="494" w:type="pct"/>
            <w:tcBorders>
              <w:top w:val="single" w:sz="4" w:space="0" w:color="auto"/>
              <w:bottom w:val="single" w:sz="4" w:space="0" w:color="auto"/>
              <w:right w:val="single" w:sz="4" w:space="0" w:color="auto"/>
            </w:tcBorders>
          </w:tcPr>
          <w:p w14:paraId="59FCE0D5" w14:textId="77777777" w:rsidR="00E40A40" w:rsidRPr="00E96B20" w:rsidRDefault="00E40A40" w:rsidP="00E40A40">
            <w:pPr>
              <w:tabs>
                <w:tab w:val="left" w:pos="4536"/>
              </w:tabs>
              <w:autoSpaceDE w:val="0"/>
              <w:autoSpaceDN w:val="0"/>
              <w:adjustRightInd w:val="0"/>
              <w:jc w:val="both"/>
              <w:rPr>
                <w:rFonts w:ascii="Times New Roman" w:hAnsi="Times New Roman" w:cs="Times New Roman"/>
                <w:sz w:val="16"/>
                <w:szCs w:val="20"/>
              </w:rPr>
            </w:pPr>
            <w:r w:rsidRPr="00E96B20">
              <w:rPr>
                <w:rFonts w:ascii="Times New Roman" w:hAnsi="Times New Roman" w:cs="Times New Roman"/>
                <w:sz w:val="16"/>
                <w:szCs w:val="20"/>
              </w:rPr>
              <w:t>Sig.</w:t>
            </w:r>
          </w:p>
        </w:tc>
        <w:tc>
          <w:tcPr>
            <w:tcW w:w="751" w:type="pct"/>
            <w:gridSpan w:val="2"/>
            <w:tcBorders>
              <w:top w:val="single" w:sz="4" w:space="0" w:color="auto"/>
              <w:left w:val="single" w:sz="4" w:space="0" w:color="auto"/>
              <w:bottom w:val="single" w:sz="4" w:space="0" w:color="auto"/>
            </w:tcBorders>
            <w:vAlign w:val="center"/>
          </w:tcPr>
          <w:p w14:paraId="554A3361"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0.012*</w:t>
            </w:r>
          </w:p>
        </w:tc>
        <w:tc>
          <w:tcPr>
            <w:tcW w:w="751" w:type="pct"/>
            <w:gridSpan w:val="2"/>
            <w:tcBorders>
              <w:top w:val="single" w:sz="4" w:space="0" w:color="auto"/>
              <w:bottom w:val="single" w:sz="4" w:space="0" w:color="auto"/>
            </w:tcBorders>
            <w:vAlign w:val="center"/>
          </w:tcPr>
          <w:p w14:paraId="1AA1EE93"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0.000</w:t>
            </w:r>
          </w:p>
        </w:tc>
        <w:tc>
          <w:tcPr>
            <w:tcW w:w="751" w:type="pct"/>
            <w:gridSpan w:val="2"/>
            <w:tcBorders>
              <w:top w:val="single" w:sz="4" w:space="0" w:color="auto"/>
              <w:bottom w:val="single" w:sz="4" w:space="0" w:color="auto"/>
            </w:tcBorders>
            <w:vAlign w:val="center"/>
          </w:tcPr>
          <w:p w14:paraId="514A4B2D"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0.893</w:t>
            </w:r>
          </w:p>
        </w:tc>
        <w:tc>
          <w:tcPr>
            <w:tcW w:w="751" w:type="pct"/>
            <w:gridSpan w:val="2"/>
            <w:tcBorders>
              <w:top w:val="single" w:sz="4" w:space="0" w:color="auto"/>
              <w:bottom w:val="single" w:sz="4" w:space="0" w:color="auto"/>
            </w:tcBorders>
            <w:vAlign w:val="center"/>
          </w:tcPr>
          <w:p w14:paraId="2A32EC05"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0.000</w:t>
            </w:r>
          </w:p>
        </w:tc>
        <w:tc>
          <w:tcPr>
            <w:tcW w:w="751" w:type="pct"/>
            <w:gridSpan w:val="2"/>
            <w:tcBorders>
              <w:top w:val="single" w:sz="4" w:space="0" w:color="auto"/>
              <w:bottom w:val="single" w:sz="4" w:space="0" w:color="auto"/>
            </w:tcBorders>
            <w:vAlign w:val="center"/>
          </w:tcPr>
          <w:p w14:paraId="7E953A27"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0.081</w:t>
            </w:r>
          </w:p>
        </w:tc>
        <w:tc>
          <w:tcPr>
            <w:tcW w:w="751" w:type="pct"/>
            <w:gridSpan w:val="2"/>
            <w:tcBorders>
              <w:top w:val="single" w:sz="4" w:space="0" w:color="auto"/>
              <w:bottom w:val="single" w:sz="4" w:space="0" w:color="auto"/>
            </w:tcBorders>
            <w:vAlign w:val="center"/>
          </w:tcPr>
          <w:p w14:paraId="3DE4EF2B"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0.225</w:t>
            </w:r>
          </w:p>
        </w:tc>
      </w:tr>
    </w:tbl>
    <w:p w14:paraId="3B29611D" w14:textId="7E19768E" w:rsidR="00FD4287" w:rsidRPr="00E96B20" w:rsidRDefault="00215E9A" w:rsidP="00E96B20">
      <w:pPr>
        <w:autoSpaceDE w:val="0"/>
        <w:autoSpaceDN w:val="0"/>
        <w:adjustRightInd w:val="0"/>
        <w:snapToGrid w:val="0"/>
        <w:spacing w:after="0" w:line="360" w:lineRule="exact"/>
        <w:rPr>
          <w:rFonts w:asciiTheme="majorBidi" w:hAnsiTheme="majorBidi" w:cstheme="majorBidi"/>
          <w:szCs w:val="16"/>
        </w:rPr>
      </w:pPr>
      <w:r w:rsidRPr="00215E9A">
        <w:rPr>
          <w:rFonts w:asciiTheme="majorBidi" w:hAnsiTheme="majorBidi" w:cstheme="majorBidi"/>
          <w:i/>
          <w:szCs w:val="24"/>
        </w:rPr>
        <w:t>Note.</w:t>
      </w:r>
      <w:r>
        <w:rPr>
          <w:rFonts w:asciiTheme="majorBidi" w:hAnsiTheme="majorBidi" w:cstheme="majorBidi"/>
          <w:i/>
          <w:szCs w:val="24"/>
        </w:rPr>
        <w:t xml:space="preserve"> </w:t>
      </w:r>
      <w:r w:rsidR="00FD4287" w:rsidRPr="00E96B20">
        <w:rPr>
          <w:rFonts w:asciiTheme="majorBidi" w:hAnsiTheme="majorBidi" w:cstheme="majorBidi"/>
          <w:szCs w:val="16"/>
        </w:rPr>
        <w:t>**Correlation is significant at the 0.01 level (2-tailed).</w:t>
      </w:r>
    </w:p>
    <w:p w14:paraId="3D7F772B" w14:textId="68A69D66" w:rsidR="00FD4287" w:rsidRPr="00E96B20" w:rsidRDefault="00FD4287" w:rsidP="00E96B20">
      <w:pPr>
        <w:autoSpaceDE w:val="0"/>
        <w:autoSpaceDN w:val="0"/>
        <w:adjustRightInd w:val="0"/>
        <w:snapToGrid w:val="0"/>
        <w:spacing w:after="0" w:line="360" w:lineRule="exact"/>
        <w:rPr>
          <w:rFonts w:asciiTheme="majorBidi" w:hAnsiTheme="majorBidi" w:cstheme="majorBidi"/>
          <w:szCs w:val="16"/>
        </w:rPr>
      </w:pPr>
      <w:r w:rsidRPr="00E96B20">
        <w:rPr>
          <w:rFonts w:asciiTheme="majorBidi" w:hAnsiTheme="majorBidi" w:cstheme="majorBidi"/>
          <w:szCs w:val="16"/>
        </w:rPr>
        <w:t>*Correlation is significant at the 0.05 level (2-tailed).</w:t>
      </w:r>
    </w:p>
    <w:p w14:paraId="5AF14BE3" w14:textId="77777777" w:rsidR="00E96B20" w:rsidRPr="007F15D8" w:rsidRDefault="00E96B20" w:rsidP="00E96B20">
      <w:pPr>
        <w:autoSpaceDE w:val="0"/>
        <w:autoSpaceDN w:val="0"/>
        <w:adjustRightInd w:val="0"/>
        <w:snapToGrid w:val="0"/>
        <w:spacing w:after="0" w:line="360" w:lineRule="exact"/>
        <w:rPr>
          <w:rFonts w:asciiTheme="majorBidi" w:hAnsiTheme="majorBidi" w:cstheme="majorBidi"/>
          <w:sz w:val="16"/>
          <w:szCs w:val="16"/>
        </w:rPr>
      </w:pPr>
    </w:p>
    <w:p w14:paraId="0123D774" w14:textId="6BA40510" w:rsidR="00D5790E" w:rsidRPr="007F15D8" w:rsidRDefault="008D3063" w:rsidP="00E96B20">
      <w:pPr>
        <w:autoSpaceDE w:val="0"/>
        <w:autoSpaceDN w:val="0"/>
        <w:adjustRightInd w:val="0"/>
        <w:snapToGrid w:val="0"/>
        <w:spacing w:after="0" w:line="360" w:lineRule="exact"/>
        <w:ind w:firstLine="510"/>
        <w:jc w:val="both"/>
        <w:rPr>
          <w:rFonts w:asciiTheme="majorBidi" w:hAnsiTheme="majorBidi"/>
          <w:sz w:val="26"/>
        </w:rPr>
      </w:pPr>
      <w:r w:rsidRPr="007F15D8">
        <w:rPr>
          <w:rFonts w:asciiTheme="majorBidi" w:hAnsiTheme="majorBidi"/>
          <w:sz w:val="26"/>
        </w:rPr>
        <w:t xml:space="preserve">Table </w:t>
      </w:r>
      <w:r w:rsidRPr="007F15D8">
        <w:rPr>
          <w:rFonts w:asciiTheme="majorBidi" w:hAnsiTheme="majorBidi" w:cstheme="majorBidi"/>
          <w:sz w:val="26"/>
          <w:szCs w:val="26"/>
        </w:rPr>
        <w:t>17</w:t>
      </w:r>
      <w:r w:rsidR="00D5790E" w:rsidRPr="007F15D8">
        <w:rPr>
          <w:rFonts w:asciiTheme="majorBidi" w:hAnsiTheme="majorBidi"/>
          <w:sz w:val="26"/>
        </w:rPr>
        <w:t xml:space="preserve"> shows that the model of </w:t>
      </w:r>
      <w:r w:rsidR="003214CA" w:rsidRPr="007F15D8">
        <w:rPr>
          <w:rFonts w:asciiTheme="majorBidi" w:hAnsiTheme="majorBidi"/>
          <w:sz w:val="26"/>
        </w:rPr>
        <w:t>EQ-SM and FI</w:t>
      </w:r>
      <w:r w:rsidR="00D5790E" w:rsidRPr="007F15D8">
        <w:rPr>
          <w:rFonts w:asciiTheme="majorBidi" w:hAnsiTheme="majorBidi"/>
          <w:sz w:val="26"/>
        </w:rPr>
        <w:t xml:space="preserve"> is significant in KSA, Oman</w:t>
      </w:r>
      <w:r w:rsidR="00493F85">
        <w:rPr>
          <w:rFonts w:asciiTheme="majorBidi" w:hAnsiTheme="majorBidi"/>
          <w:sz w:val="26"/>
        </w:rPr>
        <w:t>,</w:t>
      </w:r>
      <w:r w:rsidR="00D5790E" w:rsidRPr="007F15D8">
        <w:rPr>
          <w:rFonts w:asciiTheme="majorBidi" w:hAnsiTheme="majorBidi"/>
          <w:sz w:val="26"/>
        </w:rPr>
        <w:t xml:space="preserve"> and Bahrain at 0.05 and 0.01</w:t>
      </w:r>
      <w:r w:rsidR="003214CA" w:rsidRPr="007F15D8">
        <w:rPr>
          <w:rFonts w:asciiTheme="majorBidi" w:hAnsiTheme="majorBidi"/>
          <w:sz w:val="26"/>
        </w:rPr>
        <w:t>,</w:t>
      </w:r>
      <w:r w:rsidR="00D5790E" w:rsidRPr="007F15D8">
        <w:rPr>
          <w:rFonts w:asciiTheme="majorBidi" w:hAnsiTheme="majorBidi"/>
          <w:sz w:val="26"/>
        </w:rPr>
        <w:t xml:space="preserve"> but it is insignificant in Qatar, Kuwait</w:t>
      </w:r>
      <w:r w:rsidR="00493F85">
        <w:rPr>
          <w:rFonts w:asciiTheme="majorBidi" w:hAnsiTheme="majorBidi"/>
          <w:sz w:val="26"/>
        </w:rPr>
        <w:t>,</w:t>
      </w:r>
      <w:r w:rsidR="00D5790E" w:rsidRPr="007F15D8">
        <w:rPr>
          <w:rFonts w:asciiTheme="majorBidi" w:hAnsiTheme="majorBidi"/>
          <w:sz w:val="26"/>
        </w:rPr>
        <w:t xml:space="preserve"> and UAE. The significance of the model is because the control variable</w:t>
      </w:r>
      <w:r w:rsidR="002C7835" w:rsidRPr="007F15D8">
        <w:rPr>
          <w:rFonts w:asciiTheme="majorBidi" w:hAnsiTheme="majorBidi"/>
          <w:sz w:val="26"/>
        </w:rPr>
        <w:t>s</w:t>
      </w:r>
      <w:r w:rsidR="009B35EB" w:rsidRPr="007F15D8">
        <w:rPr>
          <w:rFonts w:asciiTheme="majorBidi" w:hAnsiTheme="majorBidi"/>
          <w:sz w:val="26"/>
        </w:rPr>
        <w:t xml:space="preserve"> </w:t>
      </w:r>
      <w:r w:rsidR="00D5790E" w:rsidRPr="007F15D8">
        <w:rPr>
          <w:rFonts w:asciiTheme="majorBidi" w:hAnsiTheme="majorBidi"/>
          <w:sz w:val="26"/>
        </w:rPr>
        <w:t>as the coefficients of EQ</w:t>
      </w:r>
      <w:r w:rsidR="003214CA" w:rsidRPr="007F15D8">
        <w:rPr>
          <w:rFonts w:asciiTheme="majorBidi" w:hAnsiTheme="majorBidi"/>
          <w:sz w:val="26"/>
        </w:rPr>
        <w:t>-SM</w:t>
      </w:r>
      <w:r w:rsidR="00D5790E" w:rsidRPr="007F15D8">
        <w:rPr>
          <w:rFonts w:asciiTheme="majorBidi" w:hAnsiTheme="majorBidi"/>
          <w:sz w:val="26"/>
        </w:rPr>
        <w:t xml:space="preserve"> are insignificant in all GCC countries. The result of this measure is matched with </w:t>
      </w:r>
      <w:r w:rsidR="004175BD" w:rsidRPr="007F15D8">
        <w:rPr>
          <w:rFonts w:asciiTheme="majorBidi" w:hAnsiTheme="majorBidi"/>
          <w:sz w:val="26"/>
        </w:rPr>
        <w:t xml:space="preserve">what </w:t>
      </w:r>
      <w:r w:rsidR="003214CA" w:rsidRPr="007F15D8">
        <w:rPr>
          <w:rFonts w:asciiTheme="majorBidi" w:hAnsiTheme="majorBidi"/>
          <w:sz w:val="26"/>
        </w:rPr>
        <w:t>we</w:t>
      </w:r>
      <w:r w:rsidR="004175BD" w:rsidRPr="007F15D8">
        <w:rPr>
          <w:rFonts w:asciiTheme="majorBidi" w:hAnsiTheme="majorBidi"/>
          <w:sz w:val="26"/>
        </w:rPr>
        <w:t xml:space="preserve"> predicted</w:t>
      </w:r>
      <w:r w:rsidR="003214CA" w:rsidRPr="007F15D8">
        <w:rPr>
          <w:rFonts w:asciiTheme="majorBidi" w:hAnsiTheme="majorBidi"/>
          <w:sz w:val="26"/>
        </w:rPr>
        <w:t>.</w:t>
      </w:r>
      <w:r w:rsidR="004175BD" w:rsidRPr="007F15D8">
        <w:rPr>
          <w:rFonts w:asciiTheme="majorBidi" w:hAnsiTheme="majorBidi"/>
          <w:sz w:val="26"/>
        </w:rPr>
        <w:t xml:space="preserve"> H6</w:t>
      </w:r>
      <w:r w:rsidR="00D5790E" w:rsidRPr="007F15D8">
        <w:rPr>
          <w:rFonts w:asciiTheme="majorBidi" w:hAnsiTheme="majorBidi"/>
          <w:sz w:val="26"/>
        </w:rPr>
        <w:t xml:space="preserve"> is accepted </w:t>
      </w:r>
      <w:r w:rsidR="003214CA" w:rsidRPr="007F15D8">
        <w:rPr>
          <w:rFonts w:asciiTheme="majorBidi" w:hAnsiTheme="majorBidi"/>
          <w:sz w:val="26"/>
        </w:rPr>
        <w:t xml:space="preserve">in </w:t>
      </w:r>
      <w:r w:rsidR="00D5790E" w:rsidRPr="007F15D8">
        <w:rPr>
          <w:rFonts w:asciiTheme="majorBidi" w:hAnsiTheme="majorBidi"/>
          <w:sz w:val="26"/>
        </w:rPr>
        <w:t xml:space="preserve">that using earnings smoothness will not attract more </w:t>
      </w:r>
      <w:r w:rsidR="003214CA" w:rsidRPr="007F15D8">
        <w:rPr>
          <w:rFonts w:asciiTheme="majorBidi" w:hAnsiTheme="majorBidi"/>
          <w:sz w:val="26"/>
        </w:rPr>
        <w:t xml:space="preserve">foreign investors </w:t>
      </w:r>
      <w:r w:rsidR="00D5790E" w:rsidRPr="007F15D8">
        <w:rPr>
          <w:rFonts w:asciiTheme="majorBidi" w:hAnsiTheme="majorBidi"/>
          <w:sz w:val="26"/>
        </w:rPr>
        <w:t xml:space="preserve">and </w:t>
      </w:r>
      <w:r w:rsidR="003214CA" w:rsidRPr="007F15D8">
        <w:rPr>
          <w:rFonts w:asciiTheme="majorBidi" w:hAnsiTheme="majorBidi"/>
          <w:sz w:val="26"/>
        </w:rPr>
        <w:t>that</w:t>
      </w:r>
      <w:r w:rsidR="00D5790E" w:rsidRPr="007F15D8">
        <w:rPr>
          <w:rFonts w:asciiTheme="majorBidi" w:hAnsiTheme="majorBidi"/>
          <w:sz w:val="26"/>
        </w:rPr>
        <w:t xml:space="preserve"> earnings smoothness is not a desirable practice</w:t>
      </w:r>
      <w:r w:rsidR="00163D54" w:rsidRPr="007F15D8">
        <w:rPr>
          <w:rFonts w:asciiTheme="majorBidi" w:hAnsiTheme="majorBidi"/>
          <w:sz w:val="26"/>
        </w:rPr>
        <w:t>.</w:t>
      </w:r>
      <w:r w:rsidR="00D5790E" w:rsidRPr="007F15D8">
        <w:rPr>
          <w:rFonts w:asciiTheme="majorBidi" w:hAnsiTheme="majorBidi"/>
          <w:sz w:val="26"/>
        </w:rPr>
        <w:t xml:space="preserve"> </w:t>
      </w:r>
      <w:r w:rsidR="00163D54" w:rsidRPr="007F15D8">
        <w:rPr>
          <w:rFonts w:asciiTheme="majorBidi" w:hAnsiTheme="majorBidi"/>
          <w:sz w:val="26"/>
        </w:rPr>
        <w:t>With</w:t>
      </w:r>
      <w:r w:rsidR="00D5790E" w:rsidRPr="007F15D8">
        <w:rPr>
          <w:rFonts w:asciiTheme="majorBidi" w:hAnsiTheme="majorBidi"/>
          <w:sz w:val="26"/>
        </w:rPr>
        <w:t xml:space="preserve"> less knowledge about this measure in GCC region</w:t>
      </w:r>
      <w:r w:rsidR="00163D54" w:rsidRPr="007F15D8">
        <w:rPr>
          <w:rFonts w:asciiTheme="majorBidi" w:hAnsiTheme="majorBidi"/>
          <w:sz w:val="26"/>
        </w:rPr>
        <w:t>,</w:t>
      </w:r>
      <w:r w:rsidR="00D5790E" w:rsidRPr="007F15D8">
        <w:rPr>
          <w:rFonts w:asciiTheme="majorBidi" w:hAnsiTheme="majorBidi"/>
          <w:sz w:val="26"/>
        </w:rPr>
        <w:t xml:space="preserve"> </w:t>
      </w:r>
      <w:r w:rsidR="00163D54" w:rsidRPr="007F15D8">
        <w:rPr>
          <w:rFonts w:asciiTheme="majorBidi" w:hAnsiTheme="majorBidi"/>
          <w:sz w:val="26"/>
        </w:rPr>
        <w:t>foreign investors are un</w:t>
      </w:r>
      <w:r w:rsidR="00D5790E" w:rsidRPr="007F15D8">
        <w:rPr>
          <w:rFonts w:asciiTheme="majorBidi" w:hAnsiTheme="majorBidi"/>
          <w:sz w:val="26"/>
        </w:rPr>
        <w:t xml:space="preserve">sure whether </w:t>
      </w:r>
      <w:r w:rsidR="00163D54" w:rsidRPr="007F15D8">
        <w:rPr>
          <w:rFonts w:asciiTheme="majorBidi" w:hAnsiTheme="majorBidi"/>
          <w:sz w:val="26"/>
        </w:rPr>
        <w:t xml:space="preserve">earnings </w:t>
      </w:r>
      <w:r w:rsidR="00D5790E" w:rsidRPr="007F15D8">
        <w:rPr>
          <w:rFonts w:asciiTheme="majorBidi" w:hAnsiTheme="majorBidi"/>
          <w:sz w:val="26"/>
        </w:rPr>
        <w:t>smoothness is a consequence of earnings management or a good indicator for future cash flow.</w:t>
      </w:r>
    </w:p>
    <w:p w14:paraId="21374358" w14:textId="780DEEB3" w:rsidR="00E96B20" w:rsidRDefault="00D5790E" w:rsidP="00E96B20">
      <w:pPr>
        <w:shd w:val="clear" w:color="auto" w:fill="FFFFFF"/>
        <w:snapToGrid w:val="0"/>
        <w:spacing w:after="0" w:line="360" w:lineRule="exact"/>
        <w:ind w:firstLine="510"/>
        <w:jc w:val="both"/>
        <w:textAlignment w:val="baseline"/>
        <w:rPr>
          <w:rFonts w:asciiTheme="majorBidi" w:hAnsiTheme="majorBidi"/>
          <w:sz w:val="26"/>
        </w:rPr>
      </w:pPr>
      <w:r w:rsidRPr="007F15D8">
        <w:rPr>
          <w:rFonts w:asciiTheme="majorBidi" w:hAnsiTheme="majorBidi"/>
          <w:sz w:val="26"/>
        </w:rPr>
        <w:t xml:space="preserve">The result of this measure is not in line with </w:t>
      </w:r>
      <w:hyperlink r:id="rId11" w:history="1">
        <w:r w:rsidRPr="007F15D8">
          <w:rPr>
            <w:rFonts w:asciiTheme="majorBidi" w:hAnsiTheme="majorBidi"/>
            <w:sz w:val="26"/>
          </w:rPr>
          <w:t xml:space="preserve"> Jung</w:t>
        </w:r>
      </w:hyperlink>
      <w:r w:rsidRPr="007F15D8">
        <w:rPr>
          <w:rFonts w:asciiTheme="majorBidi" w:hAnsiTheme="majorBidi"/>
          <w:sz w:val="26"/>
        </w:rPr>
        <w:t xml:space="preserve"> et al.</w:t>
      </w:r>
      <w:r w:rsidR="00944F99" w:rsidRPr="007F15D8">
        <w:rPr>
          <w:rFonts w:asciiTheme="majorBidi" w:hAnsiTheme="majorBidi"/>
          <w:sz w:val="26"/>
        </w:rPr>
        <w:t xml:space="preserve"> (</w:t>
      </w:r>
      <w:r w:rsidRPr="007F15D8">
        <w:rPr>
          <w:rFonts w:asciiTheme="majorBidi" w:hAnsiTheme="majorBidi"/>
          <w:sz w:val="26"/>
        </w:rPr>
        <w:t xml:space="preserve">2020) </w:t>
      </w:r>
      <w:r w:rsidR="00A41BCF" w:rsidRPr="007F15D8">
        <w:rPr>
          <w:rFonts w:asciiTheme="majorBidi" w:hAnsiTheme="majorBidi"/>
          <w:sz w:val="26"/>
        </w:rPr>
        <w:t>wh</w:t>
      </w:r>
      <w:r w:rsidR="00493F85">
        <w:rPr>
          <w:rFonts w:asciiTheme="majorBidi" w:hAnsiTheme="majorBidi"/>
          <w:sz w:val="26"/>
        </w:rPr>
        <w:t>ich</w:t>
      </w:r>
      <w:r w:rsidR="00A41BCF" w:rsidRPr="007F15D8">
        <w:rPr>
          <w:rFonts w:asciiTheme="majorBidi" w:hAnsiTheme="majorBidi"/>
          <w:sz w:val="26"/>
        </w:rPr>
        <w:t xml:space="preserve"> found</w:t>
      </w:r>
      <w:r w:rsidRPr="007F15D8">
        <w:rPr>
          <w:rFonts w:asciiTheme="majorBidi" w:hAnsiTheme="majorBidi"/>
          <w:sz w:val="26"/>
        </w:rPr>
        <w:t xml:space="preserve"> a positive association between </w:t>
      </w:r>
      <w:r w:rsidR="005506C1" w:rsidRPr="007F15D8">
        <w:rPr>
          <w:rFonts w:asciiTheme="majorBidi" w:hAnsiTheme="majorBidi"/>
          <w:sz w:val="26"/>
        </w:rPr>
        <w:t xml:space="preserve">FI </w:t>
      </w:r>
      <w:r w:rsidRPr="007F15D8">
        <w:rPr>
          <w:rFonts w:asciiTheme="majorBidi" w:hAnsiTheme="majorBidi"/>
          <w:sz w:val="26"/>
        </w:rPr>
        <w:t xml:space="preserve">and income smoothing as </w:t>
      </w:r>
      <w:r w:rsidRPr="007F15D8">
        <w:rPr>
          <w:rFonts w:asciiTheme="majorBidi" w:hAnsiTheme="majorBidi"/>
          <w:sz w:val="26"/>
          <w:shd w:val="clear" w:color="auto" w:fill="FFFFFF"/>
        </w:rPr>
        <w:t>foreign investors demand more sustainable earnings</w:t>
      </w:r>
      <w:r w:rsidR="00493F85">
        <w:rPr>
          <w:rFonts w:asciiTheme="majorBidi" w:hAnsiTheme="majorBidi"/>
          <w:sz w:val="26"/>
          <w:shd w:val="clear" w:color="auto" w:fill="FFFFFF"/>
        </w:rPr>
        <w:t>,</w:t>
      </w:r>
      <w:r w:rsidRPr="007F15D8">
        <w:rPr>
          <w:rFonts w:asciiTheme="majorBidi" w:hAnsiTheme="majorBidi"/>
          <w:sz w:val="26"/>
        </w:rPr>
        <w:t xml:space="preserve"> and this can be done by earnings smoothness. </w:t>
      </w:r>
      <w:r w:rsidR="00163D54" w:rsidRPr="007F15D8">
        <w:rPr>
          <w:rFonts w:asciiTheme="majorBidi" w:hAnsiTheme="majorBidi"/>
          <w:sz w:val="26"/>
        </w:rPr>
        <w:t>T</w:t>
      </w:r>
      <w:r w:rsidRPr="007F15D8">
        <w:rPr>
          <w:rFonts w:asciiTheme="majorBidi" w:hAnsiTheme="majorBidi"/>
          <w:sz w:val="26"/>
        </w:rPr>
        <w:t xml:space="preserve">his result is </w:t>
      </w:r>
      <w:r w:rsidR="00163D54" w:rsidRPr="007F15D8">
        <w:rPr>
          <w:rFonts w:asciiTheme="majorBidi" w:hAnsiTheme="majorBidi"/>
          <w:sz w:val="26"/>
        </w:rPr>
        <w:t xml:space="preserve">also </w:t>
      </w:r>
      <w:r w:rsidRPr="007F15D8">
        <w:rPr>
          <w:rFonts w:asciiTheme="majorBidi" w:hAnsiTheme="majorBidi"/>
          <w:sz w:val="26"/>
        </w:rPr>
        <w:t>not in line with Rountree et al.</w:t>
      </w:r>
      <w:r w:rsidR="00944F99" w:rsidRPr="007F15D8">
        <w:rPr>
          <w:rFonts w:asciiTheme="majorBidi" w:hAnsiTheme="majorBidi"/>
          <w:sz w:val="26"/>
        </w:rPr>
        <w:t xml:space="preserve"> (</w:t>
      </w:r>
      <w:r w:rsidR="00741DB4" w:rsidRPr="007F15D8">
        <w:rPr>
          <w:rFonts w:asciiTheme="majorBidi" w:hAnsiTheme="majorBidi" w:cstheme="majorBidi"/>
          <w:sz w:val="26"/>
          <w:szCs w:val="26"/>
        </w:rPr>
        <w:t>2008</w:t>
      </w:r>
      <w:r w:rsidRPr="007F15D8">
        <w:rPr>
          <w:rFonts w:asciiTheme="majorBidi" w:hAnsiTheme="majorBidi"/>
          <w:sz w:val="26"/>
        </w:rPr>
        <w:t xml:space="preserve">) </w:t>
      </w:r>
      <w:r w:rsidR="00A41BCF" w:rsidRPr="007F15D8">
        <w:rPr>
          <w:rFonts w:asciiTheme="majorBidi" w:hAnsiTheme="majorBidi"/>
          <w:sz w:val="26"/>
        </w:rPr>
        <w:t>wh</w:t>
      </w:r>
      <w:r w:rsidR="00493F85">
        <w:rPr>
          <w:rFonts w:asciiTheme="majorBidi" w:hAnsiTheme="majorBidi"/>
          <w:sz w:val="26"/>
        </w:rPr>
        <w:t>ich</w:t>
      </w:r>
      <w:r w:rsidR="00A41BCF" w:rsidRPr="007F15D8">
        <w:rPr>
          <w:rFonts w:asciiTheme="majorBidi" w:hAnsiTheme="majorBidi"/>
          <w:sz w:val="26"/>
        </w:rPr>
        <w:t xml:space="preserve"> found</w:t>
      </w:r>
      <w:r w:rsidRPr="007F15D8">
        <w:rPr>
          <w:rFonts w:asciiTheme="majorBidi" w:hAnsiTheme="majorBidi"/>
          <w:sz w:val="26"/>
        </w:rPr>
        <w:t xml:space="preserve"> that investor</w:t>
      </w:r>
      <w:r w:rsidR="00163D54" w:rsidRPr="007F15D8">
        <w:rPr>
          <w:rFonts w:asciiTheme="majorBidi" w:hAnsiTheme="majorBidi"/>
          <w:sz w:val="26"/>
        </w:rPr>
        <w:t>s</w:t>
      </w:r>
      <w:r w:rsidRPr="007F15D8">
        <w:rPr>
          <w:rFonts w:asciiTheme="majorBidi" w:hAnsiTheme="majorBidi"/>
          <w:sz w:val="26"/>
        </w:rPr>
        <w:t xml:space="preserve"> evaluate earnings smoothness negatively.</w:t>
      </w:r>
      <w:r w:rsidR="001F48F8" w:rsidRPr="007F15D8">
        <w:rPr>
          <w:rFonts w:asciiTheme="majorBidi" w:hAnsiTheme="majorBidi"/>
          <w:sz w:val="26"/>
        </w:rPr>
        <w:t xml:space="preserve"> </w:t>
      </w:r>
    </w:p>
    <w:p w14:paraId="570D2334" w14:textId="49BAE02F" w:rsidR="00D5790E" w:rsidRPr="007F15D8" w:rsidRDefault="00D5790E" w:rsidP="00E96B20">
      <w:pPr>
        <w:shd w:val="clear" w:color="auto" w:fill="FFFFFF"/>
        <w:snapToGrid w:val="0"/>
        <w:spacing w:after="0" w:line="360" w:lineRule="exact"/>
        <w:ind w:firstLine="510"/>
        <w:jc w:val="both"/>
        <w:textAlignment w:val="baseline"/>
        <w:rPr>
          <w:rFonts w:asciiTheme="majorBidi" w:hAnsiTheme="majorBidi"/>
          <w:sz w:val="26"/>
        </w:rPr>
      </w:pPr>
      <w:r w:rsidRPr="007F15D8">
        <w:rPr>
          <w:rFonts w:asciiTheme="majorBidi" w:hAnsiTheme="majorBidi"/>
          <w:sz w:val="26"/>
        </w:rPr>
        <w:t xml:space="preserve">  </w:t>
      </w:r>
    </w:p>
    <w:p w14:paraId="2E0C6639" w14:textId="57174757" w:rsidR="003E42B4" w:rsidRPr="007F15D8" w:rsidRDefault="003A2A39" w:rsidP="00E96B20">
      <w:pPr>
        <w:snapToGrid w:val="0"/>
        <w:spacing w:after="0" w:line="360" w:lineRule="exact"/>
        <w:jc w:val="both"/>
        <w:rPr>
          <w:rFonts w:asciiTheme="majorBidi" w:hAnsiTheme="majorBidi"/>
          <w:b/>
          <w:sz w:val="26"/>
        </w:rPr>
      </w:pPr>
      <w:r w:rsidRPr="007F15D8">
        <w:rPr>
          <w:rFonts w:asciiTheme="majorBidi" w:hAnsiTheme="majorBidi"/>
          <w:b/>
          <w:sz w:val="26"/>
        </w:rPr>
        <w:t>Measuring</w:t>
      </w:r>
      <w:r w:rsidR="00DD7E5E" w:rsidRPr="007F15D8">
        <w:rPr>
          <w:rFonts w:asciiTheme="majorBidi" w:hAnsiTheme="majorBidi"/>
          <w:b/>
          <w:sz w:val="26"/>
        </w:rPr>
        <w:t xml:space="preserve"> and </w:t>
      </w:r>
      <w:r w:rsidR="00C94562" w:rsidRPr="007F15D8">
        <w:rPr>
          <w:rFonts w:asciiTheme="majorBidi" w:hAnsiTheme="majorBidi"/>
          <w:b/>
          <w:sz w:val="26"/>
        </w:rPr>
        <w:t xml:space="preserve">Analysis </w:t>
      </w:r>
      <w:r w:rsidR="00D87FAA" w:rsidRPr="007F15D8">
        <w:rPr>
          <w:rFonts w:asciiTheme="majorBidi" w:hAnsiTheme="majorBidi"/>
          <w:b/>
          <w:sz w:val="26"/>
        </w:rPr>
        <w:t xml:space="preserve">of </w:t>
      </w:r>
      <w:r w:rsidR="00C94562" w:rsidRPr="007F15D8">
        <w:rPr>
          <w:rFonts w:asciiTheme="majorBidi" w:hAnsiTheme="majorBidi"/>
          <w:b/>
          <w:sz w:val="26"/>
        </w:rPr>
        <w:t>EQ-</w:t>
      </w:r>
      <w:r w:rsidR="00D87FAA" w:rsidRPr="007F15D8">
        <w:rPr>
          <w:rFonts w:asciiTheme="majorBidi" w:hAnsiTheme="majorBidi"/>
          <w:b/>
          <w:sz w:val="26"/>
        </w:rPr>
        <w:t>TRL</w:t>
      </w:r>
      <w:r w:rsidR="00C94562" w:rsidRPr="007F15D8">
        <w:rPr>
          <w:rFonts w:asciiTheme="majorBidi" w:hAnsiTheme="majorBidi"/>
          <w:b/>
          <w:sz w:val="26"/>
        </w:rPr>
        <w:t xml:space="preserve"> and FI</w:t>
      </w:r>
    </w:p>
    <w:p w14:paraId="2CBA5FF7" w14:textId="498B4D33" w:rsidR="00D87FAA" w:rsidRDefault="00D87FAA" w:rsidP="00E96B20">
      <w:pPr>
        <w:snapToGrid w:val="0"/>
        <w:spacing w:after="0" w:line="360" w:lineRule="exact"/>
        <w:ind w:firstLine="510"/>
        <w:jc w:val="both"/>
        <w:rPr>
          <w:rFonts w:asciiTheme="majorBidi" w:hAnsiTheme="majorBidi"/>
          <w:sz w:val="26"/>
        </w:rPr>
      </w:pPr>
      <w:r w:rsidRPr="007F15D8">
        <w:rPr>
          <w:rFonts w:asciiTheme="majorBidi" w:hAnsiTheme="majorBidi"/>
          <w:sz w:val="26"/>
        </w:rPr>
        <w:t xml:space="preserve">The required information to calculate the TRL </w:t>
      </w:r>
      <w:r w:rsidR="00493F85">
        <w:rPr>
          <w:rFonts w:asciiTheme="majorBidi" w:hAnsiTheme="majorBidi"/>
          <w:sz w:val="26"/>
        </w:rPr>
        <w:t>is</w:t>
      </w:r>
      <w:r w:rsidR="00493F85" w:rsidRPr="007F15D8">
        <w:rPr>
          <w:rFonts w:asciiTheme="majorBidi" w:hAnsiTheme="majorBidi"/>
          <w:sz w:val="26"/>
        </w:rPr>
        <w:t xml:space="preserve"> </w:t>
      </w:r>
      <w:r w:rsidRPr="007F15D8">
        <w:rPr>
          <w:rFonts w:asciiTheme="majorBidi" w:hAnsiTheme="majorBidi"/>
          <w:sz w:val="26"/>
        </w:rPr>
        <w:t>the NIBE, Ret</w:t>
      </w:r>
      <w:r w:rsidR="00493F85">
        <w:rPr>
          <w:rFonts w:asciiTheme="majorBidi" w:hAnsiTheme="majorBidi"/>
          <w:sz w:val="26"/>
        </w:rPr>
        <w:t>,</w:t>
      </w:r>
      <w:r w:rsidRPr="007F15D8">
        <w:rPr>
          <w:rFonts w:asciiTheme="majorBidi" w:hAnsiTheme="majorBidi"/>
          <w:sz w:val="26"/>
        </w:rPr>
        <w:t xml:space="preserve"> and dummy variable</w:t>
      </w:r>
      <w:r w:rsidR="00493F85">
        <w:rPr>
          <w:rFonts w:asciiTheme="majorBidi" w:hAnsiTheme="majorBidi"/>
          <w:sz w:val="26"/>
        </w:rPr>
        <w:t>s</w:t>
      </w:r>
      <w:r w:rsidRPr="007F15D8">
        <w:rPr>
          <w:rFonts w:asciiTheme="majorBidi" w:hAnsiTheme="majorBidi"/>
          <w:sz w:val="26"/>
        </w:rPr>
        <w:t xml:space="preserve">. Table </w:t>
      </w:r>
      <w:r w:rsidR="008D3063" w:rsidRPr="007F15D8">
        <w:rPr>
          <w:rFonts w:asciiTheme="majorBidi" w:hAnsiTheme="majorBidi" w:cstheme="majorBidi"/>
          <w:sz w:val="26"/>
          <w:szCs w:val="26"/>
        </w:rPr>
        <w:t>18</w:t>
      </w:r>
      <w:r w:rsidRPr="007F15D8">
        <w:rPr>
          <w:rFonts w:asciiTheme="majorBidi" w:hAnsiTheme="majorBidi"/>
          <w:sz w:val="26"/>
        </w:rPr>
        <w:t xml:space="preserve"> shows all required variables.</w:t>
      </w:r>
    </w:p>
    <w:p w14:paraId="2504A98E" w14:textId="77777777" w:rsidR="00E96B20" w:rsidRPr="007F15D8" w:rsidRDefault="00E96B20" w:rsidP="00E96B20">
      <w:pPr>
        <w:snapToGrid w:val="0"/>
        <w:spacing w:after="0" w:line="360" w:lineRule="exact"/>
        <w:ind w:firstLine="510"/>
        <w:jc w:val="both"/>
        <w:rPr>
          <w:rFonts w:asciiTheme="majorBidi" w:hAnsiTheme="majorBidi"/>
          <w:sz w:val="26"/>
        </w:rPr>
      </w:pPr>
    </w:p>
    <w:p w14:paraId="700A6AF5" w14:textId="77777777" w:rsidR="00B47B68" w:rsidRDefault="00B47B68">
      <w:pPr>
        <w:rPr>
          <w:rFonts w:asciiTheme="majorBidi" w:hAnsiTheme="majorBidi"/>
          <w:b/>
          <w:sz w:val="26"/>
        </w:rPr>
      </w:pPr>
      <w:r>
        <w:rPr>
          <w:rFonts w:asciiTheme="majorBidi" w:hAnsiTheme="majorBidi"/>
          <w:b/>
          <w:sz w:val="26"/>
        </w:rPr>
        <w:br w:type="page"/>
      </w:r>
    </w:p>
    <w:p w14:paraId="0D86546A" w14:textId="7C58A6F8" w:rsidR="00E40A40" w:rsidRPr="00FA3651" w:rsidRDefault="008D3063" w:rsidP="00FA3651">
      <w:pPr>
        <w:snapToGrid w:val="0"/>
        <w:spacing w:afterLines="50" w:after="120" w:line="360" w:lineRule="exact"/>
        <w:jc w:val="both"/>
        <w:rPr>
          <w:rFonts w:asciiTheme="majorBidi" w:hAnsiTheme="majorBidi"/>
          <w:sz w:val="26"/>
        </w:rPr>
      </w:pPr>
      <w:r w:rsidRPr="00B47B68">
        <w:rPr>
          <w:rFonts w:asciiTheme="majorBidi" w:hAnsiTheme="majorBidi"/>
          <w:b/>
          <w:sz w:val="26"/>
        </w:rPr>
        <w:lastRenderedPageBreak/>
        <w:t xml:space="preserve">Table </w:t>
      </w:r>
      <w:proofErr w:type="gramStart"/>
      <w:r w:rsidRPr="00B47B68">
        <w:rPr>
          <w:rFonts w:asciiTheme="majorBidi" w:hAnsiTheme="majorBidi"/>
          <w:b/>
          <w:sz w:val="26"/>
        </w:rPr>
        <w:t>18</w:t>
      </w:r>
      <w:r w:rsidR="00B47B68">
        <w:rPr>
          <w:rFonts w:ascii="新細明體" w:eastAsia="新細明體" w:hAnsi="新細明體" w:hint="eastAsia"/>
          <w:b/>
          <w:sz w:val="26"/>
          <w:lang w:eastAsia="zh-TW"/>
        </w:rPr>
        <w:t xml:space="preserve"> </w:t>
      </w:r>
      <w:r w:rsidR="00E40A40" w:rsidRPr="00FA3651">
        <w:rPr>
          <w:rFonts w:asciiTheme="majorBidi" w:hAnsiTheme="majorBidi"/>
          <w:sz w:val="26"/>
        </w:rPr>
        <w:t xml:space="preserve"> </w:t>
      </w:r>
      <w:r w:rsidR="00E40A40" w:rsidRPr="00B47B68">
        <w:rPr>
          <w:rFonts w:asciiTheme="majorBidi" w:hAnsiTheme="majorBidi"/>
          <w:i/>
          <w:sz w:val="26"/>
        </w:rPr>
        <w:t>Descriptive</w:t>
      </w:r>
      <w:proofErr w:type="gramEnd"/>
      <w:r w:rsidR="00E40A40" w:rsidRPr="00B47B68">
        <w:rPr>
          <w:rFonts w:asciiTheme="majorBidi" w:hAnsiTheme="majorBidi"/>
          <w:i/>
          <w:sz w:val="26"/>
        </w:rPr>
        <w:t xml:space="preserve"> Statistics and Measuring of Timely Recognition Losses</w:t>
      </w: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9"/>
        <w:gridCol w:w="626"/>
        <w:gridCol w:w="622"/>
        <w:gridCol w:w="626"/>
        <w:gridCol w:w="622"/>
        <w:gridCol w:w="751"/>
        <w:gridCol w:w="675"/>
        <w:gridCol w:w="626"/>
        <w:gridCol w:w="614"/>
        <w:gridCol w:w="7"/>
        <w:gridCol w:w="675"/>
        <w:gridCol w:w="634"/>
        <w:gridCol w:w="704"/>
        <w:gridCol w:w="7"/>
        <w:gridCol w:w="739"/>
      </w:tblGrid>
      <w:tr w:rsidR="007F15D8" w:rsidRPr="00EA76AA" w14:paraId="47A6A8CE" w14:textId="77777777" w:rsidTr="00B47B68">
        <w:trPr>
          <w:trHeight w:val="340"/>
        </w:trPr>
        <w:tc>
          <w:tcPr>
            <w:tcW w:w="613" w:type="pct"/>
            <w:vMerge w:val="restart"/>
            <w:tcBorders>
              <w:top w:val="single" w:sz="4" w:space="0" w:color="auto"/>
              <w:bottom w:val="single" w:sz="4" w:space="0" w:color="auto"/>
              <w:right w:val="single" w:sz="4" w:space="0" w:color="auto"/>
              <w:tl2br w:val="single" w:sz="4" w:space="0" w:color="auto"/>
            </w:tcBorders>
          </w:tcPr>
          <w:p w14:paraId="756121B3" w14:textId="6D192D28" w:rsidR="00E40A40" w:rsidRPr="00B47B68" w:rsidRDefault="00E40A40" w:rsidP="00E96B20">
            <w:pPr>
              <w:autoSpaceDE w:val="0"/>
              <w:autoSpaceDN w:val="0"/>
              <w:adjustRightInd w:val="0"/>
              <w:jc w:val="both"/>
              <w:rPr>
                <w:rFonts w:ascii="Times New Roman" w:hAnsi="Times New Roman" w:cs="Times New Roman"/>
                <w:sz w:val="18"/>
                <w:szCs w:val="20"/>
              </w:rPr>
            </w:pPr>
            <w:r w:rsidRPr="00B47B68">
              <w:rPr>
                <w:rFonts w:ascii="Times New Roman" w:hAnsi="Times New Roman" w:cs="Times New Roman"/>
                <w:sz w:val="18"/>
                <w:szCs w:val="20"/>
              </w:rPr>
              <w:t xml:space="preserve">     Country </w:t>
            </w:r>
            <w:r w:rsidR="00B47B68" w:rsidRPr="00B47B68">
              <w:rPr>
                <w:rFonts w:ascii="Times New Roman" w:hAnsi="Times New Roman" w:cs="Times New Roman"/>
                <w:sz w:val="18"/>
                <w:szCs w:val="20"/>
              </w:rPr>
              <w:br/>
            </w:r>
            <w:r w:rsidR="00B47B68" w:rsidRPr="00B47B68">
              <w:rPr>
                <w:rFonts w:ascii="Times New Roman" w:hAnsi="Times New Roman" w:cs="Times New Roman"/>
                <w:sz w:val="18"/>
                <w:szCs w:val="20"/>
              </w:rPr>
              <w:br/>
            </w:r>
            <w:r w:rsidRPr="00B47B68">
              <w:rPr>
                <w:rFonts w:ascii="Times New Roman" w:hAnsi="Times New Roman" w:cs="Times New Roman"/>
                <w:sz w:val="18"/>
                <w:szCs w:val="20"/>
              </w:rPr>
              <w:t>Variable</w:t>
            </w:r>
          </w:p>
        </w:tc>
        <w:tc>
          <w:tcPr>
            <w:tcW w:w="700" w:type="pct"/>
            <w:gridSpan w:val="2"/>
            <w:tcBorders>
              <w:top w:val="single" w:sz="4" w:space="0" w:color="auto"/>
              <w:left w:val="single" w:sz="4" w:space="0" w:color="auto"/>
              <w:bottom w:val="single" w:sz="4" w:space="0" w:color="auto"/>
            </w:tcBorders>
            <w:vAlign w:val="center"/>
          </w:tcPr>
          <w:p w14:paraId="2A56BCE6" w14:textId="77777777" w:rsidR="00E40A40" w:rsidRPr="00EA76AA" w:rsidRDefault="00E40A40" w:rsidP="00E96B20">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KSA</w:t>
            </w:r>
          </w:p>
        </w:tc>
        <w:tc>
          <w:tcPr>
            <w:tcW w:w="699" w:type="pct"/>
            <w:gridSpan w:val="2"/>
            <w:tcBorders>
              <w:top w:val="single" w:sz="4" w:space="0" w:color="auto"/>
              <w:bottom w:val="single" w:sz="4" w:space="0" w:color="auto"/>
            </w:tcBorders>
            <w:vAlign w:val="center"/>
          </w:tcPr>
          <w:p w14:paraId="5C999A8C" w14:textId="77777777" w:rsidR="00E40A40" w:rsidRPr="00EA76AA" w:rsidRDefault="00E40A40" w:rsidP="00E96B20">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OMN</w:t>
            </w:r>
          </w:p>
        </w:tc>
        <w:tc>
          <w:tcPr>
            <w:tcW w:w="798" w:type="pct"/>
            <w:gridSpan w:val="2"/>
            <w:tcBorders>
              <w:top w:val="single" w:sz="4" w:space="0" w:color="auto"/>
              <w:bottom w:val="single" w:sz="4" w:space="0" w:color="auto"/>
            </w:tcBorders>
            <w:vAlign w:val="center"/>
          </w:tcPr>
          <w:p w14:paraId="0BCAC248" w14:textId="77777777" w:rsidR="00E40A40" w:rsidRPr="00EA76AA" w:rsidRDefault="00E40A40" w:rsidP="00E96B20">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QAT</w:t>
            </w:r>
          </w:p>
        </w:tc>
        <w:tc>
          <w:tcPr>
            <w:tcW w:w="645" w:type="pct"/>
            <w:gridSpan w:val="3"/>
            <w:tcBorders>
              <w:top w:val="single" w:sz="4" w:space="0" w:color="auto"/>
              <w:bottom w:val="single" w:sz="4" w:space="0" w:color="auto"/>
            </w:tcBorders>
            <w:vAlign w:val="center"/>
          </w:tcPr>
          <w:p w14:paraId="7C8BFA53" w14:textId="77777777" w:rsidR="00E40A40" w:rsidRPr="00EA76AA" w:rsidRDefault="00E40A40" w:rsidP="00E96B20">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BAH</w:t>
            </w:r>
          </w:p>
        </w:tc>
        <w:tc>
          <w:tcPr>
            <w:tcW w:w="729" w:type="pct"/>
            <w:gridSpan w:val="2"/>
            <w:tcBorders>
              <w:top w:val="single" w:sz="4" w:space="0" w:color="auto"/>
              <w:bottom w:val="single" w:sz="4" w:space="0" w:color="auto"/>
            </w:tcBorders>
            <w:vAlign w:val="center"/>
          </w:tcPr>
          <w:p w14:paraId="210F4EDF" w14:textId="77777777" w:rsidR="00E40A40" w:rsidRPr="00EA76AA" w:rsidRDefault="00E40A40" w:rsidP="00E96B20">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KWU</w:t>
            </w:r>
          </w:p>
        </w:tc>
        <w:tc>
          <w:tcPr>
            <w:tcW w:w="815" w:type="pct"/>
            <w:gridSpan w:val="3"/>
            <w:tcBorders>
              <w:top w:val="single" w:sz="4" w:space="0" w:color="auto"/>
              <w:bottom w:val="single" w:sz="4" w:space="0" w:color="auto"/>
            </w:tcBorders>
            <w:vAlign w:val="center"/>
          </w:tcPr>
          <w:p w14:paraId="63517948" w14:textId="77777777" w:rsidR="00E40A40" w:rsidRPr="00EA76AA" w:rsidRDefault="00E40A40" w:rsidP="00E96B20">
            <w:pPr>
              <w:autoSpaceDE w:val="0"/>
              <w:autoSpaceDN w:val="0"/>
              <w:adjustRightInd w:val="0"/>
              <w:jc w:val="center"/>
              <w:rPr>
                <w:rFonts w:ascii="Times New Roman" w:hAnsi="Times New Roman" w:cs="Times New Roman"/>
                <w:sz w:val="20"/>
                <w:szCs w:val="20"/>
              </w:rPr>
            </w:pPr>
            <w:r w:rsidRPr="00EA76AA">
              <w:rPr>
                <w:rFonts w:ascii="Times New Roman" w:hAnsi="Times New Roman" w:cs="Times New Roman"/>
                <w:sz w:val="20"/>
                <w:szCs w:val="20"/>
              </w:rPr>
              <w:t>UAE</w:t>
            </w:r>
          </w:p>
        </w:tc>
      </w:tr>
      <w:tr w:rsidR="007F15D8" w:rsidRPr="00EA76AA" w14:paraId="7DF3E44A" w14:textId="77777777" w:rsidTr="00B47B68">
        <w:trPr>
          <w:trHeight w:val="340"/>
        </w:trPr>
        <w:tc>
          <w:tcPr>
            <w:tcW w:w="613" w:type="pct"/>
            <w:vMerge/>
            <w:tcBorders>
              <w:top w:val="single" w:sz="4" w:space="0" w:color="auto"/>
              <w:bottom w:val="single" w:sz="4" w:space="0" w:color="auto"/>
              <w:right w:val="single" w:sz="4" w:space="0" w:color="auto"/>
              <w:tl2br w:val="single" w:sz="4" w:space="0" w:color="auto"/>
            </w:tcBorders>
          </w:tcPr>
          <w:p w14:paraId="5FA6C505" w14:textId="77777777" w:rsidR="00E40A40" w:rsidRPr="00B47B68" w:rsidRDefault="00E40A40" w:rsidP="00E40A40">
            <w:pPr>
              <w:autoSpaceDE w:val="0"/>
              <w:autoSpaceDN w:val="0"/>
              <w:adjustRightInd w:val="0"/>
              <w:jc w:val="both"/>
              <w:rPr>
                <w:rFonts w:ascii="Times New Roman" w:hAnsi="Times New Roman" w:cs="Times New Roman"/>
                <w:noProof/>
                <w:sz w:val="18"/>
                <w:szCs w:val="20"/>
              </w:rPr>
            </w:pPr>
          </w:p>
        </w:tc>
        <w:tc>
          <w:tcPr>
            <w:tcW w:w="350" w:type="pct"/>
            <w:tcBorders>
              <w:top w:val="single" w:sz="4" w:space="0" w:color="auto"/>
              <w:left w:val="single" w:sz="4" w:space="0" w:color="auto"/>
              <w:bottom w:val="single" w:sz="4" w:space="0" w:color="auto"/>
            </w:tcBorders>
            <w:vAlign w:val="center"/>
          </w:tcPr>
          <w:p w14:paraId="1BE13705" w14:textId="77777777" w:rsidR="00E40A40" w:rsidRPr="00B47B68" w:rsidRDefault="00E40A40" w:rsidP="00E96B20">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Mean</w:t>
            </w:r>
          </w:p>
        </w:tc>
        <w:tc>
          <w:tcPr>
            <w:tcW w:w="350" w:type="pct"/>
            <w:tcBorders>
              <w:top w:val="single" w:sz="4" w:space="0" w:color="auto"/>
              <w:bottom w:val="single" w:sz="4" w:space="0" w:color="auto"/>
            </w:tcBorders>
            <w:vAlign w:val="center"/>
          </w:tcPr>
          <w:p w14:paraId="2A088B5E" w14:textId="77777777" w:rsidR="00E40A40" w:rsidRPr="00B47B68" w:rsidRDefault="00E40A40" w:rsidP="00E96B20">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SD</w:t>
            </w:r>
          </w:p>
        </w:tc>
        <w:tc>
          <w:tcPr>
            <w:tcW w:w="350" w:type="pct"/>
            <w:tcBorders>
              <w:top w:val="single" w:sz="4" w:space="0" w:color="auto"/>
              <w:bottom w:val="single" w:sz="4" w:space="0" w:color="auto"/>
            </w:tcBorders>
            <w:vAlign w:val="center"/>
          </w:tcPr>
          <w:p w14:paraId="24D752BE" w14:textId="77777777" w:rsidR="00E40A40" w:rsidRPr="00B47B68" w:rsidRDefault="00E40A40" w:rsidP="00E96B20">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Mean</w:t>
            </w:r>
          </w:p>
        </w:tc>
        <w:tc>
          <w:tcPr>
            <w:tcW w:w="349" w:type="pct"/>
            <w:tcBorders>
              <w:top w:val="single" w:sz="4" w:space="0" w:color="auto"/>
              <w:bottom w:val="single" w:sz="4" w:space="0" w:color="auto"/>
            </w:tcBorders>
            <w:vAlign w:val="center"/>
          </w:tcPr>
          <w:p w14:paraId="738E0256" w14:textId="77777777" w:rsidR="00E40A40" w:rsidRPr="00B47B68" w:rsidRDefault="00E40A40" w:rsidP="00E96B20">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SD</w:t>
            </w:r>
          </w:p>
        </w:tc>
        <w:tc>
          <w:tcPr>
            <w:tcW w:w="420" w:type="pct"/>
            <w:tcBorders>
              <w:top w:val="single" w:sz="4" w:space="0" w:color="auto"/>
              <w:bottom w:val="single" w:sz="4" w:space="0" w:color="auto"/>
            </w:tcBorders>
            <w:vAlign w:val="center"/>
          </w:tcPr>
          <w:p w14:paraId="29FC89BD" w14:textId="77777777" w:rsidR="00E40A40" w:rsidRPr="00B47B68" w:rsidRDefault="00E40A40" w:rsidP="00E96B20">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Mean</w:t>
            </w:r>
          </w:p>
        </w:tc>
        <w:tc>
          <w:tcPr>
            <w:tcW w:w="378" w:type="pct"/>
            <w:tcBorders>
              <w:top w:val="single" w:sz="4" w:space="0" w:color="auto"/>
              <w:bottom w:val="single" w:sz="4" w:space="0" w:color="auto"/>
            </w:tcBorders>
            <w:vAlign w:val="center"/>
          </w:tcPr>
          <w:p w14:paraId="583CF219" w14:textId="77777777" w:rsidR="00E40A40" w:rsidRPr="00B47B68" w:rsidRDefault="00E40A40" w:rsidP="00E96B20">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SD</w:t>
            </w:r>
          </w:p>
        </w:tc>
        <w:tc>
          <w:tcPr>
            <w:tcW w:w="310" w:type="pct"/>
            <w:tcBorders>
              <w:top w:val="single" w:sz="4" w:space="0" w:color="auto"/>
              <w:bottom w:val="single" w:sz="4" w:space="0" w:color="auto"/>
            </w:tcBorders>
            <w:vAlign w:val="center"/>
          </w:tcPr>
          <w:p w14:paraId="35208C23" w14:textId="77777777" w:rsidR="00E40A40" w:rsidRPr="00B47B68" w:rsidRDefault="00E40A40" w:rsidP="00E96B20">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Mean</w:t>
            </w:r>
          </w:p>
        </w:tc>
        <w:tc>
          <w:tcPr>
            <w:tcW w:w="332" w:type="pct"/>
            <w:tcBorders>
              <w:top w:val="single" w:sz="4" w:space="0" w:color="auto"/>
              <w:bottom w:val="single" w:sz="4" w:space="0" w:color="auto"/>
            </w:tcBorders>
            <w:vAlign w:val="center"/>
          </w:tcPr>
          <w:p w14:paraId="3CACF980" w14:textId="77777777" w:rsidR="00E40A40" w:rsidRPr="00B47B68" w:rsidRDefault="00E40A40" w:rsidP="00E96B20">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SD</w:t>
            </w:r>
          </w:p>
        </w:tc>
        <w:tc>
          <w:tcPr>
            <w:tcW w:w="378" w:type="pct"/>
            <w:gridSpan w:val="2"/>
            <w:tcBorders>
              <w:top w:val="single" w:sz="4" w:space="0" w:color="auto"/>
              <w:bottom w:val="single" w:sz="4" w:space="0" w:color="auto"/>
            </w:tcBorders>
            <w:vAlign w:val="center"/>
          </w:tcPr>
          <w:p w14:paraId="52EC74B9" w14:textId="77777777" w:rsidR="00E40A40" w:rsidRPr="00B47B68" w:rsidRDefault="00E40A40" w:rsidP="00E96B20">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Mean</w:t>
            </w:r>
          </w:p>
        </w:tc>
        <w:tc>
          <w:tcPr>
            <w:tcW w:w="355" w:type="pct"/>
            <w:tcBorders>
              <w:top w:val="single" w:sz="4" w:space="0" w:color="auto"/>
              <w:bottom w:val="single" w:sz="4" w:space="0" w:color="auto"/>
            </w:tcBorders>
            <w:vAlign w:val="center"/>
          </w:tcPr>
          <w:p w14:paraId="5446B326" w14:textId="77777777" w:rsidR="00E40A40" w:rsidRPr="00B47B68" w:rsidRDefault="00E40A40" w:rsidP="00E96B20">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SD</w:t>
            </w:r>
          </w:p>
        </w:tc>
        <w:tc>
          <w:tcPr>
            <w:tcW w:w="398" w:type="pct"/>
            <w:gridSpan w:val="2"/>
            <w:tcBorders>
              <w:top w:val="single" w:sz="4" w:space="0" w:color="auto"/>
              <w:bottom w:val="single" w:sz="4" w:space="0" w:color="auto"/>
            </w:tcBorders>
            <w:vAlign w:val="center"/>
          </w:tcPr>
          <w:p w14:paraId="37539FC2" w14:textId="77777777" w:rsidR="00E40A40" w:rsidRPr="00B47B68" w:rsidRDefault="00E40A40" w:rsidP="00E96B20">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Mean</w:t>
            </w:r>
          </w:p>
        </w:tc>
        <w:tc>
          <w:tcPr>
            <w:tcW w:w="417" w:type="pct"/>
            <w:tcBorders>
              <w:top w:val="single" w:sz="4" w:space="0" w:color="auto"/>
              <w:bottom w:val="single" w:sz="4" w:space="0" w:color="auto"/>
            </w:tcBorders>
            <w:vAlign w:val="center"/>
          </w:tcPr>
          <w:p w14:paraId="1E249EFC" w14:textId="77777777" w:rsidR="00E40A40" w:rsidRPr="00B47B68" w:rsidRDefault="00E40A40" w:rsidP="00E96B20">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SD</w:t>
            </w:r>
          </w:p>
        </w:tc>
      </w:tr>
      <w:tr w:rsidR="007F15D8" w:rsidRPr="00EA76AA" w14:paraId="02672F56" w14:textId="77777777" w:rsidTr="00B47B68">
        <w:trPr>
          <w:trHeight w:val="340"/>
        </w:trPr>
        <w:tc>
          <w:tcPr>
            <w:tcW w:w="613" w:type="pct"/>
            <w:tcBorders>
              <w:top w:val="single" w:sz="4" w:space="0" w:color="auto"/>
              <w:bottom w:val="single" w:sz="4" w:space="0" w:color="auto"/>
              <w:right w:val="single" w:sz="4" w:space="0" w:color="auto"/>
            </w:tcBorders>
          </w:tcPr>
          <w:p w14:paraId="1089D44F" w14:textId="77777777" w:rsidR="00E40A40" w:rsidRPr="00B47B68" w:rsidRDefault="00E40A40" w:rsidP="00E40A40">
            <w:pPr>
              <w:autoSpaceDE w:val="0"/>
              <w:autoSpaceDN w:val="0"/>
              <w:adjustRightInd w:val="0"/>
              <w:jc w:val="both"/>
              <w:rPr>
                <w:rFonts w:ascii="Times New Roman" w:hAnsi="Times New Roman" w:cs="Times New Roman"/>
                <w:sz w:val="18"/>
                <w:szCs w:val="20"/>
              </w:rPr>
            </w:pPr>
            <w:r w:rsidRPr="00B47B68">
              <w:rPr>
                <w:rFonts w:ascii="Times New Roman" w:hAnsi="Times New Roman" w:cs="Times New Roman"/>
                <w:sz w:val="18"/>
                <w:szCs w:val="20"/>
              </w:rPr>
              <w:t xml:space="preserve">NIBE </w:t>
            </w:r>
          </w:p>
        </w:tc>
        <w:tc>
          <w:tcPr>
            <w:tcW w:w="350" w:type="pct"/>
            <w:tcBorders>
              <w:top w:val="single" w:sz="4" w:space="0" w:color="auto"/>
              <w:left w:val="single" w:sz="4" w:space="0" w:color="auto"/>
              <w:bottom w:val="single" w:sz="4" w:space="0" w:color="auto"/>
            </w:tcBorders>
            <w:vAlign w:val="center"/>
          </w:tcPr>
          <w:p w14:paraId="12A2A40F" w14:textId="77777777" w:rsidR="00E40A40" w:rsidRPr="00B47B68" w:rsidRDefault="00E40A40" w:rsidP="00E96B20">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1.61</w:t>
            </w:r>
          </w:p>
        </w:tc>
        <w:tc>
          <w:tcPr>
            <w:tcW w:w="350" w:type="pct"/>
            <w:tcBorders>
              <w:top w:val="single" w:sz="4" w:space="0" w:color="auto"/>
              <w:bottom w:val="single" w:sz="4" w:space="0" w:color="auto"/>
            </w:tcBorders>
            <w:vAlign w:val="center"/>
          </w:tcPr>
          <w:p w14:paraId="047C8043" w14:textId="77777777" w:rsidR="00E40A40" w:rsidRPr="00B47B68" w:rsidRDefault="00E40A40" w:rsidP="00E96B20">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0.784</w:t>
            </w:r>
          </w:p>
        </w:tc>
        <w:tc>
          <w:tcPr>
            <w:tcW w:w="350" w:type="pct"/>
            <w:tcBorders>
              <w:top w:val="single" w:sz="4" w:space="0" w:color="auto"/>
              <w:bottom w:val="single" w:sz="4" w:space="0" w:color="auto"/>
            </w:tcBorders>
            <w:vAlign w:val="center"/>
          </w:tcPr>
          <w:p w14:paraId="37512F48" w14:textId="77777777" w:rsidR="00E40A40" w:rsidRPr="00B47B68" w:rsidRDefault="00E40A40" w:rsidP="00E96B20">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0.615</w:t>
            </w:r>
          </w:p>
        </w:tc>
        <w:tc>
          <w:tcPr>
            <w:tcW w:w="349" w:type="pct"/>
            <w:tcBorders>
              <w:top w:val="single" w:sz="4" w:space="0" w:color="auto"/>
              <w:bottom w:val="single" w:sz="4" w:space="0" w:color="auto"/>
            </w:tcBorders>
            <w:vAlign w:val="center"/>
          </w:tcPr>
          <w:p w14:paraId="408FA5B0" w14:textId="77777777" w:rsidR="00E40A40" w:rsidRPr="00B47B68" w:rsidRDefault="00E40A40" w:rsidP="00E96B20">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0.738</w:t>
            </w:r>
          </w:p>
        </w:tc>
        <w:tc>
          <w:tcPr>
            <w:tcW w:w="420" w:type="pct"/>
            <w:tcBorders>
              <w:top w:val="single" w:sz="4" w:space="0" w:color="auto"/>
              <w:bottom w:val="single" w:sz="4" w:space="0" w:color="auto"/>
            </w:tcBorders>
            <w:vAlign w:val="center"/>
          </w:tcPr>
          <w:p w14:paraId="61D4242E" w14:textId="77777777" w:rsidR="00E40A40" w:rsidRPr="00B47B68" w:rsidRDefault="00E40A40" w:rsidP="00E96B20">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1.99</w:t>
            </w:r>
          </w:p>
        </w:tc>
        <w:tc>
          <w:tcPr>
            <w:tcW w:w="378" w:type="pct"/>
            <w:tcBorders>
              <w:top w:val="single" w:sz="4" w:space="0" w:color="auto"/>
              <w:bottom w:val="single" w:sz="4" w:space="0" w:color="auto"/>
            </w:tcBorders>
            <w:vAlign w:val="center"/>
          </w:tcPr>
          <w:p w14:paraId="227CF159" w14:textId="77777777" w:rsidR="00E40A40" w:rsidRPr="00B47B68" w:rsidRDefault="00E40A40" w:rsidP="00E96B20">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0.550</w:t>
            </w:r>
          </w:p>
        </w:tc>
        <w:tc>
          <w:tcPr>
            <w:tcW w:w="310" w:type="pct"/>
            <w:tcBorders>
              <w:top w:val="single" w:sz="4" w:space="0" w:color="auto"/>
              <w:bottom w:val="single" w:sz="4" w:space="0" w:color="auto"/>
            </w:tcBorders>
            <w:vAlign w:val="center"/>
          </w:tcPr>
          <w:p w14:paraId="2E43A7BE" w14:textId="77777777" w:rsidR="00E40A40" w:rsidRPr="00B47B68" w:rsidRDefault="00E40A40" w:rsidP="00E96B20">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1.20</w:t>
            </w:r>
          </w:p>
        </w:tc>
        <w:tc>
          <w:tcPr>
            <w:tcW w:w="336" w:type="pct"/>
            <w:gridSpan w:val="2"/>
            <w:tcBorders>
              <w:top w:val="single" w:sz="4" w:space="0" w:color="auto"/>
              <w:bottom w:val="single" w:sz="4" w:space="0" w:color="auto"/>
            </w:tcBorders>
            <w:vAlign w:val="center"/>
          </w:tcPr>
          <w:p w14:paraId="7486F7A4" w14:textId="77777777" w:rsidR="00E40A40" w:rsidRPr="00B47B68" w:rsidRDefault="00E40A40" w:rsidP="00E96B20">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0.720</w:t>
            </w:r>
          </w:p>
        </w:tc>
        <w:tc>
          <w:tcPr>
            <w:tcW w:w="378" w:type="pct"/>
            <w:tcBorders>
              <w:top w:val="single" w:sz="4" w:space="0" w:color="auto"/>
              <w:bottom w:val="single" w:sz="4" w:space="0" w:color="auto"/>
            </w:tcBorders>
            <w:vAlign w:val="center"/>
          </w:tcPr>
          <w:p w14:paraId="78D743B0" w14:textId="77777777" w:rsidR="00E40A40" w:rsidRPr="00B47B68" w:rsidRDefault="00E40A40" w:rsidP="00E96B20">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1.12</w:t>
            </w:r>
          </w:p>
        </w:tc>
        <w:tc>
          <w:tcPr>
            <w:tcW w:w="351" w:type="pct"/>
            <w:tcBorders>
              <w:top w:val="single" w:sz="4" w:space="0" w:color="auto"/>
              <w:bottom w:val="single" w:sz="4" w:space="0" w:color="auto"/>
            </w:tcBorders>
            <w:vAlign w:val="center"/>
          </w:tcPr>
          <w:p w14:paraId="754CB38A" w14:textId="77777777" w:rsidR="00E40A40" w:rsidRPr="00B47B68" w:rsidRDefault="00E40A40" w:rsidP="00E96B20">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0.729</w:t>
            </w:r>
          </w:p>
        </w:tc>
        <w:tc>
          <w:tcPr>
            <w:tcW w:w="394" w:type="pct"/>
            <w:tcBorders>
              <w:top w:val="single" w:sz="4" w:space="0" w:color="auto"/>
              <w:bottom w:val="single" w:sz="4" w:space="0" w:color="auto"/>
            </w:tcBorders>
            <w:vAlign w:val="center"/>
          </w:tcPr>
          <w:p w14:paraId="1A90B809" w14:textId="77777777" w:rsidR="00E40A40" w:rsidRPr="00B47B68" w:rsidRDefault="00E40A40" w:rsidP="00E96B20">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1.65</w:t>
            </w:r>
          </w:p>
        </w:tc>
        <w:tc>
          <w:tcPr>
            <w:tcW w:w="421" w:type="pct"/>
            <w:gridSpan w:val="2"/>
            <w:tcBorders>
              <w:top w:val="single" w:sz="4" w:space="0" w:color="auto"/>
              <w:bottom w:val="single" w:sz="4" w:space="0" w:color="auto"/>
            </w:tcBorders>
            <w:vAlign w:val="center"/>
          </w:tcPr>
          <w:p w14:paraId="3CF0F155" w14:textId="77777777" w:rsidR="00E40A40" w:rsidRPr="00B47B68" w:rsidRDefault="00E40A40" w:rsidP="00E96B20">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0.643</w:t>
            </w:r>
          </w:p>
        </w:tc>
      </w:tr>
      <w:tr w:rsidR="007F15D8" w:rsidRPr="00EA76AA" w14:paraId="2F4ABAAD" w14:textId="77777777" w:rsidTr="00B47B68">
        <w:trPr>
          <w:trHeight w:val="340"/>
        </w:trPr>
        <w:tc>
          <w:tcPr>
            <w:tcW w:w="613" w:type="pct"/>
            <w:tcBorders>
              <w:top w:val="single" w:sz="4" w:space="0" w:color="auto"/>
              <w:bottom w:val="single" w:sz="4" w:space="0" w:color="auto"/>
              <w:right w:val="single" w:sz="4" w:space="0" w:color="auto"/>
            </w:tcBorders>
          </w:tcPr>
          <w:p w14:paraId="4B8FA778" w14:textId="77777777" w:rsidR="00E40A40" w:rsidRPr="00B47B68" w:rsidRDefault="00E40A40" w:rsidP="00E40A40">
            <w:pPr>
              <w:autoSpaceDE w:val="0"/>
              <w:autoSpaceDN w:val="0"/>
              <w:adjustRightInd w:val="0"/>
              <w:jc w:val="both"/>
              <w:rPr>
                <w:rFonts w:ascii="Times New Roman" w:hAnsi="Times New Roman" w:cs="Times New Roman"/>
                <w:sz w:val="18"/>
                <w:szCs w:val="20"/>
              </w:rPr>
            </w:pPr>
            <w:proofErr w:type="gramStart"/>
            <w:r w:rsidRPr="00B47B68">
              <w:rPr>
                <w:rFonts w:ascii="Times New Roman" w:hAnsi="Times New Roman" w:cs="Times New Roman"/>
                <w:sz w:val="18"/>
                <w:szCs w:val="20"/>
              </w:rPr>
              <w:t>Return(</w:t>
            </w:r>
            <w:proofErr w:type="gramEnd"/>
            <w:r w:rsidRPr="00B47B68">
              <w:rPr>
                <w:rFonts w:ascii="Times New Roman" w:hAnsi="Times New Roman" w:cs="Times New Roman"/>
                <w:sz w:val="18"/>
                <w:szCs w:val="20"/>
              </w:rPr>
              <w:t>Ret)</w:t>
            </w:r>
          </w:p>
        </w:tc>
        <w:tc>
          <w:tcPr>
            <w:tcW w:w="350" w:type="pct"/>
            <w:tcBorders>
              <w:top w:val="single" w:sz="4" w:space="0" w:color="auto"/>
              <w:left w:val="single" w:sz="4" w:space="0" w:color="auto"/>
              <w:bottom w:val="single" w:sz="4" w:space="0" w:color="auto"/>
            </w:tcBorders>
            <w:vAlign w:val="center"/>
          </w:tcPr>
          <w:p w14:paraId="61188D65" w14:textId="77777777" w:rsidR="00E40A40" w:rsidRPr="00B47B68" w:rsidRDefault="00E40A40" w:rsidP="00E96B20">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1.35</w:t>
            </w:r>
          </w:p>
        </w:tc>
        <w:tc>
          <w:tcPr>
            <w:tcW w:w="350" w:type="pct"/>
            <w:tcBorders>
              <w:top w:val="single" w:sz="4" w:space="0" w:color="auto"/>
              <w:bottom w:val="single" w:sz="4" w:space="0" w:color="auto"/>
            </w:tcBorders>
            <w:vAlign w:val="center"/>
          </w:tcPr>
          <w:p w14:paraId="05F554A1" w14:textId="77777777" w:rsidR="00E40A40" w:rsidRPr="00B47B68" w:rsidRDefault="00E40A40" w:rsidP="00E96B20">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0.495</w:t>
            </w:r>
          </w:p>
        </w:tc>
        <w:tc>
          <w:tcPr>
            <w:tcW w:w="350" w:type="pct"/>
            <w:tcBorders>
              <w:top w:val="single" w:sz="4" w:space="0" w:color="auto"/>
              <w:bottom w:val="single" w:sz="4" w:space="0" w:color="auto"/>
            </w:tcBorders>
            <w:vAlign w:val="center"/>
          </w:tcPr>
          <w:p w14:paraId="2FBC5E69" w14:textId="77777777" w:rsidR="00E40A40" w:rsidRPr="00B47B68" w:rsidRDefault="00E40A40" w:rsidP="00E96B20">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1.29</w:t>
            </w:r>
          </w:p>
        </w:tc>
        <w:tc>
          <w:tcPr>
            <w:tcW w:w="349" w:type="pct"/>
            <w:tcBorders>
              <w:top w:val="single" w:sz="4" w:space="0" w:color="auto"/>
              <w:bottom w:val="single" w:sz="4" w:space="0" w:color="auto"/>
            </w:tcBorders>
            <w:vAlign w:val="center"/>
          </w:tcPr>
          <w:p w14:paraId="687EA547" w14:textId="77777777" w:rsidR="00E40A40" w:rsidRPr="00B47B68" w:rsidRDefault="00E40A40" w:rsidP="00E96B20">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0.660</w:t>
            </w:r>
          </w:p>
        </w:tc>
        <w:tc>
          <w:tcPr>
            <w:tcW w:w="420" w:type="pct"/>
            <w:tcBorders>
              <w:top w:val="single" w:sz="4" w:space="0" w:color="auto"/>
              <w:bottom w:val="single" w:sz="4" w:space="0" w:color="auto"/>
            </w:tcBorders>
            <w:vAlign w:val="center"/>
          </w:tcPr>
          <w:p w14:paraId="5D978B67" w14:textId="77777777" w:rsidR="00E40A40" w:rsidRPr="00B47B68" w:rsidRDefault="00E40A40" w:rsidP="00E96B20">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1.32</w:t>
            </w:r>
          </w:p>
        </w:tc>
        <w:tc>
          <w:tcPr>
            <w:tcW w:w="378" w:type="pct"/>
            <w:tcBorders>
              <w:top w:val="single" w:sz="4" w:space="0" w:color="auto"/>
              <w:bottom w:val="single" w:sz="4" w:space="0" w:color="auto"/>
            </w:tcBorders>
            <w:vAlign w:val="center"/>
          </w:tcPr>
          <w:p w14:paraId="19CBDCDD" w14:textId="77777777" w:rsidR="00E40A40" w:rsidRPr="00B47B68" w:rsidRDefault="00E40A40" w:rsidP="00E96B20">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0.531</w:t>
            </w:r>
          </w:p>
        </w:tc>
        <w:tc>
          <w:tcPr>
            <w:tcW w:w="310" w:type="pct"/>
            <w:tcBorders>
              <w:top w:val="single" w:sz="4" w:space="0" w:color="auto"/>
              <w:bottom w:val="single" w:sz="4" w:space="0" w:color="auto"/>
            </w:tcBorders>
            <w:vAlign w:val="center"/>
          </w:tcPr>
          <w:p w14:paraId="3CE4DA16" w14:textId="77777777" w:rsidR="00E40A40" w:rsidRPr="00B47B68" w:rsidRDefault="00E40A40" w:rsidP="00E96B20">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1.08</w:t>
            </w:r>
          </w:p>
        </w:tc>
        <w:tc>
          <w:tcPr>
            <w:tcW w:w="336" w:type="pct"/>
            <w:gridSpan w:val="2"/>
            <w:tcBorders>
              <w:top w:val="single" w:sz="4" w:space="0" w:color="auto"/>
              <w:bottom w:val="single" w:sz="4" w:space="0" w:color="auto"/>
            </w:tcBorders>
            <w:vAlign w:val="center"/>
          </w:tcPr>
          <w:p w14:paraId="328F42A1" w14:textId="77777777" w:rsidR="00E40A40" w:rsidRPr="00B47B68" w:rsidRDefault="00E40A40" w:rsidP="00E96B20">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0.421</w:t>
            </w:r>
          </w:p>
        </w:tc>
        <w:tc>
          <w:tcPr>
            <w:tcW w:w="378" w:type="pct"/>
            <w:tcBorders>
              <w:top w:val="single" w:sz="4" w:space="0" w:color="auto"/>
              <w:bottom w:val="single" w:sz="4" w:space="0" w:color="auto"/>
            </w:tcBorders>
            <w:vAlign w:val="center"/>
          </w:tcPr>
          <w:p w14:paraId="3CFBDCA7" w14:textId="77777777" w:rsidR="00E40A40" w:rsidRPr="00B47B68" w:rsidRDefault="00E40A40" w:rsidP="00E96B20">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1.18</w:t>
            </w:r>
          </w:p>
        </w:tc>
        <w:tc>
          <w:tcPr>
            <w:tcW w:w="351" w:type="pct"/>
            <w:tcBorders>
              <w:top w:val="single" w:sz="4" w:space="0" w:color="auto"/>
              <w:bottom w:val="single" w:sz="4" w:space="0" w:color="auto"/>
            </w:tcBorders>
            <w:vAlign w:val="center"/>
          </w:tcPr>
          <w:p w14:paraId="254CB50E" w14:textId="77777777" w:rsidR="00E40A40" w:rsidRPr="00B47B68" w:rsidRDefault="00E40A40" w:rsidP="00E96B20">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0.549</w:t>
            </w:r>
          </w:p>
        </w:tc>
        <w:tc>
          <w:tcPr>
            <w:tcW w:w="394" w:type="pct"/>
            <w:tcBorders>
              <w:top w:val="single" w:sz="4" w:space="0" w:color="auto"/>
              <w:bottom w:val="single" w:sz="4" w:space="0" w:color="auto"/>
            </w:tcBorders>
            <w:vAlign w:val="center"/>
          </w:tcPr>
          <w:p w14:paraId="0ACAB162" w14:textId="77777777" w:rsidR="00E40A40" w:rsidRPr="00B47B68" w:rsidRDefault="00E40A40" w:rsidP="00E96B20">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1.43</w:t>
            </w:r>
          </w:p>
        </w:tc>
        <w:tc>
          <w:tcPr>
            <w:tcW w:w="421" w:type="pct"/>
            <w:gridSpan w:val="2"/>
            <w:tcBorders>
              <w:top w:val="single" w:sz="4" w:space="0" w:color="auto"/>
              <w:bottom w:val="single" w:sz="4" w:space="0" w:color="auto"/>
            </w:tcBorders>
            <w:vAlign w:val="center"/>
          </w:tcPr>
          <w:p w14:paraId="1D03A12B" w14:textId="77777777" w:rsidR="00E40A40" w:rsidRPr="00B47B68" w:rsidRDefault="00E40A40" w:rsidP="00E96B20">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0.575</w:t>
            </w:r>
          </w:p>
        </w:tc>
      </w:tr>
      <w:tr w:rsidR="007F15D8" w:rsidRPr="00EA76AA" w14:paraId="4EC3E16E" w14:textId="77777777" w:rsidTr="00B47B68">
        <w:trPr>
          <w:trHeight w:val="340"/>
        </w:trPr>
        <w:tc>
          <w:tcPr>
            <w:tcW w:w="613" w:type="pct"/>
            <w:tcBorders>
              <w:top w:val="single" w:sz="4" w:space="0" w:color="auto"/>
              <w:bottom w:val="single" w:sz="4" w:space="0" w:color="auto"/>
              <w:right w:val="single" w:sz="4" w:space="0" w:color="auto"/>
            </w:tcBorders>
          </w:tcPr>
          <w:p w14:paraId="60E84055" w14:textId="77777777" w:rsidR="00E40A40" w:rsidRPr="00B47B68" w:rsidRDefault="00E40A40" w:rsidP="00E40A40">
            <w:pPr>
              <w:autoSpaceDE w:val="0"/>
              <w:autoSpaceDN w:val="0"/>
              <w:adjustRightInd w:val="0"/>
              <w:jc w:val="both"/>
              <w:rPr>
                <w:rFonts w:ascii="Times New Roman" w:hAnsi="Times New Roman" w:cs="Times New Roman"/>
                <w:sz w:val="18"/>
                <w:szCs w:val="20"/>
              </w:rPr>
            </w:pPr>
            <w:r w:rsidRPr="00B47B68">
              <w:rPr>
                <w:rFonts w:ascii="Times New Roman" w:hAnsi="Times New Roman" w:cs="Times New Roman"/>
                <w:sz w:val="18"/>
                <w:szCs w:val="20"/>
              </w:rPr>
              <w:t>(Ret*D)</w:t>
            </w:r>
          </w:p>
        </w:tc>
        <w:tc>
          <w:tcPr>
            <w:tcW w:w="350" w:type="pct"/>
            <w:tcBorders>
              <w:top w:val="single" w:sz="4" w:space="0" w:color="auto"/>
              <w:left w:val="single" w:sz="4" w:space="0" w:color="auto"/>
              <w:bottom w:val="single" w:sz="4" w:space="0" w:color="auto"/>
            </w:tcBorders>
            <w:vAlign w:val="center"/>
          </w:tcPr>
          <w:p w14:paraId="48F8F3A4" w14:textId="77777777" w:rsidR="00E40A40" w:rsidRPr="00B47B68" w:rsidRDefault="00E40A40" w:rsidP="00E96B20">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1.03</w:t>
            </w:r>
          </w:p>
        </w:tc>
        <w:tc>
          <w:tcPr>
            <w:tcW w:w="350" w:type="pct"/>
            <w:tcBorders>
              <w:top w:val="single" w:sz="4" w:space="0" w:color="auto"/>
              <w:bottom w:val="single" w:sz="4" w:space="0" w:color="auto"/>
            </w:tcBorders>
            <w:vAlign w:val="center"/>
          </w:tcPr>
          <w:p w14:paraId="11A7B099" w14:textId="77777777" w:rsidR="00E40A40" w:rsidRPr="00B47B68" w:rsidRDefault="00E40A40" w:rsidP="00E96B20">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1.44</w:t>
            </w:r>
          </w:p>
        </w:tc>
        <w:tc>
          <w:tcPr>
            <w:tcW w:w="350" w:type="pct"/>
            <w:tcBorders>
              <w:top w:val="single" w:sz="4" w:space="0" w:color="auto"/>
              <w:bottom w:val="single" w:sz="4" w:space="0" w:color="auto"/>
            </w:tcBorders>
            <w:vAlign w:val="center"/>
          </w:tcPr>
          <w:p w14:paraId="692EA523" w14:textId="77777777" w:rsidR="00E40A40" w:rsidRPr="00B47B68" w:rsidRDefault="00E40A40" w:rsidP="00E96B20">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0.83</w:t>
            </w:r>
          </w:p>
        </w:tc>
        <w:tc>
          <w:tcPr>
            <w:tcW w:w="349" w:type="pct"/>
            <w:tcBorders>
              <w:top w:val="single" w:sz="4" w:space="0" w:color="auto"/>
              <w:bottom w:val="single" w:sz="4" w:space="0" w:color="auto"/>
            </w:tcBorders>
            <w:vAlign w:val="center"/>
          </w:tcPr>
          <w:p w14:paraId="3D821B76" w14:textId="77777777" w:rsidR="00E40A40" w:rsidRPr="00B47B68" w:rsidRDefault="00E40A40" w:rsidP="00E96B20">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1.41</w:t>
            </w:r>
          </w:p>
        </w:tc>
        <w:tc>
          <w:tcPr>
            <w:tcW w:w="420" w:type="pct"/>
            <w:tcBorders>
              <w:top w:val="single" w:sz="4" w:space="0" w:color="auto"/>
              <w:bottom w:val="single" w:sz="4" w:space="0" w:color="auto"/>
            </w:tcBorders>
            <w:vAlign w:val="center"/>
          </w:tcPr>
          <w:p w14:paraId="43645F59" w14:textId="77777777" w:rsidR="00E40A40" w:rsidRPr="00B47B68" w:rsidRDefault="00E40A40" w:rsidP="00E96B20">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0.76</w:t>
            </w:r>
          </w:p>
        </w:tc>
        <w:tc>
          <w:tcPr>
            <w:tcW w:w="378" w:type="pct"/>
            <w:tcBorders>
              <w:top w:val="single" w:sz="4" w:space="0" w:color="auto"/>
              <w:bottom w:val="single" w:sz="4" w:space="0" w:color="auto"/>
            </w:tcBorders>
            <w:vAlign w:val="center"/>
          </w:tcPr>
          <w:p w14:paraId="7CAABF3B" w14:textId="77777777" w:rsidR="00E40A40" w:rsidRPr="00B47B68" w:rsidRDefault="00E40A40" w:rsidP="00E96B20">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0.161</w:t>
            </w:r>
          </w:p>
        </w:tc>
        <w:tc>
          <w:tcPr>
            <w:tcW w:w="310" w:type="pct"/>
            <w:tcBorders>
              <w:top w:val="single" w:sz="4" w:space="0" w:color="auto"/>
              <w:bottom w:val="single" w:sz="4" w:space="0" w:color="auto"/>
            </w:tcBorders>
            <w:vAlign w:val="center"/>
          </w:tcPr>
          <w:p w14:paraId="3D773BD6" w14:textId="77777777" w:rsidR="00E40A40" w:rsidRPr="00B47B68" w:rsidRDefault="00E40A40" w:rsidP="00E96B20">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0.71</w:t>
            </w:r>
          </w:p>
        </w:tc>
        <w:tc>
          <w:tcPr>
            <w:tcW w:w="336" w:type="pct"/>
            <w:gridSpan w:val="2"/>
            <w:tcBorders>
              <w:top w:val="single" w:sz="4" w:space="0" w:color="auto"/>
              <w:bottom w:val="single" w:sz="4" w:space="0" w:color="auto"/>
            </w:tcBorders>
            <w:vAlign w:val="center"/>
          </w:tcPr>
          <w:p w14:paraId="223F4EE5" w14:textId="77777777" w:rsidR="00E40A40" w:rsidRPr="00B47B68" w:rsidRDefault="00E40A40" w:rsidP="00E96B20">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1.76</w:t>
            </w:r>
          </w:p>
        </w:tc>
        <w:tc>
          <w:tcPr>
            <w:tcW w:w="378" w:type="pct"/>
            <w:tcBorders>
              <w:top w:val="single" w:sz="4" w:space="0" w:color="auto"/>
              <w:bottom w:val="single" w:sz="4" w:space="0" w:color="auto"/>
            </w:tcBorders>
            <w:vAlign w:val="center"/>
          </w:tcPr>
          <w:p w14:paraId="71C26BF9" w14:textId="77777777" w:rsidR="00E40A40" w:rsidRPr="00B47B68" w:rsidRDefault="00E40A40" w:rsidP="00E96B20">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0.96</w:t>
            </w:r>
          </w:p>
        </w:tc>
        <w:tc>
          <w:tcPr>
            <w:tcW w:w="351" w:type="pct"/>
            <w:tcBorders>
              <w:top w:val="single" w:sz="4" w:space="0" w:color="auto"/>
              <w:bottom w:val="single" w:sz="4" w:space="0" w:color="auto"/>
            </w:tcBorders>
            <w:vAlign w:val="center"/>
          </w:tcPr>
          <w:p w14:paraId="4AB525EB" w14:textId="77777777" w:rsidR="00E40A40" w:rsidRPr="00B47B68" w:rsidRDefault="00E40A40" w:rsidP="00E96B20">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0.06</w:t>
            </w:r>
          </w:p>
        </w:tc>
        <w:tc>
          <w:tcPr>
            <w:tcW w:w="394" w:type="pct"/>
            <w:tcBorders>
              <w:top w:val="single" w:sz="4" w:space="0" w:color="auto"/>
              <w:bottom w:val="single" w:sz="4" w:space="0" w:color="auto"/>
            </w:tcBorders>
            <w:vAlign w:val="center"/>
          </w:tcPr>
          <w:p w14:paraId="227C88F5" w14:textId="77777777" w:rsidR="00E40A40" w:rsidRPr="00B47B68" w:rsidRDefault="00E40A40" w:rsidP="00E96B20">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1.05</w:t>
            </w:r>
          </w:p>
        </w:tc>
        <w:tc>
          <w:tcPr>
            <w:tcW w:w="421" w:type="pct"/>
            <w:gridSpan w:val="2"/>
            <w:tcBorders>
              <w:top w:val="single" w:sz="4" w:space="0" w:color="auto"/>
              <w:bottom w:val="single" w:sz="4" w:space="0" w:color="auto"/>
            </w:tcBorders>
            <w:vAlign w:val="center"/>
          </w:tcPr>
          <w:p w14:paraId="1E9ED7A7" w14:textId="77777777" w:rsidR="00E40A40" w:rsidRPr="00B47B68" w:rsidRDefault="00E40A40" w:rsidP="00E96B20">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0.014</w:t>
            </w:r>
          </w:p>
        </w:tc>
      </w:tr>
      <w:tr w:rsidR="007F15D8" w:rsidRPr="00EA76AA" w14:paraId="636B3F89" w14:textId="77777777" w:rsidTr="00B47B68">
        <w:trPr>
          <w:trHeight w:val="340"/>
        </w:trPr>
        <w:tc>
          <w:tcPr>
            <w:tcW w:w="613" w:type="pct"/>
            <w:tcBorders>
              <w:top w:val="single" w:sz="4" w:space="0" w:color="auto"/>
              <w:bottom w:val="single" w:sz="4" w:space="0" w:color="auto"/>
              <w:right w:val="single" w:sz="4" w:space="0" w:color="auto"/>
            </w:tcBorders>
          </w:tcPr>
          <w:p w14:paraId="4BAC28E7" w14:textId="77777777" w:rsidR="00E40A40" w:rsidRPr="00B47B68" w:rsidRDefault="00E40A40" w:rsidP="00E40A40">
            <w:pPr>
              <w:autoSpaceDE w:val="0"/>
              <w:autoSpaceDN w:val="0"/>
              <w:adjustRightInd w:val="0"/>
              <w:jc w:val="both"/>
              <w:rPr>
                <w:rFonts w:ascii="Times New Roman" w:hAnsi="Times New Roman" w:cs="Times New Roman"/>
                <w:sz w:val="18"/>
                <w:szCs w:val="20"/>
              </w:rPr>
            </w:pPr>
            <w:r w:rsidRPr="00B47B68">
              <w:rPr>
                <w:rFonts w:ascii="Times New Roman" w:hAnsi="Times New Roman" w:cs="Times New Roman"/>
                <w:sz w:val="18"/>
                <w:szCs w:val="20"/>
              </w:rPr>
              <w:t>EQ(TRL)- β1</w:t>
            </w:r>
          </w:p>
        </w:tc>
        <w:tc>
          <w:tcPr>
            <w:tcW w:w="700" w:type="pct"/>
            <w:gridSpan w:val="2"/>
            <w:tcBorders>
              <w:top w:val="single" w:sz="4" w:space="0" w:color="auto"/>
              <w:left w:val="single" w:sz="4" w:space="0" w:color="auto"/>
              <w:bottom w:val="single" w:sz="4" w:space="0" w:color="auto"/>
            </w:tcBorders>
            <w:vAlign w:val="center"/>
          </w:tcPr>
          <w:p w14:paraId="26AA0DFF" w14:textId="77777777" w:rsidR="00E40A40" w:rsidRPr="00575C43" w:rsidRDefault="00E40A40" w:rsidP="00E96B20">
            <w:pPr>
              <w:autoSpaceDE w:val="0"/>
              <w:autoSpaceDN w:val="0"/>
              <w:adjustRightInd w:val="0"/>
              <w:jc w:val="center"/>
              <w:rPr>
                <w:rFonts w:ascii="Times New Roman" w:hAnsi="Times New Roman" w:cs="Times New Roman"/>
                <w:sz w:val="18"/>
                <w:szCs w:val="20"/>
              </w:rPr>
            </w:pPr>
            <w:r w:rsidRPr="00575C43">
              <w:rPr>
                <w:rFonts w:ascii="Times New Roman" w:hAnsi="Times New Roman" w:cs="Times New Roman"/>
                <w:sz w:val="18"/>
                <w:szCs w:val="20"/>
              </w:rPr>
              <w:t>0.898</w:t>
            </w:r>
          </w:p>
        </w:tc>
        <w:tc>
          <w:tcPr>
            <w:tcW w:w="699" w:type="pct"/>
            <w:gridSpan w:val="2"/>
            <w:tcBorders>
              <w:top w:val="single" w:sz="4" w:space="0" w:color="auto"/>
              <w:bottom w:val="single" w:sz="4" w:space="0" w:color="auto"/>
            </w:tcBorders>
            <w:vAlign w:val="center"/>
          </w:tcPr>
          <w:p w14:paraId="64E7AE93" w14:textId="77777777" w:rsidR="00E40A40" w:rsidRPr="00575C43" w:rsidRDefault="00E40A40" w:rsidP="00E96B20">
            <w:pPr>
              <w:autoSpaceDE w:val="0"/>
              <w:autoSpaceDN w:val="0"/>
              <w:adjustRightInd w:val="0"/>
              <w:jc w:val="center"/>
              <w:rPr>
                <w:rFonts w:ascii="Times New Roman" w:hAnsi="Times New Roman" w:cs="Times New Roman"/>
                <w:sz w:val="18"/>
                <w:szCs w:val="20"/>
              </w:rPr>
            </w:pPr>
            <w:r w:rsidRPr="00575C43">
              <w:rPr>
                <w:rFonts w:ascii="Times New Roman" w:hAnsi="Times New Roman" w:cs="Times New Roman"/>
                <w:sz w:val="18"/>
                <w:szCs w:val="20"/>
              </w:rPr>
              <w:t>0.249</w:t>
            </w:r>
          </w:p>
        </w:tc>
        <w:tc>
          <w:tcPr>
            <w:tcW w:w="798" w:type="pct"/>
            <w:gridSpan w:val="2"/>
            <w:tcBorders>
              <w:top w:val="single" w:sz="4" w:space="0" w:color="auto"/>
              <w:bottom w:val="single" w:sz="4" w:space="0" w:color="auto"/>
            </w:tcBorders>
            <w:vAlign w:val="center"/>
          </w:tcPr>
          <w:p w14:paraId="27212D6C" w14:textId="77777777" w:rsidR="00E40A40" w:rsidRPr="00575C43" w:rsidRDefault="00E40A40" w:rsidP="00E96B20">
            <w:pPr>
              <w:autoSpaceDE w:val="0"/>
              <w:autoSpaceDN w:val="0"/>
              <w:adjustRightInd w:val="0"/>
              <w:jc w:val="center"/>
              <w:rPr>
                <w:rFonts w:ascii="Times New Roman" w:hAnsi="Times New Roman" w:cs="Times New Roman"/>
                <w:sz w:val="18"/>
                <w:szCs w:val="20"/>
              </w:rPr>
            </w:pPr>
            <w:r w:rsidRPr="00575C43">
              <w:rPr>
                <w:rFonts w:ascii="Times New Roman" w:hAnsi="Times New Roman" w:cs="Times New Roman"/>
                <w:sz w:val="18"/>
                <w:szCs w:val="20"/>
              </w:rPr>
              <w:t>2.121</w:t>
            </w:r>
          </w:p>
        </w:tc>
        <w:tc>
          <w:tcPr>
            <w:tcW w:w="645" w:type="pct"/>
            <w:gridSpan w:val="3"/>
            <w:tcBorders>
              <w:top w:val="single" w:sz="4" w:space="0" w:color="auto"/>
              <w:bottom w:val="single" w:sz="4" w:space="0" w:color="auto"/>
            </w:tcBorders>
            <w:vAlign w:val="center"/>
          </w:tcPr>
          <w:p w14:paraId="3ED850EA" w14:textId="77777777" w:rsidR="00E40A40" w:rsidRPr="00575C43" w:rsidRDefault="00E40A40" w:rsidP="00E96B20">
            <w:pPr>
              <w:autoSpaceDE w:val="0"/>
              <w:autoSpaceDN w:val="0"/>
              <w:adjustRightInd w:val="0"/>
              <w:jc w:val="center"/>
              <w:rPr>
                <w:rFonts w:ascii="Times New Roman" w:hAnsi="Times New Roman" w:cs="Times New Roman"/>
                <w:sz w:val="18"/>
                <w:szCs w:val="20"/>
              </w:rPr>
            </w:pPr>
            <w:r w:rsidRPr="00575C43">
              <w:rPr>
                <w:rFonts w:ascii="Times New Roman" w:hAnsi="Times New Roman" w:cs="Times New Roman"/>
                <w:sz w:val="18"/>
                <w:szCs w:val="20"/>
              </w:rPr>
              <w:t>-4.857</w:t>
            </w:r>
          </w:p>
        </w:tc>
        <w:tc>
          <w:tcPr>
            <w:tcW w:w="729" w:type="pct"/>
            <w:gridSpan w:val="2"/>
            <w:tcBorders>
              <w:top w:val="single" w:sz="4" w:space="0" w:color="auto"/>
              <w:bottom w:val="single" w:sz="4" w:space="0" w:color="auto"/>
            </w:tcBorders>
            <w:vAlign w:val="center"/>
          </w:tcPr>
          <w:p w14:paraId="0BA50231" w14:textId="77777777" w:rsidR="00E40A40" w:rsidRPr="00575C43" w:rsidRDefault="00E40A40" w:rsidP="00E96B20">
            <w:pPr>
              <w:autoSpaceDE w:val="0"/>
              <w:autoSpaceDN w:val="0"/>
              <w:adjustRightInd w:val="0"/>
              <w:jc w:val="center"/>
              <w:rPr>
                <w:rFonts w:ascii="Times New Roman" w:hAnsi="Times New Roman" w:cs="Times New Roman"/>
                <w:sz w:val="18"/>
                <w:szCs w:val="20"/>
              </w:rPr>
            </w:pPr>
            <w:r w:rsidRPr="00575C43">
              <w:rPr>
                <w:rFonts w:ascii="Times New Roman" w:hAnsi="Times New Roman" w:cs="Times New Roman"/>
                <w:sz w:val="18"/>
                <w:szCs w:val="20"/>
              </w:rPr>
              <w:t>-0.074</w:t>
            </w:r>
          </w:p>
        </w:tc>
        <w:tc>
          <w:tcPr>
            <w:tcW w:w="815" w:type="pct"/>
            <w:gridSpan w:val="3"/>
            <w:tcBorders>
              <w:top w:val="single" w:sz="4" w:space="0" w:color="auto"/>
              <w:bottom w:val="single" w:sz="4" w:space="0" w:color="auto"/>
            </w:tcBorders>
            <w:vAlign w:val="center"/>
          </w:tcPr>
          <w:p w14:paraId="5451DBD4" w14:textId="77777777" w:rsidR="00E40A40" w:rsidRPr="00575C43" w:rsidRDefault="00E40A40" w:rsidP="00E96B20">
            <w:pPr>
              <w:autoSpaceDE w:val="0"/>
              <w:autoSpaceDN w:val="0"/>
              <w:adjustRightInd w:val="0"/>
              <w:jc w:val="center"/>
              <w:rPr>
                <w:rFonts w:ascii="Times New Roman" w:hAnsi="Times New Roman" w:cs="Times New Roman"/>
                <w:sz w:val="18"/>
                <w:szCs w:val="20"/>
              </w:rPr>
            </w:pPr>
            <w:r w:rsidRPr="00575C43">
              <w:rPr>
                <w:rFonts w:ascii="Times New Roman" w:hAnsi="Times New Roman" w:cs="Times New Roman"/>
                <w:sz w:val="18"/>
                <w:szCs w:val="20"/>
              </w:rPr>
              <w:t>1.578</w:t>
            </w:r>
          </w:p>
        </w:tc>
      </w:tr>
    </w:tbl>
    <w:p w14:paraId="1055FC14" w14:textId="77777777" w:rsidR="00E96B20" w:rsidRDefault="00E96B20" w:rsidP="000E68F6">
      <w:pPr>
        <w:spacing w:after="0" w:line="240" w:lineRule="auto"/>
        <w:ind w:firstLine="510"/>
        <w:jc w:val="both"/>
        <w:rPr>
          <w:rFonts w:ascii="Times New Roman" w:hAnsi="Times New Roman"/>
          <w:sz w:val="26"/>
        </w:rPr>
      </w:pPr>
    </w:p>
    <w:p w14:paraId="790743E8" w14:textId="7D8379D2" w:rsidR="00DD7E5E" w:rsidRPr="007F15D8" w:rsidRDefault="00163D54" w:rsidP="00E96B20">
      <w:pPr>
        <w:adjustRightInd w:val="0"/>
        <w:snapToGrid w:val="0"/>
        <w:spacing w:after="0" w:line="360" w:lineRule="exact"/>
        <w:ind w:firstLine="510"/>
        <w:jc w:val="both"/>
        <w:rPr>
          <w:rFonts w:ascii="Times New Roman" w:hAnsi="Times New Roman"/>
          <w:sz w:val="26"/>
        </w:rPr>
      </w:pPr>
      <w:r w:rsidRPr="007F15D8">
        <w:rPr>
          <w:rFonts w:ascii="Times New Roman" w:hAnsi="Times New Roman"/>
          <w:sz w:val="26"/>
        </w:rPr>
        <w:t>T</w:t>
      </w:r>
      <w:r w:rsidR="008C5393" w:rsidRPr="007F15D8">
        <w:rPr>
          <w:rFonts w:ascii="Times New Roman" w:hAnsi="Times New Roman"/>
          <w:sz w:val="26"/>
        </w:rPr>
        <w:t>he higher β1 is found in Qatar</w:t>
      </w:r>
      <w:r w:rsidRPr="007F15D8">
        <w:rPr>
          <w:rFonts w:ascii="Times New Roman" w:hAnsi="Times New Roman"/>
          <w:sz w:val="26"/>
        </w:rPr>
        <w:t>,</w:t>
      </w:r>
      <w:r w:rsidR="008C5393" w:rsidRPr="007F15D8">
        <w:rPr>
          <w:rFonts w:ascii="Times New Roman" w:hAnsi="Times New Roman"/>
          <w:sz w:val="26"/>
        </w:rPr>
        <w:t xml:space="preserve"> which means that the financial reporting of </w:t>
      </w:r>
      <w:r w:rsidR="00493F85" w:rsidRPr="007F15D8">
        <w:rPr>
          <w:rFonts w:ascii="Times New Roman" w:hAnsi="Times New Roman"/>
          <w:sz w:val="26"/>
        </w:rPr>
        <w:t>Qatar</w:t>
      </w:r>
      <w:r w:rsidR="00493F85">
        <w:rPr>
          <w:rFonts w:ascii="Times New Roman" w:hAnsi="Times New Roman"/>
          <w:sz w:val="26"/>
        </w:rPr>
        <w:t>-</w:t>
      </w:r>
      <w:r w:rsidR="008C5393" w:rsidRPr="007F15D8">
        <w:rPr>
          <w:rFonts w:ascii="Times New Roman" w:hAnsi="Times New Roman"/>
          <w:sz w:val="26"/>
        </w:rPr>
        <w:t xml:space="preserve">listed firms </w:t>
      </w:r>
      <w:r w:rsidRPr="007F15D8">
        <w:rPr>
          <w:rFonts w:ascii="Times New Roman" w:hAnsi="Times New Roman"/>
          <w:sz w:val="26"/>
        </w:rPr>
        <w:t xml:space="preserve">is </w:t>
      </w:r>
      <w:r w:rsidR="008C5393" w:rsidRPr="007F15D8">
        <w:rPr>
          <w:rFonts w:ascii="Times New Roman" w:hAnsi="Times New Roman"/>
          <w:sz w:val="26"/>
        </w:rPr>
        <w:t xml:space="preserve">more useful than </w:t>
      </w:r>
      <w:r w:rsidRPr="007F15D8">
        <w:rPr>
          <w:rFonts w:ascii="Times New Roman" w:hAnsi="Times New Roman"/>
          <w:sz w:val="26"/>
        </w:rPr>
        <w:t xml:space="preserve">that of </w:t>
      </w:r>
      <w:r w:rsidR="008C5393" w:rsidRPr="007F15D8">
        <w:rPr>
          <w:rFonts w:ascii="Times New Roman" w:hAnsi="Times New Roman"/>
          <w:sz w:val="26"/>
        </w:rPr>
        <w:t xml:space="preserve">the other GCC countries. The lowest value of β1 </w:t>
      </w:r>
      <w:r w:rsidR="00493F85">
        <w:rPr>
          <w:rFonts w:ascii="Times New Roman" w:hAnsi="Times New Roman"/>
          <w:sz w:val="26"/>
        </w:rPr>
        <w:t xml:space="preserve">which </w:t>
      </w:r>
      <w:r w:rsidR="008C5393" w:rsidRPr="007F15D8">
        <w:rPr>
          <w:rFonts w:ascii="Times New Roman" w:hAnsi="Times New Roman"/>
          <w:sz w:val="26"/>
        </w:rPr>
        <w:t>is found in Bahrain</w:t>
      </w:r>
      <w:r w:rsidRPr="007F15D8">
        <w:rPr>
          <w:rFonts w:ascii="Times New Roman" w:hAnsi="Times New Roman"/>
          <w:sz w:val="26"/>
        </w:rPr>
        <w:t>,</w:t>
      </w:r>
      <w:r w:rsidR="008C5393" w:rsidRPr="007F15D8">
        <w:rPr>
          <w:rFonts w:ascii="Times New Roman" w:hAnsi="Times New Roman"/>
          <w:sz w:val="26"/>
        </w:rPr>
        <w:t xml:space="preserve"> </w:t>
      </w:r>
      <w:r w:rsidRPr="007F15D8">
        <w:rPr>
          <w:rFonts w:ascii="Times New Roman" w:hAnsi="Times New Roman"/>
          <w:sz w:val="26"/>
        </w:rPr>
        <w:t>indicat</w:t>
      </w:r>
      <w:r w:rsidR="00493F85">
        <w:rPr>
          <w:rFonts w:ascii="Times New Roman" w:hAnsi="Times New Roman"/>
          <w:sz w:val="26"/>
        </w:rPr>
        <w:t>es</w:t>
      </w:r>
      <w:r w:rsidR="008C5393" w:rsidRPr="007F15D8">
        <w:rPr>
          <w:rFonts w:ascii="Times New Roman" w:hAnsi="Times New Roman"/>
          <w:sz w:val="26"/>
        </w:rPr>
        <w:t xml:space="preserve"> that the financial statements of Bahraini</w:t>
      </w:r>
      <w:r w:rsidR="00493F85">
        <w:rPr>
          <w:rFonts w:ascii="Times New Roman" w:hAnsi="Times New Roman"/>
          <w:sz w:val="26"/>
        </w:rPr>
        <w:t>-</w:t>
      </w:r>
      <w:r w:rsidR="008C5393" w:rsidRPr="007F15D8">
        <w:rPr>
          <w:rFonts w:ascii="Times New Roman" w:hAnsi="Times New Roman"/>
          <w:sz w:val="26"/>
        </w:rPr>
        <w:t xml:space="preserve">listed firms are less timely </w:t>
      </w:r>
      <w:r w:rsidRPr="007F15D8">
        <w:rPr>
          <w:rFonts w:ascii="Times New Roman" w:hAnsi="Times New Roman"/>
          <w:sz w:val="26"/>
        </w:rPr>
        <w:t>in recognising</w:t>
      </w:r>
      <w:r w:rsidR="008C5393" w:rsidRPr="007F15D8">
        <w:rPr>
          <w:rFonts w:ascii="Times New Roman" w:hAnsi="Times New Roman"/>
          <w:sz w:val="26"/>
        </w:rPr>
        <w:t xml:space="preserve"> the incurred losses in earnings and </w:t>
      </w:r>
      <w:r w:rsidR="00493F85">
        <w:rPr>
          <w:rFonts w:ascii="Times New Roman" w:hAnsi="Times New Roman"/>
          <w:sz w:val="26"/>
        </w:rPr>
        <w:t xml:space="preserve">that </w:t>
      </w:r>
      <w:r w:rsidR="008C5393" w:rsidRPr="007F15D8">
        <w:rPr>
          <w:rFonts w:ascii="Times New Roman" w:hAnsi="Times New Roman"/>
          <w:sz w:val="26"/>
        </w:rPr>
        <w:t xml:space="preserve">this </w:t>
      </w:r>
      <w:r w:rsidRPr="007F15D8">
        <w:rPr>
          <w:rFonts w:ascii="Times New Roman" w:hAnsi="Times New Roman"/>
          <w:sz w:val="26"/>
        </w:rPr>
        <w:t>does not</w:t>
      </w:r>
      <w:r w:rsidR="008C5393" w:rsidRPr="007F15D8">
        <w:rPr>
          <w:rFonts w:ascii="Times New Roman" w:hAnsi="Times New Roman"/>
          <w:sz w:val="26"/>
        </w:rPr>
        <w:t xml:space="preserve"> provide useful information </w:t>
      </w:r>
      <w:r w:rsidR="003222EA" w:rsidRPr="007F15D8">
        <w:rPr>
          <w:rFonts w:ascii="Times New Roman" w:hAnsi="Times New Roman"/>
          <w:sz w:val="26"/>
        </w:rPr>
        <w:t>for the investors.</w:t>
      </w:r>
      <w:r w:rsidR="001F48F8" w:rsidRPr="007F15D8">
        <w:rPr>
          <w:rFonts w:ascii="Times New Roman" w:hAnsi="Times New Roman"/>
          <w:sz w:val="26"/>
        </w:rPr>
        <w:t xml:space="preserve"> </w:t>
      </w:r>
      <w:r w:rsidR="008C5393" w:rsidRPr="007F15D8">
        <w:rPr>
          <w:rFonts w:ascii="Times New Roman" w:hAnsi="Times New Roman"/>
          <w:sz w:val="26"/>
        </w:rPr>
        <w:t xml:space="preserve"> </w:t>
      </w:r>
    </w:p>
    <w:p w14:paraId="26C5260D" w14:textId="739499C2" w:rsidR="004B2212" w:rsidRPr="007F15D8" w:rsidRDefault="004B2212" w:rsidP="00E96B20">
      <w:pPr>
        <w:adjustRightInd w:val="0"/>
        <w:snapToGrid w:val="0"/>
        <w:spacing w:after="0" w:line="360" w:lineRule="exact"/>
        <w:ind w:firstLine="510"/>
        <w:jc w:val="both"/>
        <w:rPr>
          <w:rFonts w:ascii="Times-Roman" w:hAnsi="Times-Roman"/>
          <w:sz w:val="26"/>
        </w:rPr>
      </w:pPr>
      <w:r w:rsidRPr="007F15D8">
        <w:rPr>
          <w:rFonts w:ascii="Times New Roman" w:hAnsi="Times New Roman"/>
          <w:sz w:val="26"/>
        </w:rPr>
        <w:t xml:space="preserve">This result indicates that the GCC firms exercise </w:t>
      </w:r>
      <w:r w:rsidR="00050EB7" w:rsidRPr="007F15D8">
        <w:rPr>
          <w:rFonts w:ascii="Times New Roman" w:hAnsi="Times New Roman"/>
          <w:sz w:val="26"/>
        </w:rPr>
        <w:t xml:space="preserve">loss recognition </w:t>
      </w:r>
      <w:r w:rsidR="00096A3A" w:rsidRPr="007F15D8">
        <w:rPr>
          <w:rFonts w:ascii="Times New Roman" w:hAnsi="Times New Roman"/>
          <w:sz w:val="26"/>
        </w:rPr>
        <w:t xml:space="preserve">timeliness, </w:t>
      </w:r>
      <w:r w:rsidRPr="007F15D8">
        <w:rPr>
          <w:rFonts w:ascii="Times New Roman" w:hAnsi="Times New Roman"/>
          <w:sz w:val="26"/>
        </w:rPr>
        <w:t>and in some countries</w:t>
      </w:r>
      <w:r w:rsidR="00096A3A" w:rsidRPr="007F15D8">
        <w:rPr>
          <w:rFonts w:ascii="Times New Roman" w:hAnsi="Times New Roman"/>
          <w:sz w:val="26"/>
        </w:rPr>
        <w:t>,</w:t>
      </w:r>
      <w:r w:rsidRPr="007F15D8">
        <w:rPr>
          <w:rFonts w:ascii="Times New Roman" w:hAnsi="Times New Roman"/>
          <w:sz w:val="26"/>
        </w:rPr>
        <w:t xml:space="preserve"> the evidence shows more timely loss recognition</w:t>
      </w:r>
      <w:r w:rsidR="00AD3C92" w:rsidRPr="007F15D8">
        <w:rPr>
          <w:rFonts w:ascii="Times New Roman" w:hAnsi="Times New Roman"/>
          <w:sz w:val="26"/>
        </w:rPr>
        <w:t xml:space="preserve">. </w:t>
      </w:r>
    </w:p>
    <w:p w14:paraId="64DD2B32" w14:textId="08E52726" w:rsidR="00E96B20" w:rsidRDefault="005B257E" w:rsidP="009A6198">
      <w:pPr>
        <w:adjustRightInd w:val="0"/>
        <w:snapToGrid w:val="0"/>
        <w:spacing w:after="0" w:line="360" w:lineRule="exact"/>
        <w:ind w:firstLine="510"/>
        <w:jc w:val="both"/>
        <w:rPr>
          <w:rFonts w:ascii="Times New Roman" w:hAnsi="Times New Roman"/>
          <w:sz w:val="26"/>
        </w:rPr>
      </w:pPr>
      <w:r w:rsidRPr="007F15D8">
        <w:rPr>
          <w:rFonts w:ascii="Times New Roman" w:hAnsi="Times New Roman"/>
          <w:sz w:val="26"/>
        </w:rPr>
        <w:t xml:space="preserve">Table </w:t>
      </w:r>
      <w:r w:rsidR="008D3063" w:rsidRPr="007F15D8">
        <w:rPr>
          <w:rFonts w:ascii="Times New Roman" w:hAnsi="Times New Roman" w:cs="Times New Roman"/>
          <w:sz w:val="26"/>
          <w:szCs w:val="26"/>
        </w:rPr>
        <w:t>19</w:t>
      </w:r>
      <w:r w:rsidRPr="007F15D8">
        <w:rPr>
          <w:rFonts w:ascii="Times New Roman" w:hAnsi="Times New Roman"/>
          <w:sz w:val="26"/>
        </w:rPr>
        <w:t xml:space="preserve"> shows the results of the relationship between </w:t>
      </w:r>
      <w:r w:rsidR="00096A3A" w:rsidRPr="007F15D8">
        <w:rPr>
          <w:rFonts w:ascii="Times New Roman" w:hAnsi="Times New Roman"/>
          <w:sz w:val="26"/>
        </w:rPr>
        <w:t>EQ-</w:t>
      </w:r>
      <w:r w:rsidRPr="007F15D8">
        <w:rPr>
          <w:rFonts w:ascii="Times New Roman" w:hAnsi="Times New Roman"/>
          <w:sz w:val="26"/>
        </w:rPr>
        <w:t>TRL and FI</w:t>
      </w:r>
      <w:r w:rsidR="00096A3A" w:rsidRPr="007F15D8">
        <w:rPr>
          <w:rFonts w:ascii="Times New Roman" w:hAnsi="Times New Roman"/>
          <w:sz w:val="26"/>
        </w:rPr>
        <w:t>.</w:t>
      </w:r>
    </w:p>
    <w:p w14:paraId="5A1B82F1" w14:textId="77777777" w:rsidR="00A95E4E" w:rsidRPr="007F15D8" w:rsidRDefault="00A95E4E" w:rsidP="009A6198">
      <w:pPr>
        <w:adjustRightInd w:val="0"/>
        <w:snapToGrid w:val="0"/>
        <w:spacing w:after="0" w:line="360" w:lineRule="exact"/>
        <w:ind w:firstLine="510"/>
        <w:jc w:val="both"/>
        <w:rPr>
          <w:rFonts w:ascii="Times New Roman" w:hAnsi="Times New Roman"/>
          <w:sz w:val="26"/>
        </w:rPr>
      </w:pPr>
    </w:p>
    <w:p w14:paraId="6C035C29" w14:textId="3269BBF2" w:rsidR="00E40A40" w:rsidRPr="00FA3651" w:rsidRDefault="00E40A40" w:rsidP="00FA3651">
      <w:pPr>
        <w:snapToGrid w:val="0"/>
        <w:spacing w:afterLines="50" w:after="120" w:line="360" w:lineRule="exact"/>
        <w:jc w:val="both"/>
        <w:rPr>
          <w:rFonts w:asciiTheme="majorBidi" w:hAnsiTheme="majorBidi"/>
          <w:sz w:val="26"/>
        </w:rPr>
      </w:pPr>
      <w:r w:rsidRPr="00215E9A">
        <w:rPr>
          <w:rFonts w:asciiTheme="majorBidi" w:hAnsiTheme="majorBidi"/>
          <w:b/>
          <w:sz w:val="26"/>
        </w:rPr>
        <w:t xml:space="preserve">Table </w:t>
      </w:r>
      <w:proofErr w:type="gramStart"/>
      <w:r w:rsidR="008D3063" w:rsidRPr="00215E9A">
        <w:rPr>
          <w:rFonts w:asciiTheme="majorBidi" w:hAnsiTheme="majorBidi"/>
          <w:b/>
          <w:sz w:val="26"/>
        </w:rPr>
        <w:t>19</w:t>
      </w:r>
      <w:r w:rsidR="00215E9A">
        <w:rPr>
          <w:rFonts w:asciiTheme="majorBidi" w:hAnsiTheme="majorBidi"/>
          <w:sz w:val="26"/>
        </w:rPr>
        <w:t xml:space="preserve"> </w:t>
      </w:r>
      <w:r w:rsidRPr="00FA3651">
        <w:rPr>
          <w:rFonts w:asciiTheme="majorBidi" w:hAnsiTheme="majorBidi"/>
          <w:sz w:val="26"/>
        </w:rPr>
        <w:t xml:space="preserve"> </w:t>
      </w:r>
      <w:r w:rsidRPr="00215E9A">
        <w:rPr>
          <w:rFonts w:asciiTheme="majorBidi" w:hAnsiTheme="majorBidi"/>
          <w:i/>
          <w:sz w:val="26"/>
        </w:rPr>
        <w:t>Regression</w:t>
      </w:r>
      <w:proofErr w:type="gramEnd"/>
      <w:r w:rsidRPr="00215E9A">
        <w:rPr>
          <w:rFonts w:asciiTheme="majorBidi" w:hAnsiTheme="majorBidi"/>
          <w:i/>
          <w:sz w:val="26"/>
        </w:rPr>
        <w:t xml:space="preserve"> Results between TRL and FI</w:t>
      </w:r>
    </w:p>
    <w:tbl>
      <w:tblPr>
        <w:tblStyle w:val="a9"/>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
        <w:gridCol w:w="683"/>
        <w:gridCol w:w="656"/>
        <w:gridCol w:w="683"/>
        <w:gridCol w:w="656"/>
        <w:gridCol w:w="683"/>
        <w:gridCol w:w="696"/>
        <w:gridCol w:w="683"/>
        <w:gridCol w:w="654"/>
        <w:gridCol w:w="683"/>
        <w:gridCol w:w="697"/>
        <w:gridCol w:w="683"/>
        <w:gridCol w:w="654"/>
      </w:tblGrid>
      <w:tr w:rsidR="007F15D8" w:rsidRPr="00E96B20" w14:paraId="316E685F" w14:textId="77777777" w:rsidTr="00215E9A">
        <w:trPr>
          <w:trHeight w:val="227"/>
          <w:jc w:val="center"/>
        </w:trPr>
        <w:tc>
          <w:tcPr>
            <w:tcW w:w="507" w:type="pct"/>
            <w:vMerge w:val="restart"/>
            <w:tcBorders>
              <w:top w:val="single" w:sz="4" w:space="0" w:color="auto"/>
              <w:bottom w:val="single" w:sz="4" w:space="0" w:color="auto"/>
              <w:right w:val="single" w:sz="4" w:space="0" w:color="auto"/>
              <w:tl2br w:val="single" w:sz="4" w:space="0" w:color="auto"/>
            </w:tcBorders>
            <w:vAlign w:val="center"/>
          </w:tcPr>
          <w:p w14:paraId="57F38987" w14:textId="0C6AECF1" w:rsidR="00E40A40" w:rsidRPr="00E96B20" w:rsidRDefault="00E40A40" w:rsidP="00B47B68">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Country</w:t>
            </w:r>
          </w:p>
          <w:p w14:paraId="34EFEAF7" w14:textId="77777777" w:rsidR="00E40A40" w:rsidRPr="00E96B20" w:rsidRDefault="00E40A40" w:rsidP="00B47B68">
            <w:pPr>
              <w:autoSpaceDE w:val="0"/>
              <w:autoSpaceDN w:val="0"/>
              <w:adjustRightInd w:val="0"/>
              <w:jc w:val="center"/>
              <w:rPr>
                <w:rFonts w:ascii="Times New Roman" w:hAnsi="Times New Roman" w:cs="Times New Roman"/>
                <w:sz w:val="16"/>
                <w:szCs w:val="20"/>
              </w:rPr>
            </w:pPr>
          </w:p>
          <w:p w14:paraId="7315E749" w14:textId="77777777" w:rsidR="00E40A40" w:rsidRPr="00E96B20" w:rsidRDefault="00E40A40" w:rsidP="00B47B68">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Variables</w:t>
            </w:r>
          </w:p>
        </w:tc>
        <w:tc>
          <w:tcPr>
            <w:tcW w:w="742" w:type="pct"/>
            <w:gridSpan w:val="2"/>
            <w:tcBorders>
              <w:top w:val="single" w:sz="4" w:space="0" w:color="auto"/>
              <w:left w:val="single" w:sz="4" w:space="0" w:color="auto"/>
              <w:bottom w:val="single" w:sz="4" w:space="0" w:color="auto"/>
            </w:tcBorders>
            <w:vAlign w:val="center"/>
          </w:tcPr>
          <w:p w14:paraId="2A56C864"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KSA</w:t>
            </w:r>
          </w:p>
        </w:tc>
        <w:tc>
          <w:tcPr>
            <w:tcW w:w="742" w:type="pct"/>
            <w:gridSpan w:val="2"/>
            <w:tcBorders>
              <w:top w:val="single" w:sz="4" w:space="0" w:color="auto"/>
              <w:bottom w:val="single" w:sz="4" w:space="0" w:color="auto"/>
            </w:tcBorders>
            <w:vAlign w:val="center"/>
          </w:tcPr>
          <w:p w14:paraId="5E527B51"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OMN</w:t>
            </w:r>
          </w:p>
        </w:tc>
        <w:tc>
          <w:tcPr>
            <w:tcW w:w="764" w:type="pct"/>
            <w:gridSpan w:val="2"/>
            <w:tcBorders>
              <w:top w:val="single" w:sz="4" w:space="0" w:color="auto"/>
              <w:bottom w:val="single" w:sz="4" w:space="0" w:color="auto"/>
            </w:tcBorders>
            <w:vAlign w:val="center"/>
          </w:tcPr>
          <w:p w14:paraId="1D51CE36"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QAT</w:t>
            </w:r>
          </w:p>
        </w:tc>
        <w:tc>
          <w:tcPr>
            <w:tcW w:w="741" w:type="pct"/>
            <w:gridSpan w:val="2"/>
            <w:tcBorders>
              <w:top w:val="single" w:sz="4" w:space="0" w:color="auto"/>
              <w:bottom w:val="single" w:sz="4" w:space="0" w:color="auto"/>
            </w:tcBorders>
            <w:vAlign w:val="center"/>
          </w:tcPr>
          <w:p w14:paraId="6660A3CA"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BAH</w:t>
            </w:r>
          </w:p>
        </w:tc>
        <w:tc>
          <w:tcPr>
            <w:tcW w:w="764" w:type="pct"/>
            <w:gridSpan w:val="2"/>
            <w:tcBorders>
              <w:top w:val="single" w:sz="4" w:space="0" w:color="auto"/>
              <w:bottom w:val="single" w:sz="4" w:space="0" w:color="auto"/>
            </w:tcBorders>
            <w:vAlign w:val="center"/>
          </w:tcPr>
          <w:p w14:paraId="247862BD"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KWU</w:t>
            </w:r>
          </w:p>
        </w:tc>
        <w:tc>
          <w:tcPr>
            <w:tcW w:w="741" w:type="pct"/>
            <w:gridSpan w:val="2"/>
            <w:tcBorders>
              <w:top w:val="single" w:sz="4" w:space="0" w:color="auto"/>
              <w:bottom w:val="single" w:sz="4" w:space="0" w:color="auto"/>
            </w:tcBorders>
            <w:vAlign w:val="center"/>
          </w:tcPr>
          <w:p w14:paraId="3970A4C8"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UAE</w:t>
            </w:r>
          </w:p>
        </w:tc>
      </w:tr>
      <w:tr w:rsidR="007F15D8" w:rsidRPr="00E96B20" w14:paraId="5CFAD5C8" w14:textId="77777777" w:rsidTr="00215E9A">
        <w:trPr>
          <w:trHeight w:val="227"/>
          <w:jc w:val="center"/>
        </w:trPr>
        <w:tc>
          <w:tcPr>
            <w:tcW w:w="507" w:type="pct"/>
            <w:vMerge/>
            <w:tcBorders>
              <w:bottom w:val="single" w:sz="4" w:space="0" w:color="auto"/>
              <w:right w:val="single" w:sz="4" w:space="0" w:color="auto"/>
              <w:tl2br w:val="single" w:sz="4" w:space="0" w:color="auto"/>
            </w:tcBorders>
            <w:vAlign w:val="center"/>
          </w:tcPr>
          <w:p w14:paraId="73A6C493" w14:textId="77777777" w:rsidR="00E40A40" w:rsidRPr="00E96B20" w:rsidRDefault="00E40A40" w:rsidP="00B47B68">
            <w:pPr>
              <w:autoSpaceDE w:val="0"/>
              <w:autoSpaceDN w:val="0"/>
              <w:adjustRightInd w:val="0"/>
              <w:jc w:val="center"/>
              <w:rPr>
                <w:rFonts w:ascii="Times New Roman" w:hAnsi="Times New Roman" w:cs="Times New Roman"/>
                <w:noProof/>
                <w:sz w:val="16"/>
                <w:szCs w:val="20"/>
              </w:rPr>
            </w:pPr>
          </w:p>
        </w:tc>
        <w:tc>
          <w:tcPr>
            <w:tcW w:w="378" w:type="pct"/>
            <w:tcBorders>
              <w:top w:val="single" w:sz="4" w:space="0" w:color="auto"/>
              <w:left w:val="single" w:sz="4" w:space="0" w:color="auto"/>
              <w:bottom w:val="single" w:sz="4" w:space="0" w:color="auto"/>
            </w:tcBorders>
            <w:vAlign w:val="center"/>
          </w:tcPr>
          <w:p w14:paraId="5FD020DB"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B</w:t>
            </w:r>
          </w:p>
        </w:tc>
        <w:tc>
          <w:tcPr>
            <w:tcW w:w="363" w:type="pct"/>
            <w:tcBorders>
              <w:top w:val="single" w:sz="4" w:space="0" w:color="auto"/>
              <w:bottom w:val="single" w:sz="4" w:space="0" w:color="auto"/>
            </w:tcBorders>
            <w:vAlign w:val="center"/>
          </w:tcPr>
          <w:p w14:paraId="4E89494D"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t-value</w:t>
            </w:r>
          </w:p>
        </w:tc>
        <w:tc>
          <w:tcPr>
            <w:tcW w:w="378" w:type="pct"/>
            <w:tcBorders>
              <w:top w:val="single" w:sz="4" w:space="0" w:color="auto"/>
              <w:bottom w:val="single" w:sz="4" w:space="0" w:color="auto"/>
            </w:tcBorders>
            <w:vAlign w:val="center"/>
          </w:tcPr>
          <w:p w14:paraId="03CDDD5A"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B</w:t>
            </w:r>
          </w:p>
        </w:tc>
        <w:tc>
          <w:tcPr>
            <w:tcW w:w="364" w:type="pct"/>
            <w:tcBorders>
              <w:top w:val="single" w:sz="4" w:space="0" w:color="auto"/>
              <w:bottom w:val="single" w:sz="4" w:space="0" w:color="auto"/>
            </w:tcBorders>
            <w:vAlign w:val="center"/>
          </w:tcPr>
          <w:p w14:paraId="0BB17906"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t-value</w:t>
            </w:r>
          </w:p>
        </w:tc>
        <w:tc>
          <w:tcPr>
            <w:tcW w:w="378" w:type="pct"/>
            <w:tcBorders>
              <w:top w:val="single" w:sz="4" w:space="0" w:color="auto"/>
              <w:bottom w:val="single" w:sz="4" w:space="0" w:color="auto"/>
            </w:tcBorders>
            <w:vAlign w:val="center"/>
          </w:tcPr>
          <w:p w14:paraId="327C9EEB"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B</w:t>
            </w:r>
          </w:p>
        </w:tc>
        <w:tc>
          <w:tcPr>
            <w:tcW w:w="386" w:type="pct"/>
            <w:tcBorders>
              <w:top w:val="single" w:sz="4" w:space="0" w:color="auto"/>
              <w:bottom w:val="single" w:sz="4" w:space="0" w:color="auto"/>
            </w:tcBorders>
            <w:vAlign w:val="center"/>
          </w:tcPr>
          <w:p w14:paraId="71E958A3"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t-value</w:t>
            </w:r>
          </w:p>
        </w:tc>
        <w:tc>
          <w:tcPr>
            <w:tcW w:w="378" w:type="pct"/>
            <w:tcBorders>
              <w:top w:val="single" w:sz="4" w:space="0" w:color="auto"/>
              <w:bottom w:val="single" w:sz="4" w:space="0" w:color="auto"/>
            </w:tcBorders>
            <w:vAlign w:val="center"/>
          </w:tcPr>
          <w:p w14:paraId="1FFA590E"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B</w:t>
            </w:r>
          </w:p>
        </w:tc>
        <w:tc>
          <w:tcPr>
            <w:tcW w:w="362" w:type="pct"/>
            <w:tcBorders>
              <w:top w:val="single" w:sz="4" w:space="0" w:color="auto"/>
              <w:bottom w:val="single" w:sz="4" w:space="0" w:color="auto"/>
            </w:tcBorders>
            <w:vAlign w:val="center"/>
          </w:tcPr>
          <w:p w14:paraId="62374108"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t-value</w:t>
            </w:r>
          </w:p>
        </w:tc>
        <w:tc>
          <w:tcPr>
            <w:tcW w:w="378" w:type="pct"/>
            <w:tcBorders>
              <w:top w:val="single" w:sz="4" w:space="0" w:color="auto"/>
              <w:bottom w:val="single" w:sz="4" w:space="0" w:color="auto"/>
            </w:tcBorders>
            <w:vAlign w:val="center"/>
          </w:tcPr>
          <w:p w14:paraId="7CC6ACAA"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B</w:t>
            </w:r>
          </w:p>
        </w:tc>
        <w:tc>
          <w:tcPr>
            <w:tcW w:w="386" w:type="pct"/>
            <w:tcBorders>
              <w:top w:val="single" w:sz="4" w:space="0" w:color="auto"/>
              <w:bottom w:val="single" w:sz="4" w:space="0" w:color="auto"/>
            </w:tcBorders>
            <w:vAlign w:val="center"/>
          </w:tcPr>
          <w:p w14:paraId="6CDAF103"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t-value</w:t>
            </w:r>
          </w:p>
        </w:tc>
        <w:tc>
          <w:tcPr>
            <w:tcW w:w="378" w:type="pct"/>
            <w:tcBorders>
              <w:top w:val="single" w:sz="4" w:space="0" w:color="auto"/>
              <w:bottom w:val="single" w:sz="4" w:space="0" w:color="auto"/>
            </w:tcBorders>
            <w:vAlign w:val="center"/>
          </w:tcPr>
          <w:p w14:paraId="265CF8A7"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B</w:t>
            </w:r>
          </w:p>
        </w:tc>
        <w:tc>
          <w:tcPr>
            <w:tcW w:w="362" w:type="pct"/>
            <w:tcBorders>
              <w:top w:val="single" w:sz="4" w:space="0" w:color="auto"/>
              <w:bottom w:val="single" w:sz="4" w:space="0" w:color="auto"/>
            </w:tcBorders>
            <w:vAlign w:val="center"/>
          </w:tcPr>
          <w:p w14:paraId="57BBDC2F"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t-value</w:t>
            </w:r>
          </w:p>
        </w:tc>
      </w:tr>
      <w:tr w:rsidR="007F15D8" w:rsidRPr="00E96B20" w14:paraId="559D456D" w14:textId="77777777" w:rsidTr="00215E9A">
        <w:trPr>
          <w:trHeight w:val="340"/>
          <w:jc w:val="center"/>
        </w:trPr>
        <w:tc>
          <w:tcPr>
            <w:tcW w:w="507" w:type="pct"/>
            <w:tcBorders>
              <w:top w:val="single" w:sz="4" w:space="0" w:color="auto"/>
              <w:bottom w:val="single" w:sz="4" w:space="0" w:color="auto"/>
              <w:right w:val="single" w:sz="4" w:space="0" w:color="auto"/>
            </w:tcBorders>
            <w:vAlign w:val="center"/>
          </w:tcPr>
          <w:p w14:paraId="7376397E" w14:textId="065FB848" w:rsidR="00E40A40" w:rsidRPr="00E96B20" w:rsidRDefault="00E40A40" w:rsidP="00B47B68">
            <w:pPr>
              <w:tabs>
                <w:tab w:val="left" w:pos="4536"/>
              </w:tabs>
              <w:autoSpaceDE w:val="0"/>
              <w:autoSpaceDN w:val="0"/>
              <w:adjustRightInd w:val="0"/>
              <w:jc w:val="center"/>
              <w:rPr>
                <w:rFonts w:ascii="Times New Roman" w:hAnsi="Times New Roman" w:cs="Times New Roman"/>
                <w:sz w:val="16"/>
                <w:szCs w:val="20"/>
              </w:rPr>
            </w:pPr>
            <w:proofErr w:type="gramStart"/>
            <w:r w:rsidRPr="00E96B20">
              <w:rPr>
                <w:rFonts w:ascii="Times New Roman" w:hAnsi="Times New Roman" w:cs="Times New Roman"/>
                <w:sz w:val="16"/>
                <w:szCs w:val="20"/>
              </w:rPr>
              <w:t>EQ(</w:t>
            </w:r>
            <w:r w:rsidR="00B47B68">
              <w:rPr>
                <w:rFonts w:ascii="新細明體" w:eastAsia="新細明體" w:hAnsi="新細明體" w:cs="Times New Roman" w:hint="eastAsia"/>
                <w:sz w:val="16"/>
                <w:szCs w:val="20"/>
                <w:lang w:eastAsia="zh-TW"/>
              </w:rPr>
              <w:t xml:space="preserve"> </w:t>
            </w:r>
            <w:r w:rsidRPr="00E96B20">
              <w:rPr>
                <w:rFonts w:ascii="Times New Roman" w:hAnsi="Times New Roman" w:cs="Times New Roman"/>
                <w:sz w:val="16"/>
                <w:szCs w:val="20"/>
              </w:rPr>
              <w:t>CON</w:t>
            </w:r>
            <w:proofErr w:type="gramEnd"/>
            <w:r w:rsidRPr="00E96B20">
              <w:rPr>
                <w:rFonts w:ascii="Times New Roman" w:hAnsi="Times New Roman" w:cs="Times New Roman"/>
                <w:sz w:val="16"/>
                <w:szCs w:val="20"/>
              </w:rPr>
              <w:t>)</w:t>
            </w:r>
            <w:r w:rsidR="00B47B68">
              <w:rPr>
                <w:rFonts w:ascii="新細明體" w:eastAsia="新細明體" w:hAnsi="新細明體" w:cs="Times New Roman" w:hint="eastAsia"/>
                <w:sz w:val="16"/>
                <w:szCs w:val="20"/>
                <w:lang w:eastAsia="zh-TW"/>
              </w:rPr>
              <w:t xml:space="preserve"> </w:t>
            </w:r>
            <w:r w:rsidRPr="00E96B20">
              <w:rPr>
                <w:rFonts w:ascii="Times New Roman" w:hAnsi="Times New Roman" w:cs="Times New Roman"/>
                <w:sz w:val="16"/>
                <w:szCs w:val="20"/>
              </w:rPr>
              <w:t>&amp;</w:t>
            </w:r>
            <w:r w:rsidR="00B47B68">
              <w:rPr>
                <w:rFonts w:ascii="新細明體" w:eastAsia="新細明體" w:hAnsi="新細明體" w:cs="Times New Roman" w:hint="eastAsia"/>
                <w:sz w:val="16"/>
                <w:szCs w:val="20"/>
                <w:lang w:eastAsia="zh-TW"/>
              </w:rPr>
              <w:t xml:space="preserve"> </w:t>
            </w:r>
            <w:r w:rsidRPr="00E96B20">
              <w:rPr>
                <w:rFonts w:ascii="Times New Roman" w:hAnsi="Times New Roman" w:cs="Times New Roman"/>
                <w:sz w:val="16"/>
                <w:szCs w:val="20"/>
              </w:rPr>
              <w:t>sig.</w:t>
            </w:r>
          </w:p>
        </w:tc>
        <w:tc>
          <w:tcPr>
            <w:tcW w:w="378" w:type="pct"/>
            <w:tcBorders>
              <w:top w:val="single" w:sz="4" w:space="0" w:color="auto"/>
              <w:left w:val="single" w:sz="4" w:space="0" w:color="auto"/>
              <w:bottom w:val="single" w:sz="4" w:space="0" w:color="auto"/>
            </w:tcBorders>
            <w:vAlign w:val="center"/>
          </w:tcPr>
          <w:p w14:paraId="19887D5A"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0.042</w:t>
            </w:r>
          </w:p>
          <w:p w14:paraId="243DB2CC"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(0.281)</w:t>
            </w:r>
          </w:p>
        </w:tc>
        <w:tc>
          <w:tcPr>
            <w:tcW w:w="363" w:type="pct"/>
            <w:tcBorders>
              <w:top w:val="single" w:sz="4" w:space="0" w:color="auto"/>
              <w:bottom w:val="single" w:sz="4" w:space="0" w:color="auto"/>
            </w:tcBorders>
            <w:vAlign w:val="center"/>
          </w:tcPr>
          <w:p w14:paraId="6E01126D"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1.080</w:t>
            </w:r>
          </w:p>
        </w:tc>
        <w:tc>
          <w:tcPr>
            <w:tcW w:w="378" w:type="pct"/>
            <w:tcBorders>
              <w:top w:val="single" w:sz="4" w:space="0" w:color="auto"/>
              <w:bottom w:val="single" w:sz="4" w:space="0" w:color="auto"/>
            </w:tcBorders>
            <w:vAlign w:val="center"/>
          </w:tcPr>
          <w:p w14:paraId="3A2CC307"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-0.001</w:t>
            </w:r>
          </w:p>
          <w:p w14:paraId="6242BEE1"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(0.993)</w:t>
            </w:r>
          </w:p>
        </w:tc>
        <w:tc>
          <w:tcPr>
            <w:tcW w:w="364" w:type="pct"/>
            <w:tcBorders>
              <w:top w:val="single" w:sz="4" w:space="0" w:color="auto"/>
              <w:bottom w:val="single" w:sz="4" w:space="0" w:color="auto"/>
            </w:tcBorders>
            <w:vAlign w:val="center"/>
          </w:tcPr>
          <w:p w14:paraId="35A1A7B0"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-0.009</w:t>
            </w:r>
          </w:p>
        </w:tc>
        <w:tc>
          <w:tcPr>
            <w:tcW w:w="378" w:type="pct"/>
            <w:tcBorders>
              <w:top w:val="single" w:sz="4" w:space="0" w:color="auto"/>
              <w:bottom w:val="single" w:sz="4" w:space="0" w:color="auto"/>
            </w:tcBorders>
            <w:vAlign w:val="center"/>
          </w:tcPr>
          <w:p w14:paraId="15AADEA3"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0.002</w:t>
            </w:r>
          </w:p>
          <w:p w14:paraId="572BC292"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(0.767)</w:t>
            </w:r>
          </w:p>
        </w:tc>
        <w:tc>
          <w:tcPr>
            <w:tcW w:w="386" w:type="pct"/>
            <w:tcBorders>
              <w:top w:val="single" w:sz="4" w:space="0" w:color="auto"/>
              <w:bottom w:val="single" w:sz="4" w:space="0" w:color="auto"/>
            </w:tcBorders>
            <w:vAlign w:val="center"/>
          </w:tcPr>
          <w:p w14:paraId="44D42D16"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0.298</w:t>
            </w:r>
          </w:p>
        </w:tc>
        <w:tc>
          <w:tcPr>
            <w:tcW w:w="378" w:type="pct"/>
            <w:tcBorders>
              <w:top w:val="single" w:sz="4" w:space="0" w:color="auto"/>
              <w:bottom w:val="single" w:sz="4" w:space="0" w:color="auto"/>
            </w:tcBorders>
            <w:vAlign w:val="center"/>
          </w:tcPr>
          <w:p w14:paraId="1AD27ADD"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-0.154</w:t>
            </w:r>
          </w:p>
          <w:p w14:paraId="17C029E8"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(0.197)</w:t>
            </w:r>
          </w:p>
        </w:tc>
        <w:tc>
          <w:tcPr>
            <w:tcW w:w="362" w:type="pct"/>
            <w:tcBorders>
              <w:top w:val="single" w:sz="4" w:space="0" w:color="auto"/>
              <w:bottom w:val="single" w:sz="4" w:space="0" w:color="auto"/>
            </w:tcBorders>
            <w:vAlign w:val="center"/>
          </w:tcPr>
          <w:p w14:paraId="421476E8"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-1.307</w:t>
            </w:r>
          </w:p>
        </w:tc>
        <w:tc>
          <w:tcPr>
            <w:tcW w:w="378" w:type="pct"/>
            <w:tcBorders>
              <w:top w:val="single" w:sz="4" w:space="0" w:color="auto"/>
              <w:bottom w:val="single" w:sz="4" w:space="0" w:color="auto"/>
            </w:tcBorders>
            <w:vAlign w:val="center"/>
          </w:tcPr>
          <w:p w14:paraId="26228304"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0.05</w:t>
            </w:r>
          </w:p>
          <w:p w14:paraId="1508F70A"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(0.497)</w:t>
            </w:r>
          </w:p>
        </w:tc>
        <w:tc>
          <w:tcPr>
            <w:tcW w:w="386" w:type="pct"/>
            <w:tcBorders>
              <w:top w:val="single" w:sz="4" w:space="0" w:color="auto"/>
              <w:bottom w:val="single" w:sz="4" w:space="0" w:color="auto"/>
            </w:tcBorders>
            <w:vAlign w:val="center"/>
          </w:tcPr>
          <w:p w14:paraId="13F9F228"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0.685</w:t>
            </w:r>
          </w:p>
        </w:tc>
        <w:tc>
          <w:tcPr>
            <w:tcW w:w="378" w:type="pct"/>
            <w:tcBorders>
              <w:top w:val="single" w:sz="4" w:space="0" w:color="auto"/>
              <w:bottom w:val="single" w:sz="4" w:space="0" w:color="auto"/>
            </w:tcBorders>
            <w:vAlign w:val="center"/>
          </w:tcPr>
          <w:p w14:paraId="76CBB2DB"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0.035</w:t>
            </w:r>
          </w:p>
          <w:p w14:paraId="7F9982F3"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(0.719)</w:t>
            </w:r>
          </w:p>
        </w:tc>
        <w:tc>
          <w:tcPr>
            <w:tcW w:w="362" w:type="pct"/>
            <w:tcBorders>
              <w:top w:val="single" w:sz="4" w:space="0" w:color="auto"/>
              <w:bottom w:val="single" w:sz="4" w:space="0" w:color="auto"/>
            </w:tcBorders>
            <w:vAlign w:val="center"/>
          </w:tcPr>
          <w:p w14:paraId="3F41AD2C"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0.360</w:t>
            </w:r>
          </w:p>
        </w:tc>
      </w:tr>
      <w:tr w:rsidR="007F15D8" w:rsidRPr="00E96B20" w14:paraId="6D583812" w14:textId="77777777" w:rsidTr="00215E9A">
        <w:trPr>
          <w:trHeight w:val="340"/>
          <w:jc w:val="center"/>
        </w:trPr>
        <w:tc>
          <w:tcPr>
            <w:tcW w:w="507" w:type="pct"/>
            <w:tcBorders>
              <w:top w:val="single" w:sz="4" w:space="0" w:color="auto"/>
              <w:bottom w:val="single" w:sz="4" w:space="0" w:color="auto"/>
              <w:right w:val="single" w:sz="4" w:space="0" w:color="auto"/>
            </w:tcBorders>
            <w:vAlign w:val="center"/>
          </w:tcPr>
          <w:p w14:paraId="0D7D5BA4" w14:textId="77777777" w:rsidR="00E40A40" w:rsidRPr="00E96B20" w:rsidRDefault="00E40A40" w:rsidP="00B47B68">
            <w:pPr>
              <w:tabs>
                <w:tab w:val="left" w:pos="4536"/>
              </w:tabs>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Big4</w:t>
            </w:r>
          </w:p>
        </w:tc>
        <w:tc>
          <w:tcPr>
            <w:tcW w:w="378" w:type="pct"/>
            <w:tcBorders>
              <w:top w:val="single" w:sz="4" w:space="0" w:color="auto"/>
              <w:left w:val="single" w:sz="4" w:space="0" w:color="auto"/>
              <w:bottom w:val="single" w:sz="4" w:space="0" w:color="auto"/>
            </w:tcBorders>
            <w:vAlign w:val="center"/>
          </w:tcPr>
          <w:p w14:paraId="1D314B6B"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-0.015</w:t>
            </w:r>
          </w:p>
          <w:p w14:paraId="0726FB20"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(0.024)</w:t>
            </w:r>
          </w:p>
        </w:tc>
        <w:tc>
          <w:tcPr>
            <w:tcW w:w="363" w:type="pct"/>
            <w:tcBorders>
              <w:top w:val="single" w:sz="4" w:space="0" w:color="auto"/>
              <w:bottom w:val="single" w:sz="4" w:space="0" w:color="auto"/>
            </w:tcBorders>
            <w:vAlign w:val="center"/>
          </w:tcPr>
          <w:p w14:paraId="7D7CB763"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-2.257</w:t>
            </w:r>
          </w:p>
        </w:tc>
        <w:tc>
          <w:tcPr>
            <w:tcW w:w="378" w:type="pct"/>
            <w:tcBorders>
              <w:top w:val="single" w:sz="4" w:space="0" w:color="auto"/>
              <w:bottom w:val="single" w:sz="4" w:space="0" w:color="auto"/>
            </w:tcBorders>
            <w:vAlign w:val="center"/>
          </w:tcPr>
          <w:p w14:paraId="34945D15"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0.042</w:t>
            </w:r>
          </w:p>
          <w:p w14:paraId="3AC3BBE1"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(0.000)</w:t>
            </w:r>
          </w:p>
        </w:tc>
        <w:tc>
          <w:tcPr>
            <w:tcW w:w="364" w:type="pct"/>
            <w:tcBorders>
              <w:top w:val="single" w:sz="4" w:space="0" w:color="auto"/>
              <w:bottom w:val="single" w:sz="4" w:space="0" w:color="auto"/>
            </w:tcBorders>
            <w:vAlign w:val="center"/>
          </w:tcPr>
          <w:p w14:paraId="020B8AFF"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4.086</w:t>
            </w:r>
          </w:p>
        </w:tc>
        <w:tc>
          <w:tcPr>
            <w:tcW w:w="378" w:type="pct"/>
            <w:tcBorders>
              <w:top w:val="single" w:sz="4" w:space="0" w:color="auto"/>
              <w:bottom w:val="single" w:sz="4" w:space="0" w:color="auto"/>
            </w:tcBorders>
            <w:vAlign w:val="center"/>
          </w:tcPr>
          <w:p w14:paraId="39B79AC5" w14:textId="77777777" w:rsidR="00E40A40" w:rsidRPr="00E96B20" w:rsidRDefault="00337B39"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0.236</w:t>
            </w:r>
          </w:p>
          <w:p w14:paraId="0FE00D77" w14:textId="07AE51DF" w:rsidR="00337B39" w:rsidRPr="00E96B20" w:rsidRDefault="00337B39"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(0.000)</w:t>
            </w:r>
          </w:p>
        </w:tc>
        <w:tc>
          <w:tcPr>
            <w:tcW w:w="386" w:type="pct"/>
            <w:tcBorders>
              <w:top w:val="single" w:sz="4" w:space="0" w:color="auto"/>
              <w:bottom w:val="single" w:sz="4" w:space="0" w:color="auto"/>
            </w:tcBorders>
            <w:vAlign w:val="center"/>
          </w:tcPr>
          <w:p w14:paraId="217143E2" w14:textId="45878558" w:rsidR="00E40A40" w:rsidRPr="00E96B20" w:rsidRDefault="00337B39" w:rsidP="00E96B20">
            <w:pPr>
              <w:autoSpaceDE w:val="0"/>
              <w:autoSpaceDN w:val="0"/>
              <w:adjustRightInd w:val="0"/>
              <w:spacing w:line="320" w:lineRule="atLeast"/>
              <w:ind w:left="60" w:right="60"/>
              <w:jc w:val="center"/>
              <w:rPr>
                <w:rFonts w:ascii="Times New Roman" w:hAnsi="Times New Roman" w:cs="Times New Roman"/>
                <w:sz w:val="16"/>
                <w:szCs w:val="20"/>
              </w:rPr>
            </w:pPr>
            <w:r w:rsidRPr="00E96B20">
              <w:rPr>
                <w:rFonts w:ascii="Times New Roman" w:hAnsi="Times New Roman" w:cs="Times New Roman"/>
                <w:sz w:val="16"/>
                <w:szCs w:val="20"/>
              </w:rPr>
              <w:t>3.742</w:t>
            </w:r>
          </w:p>
        </w:tc>
        <w:tc>
          <w:tcPr>
            <w:tcW w:w="378" w:type="pct"/>
            <w:tcBorders>
              <w:top w:val="single" w:sz="4" w:space="0" w:color="auto"/>
              <w:bottom w:val="single" w:sz="4" w:space="0" w:color="auto"/>
            </w:tcBorders>
            <w:vAlign w:val="center"/>
          </w:tcPr>
          <w:p w14:paraId="114601AE" w14:textId="77777777" w:rsidR="00E40A40" w:rsidRPr="00E96B20" w:rsidRDefault="00E40A40" w:rsidP="00E96B20">
            <w:pPr>
              <w:ind w:left="-111"/>
              <w:jc w:val="center"/>
              <w:rPr>
                <w:rFonts w:ascii="Times New Roman" w:hAnsi="Times New Roman" w:cs="Times New Roman"/>
                <w:sz w:val="16"/>
                <w:szCs w:val="20"/>
              </w:rPr>
            </w:pPr>
            <w:r w:rsidRPr="00E96B20">
              <w:rPr>
                <w:rFonts w:ascii="Times New Roman" w:hAnsi="Times New Roman" w:cs="Times New Roman"/>
                <w:sz w:val="16"/>
                <w:szCs w:val="20"/>
              </w:rPr>
              <w:t>0.035</w:t>
            </w:r>
          </w:p>
          <w:p w14:paraId="45BB3C1D" w14:textId="77777777" w:rsidR="00E40A40" w:rsidRPr="00E96B20" w:rsidRDefault="00E40A40" w:rsidP="00E96B20">
            <w:pPr>
              <w:ind w:left="-111"/>
              <w:jc w:val="center"/>
              <w:rPr>
                <w:rFonts w:ascii="Times New Roman" w:hAnsi="Times New Roman" w:cs="Times New Roman"/>
                <w:sz w:val="16"/>
                <w:szCs w:val="20"/>
              </w:rPr>
            </w:pPr>
            <w:r w:rsidRPr="00E96B20">
              <w:rPr>
                <w:rFonts w:ascii="Times New Roman" w:hAnsi="Times New Roman" w:cs="Times New Roman"/>
                <w:sz w:val="16"/>
                <w:szCs w:val="20"/>
              </w:rPr>
              <w:t>(0.001)</w:t>
            </w:r>
          </w:p>
        </w:tc>
        <w:tc>
          <w:tcPr>
            <w:tcW w:w="362" w:type="pct"/>
            <w:tcBorders>
              <w:top w:val="single" w:sz="4" w:space="0" w:color="auto"/>
              <w:bottom w:val="single" w:sz="4" w:space="0" w:color="auto"/>
            </w:tcBorders>
            <w:vAlign w:val="center"/>
          </w:tcPr>
          <w:p w14:paraId="3AFDFE73"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3.635</w:t>
            </w:r>
          </w:p>
        </w:tc>
        <w:tc>
          <w:tcPr>
            <w:tcW w:w="378" w:type="pct"/>
            <w:tcBorders>
              <w:top w:val="single" w:sz="4" w:space="0" w:color="auto"/>
              <w:bottom w:val="single" w:sz="4" w:space="0" w:color="auto"/>
            </w:tcBorders>
            <w:vAlign w:val="center"/>
          </w:tcPr>
          <w:p w14:paraId="3D175A6B"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-0.137</w:t>
            </w:r>
          </w:p>
          <w:p w14:paraId="43F49024"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(0.572)</w:t>
            </w:r>
          </w:p>
        </w:tc>
        <w:tc>
          <w:tcPr>
            <w:tcW w:w="386" w:type="pct"/>
            <w:tcBorders>
              <w:top w:val="single" w:sz="4" w:space="0" w:color="auto"/>
              <w:bottom w:val="single" w:sz="4" w:space="0" w:color="auto"/>
            </w:tcBorders>
            <w:vAlign w:val="center"/>
          </w:tcPr>
          <w:p w14:paraId="184A83AE"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-0.569</w:t>
            </w:r>
          </w:p>
        </w:tc>
        <w:tc>
          <w:tcPr>
            <w:tcW w:w="378" w:type="pct"/>
            <w:tcBorders>
              <w:top w:val="single" w:sz="4" w:space="0" w:color="auto"/>
              <w:bottom w:val="single" w:sz="4" w:space="0" w:color="auto"/>
            </w:tcBorders>
            <w:vAlign w:val="center"/>
          </w:tcPr>
          <w:p w14:paraId="7DAA7270"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0.012</w:t>
            </w:r>
          </w:p>
          <w:p w14:paraId="0EF536CA"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(0.410)</w:t>
            </w:r>
          </w:p>
        </w:tc>
        <w:tc>
          <w:tcPr>
            <w:tcW w:w="362" w:type="pct"/>
            <w:tcBorders>
              <w:top w:val="single" w:sz="4" w:space="0" w:color="auto"/>
              <w:bottom w:val="single" w:sz="4" w:space="0" w:color="auto"/>
            </w:tcBorders>
            <w:vAlign w:val="center"/>
          </w:tcPr>
          <w:p w14:paraId="70439FD9"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0.828</w:t>
            </w:r>
          </w:p>
        </w:tc>
      </w:tr>
      <w:tr w:rsidR="007F15D8" w:rsidRPr="00E96B20" w14:paraId="43347965" w14:textId="77777777" w:rsidTr="00215E9A">
        <w:trPr>
          <w:trHeight w:val="340"/>
          <w:jc w:val="center"/>
        </w:trPr>
        <w:tc>
          <w:tcPr>
            <w:tcW w:w="507" w:type="pct"/>
            <w:tcBorders>
              <w:top w:val="single" w:sz="4" w:space="0" w:color="auto"/>
              <w:bottom w:val="single" w:sz="4" w:space="0" w:color="auto"/>
              <w:right w:val="single" w:sz="4" w:space="0" w:color="auto"/>
            </w:tcBorders>
            <w:vAlign w:val="center"/>
          </w:tcPr>
          <w:p w14:paraId="6C6C0EA3" w14:textId="53B952E7" w:rsidR="00E40A40" w:rsidRPr="00E96B20" w:rsidRDefault="00E40A40" w:rsidP="00B47B68">
            <w:pPr>
              <w:tabs>
                <w:tab w:val="left" w:pos="4536"/>
              </w:tabs>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Risk</w:t>
            </w:r>
          </w:p>
        </w:tc>
        <w:tc>
          <w:tcPr>
            <w:tcW w:w="378" w:type="pct"/>
            <w:tcBorders>
              <w:top w:val="single" w:sz="4" w:space="0" w:color="auto"/>
              <w:left w:val="single" w:sz="4" w:space="0" w:color="auto"/>
              <w:bottom w:val="single" w:sz="4" w:space="0" w:color="auto"/>
            </w:tcBorders>
            <w:vAlign w:val="center"/>
          </w:tcPr>
          <w:p w14:paraId="087A660D"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0.010</w:t>
            </w:r>
          </w:p>
          <w:p w14:paraId="5AA9A450"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(0.004)</w:t>
            </w:r>
          </w:p>
        </w:tc>
        <w:tc>
          <w:tcPr>
            <w:tcW w:w="363" w:type="pct"/>
            <w:tcBorders>
              <w:top w:val="single" w:sz="4" w:space="0" w:color="auto"/>
              <w:bottom w:val="single" w:sz="4" w:space="0" w:color="auto"/>
            </w:tcBorders>
            <w:vAlign w:val="center"/>
          </w:tcPr>
          <w:p w14:paraId="3911759E"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2.913</w:t>
            </w:r>
          </w:p>
        </w:tc>
        <w:tc>
          <w:tcPr>
            <w:tcW w:w="378" w:type="pct"/>
            <w:tcBorders>
              <w:top w:val="single" w:sz="4" w:space="0" w:color="auto"/>
              <w:bottom w:val="single" w:sz="4" w:space="0" w:color="auto"/>
            </w:tcBorders>
            <w:vAlign w:val="center"/>
          </w:tcPr>
          <w:p w14:paraId="6DD9FF18"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0.013</w:t>
            </w:r>
          </w:p>
          <w:p w14:paraId="5F1C2D9C"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(0.729)</w:t>
            </w:r>
          </w:p>
        </w:tc>
        <w:tc>
          <w:tcPr>
            <w:tcW w:w="364" w:type="pct"/>
            <w:tcBorders>
              <w:top w:val="single" w:sz="4" w:space="0" w:color="auto"/>
              <w:bottom w:val="single" w:sz="4" w:space="0" w:color="auto"/>
            </w:tcBorders>
            <w:vAlign w:val="center"/>
          </w:tcPr>
          <w:p w14:paraId="570E971B"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0.347</w:t>
            </w:r>
          </w:p>
        </w:tc>
        <w:tc>
          <w:tcPr>
            <w:tcW w:w="378" w:type="pct"/>
            <w:tcBorders>
              <w:top w:val="single" w:sz="4" w:space="0" w:color="auto"/>
              <w:bottom w:val="single" w:sz="4" w:space="0" w:color="auto"/>
            </w:tcBorders>
            <w:vAlign w:val="center"/>
          </w:tcPr>
          <w:p w14:paraId="65C7D40D" w14:textId="77777777" w:rsidR="00E40A40" w:rsidRPr="00E96B20" w:rsidRDefault="00E40A40" w:rsidP="00E96B20">
            <w:pPr>
              <w:tabs>
                <w:tab w:val="left" w:pos="4536"/>
              </w:tabs>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0.053</w:t>
            </w:r>
          </w:p>
          <w:p w14:paraId="3E1EF07B" w14:textId="77777777" w:rsidR="00E40A40" w:rsidRPr="00E96B20" w:rsidRDefault="00E40A40" w:rsidP="00E96B20">
            <w:pPr>
              <w:tabs>
                <w:tab w:val="left" w:pos="4536"/>
              </w:tabs>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(0.623)</w:t>
            </w:r>
          </w:p>
        </w:tc>
        <w:tc>
          <w:tcPr>
            <w:tcW w:w="386" w:type="pct"/>
            <w:tcBorders>
              <w:top w:val="single" w:sz="4" w:space="0" w:color="auto"/>
              <w:bottom w:val="single" w:sz="4" w:space="0" w:color="auto"/>
            </w:tcBorders>
            <w:vAlign w:val="center"/>
          </w:tcPr>
          <w:p w14:paraId="43FC7EE4"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0.494</w:t>
            </w:r>
          </w:p>
        </w:tc>
        <w:tc>
          <w:tcPr>
            <w:tcW w:w="378" w:type="pct"/>
            <w:tcBorders>
              <w:top w:val="single" w:sz="4" w:space="0" w:color="auto"/>
              <w:bottom w:val="single" w:sz="4" w:space="0" w:color="auto"/>
            </w:tcBorders>
            <w:vAlign w:val="center"/>
          </w:tcPr>
          <w:p w14:paraId="489CD35C"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-0.025</w:t>
            </w:r>
          </w:p>
          <w:p w14:paraId="436544CB"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(0.017)</w:t>
            </w:r>
          </w:p>
        </w:tc>
        <w:tc>
          <w:tcPr>
            <w:tcW w:w="362" w:type="pct"/>
            <w:tcBorders>
              <w:top w:val="single" w:sz="4" w:space="0" w:color="auto"/>
              <w:bottom w:val="single" w:sz="4" w:space="0" w:color="auto"/>
            </w:tcBorders>
            <w:vAlign w:val="center"/>
          </w:tcPr>
          <w:p w14:paraId="1F0CE774"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-2.455</w:t>
            </w:r>
          </w:p>
        </w:tc>
        <w:tc>
          <w:tcPr>
            <w:tcW w:w="378" w:type="pct"/>
            <w:tcBorders>
              <w:top w:val="single" w:sz="4" w:space="0" w:color="auto"/>
              <w:bottom w:val="single" w:sz="4" w:space="0" w:color="auto"/>
            </w:tcBorders>
            <w:vAlign w:val="center"/>
          </w:tcPr>
          <w:p w14:paraId="4D182076"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0.001</w:t>
            </w:r>
          </w:p>
          <w:p w14:paraId="31A2281C"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(0.991)</w:t>
            </w:r>
          </w:p>
        </w:tc>
        <w:tc>
          <w:tcPr>
            <w:tcW w:w="386" w:type="pct"/>
            <w:tcBorders>
              <w:top w:val="single" w:sz="4" w:space="0" w:color="auto"/>
              <w:bottom w:val="single" w:sz="4" w:space="0" w:color="auto"/>
            </w:tcBorders>
            <w:vAlign w:val="center"/>
          </w:tcPr>
          <w:p w14:paraId="34E97A76" w14:textId="77777777" w:rsidR="00E40A40" w:rsidRPr="00E96B20" w:rsidRDefault="00E40A40" w:rsidP="00E96B20">
            <w:pPr>
              <w:autoSpaceDE w:val="0"/>
              <w:autoSpaceDN w:val="0"/>
              <w:adjustRightInd w:val="0"/>
              <w:spacing w:line="320" w:lineRule="atLeast"/>
              <w:ind w:left="60" w:right="60"/>
              <w:jc w:val="center"/>
              <w:rPr>
                <w:rFonts w:ascii="Times New Roman" w:hAnsi="Times New Roman" w:cs="Times New Roman"/>
                <w:sz w:val="16"/>
                <w:szCs w:val="20"/>
              </w:rPr>
            </w:pPr>
            <w:r w:rsidRPr="00E96B20">
              <w:rPr>
                <w:rFonts w:ascii="Times New Roman" w:hAnsi="Times New Roman" w:cs="Times New Roman"/>
                <w:sz w:val="16"/>
                <w:szCs w:val="20"/>
              </w:rPr>
              <w:t>0.012</w:t>
            </w:r>
          </w:p>
        </w:tc>
        <w:tc>
          <w:tcPr>
            <w:tcW w:w="378" w:type="pct"/>
            <w:tcBorders>
              <w:top w:val="single" w:sz="4" w:space="0" w:color="auto"/>
              <w:bottom w:val="single" w:sz="4" w:space="0" w:color="auto"/>
            </w:tcBorders>
            <w:vAlign w:val="center"/>
          </w:tcPr>
          <w:p w14:paraId="7C0BD4DC"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-0.004</w:t>
            </w:r>
          </w:p>
          <w:p w14:paraId="6CF1ED83"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(0.497)</w:t>
            </w:r>
          </w:p>
        </w:tc>
        <w:tc>
          <w:tcPr>
            <w:tcW w:w="362" w:type="pct"/>
            <w:tcBorders>
              <w:top w:val="single" w:sz="4" w:space="0" w:color="auto"/>
              <w:bottom w:val="single" w:sz="4" w:space="0" w:color="auto"/>
            </w:tcBorders>
            <w:vAlign w:val="center"/>
          </w:tcPr>
          <w:p w14:paraId="1831A285"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-0.681</w:t>
            </w:r>
          </w:p>
        </w:tc>
      </w:tr>
      <w:tr w:rsidR="007F15D8" w:rsidRPr="00E96B20" w14:paraId="0416BBF3" w14:textId="77777777" w:rsidTr="00215E9A">
        <w:trPr>
          <w:trHeight w:val="340"/>
          <w:jc w:val="center"/>
        </w:trPr>
        <w:tc>
          <w:tcPr>
            <w:tcW w:w="507" w:type="pct"/>
            <w:tcBorders>
              <w:top w:val="single" w:sz="4" w:space="0" w:color="auto"/>
              <w:bottom w:val="single" w:sz="4" w:space="0" w:color="auto"/>
              <w:right w:val="single" w:sz="4" w:space="0" w:color="auto"/>
            </w:tcBorders>
            <w:vAlign w:val="center"/>
          </w:tcPr>
          <w:p w14:paraId="4F21F08E" w14:textId="77777777" w:rsidR="00E40A40" w:rsidRPr="00E96B20" w:rsidRDefault="00E40A40" w:rsidP="00B47B68">
            <w:pPr>
              <w:tabs>
                <w:tab w:val="left" w:pos="4536"/>
              </w:tabs>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Size</w:t>
            </w:r>
          </w:p>
        </w:tc>
        <w:tc>
          <w:tcPr>
            <w:tcW w:w="378" w:type="pct"/>
            <w:tcBorders>
              <w:top w:val="single" w:sz="4" w:space="0" w:color="auto"/>
              <w:left w:val="single" w:sz="4" w:space="0" w:color="auto"/>
              <w:bottom w:val="single" w:sz="4" w:space="0" w:color="auto"/>
            </w:tcBorders>
            <w:vAlign w:val="center"/>
          </w:tcPr>
          <w:p w14:paraId="641661C2"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0.006</w:t>
            </w:r>
          </w:p>
          <w:p w14:paraId="49B13814"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(0.238)</w:t>
            </w:r>
          </w:p>
        </w:tc>
        <w:tc>
          <w:tcPr>
            <w:tcW w:w="363" w:type="pct"/>
            <w:tcBorders>
              <w:top w:val="single" w:sz="4" w:space="0" w:color="auto"/>
              <w:bottom w:val="single" w:sz="4" w:space="0" w:color="auto"/>
            </w:tcBorders>
            <w:vAlign w:val="center"/>
          </w:tcPr>
          <w:p w14:paraId="2EC1209F"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1.181</w:t>
            </w:r>
          </w:p>
        </w:tc>
        <w:tc>
          <w:tcPr>
            <w:tcW w:w="378" w:type="pct"/>
            <w:tcBorders>
              <w:top w:val="single" w:sz="4" w:space="0" w:color="auto"/>
              <w:bottom w:val="single" w:sz="4" w:space="0" w:color="auto"/>
            </w:tcBorders>
            <w:vAlign w:val="center"/>
          </w:tcPr>
          <w:p w14:paraId="420D46EF"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-0.03</w:t>
            </w:r>
          </w:p>
          <w:p w14:paraId="12670A21"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(0.000)</w:t>
            </w:r>
          </w:p>
        </w:tc>
        <w:tc>
          <w:tcPr>
            <w:tcW w:w="364" w:type="pct"/>
            <w:tcBorders>
              <w:top w:val="single" w:sz="4" w:space="0" w:color="auto"/>
              <w:bottom w:val="single" w:sz="4" w:space="0" w:color="auto"/>
            </w:tcBorders>
            <w:vAlign w:val="center"/>
          </w:tcPr>
          <w:p w14:paraId="15FC5C86"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-3.723</w:t>
            </w:r>
          </w:p>
        </w:tc>
        <w:tc>
          <w:tcPr>
            <w:tcW w:w="378" w:type="pct"/>
            <w:tcBorders>
              <w:top w:val="single" w:sz="4" w:space="0" w:color="auto"/>
              <w:bottom w:val="single" w:sz="4" w:space="0" w:color="auto"/>
            </w:tcBorders>
            <w:vAlign w:val="center"/>
          </w:tcPr>
          <w:p w14:paraId="0D762D91" w14:textId="77777777" w:rsidR="00E40A40" w:rsidRPr="00E96B20" w:rsidRDefault="00E40A40" w:rsidP="00E96B20">
            <w:pPr>
              <w:tabs>
                <w:tab w:val="left" w:pos="4536"/>
              </w:tabs>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-0.004</w:t>
            </w:r>
          </w:p>
          <w:p w14:paraId="09BEBF96" w14:textId="77777777" w:rsidR="00E40A40" w:rsidRPr="00E96B20" w:rsidRDefault="00E40A40" w:rsidP="00E96B20">
            <w:pPr>
              <w:tabs>
                <w:tab w:val="left" w:pos="4536"/>
              </w:tabs>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(0.001)</w:t>
            </w:r>
          </w:p>
        </w:tc>
        <w:tc>
          <w:tcPr>
            <w:tcW w:w="386" w:type="pct"/>
            <w:tcBorders>
              <w:top w:val="single" w:sz="4" w:space="0" w:color="auto"/>
              <w:bottom w:val="single" w:sz="4" w:space="0" w:color="auto"/>
            </w:tcBorders>
            <w:vAlign w:val="center"/>
          </w:tcPr>
          <w:p w14:paraId="75C8A1E6"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-3.573</w:t>
            </w:r>
          </w:p>
        </w:tc>
        <w:tc>
          <w:tcPr>
            <w:tcW w:w="378" w:type="pct"/>
            <w:tcBorders>
              <w:top w:val="single" w:sz="4" w:space="0" w:color="auto"/>
              <w:bottom w:val="single" w:sz="4" w:space="0" w:color="auto"/>
            </w:tcBorders>
            <w:vAlign w:val="center"/>
          </w:tcPr>
          <w:p w14:paraId="2CF7EE8A"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-0.013</w:t>
            </w:r>
          </w:p>
          <w:p w14:paraId="3E86F2E2"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(0.024)</w:t>
            </w:r>
          </w:p>
        </w:tc>
        <w:tc>
          <w:tcPr>
            <w:tcW w:w="362" w:type="pct"/>
            <w:tcBorders>
              <w:top w:val="single" w:sz="4" w:space="0" w:color="auto"/>
              <w:bottom w:val="single" w:sz="4" w:space="0" w:color="auto"/>
            </w:tcBorders>
            <w:vAlign w:val="center"/>
          </w:tcPr>
          <w:p w14:paraId="5A209E45"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-2.329</w:t>
            </w:r>
          </w:p>
        </w:tc>
        <w:tc>
          <w:tcPr>
            <w:tcW w:w="378" w:type="pct"/>
            <w:tcBorders>
              <w:top w:val="single" w:sz="4" w:space="0" w:color="auto"/>
              <w:bottom w:val="single" w:sz="4" w:space="0" w:color="auto"/>
            </w:tcBorders>
            <w:vAlign w:val="center"/>
          </w:tcPr>
          <w:p w14:paraId="30649290"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0.501</w:t>
            </w:r>
          </w:p>
          <w:p w14:paraId="1D575B75"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(0.011)</w:t>
            </w:r>
          </w:p>
        </w:tc>
        <w:tc>
          <w:tcPr>
            <w:tcW w:w="386" w:type="pct"/>
            <w:tcBorders>
              <w:top w:val="single" w:sz="4" w:space="0" w:color="auto"/>
              <w:bottom w:val="single" w:sz="4" w:space="0" w:color="auto"/>
            </w:tcBorders>
            <w:vAlign w:val="center"/>
          </w:tcPr>
          <w:p w14:paraId="3B5C535F"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2.638</w:t>
            </w:r>
          </w:p>
        </w:tc>
        <w:tc>
          <w:tcPr>
            <w:tcW w:w="378" w:type="pct"/>
            <w:tcBorders>
              <w:top w:val="single" w:sz="4" w:space="0" w:color="auto"/>
              <w:bottom w:val="single" w:sz="4" w:space="0" w:color="auto"/>
            </w:tcBorders>
            <w:vAlign w:val="center"/>
          </w:tcPr>
          <w:p w14:paraId="5FF7425F"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0.007</w:t>
            </w:r>
          </w:p>
          <w:p w14:paraId="2BBA0EB4"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(0.456)</w:t>
            </w:r>
          </w:p>
        </w:tc>
        <w:tc>
          <w:tcPr>
            <w:tcW w:w="362" w:type="pct"/>
            <w:tcBorders>
              <w:top w:val="single" w:sz="4" w:space="0" w:color="auto"/>
              <w:bottom w:val="single" w:sz="4" w:space="0" w:color="auto"/>
            </w:tcBorders>
            <w:vAlign w:val="center"/>
          </w:tcPr>
          <w:p w14:paraId="1BD2E137" w14:textId="77777777" w:rsidR="00E40A40" w:rsidRPr="00E96B20" w:rsidRDefault="00E40A40" w:rsidP="00E96B20">
            <w:pPr>
              <w:jc w:val="center"/>
              <w:rPr>
                <w:rFonts w:ascii="Times New Roman" w:hAnsi="Times New Roman" w:cs="Times New Roman"/>
                <w:sz w:val="16"/>
                <w:szCs w:val="20"/>
              </w:rPr>
            </w:pPr>
            <w:r w:rsidRPr="00E96B20">
              <w:rPr>
                <w:rFonts w:ascii="Times New Roman" w:hAnsi="Times New Roman" w:cs="Times New Roman"/>
                <w:sz w:val="16"/>
                <w:szCs w:val="20"/>
              </w:rPr>
              <w:t>0.748</w:t>
            </w:r>
          </w:p>
        </w:tc>
      </w:tr>
      <w:tr w:rsidR="007F15D8" w:rsidRPr="00E96B20" w14:paraId="5EEBCA56" w14:textId="77777777" w:rsidTr="00215E9A">
        <w:trPr>
          <w:trHeight w:val="340"/>
          <w:jc w:val="center"/>
        </w:trPr>
        <w:tc>
          <w:tcPr>
            <w:tcW w:w="507" w:type="pct"/>
            <w:tcBorders>
              <w:top w:val="single" w:sz="4" w:space="0" w:color="auto"/>
              <w:bottom w:val="single" w:sz="4" w:space="0" w:color="auto"/>
              <w:right w:val="single" w:sz="4" w:space="0" w:color="auto"/>
            </w:tcBorders>
            <w:vAlign w:val="center"/>
          </w:tcPr>
          <w:p w14:paraId="7734F8E5" w14:textId="77777777" w:rsidR="00E40A40" w:rsidRPr="00E96B20" w:rsidRDefault="00E40A40" w:rsidP="00B47B68">
            <w:pPr>
              <w:tabs>
                <w:tab w:val="left" w:pos="4536"/>
              </w:tabs>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R (EQ*FI)</w:t>
            </w:r>
          </w:p>
        </w:tc>
        <w:tc>
          <w:tcPr>
            <w:tcW w:w="742" w:type="pct"/>
            <w:gridSpan w:val="2"/>
            <w:tcBorders>
              <w:top w:val="single" w:sz="4" w:space="0" w:color="auto"/>
              <w:left w:val="single" w:sz="4" w:space="0" w:color="auto"/>
              <w:bottom w:val="single" w:sz="4" w:space="0" w:color="auto"/>
            </w:tcBorders>
            <w:vAlign w:val="center"/>
          </w:tcPr>
          <w:p w14:paraId="463D5C0E"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0.153**</w:t>
            </w:r>
          </w:p>
        </w:tc>
        <w:tc>
          <w:tcPr>
            <w:tcW w:w="742" w:type="pct"/>
            <w:gridSpan w:val="2"/>
            <w:tcBorders>
              <w:top w:val="single" w:sz="4" w:space="0" w:color="auto"/>
              <w:bottom w:val="single" w:sz="4" w:space="0" w:color="auto"/>
            </w:tcBorders>
            <w:vAlign w:val="center"/>
          </w:tcPr>
          <w:p w14:paraId="3B017075"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0.210**</w:t>
            </w:r>
          </w:p>
        </w:tc>
        <w:tc>
          <w:tcPr>
            <w:tcW w:w="764" w:type="pct"/>
            <w:gridSpan w:val="2"/>
            <w:tcBorders>
              <w:top w:val="single" w:sz="4" w:space="0" w:color="auto"/>
              <w:bottom w:val="single" w:sz="4" w:space="0" w:color="auto"/>
            </w:tcBorders>
            <w:vAlign w:val="center"/>
          </w:tcPr>
          <w:p w14:paraId="41441D82"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0.389**</w:t>
            </w:r>
          </w:p>
        </w:tc>
        <w:tc>
          <w:tcPr>
            <w:tcW w:w="741" w:type="pct"/>
            <w:gridSpan w:val="2"/>
            <w:tcBorders>
              <w:top w:val="single" w:sz="4" w:space="0" w:color="auto"/>
              <w:bottom w:val="single" w:sz="4" w:space="0" w:color="auto"/>
            </w:tcBorders>
            <w:vAlign w:val="center"/>
          </w:tcPr>
          <w:p w14:paraId="6D2CD85E"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0.562**</w:t>
            </w:r>
          </w:p>
        </w:tc>
        <w:tc>
          <w:tcPr>
            <w:tcW w:w="764" w:type="pct"/>
            <w:gridSpan w:val="2"/>
            <w:tcBorders>
              <w:top w:val="single" w:sz="4" w:space="0" w:color="auto"/>
              <w:bottom w:val="single" w:sz="4" w:space="0" w:color="auto"/>
            </w:tcBorders>
            <w:vAlign w:val="center"/>
          </w:tcPr>
          <w:p w14:paraId="6C758DAD"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0.398</w:t>
            </w:r>
          </w:p>
        </w:tc>
        <w:tc>
          <w:tcPr>
            <w:tcW w:w="741" w:type="pct"/>
            <w:gridSpan w:val="2"/>
            <w:tcBorders>
              <w:top w:val="single" w:sz="4" w:space="0" w:color="auto"/>
              <w:bottom w:val="single" w:sz="4" w:space="0" w:color="auto"/>
            </w:tcBorders>
            <w:vAlign w:val="center"/>
          </w:tcPr>
          <w:p w14:paraId="74C905AE"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0.157</w:t>
            </w:r>
          </w:p>
        </w:tc>
      </w:tr>
      <w:tr w:rsidR="007F15D8" w:rsidRPr="00E96B20" w14:paraId="14C0265F" w14:textId="77777777" w:rsidTr="00215E9A">
        <w:trPr>
          <w:trHeight w:val="340"/>
          <w:jc w:val="center"/>
        </w:trPr>
        <w:tc>
          <w:tcPr>
            <w:tcW w:w="507" w:type="pct"/>
            <w:tcBorders>
              <w:top w:val="single" w:sz="4" w:space="0" w:color="auto"/>
              <w:bottom w:val="single" w:sz="4" w:space="0" w:color="auto"/>
              <w:right w:val="single" w:sz="4" w:space="0" w:color="auto"/>
            </w:tcBorders>
            <w:vAlign w:val="center"/>
          </w:tcPr>
          <w:p w14:paraId="16BE3543" w14:textId="77777777" w:rsidR="00E40A40" w:rsidRPr="00E96B20" w:rsidRDefault="00E40A40" w:rsidP="00B47B68">
            <w:pPr>
              <w:tabs>
                <w:tab w:val="left" w:pos="4536"/>
              </w:tabs>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R2</w:t>
            </w:r>
          </w:p>
        </w:tc>
        <w:tc>
          <w:tcPr>
            <w:tcW w:w="742" w:type="pct"/>
            <w:gridSpan w:val="2"/>
            <w:tcBorders>
              <w:top w:val="single" w:sz="4" w:space="0" w:color="auto"/>
              <w:left w:val="single" w:sz="4" w:space="0" w:color="auto"/>
              <w:bottom w:val="single" w:sz="4" w:space="0" w:color="auto"/>
            </w:tcBorders>
            <w:vAlign w:val="center"/>
          </w:tcPr>
          <w:p w14:paraId="1A0E1406"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0.023</w:t>
            </w:r>
          </w:p>
        </w:tc>
        <w:tc>
          <w:tcPr>
            <w:tcW w:w="742" w:type="pct"/>
            <w:gridSpan w:val="2"/>
            <w:tcBorders>
              <w:top w:val="single" w:sz="4" w:space="0" w:color="auto"/>
              <w:bottom w:val="single" w:sz="4" w:space="0" w:color="auto"/>
            </w:tcBorders>
            <w:vAlign w:val="center"/>
          </w:tcPr>
          <w:p w14:paraId="2922E500"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0.044</w:t>
            </w:r>
          </w:p>
        </w:tc>
        <w:tc>
          <w:tcPr>
            <w:tcW w:w="764" w:type="pct"/>
            <w:gridSpan w:val="2"/>
            <w:tcBorders>
              <w:top w:val="single" w:sz="4" w:space="0" w:color="auto"/>
              <w:bottom w:val="single" w:sz="4" w:space="0" w:color="auto"/>
            </w:tcBorders>
            <w:vAlign w:val="center"/>
          </w:tcPr>
          <w:p w14:paraId="3AB7FB08"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0.151</w:t>
            </w:r>
          </w:p>
        </w:tc>
        <w:tc>
          <w:tcPr>
            <w:tcW w:w="741" w:type="pct"/>
            <w:gridSpan w:val="2"/>
            <w:tcBorders>
              <w:top w:val="single" w:sz="4" w:space="0" w:color="auto"/>
              <w:bottom w:val="single" w:sz="4" w:space="0" w:color="auto"/>
            </w:tcBorders>
            <w:vAlign w:val="center"/>
          </w:tcPr>
          <w:p w14:paraId="3F262711"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0.316</w:t>
            </w:r>
          </w:p>
        </w:tc>
        <w:tc>
          <w:tcPr>
            <w:tcW w:w="764" w:type="pct"/>
            <w:gridSpan w:val="2"/>
            <w:tcBorders>
              <w:top w:val="single" w:sz="4" w:space="0" w:color="auto"/>
              <w:bottom w:val="single" w:sz="4" w:space="0" w:color="auto"/>
            </w:tcBorders>
            <w:vAlign w:val="center"/>
          </w:tcPr>
          <w:p w14:paraId="35B583C1"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0.159</w:t>
            </w:r>
          </w:p>
        </w:tc>
        <w:tc>
          <w:tcPr>
            <w:tcW w:w="741" w:type="pct"/>
            <w:gridSpan w:val="2"/>
            <w:tcBorders>
              <w:top w:val="single" w:sz="4" w:space="0" w:color="auto"/>
              <w:bottom w:val="single" w:sz="4" w:space="0" w:color="auto"/>
            </w:tcBorders>
            <w:vAlign w:val="center"/>
          </w:tcPr>
          <w:p w14:paraId="0F8C4F05"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0.025</w:t>
            </w:r>
          </w:p>
        </w:tc>
      </w:tr>
      <w:tr w:rsidR="007F15D8" w:rsidRPr="00E96B20" w14:paraId="228F2EF7" w14:textId="77777777" w:rsidTr="00215E9A">
        <w:trPr>
          <w:trHeight w:val="340"/>
          <w:jc w:val="center"/>
        </w:trPr>
        <w:tc>
          <w:tcPr>
            <w:tcW w:w="507" w:type="pct"/>
            <w:tcBorders>
              <w:top w:val="single" w:sz="4" w:space="0" w:color="auto"/>
              <w:bottom w:val="single" w:sz="4" w:space="0" w:color="auto"/>
              <w:right w:val="single" w:sz="4" w:space="0" w:color="auto"/>
            </w:tcBorders>
            <w:vAlign w:val="center"/>
          </w:tcPr>
          <w:p w14:paraId="2A8CBCCA" w14:textId="77777777" w:rsidR="00E40A40" w:rsidRPr="00E96B20" w:rsidRDefault="00E40A40" w:rsidP="00B47B68">
            <w:pPr>
              <w:tabs>
                <w:tab w:val="left" w:pos="4536"/>
              </w:tabs>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F-value</w:t>
            </w:r>
          </w:p>
        </w:tc>
        <w:tc>
          <w:tcPr>
            <w:tcW w:w="742" w:type="pct"/>
            <w:gridSpan w:val="2"/>
            <w:tcBorders>
              <w:top w:val="single" w:sz="4" w:space="0" w:color="auto"/>
              <w:left w:val="single" w:sz="4" w:space="0" w:color="auto"/>
              <w:bottom w:val="single" w:sz="4" w:space="0" w:color="auto"/>
            </w:tcBorders>
            <w:vAlign w:val="center"/>
          </w:tcPr>
          <w:p w14:paraId="743366A6"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3.757</w:t>
            </w:r>
          </w:p>
        </w:tc>
        <w:tc>
          <w:tcPr>
            <w:tcW w:w="742" w:type="pct"/>
            <w:gridSpan w:val="2"/>
            <w:tcBorders>
              <w:top w:val="single" w:sz="4" w:space="0" w:color="auto"/>
              <w:bottom w:val="single" w:sz="4" w:space="0" w:color="auto"/>
            </w:tcBorders>
            <w:vAlign w:val="center"/>
          </w:tcPr>
          <w:p w14:paraId="72F5E344"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7.359</w:t>
            </w:r>
          </w:p>
        </w:tc>
        <w:tc>
          <w:tcPr>
            <w:tcW w:w="764" w:type="pct"/>
            <w:gridSpan w:val="2"/>
            <w:tcBorders>
              <w:top w:val="single" w:sz="4" w:space="0" w:color="auto"/>
              <w:bottom w:val="single" w:sz="4" w:space="0" w:color="auto"/>
            </w:tcBorders>
            <w:vAlign w:val="center"/>
          </w:tcPr>
          <w:p w14:paraId="5E1C965F"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4.399</w:t>
            </w:r>
          </w:p>
        </w:tc>
        <w:tc>
          <w:tcPr>
            <w:tcW w:w="741" w:type="pct"/>
            <w:gridSpan w:val="2"/>
            <w:tcBorders>
              <w:top w:val="single" w:sz="4" w:space="0" w:color="auto"/>
              <w:bottom w:val="single" w:sz="4" w:space="0" w:color="auto"/>
            </w:tcBorders>
            <w:vAlign w:val="center"/>
          </w:tcPr>
          <w:p w14:paraId="09C19F4B"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6.230</w:t>
            </w:r>
          </w:p>
        </w:tc>
        <w:tc>
          <w:tcPr>
            <w:tcW w:w="764" w:type="pct"/>
            <w:gridSpan w:val="2"/>
            <w:tcBorders>
              <w:top w:val="single" w:sz="4" w:space="0" w:color="auto"/>
              <w:bottom w:val="single" w:sz="4" w:space="0" w:color="auto"/>
            </w:tcBorders>
            <w:vAlign w:val="center"/>
          </w:tcPr>
          <w:p w14:paraId="6408BF7C"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2.312</w:t>
            </w:r>
          </w:p>
        </w:tc>
        <w:tc>
          <w:tcPr>
            <w:tcW w:w="741" w:type="pct"/>
            <w:gridSpan w:val="2"/>
            <w:tcBorders>
              <w:top w:val="single" w:sz="4" w:space="0" w:color="auto"/>
              <w:bottom w:val="single" w:sz="4" w:space="0" w:color="auto"/>
            </w:tcBorders>
            <w:vAlign w:val="center"/>
          </w:tcPr>
          <w:p w14:paraId="3EA6DD93"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0.725</w:t>
            </w:r>
          </w:p>
        </w:tc>
      </w:tr>
      <w:tr w:rsidR="007F15D8" w:rsidRPr="00E96B20" w14:paraId="262332AF" w14:textId="77777777" w:rsidTr="00215E9A">
        <w:trPr>
          <w:trHeight w:val="340"/>
          <w:jc w:val="center"/>
        </w:trPr>
        <w:tc>
          <w:tcPr>
            <w:tcW w:w="507" w:type="pct"/>
            <w:tcBorders>
              <w:top w:val="single" w:sz="4" w:space="0" w:color="auto"/>
              <w:bottom w:val="single" w:sz="4" w:space="0" w:color="auto"/>
              <w:right w:val="single" w:sz="4" w:space="0" w:color="auto"/>
            </w:tcBorders>
            <w:vAlign w:val="center"/>
          </w:tcPr>
          <w:p w14:paraId="6A09760C" w14:textId="77777777" w:rsidR="00E40A40" w:rsidRPr="00E96B20" w:rsidRDefault="00E40A40" w:rsidP="00B47B68">
            <w:pPr>
              <w:tabs>
                <w:tab w:val="left" w:pos="4536"/>
              </w:tabs>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Sig.</w:t>
            </w:r>
          </w:p>
        </w:tc>
        <w:tc>
          <w:tcPr>
            <w:tcW w:w="742" w:type="pct"/>
            <w:gridSpan w:val="2"/>
            <w:tcBorders>
              <w:top w:val="single" w:sz="4" w:space="0" w:color="auto"/>
              <w:left w:val="single" w:sz="4" w:space="0" w:color="auto"/>
              <w:bottom w:val="single" w:sz="4" w:space="0" w:color="auto"/>
            </w:tcBorders>
            <w:vAlign w:val="center"/>
          </w:tcPr>
          <w:p w14:paraId="08028CAB"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0.005</w:t>
            </w:r>
          </w:p>
        </w:tc>
        <w:tc>
          <w:tcPr>
            <w:tcW w:w="742" w:type="pct"/>
            <w:gridSpan w:val="2"/>
            <w:tcBorders>
              <w:top w:val="single" w:sz="4" w:space="0" w:color="auto"/>
              <w:bottom w:val="single" w:sz="4" w:space="0" w:color="auto"/>
            </w:tcBorders>
            <w:vAlign w:val="center"/>
          </w:tcPr>
          <w:p w14:paraId="64DB3B95"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0.000</w:t>
            </w:r>
          </w:p>
        </w:tc>
        <w:tc>
          <w:tcPr>
            <w:tcW w:w="764" w:type="pct"/>
            <w:gridSpan w:val="2"/>
            <w:tcBorders>
              <w:top w:val="single" w:sz="4" w:space="0" w:color="auto"/>
              <w:bottom w:val="single" w:sz="4" w:space="0" w:color="auto"/>
            </w:tcBorders>
            <w:vAlign w:val="center"/>
          </w:tcPr>
          <w:p w14:paraId="4989BD90"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0.007</w:t>
            </w:r>
          </w:p>
        </w:tc>
        <w:tc>
          <w:tcPr>
            <w:tcW w:w="741" w:type="pct"/>
            <w:gridSpan w:val="2"/>
            <w:tcBorders>
              <w:top w:val="single" w:sz="4" w:space="0" w:color="auto"/>
              <w:bottom w:val="single" w:sz="4" w:space="0" w:color="auto"/>
            </w:tcBorders>
            <w:vAlign w:val="center"/>
          </w:tcPr>
          <w:p w14:paraId="443A0F82"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0.000</w:t>
            </w:r>
          </w:p>
        </w:tc>
        <w:tc>
          <w:tcPr>
            <w:tcW w:w="764" w:type="pct"/>
            <w:gridSpan w:val="2"/>
            <w:tcBorders>
              <w:top w:val="single" w:sz="4" w:space="0" w:color="auto"/>
              <w:bottom w:val="single" w:sz="4" w:space="0" w:color="auto"/>
            </w:tcBorders>
            <w:vAlign w:val="center"/>
          </w:tcPr>
          <w:p w14:paraId="0271D209"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0.071</w:t>
            </w:r>
          </w:p>
        </w:tc>
        <w:tc>
          <w:tcPr>
            <w:tcW w:w="741" w:type="pct"/>
            <w:gridSpan w:val="2"/>
            <w:tcBorders>
              <w:top w:val="single" w:sz="4" w:space="0" w:color="auto"/>
              <w:bottom w:val="single" w:sz="4" w:space="0" w:color="auto"/>
            </w:tcBorders>
            <w:vAlign w:val="center"/>
          </w:tcPr>
          <w:p w14:paraId="639354A5" w14:textId="77777777" w:rsidR="00E40A40" w:rsidRPr="00E96B20" w:rsidRDefault="00E40A40" w:rsidP="00E96B20">
            <w:pPr>
              <w:autoSpaceDE w:val="0"/>
              <w:autoSpaceDN w:val="0"/>
              <w:adjustRightInd w:val="0"/>
              <w:jc w:val="center"/>
              <w:rPr>
                <w:rFonts w:ascii="Times New Roman" w:hAnsi="Times New Roman" w:cs="Times New Roman"/>
                <w:sz w:val="16"/>
                <w:szCs w:val="20"/>
              </w:rPr>
            </w:pPr>
            <w:r w:rsidRPr="00E96B20">
              <w:rPr>
                <w:rFonts w:ascii="Times New Roman" w:hAnsi="Times New Roman" w:cs="Times New Roman"/>
                <w:sz w:val="16"/>
                <w:szCs w:val="20"/>
              </w:rPr>
              <w:t>0.577</w:t>
            </w:r>
          </w:p>
        </w:tc>
      </w:tr>
    </w:tbl>
    <w:p w14:paraId="5E0B7A18" w14:textId="234EB248" w:rsidR="00FD4287" w:rsidRPr="00B47B68" w:rsidRDefault="00215E9A" w:rsidP="009866C2">
      <w:pPr>
        <w:autoSpaceDE w:val="0"/>
        <w:autoSpaceDN w:val="0"/>
        <w:adjustRightInd w:val="0"/>
        <w:snapToGrid w:val="0"/>
        <w:spacing w:after="0" w:line="360" w:lineRule="exact"/>
        <w:rPr>
          <w:rFonts w:asciiTheme="majorBidi" w:hAnsiTheme="majorBidi" w:cstheme="majorBidi"/>
          <w:szCs w:val="26"/>
        </w:rPr>
      </w:pPr>
      <w:r w:rsidRPr="00215E9A">
        <w:rPr>
          <w:rFonts w:asciiTheme="majorBidi" w:hAnsiTheme="majorBidi" w:cstheme="majorBidi"/>
          <w:i/>
          <w:szCs w:val="24"/>
        </w:rPr>
        <w:t>Note.</w:t>
      </w:r>
      <w:r>
        <w:rPr>
          <w:rFonts w:asciiTheme="majorBidi" w:hAnsiTheme="majorBidi" w:cstheme="majorBidi"/>
          <w:i/>
          <w:szCs w:val="24"/>
        </w:rPr>
        <w:t xml:space="preserve"> </w:t>
      </w:r>
      <w:r w:rsidR="00FD4287" w:rsidRPr="00B47B68">
        <w:rPr>
          <w:rFonts w:asciiTheme="majorBidi" w:hAnsiTheme="majorBidi" w:cstheme="majorBidi"/>
          <w:szCs w:val="26"/>
        </w:rPr>
        <w:t>**Correlation is significant at the 0.01 level (2-tailed).</w:t>
      </w:r>
    </w:p>
    <w:p w14:paraId="1A0ED5C5" w14:textId="1F9DBE16" w:rsidR="00AB7A97" w:rsidRPr="00B47B68" w:rsidRDefault="00AB7A97" w:rsidP="009866C2">
      <w:pPr>
        <w:autoSpaceDE w:val="0"/>
        <w:autoSpaceDN w:val="0"/>
        <w:adjustRightInd w:val="0"/>
        <w:snapToGrid w:val="0"/>
        <w:spacing w:after="0" w:line="360" w:lineRule="exact"/>
        <w:rPr>
          <w:rFonts w:asciiTheme="majorBidi" w:hAnsiTheme="majorBidi" w:cstheme="majorBidi"/>
          <w:szCs w:val="26"/>
        </w:rPr>
      </w:pPr>
      <w:r w:rsidRPr="00B47B68">
        <w:rPr>
          <w:rFonts w:asciiTheme="majorBidi" w:hAnsiTheme="majorBidi" w:cstheme="majorBidi"/>
          <w:szCs w:val="26"/>
        </w:rPr>
        <w:t>*Correlation is significant at the 0.05 level (2-tailed).</w:t>
      </w:r>
    </w:p>
    <w:p w14:paraId="01921F9F" w14:textId="77777777" w:rsidR="009866C2" w:rsidRPr="009866C2" w:rsidRDefault="009866C2" w:rsidP="009866C2">
      <w:pPr>
        <w:autoSpaceDE w:val="0"/>
        <w:autoSpaceDN w:val="0"/>
        <w:adjustRightInd w:val="0"/>
        <w:snapToGrid w:val="0"/>
        <w:spacing w:after="0" w:line="360" w:lineRule="exact"/>
        <w:rPr>
          <w:rFonts w:asciiTheme="majorBidi" w:hAnsiTheme="majorBidi" w:cstheme="majorBidi"/>
          <w:sz w:val="26"/>
          <w:szCs w:val="26"/>
        </w:rPr>
      </w:pPr>
    </w:p>
    <w:p w14:paraId="5DBBD1C3" w14:textId="5E76B99B" w:rsidR="005B257E" w:rsidRPr="009866C2" w:rsidRDefault="00737024" w:rsidP="009866C2">
      <w:pPr>
        <w:autoSpaceDE w:val="0"/>
        <w:autoSpaceDN w:val="0"/>
        <w:adjustRightInd w:val="0"/>
        <w:snapToGrid w:val="0"/>
        <w:spacing w:after="0" w:line="360" w:lineRule="exact"/>
        <w:ind w:firstLine="510"/>
        <w:jc w:val="both"/>
        <w:rPr>
          <w:rFonts w:ascii="Times New Roman" w:hAnsi="Times New Roman"/>
          <w:sz w:val="26"/>
          <w:szCs w:val="26"/>
        </w:rPr>
      </w:pPr>
      <w:r w:rsidRPr="009866C2">
        <w:rPr>
          <w:rFonts w:ascii="Times New Roman" w:hAnsi="Times New Roman"/>
          <w:sz w:val="26"/>
          <w:szCs w:val="26"/>
        </w:rPr>
        <w:t xml:space="preserve">Table </w:t>
      </w:r>
      <w:r w:rsidR="008D3063" w:rsidRPr="009866C2">
        <w:rPr>
          <w:rFonts w:ascii="Times New Roman" w:hAnsi="Times New Roman" w:cs="Times New Roman"/>
          <w:sz w:val="26"/>
          <w:szCs w:val="26"/>
        </w:rPr>
        <w:t>19</w:t>
      </w:r>
      <w:r w:rsidR="005B257E" w:rsidRPr="009866C2">
        <w:rPr>
          <w:rFonts w:ascii="Times New Roman" w:hAnsi="Times New Roman"/>
          <w:sz w:val="26"/>
          <w:szCs w:val="26"/>
        </w:rPr>
        <w:t xml:space="preserve"> shows that the model of </w:t>
      </w:r>
      <w:r w:rsidR="00096A3A" w:rsidRPr="009866C2">
        <w:rPr>
          <w:rFonts w:ascii="Times New Roman" w:hAnsi="Times New Roman"/>
          <w:sz w:val="26"/>
          <w:szCs w:val="26"/>
        </w:rPr>
        <w:t>EQ-TRL and FI</w:t>
      </w:r>
      <w:r w:rsidR="005B257E" w:rsidRPr="009866C2">
        <w:rPr>
          <w:rFonts w:ascii="Times New Roman" w:hAnsi="Times New Roman"/>
          <w:sz w:val="26"/>
          <w:szCs w:val="26"/>
        </w:rPr>
        <w:t xml:space="preserve"> is significant in KSA, Oman, Qatar</w:t>
      </w:r>
      <w:r w:rsidR="00493F85">
        <w:rPr>
          <w:rFonts w:ascii="Times New Roman" w:hAnsi="Times New Roman"/>
          <w:sz w:val="26"/>
          <w:szCs w:val="26"/>
        </w:rPr>
        <w:t>,</w:t>
      </w:r>
      <w:r w:rsidR="005B257E" w:rsidRPr="009866C2">
        <w:rPr>
          <w:rFonts w:ascii="Times New Roman" w:hAnsi="Times New Roman"/>
          <w:sz w:val="26"/>
          <w:szCs w:val="26"/>
        </w:rPr>
        <w:t xml:space="preserve"> and Bahrain at 0.05 and 0.01</w:t>
      </w:r>
      <w:r w:rsidR="00096A3A" w:rsidRPr="009866C2">
        <w:rPr>
          <w:rFonts w:ascii="Times New Roman" w:hAnsi="Times New Roman"/>
          <w:sz w:val="26"/>
          <w:szCs w:val="26"/>
        </w:rPr>
        <w:t>,</w:t>
      </w:r>
      <w:r w:rsidR="005B257E" w:rsidRPr="009866C2">
        <w:rPr>
          <w:rFonts w:ascii="Times New Roman" w:hAnsi="Times New Roman"/>
          <w:sz w:val="26"/>
          <w:szCs w:val="26"/>
        </w:rPr>
        <w:t xml:space="preserve"> but it is insignificant in Kuwait and UAE. </w:t>
      </w:r>
      <w:r w:rsidR="00096A3A" w:rsidRPr="009866C2">
        <w:rPr>
          <w:rFonts w:ascii="Times New Roman" w:hAnsi="Times New Roman"/>
          <w:sz w:val="26"/>
          <w:szCs w:val="26"/>
        </w:rPr>
        <w:t>T</w:t>
      </w:r>
      <w:r w:rsidR="005B257E" w:rsidRPr="009866C2">
        <w:rPr>
          <w:rFonts w:ascii="Times New Roman" w:hAnsi="Times New Roman"/>
          <w:sz w:val="26"/>
          <w:szCs w:val="26"/>
        </w:rPr>
        <w:t>he significance of the model is because the control variables as the coefficients of EQ</w:t>
      </w:r>
      <w:r w:rsidR="00096A3A" w:rsidRPr="009866C2">
        <w:rPr>
          <w:rFonts w:ascii="Times New Roman" w:hAnsi="Times New Roman"/>
          <w:sz w:val="26"/>
          <w:szCs w:val="26"/>
        </w:rPr>
        <w:t>-TRL</w:t>
      </w:r>
      <w:r w:rsidR="005B257E" w:rsidRPr="009866C2">
        <w:rPr>
          <w:rFonts w:ascii="Times New Roman" w:hAnsi="Times New Roman"/>
          <w:sz w:val="26"/>
          <w:szCs w:val="26"/>
        </w:rPr>
        <w:t xml:space="preserve"> are ins</w:t>
      </w:r>
      <w:r w:rsidR="004175BD" w:rsidRPr="009866C2">
        <w:rPr>
          <w:rFonts w:ascii="Times New Roman" w:hAnsi="Times New Roman"/>
          <w:sz w:val="26"/>
          <w:szCs w:val="26"/>
        </w:rPr>
        <w:t>ignificant in all GCC countries</w:t>
      </w:r>
      <w:r w:rsidR="00096A3A" w:rsidRPr="009866C2">
        <w:rPr>
          <w:rFonts w:ascii="Times New Roman" w:hAnsi="Times New Roman"/>
          <w:sz w:val="26"/>
          <w:szCs w:val="26"/>
        </w:rPr>
        <w:t>.</w:t>
      </w:r>
      <w:r w:rsidR="004175BD" w:rsidRPr="009866C2">
        <w:rPr>
          <w:rFonts w:ascii="Times New Roman" w:hAnsi="Times New Roman"/>
          <w:sz w:val="26"/>
          <w:szCs w:val="26"/>
        </w:rPr>
        <w:t xml:space="preserve"> H7 </w:t>
      </w:r>
      <w:r w:rsidR="00096A3A" w:rsidRPr="009866C2">
        <w:rPr>
          <w:rFonts w:ascii="Times New Roman" w:hAnsi="Times New Roman"/>
          <w:sz w:val="26"/>
          <w:szCs w:val="26"/>
        </w:rPr>
        <w:t xml:space="preserve">is </w:t>
      </w:r>
      <w:r w:rsidR="004175BD" w:rsidRPr="009866C2">
        <w:rPr>
          <w:rFonts w:ascii="Times New Roman" w:hAnsi="Times New Roman"/>
          <w:sz w:val="26"/>
          <w:szCs w:val="26"/>
        </w:rPr>
        <w:t>rejected</w:t>
      </w:r>
      <w:r w:rsidR="00493F85">
        <w:rPr>
          <w:rFonts w:ascii="Times New Roman" w:hAnsi="Times New Roman"/>
          <w:sz w:val="26"/>
          <w:szCs w:val="26"/>
        </w:rPr>
        <w:t>,</w:t>
      </w:r>
      <w:r w:rsidR="004175BD" w:rsidRPr="009866C2">
        <w:rPr>
          <w:rFonts w:ascii="Times New Roman" w:hAnsi="Times New Roman"/>
          <w:sz w:val="26"/>
          <w:szCs w:val="26"/>
        </w:rPr>
        <w:t xml:space="preserve"> and </w:t>
      </w:r>
      <w:r w:rsidR="00096A3A" w:rsidRPr="009866C2">
        <w:rPr>
          <w:rFonts w:ascii="Times New Roman" w:hAnsi="Times New Roman"/>
          <w:sz w:val="26"/>
          <w:szCs w:val="26"/>
        </w:rPr>
        <w:t xml:space="preserve">loss recognition timeliness does </w:t>
      </w:r>
      <w:r w:rsidR="004175BD" w:rsidRPr="009866C2">
        <w:rPr>
          <w:rFonts w:ascii="Times New Roman" w:hAnsi="Times New Roman"/>
          <w:sz w:val="26"/>
          <w:szCs w:val="26"/>
        </w:rPr>
        <w:t xml:space="preserve">not attract foreign investors. </w:t>
      </w:r>
    </w:p>
    <w:p w14:paraId="096B01C8" w14:textId="06AB9215" w:rsidR="004175BD" w:rsidRPr="009866C2" w:rsidRDefault="00096A3A" w:rsidP="009866C2">
      <w:pPr>
        <w:adjustRightInd w:val="0"/>
        <w:snapToGrid w:val="0"/>
        <w:spacing w:after="0" w:line="360" w:lineRule="exact"/>
        <w:ind w:firstLine="510"/>
        <w:jc w:val="both"/>
        <w:rPr>
          <w:rFonts w:ascii="Times New Roman" w:hAnsi="Times New Roman"/>
          <w:sz w:val="26"/>
          <w:szCs w:val="26"/>
        </w:rPr>
      </w:pPr>
      <w:r w:rsidRPr="009866C2">
        <w:rPr>
          <w:rFonts w:ascii="Times New Roman" w:hAnsi="Times New Roman"/>
          <w:sz w:val="26"/>
          <w:szCs w:val="26"/>
        </w:rPr>
        <w:t xml:space="preserve">Although </w:t>
      </w:r>
      <w:r w:rsidR="005B257E" w:rsidRPr="009866C2">
        <w:rPr>
          <w:rFonts w:ascii="Times New Roman" w:hAnsi="Times New Roman"/>
          <w:sz w:val="26"/>
          <w:szCs w:val="26"/>
        </w:rPr>
        <w:t xml:space="preserve">the results indicate that the GCC firms exercise </w:t>
      </w:r>
      <w:r w:rsidR="00050EB7" w:rsidRPr="009866C2">
        <w:rPr>
          <w:rFonts w:ascii="Times New Roman" w:hAnsi="Times New Roman"/>
          <w:sz w:val="26"/>
          <w:szCs w:val="26"/>
        </w:rPr>
        <w:t>loss recognition timeliness</w:t>
      </w:r>
      <w:r w:rsidR="005B257E" w:rsidRPr="009866C2">
        <w:rPr>
          <w:rFonts w:ascii="Times New Roman" w:hAnsi="Times New Roman"/>
          <w:sz w:val="26"/>
          <w:szCs w:val="26"/>
        </w:rPr>
        <w:t xml:space="preserve">, </w:t>
      </w:r>
      <w:r w:rsidRPr="009866C2">
        <w:rPr>
          <w:rFonts w:ascii="Times New Roman" w:hAnsi="Times New Roman"/>
          <w:sz w:val="26"/>
          <w:szCs w:val="26"/>
        </w:rPr>
        <w:t xml:space="preserve">foreign investors seem not </w:t>
      </w:r>
      <w:r w:rsidR="00493F85">
        <w:rPr>
          <w:rFonts w:ascii="Times New Roman" w:hAnsi="Times New Roman"/>
          <w:sz w:val="26"/>
          <w:szCs w:val="26"/>
        </w:rPr>
        <w:t xml:space="preserve">to </w:t>
      </w:r>
      <w:r w:rsidRPr="009866C2">
        <w:rPr>
          <w:rFonts w:ascii="Times New Roman" w:hAnsi="Times New Roman"/>
          <w:sz w:val="26"/>
          <w:szCs w:val="26"/>
        </w:rPr>
        <w:t>be</w:t>
      </w:r>
      <w:r w:rsidR="005B257E" w:rsidRPr="009866C2">
        <w:rPr>
          <w:rFonts w:ascii="Times New Roman" w:hAnsi="Times New Roman"/>
          <w:sz w:val="26"/>
          <w:szCs w:val="26"/>
        </w:rPr>
        <w:t xml:space="preserve"> influenced by </w:t>
      </w:r>
      <w:r w:rsidRPr="009866C2">
        <w:rPr>
          <w:rFonts w:ascii="Times New Roman" w:hAnsi="Times New Roman"/>
          <w:sz w:val="26"/>
          <w:szCs w:val="26"/>
        </w:rPr>
        <w:t>this measure</w:t>
      </w:r>
      <w:r w:rsidR="005B257E" w:rsidRPr="009866C2">
        <w:rPr>
          <w:rFonts w:ascii="Times New Roman" w:hAnsi="Times New Roman"/>
          <w:sz w:val="26"/>
          <w:szCs w:val="26"/>
        </w:rPr>
        <w:t xml:space="preserve">.  One possible </w:t>
      </w:r>
      <w:r w:rsidR="005B257E" w:rsidRPr="009866C2">
        <w:rPr>
          <w:rFonts w:ascii="Times New Roman" w:hAnsi="Times New Roman"/>
          <w:sz w:val="26"/>
          <w:szCs w:val="26"/>
        </w:rPr>
        <w:lastRenderedPageBreak/>
        <w:t xml:space="preserve">reason is that the GCC firms report less loss. </w:t>
      </w:r>
      <w:r w:rsidRPr="009866C2">
        <w:rPr>
          <w:rFonts w:ascii="Times New Roman" w:hAnsi="Times New Roman"/>
          <w:sz w:val="26"/>
          <w:szCs w:val="26"/>
        </w:rPr>
        <w:t>In addition</w:t>
      </w:r>
      <w:r w:rsidR="001E3C70" w:rsidRPr="009866C2">
        <w:rPr>
          <w:rFonts w:ascii="Times New Roman" w:hAnsi="Times New Roman"/>
          <w:sz w:val="26"/>
          <w:szCs w:val="26"/>
        </w:rPr>
        <w:t>,</w:t>
      </w:r>
      <w:r w:rsidR="005B257E" w:rsidRPr="009866C2">
        <w:rPr>
          <w:rFonts w:ascii="Times New Roman" w:hAnsi="Times New Roman"/>
          <w:sz w:val="26"/>
          <w:szCs w:val="26"/>
        </w:rPr>
        <w:t xml:space="preserve"> the managers of GCC firms tend to </w:t>
      </w:r>
      <w:r w:rsidRPr="009866C2">
        <w:rPr>
          <w:rFonts w:ascii="Times New Roman" w:hAnsi="Times New Roman"/>
          <w:sz w:val="26"/>
          <w:szCs w:val="26"/>
        </w:rPr>
        <w:t xml:space="preserve">recognise </w:t>
      </w:r>
      <w:r w:rsidR="005B257E" w:rsidRPr="009866C2">
        <w:rPr>
          <w:rFonts w:ascii="Times New Roman" w:hAnsi="Times New Roman"/>
          <w:sz w:val="26"/>
          <w:szCs w:val="26"/>
        </w:rPr>
        <w:t xml:space="preserve">sooner their financial loses to reduce the fluctuations in earnings </w:t>
      </w:r>
      <w:r w:rsidRPr="009866C2">
        <w:rPr>
          <w:rFonts w:ascii="Times New Roman" w:hAnsi="Times New Roman"/>
          <w:sz w:val="26"/>
          <w:szCs w:val="26"/>
        </w:rPr>
        <w:t xml:space="preserve">which </w:t>
      </w:r>
      <w:r w:rsidR="005B257E" w:rsidRPr="009866C2">
        <w:rPr>
          <w:rFonts w:ascii="Times New Roman" w:hAnsi="Times New Roman"/>
          <w:sz w:val="26"/>
          <w:szCs w:val="26"/>
        </w:rPr>
        <w:t xml:space="preserve">then improve </w:t>
      </w:r>
      <w:r w:rsidR="006B1C85" w:rsidRPr="009866C2">
        <w:rPr>
          <w:rFonts w:ascii="Times New Roman" w:hAnsi="Times New Roman"/>
          <w:sz w:val="26"/>
          <w:szCs w:val="26"/>
        </w:rPr>
        <w:t>EQ</w:t>
      </w:r>
      <w:r w:rsidR="005B257E" w:rsidRPr="009866C2">
        <w:rPr>
          <w:rFonts w:ascii="Times New Roman" w:hAnsi="Times New Roman"/>
          <w:sz w:val="26"/>
          <w:szCs w:val="26"/>
        </w:rPr>
        <w:t xml:space="preserve">. </w:t>
      </w:r>
      <w:r w:rsidRPr="009866C2">
        <w:rPr>
          <w:rFonts w:ascii="Times New Roman" w:hAnsi="Times New Roman"/>
          <w:sz w:val="26"/>
          <w:szCs w:val="26"/>
        </w:rPr>
        <w:t>Moreover</w:t>
      </w:r>
      <w:r w:rsidR="005B257E" w:rsidRPr="009866C2">
        <w:rPr>
          <w:rFonts w:ascii="Times New Roman" w:hAnsi="Times New Roman"/>
          <w:sz w:val="26"/>
          <w:szCs w:val="26"/>
        </w:rPr>
        <w:t>, the total assets in GCC firms are financed by external debts with an average of 72%</w:t>
      </w:r>
      <w:r w:rsidR="00493F85">
        <w:rPr>
          <w:rFonts w:ascii="Times New Roman" w:hAnsi="Times New Roman"/>
          <w:sz w:val="26"/>
          <w:szCs w:val="26"/>
        </w:rPr>
        <w:t>,</w:t>
      </w:r>
      <w:r w:rsidR="005B257E" w:rsidRPr="009866C2">
        <w:rPr>
          <w:rFonts w:ascii="Times New Roman" w:hAnsi="Times New Roman"/>
          <w:sz w:val="26"/>
          <w:szCs w:val="26"/>
        </w:rPr>
        <w:t xml:space="preserve"> which make</w:t>
      </w:r>
      <w:r w:rsidR="00493F85">
        <w:rPr>
          <w:rFonts w:ascii="Times New Roman" w:hAnsi="Times New Roman"/>
          <w:sz w:val="26"/>
          <w:szCs w:val="26"/>
        </w:rPr>
        <w:t>s</w:t>
      </w:r>
      <w:r w:rsidR="005B257E" w:rsidRPr="009866C2">
        <w:rPr>
          <w:rFonts w:ascii="Times New Roman" w:hAnsi="Times New Roman"/>
          <w:sz w:val="26"/>
          <w:szCs w:val="26"/>
        </w:rPr>
        <w:t xml:space="preserve"> </w:t>
      </w:r>
      <w:r w:rsidRPr="009866C2">
        <w:rPr>
          <w:rFonts w:ascii="Times New Roman" w:hAnsi="Times New Roman"/>
          <w:sz w:val="26"/>
          <w:szCs w:val="26"/>
        </w:rPr>
        <w:t>foreign investors</w:t>
      </w:r>
      <w:r w:rsidR="005506C1" w:rsidRPr="009866C2">
        <w:rPr>
          <w:rFonts w:ascii="Times New Roman" w:hAnsi="Times New Roman"/>
          <w:sz w:val="26"/>
          <w:szCs w:val="26"/>
        </w:rPr>
        <w:t xml:space="preserve"> </w:t>
      </w:r>
      <w:r w:rsidR="005B257E" w:rsidRPr="009866C2">
        <w:rPr>
          <w:rFonts w:ascii="Times New Roman" w:hAnsi="Times New Roman"/>
          <w:sz w:val="26"/>
          <w:szCs w:val="26"/>
        </w:rPr>
        <w:t>very sensitive toward</w:t>
      </w:r>
      <w:r w:rsidRPr="009866C2">
        <w:rPr>
          <w:rFonts w:ascii="Times New Roman" w:hAnsi="Times New Roman"/>
          <w:sz w:val="26"/>
          <w:szCs w:val="26"/>
        </w:rPr>
        <w:t>s</w:t>
      </w:r>
      <w:r w:rsidR="005B257E" w:rsidRPr="009866C2">
        <w:rPr>
          <w:rFonts w:ascii="Times New Roman" w:hAnsi="Times New Roman"/>
          <w:sz w:val="26"/>
          <w:szCs w:val="26"/>
        </w:rPr>
        <w:t xml:space="preserve"> future cash flows</w:t>
      </w:r>
      <w:r w:rsidRPr="009866C2">
        <w:rPr>
          <w:rFonts w:ascii="Times New Roman" w:hAnsi="Times New Roman"/>
          <w:sz w:val="26"/>
          <w:szCs w:val="26"/>
        </w:rPr>
        <w:t>.</w:t>
      </w:r>
      <w:r w:rsidR="005B257E" w:rsidRPr="009866C2">
        <w:rPr>
          <w:rFonts w:ascii="Times New Roman" w:hAnsi="Times New Roman"/>
          <w:sz w:val="26"/>
          <w:szCs w:val="26"/>
        </w:rPr>
        <w:t xml:space="preserve"> </w:t>
      </w:r>
      <w:r w:rsidRPr="009866C2">
        <w:rPr>
          <w:rFonts w:ascii="Times New Roman" w:hAnsi="Times New Roman"/>
          <w:sz w:val="26"/>
          <w:szCs w:val="26"/>
        </w:rPr>
        <w:t>I</w:t>
      </w:r>
      <w:r w:rsidR="005B257E" w:rsidRPr="009866C2">
        <w:rPr>
          <w:rFonts w:ascii="Times New Roman" w:hAnsi="Times New Roman"/>
          <w:sz w:val="26"/>
          <w:szCs w:val="26"/>
        </w:rPr>
        <w:t xml:space="preserve">f the </w:t>
      </w:r>
      <w:r w:rsidRPr="009866C2">
        <w:rPr>
          <w:rFonts w:ascii="Times New Roman" w:hAnsi="Times New Roman"/>
          <w:sz w:val="26"/>
          <w:szCs w:val="26"/>
        </w:rPr>
        <w:t xml:space="preserve">loss </w:t>
      </w:r>
      <w:r w:rsidR="005B257E" w:rsidRPr="009866C2">
        <w:rPr>
          <w:rFonts w:ascii="Times New Roman" w:hAnsi="Times New Roman"/>
          <w:sz w:val="26"/>
          <w:szCs w:val="26"/>
        </w:rPr>
        <w:t xml:space="preserve">recognition becomes timely, earnings management seems </w:t>
      </w:r>
      <w:r w:rsidRPr="009866C2">
        <w:rPr>
          <w:rFonts w:ascii="Times New Roman" w:hAnsi="Times New Roman"/>
          <w:sz w:val="26"/>
          <w:szCs w:val="26"/>
        </w:rPr>
        <w:t xml:space="preserve">to be </w:t>
      </w:r>
      <w:r w:rsidR="005B257E" w:rsidRPr="009866C2">
        <w:rPr>
          <w:rFonts w:ascii="Times New Roman" w:hAnsi="Times New Roman"/>
          <w:sz w:val="26"/>
          <w:szCs w:val="26"/>
        </w:rPr>
        <w:t xml:space="preserve">considered by foreign investors. The result of this measure is not in line of </w:t>
      </w:r>
      <w:proofErr w:type="spellStart"/>
      <w:r w:rsidR="005B257E" w:rsidRPr="009866C2">
        <w:rPr>
          <w:rFonts w:ascii="Times New Roman" w:hAnsi="Times New Roman"/>
          <w:sz w:val="26"/>
          <w:szCs w:val="26"/>
        </w:rPr>
        <w:t>Dobre</w:t>
      </w:r>
      <w:proofErr w:type="spellEnd"/>
      <w:r w:rsidR="005B257E" w:rsidRPr="009866C2">
        <w:rPr>
          <w:rFonts w:ascii="Times New Roman" w:hAnsi="Times New Roman"/>
          <w:sz w:val="26"/>
          <w:szCs w:val="26"/>
        </w:rPr>
        <w:t xml:space="preserve"> et al. (2015) </w:t>
      </w:r>
      <w:r w:rsidR="00A41BCF" w:rsidRPr="009866C2">
        <w:rPr>
          <w:rFonts w:ascii="Times New Roman" w:hAnsi="Times New Roman"/>
          <w:sz w:val="26"/>
          <w:szCs w:val="26"/>
        </w:rPr>
        <w:t>wh</w:t>
      </w:r>
      <w:r w:rsidR="00493F85">
        <w:rPr>
          <w:rFonts w:ascii="Times New Roman" w:hAnsi="Times New Roman"/>
          <w:sz w:val="26"/>
          <w:szCs w:val="26"/>
        </w:rPr>
        <w:t>ich</w:t>
      </w:r>
      <w:r w:rsidR="00A41BCF" w:rsidRPr="009866C2">
        <w:rPr>
          <w:rFonts w:ascii="Times New Roman" w:hAnsi="Times New Roman"/>
          <w:sz w:val="26"/>
          <w:szCs w:val="26"/>
        </w:rPr>
        <w:t xml:space="preserve"> found</w:t>
      </w:r>
      <w:r w:rsidR="005B257E" w:rsidRPr="009866C2">
        <w:rPr>
          <w:rFonts w:ascii="Times New Roman" w:hAnsi="Times New Roman"/>
          <w:sz w:val="26"/>
          <w:szCs w:val="26"/>
        </w:rPr>
        <w:t xml:space="preserve"> the </w:t>
      </w:r>
      <w:r w:rsidR="00050EB7" w:rsidRPr="009866C2">
        <w:rPr>
          <w:rFonts w:ascii="Times New Roman" w:hAnsi="Times New Roman"/>
          <w:sz w:val="26"/>
          <w:szCs w:val="26"/>
        </w:rPr>
        <w:t>loss recognition timeliness</w:t>
      </w:r>
      <w:r w:rsidR="005B257E" w:rsidRPr="009866C2">
        <w:rPr>
          <w:rFonts w:ascii="Times New Roman" w:hAnsi="Times New Roman"/>
          <w:sz w:val="26"/>
          <w:szCs w:val="26"/>
        </w:rPr>
        <w:t xml:space="preserve"> is a positive exercise </w:t>
      </w:r>
      <w:r w:rsidR="00493F85">
        <w:rPr>
          <w:rFonts w:ascii="Times New Roman" w:hAnsi="Times New Roman"/>
          <w:sz w:val="26"/>
          <w:szCs w:val="26"/>
        </w:rPr>
        <w:t>that</w:t>
      </w:r>
      <w:r w:rsidR="00493F85" w:rsidRPr="009866C2">
        <w:rPr>
          <w:rFonts w:ascii="Times New Roman" w:hAnsi="Times New Roman"/>
          <w:sz w:val="26"/>
          <w:szCs w:val="26"/>
        </w:rPr>
        <w:t xml:space="preserve"> </w:t>
      </w:r>
      <w:r w:rsidR="005B257E" w:rsidRPr="009866C2">
        <w:rPr>
          <w:rFonts w:ascii="Times New Roman" w:hAnsi="Times New Roman"/>
          <w:sz w:val="26"/>
          <w:szCs w:val="26"/>
        </w:rPr>
        <w:t>improve</w:t>
      </w:r>
      <w:r w:rsidRPr="009866C2">
        <w:rPr>
          <w:rFonts w:ascii="Times New Roman" w:hAnsi="Times New Roman"/>
          <w:sz w:val="26"/>
          <w:szCs w:val="26"/>
        </w:rPr>
        <w:t>s</w:t>
      </w:r>
      <w:r w:rsidR="005B257E" w:rsidRPr="009866C2">
        <w:rPr>
          <w:rFonts w:ascii="Times New Roman" w:hAnsi="Times New Roman"/>
          <w:sz w:val="26"/>
          <w:szCs w:val="26"/>
        </w:rPr>
        <w:t xml:space="preserve"> </w:t>
      </w:r>
      <w:r w:rsidR="006B1C85" w:rsidRPr="009866C2">
        <w:rPr>
          <w:rFonts w:ascii="Times New Roman" w:hAnsi="Times New Roman"/>
          <w:sz w:val="26"/>
          <w:szCs w:val="26"/>
        </w:rPr>
        <w:t>EQ</w:t>
      </w:r>
      <w:r w:rsidR="005B257E" w:rsidRPr="009866C2">
        <w:rPr>
          <w:rFonts w:ascii="Times New Roman" w:hAnsi="Times New Roman"/>
          <w:sz w:val="26"/>
          <w:szCs w:val="26"/>
        </w:rPr>
        <w:t>.</w:t>
      </w:r>
      <w:r w:rsidR="001F48F8" w:rsidRPr="009866C2">
        <w:rPr>
          <w:rFonts w:ascii="Times New Roman" w:hAnsi="Times New Roman"/>
          <w:sz w:val="26"/>
          <w:szCs w:val="26"/>
        </w:rPr>
        <w:t xml:space="preserve">  </w:t>
      </w:r>
    </w:p>
    <w:p w14:paraId="6D37BF52" w14:textId="77777777" w:rsidR="00275904" w:rsidRPr="009866C2" w:rsidRDefault="00275904" w:rsidP="009866C2">
      <w:pPr>
        <w:adjustRightInd w:val="0"/>
        <w:snapToGrid w:val="0"/>
        <w:spacing w:after="0" w:line="360" w:lineRule="exact"/>
        <w:jc w:val="both"/>
        <w:rPr>
          <w:rFonts w:ascii="Times New Roman" w:hAnsi="Times New Roman" w:cs="Times New Roman"/>
          <w:sz w:val="26"/>
          <w:szCs w:val="26"/>
        </w:rPr>
      </w:pPr>
    </w:p>
    <w:p w14:paraId="69300442" w14:textId="01558E5A" w:rsidR="00601BCB" w:rsidRPr="009866C2" w:rsidRDefault="003A2A39" w:rsidP="009866C2">
      <w:pPr>
        <w:adjustRightInd w:val="0"/>
        <w:snapToGrid w:val="0"/>
        <w:spacing w:after="0" w:line="360" w:lineRule="exact"/>
        <w:jc w:val="both"/>
        <w:rPr>
          <w:rFonts w:ascii="Times New Roman" w:hAnsi="Times New Roman"/>
          <w:b/>
          <w:sz w:val="26"/>
          <w:szCs w:val="26"/>
        </w:rPr>
      </w:pPr>
      <w:r w:rsidRPr="009866C2">
        <w:rPr>
          <w:rFonts w:ascii="Times New Roman" w:hAnsi="Times New Roman"/>
          <w:b/>
          <w:sz w:val="26"/>
          <w:szCs w:val="26"/>
        </w:rPr>
        <w:t>Measuring</w:t>
      </w:r>
      <w:r w:rsidR="00601BCB" w:rsidRPr="009866C2">
        <w:rPr>
          <w:rFonts w:ascii="Times New Roman" w:hAnsi="Times New Roman"/>
          <w:b/>
          <w:sz w:val="26"/>
          <w:szCs w:val="26"/>
        </w:rPr>
        <w:t xml:space="preserve"> and </w:t>
      </w:r>
      <w:r w:rsidR="003422B7" w:rsidRPr="009866C2">
        <w:rPr>
          <w:rFonts w:ascii="Times New Roman" w:hAnsi="Times New Roman"/>
          <w:b/>
          <w:sz w:val="26"/>
          <w:szCs w:val="26"/>
        </w:rPr>
        <w:t xml:space="preserve">Analysis </w:t>
      </w:r>
      <w:r w:rsidR="00601BCB" w:rsidRPr="009866C2">
        <w:rPr>
          <w:rFonts w:ascii="Times New Roman" w:hAnsi="Times New Roman"/>
          <w:b/>
          <w:sz w:val="26"/>
          <w:szCs w:val="26"/>
        </w:rPr>
        <w:t>of EQ</w:t>
      </w:r>
      <w:r w:rsidR="00096A3A" w:rsidRPr="009866C2">
        <w:rPr>
          <w:rFonts w:ascii="Times New Roman" w:hAnsi="Times New Roman"/>
          <w:b/>
          <w:sz w:val="26"/>
          <w:szCs w:val="26"/>
        </w:rPr>
        <w:t>-</w:t>
      </w:r>
      <w:r w:rsidR="00601BCB" w:rsidRPr="009866C2">
        <w:rPr>
          <w:rFonts w:ascii="Times New Roman" w:hAnsi="Times New Roman"/>
          <w:b/>
          <w:sz w:val="26"/>
          <w:szCs w:val="26"/>
        </w:rPr>
        <w:t>CON</w:t>
      </w:r>
      <w:r w:rsidR="004175BD" w:rsidRPr="009866C2">
        <w:rPr>
          <w:rFonts w:ascii="Times New Roman" w:hAnsi="Times New Roman"/>
          <w:b/>
          <w:sz w:val="26"/>
          <w:szCs w:val="26"/>
        </w:rPr>
        <w:t xml:space="preserve"> and FI</w:t>
      </w:r>
    </w:p>
    <w:p w14:paraId="7220576D" w14:textId="7F0FF3BC" w:rsidR="00601BCB" w:rsidRDefault="00601BCB" w:rsidP="009866C2">
      <w:pPr>
        <w:adjustRightInd w:val="0"/>
        <w:snapToGrid w:val="0"/>
        <w:spacing w:after="0" w:line="360" w:lineRule="exact"/>
        <w:ind w:firstLine="510"/>
        <w:jc w:val="both"/>
        <w:rPr>
          <w:rFonts w:ascii="Times New Roman" w:hAnsi="Times New Roman"/>
          <w:sz w:val="26"/>
          <w:szCs w:val="26"/>
        </w:rPr>
      </w:pPr>
      <w:r w:rsidRPr="009866C2">
        <w:rPr>
          <w:rFonts w:ascii="Times New Roman" w:hAnsi="Times New Roman"/>
          <w:sz w:val="26"/>
          <w:szCs w:val="26"/>
        </w:rPr>
        <w:t xml:space="preserve">The required information to calculate the conservatism </w:t>
      </w:r>
      <w:r w:rsidR="00493F85">
        <w:rPr>
          <w:rFonts w:ascii="Times New Roman" w:hAnsi="Times New Roman"/>
          <w:sz w:val="26"/>
          <w:szCs w:val="26"/>
        </w:rPr>
        <w:t>is</w:t>
      </w:r>
      <w:r w:rsidR="00493F85" w:rsidRPr="009866C2">
        <w:rPr>
          <w:rFonts w:ascii="Times New Roman" w:hAnsi="Times New Roman"/>
          <w:sz w:val="26"/>
          <w:szCs w:val="26"/>
        </w:rPr>
        <w:t xml:space="preserve"> </w:t>
      </w:r>
      <w:r w:rsidRPr="009866C2">
        <w:rPr>
          <w:rFonts w:ascii="Times New Roman" w:hAnsi="Times New Roman"/>
          <w:sz w:val="26"/>
          <w:szCs w:val="26"/>
        </w:rPr>
        <w:t>the NIBE, CFO, TA</w:t>
      </w:r>
      <w:r w:rsidR="00493F85">
        <w:rPr>
          <w:rFonts w:ascii="Times New Roman" w:hAnsi="Times New Roman"/>
          <w:sz w:val="26"/>
          <w:szCs w:val="26"/>
        </w:rPr>
        <w:t>,</w:t>
      </w:r>
      <w:r w:rsidRPr="009866C2">
        <w:rPr>
          <w:rFonts w:ascii="Times New Roman" w:hAnsi="Times New Roman"/>
          <w:sz w:val="26"/>
          <w:szCs w:val="26"/>
        </w:rPr>
        <w:t xml:space="preserve"> and dummy variable. Table </w:t>
      </w:r>
      <w:r w:rsidR="00737024" w:rsidRPr="009866C2">
        <w:rPr>
          <w:rFonts w:ascii="Times New Roman" w:hAnsi="Times New Roman" w:cs="Times New Roman"/>
          <w:sz w:val="26"/>
          <w:szCs w:val="26"/>
        </w:rPr>
        <w:t>2</w:t>
      </w:r>
      <w:r w:rsidR="008D3063" w:rsidRPr="009866C2">
        <w:rPr>
          <w:rFonts w:ascii="Times New Roman" w:hAnsi="Times New Roman" w:cs="Times New Roman"/>
          <w:sz w:val="26"/>
          <w:szCs w:val="26"/>
        </w:rPr>
        <w:t>0</w:t>
      </w:r>
      <w:r w:rsidRPr="009866C2">
        <w:rPr>
          <w:rFonts w:ascii="Times New Roman" w:hAnsi="Times New Roman"/>
          <w:sz w:val="26"/>
          <w:szCs w:val="26"/>
        </w:rPr>
        <w:t xml:space="preserve"> shows all required variables.</w:t>
      </w:r>
    </w:p>
    <w:p w14:paraId="30612D57" w14:textId="77777777" w:rsidR="009866C2" w:rsidRPr="009866C2" w:rsidRDefault="009866C2" w:rsidP="009866C2">
      <w:pPr>
        <w:adjustRightInd w:val="0"/>
        <w:snapToGrid w:val="0"/>
        <w:spacing w:after="0" w:line="360" w:lineRule="exact"/>
        <w:ind w:firstLine="510"/>
        <w:jc w:val="both"/>
        <w:rPr>
          <w:rFonts w:ascii="Times New Roman" w:hAnsi="Times New Roman"/>
          <w:sz w:val="26"/>
          <w:szCs w:val="26"/>
        </w:rPr>
      </w:pPr>
    </w:p>
    <w:p w14:paraId="5F7E1669" w14:textId="3B1B95AD" w:rsidR="00E40A40" w:rsidRPr="00FA3651" w:rsidRDefault="008D3063" w:rsidP="00FA3651">
      <w:pPr>
        <w:snapToGrid w:val="0"/>
        <w:spacing w:afterLines="50" w:after="120" w:line="360" w:lineRule="exact"/>
        <w:jc w:val="both"/>
        <w:rPr>
          <w:rFonts w:asciiTheme="majorBidi" w:hAnsiTheme="majorBidi"/>
          <w:sz w:val="26"/>
        </w:rPr>
      </w:pPr>
      <w:r w:rsidRPr="00B47B68">
        <w:rPr>
          <w:rFonts w:asciiTheme="majorBidi" w:hAnsiTheme="majorBidi"/>
          <w:b/>
          <w:sz w:val="26"/>
        </w:rPr>
        <w:t xml:space="preserve">Table </w:t>
      </w:r>
      <w:proofErr w:type="gramStart"/>
      <w:r w:rsidRPr="00B47B68">
        <w:rPr>
          <w:rFonts w:asciiTheme="majorBidi" w:hAnsiTheme="majorBidi"/>
          <w:b/>
          <w:sz w:val="26"/>
        </w:rPr>
        <w:t>20</w:t>
      </w:r>
      <w:r w:rsidR="00B47B68">
        <w:rPr>
          <w:rFonts w:ascii="新細明體" w:eastAsia="新細明體" w:hAnsi="新細明體" w:hint="eastAsia"/>
          <w:sz w:val="26"/>
          <w:lang w:eastAsia="zh-TW"/>
        </w:rPr>
        <w:t xml:space="preserve"> </w:t>
      </w:r>
      <w:r w:rsidR="00E40A40" w:rsidRPr="00FA3651">
        <w:rPr>
          <w:rFonts w:asciiTheme="majorBidi" w:hAnsiTheme="majorBidi"/>
          <w:sz w:val="26"/>
        </w:rPr>
        <w:t xml:space="preserve"> </w:t>
      </w:r>
      <w:r w:rsidR="00E40A40" w:rsidRPr="00B47B68">
        <w:rPr>
          <w:rFonts w:asciiTheme="majorBidi" w:hAnsiTheme="majorBidi"/>
          <w:i/>
          <w:sz w:val="26"/>
        </w:rPr>
        <w:t>Descriptive</w:t>
      </w:r>
      <w:proofErr w:type="gramEnd"/>
      <w:r w:rsidR="00E40A40" w:rsidRPr="00B47B68">
        <w:rPr>
          <w:rFonts w:asciiTheme="majorBidi" w:hAnsiTheme="majorBidi"/>
          <w:i/>
          <w:sz w:val="26"/>
        </w:rPr>
        <w:t xml:space="preserve"> Statistics and Measuring of Conservatism</w:t>
      </w: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9"/>
        <w:gridCol w:w="626"/>
        <w:gridCol w:w="622"/>
        <w:gridCol w:w="626"/>
        <w:gridCol w:w="622"/>
        <w:gridCol w:w="751"/>
        <w:gridCol w:w="675"/>
        <w:gridCol w:w="626"/>
        <w:gridCol w:w="614"/>
        <w:gridCol w:w="7"/>
        <w:gridCol w:w="675"/>
        <w:gridCol w:w="634"/>
        <w:gridCol w:w="704"/>
        <w:gridCol w:w="7"/>
        <w:gridCol w:w="739"/>
      </w:tblGrid>
      <w:tr w:rsidR="007F15D8" w:rsidRPr="00EA76AA" w14:paraId="177C360E" w14:textId="77777777" w:rsidTr="00B47B68">
        <w:trPr>
          <w:trHeight w:val="283"/>
        </w:trPr>
        <w:tc>
          <w:tcPr>
            <w:tcW w:w="613" w:type="pct"/>
            <w:vMerge w:val="restart"/>
            <w:tcBorders>
              <w:top w:val="single" w:sz="4" w:space="0" w:color="auto"/>
              <w:bottom w:val="single" w:sz="4" w:space="0" w:color="auto"/>
              <w:right w:val="single" w:sz="4" w:space="0" w:color="auto"/>
              <w:tl2br w:val="single" w:sz="4" w:space="0" w:color="auto"/>
            </w:tcBorders>
          </w:tcPr>
          <w:p w14:paraId="032EB0AF" w14:textId="6D0D075F" w:rsidR="00E40A40" w:rsidRPr="00B47B68" w:rsidRDefault="00E40A40" w:rsidP="00E40A40">
            <w:pPr>
              <w:autoSpaceDE w:val="0"/>
              <w:autoSpaceDN w:val="0"/>
              <w:adjustRightInd w:val="0"/>
              <w:jc w:val="both"/>
              <w:rPr>
                <w:rFonts w:ascii="Times New Roman" w:hAnsi="Times New Roman" w:cs="Times New Roman"/>
                <w:sz w:val="18"/>
                <w:szCs w:val="20"/>
              </w:rPr>
            </w:pPr>
            <w:r w:rsidRPr="00B47B68">
              <w:rPr>
                <w:rFonts w:ascii="Times New Roman" w:hAnsi="Times New Roman" w:cs="Times New Roman"/>
                <w:sz w:val="18"/>
                <w:szCs w:val="20"/>
              </w:rPr>
              <w:t xml:space="preserve">  </w:t>
            </w:r>
            <w:r w:rsidR="00B47B68">
              <w:rPr>
                <w:rFonts w:ascii="新細明體" w:eastAsia="新細明體" w:hAnsi="新細明體" w:cs="Times New Roman" w:hint="eastAsia"/>
                <w:sz w:val="18"/>
                <w:szCs w:val="20"/>
                <w:lang w:eastAsia="zh-TW"/>
              </w:rPr>
              <w:t xml:space="preserve">    </w:t>
            </w:r>
            <w:r w:rsidRPr="00B47B68">
              <w:rPr>
                <w:rFonts w:ascii="Times New Roman" w:hAnsi="Times New Roman" w:cs="Times New Roman"/>
                <w:sz w:val="18"/>
                <w:szCs w:val="20"/>
              </w:rPr>
              <w:t>Country</w:t>
            </w:r>
            <w:r w:rsidR="00B47B68" w:rsidRPr="00B47B68">
              <w:rPr>
                <w:rFonts w:ascii="Times New Roman" w:hAnsi="Times New Roman" w:cs="Times New Roman"/>
                <w:sz w:val="18"/>
                <w:szCs w:val="20"/>
              </w:rPr>
              <w:br/>
            </w:r>
            <w:r w:rsidR="00B47B68" w:rsidRPr="00B47B68">
              <w:rPr>
                <w:rFonts w:ascii="Times New Roman" w:hAnsi="Times New Roman" w:cs="Times New Roman"/>
                <w:sz w:val="18"/>
                <w:szCs w:val="20"/>
              </w:rPr>
              <w:br/>
            </w:r>
            <w:r w:rsidRPr="00B47B68">
              <w:rPr>
                <w:rFonts w:ascii="Times New Roman" w:hAnsi="Times New Roman" w:cs="Times New Roman"/>
                <w:sz w:val="18"/>
                <w:szCs w:val="20"/>
              </w:rPr>
              <w:t>Variable</w:t>
            </w:r>
          </w:p>
        </w:tc>
        <w:tc>
          <w:tcPr>
            <w:tcW w:w="700" w:type="pct"/>
            <w:gridSpan w:val="2"/>
            <w:tcBorders>
              <w:top w:val="single" w:sz="4" w:space="0" w:color="auto"/>
              <w:left w:val="single" w:sz="4" w:space="0" w:color="auto"/>
              <w:bottom w:val="single" w:sz="4" w:space="0" w:color="auto"/>
            </w:tcBorders>
            <w:vAlign w:val="center"/>
          </w:tcPr>
          <w:p w14:paraId="313CEAB0" w14:textId="77777777" w:rsidR="00E40A40" w:rsidRPr="00B47B68" w:rsidRDefault="00E40A40" w:rsidP="00B47B68">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KSA</w:t>
            </w:r>
          </w:p>
        </w:tc>
        <w:tc>
          <w:tcPr>
            <w:tcW w:w="699" w:type="pct"/>
            <w:gridSpan w:val="2"/>
            <w:tcBorders>
              <w:top w:val="single" w:sz="4" w:space="0" w:color="auto"/>
              <w:bottom w:val="single" w:sz="4" w:space="0" w:color="auto"/>
            </w:tcBorders>
            <w:vAlign w:val="center"/>
          </w:tcPr>
          <w:p w14:paraId="090435DD" w14:textId="77777777" w:rsidR="00E40A40" w:rsidRPr="00B47B68" w:rsidRDefault="00E40A40" w:rsidP="00B47B68">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OMN</w:t>
            </w:r>
          </w:p>
        </w:tc>
        <w:tc>
          <w:tcPr>
            <w:tcW w:w="798" w:type="pct"/>
            <w:gridSpan w:val="2"/>
            <w:tcBorders>
              <w:top w:val="single" w:sz="4" w:space="0" w:color="auto"/>
              <w:bottom w:val="single" w:sz="4" w:space="0" w:color="auto"/>
            </w:tcBorders>
            <w:vAlign w:val="center"/>
          </w:tcPr>
          <w:p w14:paraId="01931430" w14:textId="77777777" w:rsidR="00E40A40" w:rsidRPr="00B47B68" w:rsidRDefault="00E40A40" w:rsidP="00B47B68">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QAT</w:t>
            </w:r>
          </w:p>
        </w:tc>
        <w:tc>
          <w:tcPr>
            <w:tcW w:w="645" w:type="pct"/>
            <w:gridSpan w:val="3"/>
            <w:tcBorders>
              <w:top w:val="single" w:sz="4" w:space="0" w:color="auto"/>
              <w:bottom w:val="single" w:sz="4" w:space="0" w:color="auto"/>
            </w:tcBorders>
            <w:vAlign w:val="center"/>
          </w:tcPr>
          <w:p w14:paraId="027A320F" w14:textId="77777777" w:rsidR="00E40A40" w:rsidRPr="00B47B68" w:rsidRDefault="00E40A40" w:rsidP="00B47B68">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BAH</w:t>
            </w:r>
          </w:p>
        </w:tc>
        <w:tc>
          <w:tcPr>
            <w:tcW w:w="729" w:type="pct"/>
            <w:gridSpan w:val="2"/>
            <w:tcBorders>
              <w:top w:val="single" w:sz="4" w:space="0" w:color="auto"/>
              <w:bottom w:val="single" w:sz="4" w:space="0" w:color="auto"/>
            </w:tcBorders>
            <w:vAlign w:val="center"/>
          </w:tcPr>
          <w:p w14:paraId="24DF1AE8" w14:textId="77777777" w:rsidR="00E40A40" w:rsidRPr="00B47B68" w:rsidRDefault="00E40A40" w:rsidP="00B47B68">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KWU</w:t>
            </w:r>
          </w:p>
        </w:tc>
        <w:tc>
          <w:tcPr>
            <w:tcW w:w="815" w:type="pct"/>
            <w:gridSpan w:val="3"/>
            <w:tcBorders>
              <w:top w:val="single" w:sz="4" w:space="0" w:color="auto"/>
              <w:bottom w:val="single" w:sz="4" w:space="0" w:color="auto"/>
            </w:tcBorders>
            <w:vAlign w:val="center"/>
          </w:tcPr>
          <w:p w14:paraId="1E17F0C3" w14:textId="77777777" w:rsidR="00E40A40" w:rsidRPr="00B47B68" w:rsidRDefault="00E40A40" w:rsidP="00B47B68">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UAE</w:t>
            </w:r>
          </w:p>
        </w:tc>
      </w:tr>
      <w:tr w:rsidR="007F15D8" w:rsidRPr="00EA76AA" w14:paraId="462D5676" w14:textId="77777777" w:rsidTr="00B47B68">
        <w:trPr>
          <w:trHeight w:val="283"/>
        </w:trPr>
        <w:tc>
          <w:tcPr>
            <w:tcW w:w="613" w:type="pct"/>
            <w:vMerge/>
            <w:tcBorders>
              <w:top w:val="single" w:sz="4" w:space="0" w:color="auto"/>
              <w:bottom w:val="single" w:sz="4" w:space="0" w:color="auto"/>
              <w:right w:val="single" w:sz="4" w:space="0" w:color="auto"/>
              <w:tl2br w:val="single" w:sz="4" w:space="0" w:color="auto"/>
            </w:tcBorders>
          </w:tcPr>
          <w:p w14:paraId="133284AD" w14:textId="77777777" w:rsidR="00E40A40" w:rsidRPr="00B47B68" w:rsidRDefault="00E40A40" w:rsidP="00E40A40">
            <w:pPr>
              <w:autoSpaceDE w:val="0"/>
              <w:autoSpaceDN w:val="0"/>
              <w:adjustRightInd w:val="0"/>
              <w:jc w:val="both"/>
              <w:rPr>
                <w:rFonts w:ascii="Times New Roman" w:hAnsi="Times New Roman" w:cs="Times New Roman"/>
                <w:noProof/>
                <w:sz w:val="18"/>
                <w:szCs w:val="20"/>
              </w:rPr>
            </w:pPr>
          </w:p>
        </w:tc>
        <w:tc>
          <w:tcPr>
            <w:tcW w:w="350" w:type="pct"/>
            <w:tcBorders>
              <w:top w:val="single" w:sz="4" w:space="0" w:color="auto"/>
              <w:left w:val="single" w:sz="4" w:space="0" w:color="auto"/>
              <w:bottom w:val="single" w:sz="4" w:space="0" w:color="auto"/>
            </w:tcBorders>
            <w:vAlign w:val="center"/>
          </w:tcPr>
          <w:p w14:paraId="1418AAEB" w14:textId="77777777" w:rsidR="00E40A40" w:rsidRPr="00B47B68" w:rsidRDefault="00E40A40" w:rsidP="00B47B68">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Mean</w:t>
            </w:r>
          </w:p>
        </w:tc>
        <w:tc>
          <w:tcPr>
            <w:tcW w:w="350" w:type="pct"/>
            <w:tcBorders>
              <w:top w:val="single" w:sz="4" w:space="0" w:color="auto"/>
              <w:bottom w:val="single" w:sz="4" w:space="0" w:color="auto"/>
            </w:tcBorders>
            <w:vAlign w:val="center"/>
          </w:tcPr>
          <w:p w14:paraId="1161AED6" w14:textId="77777777" w:rsidR="00E40A40" w:rsidRPr="00B47B68" w:rsidRDefault="00E40A40" w:rsidP="00B47B68">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SD</w:t>
            </w:r>
          </w:p>
        </w:tc>
        <w:tc>
          <w:tcPr>
            <w:tcW w:w="350" w:type="pct"/>
            <w:tcBorders>
              <w:top w:val="single" w:sz="4" w:space="0" w:color="auto"/>
              <w:bottom w:val="single" w:sz="4" w:space="0" w:color="auto"/>
            </w:tcBorders>
            <w:vAlign w:val="center"/>
          </w:tcPr>
          <w:p w14:paraId="6B7CFF13" w14:textId="77777777" w:rsidR="00E40A40" w:rsidRPr="00B47B68" w:rsidRDefault="00E40A40" w:rsidP="00B47B68">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Mean</w:t>
            </w:r>
          </w:p>
        </w:tc>
        <w:tc>
          <w:tcPr>
            <w:tcW w:w="349" w:type="pct"/>
            <w:tcBorders>
              <w:top w:val="single" w:sz="4" w:space="0" w:color="auto"/>
              <w:bottom w:val="single" w:sz="4" w:space="0" w:color="auto"/>
            </w:tcBorders>
            <w:vAlign w:val="center"/>
          </w:tcPr>
          <w:p w14:paraId="35526E5B" w14:textId="77777777" w:rsidR="00E40A40" w:rsidRPr="00B47B68" w:rsidRDefault="00E40A40" w:rsidP="00B47B68">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SD</w:t>
            </w:r>
          </w:p>
        </w:tc>
        <w:tc>
          <w:tcPr>
            <w:tcW w:w="420" w:type="pct"/>
            <w:tcBorders>
              <w:top w:val="single" w:sz="4" w:space="0" w:color="auto"/>
              <w:bottom w:val="single" w:sz="4" w:space="0" w:color="auto"/>
            </w:tcBorders>
            <w:vAlign w:val="center"/>
          </w:tcPr>
          <w:p w14:paraId="36607140" w14:textId="77777777" w:rsidR="00E40A40" w:rsidRPr="00B47B68" w:rsidRDefault="00E40A40" w:rsidP="00B47B68">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Mean</w:t>
            </w:r>
          </w:p>
        </w:tc>
        <w:tc>
          <w:tcPr>
            <w:tcW w:w="378" w:type="pct"/>
            <w:tcBorders>
              <w:top w:val="single" w:sz="4" w:space="0" w:color="auto"/>
              <w:bottom w:val="single" w:sz="4" w:space="0" w:color="auto"/>
            </w:tcBorders>
            <w:vAlign w:val="center"/>
          </w:tcPr>
          <w:p w14:paraId="2CE57613" w14:textId="77777777" w:rsidR="00E40A40" w:rsidRPr="00B47B68" w:rsidRDefault="00E40A40" w:rsidP="00B47B68">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SD</w:t>
            </w:r>
          </w:p>
        </w:tc>
        <w:tc>
          <w:tcPr>
            <w:tcW w:w="310" w:type="pct"/>
            <w:tcBorders>
              <w:top w:val="single" w:sz="4" w:space="0" w:color="auto"/>
              <w:bottom w:val="single" w:sz="4" w:space="0" w:color="auto"/>
            </w:tcBorders>
            <w:vAlign w:val="center"/>
          </w:tcPr>
          <w:p w14:paraId="79EF77DD" w14:textId="77777777" w:rsidR="00E40A40" w:rsidRPr="00B47B68" w:rsidRDefault="00E40A40" w:rsidP="00B47B68">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Mean</w:t>
            </w:r>
          </w:p>
        </w:tc>
        <w:tc>
          <w:tcPr>
            <w:tcW w:w="332" w:type="pct"/>
            <w:tcBorders>
              <w:top w:val="single" w:sz="4" w:space="0" w:color="auto"/>
              <w:bottom w:val="single" w:sz="4" w:space="0" w:color="auto"/>
            </w:tcBorders>
            <w:vAlign w:val="center"/>
          </w:tcPr>
          <w:p w14:paraId="72D645A1" w14:textId="77777777" w:rsidR="00E40A40" w:rsidRPr="00B47B68" w:rsidRDefault="00E40A40" w:rsidP="00B47B68">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SD</w:t>
            </w:r>
          </w:p>
        </w:tc>
        <w:tc>
          <w:tcPr>
            <w:tcW w:w="378" w:type="pct"/>
            <w:gridSpan w:val="2"/>
            <w:tcBorders>
              <w:top w:val="single" w:sz="4" w:space="0" w:color="auto"/>
              <w:bottom w:val="single" w:sz="4" w:space="0" w:color="auto"/>
            </w:tcBorders>
            <w:vAlign w:val="center"/>
          </w:tcPr>
          <w:p w14:paraId="213A2481" w14:textId="77777777" w:rsidR="00E40A40" w:rsidRPr="00B47B68" w:rsidRDefault="00E40A40" w:rsidP="00B47B68">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Mean</w:t>
            </w:r>
          </w:p>
        </w:tc>
        <w:tc>
          <w:tcPr>
            <w:tcW w:w="355" w:type="pct"/>
            <w:tcBorders>
              <w:top w:val="single" w:sz="4" w:space="0" w:color="auto"/>
              <w:bottom w:val="single" w:sz="4" w:space="0" w:color="auto"/>
            </w:tcBorders>
            <w:vAlign w:val="center"/>
          </w:tcPr>
          <w:p w14:paraId="4E973BCF" w14:textId="77777777" w:rsidR="00E40A40" w:rsidRPr="00B47B68" w:rsidRDefault="00E40A40" w:rsidP="00B47B68">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SD</w:t>
            </w:r>
          </w:p>
        </w:tc>
        <w:tc>
          <w:tcPr>
            <w:tcW w:w="398" w:type="pct"/>
            <w:gridSpan w:val="2"/>
            <w:tcBorders>
              <w:top w:val="single" w:sz="4" w:space="0" w:color="auto"/>
              <w:bottom w:val="single" w:sz="4" w:space="0" w:color="auto"/>
            </w:tcBorders>
            <w:vAlign w:val="center"/>
          </w:tcPr>
          <w:p w14:paraId="1ADE50F7" w14:textId="77777777" w:rsidR="00E40A40" w:rsidRPr="00B47B68" w:rsidRDefault="00E40A40" w:rsidP="00B47B68">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Mean</w:t>
            </w:r>
          </w:p>
        </w:tc>
        <w:tc>
          <w:tcPr>
            <w:tcW w:w="417" w:type="pct"/>
            <w:tcBorders>
              <w:top w:val="single" w:sz="4" w:space="0" w:color="auto"/>
              <w:bottom w:val="single" w:sz="4" w:space="0" w:color="auto"/>
            </w:tcBorders>
            <w:vAlign w:val="center"/>
          </w:tcPr>
          <w:p w14:paraId="5DD4C242" w14:textId="77777777" w:rsidR="00E40A40" w:rsidRPr="00B47B68" w:rsidRDefault="00E40A40" w:rsidP="00B47B68">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SD</w:t>
            </w:r>
          </w:p>
        </w:tc>
      </w:tr>
      <w:tr w:rsidR="007F15D8" w:rsidRPr="00EA76AA" w14:paraId="634E5D24" w14:textId="77777777" w:rsidTr="00B47B68">
        <w:trPr>
          <w:trHeight w:val="283"/>
        </w:trPr>
        <w:tc>
          <w:tcPr>
            <w:tcW w:w="613" w:type="pct"/>
            <w:tcBorders>
              <w:top w:val="single" w:sz="4" w:space="0" w:color="auto"/>
              <w:bottom w:val="single" w:sz="4" w:space="0" w:color="auto"/>
              <w:right w:val="single" w:sz="4" w:space="0" w:color="auto"/>
            </w:tcBorders>
            <w:vAlign w:val="center"/>
          </w:tcPr>
          <w:p w14:paraId="545AC9B4" w14:textId="37408300" w:rsidR="00E40A40" w:rsidRPr="00B47B68" w:rsidRDefault="00E40A40" w:rsidP="00B47B68">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NIBE (E)</w:t>
            </w:r>
          </w:p>
        </w:tc>
        <w:tc>
          <w:tcPr>
            <w:tcW w:w="350" w:type="pct"/>
            <w:tcBorders>
              <w:top w:val="single" w:sz="4" w:space="0" w:color="auto"/>
              <w:left w:val="single" w:sz="4" w:space="0" w:color="auto"/>
              <w:bottom w:val="single" w:sz="4" w:space="0" w:color="auto"/>
            </w:tcBorders>
            <w:vAlign w:val="center"/>
          </w:tcPr>
          <w:p w14:paraId="39F8DA41" w14:textId="77777777" w:rsidR="00E40A40" w:rsidRPr="00B47B68" w:rsidRDefault="00E40A40" w:rsidP="00B47B68">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1.61</w:t>
            </w:r>
          </w:p>
        </w:tc>
        <w:tc>
          <w:tcPr>
            <w:tcW w:w="350" w:type="pct"/>
            <w:tcBorders>
              <w:top w:val="single" w:sz="4" w:space="0" w:color="auto"/>
              <w:bottom w:val="single" w:sz="4" w:space="0" w:color="auto"/>
            </w:tcBorders>
            <w:vAlign w:val="center"/>
          </w:tcPr>
          <w:p w14:paraId="1AD9BD9E" w14:textId="77777777" w:rsidR="00E40A40" w:rsidRPr="00B47B68" w:rsidRDefault="00E40A40" w:rsidP="00B47B68">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0.784</w:t>
            </w:r>
          </w:p>
        </w:tc>
        <w:tc>
          <w:tcPr>
            <w:tcW w:w="350" w:type="pct"/>
            <w:tcBorders>
              <w:top w:val="single" w:sz="4" w:space="0" w:color="auto"/>
              <w:bottom w:val="single" w:sz="4" w:space="0" w:color="auto"/>
            </w:tcBorders>
            <w:vAlign w:val="center"/>
          </w:tcPr>
          <w:p w14:paraId="2E4C0D3F" w14:textId="77777777" w:rsidR="00E40A40" w:rsidRPr="00B47B68" w:rsidRDefault="00E40A40" w:rsidP="00B47B68">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0.615</w:t>
            </w:r>
          </w:p>
        </w:tc>
        <w:tc>
          <w:tcPr>
            <w:tcW w:w="349" w:type="pct"/>
            <w:tcBorders>
              <w:top w:val="single" w:sz="4" w:space="0" w:color="auto"/>
              <w:bottom w:val="single" w:sz="4" w:space="0" w:color="auto"/>
            </w:tcBorders>
            <w:vAlign w:val="center"/>
          </w:tcPr>
          <w:p w14:paraId="36A5023A" w14:textId="77777777" w:rsidR="00E40A40" w:rsidRPr="00B47B68" w:rsidRDefault="00E40A40" w:rsidP="00B47B68">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0.738</w:t>
            </w:r>
          </w:p>
        </w:tc>
        <w:tc>
          <w:tcPr>
            <w:tcW w:w="420" w:type="pct"/>
            <w:tcBorders>
              <w:top w:val="single" w:sz="4" w:space="0" w:color="auto"/>
              <w:bottom w:val="single" w:sz="4" w:space="0" w:color="auto"/>
            </w:tcBorders>
            <w:vAlign w:val="center"/>
          </w:tcPr>
          <w:p w14:paraId="73534AD3" w14:textId="77777777" w:rsidR="00E40A40" w:rsidRPr="00B47B68" w:rsidRDefault="00E40A40" w:rsidP="00B47B68">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1.99</w:t>
            </w:r>
          </w:p>
        </w:tc>
        <w:tc>
          <w:tcPr>
            <w:tcW w:w="378" w:type="pct"/>
            <w:tcBorders>
              <w:top w:val="single" w:sz="4" w:space="0" w:color="auto"/>
              <w:bottom w:val="single" w:sz="4" w:space="0" w:color="auto"/>
            </w:tcBorders>
            <w:vAlign w:val="center"/>
          </w:tcPr>
          <w:p w14:paraId="5D6A8619" w14:textId="77777777" w:rsidR="00E40A40" w:rsidRPr="00B47B68" w:rsidRDefault="00E40A40" w:rsidP="00B47B68">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0.550</w:t>
            </w:r>
          </w:p>
        </w:tc>
        <w:tc>
          <w:tcPr>
            <w:tcW w:w="310" w:type="pct"/>
            <w:tcBorders>
              <w:top w:val="single" w:sz="4" w:space="0" w:color="auto"/>
              <w:bottom w:val="single" w:sz="4" w:space="0" w:color="auto"/>
            </w:tcBorders>
            <w:vAlign w:val="center"/>
          </w:tcPr>
          <w:p w14:paraId="5AA75A40" w14:textId="77777777" w:rsidR="00E40A40" w:rsidRPr="00B47B68" w:rsidRDefault="00E40A40" w:rsidP="00B47B68">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1.20</w:t>
            </w:r>
          </w:p>
        </w:tc>
        <w:tc>
          <w:tcPr>
            <w:tcW w:w="336" w:type="pct"/>
            <w:gridSpan w:val="2"/>
            <w:tcBorders>
              <w:top w:val="single" w:sz="4" w:space="0" w:color="auto"/>
              <w:bottom w:val="single" w:sz="4" w:space="0" w:color="auto"/>
            </w:tcBorders>
            <w:vAlign w:val="center"/>
          </w:tcPr>
          <w:p w14:paraId="613E3C0A" w14:textId="77777777" w:rsidR="00E40A40" w:rsidRPr="00B47B68" w:rsidRDefault="00E40A40" w:rsidP="00B47B68">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0.720</w:t>
            </w:r>
          </w:p>
        </w:tc>
        <w:tc>
          <w:tcPr>
            <w:tcW w:w="378" w:type="pct"/>
            <w:tcBorders>
              <w:top w:val="single" w:sz="4" w:space="0" w:color="auto"/>
              <w:bottom w:val="single" w:sz="4" w:space="0" w:color="auto"/>
            </w:tcBorders>
            <w:vAlign w:val="center"/>
          </w:tcPr>
          <w:p w14:paraId="2B922FF7" w14:textId="77777777" w:rsidR="00E40A40" w:rsidRPr="00B47B68" w:rsidRDefault="00E40A40" w:rsidP="00B47B68">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1.12</w:t>
            </w:r>
          </w:p>
        </w:tc>
        <w:tc>
          <w:tcPr>
            <w:tcW w:w="351" w:type="pct"/>
            <w:tcBorders>
              <w:top w:val="single" w:sz="4" w:space="0" w:color="auto"/>
              <w:bottom w:val="single" w:sz="4" w:space="0" w:color="auto"/>
            </w:tcBorders>
            <w:vAlign w:val="center"/>
          </w:tcPr>
          <w:p w14:paraId="2246D286" w14:textId="77777777" w:rsidR="00E40A40" w:rsidRPr="00B47B68" w:rsidRDefault="00E40A40" w:rsidP="00B47B68">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0.729</w:t>
            </w:r>
          </w:p>
        </w:tc>
        <w:tc>
          <w:tcPr>
            <w:tcW w:w="394" w:type="pct"/>
            <w:tcBorders>
              <w:top w:val="single" w:sz="4" w:space="0" w:color="auto"/>
              <w:bottom w:val="single" w:sz="4" w:space="0" w:color="auto"/>
            </w:tcBorders>
            <w:vAlign w:val="center"/>
          </w:tcPr>
          <w:p w14:paraId="12073693" w14:textId="77777777" w:rsidR="00E40A40" w:rsidRPr="00B47B68" w:rsidRDefault="00E40A40" w:rsidP="00B47B68">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1.65</w:t>
            </w:r>
          </w:p>
        </w:tc>
        <w:tc>
          <w:tcPr>
            <w:tcW w:w="421" w:type="pct"/>
            <w:gridSpan w:val="2"/>
            <w:tcBorders>
              <w:top w:val="single" w:sz="4" w:space="0" w:color="auto"/>
              <w:bottom w:val="single" w:sz="4" w:space="0" w:color="auto"/>
            </w:tcBorders>
            <w:vAlign w:val="center"/>
          </w:tcPr>
          <w:p w14:paraId="39C55B5A" w14:textId="77777777" w:rsidR="00E40A40" w:rsidRPr="00B47B68" w:rsidRDefault="00E40A40" w:rsidP="00B47B68">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0.643</w:t>
            </w:r>
          </w:p>
        </w:tc>
      </w:tr>
      <w:tr w:rsidR="007F15D8" w:rsidRPr="00EA76AA" w14:paraId="754E4A08" w14:textId="77777777" w:rsidTr="00B47B68">
        <w:trPr>
          <w:trHeight w:val="283"/>
        </w:trPr>
        <w:tc>
          <w:tcPr>
            <w:tcW w:w="613" w:type="pct"/>
            <w:tcBorders>
              <w:top w:val="single" w:sz="4" w:space="0" w:color="auto"/>
              <w:bottom w:val="single" w:sz="4" w:space="0" w:color="auto"/>
              <w:right w:val="single" w:sz="4" w:space="0" w:color="auto"/>
            </w:tcBorders>
            <w:vAlign w:val="center"/>
          </w:tcPr>
          <w:p w14:paraId="505818ED" w14:textId="77777777" w:rsidR="00E40A40" w:rsidRPr="00B47B68" w:rsidRDefault="00E40A40" w:rsidP="00B47B68">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CFO</w:t>
            </w:r>
          </w:p>
        </w:tc>
        <w:tc>
          <w:tcPr>
            <w:tcW w:w="350" w:type="pct"/>
            <w:tcBorders>
              <w:top w:val="single" w:sz="4" w:space="0" w:color="auto"/>
              <w:left w:val="single" w:sz="4" w:space="0" w:color="auto"/>
              <w:bottom w:val="single" w:sz="4" w:space="0" w:color="auto"/>
            </w:tcBorders>
            <w:vAlign w:val="center"/>
          </w:tcPr>
          <w:p w14:paraId="5EC116AF" w14:textId="77777777" w:rsidR="00E40A40" w:rsidRPr="00B47B68" w:rsidRDefault="00E40A40" w:rsidP="00B47B68">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1.76</w:t>
            </w:r>
          </w:p>
        </w:tc>
        <w:tc>
          <w:tcPr>
            <w:tcW w:w="350" w:type="pct"/>
            <w:tcBorders>
              <w:top w:val="single" w:sz="4" w:space="0" w:color="auto"/>
              <w:bottom w:val="single" w:sz="4" w:space="0" w:color="auto"/>
            </w:tcBorders>
            <w:vAlign w:val="center"/>
          </w:tcPr>
          <w:p w14:paraId="30902891" w14:textId="77777777" w:rsidR="00E40A40" w:rsidRPr="00B47B68" w:rsidRDefault="00E40A40" w:rsidP="00B47B68">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0.843</w:t>
            </w:r>
          </w:p>
        </w:tc>
        <w:tc>
          <w:tcPr>
            <w:tcW w:w="350" w:type="pct"/>
            <w:tcBorders>
              <w:top w:val="single" w:sz="4" w:space="0" w:color="auto"/>
              <w:bottom w:val="single" w:sz="4" w:space="0" w:color="auto"/>
            </w:tcBorders>
            <w:vAlign w:val="center"/>
          </w:tcPr>
          <w:p w14:paraId="25711938" w14:textId="77777777" w:rsidR="00E40A40" w:rsidRPr="00B47B68" w:rsidRDefault="00E40A40" w:rsidP="00B47B68">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0.733</w:t>
            </w:r>
          </w:p>
        </w:tc>
        <w:tc>
          <w:tcPr>
            <w:tcW w:w="349" w:type="pct"/>
            <w:tcBorders>
              <w:top w:val="single" w:sz="4" w:space="0" w:color="auto"/>
              <w:bottom w:val="single" w:sz="4" w:space="0" w:color="auto"/>
            </w:tcBorders>
            <w:vAlign w:val="center"/>
          </w:tcPr>
          <w:p w14:paraId="7EE14B50" w14:textId="77777777" w:rsidR="00E40A40" w:rsidRPr="00B47B68" w:rsidRDefault="00E40A40" w:rsidP="00B47B68">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0.790</w:t>
            </w:r>
          </w:p>
        </w:tc>
        <w:tc>
          <w:tcPr>
            <w:tcW w:w="420" w:type="pct"/>
            <w:tcBorders>
              <w:top w:val="single" w:sz="4" w:space="0" w:color="auto"/>
              <w:bottom w:val="single" w:sz="4" w:space="0" w:color="auto"/>
            </w:tcBorders>
            <w:vAlign w:val="center"/>
          </w:tcPr>
          <w:p w14:paraId="24133154" w14:textId="77777777" w:rsidR="00E40A40" w:rsidRPr="00B47B68" w:rsidRDefault="00E40A40" w:rsidP="00B47B68">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0.299</w:t>
            </w:r>
          </w:p>
        </w:tc>
        <w:tc>
          <w:tcPr>
            <w:tcW w:w="378" w:type="pct"/>
            <w:tcBorders>
              <w:top w:val="single" w:sz="4" w:space="0" w:color="auto"/>
              <w:bottom w:val="single" w:sz="4" w:space="0" w:color="auto"/>
            </w:tcBorders>
            <w:vAlign w:val="center"/>
          </w:tcPr>
          <w:p w14:paraId="0F582156" w14:textId="77777777" w:rsidR="00E40A40" w:rsidRPr="00B47B68" w:rsidRDefault="00E40A40" w:rsidP="00B47B68">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0.206</w:t>
            </w:r>
          </w:p>
        </w:tc>
        <w:tc>
          <w:tcPr>
            <w:tcW w:w="310" w:type="pct"/>
            <w:tcBorders>
              <w:top w:val="single" w:sz="4" w:space="0" w:color="auto"/>
              <w:bottom w:val="single" w:sz="4" w:space="0" w:color="auto"/>
            </w:tcBorders>
            <w:vAlign w:val="center"/>
          </w:tcPr>
          <w:p w14:paraId="43038E19" w14:textId="77777777" w:rsidR="00E40A40" w:rsidRPr="00B47B68" w:rsidRDefault="00E40A40" w:rsidP="00B47B68">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1.30</w:t>
            </w:r>
          </w:p>
        </w:tc>
        <w:tc>
          <w:tcPr>
            <w:tcW w:w="336" w:type="pct"/>
            <w:gridSpan w:val="2"/>
            <w:tcBorders>
              <w:top w:val="single" w:sz="4" w:space="0" w:color="auto"/>
              <w:bottom w:val="single" w:sz="4" w:space="0" w:color="auto"/>
            </w:tcBorders>
            <w:vAlign w:val="center"/>
          </w:tcPr>
          <w:p w14:paraId="7A6F3536" w14:textId="77777777" w:rsidR="00E40A40" w:rsidRPr="00B47B68" w:rsidRDefault="00E40A40" w:rsidP="00B47B68">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0.898</w:t>
            </w:r>
          </w:p>
        </w:tc>
        <w:tc>
          <w:tcPr>
            <w:tcW w:w="378" w:type="pct"/>
            <w:tcBorders>
              <w:top w:val="single" w:sz="4" w:space="0" w:color="auto"/>
              <w:bottom w:val="single" w:sz="4" w:space="0" w:color="auto"/>
            </w:tcBorders>
            <w:vAlign w:val="center"/>
          </w:tcPr>
          <w:p w14:paraId="17595A8C" w14:textId="77777777" w:rsidR="00E40A40" w:rsidRPr="00B47B68" w:rsidRDefault="00E40A40" w:rsidP="00B47B68">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1.37</w:t>
            </w:r>
          </w:p>
        </w:tc>
        <w:tc>
          <w:tcPr>
            <w:tcW w:w="351" w:type="pct"/>
            <w:tcBorders>
              <w:top w:val="single" w:sz="4" w:space="0" w:color="auto"/>
              <w:bottom w:val="single" w:sz="4" w:space="0" w:color="auto"/>
            </w:tcBorders>
            <w:vAlign w:val="center"/>
          </w:tcPr>
          <w:p w14:paraId="59F35F23" w14:textId="77777777" w:rsidR="00E40A40" w:rsidRPr="00B47B68" w:rsidRDefault="00E40A40" w:rsidP="00B47B68">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0.643</w:t>
            </w:r>
          </w:p>
        </w:tc>
        <w:tc>
          <w:tcPr>
            <w:tcW w:w="394" w:type="pct"/>
            <w:tcBorders>
              <w:top w:val="single" w:sz="4" w:space="0" w:color="auto"/>
              <w:bottom w:val="single" w:sz="4" w:space="0" w:color="auto"/>
            </w:tcBorders>
            <w:vAlign w:val="center"/>
          </w:tcPr>
          <w:p w14:paraId="689596FB" w14:textId="77777777" w:rsidR="00E40A40" w:rsidRPr="00B47B68" w:rsidRDefault="00E40A40" w:rsidP="00B47B68">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1.87</w:t>
            </w:r>
          </w:p>
        </w:tc>
        <w:tc>
          <w:tcPr>
            <w:tcW w:w="421" w:type="pct"/>
            <w:gridSpan w:val="2"/>
            <w:tcBorders>
              <w:top w:val="single" w:sz="4" w:space="0" w:color="auto"/>
              <w:bottom w:val="single" w:sz="4" w:space="0" w:color="auto"/>
            </w:tcBorders>
            <w:vAlign w:val="center"/>
          </w:tcPr>
          <w:p w14:paraId="4DCE1025" w14:textId="77777777" w:rsidR="00E40A40" w:rsidRPr="00B47B68" w:rsidRDefault="00E40A40" w:rsidP="00B47B68">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0.757</w:t>
            </w:r>
          </w:p>
        </w:tc>
      </w:tr>
      <w:tr w:rsidR="007F15D8" w:rsidRPr="00EA76AA" w14:paraId="32496461" w14:textId="77777777" w:rsidTr="00B47B68">
        <w:trPr>
          <w:trHeight w:val="283"/>
        </w:trPr>
        <w:tc>
          <w:tcPr>
            <w:tcW w:w="613" w:type="pct"/>
            <w:tcBorders>
              <w:top w:val="single" w:sz="4" w:space="0" w:color="auto"/>
              <w:bottom w:val="single" w:sz="4" w:space="0" w:color="auto"/>
              <w:right w:val="single" w:sz="4" w:space="0" w:color="auto"/>
            </w:tcBorders>
            <w:vAlign w:val="center"/>
          </w:tcPr>
          <w:p w14:paraId="577B1901" w14:textId="77777777" w:rsidR="00E40A40" w:rsidRPr="00B47B68" w:rsidRDefault="00E40A40" w:rsidP="00B47B68">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TA</w:t>
            </w:r>
          </w:p>
        </w:tc>
        <w:tc>
          <w:tcPr>
            <w:tcW w:w="350" w:type="pct"/>
            <w:tcBorders>
              <w:top w:val="single" w:sz="4" w:space="0" w:color="auto"/>
              <w:left w:val="single" w:sz="4" w:space="0" w:color="auto"/>
              <w:bottom w:val="single" w:sz="4" w:space="0" w:color="auto"/>
            </w:tcBorders>
            <w:vAlign w:val="center"/>
          </w:tcPr>
          <w:p w14:paraId="287B1E32" w14:textId="77777777" w:rsidR="00E40A40" w:rsidRPr="00B47B68" w:rsidRDefault="00E40A40" w:rsidP="00B47B68">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2.865</w:t>
            </w:r>
          </w:p>
        </w:tc>
        <w:tc>
          <w:tcPr>
            <w:tcW w:w="350" w:type="pct"/>
            <w:tcBorders>
              <w:top w:val="single" w:sz="4" w:space="0" w:color="auto"/>
              <w:bottom w:val="single" w:sz="4" w:space="0" w:color="auto"/>
            </w:tcBorders>
            <w:vAlign w:val="center"/>
          </w:tcPr>
          <w:p w14:paraId="16422E0C" w14:textId="77777777" w:rsidR="00E40A40" w:rsidRPr="00B47B68" w:rsidRDefault="00E40A40" w:rsidP="00B47B68">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0.712</w:t>
            </w:r>
          </w:p>
        </w:tc>
        <w:tc>
          <w:tcPr>
            <w:tcW w:w="350" w:type="pct"/>
            <w:tcBorders>
              <w:top w:val="single" w:sz="4" w:space="0" w:color="auto"/>
              <w:bottom w:val="single" w:sz="4" w:space="0" w:color="auto"/>
            </w:tcBorders>
            <w:vAlign w:val="center"/>
          </w:tcPr>
          <w:p w14:paraId="03ED3996" w14:textId="77777777" w:rsidR="00E40A40" w:rsidRPr="00B47B68" w:rsidRDefault="00E40A40" w:rsidP="00B47B68">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1.82</w:t>
            </w:r>
          </w:p>
        </w:tc>
        <w:tc>
          <w:tcPr>
            <w:tcW w:w="349" w:type="pct"/>
            <w:tcBorders>
              <w:top w:val="single" w:sz="4" w:space="0" w:color="auto"/>
              <w:bottom w:val="single" w:sz="4" w:space="0" w:color="auto"/>
            </w:tcBorders>
            <w:vAlign w:val="center"/>
          </w:tcPr>
          <w:p w14:paraId="3EC6DDF3" w14:textId="77777777" w:rsidR="00E40A40" w:rsidRPr="00B47B68" w:rsidRDefault="00E40A40" w:rsidP="00B47B68">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0.608</w:t>
            </w:r>
          </w:p>
        </w:tc>
        <w:tc>
          <w:tcPr>
            <w:tcW w:w="420" w:type="pct"/>
            <w:tcBorders>
              <w:top w:val="single" w:sz="4" w:space="0" w:color="auto"/>
              <w:bottom w:val="single" w:sz="4" w:space="0" w:color="auto"/>
            </w:tcBorders>
            <w:vAlign w:val="center"/>
          </w:tcPr>
          <w:p w14:paraId="6E3D7E6E" w14:textId="77777777" w:rsidR="00E40A40" w:rsidRPr="00B47B68" w:rsidRDefault="00E40A40" w:rsidP="00B47B68">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3.26</w:t>
            </w:r>
          </w:p>
        </w:tc>
        <w:tc>
          <w:tcPr>
            <w:tcW w:w="378" w:type="pct"/>
            <w:tcBorders>
              <w:top w:val="single" w:sz="4" w:space="0" w:color="auto"/>
              <w:bottom w:val="single" w:sz="4" w:space="0" w:color="auto"/>
            </w:tcBorders>
            <w:vAlign w:val="center"/>
          </w:tcPr>
          <w:p w14:paraId="482822EB" w14:textId="77777777" w:rsidR="00E40A40" w:rsidRPr="00B47B68" w:rsidRDefault="00E40A40" w:rsidP="00B47B68">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0.629</w:t>
            </w:r>
          </w:p>
        </w:tc>
        <w:tc>
          <w:tcPr>
            <w:tcW w:w="310" w:type="pct"/>
            <w:tcBorders>
              <w:top w:val="single" w:sz="4" w:space="0" w:color="auto"/>
              <w:bottom w:val="single" w:sz="4" w:space="0" w:color="auto"/>
            </w:tcBorders>
            <w:vAlign w:val="center"/>
          </w:tcPr>
          <w:p w14:paraId="46D06D02" w14:textId="77777777" w:rsidR="00E40A40" w:rsidRPr="00B47B68" w:rsidRDefault="00E40A40" w:rsidP="00B47B68">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2.32</w:t>
            </w:r>
          </w:p>
        </w:tc>
        <w:tc>
          <w:tcPr>
            <w:tcW w:w="336" w:type="pct"/>
            <w:gridSpan w:val="2"/>
            <w:tcBorders>
              <w:top w:val="single" w:sz="4" w:space="0" w:color="auto"/>
              <w:bottom w:val="single" w:sz="4" w:space="0" w:color="auto"/>
            </w:tcBorders>
            <w:vAlign w:val="center"/>
          </w:tcPr>
          <w:p w14:paraId="44F2C52F" w14:textId="77777777" w:rsidR="00E40A40" w:rsidRPr="00B47B68" w:rsidRDefault="00E40A40" w:rsidP="00B47B68">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0.69</w:t>
            </w:r>
          </w:p>
        </w:tc>
        <w:tc>
          <w:tcPr>
            <w:tcW w:w="378" w:type="pct"/>
            <w:tcBorders>
              <w:top w:val="single" w:sz="4" w:space="0" w:color="auto"/>
              <w:bottom w:val="single" w:sz="4" w:space="0" w:color="auto"/>
            </w:tcBorders>
            <w:vAlign w:val="center"/>
          </w:tcPr>
          <w:p w14:paraId="308385A6" w14:textId="77777777" w:rsidR="00E40A40" w:rsidRPr="00B47B68" w:rsidRDefault="00E40A40" w:rsidP="00B47B68">
            <w:pPr>
              <w:jc w:val="center"/>
              <w:rPr>
                <w:rFonts w:ascii="Times New Roman" w:hAnsi="Times New Roman" w:cs="Times New Roman"/>
                <w:sz w:val="18"/>
                <w:szCs w:val="20"/>
              </w:rPr>
            </w:pPr>
            <w:r w:rsidRPr="00B47B68">
              <w:rPr>
                <w:rFonts w:ascii="Times New Roman" w:hAnsi="Times New Roman" w:cs="Times New Roman"/>
                <w:sz w:val="18"/>
                <w:szCs w:val="20"/>
              </w:rPr>
              <w:t>2.65</w:t>
            </w:r>
          </w:p>
        </w:tc>
        <w:tc>
          <w:tcPr>
            <w:tcW w:w="351" w:type="pct"/>
            <w:tcBorders>
              <w:top w:val="single" w:sz="4" w:space="0" w:color="auto"/>
              <w:bottom w:val="single" w:sz="4" w:space="0" w:color="auto"/>
            </w:tcBorders>
            <w:vAlign w:val="center"/>
          </w:tcPr>
          <w:p w14:paraId="40AB0886" w14:textId="77777777" w:rsidR="00E40A40" w:rsidRPr="00B47B68" w:rsidRDefault="00E40A40" w:rsidP="00B47B68">
            <w:pPr>
              <w:jc w:val="center"/>
              <w:rPr>
                <w:rFonts w:ascii="Times New Roman" w:hAnsi="Times New Roman" w:cs="Times New Roman"/>
                <w:sz w:val="18"/>
                <w:szCs w:val="20"/>
              </w:rPr>
            </w:pPr>
            <w:r w:rsidRPr="00B47B68">
              <w:rPr>
                <w:rFonts w:ascii="Times New Roman" w:hAnsi="Times New Roman" w:cs="Times New Roman"/>
                <w:sz w:val="18"/>
                <w:szCs w:val="20"/>
              </w:rPr>
              <w:t>0.617</w:t>
            </w:r>
          </w:p>
        </w:tc>
        <w:tc>
          <w:tcPr>
            <w:tcW w:w="394" w:type="pct"/>
            <w:tcBorders>
              <w:top w:val="single" w:sz="4" w:space="0" w:color="auto"/>
              <w:bottom w:val="single" w:sz="4" w:space="0" w:color="auto"/>
            </w:tcBorders>
            <w:vAlign w:val="center"/>
          </w:tcPr>
          <w:p w14:paraId="7C72C0A3" w14:textId="77777777" w:rsidR="00E40A40" w:rsidRPr="00B47B68" w:rsidRDefault="00E40A40" w:rsidP="00B47B68">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3.06</w:t>
            </w:r>
          </w:p>
        </w:tc>
        <w:tc>
          <w:tcPr>
            <w:tcW w:w="421" w:type="pct"/>
            <w:gridSpan w:val="2"/>
            <w:tcBorders>
              <w:top w:val="single" w:sz="4" w:space="0" w:color="auto"/>
              <w:bottom w:val="single" w:sz="4" w:space="0" w:color="auto"/>
            </w:tcBorders>
            <w:vAlign w:val="center"/>
          </w:tcPr>
          <w:p w14:paraId="595523C0" w14:textId="77777777" w:rsidR="00E40A40" w:rsidRPr="00B47B68" w:rsidRDefault="00E40A40" w:rsidP="00B47B68">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0.338</w:t>
            </w:r>
          </w:p>
        </w:tc>
      </w:tr>
      <w:tr w:rsidR="007F15D8" w:rsidRPr="00EA76AA" w14:paraId="58CA3365" w14:textId="77777777" w:rsidTr="00B47B68">
        <w:tc>
          <w:tcPr>
            <w:tcW w:w="613" w:type="pct"/>
            <w:tcBorders>
              <w:top w:val="single" w:sz="4" w:space="0" w:color="auto"/>
              <w:bottom w:val="single" w:sz="4" w:space="0" w:color="auto"/>
              <w:right w:val="single" w:sz="4" w:space="0" w:color="auto"/>
            </w:tcBorders>
            <w:vAlign w:val="center"/>
          </w:tcPr>
          <w:p w14:paraId="449C98BB" w14:textId="77777777" w:rsidR="00E40A40" w:rsidRPr="00B47B68" w:rsidRDefault="00E40A40" w:rsidP="00B47B68">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EQ (CON)-</w:t>
            </w:r>
            <w:r w:rsidRPr="00B47B68">
              <w:rPr>
                <w:sz w:val="18"/>
                <w:szCs w:val="20"/>
              </w:rPr>
              <w:t xml:space="preserve"> </w:t>
            </w:r>
            <w:r w:rsidRPr="00B47B68">
              <w:rPr>
                <w:rFonts w:ascii="Times New Roman" w:hAnsi="Times New Roman" w:cs="Times New Roman"/>
                <w:sz w:val="18"/>
                <w:szCs w:val="20"/>
              </w:rPr>
              <w:t>β3</w:t>
            </w:r>
          </w:p>
        </w:tc>
        <w:tc>
          <w:tcPr>
            <w:tcW w:w="700" w:type="pct"/>
            <w:gridSpan w:val="2"/>
            <w:tcBorders>
              <w:top w:val="single" w:sz="4" w:space="0" w:color="auto"/>
              <w:left w:val="single" w:sz="4" w:space="0" w:color="auto"/>
              <w:bottom w:val="single" w:sz="4" w:space="0" w:color="auto"/>
            </w:tcBorders>
            <w:vAlign w:val="center"/>
          </w:tcPr>
          <w:p w14:paraId="469C2050" w14:textId="77777777" w:rsidR="00E40A40" w:rsidRPr="00B47B68" w:rsidRDefault="00E40A40" w:rsidP="00B47B68">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0.301</w:t>
            </w:r>
          </w:p>
        </w:tc>
        <w:tc>
          <w:tcPr>
            <w:tcW w:w="699" w:type="pct"/>
            <w:gridSpan w:val="2"/>
            <w:tcBorders>
              <w:top w:val="single" w:sz="4" w:space="0" w:color="auto"/>
              <w:bottom w:val="single" w:sz="4" w:space="0" w:color="auto"/>
            </w:tcBorders>
            <w:vAlign w:val="center"/>
          </w:tcPr>
          <w:p w14:paraId="6E9089DB" w14:textId="77777777" w:rsidR="00E40A40" w:rsidRPr="00B47B68" w:rsidRDefault="00E40A40" w:rsidP="00B47B68">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-0.783</w:t>
            </w:r>
          </w:p>
        </w:tc>
        <w:tc>
          <w:tcPr>
            <w:tcW w:w="798" w:type="pct"/>
            <w:gridSpan w:val="2"/>
            <w:tcBorders>
              <w:top w:val="single" w:sz="4" w:space="0" w:color="auto"/>
              <w:bottom w:val="single" w:sz="4" w:space="0" w:color="auto"/>
            </w:tcBorders>
            <w:vAlign w:val="center"/>
          </w:tcPr>
          <w:p w14:paraId="3A058CDF" w14:textId="77777777" w:rsidR="00E40A40" w:rsidRPr="00B47B68" w:rsidRDefault="00E40A40" w:rsidP="00B47B68">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-0.678</w:t>
            </w:r>
          </w:p>
        </w:tc>
        <w:tc>
          <w:tcPr>
            <w:tcW w:w="645" w:type="pct"/>
            <w:gridSpan w:val="3"/>
            <w:tcBorders>
              <w:top w:val="single" w:sz="4" w:space="0" w:color="auto"/>
              <w:bottom w:val="single" w:sz="4" w:space="0" w:color="auto"/>
            </w:tcBorders>
            <w:vAlign w:val="center"/>
          </w:tcPr>
          <w:p w14:paraId="01FA19A9" w14:textId="77777777" w:rsidR="00E40A40" w:rsidRPr="00B47B68" w:rsidRDefault="00E40A40" w:rsidP="00B47B68">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-0.474</w:t>
            </w:r>
          </w:p>
        </w:tc>
        <w:tc>
          <w:tcPr>
            <w:tcW w:w="729" w:type="pct"/>
            <w:gridSpan w:val="2"/>
            <w:tcBorders>
              <w:top w:val="single" w:sz="4" w:space="0" w:color="auto"/>
              <w:bottom w:val="single" w:sz="4" w:space="0" w:color="auto"/>
            </w:tcBorders>
            <w:vAlign w:val="center"/>
          </w:tcPr>
          <w:p w14:paraId="72B72948" w14:textId="77777777" w:rsidR="00E40A40" w:rsidRPr="00B47B68" w:rsidRDefault="00E40A40" w:rsidP="00B47B68">
            <w:pPr>
              <w:jc w:val="center"/>
              <w:rPr>
                <w:rFonts w:ascii="Times New Roman" w:hAnsi="Times New Roman" w:cs="Times New Roman"/>
                <w:sz w:val="18"/>
                <w:szCs w:val="20"/>
              </w:rPr>
            </w:pPr>
            <w:r w:rsidRPr="00B47B68">
              <w:rPr>
                <w:rFonts w:ascii="Times New Roman" w:hAnsi="Times New Roman" w:cs="Times New Roman"/>
                <w:sz w:val="18"/>
                <w:szCs w:val="20"/>
              </w:rPr>
              <w:t>-0.165</w:t>
            </w:r>
          </w:p>
        </w:tc>
        <w:tc>
          <w:tcPr>
            <w:tcW w:w="815" w:type="pct"/>
            <w:gridSpan w:val="3"/>
            <w:tcBorders>
              <w:top w:val="single" w:sz="4" w:space="0" w:color="auto"/>
              <w:bottom w:val="single" w:sz="4" w:space="0" w:color="auto"/>
            </w:tcBorders>
            <w:vAlign w:val="center"/>
          </w:tcPr>
          <w:p w14:paraId="77B79489" w14:textId="77777777" w:rsidR="00E40A40" w:rsidRPr="00B47B68" w:rsidRDefault="00E40A40" w:rsidP="00B47B68">
            <w:pPr>
              <w:autoSpaceDE w:val="0"/>
              <w:autoSpaceDN w:val="0"/>
              <w:adjustRightInd w:val="0"/>
              <w:jc w:val="center"/>
              <w:rPr>
                <w:rFonts w:ascii="Times New Roman" w:hAnsi="Times New Roman" w:cs="Times New Roman"/>
                <w:sz w:val="18"/>
                <w:szCs w:val="20"/>
              </w:rPr>
            </w:pPr>
            <w:r w:rsidRPr="00B47B68">
              <w:rPr>
                <w:rFonts w:ascii="Times New Roman" w:hAnsi="Times New Roman" w:cs="Times New Roman"/>
                <w:sz w:val="18"/>
                <w:szCs w:val="20"/>
              </w:rPr>
              <w:t>0.503</w:t>
            </w:r>
          </w:p>
        </w:tc>
      </w:tr>
    </w:tbl>
    <w:p w14:paraId="2FEFE529" w14:textId="77777777" w:rsidR="009866C2" w:rsidRDefault="009866C2" w:rsidP="00B47B68">
      <w:pPr>
        <w:autoSpaceDE w:val="0"/>
        <w:autoSpaceDN w:val="0"/>
        <w:adjustRightInd w:val="0"/>
        <w:snapToGrid w:val="0"/>
        <w:spacing w:after="0" w:line="360" w:lineRule="exact"/>
        <w:ind w:firstLine="510"/>
        <w:jc w:val="both"/>
        <w:rPr>
          <w:rFonts w:asciiTheme="majorBidi" w:hAnsiTheme="majorBidi"/>
          <w:sz w:val="26"/>
        </w:rPr>
      </w:pPr>
    </w:p>
    <w:p w14:paraId="33E59C16" w14:textId="0A585025" w:rsidR="000870A7" w:rsidRPr="003B7DC7" w:rsidRDefault="00415E8C" w:rsidP="00B47B68">
      <w:pPr>
        <w:autoSpaceDE w:val="0"/>
        <w:autoSpaceDN w:val="0"/>
        <w:adjustRightInd w:val="0"/>
        <w:snapToGrid w:val="0"/>
        <w:spacing w:after="0" w:line="360" w:lineRule="exact"/>
        <w:ind w:firstLine="510"/>
        <w:jc w:val="both"/>
        <w:rPr>
          <w:rFonts w:asciiTheme="majorBidi" w:hAnsiTheme="majorBidi"/>
          <w:sz w:val="26"/>
          <w:szCs w:val="26"/>
        </w:rPr>
      </w:pPr>
      <w:r w:rsidRPr="003B7DC7">
        <w:rPr>
          <w:rFonts w:asciiTheme="majorBidi" w:hAnsiTheme="majorBidi"/>
          <w:sz w:val="26"/>
          <w:szCs w:val="26"/>
        </w:rPr>
        <w:t>In general, the</w:t>
      </w:r>
      <w:r w:rsidR="00680767" w:rsidRPr="003B7DC7">
        <w:rPr>
          <w:rFonts w:asciiTheme="majorBidi" w:hAnsiTheme="majorBidi"/>
          <w:sz w:val="26"/>
          <w:szCs w:val="26"/>
        </w:rPr>
        <w:t xml:space="preserve"> degree of conservatism (β3) is less in all the GCC </w:t>
      </w:r>
      <w:r w:rsidR="009A4680" w:rsidRPr="003B7DC7">
        <w:rPr>
          <w:rFonts w:asciiTheme="majorBidi" w:hAnsiTheme="majorBidi"/>
          <w:sz w:val="26"/>
          <w:szCs w:val="26"/>
        </w:rPr>
        <w:t>countries</w:t>
      </w:r>
      <w:r w:rsidR="00680767" w:rsidRPr="003B7DC7">
        <w:rPr>
          <w:rFonts w:asciiTheme="majorBidi" w:hAnsiTheme="majorBidi"/>
          <w:sz w:val="26"/>
          <w:szCs w:val="26"/>
        </w:rPr>
        <w:t xml:space="preserve"> as the highest one </w:t>
      </w:r>
      <w:r w:rsidR="003422B7" w:rsidRPr="003B7DC7">
        <w:rPr>
          <w:rFonts w:asciiTheme="majorBidi" w:hAnsiTheme="majorBidi"/>
          <w:sz w:val="26"/>
          <w:szCs w:val="26"/>
        </w:rPr>
        <w:t xml:space="preserve">is </w:t>
      </w:r>
      <w:r w:rsidR="00680767" w:rsidRPr="003B7DC7">
        <w:rPr>
          <w:rFonts w:asciiTheme="majorBidi" w:hAnsiTheme="majorBidi"/>
          <w:sz w:val="26"/>
          <w:szCs w:val="26"/>
        </w:rPr>
        <w:t>found in UAE (0.503)</w:t>
      </w:r>
      <w:r w:rsidR="00493F85">
        <w:rPr>
          <w:rFonts w:asciiTheme="majorBidi" w:hAnsiTheme="majorBidi"/>
          <w:sz w:val="26"/>
          <w:szCs w:val="26"/>
        </w:rPr>
        <w:t>,</w:t>
      </w:r>
      <w:r w:rsidR="00680767" w:rsidRPr="003B7DC7">
        <w:rPr>
          <w:rFonts w:asciiTheme="majorBidi" w:hAnsiTheme="majorBidi"/>
          <w:sz w:val="26"/>
          <w:szCs w:val="26"/>
        </w:rPr>
        <w:t xml:space="preserve"> and the lowest one is in </w:t>
      </w:r>
      <w:r w:rsidR="0075209E" w:rsidRPr="003B7DC7">
        <w:rPr>
          <w:rFonts w:asciiTheme="majorBidi" w:hAnsiTheme="majorBidi"/>
          <w:sz w:val="26"/>
          <w:szCs w:val="26"/>
        </w:rPr>
        <w:t>Oman (-0.783). These values</w:t>
      </w:r>
      <w:r w:rsidR="00680767" w:rsidRPr="003B7DC7">
        <w:rPr>
          <w:rFonts w:asciiTheme="majorBidi" w:hAnsiTheme="majorBidi"/>
          <w:sz w:val="26"/>
          <w:szCs w:val="26"/>
        </w:rPr>
        <w:t xml:space="preserve"> </w:t>
      </w:r>
      <w:r w:rsidR="0075209E" w:rsidRPr="003B7DC7">
        <w:rPr>
          <w:rFonts w:asciiTheme="majorBidi" w:hAnsiTheme="majorBidi"/>
          <w:sz w:val="26"/>
          <w:szCs w:val="26"/>
        </w:rPr>
        <w:t>are</w:t>
      </w:r>
      <w:r w:rsidR="00680767" w:rsidRPr="003B7DC7">
        <w:rPr>
          <w:rFonts w:asciiTheme="majorBidi" w:hAnsiTheme="majorBidi"/>
          <w:sz w:val="26"/>
          <w:szCs w:val="26"/>
        </w:rPr>
        <w:t xml:space="preserve"> low </w:t>
      </w:r>
      <w:r w:rsidR="003422B7" w:rsidRPr="003B7DC7">
        <w:rPr>
          <w:rFonts w:asciiTheme="majorBidi" w:hAnsiTheme="majorBidi"/>
          <w:sz w:val="26"/>
          <w:szCs w:val="26"/>
        </w:rPr>
        <w:t xml:space="preserve">compared </w:t>
      </w:r>
      <w:r w:rsidR="00680767" w:rsidRPr="003B7DC7">
        <w:rPr>
          <w:rFonts w:asciiTheme="majorBidi" w:hAnsiTheme="majorBidi"/>
          <w:sz w:val="26"/>
          <w:szCs w:val="26"/>
        </w:rPr>
        <w:t xml:space="preserve">with </w:t>
      </w:r>
      <w:r w:rsidR="003422B7" w:rsidRPr="003B7DC7">
        <w:rPr>
          <w:rFonts w:asciiTheme="majorBidi" w:hAnsiTheme="majorBidi"/>
          <w:sz w:val="26"/>
          <w:szCs w:val="26"/>
        </w:rPr>
        <w:t xml:space="preserve">those of </w:t>
      </w:r>
      <w:r w:rsidR="00680767" w:rsidRPr="003B7DC7">
        <w:rPr>
          <w:rFonts w:asciiTheme="majorBidi" w:hAnsiTheme="majorBidi"/>
          <w:sz w:val="26"/>
          <w:szCs w:val="26"/>
        </w:rPr>
        <w:t>other countries</w:t>
      </w:r>
      <w:r w:rsidR="003422B7" w:rsidRPr="003B7DC7">
        <w:rPr>
          <w:rFonts w:asciiTheme="majorBidi" w:hAnsiTheme="majorBidi"/>
          <w:sz w:val="26"/>
          <w:szCs w:val="26"/>
        </w:rPr>
        <w:t>,</w:t>
      </w:r>
      <w:r w:rsidR="00680767" w:rsidRPr="003B7DC7">
        <w:rPr>
          <w:rFonts w:asciiTheme="majorBidi" w:hAnsiTheme="majorBidi"/>
          <w:sz w:val="26"/>
          <w:szCs w:val="26"/>
        </w:rPr>
        <w:t xml:space="preserve"> such as South Korea (An, 2017)</w:t>
      </w:r>
      <w:r w:rsidR="00B3176B" w:rsidRPr="003B7DC7">
        <w:rPr>
          <w:rFonts w:asciiTheme="majorBidi" w:hAnsiTheme="majorBidi"/>
          <w:sz w:val="26"/>
          <w:szCs w:val="26"/>
        </w:rPr>
        <w:t xml:space="preserve"> and Indonesia</w:t>
      </w:r>
      <w:r w:rsidR="00FD2FAD" w:rsidRPr="003B7DC7">
        <w:rPr>
          <w:rFonts w:asciiTheme="majorBidi" w:hAnsiTheme="majorBidi"/>
          <w:sz w:val="26"/>
          <w:szCs w:val="26"/>
        </w:rPr>
        <w:t xml:space="preserve"> (</w:t>
      </w:r>
      <w:r w:rsidR="00FD2FAD" w:rsidRPr="003B7DC7">
        <w:rPr>
          <w:rFonts w:asciiTheme="majorBidi" w:hAnsiTheme="majorBidi" w:cstheme="majorBidi"/>
          <w:sz w:val="26"/>
          <w:szCs w:val="26"/>
        </w:rPr>
        <w:t>Sari</w:t>
      </w:r>
      <w:r w:rsidR="00FD2FAD" w:rsidRPr="003B7DC7">
        <w:rPr>
          <w:rFonts w:asciiTheme="majorBidi" w:hAnsiTheme="majorBidi"/>
          <w:sz w:val="26"/>
          <w:szCs w:val="26"/>
        </w:rPr>
        <w:t xml:space="preserve"> </w:t>
      </w:r>
      <w:r w:rsidR="007875AD">
        <w:rPr>
          <w:rFonts w:asciiTheme="majorBidi" w:hAnsiTheme="majorBidi"/>
          <w:sz w:val="26"/>
          <w:szCs w:val="26"/>
        </w:rPr>
        <w:t xml:space="preserve">&amp; </w:t>
      </w:r>
      <w:proofErr w:type="spellStart"/>
      <w:r w:rsidR="00FD2FAD" w:rsidRPr="003B7DC7">
        <w:rPr>
          <w:rFonts w:asciiTheme="majorBidi" w:hAnsiTheme="majorBidi" w:cstheme="majorBidi"/>
          <w:sz w:val="26"/>
          <w:szCs w:val="26"/>
        </w:rPr>
        <w:t>Sarumpaet</w:t>
      </w:r>
      <w:proofErr w:type="spellEnd"/>
      <w:r w:rsidR="00FD2FAD" w:rsidRPr="003B7DC7">
        <w:rPr>
          <w:rFonts w:asciiTheme="majorBidi" w:hAnsiTheme="majorBidi" w:cstheme="majorBidi"/>
          <w:sz w:val="26"/>
          <w:szCs w:val="26"/>
        </w:rPr>
        <w:t>, 2019</w:t>
      </w:r>
      <w:r w:rsidR="00B3176B" w:rsidRPr="003B7DC7">
        <w:rPr>
          <w:rFonts w:asciiTheme="majorBidi" w:hAnsiTheme="majorBidi"/>
          <w:sz w:val="26"/>
          <w:szCs w:val="26"/>
        </w:rPr>
        <w:t>)</w:t>
      </w:r>
      <w:r w:rsidR="00680767" w:rsidRPr="003B7DC7">
        <w:rPr>
          <w:rFonts w:asciiTheme="majorBidi" w:hAnsiTheme="majorBidi"/>
          <w:sz w:val="26"/>
          <w:szCs w:val="26"/>
        </w:rPr>
        <w:t xml:space="preserve">. One of the most important reasons </w:t>
      </w:r>
      <w:r w:rsidR="0075209E" w:rsidRPr="003B7DC7">
        <w:rPr>
          <w:rFonts w:asciiTheme="majorBidi" w:hAnsiTheme="majorBidi"/>
          <w:sz w:val="26"/>
          <w:szCs w:val="26"/>
        </w:rPr>
        <w:t xml:space="preserve">for this lower degree </w:t>
      </w:r>
      <w:r w:rsidR="00680767" w:rsidRPr="003B7DC7">
        <w:rPr>
          <w:rFonts w:asciiTheme="majorBidi" w:hAnsiTheme="majorBidi"/>
          <w:sz w:val="26"/>
          <w:szCs w:val="26"/>
        </w:rPr>
        <w:t xml:space="preserve">is that most listed firms in GCC </w:t>
      </w:r>
      <w:r w:rsidR="003422B7" w:rsidRPr="003B7DC7">
        <w:rPr>
          <w:rFonts w:asciiTheme="majorBidi" w:hAnsiTheme="majorBidi"/>
          <w:sz w:val="26"/>
          <w:szCs w:val="26"/>
        </w:rPr>
        <w:t xml:space="preserve">countries </w:t>
      </w:r>
      <w:r w:rsidR="00680767" w:rsidRPr="003B7DC7">
        <w:rPr>
          <w:rFonts w:asciiTheme="majorBidi" w:hAnsiTheme="majorBidi"/>
          <w:sz w:val="26"/>
          <w:szCs w:val="26"/>
        </w:rPr>
        <w:t xml:space="preserve">apply IFRS </w:t>
      </w:r>
      <w:r w:rsidR="005E26DE" w:rsidRPr="003B7DC7">
        <w:rPr>
          <w:rFonts w:asciiTheme="majorBidi" w:hAnsiTheme="majorBidi"/>
          <w:sz w:val="26"/>
          <w:szCs w:val="26"/>
        </w:rPr>
        <w:t xml:space="preserve">in preparing their financial statements </w:t>
      </w:r>
      <w:r w:rsidR="00680767" w:rsidRPr="003B7DC7">
        <w:rPr>
          <w:rFonts w:asciiTheme="majorBidi" w:hAnsiTheme="majorBidi"/>
          <w:sz w:val="26"/>
          <w:szCs w:val="26"/>
        </w:rPr>
        <w:t xml:space="preserve">which </w:t>
      </w:r>
      <w:r w:rsidR="003422B7" w:rsidRPr="003B7DC7">
        <w:rPr>
          <w:rFonts w:asciiTheme="majorBidi" w:hAnsiTheme="majorBidi"/>
          <w:sz w:val="26"/>
          <w:szCs w:val="26"/>
        </w:rPr>
        <w:t xml:space="preserve">require </w:t>
      </w:r>
      <w:r w:rsidR="00680767" w:rsidRPr="003B7DC7">
        <w:rPr>
          <w:rFonts w:asciiTheme="majorBidi" w:hAnsiTheme="majorBidi"/>
          <w:sz w:val="26"/>
          <w:szCs w:val="26"/>
        </w:rPr>
        <w:t xml:space="preserve">less degree of conservatism.  </w:t>
      </w:r>
    </w:p>
    <w:p w14:paraId="0AA1C279" w14:textId="3E57B6F7" w:rsidR="005B257E" w:rsidRPr="003B7DC7" w:rsidRDefault="008D3063" w:rsidP="009A6198">
      <w:pPr>
        <w:autoSpaceDE w:val="0"/>
        <w:autoSpaceDN w:val="0"/>
        <w:adjustRightInd w:val="0"/>
        <w:snapToGrid w:val="0"/>
        <w:spacing w:after="0" w:line="360" w:lineRule="exact"/>
        <w:ind w:firstLineChars="200" w:firstLine="520"/>
        <w:jc w:val="both"/>
        <w:rPr>
          <w:rFonts w:asciiTheme="majorBidi" w:hAnsiTheme="majorBidi"/>
          <w:sz w:val="26"/>
          <w:szCs w:val="26"/>
        </w:rPr>
      </w:pPr>
      <w:r w:rsidRPr="003B7DC7">
        <w:rPr>
          <w:rFonts w:asciiTheme="majorBidi" w:hAnsiTheme="majorBidi"/>
          <w:sz w:val="26"/>
          <w:szCs w:val="26"/>
        </w:rPr>
        <w:t xml:space="preserve">Table </w:t>
      </w:r>
      <w:r w:rsidRPr="003B7DC7">
        <w:rPr>
          <w:rFonts w:asciiTheme="majorBidi" w:hAnsiTheme="majorBidi" w:cstheme="majorBidi"/>
          <w:sz w:val="26"/>
          <w:szCs w:val="26"/>
        </w:rPr>
        <w:t>21</w:t>
      </w:r>
      <w:r w:rsidR="005B257E" w:rsidRPr="003B7DC7">
        <w:rPr>
          <w:rFonts w:asciiTheme="majorBidi" w:hAnsiTheme="majorBidi"/>
          <w:sz w:val="26"/>
          <w:szCs w:val="26"/>
        </w:rPr>
        <w:t xml:space="preserve"> shows the results of the relationship between </w:t>
      </w:r>
      <w:r w:rsidR="003422B7" w:rsidRPr="003B7DC7">
        <w:rPr>
          <w:rFonts w:asciiTheme="majorBidi" w:hAnsiTheme="majorBidi"/>
          <w:sz w:val="26"/>
          <w:szCs w:val="26"/>
        </w:rPr>
        <w:t>EQ-</w:t>
      </w:r>
      <w:r w:rsidR="005B257E" w:rsidRPr="003B7DC7">
        <w:rPr>
          <w:rFonts w:asciiTheme="majorBidi" w:hAnsiTheme="majorBidi"/>
          <w:sz w:val="26"/>
          <w:szCs w:val="26"/>
        </w:rPr>
        <w:t>CON and FI</w:t>
      </w:r>
      <w:r w:rsidR="003422B7" w:rsidRPr="003B7DC7">
        <w:rPr>
          <w:rFonts w:asciiTheme="majorBidi" w:hAnsiTheme="majorBidi"/>
          <w:sz w:val="26"/>
          <w:szCs w:val="26"/>
        </w:rPr>
        <w:t>.</w:t>
      </w:r>
    </w:p>
    <w:p w14:paraId="4612EDB5" w14:textId="77777777" w:rsidR="003B7DC7" w:rsidRPr="003B7DC7" w:rsidRDefault="003B7DC7" w:rsidP="00B47B68">
      <w:pPr>
        <w:autoSpaceDE w:val="0"/>
        <w:autoSpaceDN w:val="0"/>
        <w:adjustRightInd w:val="0"/>
        <w:snapToGrid w:val="0"/>
        <w:spacing w:after="0" w:line="360" w:lineRule="exact"/>
        <w:jc w:val="both"/>
        <w:rPr>
          <w:rFonts w:asciiTheme="majorBidi" w:hAnsiTheme="majorBidi"/>
          <w:b/>
          <w:sz w:val="26"/>
          <w:szCs w:val="26"/>
        </w:rPr>
      </w:pPr>
    </w:p>
    <w:p w14:paraId="1561192C" w14:textId="77777777" w:rsidR="00B47B68" w:rsidRDefault="00B47B68">
      <w:pPr>
        <w:rPr>
          <w:rFonts w:asciiTheme="majorBidi" w:hAnsiTheme="majorBidi"/>
          <w:b/>
          <w:sz w:val="26"/>
        </w:rPr>
      </w:pPr>
      <w:r>
        <w:rPr>
          <w:rFonts w:asciiTheme="majorBidi" w:hAnsiTheme="majorBidi"/>
          <w:b/>
          <w:sz w:val="26"/>
        </w:rPr>
        <w:br w:type="page"/>
      </w:r>
    </w:p>
    <w:p w14:paraId="1AAA7354" w14:textId="2F3B6A13" w:rsidR="00E40A40" w:rsidRPr="00FA3651" w:rsidRDefault="00BB369A" w:rsidP="00B47B68">
      <w:pPr>
        <w:snapToGrid w:val="0"/>
        <w:spacing w:afterLines="50" w:after="120" w:line="360" w:lineRule="exact"/>
        <w:jc w:val="both"/>
        <w:rPr>
          <w:rFonts w:asciiTheme="majorBidi" w:hAnsiTheme="majorBidi"/>
          <w:sz w:val="26"/>
        </w:rPr>
      </w:pPr>
      <w:r w:rsidRPr="00B47B68">
        <w:rPr>
          <w:rFonts w:asciiTheme="majorBidi" w:hAnsiTheme="majorBidi"/>
          <w:b/>
          <w:sz w:val="26"/>
        </w:rPr>
        <w:lastRenderedPageBreak/>
        <w:t xml:space="preserve">Table </w:t>
      </w:r>
      <w:proofErr w:type="gramStart"/>
      <w:r w:rsidRPr="00B47B68">
        <w:rPr>
          <w:rFonts w:asciiTheme="majorBidi" w:hAnsiTheme="majorBidi"/>
          <w:b/>
          <w:sz w:val="26"/>
        </w:rPr>
        <w:t>21</w:t>
      </w:r>
      <w:r w:rsidR="00B47B68">
        <w:rPr>
          <w:rFonts w:ascii="新細明體" w:eastAsia="新細明體" w:hAnsi="新細明體" w:hint="eastAsia"/>
          <w:sz w:val="26"/>
          <w:lang w:eastAsia="zh-TW"/>
        </w:rPr>
        <w:t xml:space="preserve"> </w:t>
      </w:r>
      <w:r w:rsidR="00E40A40" w:rsidRPr="00FA3651">
        <w:rPr>
          <w:rFonts w:asciiTheme="majorBidi" w:hAnsiTheme="majorBidi"/>
          <w:sz w:val="26"/>
        </w:rPr>
        <w:t xml:space="preserve"> </w:t>
      </w:r>
      <w:r w:rsidR="00E40A40" w:rsidRPr="00B47B68">
        <w:rPr>
          <w:rFonts w:asciiTheme="majorBidi" w:hAnsiTheme="majorBidi"/>
          <w:i/>
          <w:sz w:val="26"/>
        </w:rPr>
        <w:t>Regression</w:t>
      </w:r>
      <w:proofErr w:type="gramEnd"/>
      <w:r w:rsidR="00E40A40" w:rsidRPr="00B47B68">
        <w:rPr>
          <w:rFonts w:asciiTheme="majorBidi" w:hAnsiTheme="majorBidi"/>
          <w:i/>
          <w:sz w:val="26"/>
        </w:rPr>
        <w:t xml:space="preserve"> Results between CON and FI</w:t>
      </w:r>
    </w:p>
    <w:tbl>
      <w:tblPr>
        <w:tblStyle w:val="a9"/>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
        <w:gridCol w:w="685"/>
        <w:gridCol w:w="664"/>
        <w:gridCol w:w="684"/>
        <w:gridCol w:w="664"/>
        <w:gridCol w:w="684"/>
        <w:gridCol w:w="697"/>
        <w:gridCol w:w="684"/>
        <w:gridCol w:w="664"/>
        <w:gridCol w:w="684"/>
        <w:gridCol w:w="697"/>
        <w:gridCol w:w="684"/>
        <w:gridCol w:w="661"/>
      </w:tblGrid>
      <w:tr w:rsidR="007F15D8" w:rsidRPr="003B7DC7" w14:paraId="73A7377C" w14:textId="77777777" w:rsidTr="009A6198">
        <w:trPr>
          <w:trHeight w:val="283"/>
          <w:jc w:val="center"/>
        </w:trPr>
        <w:tc>
          <w:tcPr>
            <w:tcW w:w="484" w:type="pct"/>
            <w:vMerge w:val="restart"/>
            <w:tcBorders>
              <w:top w:val="single" w:sz="4" w:space="0" w:color="auto"/>
              <w:right w:val="single" w:sz="4" w:space="0" w:color="auto"/>
              <w:tl2br w:val="single" w:sz="4" w:space="0" w:color="auto"/>
            </w:tcBorders>
          </w:tcPr>
          <w:p w14:paraId="18172A05" w14:textId="286113A5" w:rsidR="00E40A40" w:rsidRPr="003B7DC7" w:rsidRDefault="00B47B68" w:rsidP="00E40A40">
            <w:pPr>
              <w:autoSpaceDE w:val="0"/>
              <w:autoSpaceDN w:val="0"/>
              <w:adjustRightInd w:val="0"/>
              <w:jc w:val="both"/>
              <w:rPr>
                <w:rFonts w:ascii="Times New Roman" w:hAnsi="Times New Roman" w:cs="Times New Roman"/>
                <w:sz w:val="16"/>
                <w:szCs w:val="20"/>
              </w:rPr>
            </w:pPr>
            <w:r>
              <w:rPr>
                <w:rFonts w:ascii="新細明體" w:eastAsia="新細明體" w:hAnsi="新細明體" w:cs="Times New Roman" w:hint="eastAsia"/>
                <w:sz w:val="16"/>
                <w:szCs w:val="20"/>
                <w:lang w:eastAsia="zh-TW"/>
              </w:rPr>
              <w:t xml:space="preserve">  </w:t>
            </w:r>
            <w:r w:rsidR="003B7DC7" w:rsidRPr="003B7DC7">
              <w:rPr>
                <w:rFonts w:ascii="Times New Roman" w:hAnsi="Times New Roman" w:cs="Times New Roman"/>
                <w:sz w:val="16"/>
                <w:szCs w:val="20"/>
              </w:rPr>
              <w:t xml:space="preserve"> country</w:t>
            </w:r>
          </w:p>
          <w:p w14:paraId="4BB3C6C0" w14:textId="77777777" w:rsidR="00E40A40" w:rsidRPr="003B7DC7" w:rsidRDefault="00E40A40" w:rsidP="00E40A40">
            <w:pPr>
              <w:autoSpaceDE w:val="0"/>
              <w:autoSpaceDN w:val="0"/>
              <w:adjustRightInd w:val="0"/>
              <w:jc w:val="both"/>
              <w:rPr>
                <w:rFonts w:ascii="Times New Roman" w:hAnsi="Times New Roman" w:cs="Times New Roman"/>
                <w:sz w:val="16"/>
                <w:szCs w:val="20"/>
              </w:rPr>
            </w:pPr>
          </w:p>
          <w:p w14:paraId="4ADC91C9" w14:textId="5B008230" w:rsidR="00E40A40" w:rsidRPr="003B7DC7" w:rsidRDefault="003B7DC7" w:rsidP="00E40A40">
            <w:pPr>
              <w:autoSpaceDE w:val="0"/>
              <w:autoSpaceDN w:val="0"/>
              <w:adjustRightInd w:val="0"/>
              <w:jc w:val="both"/>
              <w:rPr>
                <w:rFonts w:ascii="Times New Roman" w:hAnsi="Times New Roman" w:cs="Times New Roman"/>
                <w:sz w:val="16"/>
                <w:szCs w:val="20"/>
              </w:rPr>
            </w:pPr>
            <w:r w:rsidRPr="003B7DC7">
              <w:rPr>
                <w:rFonts w:ascii="Times New Roman" w:hAnsi="Times New Roman" w:cs="Times New Roman"/>
                <w:sz w:val="16"/>
                <w:szCs w:val="20"/>
              </w:rPr>
              <w:t>variables</w:t>
            </w:r>
          </w:p>
        </w:tc>
        <w:tc>
          <w:tcPr>
            <w:tcW w:w="747" w:type="pct"/>
            <w:gridSpan w:val="2"/>
            <w:tcBorders>
              <w:top w:val="single" w:sz="4" w:space="0" w:color="auto"/>
              <w:left w:val="single" w:sz="4" w:space="0" w:color="auto"/>
              <w:bottom w:val="single" w:sz="4" w:space="0" w:color="auto"/>
            </w:tcBorders>
            <w:vAlign w:val="center"/>
          </w:tcPr>
          <w:p w14:paraId="0AD1A44A" w14:textId="5528DBBF" w:rsidR="00E40A40" w:rsidRPr="003B7DC7" w:rsidRDefault="004931B4" w:rsidP="003B7DC7">
            <w:pPr>
              <w:autoSpaceDE w:val="0"/>
              <w:autoSpaceDN w:val="0"/>
              <w:adjustRightInd w:val="0"/>
              <w:jc w:val="center"/>
              <w:rPr>
                <w:rFonts w:ascii="Times New Roman" w:hAnsi="Times New Roman" w:cs="Times New Roman"/>
                <w:sz w:val="16"/>
                <w:szCs w:val="20"/>
              </w:rPr>
            </w:pPr>
            <w:r w:rsidRPr="003B7DC7">
              <w:rPr>
                <w:rFonts w:ascii="Times New Roman" w:hAnsi="Times New Roman" w:cs="Times New Roman"/>
                <w:sz w:val="16"/>
                <w:szCs w:val="20"/>
              </w:rPr>
              <w:t>KSA</w:t>
            </w:r>
          </w:p>
        </w:tc>
        <w:tc>
          <w:tcPr>
            <w:tcW w:w="747" w:type="pct"/>
            <w:gridSpan w:val="2"/>
            <w:tcBorders>
              <w:top w:val="single" w:sz="4" w:space="0" w:color="auto"/>
              <w:bottom w:val="single" w:sz="4" w:space="0" w:color="auto"/>
            </w:tcBorders>
            <w:vAlign w:val="center"/>
          </w:tcPr>
          <w:p w14:paraId="27985D50" w14:textId="0C3E71FD" w:rsidR="00E40A40" w:rsidRPr="003B7DC7" w:rsidRDefault="004931B4" w:rsidP="003B7DC7">
            <w:pPr>
              <w:autoSpaceDE w:val="0"/>
              <w:autoSpaceDN w:val="0"/>
              <w:adjustRightInd w:val="0"/>
              <w:jc w:val="center"/>
              <w:rPr>
                <w:rFonts w:ascii="Times New Roman" w:hAnsi="Times New Roman" w:cs="Times New Roman"/>
                <w:sz w:val="16"/>
                <w:szCs w:val="20"/>
              </w:rPr>
            </w:pPr>
            <w:r w:rsidRPr="003B7DC7">
              <w:rPr>
                <w:rFonts w:ascii="Times New Roman" w:hAnsi="Times New Roman" w:cs="Times New Roman"/>
                <w:sz w:val="16"/>
                <w:szCs w:val="20"/>
              </w:rPr>
              <w:t>OMN</w:t>
            </w:r>
          </w:p>
        </w:tc>
        <w:tc>
          <w:tcPr>
            <w:tcW w:w="764" w:type="pct"/>
            <w:gridSpan w:val="2"/>
            <w:tcBorders>
              <w:top w:val="single" w:sz="4" w:space="0" w:color="auto"/>
              <w:bottom w:val="single" w:sz="4" w:space="0" w:color="auto"/>
            </w:tcBorders>
            <w:vAlign w:val="center"/>
          </w:tcPr>
          <w:p w14:paraId="1B4082E8" w14:textId="05462962" w:rsidR="00E40A40" w:rsidRPr="003B7DC7" w:rsidRDefault="004931B4" w:rsidP="003B7DC7">
            <w:pPr>
              <w:autoSpaceDE w:val="0"/>
              <w:autoSpaceDN w:val="0"/>
              <w:adjustRightInd w:val="0"/>
              <w:jc w:val="center"/>
              <w:rPr>
                <w:rFonts w:ascii="Times New Roman" w:hAnsi="Times New Roman" w:cs="Times New Roman"/>
                <w:sz w:val="16"/>
                <w:szCs w:val="20"/>
              </w:rPr>
            </w:pPr>
            <w:r w:rsidRPr="003B7DC7">
              <w:rPr>
                <w:rFonts w:ascii="Times New Roman" w:hAnsi="Times New Roman" w:cs="Times New Roman"/>
                <w:sz w:val="16"/>
                <w:szCs w:val="20"/>
              </w:rPr>
              <w:t>QAT</w:t>
            </w:r>
          </w:p>
        </w:tc>
        <w:tc>
          <w:tcPr>
            <w:tcW w:w="747" w:type="pct"/>
            <w:gridSpan w:val="2"/>
            <w:tcBorders>
              <w:top w:val="single" w:sz="4" w:space="0" w:color="auto"/>
              <w:bottom w:val="single" w:sz="4" w:space="0" w:color="auto"/>
            </w:tcBorders>
            <w:vAlign w:val="center"/>
          </w:tcPr>
          <w:p w14:paraId="14EAC4A4" w14:textId="0AC287F1" w:rsidR="00E40A40" w:rsidRPr="003B7DC7" w:rsidRDefault="004931B4" w:rsidP="003B7DC7">
            <w:pPr>
              <w:autoSpaceDE w:val="0"/>
              <w:autoSpaceDN w:val="0"/>
              <w:adjustRightInd w:val="0"/>
              <w:jc w:val="center"/>
              <w:rPr>
                <w:rFonts w:ascii="Times New Roman" w:hAnsi="Times New Roman" w:cs="Times New Roman"/>
                <w:sz w:val="16"/>
                <w:szCs w:val="20"/>
              </w:rPr>
            </w:pPr>
            <w:r w:rsidRPr="003B7DC7">
              <w:rPr>
                <w:rFonts w:ascii="Times New Roman" w:hAnsi="Times New Roman" w:cs="Times New Roman"/>
                <w:sz w:val="16"/>
                <w:szCs w:val="20"/>
              </w:rPr>
              <w:t>BAH</w:t>
            </w:r>
          </w:p>
        </w:tc>
        <w:tc>
          <w:tcPr>
            <w:tcW w:w="764" w:type="pct"/>
            <w:gridSpan w:val="2"/>
            <w:tcBorders>
              <w:top w:val="single" w:sz="4" w:space="0" w:color="auto"/>
              <w:bottom w:val="single" w:sz="4" w:space="0" w:color="auto"/>
            </w:tcBorders>
            <w:vAlign w:val="center"/>
          </w:tcPr>
          <w:p w14:paraId="0D869090" w14:textId="06D1AC37" w:rsidR="00E40A40" w:rsidRPr="003B7DC7" w:rsidRDefault="004931B4" w:rsidP="003B7DC7">
            <w:pPr>
              <w:autoSpaceDE w:val="0"/>
              <w:autoSpaceDN w:val="0"/>
              <w:adjustRightInd w:val="0"/>
              <w:jc w:val="center"/>
              <w:rPr>
                <w:rFonts w:ascii="Times New Roman" w:hAnsi="Times New Roman" w:cs="Times New Roman"/>
                <w:sz w:val="16"/>
                <w:szCs w:val="20"/>
              </w:rPr>
            </w:pPr>
            <w:r w:rsidRPr="003B7DC7">
              <w:rPr>
                <w:rFonts w:ascii="Times New Roman" w:hAnsi="Times New Roman" w:cs="Times New Roman"/>
                <w:sz w:val="16"/>
                <w:szCs w:val="20"/>
              </w:rPr>
              <w:t>KWU</w:t>
            </w:r>
          </w:p>
        </w:tc>
        <w:tc>
          <w:tcPr>
            <w:tcW w:w="747" w:type="pct"/>
            <w:gridSpan w:val="2"/>
            <w:tcBorders>
              <w:top w:val="single" w:sz="4" w:space="0" w:color="auto"/>
              <w:bottom w:val="single" w:sz="4" w:space="0" w:color="auto"/>
            </w:tcBorders>
            <w:vAlign w:val="center"/>
          </w:tcPr>
          <w:p w14:paraId="7E6494A3" w14:textId="087DAEC8" w:rsidR="00E40A40" w:rsidRPr="003B7DC7" w:rsidRDefault="004931B4" w:rsidP="003B7DC7">
            <w:pPr>
              <w:autoSpaceDE w:val="0"/>
              <w:autoSpaceDN w:val="0"/>
              <w:adjustRightInd w:val="0"/>
              <w:jc w:val="center"/>
              <w:rPr>
                <w:rFonts w:ascii="Times New Roman" w:hAnsi="Times New Roman" w:cs="Times New Roman"/>
                <w:sz w:val="16"/>
                <w:szCs w:val="20"/>
              </w:rPr>
            </w:pPr>
            <w:r w:rsidRPr="003B7DC7">
              <w:rPr>
                <w:rFonts w:ascii="Times New Roman" w:hAnsi="Times New Roman" w:cs="Times New Roman"/>
                <w:sz w:val="16"/>
                <w:szCs w:val="20"/>
              </w:rPr>
              <w:t>UAE</w:t>
            </w:r>
          </w:p>
        </w:tc>
      </w:tr>
      <w:tr w:rsidR="003B7DC7" w:rsidRPr="003B7DC7" w14:paraId="4040831E" w14:textId="77777777" w:rsidTr="009A6198">
        <w:trPr>
          <w:trHeight w:val="283"/>
          <w:jc w:val="center"/>
        </w:trPr>
        <w:tc>
          <w:tcPr>
            <w:tcW w:w="484" w:type="pct"/>
            <w:vMerge/>
            <w:tcBorders>
              <w:bottom w:val="single" w:sz="4" w:space="0" w:color="auto"/>
              <w:right w:val="single" w:sz="4" w:space="0" w:color="auto"/>
            </w:tcBorders>
          </w:tcPr>
          <w:p w14:paraId="71087D11" w14:textId="77777777" w:rsidR="00E40A40" w:rsidRPr="003B7DC7" w:rsidRDefault="00E40A40" w:rsidP="00E40A40">
            <w:pPr>
              <w:autoSpaceDE w:val="0"/>
              <w:autoSpaceDN w:val="0"/>
              <w:adjustRightInd w:val="0"/>
              <w:jc w:val="both"/>
              <w:rPr>
                <w:rFonts w:ascii="Times New Roman" w:hAnsi="Times New Roman" w:cs="Times New Roman"/>
                <w:noProof/>
                <w:sz w:val="16"/>
                <w:szCs w:val="20"/>
              </w:rPr>
            </w:pPr>
          </w:p>
        </w:tc>
        <w:tc>
          <w:tcPr>
            <w:tcW w:w="379" w:type="pct"/>
            <w:tcBorders>
              <w:top w:val="single" w:sz="4" w:space="0" w:color="auto"/>
              <w:left w:val="single" w:sz="4" w:space="0" w:color="auto"/>
              <w:bottom w:val="single" w:sz="4" w:space="0" w:color="auto"/>
            </w:tcBorders>
            <w:vAlign w:val="center"/>
          </w:tcPr>
          <w:p w14:paraId="6DB2DA1A" w14:textId="5A161590" w:rsidR="00E40A40" w:rsidRPr="003B7DC7" w:rsidRDefault="003B7DC7" w:rsidP="003B7DC7">
            <w:pPr>
              <w:autoSpaceDE w:val="0"/>
              <w:autoSpaceDN w:val="0"/>
              <w:adjustRightInd w:val="0"/>
              <w:jc w:val="center"/>
              <w:rPr>
                <w:rFonts w:ascii="Times New Roman" w:hAnsi="Times New Roman" w:cs="Times New Roman"/>
                <w:sz w:val="16"/>
                <w:szCs w:val="20"/>
              </w:rPr>
            </w:pPr>
            <w:r w:rsidRPr="003B7DC7">
              <w:rPr>
                <w:rFonts w:ascii="Times New Roman" w:hAnsi="Times New Roman" w:cs="Times New Roman"/>
                <w:sz w:val="16"/>
                <w:szCs w:val="20"/>
              </w:rPr>
              <w:t>b</w:t>
            </w:r>
          </w:p>
        </w:tc>
        <w:tc>
          <w:tcPr>
            <w:tcW w:w="368" w:type="pct"/>
            <w:tcBorders>
              <w:top w:val="single" w:sz="4" w:space="0" w:color="auto"/>
              <w:bottom w:val="single" w:sz="4" w:space="0" w:color="auto"/>
            </w:tcBorders>
            <w:vAlign w:val="center"/>
          </w:tcPr>
          <w:p w14:paraId="01660B10" w14:textId="482A4C8B" w:rsidR="00E40A40" w:rsidRPr="003B7DC7" w:rsidRDefault="003B7DC7" w:rsidP="003B7DC7">
            <w:pPr>
              <w:autoSpaceDE w:val="0"/>
              <w:autoSpaceDN w:val="0"/>
              <w:adjustRightInd w:val="0"/>
              <w:jc w:val="center"/>
              <w:rPr>
                <w:rFonts w:ascii="Times New Roman" w:hAnsi="Times New Roman" w:cs="Times New Roman"/>
                <w:sz w:val="16"/>
                <w:szCs w:val="20"/>
              </w:rPr>
            </w:pPr>
            <w:r w:rsidRPr="003B7DC7">
              <w:rPr>
                <w:rFonts w:ascii="Times New Roman" w:hAnsi="Times New Roman" w:cs="Times New Roman"/>
                <w:sz w:val="16"/>
                <w:szCs w:val="20"/>
              </w:rPr>
              <w:t>t-value</w:t>
            </w:r>
          </w:p>
        </w:tc>
        <w:tc>
          <w:tcPr>
            <w:tcW w:w="379" w:type="pct"/>
            <w:tcBorders>
              <w:top w:val="single" w:sz="4" w:space="0" w:color="auto"/>
              <w:bottom w:val="single" w:sz="4" w:space="0" w:color="auto"/>
            </w:tcBorders>
            <w:vAlign w:val="center"/>
          </w:tcPr>
          <w:p w14:paraId="42C322C7" w14:textId="07C6DB5D" w:rsidR="00E40A40" w:rsidRPr="003B7DC7" w:rsidRDefault="00D26FCE" w:rsidP="003B7DC7">
            <w:pPr>
              <w:autoSpaceDE w:val="0"/>
              <w:autoSpaceDN w:val="0"/>
              <w:adjustRightInd w:val="0"/>
              <w:jc w:val="center"/>
              <w:rPr>
                <w:rFonts w:ascii="Times New Roman" w:hAnsi="Times New Roman" w:cs="Times New Roman"/>
                <w:sz w:val="16"/>
                <w:szCs w:val="20"/>
              </w:rPr>
            </w:pPr>
            <w:r w:rsidRPr="003B7DC7">
              <w:rPr>
                <w:rFonts w:ascii="Times New Roman" w:hAnsi="Times New Roman" w:cs="Times New Roman"/>
                <w:sz w:val="16"/>
                <w:szCs w:val="20"/>
              </w:rPr>
              <w:t>B</w:t>
            </w:r>
          </w:p>
        </w:tc>
        <w:tc>
          <w:tcPr>
            <w:tcW w:w="368" w:type="pct"/>
            <w:tcBorders>
              <w:top w:val="single" w:sz="4" w:space="0" w:color="auto"/>
              <w:bottom w:val="single" w:sz="4" w:space="0" w:color="auto"/>
            </w:tcBorders>
            <w:vAlign w:val="center"/>
          </w:tcPr>
          <w:p w14:paraId="531A0E73" w14:textId="532F8E52" w:rsidR="00E40A40" w:rsidRPr="003B7DC7" w:rsidRDefault="003B7DC7" w:rsidP="003B7DC7">
            <w:pPr>
              <w:autoSpaceDE w:val="0"/>
              <w:autoSpaceDN w:val="0"/>
              <w:adjustRightInd w:val="0"/>
              <w:jc w:val="center"/>
              <w:rPr>
                <w:rFonts w:ascii="Times New Roman" w:hAnsi="Times New Roman" w:cs="Times New Roman"/>
                <w:sz w:val="16"/>
                <w:szCs w:val="20"/>
              </w:rPr>
            </w:pPr>
            <w:r w:rsidRPr="003B7DC7">
              <w:rPr>
                <w:rFonts w:ascii="Times New Roman" w:hAnsi="Times New Roman" w:cs="Times New Roman"/>
                <w:sz w:val="16"/>
                <w:szCs w:val="20"/>
              </w:rPr>
              <w:t>t-value</w:t>
            </w:r>
          </w:p>
        </w:tc>
        <w:tc>
          <w:tcPr>
            <w:tcW w:w="379" w:type="pct"/>
            <w:tcBorders>
              <w:top w:val="single" w:sz="4" w:space="0" w:color="auto"/>
              <w:bottom w:val="single" w:sz="4" w:space="0" w:color="auto"/>
            </w:tcBorders>
            <w:vAlign w:val="center"/>
          </w:tcPr>
          <w:p w14:paraId="29A93522" w14:textId="0E9390EB" w:rsidR="00E40A40" w:rsidRPr="003B7DC7" w:rsidRDefault="003B7DC7" w:rsidP="003B7DC7">
            <w:pPr>
              <w:autoSpaceDE w:val="0"/>
              <w:autoSpaceDN w:val="0"/>
              <w:adjustRightInd w:val="0"/>
              <w:jc w:val="center"/>
              <w:rPr>
                <w:rFonts w:ascii="Times New Roman" w:hAnsi="Times New Roman" w:cs="Times New Roman"/>
                <w:sz w:val="16"/>
                <w:szCs w:val="20"/>
              </w:rPr>
            </w:pPr>
            <w:r w:rsidRPr="003B7DC7">
              <w:rPr>
                <w:rFonts w:ascii="Times New Roman" w:hAnsi="Times New Roman" w:cs="Times New Roman"/>
                <w:sz w:val="16"/>
                <w:szCs w:val="20"/>
              </w:rPr>
              <w:t>b</w:t>
            </w:r>
          </w:p>
        </w:tc>
        <w:tc>
          <w:tcPr>
            <w:tcW w:w="386" w:type="pct"/>
            <w:tcBorders>
              <w:top w:val="single" w:sz="4" w:space="0" w:color="auto"/>
              <w:bottom w:val="single" w:sz="4" w:space="0" w:color="auto"/>
            </w:tcBorders>
            <w:vAlign w:val="center"/>
          </w:tcPr>
          <w:p w14:paraId="5B682DA5" w14:textId="6E6E869E" w:rsidR="00E40A40" w:rsidRPr="003B7DC7" w:rsidRDefault="003B7DC7" w:rsidP="003B7DC7">
            <w:pPr>
              <w:autoSpaceDE w:val="0"/>
              <w:autoSpaceDN w:val="0"/>
              <w:adjustRightInd w:val="0"/>
              <w:jc w:val="center"/>
              <w:rPr>
                <w:rFonts w:ascii="Times New Roman" w:hAnsi="Times New Roman" w:cs="Times New Roman"/>
                <w:sz w:val="16"/>
                <w:szCs w:val="20"/>
              </w:rPr>
            </w:pPr>
            <w:r w:rsidRPr="003B7DC7">
              <w:rPr>
                <w:rFonts w:ascii="Times New Roman" w:hAnsi="Times New Roman" w:cs="Times New Roman"/>
                <w:sz w:val="16"/>
                <w:szCs w:val="20"/>
              </w:rPr>
              <w:t>t-value</w:t>
            </w:r>
          </w:p>
        </w:tc>
        <w:tc>
          <w:tcPr>
            <w:tcW w:w="379" w:type="pct"/>
            <w:tcBorders>
              <w:top w:val="single" w:sz="4" w:space="0" w:color="auto"/>
              <w:bottom w:val="single" w:sz="4" w:space="0" w:color="auto"/>
            </w:tcBorders>
            <w:vAlign w:val="center"/>
          </w:tcPr>
          <w:p w14:paraId="46ABFA0B" w14:textId="2FF3FF0A" w:rsidR="00E40A40" w:rsidRPr="003B7DC7" w:rsidRDefault="003B7DC7" w:rsidP="003B7DC7">
            <w:pPr>
              <w:autoSpaceDE w:val="0"/>
              <w:autoSpaceDN w:val="0"/>
              <w:adjustRightInd w:val="0"/>
              <w:jc w:val="center"/>
              <w:rPr>
                <w:rFonts w:ascii="Times New Roman" w:hAnsi="Times New Roman" w:cs="Times New Roman"/>
                <w:sz w:val="16"/>
                <w:szCs w:val="20"/>
              </w:rPr>
            </w:pPr>
            <w:r w:rsidRPr="003B7DC7">
              <w:rPr>
                <w:rFonts w:ascii="Times New Roman" w:hAnsi="Times New Roman" w:cs="Times New Roman"/>
                <w:sz w:val="16"/>
                <w:szCs w:val="20"/>
              </w:rPr>
              <w:t>b</w:t>
            </w:r>
          </w:p>
        </w:tc>
        <w:tc>
          <w:tcPr>
            <w:tcW w:w="368" w:type="pct"/>
            <w:tcBorders>
              <w:top w:val="single" w:sz="4" w:space="0" w:color="auto"/>
              <w:bottom w:val="single" w:sz="4" w:space="0" w:color="auto"/>
            </w:tcBorders>
            <w:vAlign w:val="center"/>
          </w:tcPr>
          <w:p w14:paraId="4EA44F70" w14:textId="1A05AF48" w:rsidR="00E40A40" w:rsidRPr="003B7DC7" w:rsidRDefault="003B7DC7" w:rsidP="003B7DC7">
            <w:pPr>
              <w:autoSpaceDE w:val="0"/>
              <w:autoSpaceDN w:val="0"/>
              <w:adjustRightInd w:val="0"/>
              <w:jc w:val="center"/>
              <w:rPr>
                <w:rFonts w:ascii="Times New Roman" w:hAnsi="Times New Roman" w:cs="Times New Roman"/>
                <w:sz w:val="16"/>
                <w:szCs w:val="20"/>
              </w:rPr>
            </w:pPr>
            <w:r w:rsidRPr="003B7DC7">
              <w:rPr>
                <w:rFonts w:ascii="Times New Roman" w:hAnsi="Times New Roman" w:cs="Times New Roman"/>
                <w:sz w:val="16"/>
                <w:szCs w:val="20"/>
              </w:rPr>
              <w:t>t-value</w:t>
            </w:r>
          </w:p>
        </w:tc>
        <w:tc>
          <w:tcPr>
            <w:tcW w:w="379" w:type="pct"/>
            <w:tcBorders>
              <w:top w:val="single" w:sz="4" w:space="0" w:color="auto"/>
              <w:bottom w:val="single" w:sz="4" w:space="0" w:color="auto"/>
            </w:tcBorders>
            <w:vAlign w:val="center"/>
          </w:tcPr>
          <w:p w14:paraId="1088548E" w14:textId="20D0C96E" w:rsidR="00E40A40" w:rsidRPr="003B7DC7" w:rsidRDefault="003B7DC7" w:rsidP="003B7DC7">
            <w:pPr>
              <w:autoSpaceDE w:val="0"/>
              <w:autoSpaceDN w:val="0"/>
              <w:adjustRightInd w:val="0"/>
              <w:jc w:val="center"/>
              <w:rPr>
                <w:rFonts w:ascii="Times New Roman" w:hAnsi="Times New Roman" w:cs="Times New Roman"/>
                <w:sz w:val="16"/>
                <w:szCs w:val="20"/>
              </w:rPr>
            </w:pPr>
            <w:r w:rsidRPr="003B7DC7">
              <w:rPr>
                <w:rFonts w:ascii="Times New Roman" w:hAnsi="Times New Roman" w:cs="Times New Roman"/>
                <w:sz w:val="16"/>
                <w:szCs w:val="20"/>
              </w:rPr>
              <w:t>b</w:t>
            </w:r>
          </w:p>
        </w:tc>
        <w:tc>
          <w:tcPr>
            <w:tcW w:w="386" w:type="pct"/>
            <w:tcBorders>
              <w:top w:val="single" w:sz="4" w:space="0" w:color="auto"/>
              <w:bottom w:val="single" w:sz="4" w:space="0" w:color="auto"/>
            </w:tcBorders>
            <w:vAlign w:val="center"/>
          </w:tcPr>
          <w:p w14:paraId="59208F65" w14:textId="2D45ED59" w:rsidR="00E40A40" w:rsidRPr="003B7DC7" w:rsidRDefault="003B7DC7" w:rsidP="003B7DC7">
            <w:pPr>
              <w:autoSpaceDE w:val="0"/>
              <w:autoSpaceDN w:val="0"/>
              <w:adjustRightInd w:val="0"/>
              <w:jc w:val="center"/>
              <w:rPr>
                <w:rFonts w:ascii="Times New Roman" w:hAnsi="Times New Roman" w:cs="Times New Roman"/>
                <w:sz w:val="16"/>
                <w:szCs w:val="20"/>
              </w:rPr>
            </w:pPr>
            <w:r w:rsidRPr="003B7DC7">
              <w:rPr>
                <w:rFonts w:ascii="Times New Roman" w:hAnsi="Times New Roman" w:cs="Times New Roman"/>
                <w:sz w:val="16"/>
                <w:szCs w:val="20"/>
              </w:rPr>
              <w:t>t-value</w:t>
            </w:r>
          </w:p>
        </w:tc>
        <w:tc>
          <w:tcPr>
            <w:tcW w:w="379" w:type="pct"/>
            <w:tcBorders>
              <w:top w:val="single" w:sz="4" w:space="0" w:color="auto"/>
              <w:bottom w:val="single" w:sz="4" w:space="0" w:color="auto"/>
            </w:tcBorders>
            <w:vAlign w:val="center"/>
          </w:tcPr>
          <w:p w14:paraId="5129FE4A" w14:textId="516C7EA3" w:rsidR="00E40A40" w:rsidRPr="003B7DC7" w:rsidRDefault="003B7DC7" w:rsidP="003B7DC7">
            <w:pPr>
              <w:autoSpaceDE w:val="0"/>
              <w:autoSpaceDN w:val="0"/>
              <w:adjustRightInd w:val="0"/>
              <w:jc w:val="center"/>
              <w:rPr>
                <w:rFonts w:ascii="Times New Roman" w:hAnsi="Times New Roman" w:cs="Times New Roman"/>
                <w:sz w:val="16"/>
                <w:szCs w:val="20"/>
              </w:rPr>
            </w:pPr>
            <w:r w:rsidRPr="003B7DC7">
              <w:rPr>
                <w:rFonts w:ascii="Times New Roman" w:hAnsi="Times New Roman" w:cs="Times New Roman"/>
                <w:sz w:val="16"/>
                <w:szCs w:val="20"/>
              </w:rPr>
              <w:t>b</w:t>
            </w:r>
          </w:p>
        </w:tc>
        <w:tc>
          <w:tcPr>
            <w:tcW w:w="368" w:type="pct"/>
            <w:tcBorders>
              <w:top w:val="single" w:sz="4" w:space="0" w:color="auto"/>
              <w:bottom w:val="single" w:sz="4" w:space="0" w:color="auto"/>
            </w:tcBorders>
            <w:vAlign w:val="center"/>
          </w:tcPr>
          <w:p w14:paraId="530D4C9A" w14:textId="0872AE1C" w:rsidR="00E40A40" w:rsidRPr="003B7DC7" w:rsidRDefault="003B7DC7" w:rsidP="003B7DC7">
            <w:pPr>
              <w:autoSpaceDE w:val="0"/>
              <w:autoSpaceDN w:val="0"/>
              <w:adjustRightInd w:val="0"/>
              <w:jc w:val="center"/>
              <w:rPr>
                <w:rFonts w:ascii="Times New Roman" w:hAnsi="Times New Roman" w:cs="Times New Roman"/>
                <w:sz w:val="16"/>
                <w:szCs w:val="20"/>
              </w:rPr>
            </w:pPr>
            <w:r w:rsidRPr="003B7DC7">
              <w:rPr>
                <w:rFonts w:ascii="Times New Roman" w:hAnsi="Times New Roman" w:cs="Times New Roman"/>
                <w:sz w:val="16"/>
                <w:szCs w:val="20"/>
              </w:rPr>
              <w:t>t-value</w:t>
            </w:r>
          </w:p>
        </w:tc>
      </w:tr>
      <w:tr w:rsidR="008E51A8" w:rsidRPr="003B7DC7" w14:paraId="453318BC" w14:textId="77777777" w:rsidTr="009A6198">
        <w:trPr>
          <w:trHeight w:val="283"/>
          <w:jc w:val="center"/>
        </w:trPr>
        <w:tc>
          <w:tcPr>
            <w:tcW w:w="484" w:type="pct"/>
            <w:tcBorders>
              <w:top w:val="single" w:sz="4" w:space="0" w:color="auto"/>
              <w:bottom w:val="single" w:sz="4" w:space="0" w:color="auto"/>
              <w:right w:val="single" w:sz="4" w:space="0" w:color="auto"/>
            </w:tcBorders>
            <w:vAlign w:val="center"/>
          </w:tcPr>
          <w:p w14:paraId="51B6506C" w14:textId="0E20D0FE" w:rsidR="00E40A40" w:rsidRPr="003B7DC7" w:rsidRDefault="004931B4" w:rsidP="009A6198">
            <w:pPr>
              <w:tabs>
                <w:tab w:val="left" w:pos="4536"/>
              </w:tabs>
              <w:autoSpaceDE w:val="0"/>
              <w:autoSpaceDN w:val="0"/>
              <w:adjustRightInd w:val="0"/>
              <w:jc w:val="center"/>
              <w:rPr>
                <w:rFonts w:ascii="Times New Roman" w:hAnsi="Times New Roman" w:cs="Times New Roman"/>
                <w:sz w:val="16"/>
                <w:szCs w:val="20"/>
              </w:rPr>
            </w:pPr>
            <w:r w:rsidRPr="003B7DC7">
              <w:rPr>
                <w:rFonts w:ascii="Times New Roman" w:hAnsi="Times New Roman" w:cs="Times New Roman"/>
                <w:sz w:val="16"/>
                <w:szCs w:val="20"/>
              </w:rPr>
              <w:t>EQ</w:t>
            </w:r>
            <w:r w:rsidR="003B7DC7" w:rsidRPr="003B7DC7">
              <w:rPr>
                <w:rFonts w:ascii="Times New Roman" w:hAnsi="Times New Roman" w:cs="Times New Roman"/>
                <w:sz w:val="16"/>
                <w:szCs w:val="20"/>
              </w:rPr>
              <w:t>(</w:t>
            </w:r>
            <w:r w:rsidRPr="003B7DC7">
              <w:rPr>
                <w:rFonts w:ascii="Times New Roman" w:hAnsi="Times New Roman" w:cs="Times New Roman"/>
                <w:sz w:val="16"/>
                <w:szCs w:val="20"/>
              </w:rPr>
              <w:t>CON</w:t>
            </w:r>
            <w:r w:rsidR="003B7DC7" w:rsidRPr="003B7DC7">
              <w:rPr>
                <w:rFonts w:ascii="Times New Roman" w:hAnsi="Times New Roman" w:cs="Times New Roman"/>
                <w:sz w:val="16"/>
                <w:szCs w:val="20"/>
              </w:rPr>
              <w:t>)</w:t>
            </w:r>
            <w:r>
              <w:rPr>
                <w:rFonts w:ascii="Times New Roman" w:hAnsi="Times New Roman" w:cs="Times New Roman"/>
                <w:sz w:val="16"/>
                <w:szCs w:val="20"/>
              </w:rPr>
              <w:t xml:space="preserve"> </w:t>
            </w:r>
            <w:r w:rsidR="003B7DC7" w:rsidRPr="003B7DC7">
              <w:rPr>
                <w:rFonts w:ascii="Times New Roman" w:hAnsi="Times New Roman" w:cs="Times New Roman"/>
                <w:sz w:val="16"/>
                <w:szCs w:val="20"/>
              </w:rPr>
              <w:t>&amp;</w:t>
            </w:r>
            <w:r>
              <w:rPr>
                <w:rFonts w:ascii="Times New Roman" w:hAnsi="Times New Roman" w:cs="Times New Roman"/>
                <w:sz w:val="16"/>
                <w:szCs w:val="20"/>
              </w:rPr>
              <w:t xml:space="preserve"> </w:t>
            </w:r>
            <w:r w:rsidR="003B7DC7" w:rsidRPr="003B7DC7">
              <w:rPr>
                <w:rFonts w:ascii="Times New Roman" w:hAnsi="Times New Roman" w:cs="Times New Roman"/>
                <w:sz w:val="16"/>
                <w:szCs w:val="20"/>
              </w:rPr>
              <w:t>sig.</w:t>
            </w:r>
          </w:p>
        </w:tc>
        <w:tc>
          <w:tcPr>
            <w:tcW w:w="379" w:type="pct"/>
            <w:tcBorders>
              <w:top w:val="single" w:sz="4" w:space="0" w:color="auto"/>
              <w:left w:val="single" w:sz="4" w:space="0" w:color="auto"/>
              <w:bottom w:val="single" w:sz="4" w:space="0" w:color="auto"/>
            </w:tcBorders>
            <w:vAlign w:val="center"/>
          </w:tcPr>
          <w:p w14:paraId="5A38127A" w14:textId="729187B4" w:rsidR="00E40A40" w:rsidRPr="003B7DC7" w:rsidRDefault="003B7DC7" w:rsidP="003B7DC7">
            <w:pPr>
              <w:jc w:val="center"/>
              <w:rPr>
                <w:rFonts w:ascii="Times New Roman" w:hAnsi="Times New Roman" w:cs="Times New Roman"/>
                <w:sz w:val="16"/>
                <w:szCs w:val="20"/>
              </w:rPr>
            </w:pPr>
            <w:r w:rsidRPr="003B7DC7">
              <w:rPr>
                <w:rFonts w:ascii="Times New Roman" w:hAnsi="Times New Roman" w:cs="Times New Roman"/>
                <w:sz w:val="16"/>
                <w:szCs w:val="20"/>
              </w:rPr>
              <w:t>-0.087</w:t>
            </w:r>
          </w:p>
          <w:p w14:paraId="3429CAF5" w14:textId="04061E8F" w:rsidR="00E40A40" w:rsidRPr="003B7DC7" w:rsidRDefault="003B7DC7" w:rsidP="003B7DC7">
            <w:pPr>
              <w:jc w:val="center"/>
              <w:rPr>
                <w:rFonts w:ascii="Times New Roman" w:hAnsi="Times New Roman" w:cs="Times New Roman"/>
                <w:sz w:val="16"/>
                <w:szCs w:val="20"/>
              </w:rPr>
            </w:pPr>
            <w:r w:rsidRPr="003B7DC7">
              <w:rPr>
                <w:rFonts w:ascii="Times New Roman" w:hAnsi="Times New Roman" w:cs="Times New Roman"/>
                <w:sz w:val="16"/>
                <w:szCs w:val="20"/>
              </w:rPr>
              <w:t>(0.026)</w:t>
            </w:r>
          </w:p>
        </w:tc>
        <w:tc>
          <w:tcPr>
            <w:tcW w:w="368" w:type="pct"/>
            <w:tcBorders>
              <w:top w:val="single" w:sz="4" w:space="0" w:color="auto"/>
              <w:bottom w:val="single" w:sz="4" w:space="0" w:color="auto"/>
            </w:tcBorders>
            <w:vAlign w:val="center"/>
          </w:tcPr>
          <w:p w14:paraId="425BDD6A" w14:textId="1517E0E3" w:rsidR="00E40A40" w:rsidRPr="003B7DC7" w:rsidRDefault="003B7DC7" w:rsidP="003B7DC7">
            <w:pPr>
              <w:jc w:val="center"/>
              <w:rPr>
                <w:rFonts w:ascii="Times New Roman" w:hAnsi="Times New Roman" w:cs="Times New Roman"/>
                <w:sz w:val="16"/>
                <w:szCs w:val="20"/>
              </w:rPr>
            </w:pPr>
            <w:r w:rsidRPr="003B7DC7">
              <w:rPr>
                <w:rFonts w:ascii="Times New Roman" w:hAnsi="Times New Roman" w:cs="Times New Roman"/>
                <w:sz w:val="16"/>
                <w:szCs w:val="20"/>
              </w:rPr>
              <w:t>-2.229</w:t>
            </w:r>
          </w:p>
        </w:tc>
        <w:tc>
          <w:tcPr>
            <w:tcW w:w="379" w:type="pct"/>
            <w:tcBorders>
              <w:top w:val="single" w:sz="4" w:space="0" w:color="auto"/>
              <w:bottom w:val="single" w:sz="4" w:space="0" w:color="auto"/>
            </w:tcBorders>
            <w:vAlign w:val="center"/>
          </w:tcPr>
          <w:p w14:paraId="5949FF20" w14:textId="3B3001B0" w:rsidR="00E40A40" w:rsidRPr="003B7DC7" w:rsidRDefault="003B7DC7" w:rsidP="003B7DC7">
            <w:pPr>
              <w:jc w:val="center"/>
              <w:rPr>
                <w:rFonts w:ascii="Times New Roman" w:hAnsi="Times New Roman" w:cs="Times New Roman"/>
                <w:sz w:val="16"/>
                <w:szCs w:val="20"/>
              </w:rPr>
            </w:pPr>
            <w:r w:rsidRPr="003B7DC7">
              <w:rPr>
                <w:rFonts w:ascii="Times New Roman" w:hAnsi="Times New Roman" w:cs="Times New Roman"/>
                <w:sz w:val="16"/>
                <w:szCs w:val="20"/>
              </w:rPr>
              <w:t>-0.017</w:t>
            </w:r>
          </w:p>
          <w:p w14:paraId="06CD63BE" w14:textId="72B8A8B0" w:rsidR="00E40A40" w:rsidRPr="003B7DC7" w:rsidRDefault="003B7DC7" w:rsidP="003B7DC7">
            <w:pPr>
              <w:jc w:val="center"/>
              <w:rPr>
                <w:rFonts w:ascii="Times New Roman" w:hAnsi="Times New Roman" w:cs="Times New Roman"/>
                <w:sz w:val="16"/>
                <w:szCs w:val="20"/>
              </w:rPr>
            </w:pPr>
            <w:r w:rsidRPr="003B7DC7">
              <w:rPr>
                <w:rFonts w:ascii="Times New Roman" w:hAnsi="Times New Roman" w:cs="Times New Roman"/>
                <w:sz w:val="16"/>
                <w:szCs w:val="20"/>
              </w:rPr>
              <w:t>(0.652)</w:t>
            </w:r>
          </w:p>
        </w:tc>
        <w:tc>
          <w:tcPr>
            <w:tcW w:w="368" w:type="pct"/>
            <w:tcBorders>
              <w:top w:val="single" w:sz="4" w:space="0" w:color="auto"/>
              <w:bottom w:val="single" w:sz="4" w:space="0" w:color="auto"/>
            </w:tcBorders>
            <w:vAlign w:val="center"/>
          </w:tcPr>
          <w:p w14:paraId="10781FD5" w14:textId="0D315B05" w:rsidR="00E40A40" w:rsidRPr="003B7DC7" w:rsidRDefault="003B7DC7" w:rsidP="003B7DC7">
            <w:pPr>
              <w:jc w:val="center"/>
              <w:rPr>
                <w:rFonts w:ascii="Times New Roman" w:hAnsi="Times New Roman" w:cs="Times New Roman"/>
                <w:sz w:val="16"/>
                <w:szCs w:val="20"/>
              </w:rPr>
            </w:pPr>
            <w:r w:rsidRPr="003B7DC7">
              <w:rPr>
                <w:rFonts w:ascii="Times New Roman" w:hAnsi="Times New Roman" w:cs="Times New Roman"/>
                <w:sz w:val="16"/>
                <w:szCs w:val="20"/>
              </w:rPr>
              <w:t>-0.451</w:t>
            </w:r>
          </w:p>
        </w:tc>
        <w:tc>
          <w:tcPr>
            <w:tcW w:w="379" w:type="pct"/>
            <w:tcBorders>
              <w:top w:val="single" w:sz="4" w:space="0" w:color="auto"/>
              <w:bottom w:val="single" w:sz="4" w:space="0" w:color="auto"/>
            </w:tcBorders>
            <w:vAlign w:val="center"/>
          </w:tcPr>
          <w:p w14:paraId="6B69DD82" w14:textId="225D81FE" w:rsidR="00E40A40" w:rsidRPr="003B7DC7" w:rsidRDefault="003B7DC7" w:rsidP="003B7DC7">
            <w:pPr>
              <w:autoSpaceDE w:val="0"/>
              <w:autoSpaceDN w:val="0"/>
              <w:adjustRightInd w:val="0"/>
              <w:jc w:val="center"/>
              <w:rPr>
                <w:rFonts w:ascii="Times New Roman" w:hAnsi="Times New Roman" w:cs="Times New Roman"/>
                <w:sz w:val="16"/>
                <w:szCs w:val="20"/>
              </w:rPr>
            </w:pPr>
            <w:r w:rsidRPr="003B7DC7">
              <w:rPr>
                <w:rFonts w:ascii="Times New Roman" w:hAnsi="Times New Roman" w:cs="Times New Roman"/>
                <w:sz w:val="16"/>
                <w:szCs w:val="20"/>
              </w:rPr>
              <w:t>0.006</w:t>
            </w:r>
          </w:p>
          <w:p w14:paraId="5763A7BB" w14:textId="4BF6AC19" w:rsidR="00E40A40" w:rsidRPr="003B7DC7" w:rsidRDefault="003B7DC7" w:rsidP="003B7DC7">
            <w:pPr>
              <w:autoSpaceDE w:val="0"/>
              <w:autoSpaceDN w:val="0"/>
              <w:adjustRightInd w:val="0"/>
              <w:jc w:val="center"/>
              <w:rPr>
                <w:rFonts w:ascii="Times New Roman" w:hAnsi="Times New Roman" w:cs="Times New Roman"/>
                <w:sz w:val="16"/>
                <w:szCs w:val="20"/>
              </w:rPr>
            </w:pPr>
            <w:r w:rsidRPr="003B7DC7">
              <w:rPr>
                <w:rFonts w:ascii="Times New Roman" w:hAnsi="Times New Roman" w:cs="Times New Roman"/>
                <w:sz w:val="16"/>
                <w:szCs w:val="20"/>
              </w:rPr>
              <w:t>(0.050)</w:t>
            </w:r>
          </w:p>
        </w:tc>
        <w:tc>
          <w:tcPr>
            <w:tcW w:w="386" w:type="pct"/>
            <w:tcBorders>
              <w:top w:val="single" w:sz="4" w:space="0" w:color="auto"/>
              <w:bottom w:val="single" w:sz="4" w:space="0" w:color="auto"/>
            </w:tcBorders>
            <w:vAlign w:val="center"/>
          </w:tcPr>
          <w:p w14:paraId="2526932B" w14:textId="7C763325" w:rsidR="00E40A40" w:rsidRPr="003B7DC7" w:rsidRDefault="003B7DC7" w:rsidP="003B7DC7">
            <w:pPr>
              <w:jc w:val="center"/>
              <w:rPr>
                <w:rFonts w:ascii="Times New Roman" w:hAnsi="Times New Roman" w:cs="Times New Roman"/>
                <w:sz w:val="16"/>
                <w:szCs w:val="20"/>
              </w:rPr>
            </w:pPr>
            <w:r w:rsidRPr="003B7DC7">
              <w:rPr>
                <w:rFonts w:ascii="Times New Roman" w:hAnsi="Times New Roman" w:cs="Times New Roman"/>
                <w:sz w:val="16"/>
                <w:szCs w:val="20"/>
              </w:rPr>
              <w:t>1.995</w:t>
            </w:r>
          </w:p>
        </w:tc>
        <w:tc>
          <w:tcPr>
            <w:tcW w:w="379" w:type="pct"/>
            <w:tcBorders>
              <w:top w:val="single" w:sz="4" w:space="0" w:color="auto"/>
              <w:bottom w:val="single" w:sz="4" w:space="0" w:color="auto"/>
            </w:tcBorders>
            <w:vAlign w:val="center"/>
          </w:tcPr>
          <w:p w14:paraId="53E8911E" w14:textId="39ABA4B1" w:rsidR="00E40A40" w:rsidRPr="003B7DC7" w:rsidRDefault="003B7DC7" w:rsidP="003B7DC7">
            <w:pPr>
              <w:jc w:val="center"/>
              <w:rPr>
                <w:rFonts w:ascii="Times New Roman" w:hAnsi="Times New Roman" w:cs="Times New Roman"/>
                <w:sz w:val="16"/>
                <w:szCs w:val="20"/>
              </w:rPr>
            </w:pPr>
            <w:r w:rsidRPr="003B7DC7">
              <w:rPr>
                <w:rFonts w:ascii="Times New Roman" w:hAnsi="Times New Roman" w:cs="Times New Roman"/>
                <w:sz w:val="16"/>
                <w:szCs w:val="20"/>
              </w:rPr>
              <w:t>0.001</w:t>
            </w:r>
          </w:p>
          <w:p w14:paraId="1C140417" w14:textId="2A589332" w:rsidR="00E40A40" w:rsidRPr="003B7DC7" w:rsidRDefault="003B7DC7" w:rsidP="003B7DC7">
            <w:pPr>
              <w:jc w:val="center"/>
              <w:rPr>
                <w:rFonts w:ascii="Times New Roman" w:hAnsi="Times New Roman" w:cs="Times New Roman"/>
                <w:sz w:val="16"/>
                <w:szCs w:val="20"/>
              </w:rPr>
            </w:pPr>
            <w:r w:rsidRPr="003B7DC7">
              <w:rPr>
                <w:rFonts w:ascii="Times New Roman" w:hAnsi="Times New Roman" w:cs="Times New Roman"/>
                <w:sz w:val="16"/>
                <w:szCs w:val="20"/>
              </w:rPr>
              <w:t>(0.881)</w:t>
            </w:r>
          </w:p>
        </w:tc>
        <w:tc>
          <w:tcPr>
            <w:tcW w:w="368" w:type="pct"/>
            <w:tcBorders>
              <w:top w:val="single" w:sz="4" w:space="0" w:color="auto"/>
              <w:bottom w:val="single" w:sz="4" w:space="0" w:color="auto"/>
            </w:tcBorders>
            <w:vAlign w:val="center"/>
          </w:tcPr>
          <w:p w14:paraId="46EDB82D" w14:textId="437FE9FB" w:rsidR="00E40A40" w:rsidRPr="003B7DC7" w:rsidRDefault="003B7DC7" w:rsidP="003B7DC7">
            <w:pPr>
              <w:jc w:val="center"/>
              <w:rPr>
                <w:rFonts w:ascii="Times New Roman" w:hAnsi="Times New Roman" w:cs="Times New Roman"/>
                <w:sz w:val="16"/>
                <w:szCs w:val="20"/>
              </w:rPr>
            </w:pPr>
            <w:r w:rsidRPr="003B7DC7">
              <w:rPr>
                <w:rFonts w:ascii="Times New Roman" w:hAnsi="Times New Roman" w:cs="Times New Roman"/>
                <w:sz w:val="16"/>
                <w:szCs w:val="20"/>
              </w:rPr>
              <w:t>0.150</w:t>
            </w:r>
          </w:p>
        </w:tc>
        <w:tc>
          <w:tcPr>
            <w:tcW w:w="379" w:type="pct"/>
            <w:tcBorders>
              <w:top w:val="single" w:sz="4" w:space="0" w:color="auto"/>
              <w:bottom w:val="single" w:sz="4" w:space="0" w:color="auto"/>
            </w:tcBorders>
            <w:vAlign w:val="center"/>
          </w:tcPr>
          <w:p w14:paraId="28BF7DAD" w14:textId="3F660504" w:rsidR="00E40A40" w:rsidRPr="003B7DC7" w:rsidRDefault="003B7DC7" w:rsidP="003B7DC7">
            <w:pPr>
              <w:jc w:val="center"/>
              <w:rPr>
                <w:rFonts w:ascii="Times New Roman" w:hAnsi="Times New Roman" w:cs="Times New Roman"/>
                <w:sz w:val="16"/>
                <w:szCs w:val="20"/>
              </w:rPr>
            </w:pPr>
            <w:r w:rsidRPr="003B7DC7">
              <w:rPr>
                <w:rFonts w:ascii="Times New Roman" w:hAnsi="Times New Roman" w:cs="Times New Roman"/>
                <w:sz w:val="16"/>
                <w:szCs w:val="20"/>
              </w:rPr>
              <w:t>-0.098</w:t>
            </w:r>
          </w:p>
          <w:p w14:paraId="55451BD4" w14:textId="4195A5E5" w:rsidR="00E40A40" w:rsidRPr="003B7DC7" w:rsidRDefault="003B7DC7" w:rsidP="003B7DC7">
            <w:pPr>
              <w:jc w:val="center"/>
              <w:rPr>
                <w:rFonts w:ascii="Times New Roman" w:hAnsi="Times New Roman" w:cs="Times New Roman"/>
                <w:sz w:val="16"/>
                <w:szCs w:val="20"/>
              </w:rPr>
            </w:pPr>
            <w:r w:rsidRPr="003B7DC7">
              <w:rPr>
                <w:rFonts w:ascii="Times New Roman" w:hAnsi="Times New Roman" w:cs="Times New Roman"/>
                <w:sz w:val="16"/>
                <w:szCs w:val="20"/>
              </w:rPr>
              <w:t>(0.793)</w:t>
            </w:r>
          </w:p>
        </w:tc>
        <w:tc>
          <w:tcPr>
            <w:tcW w:w="386" w:type="pct"/>
            <w:tcBorders>
              <w:top w:val="single" w:sz="4" w:space="0" w:color="auto"/>
              <w:bottom w:val="single" w:sz="4" w:space="0" w:color="auto"/>
            </w:tcBorders>
            <w:vAlign w:val="center"/>
          </w:tcPr>
          <w:p w14:paraId="574986E1" w14:textId="0CC5F468" w:rsidR="00E40A40" w:rsidRPr="003B7DC7" w:rsidRDefault="003B7DC7" w:rsidP="003B7DC7">
            <w:pPr>
              <w:jc w:val="center"/>
              <w:rPr>
                <w:rFonts w:ascii="Times New Roman" w:hAnsi="Times New Roman" w:cs="Times New Roman"/>
                <w:sz w:val="16"/>
                <w:szCs w:val="20"/>
              </w:rPr>
            </w:pPr>
            <w:r w:rsidRPr="003B7DC7">
              <w:rPr>
                <w:rFonts w:ascii="Times New Roman" w:hAnsi="Times New Roman" w:cs="Times New Roman"/>
                <w:sz w:val="16"/>
                <w:szCs w:val="20"/>
              </w:rPr>
              <w:t>-0.265</w:t>
            </w:r>
          </w:p>
        </w:tc>
        <w:tc>
          <w:tcPr>
            <w:tcW w:w="379" w:type="pct"/>
            <w:tcBorders>
              <w:top w:val="single" w:sz="4" w:space="0" w:color="auto"/>
              <w:bottom w:val="single" w:sz="4" w:space="0" w:color="auto"/>
            </w:tcBorders>
            <w:vAlign w:val="center"/>
          </w:tcPr>
          <w:p w14:paraId="3AC85109" w14:textId="53176353" w:rsidR="00E40A40" w:rsidRPr="003B7DC7" w:rsidRDefault="003B7DC7" w:rsidP="003B7DC7">
            <w:pPr>
              <w:jc w:val="center"/>
              <w:rPr>
                <w:rFonts w:ascii="Times New Roman" w:hAnsi="Times New Roman" w:cs="Times New Roman"/>
                <w:sz w:val="16"/>
                <w:szCs w:val="20"/>
              </w:rPr>
            </w:pPr>
            <w:r w:rsidRPr="003B7DC7">
              <w:rPr>
                <w:rFonts w:ascii="Times New Roman" w:hAnsi="Times New Roman" w:cs="Times New Roman"/>
                <w:sz w:val="16"/>
                <w:szCs w:val="20"/>
              </w:rPr>
              <w:t>-0.002</w:t>
            </w:r>
          </w:p>
          <w:p w14:paraId="31D9A44E" w14:textId="1674D65E" w:rsidR="00E40A40" w:rsidRPr="003B7DC7" w:rsidRDefault="003B7DC7" w:rsidP="003B7DC7">
            <w:pPr>
              <w:jc w:val="center"/>
              <w:rPr>
                <w:rFonts w:ascii="Times New Roman" w:hAnsi="Times New Roman" w:cs="Times New Roman"/>
                <w:sz w:val="16"/>
                <w:szCs w:val="20"/>
              </w:rPr>
            </w:pPr>
            <w:r w:rsidRPr="003B7DC7">
              <w:rPr>
                <w:rFonts w:ascii="Times New Roman" w:hAnsi="Times New Roman" w:cs="Times New Roman"/>
                <w:sz w:val="16"/>
                <w:szCs w:val="20"/>
              </w:rPr>
              <w:t>(0.877)</w:t>
            </w:r>
          </w:p>
        </w:tc>
        <w:tc>
          <w:tcPr>
            <w:tcW w:w="368" w:type="pct"/>
            <w:tcBorders>
              <w:top w:val="single" w:sz="4" w:space="0" w:color="auto"/>
              <w:bottom w:val="single" w:sz="4" w:space="0" w:color="auto"/>
            </w:tcBorders>
            <w:vAlign w:val="center"/>
          </w:tcPr>
          <w:p w14:paraId="05811C9B" w14:textId="7A3684E4" w:rsidR="00E40A40" w:rsidRPr="003B7DC7" w:rsidRDefault="003B7DC7" w:rsidP="003B7DC7">
            <w:pPr>
              <w:autoSpaceDE w:val="0"/>
              <w:autoSpaceDN w:val="0"/>
              <w:adjustRightInd w:val="0"/>
              <w:jc w:val="center"/>
              <w:rPr>
                <w:rFonts w:ascii="Times New Roman" w:hAnsi="Times New Roman" w:cs="Times New Roman"/>
                <w:sz w:val="16"/>
                <w:szCs w:val="20"/>
              </w:rPr>
            </w:pPr>
            <w:r w:rsidRPr="003B7DC7">
              <w:rPr>
                <w:rFonts w:ascii="Times New Roman" w:hAnsi="Times New Roman" w:cs="Times New Roman"/>
                <w:sz w:val="16"/>
                <w:szCs w:val="20"/>
              </w:rPr>
              <w:t>-0.155</w:t>
            </w:r>
          </w:p>
        </w:tc>
      </w:tr>
      <w:tr w:rsidR="008E51A8" w:rsidRPr="003B7DC7" w14:paraId="5A023736" w14:textId="77777777" w:rsidTr="009A6198">
        <w:trPr>
          <w:trHeight w:val="283"/>
          <w:jc w:val="center"/>
        </w:trPr>
        <w:tc>
          <w:tcPr>
            <w:tcW w:w="484" w:type="pct"/>
            <w:tcBorders>
              <w:top w:val="single" w:sz="4" w:space="0" w:color="auto"/>
              <w:bottom w:val="single" w:sz="4" w:space="0" w:color="auto"/>
              <w:right w:val="single" w:sz="4" w:space="0" w:color="auto"/>
            </w:tcBorders>
            <w:vAlign w:val="center"/>
          </w:tcPr>
          <w:p w14:paraId="5448C780" w14:textId="2A16BBA0" w:rsidR="00E40A40" w:rsidRPr="003B7DC7" w:rsidRDefault="003B7DC7" w:rsidP="009A6198">
            <w:pPr>
              <w:tabs>
                <w:tab w:val="left" w:pos="4536"/>
              </w:tabs>
              <w:autoSpaceDE w:val="0"/>
              <w:autoSpaceDN w:val="0"/>
              <w:adjustRightInd w:val="0"/>
              <w:jc w:val="center"/>
              <w:rPr>
                <w:rFonts w:ascii="Times New Roman" w:hAnsi="Times New Roman" w:cs="Times New Roman"/>
                <w:sz w:val="16"/>
                <w:szCs w:val="20"/>
              </w:rPr>
            </w:pPr>
            <w:r w:rsidRPr="003B7DC7">
              <w:rPr>
                <w:rFonts w:ascii="Times New Roman" w:hAnsi="Times New Roman" w:cs="Times New Roman"/>
                <w:sz w:val="16"/>
                <w:szCs w:val="20"/>
              </w:rPr>
              <w:t>big4</w:t>
            </w:r>
          </w:p>
        </w:tc>
        <w:tc>
          <w:tcPr>
            <w:tcW w:w="379" w:type="pct"/>
            <w:tcBorders>
              <w:top w:val="single" w:sz="4" w:space="0" w:color="auto"/>
              <w:left w:val="single" w:sz="4" w:space="0" w:color="auto"/>
              <w:bottom w:val="single" w:sz="4" w:space="0" w:color="auto"/>
            </w:tcBorders>
            <w:vAlign w:val="center"/>
          </w:tcPr>
          <w:p w14:paraId="071A663A" w14:textId="45B88754" w:rsidR="00E40A40" w:rsidRPr="003B7DC7" w:rsidRDefault="003B7DC7" w:rsidP="003B7DC7">
            <w:pPr>
              <w:jc w:val="center"/>
              <w:rPr>
                <w:rFonts w:ascii="Times New Roman" w:hAnsi="Times New Roman" w:cs="Times New Roman"/>
                <w:sz w:val="16"/>
                <w:szCs w:val="20"/>
              </w:rPr>
            </w:pPr>
            <w:r w:rsidRPr="003B7DC7">
              <w:rPr>
                <w:rFonts w:ascii="Times New Roman" w:hAnsi="Times New Roman" w:cs="Times New Roman"/>
                <w:sz w:val="16"/>
                <w:szCs w:val="20"/>
              </w:rPr>
              <w:t>-0.015</w:t>
            </w:r>
          </w:p>
          <w:p w14:paraId="1AD061B1" w14:textId="6BB90CE9" w:rsidR="00E40A40" w:rsidRPr="003B7DC7" w:rsidRDefault="003B7DC7" w:rsidP="003B7DC7">
            <w:pPr>
              <w:jc w:val="center"/>
              <w:rPr>
                <w:rFonts w:ascii="Times New Roman" w:hAnsi="Times New Roman" w:cs="Times New Roman"/>
                <w:sz w:val="16"/>
                <w:szCs w:val="20"/>
              </w:rPr>
            </w:pPr>
            <w:r w:rsidRPr="003B7DC7">
              <w:rPr>
                <w:rFonts w:ascii="Times New Roman" w:hAnsi="Times New Roman" w:cs="Times New Roman"/>
                <w:sz w:val="16"/>
                <w:szCs w:val="20"/>
              </w:rPr>
              <w:t>(0.017)</w:t>
            </w:r>
          </w:p>
        </w:tc>
        <w:tc>
          <w:tcPr>
            <w:tcW w:w="368" w:type="pct"/>
            <w:tcBorders>
              <w:top w:val="single" w:sz="4" w:space="0" w:color="auto"/>
              <w:bottom w:val="single" w:sz="4" w:space="0" w:color="auto"/>
            </w:tcBorders>
            <w:vAlign w:val="center"/>
          </w:tcPr>
          <w:p w14:paraId="474073A1" w14:textId="3C417E22" w:rsidR="00E40A40" w:rsidRPr="003B7DC7" w:rsidRDefault="003B7DC7" w:rsidP="003B7DC7">
            <w:pPr>
              <w:jc w:val="center"/>
              <w:rPr>
                <w:rFonts w:ascii="Times New Roman" w:hAnsi="Times New Roman" w:cs="Times New Roman"/>
                <w:sz w:val="16"/>
                <w:szCs w:val="20"/>
              </w:rPr>
            </w:pPr>
            <w:r w:rsidRPr="003B7DC7">
              <w:rPr>
                <w:rFonts w:ascii="Times New Roman" w:hAnsi="Times New Roman" w:cs="Times New Roman"/>
                <w:sz w:val="16"/>
                <w:szCs w:val="20"/>
              </w:rPr>
              <w:t>-2.384</w:t>
            </w:r>
          </w:p>
        </w:tc>
        <w:tc>
          <w:tcPr>
            <w:tcW w:w="379" w:type="pct"/>
            <w:tcBorders>
              <w:top w:val="single" w:sz="4" w:space="0" w:color="auto"/>
              <w:bottom w:val="single" w:sz="4" w:space="0" w:color="auto"/>
            </w:tcBorders>
            <w:vAlign w:val="center"/>
          </w:tcPr>
          <w:p w14:paraId="0EA0C766" w14:textId="432B41AD" w:rsidR="00E40A40" w:rsidRPr="003B7DC7" w:rsidRDefault="003B7DC7" w:rsidP="003B7DC7">
            <w:pPr>
              <w:jc w:val="center"/>
              <w:rPr>
                <w:rFonts w:ascii="Times New Roman" w:hAnsi="Times New Roman" w:cs="Times New Roman"/>
                <w:sz w:val="16"/>
                <w:szCs w:val="20"/>
              </w:rPr>
            </w:pPr>
            <w:r w:rsidRPr="003B7DC7">
              <w:rPr>
                <w:rFonts w:ascii="Times New Roman" w:hAnsi="Times New Roman" w:cs="Times New Roman"/>
                <w:sz w:val="16"/>
                <w:szCs w:val="20"/>
              </w:rPr>
              <w:t>0.042</w:t>
            </w:r>
          </w:p>
          <w:p w14:paraId="490E5AB6" w14:textId="63101A11" w:rsidR="00E40A40" w:rsidRPr="003B7DC7" w:rsidRDefault="003B7DC7" w:rsidP="003B7DC7">
            <w:pPr>
              <w:jc w:val="center"/>
              <w:rPr>
                <w:rFonts w:ascii="Times New Roman" w:hAnsi="Times New Roman" w:cs="Times New Roman"/>
                <w:sz w:val="16"/>
                <w:szCs w:val="20"/>
              </w:rPr>
            </w:pPr>
            <w:r w:rsidRPr="003B7DC7">
              <w:rPr>
                <w:rFonts w:ascii="Times New Roman" w:hAnsi="Times New Roman" w:cs="Times New Roman"/>
                <w:sz w:val="16"/>
                <w:szCs w:val="20"/>
              </w:rPr>
              <w:t>(0.000)</w:t>
            </w:r>
          </w:p>
        </w:tc>
        <w:tc>
          <w:tcPr>
            <w:tcW w:w="368" w:type="pct"/>
            <w:tcBorders>
              <w:top w:val="single" w:sz="4" w:space="0" w:color="auto"/>
              <w:bottom w:val="single" w:sz="4" w:space="0" w:color="auto"/>
            </w:tcBorders>
            <w:vAlign w:val="center"/>
          </w:tcPr>
          <w:p w14:paraId="46BADCF8" w14:textId="4C744289" w:rsidR="00E40A40" w:rsidRPr="003B7DC7" w:rsidRDefault="003B7DC7" w:rsidP="003B7DC7">
            <w:pPr>
              <w:jc w:val="center"/>
              <w:rPr>
                <w:rFonts w:ascii="Times New Roman" w:hAnsi="Times New Roman" w:cs="Times New Roman"/>
                <w:sz w:val="16"/>
                <w:szCs w:val="20"/>
              </w:rPr>
            </w:pPr>
            <w:r w:rsidRPr="003B7DC7">
              <w:rPr>
                <w:rFonts w:ascii="Times New Roman" w:hAnsi="Times New Roman" w:cs="Times New Roman"/>
                <w:sz w:val="16"/>
                <w:szCs w:val="20"/>
              </w:rPr>
              <w:t>4.103</w:t>
            </w:r>
          </w:p>
        </w:tc>
        <w:tc>
          <w:tcPr>
            <w:tcW w:w="379" w:type="pct"/>
            <w:tcBorders>
              <w:top w:val="single" w:sz="4" w:space="0" w:color="auto"/>
              <w:bottom w:val="single" w:sz="4" w:space="0" w:color="auto"/>
            </w:tcBorders>
            <w:vAlign w:val="center"/>
          </w:tcPr>
          <w:p w14:paraId="2135A556" w14:textId="04394685" w:rsidR="00E40A40" w:rsidRPr="003B7DC7" w:rsidRDefault="003B7DC7" w:rsidP="003B7DC7">
            <w:pPr>
              <w:autoSpaceDE w:val="0"/>
              <w:autoSpaceDN w:val="0"/>
              <w:adjustRightInd w:val="0"/>
              <w:jc w:val="center"/>
              <w:rPr>
                <w:rFonts w:ascii="Times New Roman" w:hAnsi="Times New Roman" w:cs="Times New Roman"/>
                <w:sz w:val="16"/>
                <w:szCs w:val="20"/>
              </w:rPr>
            </w:pPr>
            <w:r w:rsidRPr="003B7DC7">
              <w:rPr>
                <w:rFonts w:ascii="Times New Roman" w:hAnsi="Times New Roman" w:cs="Times New Roman"/>
                <w:sz w:val="16"/>
                <w:szCs w:val="20"/>
              </w:rPr>
              <w:t>0.251</w:t>
            </w:r>
          </w:p>
          <w:p w14:paraId="09BC02AB" w14:textId="23355D8A" w:rsidR="00337B39" w:rsidRPr="003B7DC7" w:rsidRDefault="003B7DC7" w:rsidP="003B7DC7">
            <w:pPr>
              <w:autoSpaceDE w:val="0"/>
              <w:autoSpaceDN w:val="0"/>
              <w:adjustRightInd w:val="0"/>
              <w:jc w:val="center"/>
              <w:rPr>
                <w:rFonts w:ascii="Times New Roman" w:hAnsi="Times New Roman" w:cs="Times New Roman"/>
                <w:sz w:val="16"/>
                <w:szCs w:val="20"/>
              </w:rPr>
            </w:pPr>
            <w:r w:rsidRPr="003B7DC7">
              <w:rPr>
                <w:rFonts w:ascii="Times New Roman" w:hAnsi="Times New Roman" w:cs="Times New Roman"/>
                <w:sz w:val="16"/>
                <w:szCs w:val="20"/>
              </w:rPr>
              <w:t>(0.000)</w:t>
            </w:r>
          </w:p>
        </w:tc>
        <w:tc>
          <w:tcPr>
            <w:tcW w:w="386" w:type="pct"/>
            <w:tcBorders>
              <w:top w:val="single" w:sz="4" w:space="0" w:color="auto"/>
              <w:bottom w:val="single" w:sz="4" w:space="0" w:color="auto"/>
            </w:tcBorders>
            <w:vAlign w:val="center"/>
          </w:tcPr>
          <w:p w14:paraId="0CBF152B" w14:textId="59F9E02B" w:rsidR="00E40A40" w:rsidRPr="003B7DC7" w:rsidRDefault="003B7DC7" w:rsidP="003B7DC7">
            <w:pPr>
              <w:autoSpaceDE w:val="0"/>
              <w:autoSpaceDN w:val="0"/>
              <w:adjustRightInd w:val="0"/>
              <w:spacing w:line="320" w:lineRule="atLeast"/>
              <w:ind w:left="60" w:right="60"/>
              <w:jc w:val="center"/>
              <w:rPr>
                <w:rFonts w:ascii="Times New Roman" w:hAnsi="Times New Roman" w:cs="Times New Roman"/>
                <w:sz w:val="16"/>
                <w:szCs w:val="20"/>
              </w:rPr>
            </w:pPr>
            <w:r w:rsidRPr="003B7DC7">
              <w:rPr>
                <w:rFonts w:ascii="Times New Roman" w:hAnsi="Times New Roman" w:cs="Times New Roman"/>
                <w:sz w:val="16"/>
                <w:szCs w:val="20"/>
              </w:rPr>
              <w:t>2.160</w:t>
            </w:r>
          </w:p>
        </w:tc>
        <w:tc>
          <w:tcPr>
            <w:tcW w:w="379" w:type="pct"/>
            <w:tcBorders>
              <w:top w:val="single" w:sz="4" w:space="0" w:color="auto"/>
              <w:bottom w:val="single" w:sz="4" w:space="0" w:color="auto"/>
            </w:tcBorders>
            <w:vAlign w:val="center"/>
          </w:tcPr>
          <w:p w14:paraId="199BCB32" w14:textId="0F26D048" w:rsidR="00E40A40" w:rsidRPr="003B7DC7" w:rsidRDefault="003B7DC7" w:rsidP="003B7DC7">
            <w:pPr>
              <w:ind w:left="-111"/>
              <w:jc w:val="center"/>
              <w:rPr>
                <w:rFonts w:ascii="Times New Roman" w:hAnsi="Times New Roman" w:cs="Times New Roman"/>
                <w:sz w:val="16"/>
                <w:szCs w:val="20"/>
              </w:rPr>
            </w:pPr>
            <w:r w:rsidRPr="003B7DC7">
              <w:rPr>
                <w:rFonts w:ascii="Times New Roman" w:hAnsi="Times New Roman" w:cs="Times New Roman"/>
                <w:sz w:val="16"/>
                <w:szCs w:val="20"/>
              </w:rPr>
              <w:t>0.010</w:t>
            </w:r>
          </w:p>
          <w:p w14:paraId="08CEF5F7" w14:textId="2E10BCD5" w:rsidR="00E40A40" w:rsidRPr="003B7DC7" w:rsidRDefault="003B7DC7" w:rsidP="003B7DC7">
            <w:pPr>
              <w:ind w:left="-111"/>
              <w:jc w:val="center"/>
              <w:rPr>
                <w:rFonts w:ascii="Times New Roman" w:hAnsi="Times New Roman" w:cs="Times New Roman"/>
                <w:sz w:val="16"/>
                <w:szCs w:val="20"/>
              </w:rPr>
            </w:pPr>
            <w:r w:rsidRPr="003B7DC7">
              <w:rPr>
                <w:rFonts w:ascii="Times New Roman" w:hAnsi="Times New Roman" w:cs="Times New Roman"/>
                <w:sz w:val="16"/>
                <w:szCs w:val="20"/>
              </w:rPr>
              <w:t>(0.000)</w:t>
            </w:r>
          </w:p>
        </w:tc>
        <w:tc>
          <w:tcPr>
            <w:tcW w:w="368" w:type="pct"/>
            <w:tcBorders>
              <w:top w:val="single" w:sz="4" w:space="0" w:color="auto"/>
              <w:bottom w:val="single" w:sz="4" w:space="0" w:color="auto"/>
            </w:tcBorders>
            <w:vAlign w:val="center"/>
          </w:tcPr>
          <w:p w14:paraId="06BEAC12" w14:textId="68613034" w:rsidR="00E40A40" w:rsidRPr="003B7DC7" w:rsidRDefault="003B7DC7" w:rsidP="003B7DC7">
            <w:pPr>
              <w:jc w:val="center"/>
              <w:rPr>
                <w:rFonts w:ascii="Times New Roman" w:hAnsi="Times New Roman" w:cs="Times New Roman"/>
                <w:sz w:val="16"/>
                <w:szCs w:val="20"/>
              </w:rPr>
            </w:pPr>
            <w:r w:rsidRPr="003B7DC7">
              <w:rPr>
                <w:rFonts w:ascii="Times New Roman" w:hAnsi="Times New Roman" w:cs="Times New Roman"/>
                <w:sz w:val="16"/>
                <w:szCs w:val="20"/>
              </w:rPr>
              <w:t>5.020</w:t>
            </w:r>
          </w:p>
        </w:tc>
        <w:tc>
          <w:tcPr>
            <w:tcW w:w="379" w:type="pct"/>
            <w:tcBorders>
              <w:top w:val="single" w:sz="4" w:space="0" w:color="auto"/>
              <w:bottom w:val="single" w:sz="4" w:space="0" w:color="auto"/>
            </w:tcBorders>
            <w:vAlign w:val="center"/>
          </w:tcPr>
          <w:p w14:paraId="5BDBEFE0" w14:textId="0C2E5D04" w:rsidR="00E40A40" w:rsidRPr="003B7DC7" w:rsidRDefault="003B7DC7" w:rsidP="003B7DC7">
            <w:pPr>
              <w:jc w:val="center"/>
              <w:rPr>
                <w:rFonts w:ascii="Times New Roman" w:hAnsi="Times New Roman" w:cs="Times New Roman"/>
                <w:sz w:val="16"/>
                <w:szCs w:val="20"/>
              </w:rPr>
            </w:pPr>
            <w:r w:rsidRPr="003B7DC7">
              <w:rPr>
                <w:rFonts w:ascii="Times New Roman" w:hAnsi="Times New Roman" w:cs="Times New Roman"/>
                <w:sz w:val="16"/>
                <w:szCs w:val="20"/>
              </w:rPr>
              <w:t>0.404</w:t>
            </w:r>
          </w:p>
          <w:p w14:paraId="1F8E4D34" w14:textId="165D1D23" w:rsidR="00E40A40" w:rsidRPr="003B7DC7" w:rsidRDefault="003B7DC7" w:rsidP="003B7DC7">
            <w:pPr>
              <w:jc w:val="center"/>
              <w:rPr>
                <w:rFonts w:ascii="Times New Roman" w:hAnsi="Times New Roman" w:cs="Times New Roman"/>
                <w:sz w:val="16"/>
                <w:szCs w:val="20"/>
              </w:rPr>
            </w:pPr>
            <w:r w:rsidRPr="003B7DC7">
              <w:rPr>
                <w:rFonts w:ascii="Times New Roman" w:hAnsi="Times New Roman" w:cs="Times New Roman"/>
                <w:sz w:val="16"/>
                <w:szCs w:val="20"/>
              </w:rPr>
              <w:t>(0.181)</w:t>
            </w:r>
          </w:p>
        </w:tc>
        <w:tc>
          <w:tcPr>
            <w:tcW w:w="386" w:type="pct"/>
            <w:tcBorders>
              <w:top w:val="single" w:sz="4" w:space="0" w:color="auto"/>
              <w:bottom w:val="single" w:sz="4" w:space="0" w:color="auto"/>
            </w:tcBorders>
            <w:vAlign w:val="center"/>
          </w:tcPr>
          <w:p w14:paraId="31347BCA" w14:textId="0AF89941" w:rsidR="00E40A40" w:rsidRPr="003B7DC7" w:rsidRDefault="003B7DC7" w:rsidP="003B7DC7">
            <w:pPr>
              <w:jc w:val="center"/>
              <w:rPr>
                <w:rFonts w:ascii="Times New Roman" w:hAnsi="Times New Roman" w:cs="Times New Roman"/>
                <w:sz w:val="16"/>
                <w:szCs w:val="20"/>
              </w:rPr>
            </w:pPr>
            <w:r w:rsidRPr="003B7DC7">
              <w:rPr>
                <w:rFonts w:ascii="Times New Roman" w:hAnsi="Times New Roman" w:cs="Times New Roman"/>
                <w:sz w:val="16"/>
                <w:szCs w:val="20"/>
              </w:rPr>
              <w:t>1.367</w:t>
            </w:r>
          </w:p>
        </w:tc>
        <w:tc>
          <w:tcPr>
            <w:tcW w:w="379" w:type="pct"/>
            <w:tcBorders>
              <w:top w:val="single" w:sz="4" w:space="0" w:color="auto"/>
              <w:bottom w:val="single" w:sz="4" w:space="0" w:color="auto"/>
            </w:tcBorders>
            <w:vAlign w:val="center"/>
          </w:tcPr>
          <w:p w14:paraId="457DBB31" w14:textId="12060A58" w:rsidR="00E40A40" w:rsidRPr="003B7DC7" w:rsidRDefault="003B7DC7" w:rsidP="003B7DC7">
            <w:pPr>
              <w:jc w:val="center"/>
              <w:rPr>
                <w:rFonts w:ascii="Times New Roman" w:hAnsi="Times New Roman" w:cs="Times New Roman"/>
                <w:sz w:val="16"/>
                <w:szCs w:val="20"/>
              </w:rPr>
            </w:pPr>
            <w:r w:rsidRPr="003B7DC7">
              <w:rPr>
                <w:rFonts w:ascii="Times New Roman" w:hAnsi="Times New Roman" w:cs="Times New Roman"/>
                <w:sz w:val="16"/>
                <w:szCs w:val="20"/>
              </w:rPr>
              <w:t>0.017</w:t>
            </w:r>
          </w:p>
          <w:p w14:paraId="0383133B" w14:textId="5E6B2BAB" w:rsidR="00E40A40" w:rsidRPr="003B7DC7" w:rsidRDefault="003B7DC7" w:rsidP="003B7DC7">
            <w:pPr>
              <w:jc w:val="center"/>
              <w:rPr>
                <w:rFonts w:ascii="Times New Roman" w:hAnsi="Times New Roman" w:cs="Times New Roman"/>
                <w:sz w:val="16"/>
                <w:szCs w:val="20"/>
              </w:rPr>
            </w:pPr>
            <w:r w:rsidRPr="003B7DC7">
              <w:rPr>
                <w:rFonts w:ascii="Times New Roman" w:hAnsi="Times New Roman" w:cs="Times New Roman"/>
                <w:sz w:val="16"/>
                <w:szCs w:val="20"/>
              </w:rPr>
              <w:t>(0.275)</w:t>
            </w:r>
          </w:p>
        </w:tc>
        <w:tc>
          <w:tcPr>
            <w:tcW w:w="368" w:type="pct"/>
            <w:tcBorders>
              <w:top w:val="single" w:sz="4" w:space="0" w:color="auto"/>
              <w:bottom w:val="single" w:sz="4" w:space="0" w:color="auto"/>
            </w:tcBorders>
            <w:vAlign w:val="center"/>
          </w:tcPr>
          <w:p w14:paraId="56857C66" w14:textId="07E7FA4C" w:rsidR="00E40A40" w:rsidRPr="003B7DC7" w:rsidRDefault="003B7DC7" w:rsidP="003B7DC7">
            <w:pPr>
              <w:jc w:val="center"/>
              <w:rPr>
                <w:rFonts w:ascii="Times New Roman" w:hAnsi="Times New Roman" w:cs="Times New Roman"/>
                <w:sz w:val="16"/>
                <w:szCs w:val="20"/>
              </w:rPr>
            </w:pPr>
            <w:r w:rsidRPr="003B7DC7">
              <w:rPr>
                <w:rFonts w:ascii="Times New Roman" w:hAnsi="Times New Roman" w:cs="Times New Roman"/>
                <w:sz w:val="16"/>
                <w:szCs w:val="20"/>
              </w:rPr>
              <w:t>1.098</w:t>
            </w:r>
          </w:p>
        </w:tc>
      </w:tr>
      <w:tr w:rsidR="008E51A8" w:rsidRPr="003B7DC7" w14:paraId="7E8A3F51" w14:textId="77777777" w:rsidTr="009A6198">
        <w:trPr>
          <w:trHeight w:val="283"/>
          <w:jc w:val="center"/>
        </w:trPr>
        <w:tc>
          <w:tcPr>
            <w:tcW w:w="484" w:type="pct"/>
            <w:tcBorders>
              <w:top w:val="single" w:sz="4" w:space="0" w:color="auto"/>
              <w:bottom w:val="single" w:sz="4" w:space="0" w:color="auto"/>
              <w:right w:val="single" w:sz="4" w:space="0" w:color="auto"/>
            </w:tcBorders>
            <w:vAlign w:val="center"/>
          </w:tcPr>
          <w:p w14:paraId="220CEA83" w14:textId="7DEAF731" w:rsidR="00E40A40" w:rsidRPr="003B7DC7" w:rsidRDefault="007C66A6" w:rsidP="009A6198">
            <w:pPr>
              <w:tabs>
                <w:tab w:val="left" w:pos="4536"/>
              </w:tabs>
              <w:autoSpaceDE w:val="0"/>
              <w:autoSpaceDN w:val="0"/>
              <w:adjustRightInd w:val="0"/>
              <w:jc w:val="center"/>
              <w:rPr>
                <w:rFonts w:ascii="Times New Roman" w:hAnsi="Times New Roman" w:cs="Times New Roman"/>
                <w:sz w:val="16"/>
                <w:szCs w:val="20"/>
              </w:rPr>
            </w:pPr>
            <w:r w:rsidRPr="003B7DC7">
              <w:rPr>
                <w:rFonts w:ascii="Times New Roman" w:hAnsi="Times New Roman" w:cs="Times New Roman"/>
                <w:sz w:val="16"/>
                <w:szCs w:val="20"/>
              </w:rPr>
              <w:t>R</w:t>
            </w:r>
            <w:r w:rsidR="003B7DC7" w:rsidRPr="003B7DC7">
              <w:rPr>
                <w:rFonts w:ascii="Times New Roman" w:hAnsi="Times New Roman" w:cs="Times New Roman"/>
                <w:sz w:val="16"/>
                <w:szCs w:val="20"/>
              </w:rPr>
              <w:t>isk</w:t>
            </w:r>
          </w:p>
        </w:tc>
        <w:tc>
          <w:tcPr>
            <w:tcW w:w="379" w:type="pct"/>
            <w:tcBorders>
              <w:top w:val="single" w:sz="4" w:space="0" w:color="auto"/>
              <w:left w:val="single" w:sz="4" w:space="0" w:color="auto"/>
              <w:bottom w:val="single" w:sz="4" w:space="0" w:color="auto"/>
            </w:tcBorders>
            <w:vAlign w:val="center"/>
          </w:tcPr>
          <w:p w14:paraId="648D5989" w14:textId="195D2661" w:rsidR="00E40A40" w:rsidRPr="003B7DC7" w:rsidRDefault="003B7DC7" w:rsidP="003B7DC7">
            <w:pPr>
              <w:jc w:val="center"/>
              <w:rPr>
                <w:rFonts w:ascii="Times New Roman" w:hAnsi="Times New Roman" w:cs="Times New Roman"/>
                <w:sz w:val="16"/>
                <w:szCs w:val="20"/>
              </w:rPr>
            </w:pPr>
            <w:r w:rsidRPr="003B7DC7">
              <w:rPr>
                <w:rFonts w:ascii="Times New Roman" w:hAnsi="Times New Roman" w:cs="Times New Roman"/>
                <w:sz w:val="16"/>
                <w:szCs w:val="20"/>
              </w:rPr>
              <w:t>0.010</w:t>
            </w:r>
          </w:p>
          <w:p w14:paraId="1DB0D495" w14:textId="0898DAFC" w:rsidR="00E40A40" w:rsidRPr="003B7DC7" w:rsidRDefault="003B7DC7" w:rsidP="003B7DC7">
            <w:pPr>
              <w:jc w:val="center"/>
              <w:rPr>
                <w:rFonts w:ascii="Times New Roman" w:hAnsi="Times New Roman" w:cs="Times New Roman"/>
                <w:sz w:val="16"/>
                <w:szCs w:val="20"/>
              </w:rPr>
            </w:pPr>
            <w:r w:rsidRPr="003B7DC7">
              <w:rPr>
                <w:rFonts w:ascii="Times New Roman" w:hAnsi="Times New Roman" w:cs="Times New Roman"/>
                <w:sz w:val="16"/>
                <w:szCs w:val="20"/>
              </w:rPr>
              <w:t>(0.003)</w:t>
            </w:r>
          </w:p>
        </w:tc>
        <w:tc>
          <w:tcPr>
            <w:tcW w:w="368" w:type="pct"/>
            <w:tcBorders>
              <w:top w:val="single" w:sz="4" w:space="0" w:color="auto"/>
              <w:bottom w:val="single" w:sz="4" w:space="0" w:color="auto"/>
            </w:tcBorders>
            <w:vAlign w:val="center"/>
          </w:tcPr>
          <w:p w14:paraId="23D81C9E" w14:textId="373BF149" w:rsidR="00E40A40" w:rsidRPr="003B7DC7" w:rsidRDefault="003B7DC7" w:rsidP="003B7DC7">
            <w:pPr>
              <w:jc w:val="center"/>
              <w:rPr>
                <w:rFonts w:ascii="Times New Roman" w:hAnsi="Times New Roman" w:cs="Times New Roman"/>
                <w:sz w:val="16"/>
                <w:szCs w:val="20"/>
              </w:rPr>
            </w:pPr>
            <w:r w:rsidRPr="003B7DC7">
              <w:rPr>
                <w:rFonts w:ascii="Times New Roman" w:hAnsi="Times New Roman" w:cs="Times New Roman"/>
                <w:sz w:val="16"/>
                <w:szCs w:val="20"/>
              </w:rPr>
              <w:t>3.033</w:t>
            </w:r>
          </w:p>
        </w:tc>
        <w:tc>
          <w:tcPr>
            <w:tcW w:w="379" w:type="pct"/>
            <w:tcBorders>
              <w:top w:val="single" w:sz="4" w:space="0" w:color="auto"/>
              <w:bottom w:val="single" w:sz="4" w:space="0" w:color="auto"/>
            </w:tcBorders>
            <w:vAlign w:val="center"/>
          </w:tcPr>
          <w:p w14:paraId="34CE8DA0" w14:textId="687EB8AE" w:rsidR="00E40A40" w:rsidRPr="003B7DC7" w:rsidRDefault="003B7DC7" w:rsidP="003B7DC7">
            <w:pPr>
              <w:jc w:val="center"/>
              <w:rPr>
                <w:rFonts w:ascii="Times New Roman" w:hAnsi="Times New Roman" w:cs="Times New Roman"/>
                <w:sz w:val="16"/>
                <w:szCs w:val="20"/>
              </w:rPr>
            </w:pPr>
            <w:r w:rsidRPr="003B7DC7">
              <w:rPr>
                <w:rFonts w:ascii="Times New Roman" w:hAnsi="Times New Roman" w:cs="Times New Roman"/>
                <w:sz w:val="16"/>
                <w:szCs w:val="20"/>
              </w:rPr>
              <w:t>0.014</w:t>
            </w:r>
          </w:p>
          <w:p w14:paraId="731BFDC0" w14:textId="21808C58" w:rsidR="00E40A40" w:rsidRPr="003B7DC7" w:rsidRDefault="003B7DC7" w:rsidP="003B7DC7">
            <w:pPr>
              <w:jc w:val="center"/>
              <w:rPr>
                <w:rFonts w:ascii="Times New Roman" w:hAnsi="Times New Roman" w:cs="Times New Roman"/>
                <w:sz w:val="16"/>
                <w:szCs w:val="20"/>
              </w:rPr>
            </w:pPr>
            <w:r w:rsidRPr="003B7DC7">
              <w:rPr>
                <w:rFonts w:ascii="Times New Roman" w:hAnsi="Times New Roman" w:cs="Times New Roman"/>
                <w:sz w:val="16"/>
                <w:szCs w:val="20"/>
              </w:rPr>
              <w:t>(0.726)</w:t>
            </w:r>
          </w:p>
        </w:tc>
        <w:tc>
          <w:tcPr>
            <w:tcW w:w="368" w:type="pct"/>
            <w:tcBorders>
              <w:top w:val="single" w:sz="4" w:space="0" w:color="auto"/>
              <w:bottom w:val="single" w:sz="4" w:space="0" w:color="auto"/>
            </w:tcBorders>
            <w:vAlign w:val="center"/>
          </w:tcPr>
          <w:p w14:paraId="13E2ABA9" w14:textId="77332B0B" w:rsidR="00E40A40" w:rsidRPr="003B7DC7" w:rsidRDefault="003B7DC7" w:rsidP="003B7DC7">
            <w:pPr>
              <w:jc w:val="center"/>
              <w:rPr>
                <w:rFonts w:ascii="Times New Roman" w:hAnsi="Times New Roman" w:cs="Times New Roman"/>
                <w:sz w:val="16"/>
                <w:szCs w:val="20"/>
              </w:rPr>
            </w:pPr>
            <w:r w:rsidRPr="003B7DC7">
              <w:rPr>
                <w:rFonts w:ascii="Times New Roman" w:hAnsi="Times New Roman" w:cs="Times New Roman"/>
                <w:sz w:val="16"/>
                <w:szCs w:val="20"/>
              </w:rPr>
              <w:t>0.351</w:t>
            </w:r>
          </w:p>
        </w:tc>
        <w:tc>
          <w:tcPr>
            <w:tcW w:w="379" w:type="pct"/>
            <w:tcBorders>
              <w:top w:val="single" w:sz="4" w:space="0" w:color="auto"/>
              <w:bottom w:val="single" w:sz="4" w:space="0" w:color="auto"/>
            </w:tcBorders>
            <w:vAlign w:val="center"/>
          </w:tcPr>
          <w:p w14:paraId="79E01E13" w14:textId="10273992" w:rsidR="00E40A40" w:rsidRPr="003B7DC7" w:rsidRDefault="003B7DC7" w:rsidP="003B7DC7">
            <w:pPr>
              <w:tabs>
                <w:tab w:val="left" w:pos="4536"/>
              </w:tabs>
              <w:autoSpaceDE w:val="0"/>
              <w:autoSpaceDN w:val="0"/>
              <w:adjustRightInd w:val="0"/>
              <w:jc w:val="center"/>
              <w:rPr>
                <w:rFonts w:ascii="Times New Roman" w:hAnsi="Times New Roman" w:cs="Times New Roman"/>
                <w:sz w:val="16"/>
                <w:szCs w:val="20"/>
              </w:rPr>
            </w:pPr>
            <w:r w:rsidRPr="003B7DC7">
              <w:rPr>
                <w:rFonts w:ascii="Times New Roman" w:hAnsi="Times New Roman" w:cs="Times New Roman"/>
                <w:sz w:val="16"/>
                <w:szCs w:val="20"/>
              </w:rPr>
              <w:t>-0.012</w:t>
            </w:r>
          </w:p>
          <w:p w14:paraId="25EEBB23" w14:textId="424A187B" w:rsidR="00E40A40" w:rsidRPr="003B7DC7" w:rsidRDefault="003B7DC7" w:rsidP="003B7DC7">
            <w:pPr>
              <w:tabs>
                <w:tab w:val="left" w:pos="4536"/>
              </w:tabs>
              <w:autoSpaceDE w:val="0"/>
              <w:autoSpaceDN w:val="0"/>
              <w:adjustRightInd w:val="0"/>
              <w:jc w:val="center"/>
              <w:rPr>
                <w:rFonts w:ascii="Times New Roman" w:hAnsi="Times New Roman" w:cs="Times New Roman"/>
                <w:sz w:val="16"/>
                <w:szCs w:val="20"/>
              </w:rPr>
            </w:pPr>
            <w:r w:rsidRPr="003B7DC7">
              <w:rPr>
                <w:rFonts w:ascii="Times New Roman" w:hAnsi="Times New Roman" w:cs="Times New Roman"/>
                <w:sz w:val="16"/>
                <w:szCs w:val="20"/>
              </w:rPr>
              <w:t>(0.916)</w:t>
            </w:r>
          </w:p>
        </w:tc>
        <w:tc>
          <w:tcPr>
            <w:tcW w:w="386" w:type="pct"/>
            <w:tcBorders>
              <w:top w:val="single" w:sz="4" w:space="0" w:color="auto"/>
              <w:bottom w:val="single" w:sz="4" w:space="0" w:color="auto"/>
            </w:tcBorders>
            <w:vAlign w:val="center"/>
          </w:tcPr>
          <w:p w14:paraId="528DE77C" w14:textId="43C4F2D3" w:rsidR="00E40A40" w:rsidRPr="003B7DC7" w:rsidRDefault="003B7DC7" w:rsidP="003B7DC7">
            <w:pPr>
              <w:jc w:val="center"/>
              <w:rPr>
                <w:rFonts w:ascii="Times New Roman" w:hAnsi="Times New Roman" w:cs="Times New Roman"/>
                <w:sz w:val="16"/>
                <w:szCs w:val="20"/>
              </w:rPr>
            </w:pPr>
            <w:r w:rsidRPr="003B7DC7">
              <w:rPr>
                <w:rFonts w:ascii="Times New Roman" w:hAnsi="Times New Roman" w:cs="Times New Roman"/>
                <w:sz w:val="16"/>
                <w:szCs w:val="20"/>
              </w:rPr>
              <w:t>-0.106</w:t>
            </w:r>
          </w:p>
        </w:tc>
        <w:tc>
          <w:tcPr>
            <w:tcW w:w="379" w:type="pct"/>
            <w:tcBorders>
              <w:top w:val="single" w:sz="4" w:space="0" w:color="auto"/>
              <w:bottom w:val="single" w:sz="4" w:space="0" w:color="auto"/>
            </w:tcBorders>
            <w:vAlign w:val="center"/>
          </w:tcPr>
          <w:p w14:paraId="28F65B9C" w14:textId="3D0D3CD6" w:rsidR="00E40A40" w:rsidRPr="003B7DC7" w:rsidRDefault="003B7DC7" w:rsidP="003B7DC7">
            <w:pPr>
              <w:jc w:val="center"/>
              <w:rPr>
                <w:rFonts w:ascii="Times New Roman" w:hAnsi="Times New Roman" w:cs="Times New Roman"/>
                <w:sz w:val="16"/>
                <w:szCs w:val="20"/>
              </w:rPr>
            </w:pPr>
            <w:r w:rsidRPr="003B7DC7">
              <w:rPr>
                <w:rFonts w:ascii="Times New Roman" w:hAnsi="Times New Roman" w:cs="Times New Roman"/>
                <w:sz w:val="16"/>
                <w:szCs w:val="20"/>
              </w:rPr>
              <w:t>-0.034</w:t>
            </w:r>
          </w:p>
          <w:p w14:paraId="0E25482A" w14:textId="1CB92FCE" w:rsidR="00E40A40" w:rsidRPr="003B7DC7" w:rsidRDefault="003B7DC7" w:rsidP="003B7DC7">
            <w:pPr>
              <w:jc w:val="center"/>
              <w:rPr>
                <w:rFonts w:ascii="Times New Roman" w:hAnsi="Times New Roman" w:cs="Times New Roman"/>
                <w:sz w:val="16"/>
                <w:szCs w:val="20"/>
              </w:rPr>
            </w:pPr>
            <w:r w:rsidRPr="003B7DC7">
              <w:rPr>
                <w:rFonts w:ascii="Times New Roman" w:hAnsi="Times New Roman" w:cs="Times New Roman"/>
                <w:sz w:val="16"/>
                <w:szCs w:val="20"/>
              </w:rPr>
              <w:t>(0.001)</w:t>
            </w:r>
          </w:p>
        </w:tc>
        <w:tc>
          <w:tcPr>
            <w:tcW w:w="368" w:type="pct"/>
            <w:tcBorders>
              <w:top w:val="single" w:sz="4" w:space="0" w:color="auto"/>
              <w:bottom w:val="single" w:sz="4" w:space="0" w:color="auto"/>
            </w:tcBorders>
            <w:vAlign w:val="center"/>
          </w:tcPr>
          <w:p w14:paraId="474E3A97" w14:textId="4A46E1FD" w:rsidR="00E40A40" w:rsidRPr="003B7DC7" w:rsidRDefault="003B7DC7" w:rsidP="003B7DC7">
            <w:pPr>
              <w:jc w:val="center"/>
              <w:rPr>
                <w:rFonts w:ascii="Times New Roman" w:hAnsi="Times New Roman" w:cs="Times New Roman"/>
                <w:sz w:val="16"/>
                <w:szCs w:val="20"/>
              </w:rPr>
            </w:pPr>
            <w:r w:rsidRPr="003B7DC7">
              <w:rPr>
                <w:rFonts w:ascii="Times New Roman" w:hAnsi="Times New Roman" w:cs="Times New Roman"/>
                <w:sz w:val="16"/>
                <w:szCs w:val="20"/>
              </w:rPr>
              <w:t>-3.310</w:t>
            </w:r>
          </w:p>
        </w:tc>
        <w:tc>
          <w:tcPr>
            <w:tcW w:w="379" w:type="pct"/>
            <w:tcBorders>
              <w:top w:val="single" w:sz="4" w:space="0" w:color="auto"/>
              <w:bottom w:val="single" w:sz="4" w:space="0" w:color="auto"/>
            </w:tcBorders>
            <w:vAlign w:val="center"/>
          </w:tcPr>
          <w:p w14:paraId="1F2A89B3" w14:textId="0BEE04CD" w:rsidR="00E40A40" w:rsidRPr="003B7DC7" w:rsidRDefault="003B7DC7" w:rsidP="003B7DC7">
            <w:pPr>
              <w:jc w:val="center"/>
              <w:rPr>
                <w:rFonts w:ascii="Times New Roman" w:hAnsi="Times New Roman" w:cs="Times New Roman"/>
                <w:sz w:val="16"/>
                <w:szCs w:val="20"/>
              </w:rPr>
            </w:pPr>
            <w:r w:rsidRPr="003B7DC7">
              <w:rPr>
                <w:rFonts w:ascii="Times New Roman" w:hAnsi="Times New Roman" w:cs="Times New Roman"/>
                <w:sz w:val="16"/>
                <w:szCs w:val="20"/>
              </w:rPr>
              <w:t>0.199</w:t>
            </w:r>
          </w:p>
          <w:p w14:paraId="3DF15F82" w14:textId="01AADC8D" w:rsidR="00E40A40" w:rsidRPr="003B7DC7" w:rsidRDefault="003B7DC7" w:rsidP="003B7DC7">
            <w:pPr>
              <w:jc w:val="center"/>
              <w:rPr>
                <w:rFonts w:ascii="Times New Roman" w:hAnsi="Times New Roman" w:cs="Times New Roman"/>
                <w:sz w:val="16"/>
                <w:szCs w:val="20"/>
              </w:rPr>
            </w:pPr>
            <w:r w:rsidRPr="003B7DC7">
              <w:rPr>
                <w:rFonts w:ascii="Times New Roman" w:hAnsi="Times New Roman" w:cs="Times New Roman"/>
                <w:sz w:val="16"/>
                <w:szCs w:val="20"/>
              </w:rPr>
              <w:t>(0.088)</w:t>
            </w:r>
          </w:p>
        </w:tc>
        <w:tc>
          <w:tcPr>
            <w:tcW w:w="386" w:type="pct"/>
            <w:tcBorders>
              <w:top w:val="single" w:sz="4" w:space="0" w:color="auto"/>
              <w:bottom w:val="single" w:sz="4" w:space="0" w:color="auto"/>
            </w:tcBorders>
            <w:vAlign w:val="center"/>
          </w:tcPr>
          <w:p w14:paraId="6FE9E301" w14:textId="15DDC94A" w:rsidR="00E40A40" w:rsidRPr="003B7DC7" w:rsidRDefault="003B7DC7" w:rsidP="003B7DC7">
            <w:pPr>
              <w:autoSpaceDE w:val="0"/>
              <w:autoSpaceDN w:val="0"/>
              <w:adjustRightInd w:val="0"/>
              <w:spacing w:line="320" w:lineRule="atLeast"/>
              <w:ind w:left="60" w:right="60"/>
              <w:jc w:val="center"/>
              <w:rPr>
                <w:rFonts w:ascii="Times New Roman" w:hAnsi="Times New Roman" w:cs="Times New Roman"/>
                <w:sz w:val="16"/>
                <w:szCs w:val="20"/>
              </w:rPr>
            </w:pPr>
            <w:r w:rsidRPr="003B7DC7">
              <w:rPr>
                <w:rFonts w:ascii="Times New Roman" w:hAnsi="Times New Roman" w:cs="Times New Roman"/>
                <w:sz w:val="16"/>
                <w:szCs w:val="20"/>
              </w:rPr>
              <w:t>1.758</w:t>
            </w:r>
          </w:p>
        </w:tc>
        <w:tc>
          <w:tcPr>
            <w:tcW w:w="379" w:type="pct"/>
            <w:tcBorders>
              <w:top w:val="single" w:sz="4" w:space="0" w:color="auto"/>
              <w:bottom w:val="single" w:sz="4" w:space="0" w:color="auto"/>
            </w:tcBorders>
            <w:vAlign w:val="center"/>
          </w:tcPr>
          <w:p w14:paraId="7AB682F6" w14:textId="5931BA61" w:rsidR="00E40A40" w:rsidRPr="003B7DC7" w:rsidRDefault="003B7DC7" w:rsidP="003B7DC7">
            <w:pPr>
              <w:jc w:val="center"/>
              <w:rPr>
                <w:rFonts w:ascii="Times New Roman" w:hAnsi="Times New Roman" w:cs="Times New Roman"/>
                <w:sz w:val="16"/>
                <w:szCs w:val="20"/>
              </w:rPr>
            </w:pPr>
            <w:r w:rsidRPr="003B7DC7">
              <w:rPr>
                <w:rFonts w:ascii="Times New Roman" w:hAnsi="Times New Roman" w:cs="Times New Roman"/>
                <w:sz w:val="16"/>
                <w:szCs w:val="20"/>
              </w:rPr>
              <w:t>0.010</w:t>
            </w:r>
          </w:p>
          <w:p w14:paraId="46CB2342" w14:textId="0A314502" w:rsidR="00E40A40" w:rsidRPr="003B7DC7" w:rsidRDefault="003B7DC7" w:rsidP="003B7DC7">
            <w:pPr>
              <w:jc w:val="center"/>
              <w:rPr>
                <w:rFonts w:ascii="Times New Roman" w:hAnsi="Times New Roman" w:cs="Times New Roman"/>
                <w:sz w:val="16"/>
                <w:szCs w:val="20"/>
              </w:rPr>
            </w:pPr>
            <w:r w:rsidRPr="003B7DC7">
              <w:rPr>
                <w:rFonts w:ascii="Times New Roman" w:hAnsi="Times New Roman" w:cs="Times New Roman"/>
                <w:sz w:val="16"/>
                <w:szCs w:val="20"/>
              </w:rPr>
              <w:t>(0.293)</w:t>
            </w:r>
          </w:p>
        </w:tc>
        <w:tc>
          <w:tcPr>
            <w:tcW w:w="368" w:type="pct"/>
            <w:tcBorders>
              <w:top w:val="single" w:sz="4" w:space="0" w:color="auto"/>
              <w:bottom w:val="single" w:sz="4" w:space="0" w:color="auto"/>
            </w:tcBorders>
            <w:vAlign w:val="center"/>
          </w:tcPr>
          <w:p w14:paraId="7A14799C" w14:textId="39D7F945" w:rsidR="00E40A40" w:rsidRPr="003B7DC7" w:rsidRDefault="003B7DC7" w:rsidP="003B7DC7">
            <w:pPr>
              <w:jc w:val="center"/>
              <w:rPr>
                <w:rFonts w:ascii="Times New Roman" w:hAnsi="Times New Roman" w:cs="Times New Roman"/>
                <w:sz w:val="16"/>
                <w:szCs w:val="20"/>
              </w:rPr>
            </w:pPr>
            <w:r w:rsidRPr="003B7DC7">
              <w:rPr>
                <w:rFonts w:ascii="Times New Roman" w:hAnsi="Times New Roman" w:cs="Times New Roman"/>
                <w:sz w:val="16"/>
                <w:szCs w:val="20"/>
              </w:rPr>
              <w:t>1.056</w:t>
            </w:r>
          </w:p>
        </w:tc>
      </w:tr>
      <w:tr w:rsidR="008E51A8" w:rsidRPr="003B7DC7" w14:paraId="0C2277C8" w14:textId="77777777" w:rsidTr="009A6198">
        <w:trPr>
          <w:trHeight w:val="283"/>
          <w:jc w:val="center"/>
        </w:trPr>
        <w:tc>
          <w:tcPr>
            <w:tcW w:w="484" w:type="pct"/>
            <w:tcBorders>
              <w:top w:val="single" w:sz="4" w:space="0" w:color="auto"/>
              <w:bottom w:val="single" w:sz="4" w:space="0" w:color="auto"/>
              <w:right w:val="single" w:sz="4" w:space="0" w:color="auto"/>
            </w:tcBorders>
            <w:vAlign w:val="center"/>
          </w:tcPr>
          <w:p w14:paraId="18AC0B20" w14:textId="17858606" w:rsidR="00E40A40" w:rsidRPr="003B7DC7" w:rsidRDefault="007C66A6" w:rsidP="009A6198">
            <w:pPr>
              <w:tabs>
                <w:tab w:val="left" w:pos="4536"/>
              </w:tabs>
              <w:autoSpaceDE w:val="0"/>
              <w:autoSpaceDN w:val="0"/>
              <w:adjustRightInd w:val="0"/>
              <w:jc w:val="center"/>
              <w:rPr>
                <w:rFonts w:ascii="Times New Roman" w:hAnsi="Times New Roman" w:cs="Times New Roman"/>
                <w:sz w:val="16"/>
                <w:szCs w:val="20"/>
              </w:rPr>
            </w:pPr>
            <w:r w:rsidRPr="003B7DC7">
              <w:rPr>
                <w:rFonts w:ascii="Times New Roman" w:hAnsi="Times New Roman" w:cs="Times New Roman"/>
                <w:sz w:val="16"/>
                <w:szCs w:val="20"/>
              </w:rPr>
              <w:t>S</w:t>
            </w:r>
            <w:r w:rsidR="003B7DC7" w:rsidRPr="003B7DC7">
              <w:rPr>
                <w:rFonts w:ascii="Times New Roman" w:hAnsi="Times New Roman" w:cs="Times New Roman"/>
                <w:sz w:val="16"/>
                <w:szCs w:val="20"/>
              </w:rPr>
              <w:t>ize</w:t>
            </w:r>
          </w:p>
        </w:tc>
        <w:tc>
          <w:tcPr>
            <w:tcW w:w="379" w:type="pct"/>
            <w:tcBorders>
              <w:top w:val="single" w:sz="4" w:space="0" w:color="auto"/>
              <w:left w:val="single" w:sz="4" w:space="0" w:color="auto"/>
              <w:bottom w:val="single" w:sz="4" w:space="0" w:color="auto"/>
            </w:tcBorders>
            <w:vAlign w:val="center"/>
          </w:tcPr>
          <w:p w14:paraId="1B33987A" w14:textId="4E18005B" w:rsidR="00E40A40" w:rsidRPr="003B7DC7" w:rsidRDefault="003B7DC7" w:rsidP="003B7DC7">
            <w:pPr>
              <w:jc w:val="center"/>
              <w:rPr>
                <w:rFonts w:ascii="Times New Roman" w:hAnsi="Times New Roman" w:cs="Times New Roman"/>
                <w:sz w:val="16"/>
                <w:szCs w:val="20"/>
              </w:rPr>
            </w:pPr>
            <w:r w:rsidRPr="003B7DC7">
              <w:rPr>
                <w:rFonts w:ascii="Times New Roman" w:hAnsi="Times New Roman" w:cs="Times New Roman"/>
                <w:sz w:val="16"/>
                <w:szCs w:val="20"/>
              </w:rPr>
              <w:t>0.006</w:t>
            </w:r>
          </w:p>
          <w:p w14:paraId="256D4F99" w14:textId="6CFCBEFB" w:rsidR="00E40A40" w:rsidRPr="003B7DC7" w:rsidRDefault="003B7DC7" w:rsidP="003B7DC7">
            <w:pPr>
              <w:jc w:val="center"/>
              <w:rPr>
                <w:rFonts w:ascii="Times New Roman" w:hAnsi="Times New Roman" w:cs="Times New Roman"/>
                <w:sz w:val="16"/>
                <w:szCs w:val="20"/>
              </w:rPr>
            </w:pPr>
            <w:r w:rsidRPr="003B7DC7">
              <w:rPr>
                <w:rFonts w:ascii="Times New Roman" w:hAnsi="Times New Roman" w:cs="Times New Roman"/>
                <w:sz w:val="16"/>
                <w:szCs w:val="20"/>
              </w:rPr>
              <w:t>(0.157)</w:t>
            </w:r>
          </w:p>
        </w:tc>
        <w:tc>
          <w:tcPr>
            <w:tcW w:w="368" w:type="pct"/>
            <w:tcBorders>
              <w:top w:val="single" w:sz="4" w:space="0" w:color="auto"/>
              <w:bottom w:val="single" w:sz="4" w:space="0" w:color="auto"/>
            </w:tcBorders>
            <w:vAlign w:val="center"/>
          </w:tcPr>
          <w:p w14:paraId="6D935ACD" w14:textId="69B53F0A" w:rsidR="00E40A40" w:rsidRPr="003B7DC7" w:rsidRDefault="003B7DC7" w:rsidP="003B7DC7">
            <w:pPr>
              <w:jc w:val="center"/>
              <w:rPr>
                <w:rFonts w:ascii="Times New Roman" w:hAnsi="Times New Roman" w:cs="Times New Roman"/>
                <w:sz w:val="16"/>
                <w:szCs w:val="20"/>
              </w:rPr>
            </w:pPr>
            <w:r w:rsidRPr="003B7DC7">
              <w:rPr>
                <w:rFonts w:ascii="Times New Roman" w:hAnsi="Times New Roman" w:cs="Times New Roman"/>
                <w:sz w:val="16"/>
                <w:szCs w:val="20"/>
              </w:rPr>
              <w:t>1.416</w:t>
            </w:r>
          </w:p>
        </w:tc>
        <w:tc>
          <w:tcPr>
            <w:tcW w:w="379" w:type="pct"/>
            <w:tcBorders>
              <w:top w:val="single" w:sz="4" w:space="0" w:color="auto"/>
              <w:bottom w:val="single" w:sz="4" w:space="0" w:color="auto"/>
            </w:tcBorders>
            <w:vAlign w:val="center"/>
          </w:tcPr>
          <w:p w14:paraId="490F497B" w14:textId="6641DBBB" w:rsidR="00E40A40" w:rsidRPr="003B7DC7" w:rsidRDefault="003B7DC7" w:rsidP="003B7DC7">
            <w:pPr>
              <w:jc w:val="center"/>
              <w:rPr>
                <w:rFonts w:ascii="Times New Roman" w:hAnsi="Times New Roman" w:cs="Times New Roman"/>
                <w:sz w:val="16"/>
                <w:szCs w:val="20"/>
              </w:rPr>
            </w:pPr>
            <w:r w:rsidRPr="003B7DC7">
              <w:rPr>
                <w:rFonts w:ascii="Times New Roman" w:hAnsi="Times New Roman" w:cs="Times New Roman"/>
                <w:sz w:val="16"/>
                <w:szCs w:val="20"/>
              </w:rPr>
              <w:t>-0.030</w:t>
            </w:r>
          </w:p>
          <w:p w14:paraId="6A82D9CF" w14:textId="5AE86C6A" w:rsidR="00E40A40" w:rsidRPr="003B7DC7" w:rsidRDefault="003B7DC7" w:rsidP="003B7DC7">
            <w:pPr>
              <w:jc w:val="center"/>
              <w:rPr>
                <w:rFonts w:ascii="Times New Roman" w:hAnsi="Times New Roman" w:cs="Times New Roman"/>
                <w:sz w:val="16"/>
                <w:szCs w:val="20"/>
              </w:rPr>
            </w:pPr>
            <w:r w:rsidRPr="003B7DC7">
              <w:rPr>
                <w:rFonts w:ascii="Times New Roman" w:hAnsi="Times New Roman" w:cs="Times New Roman"/>
                <w:sz w:val="16"/>
                <w:szCs w:val="20"/>
              </w:rPr>
              <w:t>(0.000)</w:t>
            </w:r>
          </w:p>
        </w:tc>
        <w:tc>
          <w:tcPr>
            <w:tcW w:w="368" w:type="pct"/>
            <w:tcBorders>
              <w:top w:val="single" w:sz="4" w:space="0" w:color="auto"/>
              <w:bottom w:val="single" w:sz="4" w:space="0" w:color="auto"/>
            </w:tcBorders>
            <w:vAlign w:val="center"/>
          </w:tcPr>
          <w:p w14:paraId="38EACA25" w14:textId="473202E8" w:rsidR="00E40A40" w:rsidRPr="003B7DC7" w:rsidRDefault="003B7DC7" w:rsidP="003B7DC7">
            <w:pPr>
              <w:jc w:val="center"/>
              <w:rPr>
                <w:rFonts w:ascii="Times New Roman" w:hAnsi="Times New Roman" w:cs="Times New Roman"/>
                <w:sz w:val="16"/>
                <w:szCs w:val="20"/>
              </w:rPr>
            </w:pPr>
            <w:r w:rsidRPr="003B7DC7">
              <w:rPr>
                <w:rFonts w:ascii="Times New Roman" w:hAnsi="Times New Roman" w:cs="Times New Roman"/>
                <w:sz w:val="16"/>
                <w:szCs w:val="20"/>
              </w:rPr>
              <w:t>-3.729</w:t>
            </w:r>
          </w:p>
        </w:tc>
        <w:tc>
          <w:tcPr>
            <w:tcW w:w="379" w:type="pct"/>
            <w:tcBorders>
              <w:top w:val="single" w:sz="4" w:space="0" w:color="auto"/>
              <w:bottom w:val="single" w:sz="4" w:space="0" w:color="auto"/>
            </w:tcBorders>
            <w:vAlign w:val="center"/>
          </w:tcPr>
          <w:p w14:paraId="2259AF28" w14:textId="5B841AF6" w:rsidR="00E40A40" w:rsidRPr="003B7DC7" w:rsidRDefault="003B7DC7" w:rsidP="003B7DC7">
            <w:pPr>
              <w:tabs>
                <w:tab w:val="left" w:pos="4536"/>
              </w:tabs>
              <w:autoSpaceDE w:val="0"/>
              <w:autoSpaceDN w:val="0"/>
              <w:adjustRightInd w:val="0"/>
              <w:jc w:val="center"/>
              <w:rPr>
                <w:rFonts w:ascii="Times New Roman" w:hAnsi="Times New Roman" w:cs="Times New Roman"/>
                <w:sz w:val="16"/>
                <w:szCs w:val="20"/>
              </w:rPr>
            </w:pPr>
            <w:r w:rsidRPr="003B7DC7">
              <w:rPr>
                <w:rFonts w:ascii="Times New Roman" w:hAnsi="Times New Roman" w:cs="Times New Roman"/>
                <w:sz w:val="16"/>
                <w:szCs w:val="20"/>
              </w:rPr>
              <w:t>-0.006</w:t>
            </w:r>
          </w:p>
          <w:p w14:paraId="65A15078" w14:textId="2519095A" w:rsidR="00E40A40" w:rsidRPr="003B7DC7" w:rsidRDefault="003B7DC7" w:rsidP="003B7DC7">
            <w:pPr>
              <w:tabs>
                <w:tab w:val="left" w:pos="4536"/>
              </w:tabs>
              <w:autoSpaceDE w:val="0"/>
              <w:autoSpaceDN w:val="0"/>
              <w:adjustRightInd w:val="0"/>
              <w:jc w:val="center"/>
              <w:rPr>
                <w:rFonts w:ascii="Times New Roman" w:hAnsi="Times New Roman" w:cs="Times New Roman"/>
                <w:sz w:val="16"/>
                <w:szCs w:val="20"/>
              </w:rPr>
            </w:pPr>
            <w:r w:rsidRPr="003B7DC7">
              <w:rPr>
                <w:rFonts w:ascii="Times New Roman" w:hAnsi="Times New Roman" w:cs="Times New Roman"/>
                <w:sz w:val="16"/>
                <w:szCs w:val="20"/>
              </w:rPr>
              <w:t>(0.000)</w:t>
            </w:r>
          </w:p>
        </w:tc>
        <w:tc>
          <w:tcPr>
            <w:tcW w:w="386" w:type="pct"/>
            <w:tcBorders>
              <w:top w:val="single" w:sz="4" w:space="0" w:color="auto"/>
              <w:bottom w:val="single" w:sz="4" w:space="0" w:color="auto"/>
            </w:tcBorders>
            <w:vAlign w:val="center"/>
          </w:tcPr>
          <w:p w14:paraId="7898FB9C" w14:textId="2B00DF47" w:rsidR="00E40A40" w:rsidRPr="003B7DC7" w:rsidRDefault="003B7DC7" w:rsidP="003B7DC7">
            <w:pPr>
              <w:jc w:val="center"/>
              <w:rPr>
                <w:rFonts w:ascii="Times New Roman" w:hAnsi="Times New Roman" w:cs="Times New Roman"/>
                <w:sz w:val="16"/>
                <w:szCs w:val="20"/>
              </w:rPr>
            </w:pPr>
            <w:r w:rsidRPr="003B7DC7">
              <w:rPr>
                <w:rFonts w:ascii="Times New Roman" w:hAnsi="Times New Roman" w:cs="Times New Roman"/>
                <w:sz w:val="16"/>
                <w:szCs w:val="20"/>
              </w:rPr>
              <w:t>-4.147</w:t>
            </w:r>
          </w:p>
        </w:tc>
        <w:tc>
          <w:tcPr>
            <w:tcW w:w="379" w:type="pct"/>
            <w:tcBorders>
              <w:top w:val="single" w:sz="4" w:space="0" w:color="auto"/>
              <w:bottom w:val="single" w:sz="4" w:space="0" w:color="auto"/>
            </w:tcBorders>
            <w:vAlign w:val="center"/>
          </w:tcPr>
          <w:p w14:paraId="1FF97EB8" w14:textId="35E1774E" w:rsidR="00E40A40" w:rsidRPr="003B7DC7" w:rsidRDefault="003B7DC7" w:rsidP="003B7DC7">
            <w:pPr>
              <w:jc w:val="center"/>
              <w:rPr>
                <w:rFonts w:ascii="Times New Roman" w:hAnsi="Times New Roman" w:cs="Times New Roman"/>
                <w:sz w:val="16"/>
                <w:szCs w:val="20"/>
              </w:rPr>
            </w:pPr>
            <w:r w:rsidRPr="003B7DC7">
              <w:rPr>
                <w:rFonts w:ascii="Times New Roman" w:hAnsi="Times New Roman" w:cs="Times New Roman"/>
                <w:sz w:val="16"/>
                <w:szCs w:val="20"/>
              </w:rPr>
              <w:t>-0.022</w:t>
            </w:r>
          </w:p>
          <w:p w14:paraId="417F13D0" w14:textId="20CBBE82" w:rsidR="00E40A40" w:rsidRPr="003B7DC7" w:rsidRDefault="003B7DC7" w:rsidP="003B7DC7">
            <w:pPr>
              <w:jc w:val="center"/>
              <w:rPr>
                <w:rFonts w:ascii="Times New Roman" w:hAnsi="Times New Roman" w:cs="Times New Roman"/>
                <w:sz w:val="16"/>
                <w:szCs w:val="20"/>
              </w:rPr>
            </w:pPr>
            <w:r w:rsidRPr="003B7DC7">
              <w:rPr>
                <w:rFonts w:ascii="Times New Roman" w:hAnsi="Times New Roman" w:cs="Times New Roman"/>
                <w:sz w:val="16"/>
                <w:szCs w:val="20"/>
              </w:rPr>
              <w:t>(0.000)</w:t>
            </w:r>
          </w:p>
        </w:tc>
        <w:tc>
          <w:tcPr>
            <w:tcW w:w="368" w:type="pct"/>
            <w:tcBorders>
              <w:top w:val="single" w:sz="4" w:space="0" w:color="auto"/>
              <w:bottom w:val="single" w:sz="4" w:space="0" w:color="auto"/>
            </w:tcBorders>
            <w:vAlign w:val="center"/>
          </w:tcPr>
          <w:p w14:paraId="4327EA87" w14:textId="2CADCF40" w:rsidR="00E40A40" w:rsidRPr="003B7DC7" w:rsidRDefault="003B7DC7" w:rsidP="003B7DC7">
            <w:pPr>
              <w:jc w:val="center"/>
              <w:rPr>
                <w:rFonts w:ascii="Times New Roman" w:hAnsi="Times New Roman" w:cs="Times New Roman"/>
                <w:sz w:val="16"/>
                <w:szCs w:val="20"/>
              </w:rPr>
            </w:pPr>
            <w:r w:rsidRPr="003B7DC7">
              <w:rPr>
                <w:rFonts w:ascii="Times New Roman" w:hAnsi="Times New Roman" w:cs="Times New Roman"/>
                <w:sz w:val="16"/>
                <w:szCs w:val="20"/>
              </w:rPr>
              <w:t>-4.209</w:t>
            </w:r>
          </w:p>
        </w:tc>
        <w:tc>
          <w:tcPr>
            <w:tcW w:w="379" w:type="pct"/>
            <w:tcBorders>
              <w:top w:val="single" w:sz="4" w:space="0" w:color="auto"/>
              <w:bottom w:val="single" w:sz="4" w:space="0" w:color="auto"/>
            </w:tcBorders>
            <w:vAlign w:val="center"/>
          </w:tcPr>
          <w:p w14:paraId="6D5D2052" w14:textId="1BC3F500" w:rsidR="00E40A40" w:rsidRPr="003B7DC7" w:rsidRDefault="003B7DC7" w:rsidP="003B7DC7">
            <w:pPr>
              <w:autoSpaceDE w:val="0"/>
              <w:autoSpaceDN w:val="0"/>
              <w:adjustRightInd w:val="0"/>
              <w:jc w:val="center"/>
              <w:rPr>
                <w:rFonts w:ascii="Times New Roman" w:hAnsi="Times New Roman" w:cs="Times New Roman"/>
                <w:sz w:val="16"/>
                <w:szCs w:val="20"/>
              </w:rPr>
            </w:pPr>
            <w:r w:rsidRPr="003B7DC7">
              <w:rPr>
                <w:rFonts w:ascii="Times New Roman" w:hAnsi="Times New Roman" w:cs="Times New Roman"/>
                <w:sz w:val="16"/>
                <w:szCs w:val="20"/>
              </w:rPr>
              <w:t>0.830</w:t>
            </w:r>
          </w:p>
          <w:p w14:paraId="28ADDD7B" w14:textId="15553AA2" w:rsidR="00E40A40" w:rsidRPr="003B7DC7" w:rsidRDefault="003B7DC7" w:rsidP="003B7DC7">
            <w:pPr>
              <w:autoSpaceDE w:val="0"/>
              <w:autoSpaceDN w:val="0"/>
              <w:adjustRightInd w:val="0"/>
              <w:jc w:val="center"/>
              <w:rPr>
                <w:rFonts w:ascii="Times New Roman" w:hAnsi="Times New Roman" w:cs="Times New Roman"/>
                <w:sz w:val="16"/>
                <w:szCs w:val="20"/>
              </w:rPr>
            </w:pPr>
            <w:r w:rsidRPr="003B7DC7">
              <w:rPr>
                <w:rFonts w:ascii="Times New Roman" w:hAnsi="Times New Roman" w:cs="Times New Roman"/>
                <w:sz w:val="16"/>
                <w:szCs w:val="20"/>
              </w:rPr>
              <w:t>(0.000)</w:t>
            </w:r>
          </w:p>
        </w:tc>
        <w:tc>
          <w:tcPr>
            <w:tcW w:w="386" w:type="pct"/>
            <w:tcBorders>
              <w:top w:val="single" w:sz="4" w:space="0" w:color="auto"/>
              <w:bottom w:val="single" w:sz="4" w:space="0" w:color="auto"/>
            </w:tcBorders>
            <w:vAlign w:val="center"/>
          </w:tcPr>
          <w:p w14:paraId="31167C8B" w14:textId="67803741" w:rsidR="00E40A40" w:rsidRPr="003B7DC7" w:rsidRDefault="003B7DC7" w:rsidP="003B7DC7">
            <w:pPr>
              <w:autoSpaceDE w:val="0"/>
              <w:autoSpaceDN w:val="0"/>
              <w:adjustRightInd w:val="0"/>
              <w:jc w:val="center"/>
              <w:rPr>
                <w:rFonts w:ascii="Times New Roman" w:hAnsi="Times New Roman" w:cs="Times New Roman"/>
                <w:sz w:val="16"/>
                <w:szCs w:val="20"/>
              </w:rPr>
            </w:pPr>
            <w:r w:rsidRPr="003B7DC7">
              <w:rPr>
                <w:rFonts w:ascii="Times New Roman" w:hAnsi="Times New Roman" w:cs="Times New Roman"/>
                <w:sz w:val="16"/>
                <w:szCs w:val="20"/>
              </w:rPr>
              <w:t>03.979</w:t>
            </w:r>
          </w:p>
        </w:tc>
        <w:tc>
          <w:tcPr>
            <w:tcW w:w="379" w:type="pct"/>
            <w:tcBorders>
              <w:top w:val="single" w:sz="4" w:space="0" w:color="auto"/>
              <w:bottom w:val="single" w:sz="4" w:space="0" w:color="auto"/>
            </w:tcBorders>
            <w:vAlign w:val="center"/>
          </w:tcPr>
          <w:p w14:paraId="46B4B790" w14:textId="436D8485" w:rsidR="00E40A40" w:rsidRPr="003B7DC7" w:rsidRDefault="003B7DC7" w:rsidP="003B7DC7">
            <w:pPr>
              <w:jc w:val="center"/>
              <w:rPr>
                <w:rFonts w:ascii="Times New Roman" w:hAnsi="Times New Roman" w:cs="Times New Roman"/>
                <w:sz w:val="16"/>
                <w:szCs w:val="20"/>
              </w:rPr>
            </w:pPr>
            <w:r w:rsidRPr="003B7DC7">
              <w:rPr>
                <w:rFonts w:ascii="Times New Roman" w:hAnsi="Times New Roman" w:cs="Times New Roman"/>
                <w:sz w:val="16"/>
                <w:szCs w:val="20"/>
              </w:rPr>
              <w:t>-0.004</w:t>
            </w:r>
          </w:p>
          <w:p w14:paraId="1DF2EBB4" w14:textId="1C5B2DDA" w:rsidR="00E40A40" w:rsidRPr="003B7DC7" w:rsidRDefault="003B7DC7" w:rsidP="003B7DC7">
            <w:pPr>
              <w:jc w:val="center"/>
              <w:rPr>
                <w:rFonts w:ascii="Times New Roman" w:hAnsi="Times New Roman" w:cs="Times New Roman"/>
                <w:sz w:val="16"/>
                <w:szCs w:val="20"/>
              </w:rPr>
            </w:pPr>
            <w:r w:rsidRPr="003B7DC7">
              <w:rPr>
                <w:rFonts w:ascii="Times New Roman" w:hAnsi="Times New Roman" w:cs="Times New Roman"/>
                <w:sz w:val="16"/>
                <w:szCs w:val="20"/>
              </w:rPr>
              <w:t>(0.525)</w:t>
            </w:r>
          </w:p>
        </w:tc>
        <w:tc>
          <w:tcPr>
            <w:tcW w:w="368" w:type="pct"/>
            <w:tcBorders>
              <w:top w:val="single" w:sz="4" w:space="0" w:color="auto"/>
              <w:bottom w:val="single" w:sz="4" w:space="0" w:color="auto"/>
            </w:tcBorders>
            <w:vAlign w:val="center"/>
          </w:tcPr>
          <w:p w14:paraId="0B490A72" w14:textId="5DC3EEE3" w:rsidR="00E40A40" w:rsidRPr="003B7DC7" w:rsidRDefault="003B7DC7" w:rsidP="003B7DC7">
            <w:pPr>
              <w:jc w:val="center"/>
              <w:rPr>
                <w:rFonts w:ascii="Times New Roman" w:hAnsi="Times New Roman" w:cs="Times New Roman"/>
                <w:sz w:val="16"/>
                <w:szCs w:val="20"/>
              </w:rPr>
            </w:pPr>
            <w:r w:rsidRPr="003B7DC7">
              <w:rPr>
                <w:rFonts w:ascii="Times New Roman" w:hAnsi="Times New Roman" w:cs="Times New Roman"/>
                <w:sz w:val="16"/>
                <w:szCs w:val="20"/>
              </w:rPr>
              <w:t>-0.638</w:t>
            </w:r>
          </w:p>
        </w:tc>
      </w:tr>
      <w:tr w:rsidR="007F15D8" w:rsidRPr="003B7DC7" w14:paraId="40DB133F" w14:textId="77777777" w:rsidTr="009A6198">
        <w:trPr>
          <w:trHeight w:val="283"/>
          <w:jc w:val="center"/>
        </w:trPr>
        <w:tc>
          <w:tcPr>
            <w:tcW w:w="484" w:type="pct"/>
            <w:tcBorders>
              <w:top w:val="single" w:sz="4" w:space="0" w:color="auto"/>
              <w:bottom w:val="single" w:sz="4" w:space="0" w:color="auto"/>
              <w:right w:val="single" w:sz="4" w:space="0" w:color="auto"/>
            </w:tcBorders>
            <w:vAlign w:val="center"/>
          </w:tcPr>
          <w:p w14:paraId="2159E842" w14:textId="29E6CDF9" w:rsidR="00E40A40" w:rsidRPr="003B7DC7" w:rsidRDefault="009A6198" w:rsidP="009A6198">
            <w:pPr>
              <w:tabs>
                <w:tab w:val="left" w:pos="4536"/>
              </w:tabs>
              <w:autoSpaceDE w:val="0"/>
              <w:autoSpaceDN w:val="0"/>
              <w:adjustRightInd w:val="0"/>
              <w:jc w:val="center"/>
              <w:rPr>
                <w:rFonts w:ascii="Times New Roman" w:hAnsi="Times New Roman" w:cs="Times New Roman"/>
                <w:sz w:val="16"/>
                <w:szCs w:val="20"/>
              </w:rPr>
            </w:pPr>
            <w:r>
              <w:rPr>
                <w:rFonts w:ascii="Times New Roman" w:hAnsi="Times New Roman" w:cs="Times New Roman"/>
                <w:sz w:val="16"/>
                <w:szCs w:val="20"/>
              </w:rPr>
              <w:t>R</w:t>
            </w:r>
            <w:r w:rsidR="003B7DC7" w:rsidRPr="003B7DC7">
              <w:rPr>
                <w:rFonts w:ascii="Times New Roman" w:hAnsi="Times New Roman" w:cs="Times New Roman"/>
                <w:sz w:val="16"/>
                <w:szCs w:val="20"/>
              </w:rPr>
              <w:t xml:space="preserve"> (model)</w:t>
            </w:r>
          </w:p>
        </w:tc>
        <w:tc>
          <w:tcPr>
            <w:tcW w:w="747" w:type="pct"/>
            <w:gridSpan w:val="2"/>
            <w:tcBorders>
              <w:top w:val="single" w:sz="4" w:space="0" w:color="auto"/>
              <w:left w:val="single" w:sz="4" w:space="0" w:color="auto"/>
              <w:bottom w:val="single" w:sz="4" w:space="0" w:color="auto"/>
            </w:tcBorders>
            <w:vAlign w:val="center"/>
          </w:tcPr>
          <w:p w14:paraId="112FF316" w14:textId="6FBD3F5A" w:rsidR="00E40A40" w:rsidRPr="003B7DC7" w:rsidRDefault="003B7DC7" w:rsidP="003B7DC7">
            <w:pPr>
              <w:autoSpaceDE w:val="0"/>
              <w:autoSpaceDN w:val="0"/>
              <w:adjustRightInd w:val="0"/>
              <w:jc w:val="center"/>
              <w:rPr>
                <w:rFonts w:ascii="Times New Roman" w:hAnsi="Times New Roman" w:cs="Times New Roman"/>
                <w:sz w:val="16"/>
                <w:szCs w:val="20"/>
              </w:rPr>
            </w:pPr>
            <w:r w:rsidRPr="003B7DC7">
              <w:rPr>
                <w:rFonts w:ascii="Times New Roman" w:hAnsi="Times New Roman" w:cs="Times New Roman"/>
                <w:sz w:val="16"/>
                <w:szCs w:val="20"/>
              </w:rPr>
              <w:t>0.155</w:t>
            </w:r>
          </w:p>
        </w:tc>
        <w:tc>
          <w:tcPr>
            <w:tcW w:w="747" w:type="pct"/>
            <w:gridSpan w:val="2"/>
            <w:tcBorders>
              <w:top w:val="single" w:sz="4" w:space="0" w:color="auto"/>
              <w:bottom w:val="single" w:sz="4" w:space="0" w:color="auto"/>
            </w:tcBorders>
            <w:vAlign w:val="center"/>
          </w:tcPr>
          <w:p w14:paraId="778D54ED" w14:textId="549ADFF5" w:rsidR="00E40A40" w:rsidRPr="003B7DC7" w:rsidRDefault="003B7DC7" w:rsidP="003B7DC7">
            <w:pPr>
              <w:autoSpaceDE w:val="0"/>
              <w:autoSpaceDN w:val="0"/>
              <w:adjustRightInd w:val="0"/>
              <w:jc w:val="center"/>
              <w:rPr>
                <w:rFonts w:ascii="Times New Roman" w:hAnsi="Times New Roman" w:cs="Times New Roman"/>
                <w:sz w:val="16"/>
                <w:szCs w:val="20"/>
              </w:rPr>
            </w:pPr>
            <w:r w:rsidRPr="003B7DC7">
              <w:rPr>
                <w:rFonts w:ascii="Times New Roman" w:hAnsi="Times New Roman" w:cs="Times New Roman"/>
                <w:sz w:val="16"/>
                <w:szCs w:val="20"/>
              </w:rPr>
              <w:t>0.211**</w:t>
            </w:r>
          </w:p>
        </w:tc>
        <w:tc>
          <w:tcPr>
            <w:tcW w:w="764" w:type="pct"/>
            <w:gridSpan w:val="2"/>
            <w:tcBorders>
              <w:top w:val="single" w:sz="4" w:space="0" w:color="auto"/>
              <w:bottom w:val="single" w:sz="4" w:space="0" w:color="auto"/>
            </w:tcBorders>
            <w:vAlign w:val="center"/>
          </w:tcPr>
          <w:p w14:paraId="0400024F" w14:textId="7FA79629" w:rsidR="00E40A40" w:rsidRPr="003B7DC7" w:rsidRDefault="003B7DC7" w:rsidP="003B7DC7">
            <w:pPr>
              <w:autoSpaceDE w:val="0"/>
              <w:autoSpaceDN w:val="0"/>
              <w:adjustRightInd w:val="0"/>
              <w:jc w:val="center"/>
              <w:rPr>
                <w:rFonts w:ascii="Times New Roman" w:hAnsi="Times New Roman" w:cs="Times New Roman"/>
                <w:sz w:val="16"/>
                <w:szCs w:val="20"/>
              </w:rPr>
            </w:pPr>
            <w:r w:rsidRPr="003B7DC7">
              <w:rPr>
                <w:rFonts w:ascii="Times New Roman" w:hAnsi="Times New Roman" w:cs="Times New Roman"/>
                <w:sz w:val="16"/>
                <w:szCs w:val="20"/>
              </w:rPr>
              <w:t>0.440**</w:t>
            </w:r>
          </w:p>
        </w:tc>
        <w:tc>
          <w:tcPr>
            <w:tcW w:w="747" w:type="pct"/>
            <w:gridSpan w:val="2"/>
            <w:tcBorders>
              <w:top w:val="single" w:sz="4" w:space="0" w:color="auto"/>
              <w:bottom w:val="single" w:sz="4" w:space="0" w:color="auto"/>
            </w:tcBorders>
            <w:vAlign w:val="center"/>
          </w:tcPr>
          <w:p w14:paraId="0F654E12" w14:textId="2482C287" w:rsidR="00E40A40" w:rsidRPr="003B7DC7" w:rsidRDefault="003B7DC7" w:rsidP="003B7DC7">
            <w:pPr>
              <w:autoSpaceDE w:val="0"/>
              <w:autoSpaceDN w:val="0"/>
              <w:adjustRightInd w:val="0"/>
              <w:jc w:val="center"/>
              <w:rPr>
                <w:rFonts w:ascii="Times New Roman" w:hAnsi="Times New Roman" w:cs="Times New Roman"/>
                <w:sz w:val="16"/>
                <w:szCs w:val="20"/>
              </w:rPr>
            </w:pPr>
            <w:r w:rsidRPr="003B7DC7">
              <w:rPr>
                <w:rFonts w:ascii="Times New Roman" w:hAnsi="Times New Roman" w:cs="Times New Roman"/>
                <w:sz w:val="16"/>
                <w:szCs w:val="20"/>
              </w:rPr>
              <w:t>0.632**</w:t>
            </w:r>
          </w:p>
        </w:tc>
        <w:tc>
          <w:tcPr>
            <w:tcW w:w="764" w:type="pct"/>
            <w:gridSpan w:val="2"/>
            <w:tcBorders>
              <w:top w:val="single" w:sz="4" w:space="0" w:color="auto"/>
              <w:bottom w:val="single" w:sz="4" w:space="0" w:color="auto"/>
            </w:tcBorders>
            <w:vAlign w:val="center"/>
          </w:tcPr>
          <w:p w14:paraId="3C70B2F3" w14:textId="4C9A191E" w:rsidR="00E40A40" w:rsidRPr="003B7DC7" w:rsidRDefault="003B7DC7" w:rsidP="003B7DC7">
            <w:pPr>
              <w:autoSpaceDE w:val="0"/>
              <w:autoSpaceDN w:val="0"/>
              <w:adjustRightInd w:val="0"/>
              <w:jc w:val="center"/>
              <w:rPr>
                <w:rFonts w:ascii="Times New Roman" w:hAnsi="Times New Roman" w:cs="Times New Roman"/>
                <w:sz w:val="16"/>
                <w:szCs w:val="20"/>
              </w:rPr>
            </w:pPr>
            <w:r w:rsidRPr="003B7DC7">
              <w:rPr>
                <w:rFonts w:ascii="Times New Roman" w:hAnsi="Times New Roman" w:cs="Times New Roman"/>
                <w:sz w:val="16"/>
                <w:szCs w:val="20"/>
              </w:rPr>
              <w:t>0.602**</w:t>
            </w:r>
          </w:p>
        </w:tc>
        <w:tc>
          <w:tcPr>
            <w:tcW w:w="747" w:type="pct"/>
            <w:gridSpan w:val="2"/>
            <w:tcBorders>
              <w:top w:val="single" w:sz="4" w:space="0" w:color="auto"/>
              <w:bottom w:val="single" w:sz="4" w:space="0" w:color="auto"/>
            </w:tcBorders>
            <w:vAlign w:val="center"/>
          </w:tcPr>
          <w:p w14:paraId="4A8DE6C6" w14:textId="11DF3585" w:rsidR="00E40A40" w:rsidRPr="003B7DC7" w:rsidRDefault="003B7DC7" w:rsidP="003B7DC7">
            <w:pPr>
              <w:autoSpaceDE w:val="0"/>
              <w:autoSpaceDN w:val="0"/>
              <w:adjustRightInd w:val="0"/>
              <w:jc w:val="center"/>
              <w:rPr>
                <w:rFonts w:ascii="Times New Roman" w:hAnsi="Times New Roman" w:cs="Times New Roman"/>
                <w:sz w:val="16"/>
                <w:szCs w:val="20"/>
              </w:rPr>
            </w:pPr>
            <w:r w:rsidRPr="003B7DC7">
              <w:rPr>
                <w:rFonts w:ascii="Times New Roman" w:hAnsi="Times New Roman" w:cs="Times New Roman"/>
                <w:sz w:val="16"/>
                <w:szCs w:val="20"/>
              </w:rPr>
              <w:t>0.203</w:t>
            </w:r>
          </w:p>
        </w:tc>
      </w:tr>
      <w:tr w:rsidR="007F15D8" w:rsidRPr="003B7DC7" w14:paraId="207322BC" w14:textId="77777777" w:rsidTr="009A6198">
        <w:trPr>
          <w:trHeight w:val="283"/>
          <w:jc w:val="center"/>
        </w:trPr>
        <w:tc>
          <w:tcPr>
            <w:tcW w:w="484" w:type="pct"/>
            <w:tcBorders>
              <w:top w:val="single" w:sz="4" w:space="0" w:color="auto"/>
              <w:bottom w:val="single" w:sz="4" w:space="0" w:color="auto"/>
              <w:right w:val="single" w:sz="4" w:space="0" w:color="auto"/>
            </w:tcBorders>
            <w:vAlign w:val="center"/>
          </w:tcPr>
          <w:p w14:paraId="2F7E1F25" w14:textId="77BD3A63" w:rsidR="00E40A40" w:rsidRPr="003B7DC7" w:rsidRDefault="004931B4" w:rsidP="009A6198">
            <w:pPr>
              <w:tabs>
                <w:tab w:val="left" w:pos="4536"/>
              </w:tabs>
              <w:autoSpaceDE w:val="0"/>
              <w:autoSpaceDN w:val="0"/>
              <w:adjustRightInd w:val="0"/>
              <w:jc w:val="center"/>
              <w:rPr>
                <w:rFonts w:ascii="Times New Roman" w:hAnsi="Times New Roman" w:cs="Times New Roman"/>
                <w:sz w:val="16"/>
                <w:szCs w:val="20"/>
              </w:rPr>
            </w:pPr>
            <w:r w:rsidRPr="003B7DC7">
              <w:rPr>
                <w:rFonts w:ascii="Times New Roman" w:hAnsi="Times New Roman" w:cs="Times New Roman"/>
                <w:sz w:val="16"/>
                <w:szCs w:val="20"/>
              </w:rPr>
              <w:t>R</w:t>
            </w:r>
            <w:r w:rsidR="003B7DC7" w:rsidRPr="003B7DC7">
              <w:rPr>
                <w:rFonts w:ascii="Times New Roman" w:hAnsi="Times New Roman" w:cs="Times New Roman"/>
                <w:sz w:val="16"/>
                <w:szCs w:val="20"/>
                <w:vertAlign w:val="superscript"/>
              </w:rPr>
              <w:t>2</w:t>
            </w:r>
          </w:p>
        </w:tc>
        <w:tc>
          <w:tcPr>
            <w:tcW w:w="747" w:type="pct"/>
            <w:gridSpan w:val="2"/>
            <w:tcBorders>
              <w:top w:val="single" w:sz="4" w:space="0" w:color="auto"/>
              <w:left w:val="single" w:sz="4" w:space="0" w:color="auto"/>
              <w:bottom w:val="single" w:sz="4" w:space="0" w:color="auto"/>
            </w:tcBorders>
            <w:vAlign w:val="center"/>
          </w:tcPr>
          <w:p w14:paraId="147D9E51" w14:textId="1ECD304B" w:rsidR="00E40A40" w:rsidRPr="003B7DC7" w:rsidRDefault="003B7DC7" w:rsidP="003B7DC7">
            <w:pPr>
              <w:autoSpaceDE w:val="0"/>
              <w:autoSpaceDN w:val="0"/>
              <w:adjustRightInd w:val="0"/>
              <w:jc w:val="center"/>
              <w:rPr>
                <w:rFonts w:ascii="Times New Roman" w:hAnsi="Times New Roman" w:cs="Times New Roman"/>
                <w:sz w:val="16"/>
                <w:szCs w:val="20"/>
              </w:rPr>
            </w:pPr>
            <w:r w:rsidRPr="003B7DC7">
              <w:rPr>
                <w:rFonts w:ascii="Times New Roman" w:hAnsi="Times New Roman" w:cs="Times New Roman"/>
                <w:sz w:val="16"/>
                <w:szCs w:val="20"/>
              </w:rPr>
              <w:t>0.024</w:t>
            </w:r>
          </w:p>
        </w:tc>
        <w:tc>
          <w:tcPr>
            <w:tcW w:w="747" w:type="pct"/>
            <w:gridSpan w:val="2"/>
            <w:tcBorders>
              <w:top w:val="single" w:sz="4" w:space="0" w:color="auto"/>
              <w:bottom w:val="single" w:sz="4" w:space="0" w:color="auto"/>
            </w:tcBorders>
            <w:vAlign w:val="center"/>
          </w:tcPr>
          <w:p w14:paraId="322F5508" w14:textId="7C86C50E" w:rsidR="00E40A40" w:rsidRPr="003B7DC7" w:rsidRDefault="003B7DC7" w:rsidP="003B7DC7">
            <w:pPr>
              <w:autoSpaceDE w:val="0"/>
              <w:autoSpaceDN w:val="0"/>
              <w:adjustRightInd w:val="0"/>
              <w:jc w:val="center"/>
              <w:rPr>
                <w:rFonts w:ascii="Times New Roman" w:hAnsi="Times New Roman" w:cs="Times New Roman"/>
                <w:sz w:val="16"/>
                <w:szCs w:val="20"/>
              </w:rPr>
            </w:pPr>
            <w:r w:rsidRPr="003B7DC7">
              <w:rPr>
                <w:rFonts w:ascii="Times New Roman" w:hAnsi="Times New Roman" w:cs="Times New Roman"/>
                <w:sz w:val="16"/>
                <w:szCs w:val="20"/>
              </w:rPr>
              <w:t>0.044</w:t>
            </w:r>
          </w:p>
        </w:tc>
        <w:tc>
          <w:tcPr>
            <w:tcW w:w="764" w:type="pct"/>
            <w:gridSpan w:val="2"/>
            <w:tcBorders>
              <w:top w:val="single" w:sz="4" w:space="0" w:color="auto"/>
              <w:bottom w:val="single" w:sz="4" w:space="0" w:color="auto"/>
            </w:tcBorders>
            <w:vAlign w:val="center"/>
          </w:tcPr>
          <w:p w14:paraId="5CDDD1F2" w14:textId="6E6EC07C" w:rsidR="00E40A40" w:rsidRPr="003B7DC7" w:rsidRDefault="003B7DC7" w:rsidP="003B7DC7">
            <w:pPr>
              <w:autoSpaceDE w:val="0"/>
              <w:autoSpaceDN w:val="0"/>
              <w:adjustRightInd w:val="0"/>
              <w:jc w:val="center"/>
              <w:rPr>
                <w:rFonts w:ascii="Times New Roman" w:hAnsi="Times New Roman" w:cs="Times New Roman"/>
                <w:sz w:val="16"/>
                <w:szCs w:val="20"/>
              </w:rPr>
            </w:pPr>
            <w:r w:rsidRPr="003B7DC7">
              <w:rPr>
                <w:rFonts w:ascii="Times New Roman" w:hAnsi="Times New Roman" w:cs="Times New Roman"/>
                <w:sz w:val="16"/>
                <w:szCs w:val="20"/>
              </w:rPr>
              <w:t>0.194</w:t>
            </w:r>
          </w:p>
        </w:tc>
        <w:tc>
          <w:tcPr>
            <w:tcW w:w="747" w:type="pct"/>
            <w:gridSpan w:val="2"/>
            <w:tcBorders>
              <w:top w:val="single" w:sz="4" w:space="0" w:color="auto"/>
              <w:bottom w:val="single" w:sz="4" w:space="0" w:color="auto"/>
            </w:tcBorders>
            <w:vAlign w:val="center"/>
          </w:tcPr>
          <w:p w14:paraId="44CC1A0A" w14:textId="5D9BF2FE" w:rsidR="00E40A40" w:rsidRPr="003B7DC7" w:rsidRDefault="003B7DC7" w:rsidP="003B7DC7">
            <w:pPr>
              <w:autoSpaceDE w:val="0"/>
              <w:autoSpaceDN w:val="0"/>
              <w:adjustRightInd w:val="0"/>
              <w:jc w:val="center"/>
              <w:rPr>
                <w:rFonts w:ascii="Times New Roman" w:hAnsi="Times New Roman" w:cs="Times New Roman"/>
                <w:sz w:val="16"/>
                <w:szCs w:val="20"/>
              </w:rPr>
            </w:pPr>
            <w:r w:rsidRPr="003B7DC7">
              <w:rPr>
                <w:rFonts w:ascii="Times New Roman" w:hAnsi="Times New Roman" w:cs="Times New Roman"/>
                <w:sz w:val="16"/>
                <w:szCs w:val="20"/>
              </w:rPr>
              <w:t>0.399</w:t>
            </w:r>
          </w:p>
        </w:tc>
        <w:tc>
          <w:tcPr>
            <w:tcW w:w="764" w:type="pct"/>
            <w:gridSpan w:val="2"/>
            <w:tcBorders>
              <w:top w:val="single" w:sz="4" w:space="0" w:color="auto"/>
              <w:bottom w:val="single" w:sz="4" w:space="0" w:color="auto"/>
            </w:tcBorders>
            <w:vAlign w:val="center"/>
          </w:tcPr>
          <w:p w14:paraId="650FC567" w14:textId="3ECB1BA4" w:rsidR="00E40A40" w:rsidRPr="003B7DC7" w:rsidRDefault="003B7DC7" w:rsidP="003B7DC7">
            <w:pPr>
              <w:autoSpaceDE w:val="0"/>
              <w:autoSpaceDN w:val="0"/>
              <w:adjustRightInd w:val="0"/>
              <w:jc w:val="center"/>
              <w:rPr>
                <w:rFonts w:ascii="Times New Roman" w:hAnsi="Times New Roman" w:cs="Times New Roman"/>
                <w:sz w:val="16"/>
                <w:szCs w:val="20"/>
              </w:rPr>
            </w:pPr>
            <w:r w:rsidRPr="003B7DC7">
              <w:rPr>
                <w:rFonts w:ascii="Times New Roman" w:hAnsi="Times New Roman" w:cs="Times New Roman"/>
                <w:sz w:val="16"/>
                <w:szCs w:val="20"/>
              </w:rPr>
              <w:t>0.362</w:t>
            </w:r>
          </w:p>
        </w:tc>
        <w:tc>
          <w:tcPr>
            <w:tcW w:w="747" w:type="pct"/>
            <w:gridSpan w:val="2"/>
            <w:tcBorders>
              <w:top w:val="single" w:sz="4" w:space="0" w:color="auto"/>
              <w:bottom w:val="single" w:sz="4" w:space="0" w:color="auto"/>
            </w:tcBorders>
            <w:vAlign w:val="center"/>
          </w:tcPr>
          <w:p w14:paraId="2914DD1B" w14:textId="6B368772" w:rsidR="00E40A40" w:rsidRPr="003B7DC7" w:rsidRDefault="003B7DC7" w:rsidP="003B7DC7">
            <w:pPr>
              <w:autoSpaceDE w:val="0"/>
              <w:autoSpaceDN w:val="0"/>
              <w:adjustRightInd w:val="0"/>
              <w:jc w:val="center"/>
              <w:rPr>
                <w:rFonts w:ascii="Times New Roman" w:hAnsi="Times New Roman" w:cs="Times New Roman"/>
                <w:sz w:val="16"/>
                <w:szCs w:val="20"/>
              </w:rPr>
            </w:pPr>
            <w:r w:rsidRPr="003B7DC7">
              <w:rPr>
                <w:rFonts w:ascii="Times New Roman" w:hAnsi="Times New Roman" w:cs="Times New Roman"/>
                <w:sz w:val="16"/>
                <w:szCs w:val="20"/>
              </w:rPr>
              <w:t>0.041</w:t>
            </w:r>
          </w:p>
        </w:tc>
      </w:tr>
      <w:tr w:rsidR="007F15D8" w:rsidRPr="003B7DC7" w14:paraId="46A6F6C8" w14:textId="77777777" w:rsidTr="009A6198">
        <w:trPr>
          <w:trHeight w:val="283"/>
          <w:jc w:val="center"/>
        </w:trPr>
        <w:tc>
          <w:tcPr>
            <w:tcW w:w="484" w:type="pct"/>
            <w:tcBorders>
              <w:top w:val="single" w:sz="4" w:space="0" w:color="auto"/>
              <w:bottom w:val="single" w:sz="4" w:space="0" w:color="auto"/>
              <w:right w:val="single" w:sz="4" w:space="0" w:color="auto"/>
            </w:tcBorders>
            <w:vAlign w:val="center"/>
          </w:tcPr>
          <w:p w14:paraId="7C085C89" w14:textId="2C0978B3" w:rsidR="00E40A40" w:rsidRPr="003B7DC7" w:rsidRDefault="009A6198" w:rsidP="009A6198">
            <w:pPr>
              <w:tabs>
                <w:tab w:val="left" w:pos="4536"/>
              </w:tabs>
              <w:autoSpaceDE w:val="0"/>
              <w:autoSpaceDN w:val="0"/>
              <w:adjustRightInd w:val="0"/>
              <w:jc w:val="center"/>
              <w:rPr>
                <w:rFonts w:ascii="Times New Roman" w:hAnsi="Times New Roman" w:cs="Times New Roman"/>
                <w:sz w:val="16"/>
                <w:szCs w:val="20"/>
              </w:rPr>
            </w:pPr>
            <w:r>
              <w:rPr>
                <w:rFonts w:ascii="Times New Roman" w:hAnsi="Times New Roman" w:cs="Times New Roman"/>
                <w:sz w:val="16"/>
                <w:szCs w:val="20"/>
              </w:rPr>
              <w:t>F</w:t>
            </w:r>
            <w:r w:rsidR="003B7DC7" w:rsidRPr="003B7DC7">
              <w:rPr>
                <w:rFonts w:ascii="Times New Roman" w:hAnsi="Times New Roman" w:cs="Times New Roman"/>
                <w:sz w:val="16"/>
                <w:szCs w:val="20"/>
              </w:rPr>
              <w:t>-value</w:t>
            </w:r>
          </w:p>
        </w:tc>
        <w:tc>
          <w:tcPr>
            <w:tcW w:w="747" w:type="pct"/>
            <w:gridSpan w:val="2"/>
            <w:tcBorders>
              <w:top w:val="single" w:sz="4" w:space="0" w:color="auto"/>
              <w:left w:val="single" w:sz="4" w:space="0" w:color="auto"/>
              <w:bottom w:val="single" w:sz="4" w:space="0" w:color="auto"/>
            </w:tcBorders>
            <w:vAlign w:val="center"/>
          </w:tcPr>
          <w:p w14:paraId="67D2F698" w14:textId="159D7781" w:rsidR="00E40A40" w:rsidRPr="003B7DC7" w:rsidRDefault="003B7DC7" w:rsidP="003B7DC7">
            <w:pPr>
              <w:autoSpaceDE w:val="0"/>
              <w:autoSpaceDN w:val="0"/>
              <w:adjustRightInd w:val="0"/>
              <w:jc w:val="center"/>
              <w:rPr>
                <w:rFonts w:ascii="Times New Roman" w:hAnsi="Times New Roman" w:cs="Times New Roman"/>
                <w:sz w:val="16"/>
                <w:szCs w:val="20"/>
              </w:rPr>
            </w:pPr>
            <w:r w:rsidRPr="003B7DC7">
              <w:rPr>
                <w:rFonts w:ascii="Times New Roman" w:hAnsi="Times New Roman" w:cs="Times New Roman"/>
                <w:sz w:val="16"/>
                <w:szCs w:val="20"/>
              </w:rPr>
              <w:t>4.331</w:t>
            </w:r>
          </w:p>
        </w:tc>
        <w:tc>
          <w:tcPr>
            <w:tcW w:w="747" w:type="pct"/>
            <w:gridSpan w:val="2"/>
            <w:tcBorders>
              <w:top w:val="single" w:sz="4" w:space="0" w:color="auto"/>
              <w:bottom w:val="single" w:sz="4" w:space="0" w:color="auto"/>
            </w:tcBorders>
            <w:vAlign w:val="center"/>
          </w:tcPr>
          <w:p w14:paraId="234B04C1" w14:textId="389E1B76" w:rsidR="00E40A40" w:rsidRPr="003B7DC7" w:rsidRDefault="003B7DC7" w:rsidP="003B7DC7">
            <w:pPr>
              <w:autoSpaceDE w:val="0"/>
              <w:autoSpaceDN w:val="0"/>
              <w:adjustRightInd w:val="0"/>
              <w:jc w:val="center"/>
              <w:rPr>
                <w:rFonts w:ascii="Times New Roman" w:hAnsi="Times New Roman" w:cs="Times New Roman"/>
                <w:sz w:val="16"/>
                <w:szCs w:val="20"/>
              </w:rPr>
            </w:pPr>
            <w:r w:rsidRPr="003B7DC7">
              <w:rPr>
                <w:rFonts w:ascii="Times New Roman" w:hAnsi="Times New Roman" w:cs="Times New Roman"/>
                <w:sz w:val="16"/>
                <w:szCs w:val="20"/>
              </w:rPr>
              <w:t>7.412</w:t>
            </w:r>
          </w:p>
        </w:tc>
        <w:tc>
          <w:tcPr>
            <w:tcW w:w="764" w:type="pct"/>
            <w:gridSpan w:val="2"/>
            <w:tcBorders>
              <w:top w:val="single" w:sz="4" w:space="0" w:color="auto"/>
              <w:bottom w:val="single" w:sz="4" w:space="0" w:color="auto"/>
            </w:tcBorders>
            <w:vAlign w:val="center"/>
          </w:tcPr>
          <w:p w14:paraId="10022A4C" w14:textId="4E4B45E7" w:rsidR="00E40A40" w:rsidRPr="003B7DC7" w:rsidRDefault="003B7DC7" w:rsidP="003B7DC7">
            <w:pPr>
              <w:autoSpaceDE w:val="0"/>
              <w:autoSpaceDN w:val="0"/>
              <w:adjustRightInd w:val="0"/>
              <w:jc w:val="center"/>
              <w:rPr>
                <w:rFonts w:ascii="Times New Roman" w:hAnsi="Times New Roman" w:cs="Times New Roman"/>
                <w:sz w:val="16"/>
                <w:szCs w:val="20"/>
              </w:rPr>
            </w:pPr>
            <w:r w:rsidRPr="003B7DC7">
              <w:rPr>
                <w:rFonts w:ascii="Times New Roman" w:hAnsi="Times New Roman" w:cs="Times New Roman"/>
                <w:sz w:val="16"/>
                <w:szCs w:val="20"/>
              </w:rPr>
              <w:t>5.926</w:t>
            </w:r>
          </w:p>
        </w:tc>
        <w:tc>
          <w:tcPr>
            <w:tcW w:w="747" w:type="pct"/>
            <w:gridSpan w:val="2"/>
            <w:tcBorders>
              <w:top w:val="single" w:sz="4" w:space="0" w:color="auto"/>
              <w:bottom w:val="single" w:sz="4" w:space="0" w:color="auto"/>
            </w:tcBorders>
            <w:vAlign w:val="center"/>
          </w:tcPr>
          <w:p w14:paraId="3E1D5258" w14:textId="0DF9A232" w:rsidR="00E40A40" w:rsidRPr="003B7DC7" w:rsidRDefault="003B7DC7" w:rsidP="003B7DC7">
            <w:pPr>
              <w:autoSpaceDE w:val="0"/>
              <w:autoSpaceDN w:val="0"/>
              <w:adjustRightInd w:val="0"/>
              <w:jc w:val="center"/>
              <w:rPr>
                <w:rFonts w:ascii="Times New Roman" w:hAnsi="Times New Roman" w:cs="Times New Roman"/>
                <w:sz w:val="16"/>
                <w:szCs w:val="20"/>
              </w:rPr>
            </w:pPr>
            <w:r w:rsidRPr="003B7DC7">
              <w:rPr>
                <w:rFonts w:ascii="Times New Roman" w:hAnsi="Times New Roman" w:cs="Times New Roman"/>
                <w:sz w:val="16"/>
                <w:szCs w:val="20"/>
              </w:rPr>
              <w:t>11.301</w:t>
            </w:r>
          </w:p>
        </w:tc>
        <w:tc>
          <w:tcPr>
            <w:tcW w:w="764" w:type="pct"/>
            <w:gridSpan w:val="2"/>
            <w:tcBorders>
              <w:top w:val="single" w:sz="4" w:space="0" w:color="auto"/>
              <w:bottom w:val="single" w:sz="4" w:space="0" w:color="auto"/>
            </w:tcBorders>
            <w:vAlign w:val="center"/>
          </w:tcPr>
          <w:p w14:paraId="05ECBE4F" w14:textId="12BA9701" w:rsidR="00E40A40" w:rsidRPr="003B7DC7" w:rsidRDefault="003B7DC7" w:rsidP="003B7DC7">
            <w:pPr>
              <w:autoSpaceDE w:val="0"/>
              <w:autoSpaceDN w:val="0"/>
              <w:adjustRightInd w:val="0"/>
              <w:jc w:val="center"/>
              <w:rPr>
                <w:rFonts w:ascii="Times New Roman" w:hAnsi="Times New Roman" w:cs="Times New Roman"/>
                <w:sz w:val="16"/>
                <w:szCs w:val="20"/>
              </w:rPr>
            </w:pPr>
            <w:r w:rsidRPr="003B7DC7">
              <w:rPr>
                <w:rFonts w:ascii="Times New Roman" w:hAnsi="Times New Roman" w:cs="Times New Roman"/>
                <w:sz w:val="16"/>
                <w:szCs w:val="20"/>
              </w:rPr>
              <w:t>4.830</w:t>
            </w:r>
          </w:p>
        </w:tc>
        <w:tc>
          <w:tcPr>
            <w:tcW w:w="747" w:type="pct"/>
            <w:gridSpan w:val="2"/>
            <w:tcBorders>
              <w:top w:val="single" w:sz="4" w:space="0" w:color="auto"/>
              <w:bottom w:val="single" w:sz="4" w:space="0" w:color="auto"/>
            </w:tcBorders>
            <w:vAlign w:val="center"/>
          </w:tcPr>
          <w:p w14:paraId="664D82FC" w14:textId="79482866" w:rsidR="00E40A40" w:rsidRPr="003B7DC7" w:rsidRDefault="003B7DC7" w:rsidP="003B7DC7">
            <w:pPr>
              <w:autoSpaceDE w:val="0"/>
              <w:autoSpaceDN w:val="0"/>
              <w:adjustRightInd w:val="0"/>
              <w:jc w:val="center"/>
              <w:rPr>
                <w:rFonts w:ascii="Times New Roman" w:hAnsi="Times New Roman" w:cs="Times New Roman"/>
                <w:sz w:val="16"/>
                <w:szCs w:val="20"/>
              </w:rPr>
            </w:pPr>
            <w:r w:rsidRPr="003B7DC7">
              <w:rPr>
                <w:rFonts w:ascii="Times New Roman" w:hAnsi="Times New Roman" w:cs="Times New Roman"/>
                <w:sz w:val="16"/>
                <w:szCs w:val="20"/>
              </w:rPr>
              <w:t>1.016</w:t>
            </w:r>
          </w:p>
        </w:tc>
      </w:tr>
      <w:tr w:rsidR="007F15D8" w:rsidRPr="003B7DC7" w14:paraId="612ADEF9" w14:textId="77777777" w:rsidTr="009A6198">
        <w:trPr>
          <w:trHeight w:val="283"/>
          <w:jc w:val="center"/>
        </w:trPr>
        <w:tc>
          <w:tcPr>
            <w:tcW w:w="484" w:type="pct"/>
            <w:tcBorders>
              <w:top w:val="single" w:sz="4" w:space="0" w:color="auto"/>
              <w:bottom w:val="single" w:sz="4" w:space="0" w:color="auto"/>
              <w:right w:val="single" w:sz="4" w:space="0" w:color="auto"/>
            </w:tcBorders>
            <w:vAlign w:val="center"/>
          </w:tcPr>
          <w:p w14:paraId="0E562C74" w14:textId="7E0F468C" w:rsidR="00E40A40" w:rsidRPr="003B7DC7" w:rsidRDefault="003B7DC7" w:rsidP="007875AD">
            <w:pPr>
              <w:tabs>
                <w:tab w:val="left" w:pos="4536"/>
              </w:tabs>
              <w:autoSpaceDE w:val="0"/>
              <w:autoSpaceDN w:val="0"/>
              <w:adjustRightInd w:val="0"/>
              <w:jc w:val="center"/>
              <w:rPr>
                <w:rFonts w:ascii="Times New Roman" w:hAnsi="Times New Roman" w:cs="Times New Roman"/>
                <w:sz w:val="16"/>
                <w:szCs w:val="20"/>
              </w:rPr>
            </w:pPr>
            <w:r w:rsidRPr="003B7DC7">
              <w:rPr>
                <w:rFonts w:ascii="Times New Roman" w:hAnsi="Times New Roman" w:cs="Times New Roman"/>
                <w:sz w:val="16"/>
                <w:szCs w:val="20"/>
              </w:rPr>
              <w:t>sig.</w:t>
            </w:r>
          </w:p>
        </w:tc>
        <w:tc>
          <w:tcPr>
            <w:tcW w:w="747" w:type="pct"/>
            <w:gridSpan w:val="2"/>
            <w:tcBorders>
              <w:top w:val="single" w:sz="4" w:space="0" w:color="auto"/>
              <w:left w:val="single" w:sz="4" w:space="0" w:color="auto"/>
              <w:bottom w:val="single" w:sz="4" w:space="0" w:color="auto"/>
            </w:tcBorders>
            <w:vAlign w:val="center"/>
          </w:tcPr>
          <w:p w14:paraId="1AF410CB" w14:textId="79449FF0" w:rsidR="00E40A40" w:rsidRPr="003B7DC7" w:rsidRDefault="003B7DC7" w:rsidP="003B7DC7">
            <w:pPr>
              <w:autoSpaceDE w:val="0"/>
              <w:autoSpaceDN w:val="0"/>
              <w:adjustRightInd w:val="0"/>
              <w:jc w:val="center"/>
              <w:rPr>
                <w:rFonts w:ascii="Times New Roman" w:hAnsi="Times New Roman" w:cs="Times New Roman"/>
                <w:sz w:val="16"/>
                <w:szCs w:val="20"/>
              </w:rPr>
            </w:pPr>
            <w:r w:rsidRPr="003B7DC7">
              <w:rPr>
                <w:rFonts w:ascii="Times New Roman" w:hAnsi="Times New Roman" w:cs="Times New Roman"/>
                <w:sz w:val="16"/>
                <w:szCs w:val="20"/>
              </w:rPr>
              <w:t>0.003</w:t>
            </w:r>
          </w:p>
        </w:tc>
        <w:tc>
          <w:tcPr>
            <w:tcW w:w="747" w:type="pct"/>
            <w:gridSpan w:val="2"/>
            <w:tcBorders>
              <w:top w:val="single" w:sz="4" w:space="0" w:color="auto"/>
              <w:bottom w:val="single" w:sz="4" w:space="0" w:color="auto"/>
            </w:tcBorders>
            <w:vAlign w:val="center"/>
          </w:tcPr>
          <w:p w14:paraId="20350D7F" w14:textId="3FF9157D" w:rsidR="00E40A40" w:rsidRPr="003B7DC7" w:rsidRDefault="003B7DC7" w:rsidP="003B7DC7">
            <w:pPr>
              <w:autoSpaceDE w:val="0"/>
              <w:autoSpaceDN w:val="0"/>
              <w:adjustRightInd w:val="0"/>
              <w:jc w:val="center"/>
              <w:rPr>
                <w:rFonts w:ascii="Times New Roman" w:hAnsi="Times New Roman" w:cs="Times New Roman"/>
                <w:sz w:val="16"/>
                <w:szCs w:val="20"/>
              </w:rPr>
            </w:pPr>
            <w:r w:rsidRPr="003B7DC7">
              <w:rPr>
                <w:rFonts w:ascii="Times New Roman" w:hAnsi="Times New Roman" w:cs="Times New Roman"/>
                <w:sz w:val="16"/>
                <w:szCs w:val="20"/>
              </w:rPr>
              <w:t>0.000</w:t>
            </w:r>
          </w:p>
        </w:tc>
        <w:tc>
          <w:tcPr>
            <w:tcW w:w="764" w:type="pct"/>
            <w:gridSpan w:val="2"/>
            <w:tcBorders>
              <w:top w:val="single" w:sz="4" w:space="0" w:color="auto"/>
              <w:bottom w:val="single" w:sz="4" w:space="0" w:color="auto"/>
            </w:tcBorders>
            <w:vAlign w:val="center"/>
          </w:tcPr>
          <w:p w14:paraId="2E537B22" w14:textId="703021E0" w:rsidR="00E40A40" w:rsidRPr="003B7DC7" w:rsidRDefault="003B7DC7" w:rsidP="003B7DC7">
            <w:pPr>
              <w:autoSpaceDE w:val="0"/>
              <w:autoSpaceDN w:val="0"/>
              <w:adjustRightInd w:val="0"/>
              <w:jc w:val="center"/>
              <w:rPr>
                <w:rFonts w:ascii="Times New Roman" w:hAnsi="Times New Roman" w:cs="Times New Roman"/>
                <w:sz w:val="16"/>
                <w:szCs w:val="20"/>
              </w:rPr>
            </w:pPr>
            <w:r w:rsidRPr="003B7DC7">
              <w:rPr>
                <w:rFonts w:ascii="Times New Roman" w:hAnsi="Times New Roman" w:cs="Times New Roman"/>
                <w:sz w:val="16"/>
                <w:szCs w:val="20"/>
              </w:rPr>
              <w:t>0.001</w:t>
            </w:r>
          </w:p>
        </w:tc>
        <w:tc>
          <w:tcPr>
            <w:tcW w:w="747" w:type="pct"/>
            <w:gridSpan w:val="2"/>
            <w:tcBorders>
              <w:top w:val="single" w:sz="4" w:space="0" w:color="auto"/>
              <w:bottom w:val="single" w:sz="4" w:space="0" w:color="auto"/>
            </w:tcBorders>
            <w:vAlign w:val="center"/>
          </w:tcPr>
          <w:p w14:paraId="53A79174" w14:textId="209282C3" w:rsidR="00E40A40" w:rsidRPr="003B7DC7" w:rsidRDefault="003B7DC7" w:rsidP="003B7DC7">
            <w:pPr>
              <w:autoSpaceDE w:val="0"/>
              <w:autoSpaceDN w:val="0"/>
              <w:adjustRightInd w:val="0"/>
              <w:jc w:val="center"/>
              <w:rPr>
                <w:rFonts w:ascii="Times New Roman" w:hAnsi="Times New Roman" w:cs="Times New Roman"/>
                <w:sz w:val="16"/>
                <w:szCs w:val="20"/>
              </w:rPr>
            </w:pPr>
            <w:r w:rsidRPr="003B7DC7">
              <w:rPr>
                <w:rFonts w:ascii="Times New Roman" w:hAnsi="Times New Roman" w:cs="Times New Roman"/>
                <w:sz w:val="16"/>
                <w:szCs w:val="20"/>
              </w:rPr>
              <w:t>0.000</w:t>
            </w:r>
          </w:p>
        </w:tc>
        <w:tc>
          <w:tcPr>
            <w:tcW w:w="764" w:type="pct"/>
            <w:gridSpan w:val="2"/>
            <w:tcBorders>
              <w:top w:val="single" w:sz="4" w:space="0" w:color="auto"/>
              <w:bottom w:val="single" w:sz="4" w:space="0" w:color="auto"/>
            </w:tcBorders>
            <w:vAlign w:val="center"/>
          </w:tcPr>
          <w:p w14:paraId="5E8401A1" w14:textId="6DAB6B1B" w:rsidR="00E40A40" w:rsidRPr="003B7DC7" w:rsidRDefault="003B7DC7" w:rsidP="003B7DC7">
            <w:pPr>
              <w:autoSpaceDE w:val="0"/>
              <w:autoSpaceDN w:val="0"/>
              <w:adjustRightInd w:val="0"/>
              <w:jc w:val="center"/>
              <w:rPr>
                <w:rFonts w:ascii="Times New Roman" w:hAnsi="Times New Roman" w:cs="Times New Roman"/>
                <w:sz w:val="16"/>
                <w:szCs w:val="20"/>
              </w:rPr>
            </w:pPr>
            <w:r w:rsidRPr="003B7DC7">
              <w:rPr>
                <w:rFonts w:ascii="Times New Roman" w:hAnsi="Times New Roman" w:cs="Times New Roman"/>
                <w:sz w:val="16"/>
                <w:szCs w:val="20"/>
              </w:rPr>
              <w:t>0.003</w:t>
            </w:r>
          </w:p>
        </w:tc>
        <w:tc>
          <w:tcPr>
            <w:tcW w:w="747" w:type="pct"/>
            <w:gridSpan w:val="2"/>
            <w:tcBorders>
              <w:top w:val="single" w:sz="4" w:space="0" w:color="auto"/>
              <w:bottom w:val="single" w:sz="4" w:space="0" w:color="auto"/>
            </w:tcBorders>
            <w:vAlign w:val="center"/>
          </w:tcPr>
          <w:p w14:paraId="093F6C50" w14:textId="739036E9" w:rsidR="00E40A40" w:rsidRPr="003B7DC7" w:rsidRDefault="003B7DC7" w:rsidP="003B7DC7">
            <w:pPr>
              <w:autoSpaceDE w:val="0"/>
              <w:autoSpaceDN w:val="0"/>
              <w:adjustRightInd w:val="0"/>
              <w:jc w:val="center"/>
              <w:rPr>
                <w:rFonts w:ascii="Times New Roman" w:hAnsi="Times New Roman" w:cs="Times New Roman"/>
                <w:sz w:val="16"/>
                <w:szCs w:val="20"/>
              </w:rPr>
            </w:pPr>
            <w:r w:rsidRPr="003B7DC7">
              <w:rPr>
                <w:rFonts w:ascii="Times New Roman" w:hAnsi="Times New Roman" w:cs="Times New Roman"/>
                <w:sz w:val="16"/>
                <w:szCs w:val="20"/>
              </w:rPr>
              <w:t>0.403</w:t>
            </w:r>
          </w:p>
        </w:tc>
      </w:tr>
    </w:tbl>
    <w:p w14:paraId="3BCDFD90" w14:textId="5BA5A42A" w:rsidR="00FD4287" w:rsidRPr="00B47B68" w:rsidRDefault="00215E9A" w:rsidP="003B7DC7">
      <w:pPr>
        <w:autoSpaceDE w:val="0"/>
        <w:autoSpaceDN w:val="0"/>
        <w:adjustRightInd w:val="0"/>
        <w:snapToGrid w:val="0"/>
        <w:spacing w:after="0" w:line="360" w:lineRule="exact"/>
        <w:rPr>
          <w:rFonts w:asciiTheme="majorBidi" w:hAnsiTheme="majorBidi" w:cstheme="majorBidi"/>
          <w:sz w:val="24"/>
          <w:szCs w:val="26"/>
        </w:rPr>
      </w:pPr>
      <w:r w:rsidRPr="00215E9A">
        <w:rPr>
          <w:rFonts w:asciiTheme="majorBidi" w:hAnsiTheme="majorBidi" w:cstheme="majorBidi"/>
          <w:i/>
          <w:szCs w:val="24"/>
        </w:rPr>
        <w:t>Note.</w:t>
      </w:r>
      <w:r>
        <w:rPr>
          <w:rFonts w:asciiTheme="majorBidi" w:hAnsiTheme="majorBidi" w:cstheme="majorBidi"/>
          <w:i/>
          <w:szCs w:val="24"/>
        </w:rPr>
        <w:t xml:space="preserve"> </w:t>
      </w:r>
      <w:r w:rsidR="00FD4287" w:rsidRPr="00B47B68">
        <w:rPr>
          <w:rFonts w:asciiTheme="majorBidi" w:hAnsiTheme="majorBidi" w:cstheme="majorBidi"/>
          <w:sz w:val="24"/>
          <w:szCs w:val="26"/>
        </w:rPr>
        <w:t>**Correlation is significant at the 0.01 level (2-tailed).</w:t>
      </w:r>
    </w:p>
    <w:p w14:paraId="39B15B91" w14:textId="297006AC" w:rsidR="00AB7A97" w:rsidRPr="00B47B68" w:rsidRDefault="00AB7A97" w:rsidP="003B7DC7">
      <w:pPr>
        <w:autoSpaceDE w:val="0"/>
        <w:autoSpaceDN w:val="0"/>
        <w:adjustRightInd w:val="0"/>
        <w:snapToGrid w:val="0"/>
        <w:spacing w:after="0" w:line="360" w:lineRule="exact"/>
        <w:rPr>
          <w:rFonts w:asciiTheme="majorBidi" w:hAnsiTheme="majorBidi" w:cstheme="majorBidi"/>
          <w:sz w:val="24"/>
          <w:szCs w:val="26"/>
        </w:rPr>
      </w:pPr>
      <w:r w:rsidRPr="00B47B68">
        <w:rPr>
          <w:rFonts w:asciiTheme="majorBidi" w:hAnsiTheme="majorBidi" w:cstheme="majorBidi"/>
          <w:sz w:val="24"/>
          <w:szCs w:val="26"/>
        </w:rPr>
        <w:t>*Correlation is significant at the 0.05 level (2-tailed).</w:t>
      </w:r>
    </w:p>
    <w:p w14:paraId="49BCBE37" w14:textId="77777777" w:rsidR="003B7DC7" w:rsidRPr="003B7DC7" w:rsidRDefault="003B7DC7" w:rsidP="003B7DC7">
      <w:pPr>
        <w:autoSpaceDE w:val="0"/>
        <w:autoSpaceDN w:val="0"/>
        <w:adjustRightInd w:val="0"/>
        <w:snapToGrid w:val="0"/>
        <w:spacing w:after="0" w:line="360" w:lineRule="exact"/>
        <w:rPr>
          <w:rFonts w:asciiTheme="majorBidi" w:hAnsiTheme="majorBidi" w:cstheme="majorBidi"/>
          <w:sz w:val="26"/>
          <w:szCs w:val="26"/>
        </w:rPr>
      </w:pPr>
    </w:p>
    <w:p w14:paraId="0F54C288" w14:textId="5120A13D" w:rsidR="005B257E" w:rsidRPr="003B7DC7" w:rsidRDefault="008D3063" w:rsidP="00B730DC">
      <w:pPr>
        <w:autoSpaceDE w:val="0"/>
        <w:autoSpaceDN w:val="0"/>
        <w:adjustRightInd w:val="0"/>
        <w:snapToGrid w:val="0"/>
        <w:spacing w:after="0" w:line="360" w:lineRule="exact"/>
        <w:ind w:firstLine="510"/>
        <w:jc w:val="both"/>
        <w:rPr>
          <w:rFonts w:ascii="Times New Roman" w:hAnsi="Times New Roman"/>
          <w:sz w:val="26"/>
          <w:szCs w:val="26"/>
        </w:rPr>
      </w:pPr>
      <w:r w:rsidRPr="003B7DC7">
        <w:rPr>
          <w:rFonts w:ascii="Times New Roman" w:hAnsi="Times New Roman"/>
          <w:sz w:val="26"/>
          <w:szCs w:val="26"/>
        </w:rPr>
        <w:t xml:space="preserve">Table </w:t>
      </w:r>
      <w:r w:rsidRPr="003B7DC7">
        <w:rPr>
          <w:rFonts w:ascii="Times New Roman" w:hAnsi="Times New Roman" w:cs="Times New Roman"/>
          <w:sz w:val="26"/>
          <w:szCs w:val="26"/>
        </w:rPr>
        <w:t>21</w:t>
      </w:r>
      <w:r w:rsidR="005B257E" w:rsidRPr="003B7DC7">
        <w:rPr>
          <w:rFonts w:ascii="Times New Roman" w:hAnsi="Times New Roman"/>
          <w:sz w:val="26"/>
          <w:szCs w:val="26"/>
        </w:rPr>
        <w:t xml:space="preserve"> shows that the model is significant in all GCC countries at 0.01except for UAE</w:t>
      </w:r>
      <w:r w:rsidR="003422B7" w:rsidRPr="003B7DC7">
        <w:rPr>
          <w:rFonts w:ascii="Times New Roman" w:hAnsi="Times New Roman"/>
          <w:sz w:val="26"/>
          <w:szCs w:val="26"/>
        </w:rPr>
        <w:t>,</w:t>
      </w:r>
      <w:r w:rsidR="005B257E" w:rsidRPr="003B7DC7">
        <w:rPr>
          <w:rFonts w:ascii="Times New Roman" w:hAnsi="Times New Roman"/>
          <w:sz w:val="26"/>
          <w:szCs w:val="26"/>
        </w:rPr>
        <w:t xml:space="preserve"> </w:t>
      </w:r>
      <w:r w:rsidR="003422B7" w:rsidRPr="003B7DC7">
        <w:rPr>
          <w:rFonts w:ascii="Times New Roman" w:hAnsi="Times New Roman"/>
          <w:sz w:val="26"/>
          <w:szCs w:val="26"/>
        </w:rPr>
        <w:t xml:space="preserve">in which </w:t>
      </w:r>
      <w:r w:rsidR="005B257E" w:rsidRPr="003B7DC7">
        <w:rPr>
          <w:rFonts w:ascii="Times New Roman" w:hAnsi="Times New Roman"/>
          <w:sz w:val="26"/>
          <w:szCs w:val="26"/>
        </w:rPr>
        <w:t xml:space="preserve">the model is insignificant. The level of conservatism has </w:t>
      </w:r>
      <w:r w:rsidR="00A003B1">
        <w:rPr>
          <w:rFonts w:ascii="Times New Roman" w:hAnsi="Times New Roman"/>
          <w:sz w:val="26"/>
          <w:szCs w:val="26"/>
        </w:rPr>
        <w:t xml:space="preserve">a </w:t>
      </w:r>
      <w:r w:rsidR="005B257E" w:rsidRPr="003B7DC7">
        <w:rPr>
          <w:rFonts w:ascii="Times New Roman" w:hAnsi="Times New Roman"/>
          <w:sz w:val="26"/>
          <w:szCs w:val="26"/>
        </w:rPr>
        <w:t>significantly negative effect on attracting foreign investors only in KSA as the coefficient is -0.087 (p-value&lt;0.05)</w:t>
      </w:r>
      <w:r w:rsidR="003422B7" w:rsidRPr="003B7DC7">
        <w:rPr>
          <w:rFonts w:ascii="Times New Roman" w:hAnsi="Times New Roman"/>
          <w:sz w:val="26"/>
          <w:szCs w:val="26"/>
        </w:rPr>
        <w:t>,</w:t>
      </w:r>
      <w:r w:rsidR="005B257E" w:rsidRPr="003B7DC7">
        <w:rPr>
          <w:rFonts w:ascii="Times New Roman" w:hAnsi="Times New Roman"/>
          <w:sz w:val="26"/>
          <w:szCs w:val="26"/>
        </w:rPr>
        <w:t xml:space="preserve"> which indicates that the increase in conservatism </w:t>
      </w:r>
      <w:r w:rsidR="003422B7" w:rsidRPr="003B7DC7">
        <w:rPr>
          <w:rFonts w:ascii="Times New Roman" w:hAnsi="Times New Roman"/>
          <w:sz w:val="26"/>
          <w:szCs w:val="26"/>
        </w:rPr>
        <w:t xml:space="preserve">does </w:t>
      </w:r>
      <w:r w:rsidR="005B257E" w:rsidRPr="003B7DC7">
        <w:rPr>
          <w:rFonts w:ascii="Times New Roman" w:hAnsi="Times New Roman"/>
          <w:sz w:val="26"/>
          <w:szCs w:val="26"/>
        </w:rPr>
        <w:t>not attract foreign investors. As we predicted, H</w:t>
      </w:r>
      <w:r w:rsidR="004175BD" w:rsidRPr="003B7DC7">
        <w:rPr>
          <w:rFonts w:ascii="Times New Roman" w:hAnsi="Times New Roman"/>
          <w:sz w:val="26"/>
          <w:szCs w:val="26"/>
        </w:rPr>
        <w:t>7</w:t>
      </w:r>
      <w:r w:rsidR="005B257E" w:rsidRPr="003B7DC7">
        <w:rPr>
          <w:rFonts w:ascii="Times New Roman" w:hAnsi="Times New Roman"/>
          <w:sz w:val="26"/>
          <w:szCs w:val="26"/>
        </w:rPr>
        <w:t xml:space="preserve"> is accepted </w:t>
      </w:r>
      <w:r w:rsidR="004175BD" w:rsidRPr="003B7DC7">
        <w:rPr>
          <w:rFonts w:ascii="Times New Roman" w:hAnsi="Times New Roman"/>
          <w:sz w:val="26"/>
          <w:szCs w:val="26"/>
        </w:rPr>
        <w:t xml:space="preserve">(except in KSA) </w:t>
      </w:r>
      <w:r w:rsidR="005B257E" w:rsidRPr="003B7DC7">
        <w:rPr>
          <w:rFonts w:ascii="Times New Roman" w:hAnsi="Times New Roman"/>
          <w:sz w:val="26"/>
          <w:szCs w:val="26"/>
        </w:rPr>
        <w:t>as the accounting conservatism practices are rarely used in GCC countries</w:t>
      </w:r>
      <w:r w:rsidR="003422B7" w:rsidRPr="003B7DC7">
        <w:rPr>
          <w:rFonts w:ascii="Times New Roman" w:hAnsi="Times New Roman"/>
          <w:sz w:val="26"/>
          <w:szCs w:val="26"/>
        </w:rPr>
        <w:t>,</w:t>
      </w:r>
      <w:r w:rsidR="005B257E" w:rsidRPr="003B7DC7">
        <w:rPr>
          <w:rFonts w:ascii="Times New Roman" w:hAnsi="Times New Roman"/>
          <w:sz w:val="26"/>
          <w:szCs w:val="26"/>
        </w:rPr>
        <w:t xml:space="preserve"> and </w:t>
      </w:r>
      <w:r w:rsidR="00137EC6" w:rsidRPr="003B7DC7">
        <w:rPr>
          <w:rFonts w:ascii="Times New Roman" w:hAnsi="Times New Roman"/>
          <w:sz w:val="26"/>
          <w:szCs w:val="26"/>
        </w:rPr>
        <w:t xml:space="preserve">conservatism </w:t>
      </w:r>
      <w:r w:rsidR="005B257E" w:rsidRPr="003B7DC7">
        <w:rPr>
          <w:rFonts w:ascii="Times New Roman" w:hAnsi="Times New Roman"/>
          <w:sz w:val="26"/>
          <w:szCs w:val="26"/>
        </w:rPr>
        <w:t>is not used as a tool to protect the investors</w:t>
      </w:r>
      <w:r w:rsidR="00A003B1">
        <w:rPr>
          <w:rFonts w:ascii="Times New Roman" w:hAnsi="Times New Roman"/>
          <w:sz w:val="26"/>
          <w:szCs w:val="26"/>
        </w:rPr>
        <w:t>,</w:t>
      </w:r>
      <w:r w:rsidR="005B257E" w:rsidRPr="003B7DC7">
        <w:rPr>
          <w:rFonts w:ascii="Times New Roman" w:hAnsi="Times New Roman"/>
          <w:sz w:val="26"/>
          <w:szCs w:val="26"/>
        </w:rPr>
        <w:t xml:space="preserve"> and foreign investor</w:t>
      </w:r>
      <w:r w:rsidR="00137EC6" w:rsidRPr="003B7DC7">
        <w:rPr>
          <w:rFonts w:ascii="Times New Roman" w:hAnsi="Times New Roman"/>
          <w:sz w:val="26"/>
          <w:szCs w:val="26"/>
        </w:rPr>
        <w:t>s</w:t>
      </w:r>
      <w:r w:rsidR="005B257E" w:rsidRPr="003B7DC7">
        <w:rPr>
          <w:rFonts w:ascii="Times New Roman" w:hAnsi="Times New Roman"/>
          <w:sz w:val="26"/>
          <w:szCs w:val="26"/>
        </w:rPr>
        <w:t xml:space="preserve"> </w:t>
      </w:r>
      <w:r w:rsidR="00137EC6" w:rsidRPr="003B7DC7">
        <w:rPr>
          <w:rFonts w:ascii="Times New Roman" w:hAnsi="Times New Roman"/>
          <w:sz w:val="26"/>
          <w:szCs w:val="26"/>
        </w:rPr>
        <w:t>have</w:t>
      </w:r>
      <w:r w:rsidR="005B257E" w:rsidRPr="003B7DC7">
        <w:rPr>
          <w:rFonts w:ascii="Times New Roman" w:hAnsi="Times New Roman"/>
          <w:sz w:val="26"/>
          <w:szCs w:val="26"/>
        </w:rPr>
        <w:t xml:space="preserve"> no power in the board of directors in GCC firms. For example, in KSA, as </w:t>
      </w:r>
      <w:proofErr w:type="spellStart"/>
      <w:r w:rsidR="005B257E" w:rsidRPr="003B7DC7">
        <w:rPr>
          <w:rFonts w:ascii="Times New Roman" w:hAnsi="Times New Roman"/>
          <w:sz w:val="26"/>
          <w:szCs w:val="26"/>
        </w:rPr>
        <w:t>Naif</w:t>
      </w:r>
      <w:proofErr w:type="spellEnd"/>
      <w:r w:rsidR="005B257E" w:rsidRPr="003B7DC7">
        <w:rPr>
          <w:rFonts w:ascii="Times New Roman" w:hAnsi="Times New Roman"/>
          <w:sz w:val="26"/>
          <w:szCs w:val="26"/>
        </w:rPr>
        <w:t xml:space="preserve"> </w:t>
      </w:r>
      <w:r w:rsidR="00523653">
        <w:rPr>
          <w:rFonts w:ascii="Times New Roman" w:hAnsi="Times New Roman"/>
          <w:sz w:val="26"/>
          <w:szCs w:val="26"/>
        </w:rPr>
        <w:t>and</w:t>
      </w:r>
      <w:r w:rsidR="005B257E" w:rsidRPr="003B7DC7">
        <w:rPr>
          <w:rFonts w:ascii="Times New Roman" w:hAnsi="Times New Roman"/>
          <w:sz w:val="26"/>
          <w:szCs w:val="26"/>
        </w:rPr>
        <w:t xml:space="preserve"> Ali (2019)</w:t>
      </w:r>
      <w:r w:rsidR="00137EC6" w:rsidRPr="003B7DC7">
        <w:rPr>
          <w:rFonts w:ascii="Times New Roman" w:hAnsi="Times New Roman"/>
          <w:sz w:val="26"/>
          <w:szCs w:val="26"/>
        </w:rPr>
        <w:t>,</w:t>
      </w:r>
      <w:r w:rsidR="005B257E" w:rsidRPr="003B7DC7">
        <w:rPr>
          <w:rFonts w:ascii="Times New Roman" w:hAnsi="Times New Roman"/>
          <w:sz w:val="26"/>
          <w:szCs w:val="26"/>
        </w:rPr>
        <w:t xml:space="preserve"> the capital market </w:t>
      </w:r>
      <w:r w:rsidR="005742BC" w:rsidRPr="003B7DC7">
        <w:rPr>
          <w:rFonts w:ascii="Times New Roman" w:hAnsi="Times New Roman"/>
          <w:sz w:val="26"/>
          <w:szCs w:val="26"/>
        </w:rPr>
        <w:t>‘</w:t>
      </w:r>
      <w:r w:rsidR="005B257E" w:rsidRPr="003B7DC7">
        <w:rPr>
          <w:rFonts w:ascii="Times New Roman" w:hAnsi="Times New Roman"/>
          <w:sz w:val="26"/>
          <w:szCs w:val="26"/>
        </w:rPr>
        <w:t>Tadawul</w:t>
      </w:r>
      <w:r w:rsidR="005742BC" w:rsidRPr="003B7DC7">
        <w:rPr>
          <w:rFonts w:ascii="Times New Roman" w:hAnsi="Times New Roman"/>
          <w:sz w:val="26"/>
          <w:szCs w:val="26"/>
        </w:rPr>
        <w:t>’</w:t>
      </w:r>
      <w:r w:rsidR="005B257E" w:rsidRPr="003B7DC7">
        <w:rPr>
          <w:rFonts w:ascii="Times New Roman" w:hAnsi="Times New Roman"/>
          <w:sz w:val="26"/>
          <w:szCs w:val="26"/>
        </w:rPr>
        <w:t xml:space="preserve"> is considered one of the good markets for </w:t>
      </w:r>
      <w:r w:rsidR="005506C1" w:rsidRPr="003B7DC7">
        <w:rPr>
          <w:rFonts w:ascii="Times New Roman" w:hAnsi="Times New Roman"/>
          <w:sz w:val="26"/>
          <w:szCs w:val="26"/>
        </w:rPr>
        <w:t>FI</w:t>
      </w:r>
      <w:r w:rsidR="00137EC6" w:rsidRPr="003B7DC7">
        <w:rPr>
          <w:rFonts w:ascii="Times New Roman" w:hAnsi="Times New Roman"/>
          <w:sz w:val="26"/>
          <w:szCs w:val="26"/>
        </w:rPr>
        <w:t>,</w:t>
      </w:r>
      <w:r w:rsidR="005506C1" w:rsidRPr="003B7DC7">
        <w:rPr>
          <w:rFonts w:ascii="Times New Roman" w:hAnsi="Times New Roman"/>
          <w:sz w:val="26"/>
          <w:szCs w:val="26"/>
        </w:rPr>
        <w:t xml:space="preserve"> </w:t>
      </w:r>
      <w:r w:rsidR="005B257E" w:rsidRPr="003B7DC7">
        <w:rPr>
          <w:rFonts w:ascii="Times New Roman" w:hAnsi="Times New Roman"/>
          <w:sz w:val="26"/>
          <w:szCs w:val="26"/>
        </w:rPr>
        <w:t>but many issues are pending and not implement</w:t>
      </w:r>
      <w:r w:rsidR="00137EC6" w:rsidRPr="003B7DC7">
        <w:rPr>
          <w:rFonts w:ascii="Times New Roman" w:hAnsi="Times New Roman"/>
          <w:sz w:val="26"/>
          <w:szCs w:val="26"/>
        </w:rPr>
        <w:t>ed</w:t>
      </w:r>
      <w:r w:rsidR="005B257E" w:rsidRPr="003B7DC7">
        <w:rPr>
          <w:rFonts w:ascii="Times New Roman" w:hAnsi="Times New Roman"/>
          <w:sz w:val="26"/>
          <w:szCs w:val="26"/>
        </w:rPr>
        <w:t xml:space="preserve"> to attract more foreign investor</w:t>
      </w:r>
      <w:r w:rsidR="00137EC6" w:rsidRPr="003B7DC7">
        <w:rPr>
          <w:rFonts w:ascii="Times New Roman" w:hAnsi="Times New Roman"/>
          <w:sz w:val="26"/>
          <w:szCs w:val="26"/>
        </w:rPr>
        <w:t>s</w:t>
      </w:r>
      <w:r w:rsidR="005B257E" w:rsidRPr="003B7DC7">
        <w:rPr>
          <w:rFonts w:ascii="Times New Roman" w:hAnsi="Times New Roman"/>
          <w:sz w:val="26"/>
          <w:szCs w:val="26"/>
        </w:rPr>
        <w:t xml:space="preserve">. This result is supported by </w:t>
      </w:r>
      <w:proofErr w:type="gramStart"/>
      <w:r w:rsidR="005B257E" w:rsidRPr="003B7DC7">
        <w:rPr>
          <w:rFonts w:ascii="Times New Roman" w:hAnsi="Times New Roman"/>
          <w:sz w:val="26"/>
          <w:szCs w:val="26"/>
        </w:rPr>
        <w:t>An</w:t>
      </w:r>
      <w:proofErr w:type="gramEnd"/>
      <w:r w:rsidR="005B257E" w:rsidRPr="003B7DC7">
        <w:rPr>
          <w:rFonts w:ascii="Times New Roman" w:hAnsi="Times New Roman"/>
          <w:sz w:val="26"/>
          <w:szCs w:val="26"/>
        </w:rPr>
        <w:t xml:space="preserve"> (2019) </w:t>
      </w:r>
      <w:r w:rsidR="00A41BCF" w:rsidRPr="003B7DC7">
        <w:rPr>
          <w:rFonts w:ascii="Times New Roman" w:hAnsi="Times New Roman"/>
          <w:sz w:val="26"/>
          <w:szCs w:val="26"/>
        </w:rPr>
        <w:t>wh</w:t>
      </w:r>
      <w:r w:rsidR="00A003B1">
        <w:rPr>
          <w:rFonts w:ascii="Times New Roman" w:hAnsi="Times New Roman"/>
          <w:sz w:val="26"/>
          <w:szCs w:val="26"/>
        </w:rPr>
        <w:t>ich</w:t>
      </w:r>
      <w:r w:rsidR="00A41BCF" w:rsidRPr="003B7DC7">
        <w:rPr>
          <w:rFonts w:ascii="Times New Roman" w:hAnsi="Times New Roman"/>
          <w:sz w:val="26"/>
          <w:szCs w:val="26"/>
        </w:rPr>
        <w:t xml:space="preserve"> found</w:t>
      </w:r>
      <w:r w:rsidR="005B257E" w:rsidRPr="003B7DC7">
        <w:rPr>
          <w:rFonts w:ascii="Times New Roman" w:hAnsi="Times New Roman"/>
          <w:sz w:val="26"/>
          <w:szCs w:val="26"/>
        </w:rPr>
        <w:t xml:space="preserve"> no relationship between </w:t>
      </w:r>
      <w:r w:rsidR="005506C1" w:rsidRPr="003B7DC7">
        <w:rPr>
          <w:rFonts w:ascii="Times New Roman" w:hAnsi="Times New Roman"/>
          <w:sz w:val="26"/>
          <w:szCs w:val="26"/>
        </w:rPr>
        <w:t xml:space="preserve">FI </w:t>
      </w:r>
      <w:r w:rsidR="005B257E" w:rsidRPr="003B7DC7">
        <w:rPr>
          <w:rFonts w:ascii="Times New Roman" w:hAnsi="Times New Roman"/>
          <w:sz w:val="26"/>
          <w:szCs w:val="26"/>
        </w:rPr>
        <w:t xml:space="preserve">and </w:t>
      </w:r>
      <w:r w:rsidR="00137EC6" w:rsidRPr="003B7DC7">
        <w:rPr>
          <w:rFonts w:ascii="Times New Roman" w:hAnsi="Times New Roman"/>
          <w:sz w:val="26"/>
          <w:szCs w:val="26"/>
        </w:rPr>
        <w:t xml:space="preserve">EQ-CON, </w:t>
      </w:r>
      <w:r w:rsidR="005B257E" w:rsidRPr="003B7DC7">
        <w:rPr>
          <w:rFonts w:ascii="Times New Roman" w:hAnsi="Times New Roman"/>
          <w:sz w:val="26"/>
          <w:szCs w:val="26"/>
        </w:rPr>
        <w:t xml:space="preserve">but it is not in line </w:t>
      </w:r>
      <w:r w:rsidR="00137EC6" w:rsidRPr="003B7DC7">
        <w:rPr>
          <w:rFonts w:ascii="Times New Roman" w:hAnsi="Times New Roman"/>
          <w:sz w:val="26"/>
          <w:szCs w:val="26"/>
        </w:rPr>
        <w:t>with</w:t>
      </w:r>
      <w:r w:rsidR="00472BC5" w:rsidRPr="003B7DC7">
        <w:rPr>
          <w:rFonts w:ascii="Times New Roman" w:hAnsi="Times New Roman"/>
          <w:sz w:val="26"/>
          <w:szCs w:val="26"/>
        </w:rPr>
        <w:t xml:space="preserve"> </w:t>
      </w:r>
      <w:r w:rsidR="005B257E" w:rsidRPr="003B7DC7">
        <w:rPr>
          <w:rFonts w:ascii="Times New Roman" w:hAnsi="Times New Roman"/>
          <w:sz w:val="26"/>
          <w:szCs w:val="26"/>
        </w:rPr>
        <w:t>Khalil et al.</w:t>
      </w:r>
      <w:r w:rsidR="00944F99" w:rsidRPr="003B7DC7">
        <w:rPr>
          <w:rFonts w:ascii="Times New Roman" w:hAnsi="Times New Roman"/>
          <w:sz w:val="26"/>
          <w:szCs w:val="26"/>
        </w:rPr>
        <w:t xml:space="preserve"> (</w:t>
      </w:r>
      <w:r w:rsidR="005B257E" w:rsidRPr="003B7DC7">
        <w:rPr>
          <w:rFonts w:ascii="Times New Roman" w:hAnsi="Times New Roman"/>
          <w:sz w:val="26"/>
          <w:szCs w:val="26"/>
        </w:rPr>
        <w:t>20</w:t>
      </w:r>
      <w:r w:rsidR="00033BF7">
        <w:rPr>
          <w:rFonts w:ascii="Times New Roman" w:hAnsi="Times New Roman"/>
          <w:sz w:val="26"/>
          <w:szCs w:val="26"/>
        </w:rPr>
        <w:t>20</w:t>
      </w:r>
      <w:r w:rsidR="005B257E" w:rsidRPr="003B7DC7">
        <w:rPr>
          <w:rFonts w:ascii="Times New Roman" w:hAnsi="Times New Roman"/>
          <w:sz w:val="26"/>
          <w:szCs w:val="26"/>
        </w:rPr>
        <w:t xml:space="preserve">) </w:t>
      </w:r>
      <w:r w:rsidR="00A41BCF" w:rsidRPr="003B7DC7">
        <w:rPr>
          <w:rFonts w:ascii="Times New Roman" w:hAnsi="Times New Roman"/>
          <w:sz w:val="26"/>
          <w:szCs w:val="26"/>
        </w:rPr>
        <w:t>wh</w:t>
      </w:r>
      <w:r w:rsidR="00A003B1">
        <w:rPr>
          <w:rFonts w:ascii="Times New Roman" w:hAnsi="Times New Roman"/>
          <w:sz w:val="26"/>
          <w:szCs w:val="26"/>
        </w:rPr>
        <w:t>ich</w:t>
      </w:r>
      <w:r w:rsidR="00A41BCF" w:rsidRPr="003B7DC7">
        <w:rPr>
          <w:rFonts w:ascii="Times New Roman" w:hAnsi="Times New Roman"/>
          <w:sz w:val="26"/>
          <w:szCs w:val="26"/>
        </w:rPr>
        <w:t xml:space="preserve"> found</w:t>
      </w:r>
      <w:r w:rsidR="005B257E" w:rsidRPr="003B7DC7">
        <w:rPr>
          <w:rFonts w:ascii="Times New Roman" w:hAnsi="Times New Roman"/>
          <w:sz w:val="26"/>
          <w:szCs w:val="26"/>
        </w:rPr>
        <w:t xml:space="preserve"> that conservatism practices are attractive practices </w:t>
      </w:r>
      <w:r w:rsidR="00137EC6" w:rsidRPr="003B7DC7">
        <w:rPr>
          <w:rFonts w:ascii="Times New Roman" w:hAnsi="Times New Roman"/>
          <w:sz w:val="26"/>
          <w:szCs w:val="26"/>
        </w:rPr>
        <w:t xml:space="preserve">for </w:t>
      </w:r>
      <w:r w:rsidR="005B257E" w:rsidRPr="003B7DC7">
        <w:rPr>
          <w:rFonts w:ascii="Times New Roman" w:hAnsi="Times New Roman"/>
          <w:sz w:val="26"/>
          <w:szCs w:val="26"/>
        </w:rPr>
        <w:t xml:space="preserve">foreign investors. </w:t>
      </w:r>
      <w:r w:rsidR="00314638" w:rsidRPr="003B7DC7">
        <w:rPr>
          <w:rFonts w:ascii="Times New Roman" w:hAnsi="Times New Roman"/>
          <w:sz w:val="26"/>
          <w:szCs w:val="26"/>
        </w:rPr>
        <w:t xml:space="preserve">In general, </w:t>
      </w:r>
      <w:r w:rsidR="00137EC6" w:rsidRPr="003B7DC7">
        <w:rPr>
          <w:rFonts w:ascii="Times New Roman" w:hAnsi="Times New Roman"/>
          <w:sz w:val="26"/>
          <w:szCs w:val="26"/>
        </w:rPr>
        <w:t>foreign investors prefer</w:t>
      </w:r>
      <w:r w:rsidR="00314638" w:rsidRPr="003B7DC7">
        <w:rPr>
          <w:rFonts w:ascii="Times New Roman" w:hAnsi="Times New Roman"/>
          <w:sz w:val="26"/>
          <w:szCs w:val="26"/>
        </w:rPr>
        <w:t xml:space="preserve"> to invest in firms audited by </w:t>
      </w:r>
      <w:r w:rsidR="007A4D9B">
        <w:rPr>
          <w:rFonts w:ascii="Times New Roman" w:hAnsi="Times New Roman"/>
          <w:sz w:val="26"/>
          <w:szCs w:val="26"/>
        </w:rPr>
        <w:t xml:space="preserve">the </w:t>
      </w:r>
      <w:r w:rsidR="00314638" w:rsidRPr="003B7DC7">
        <w:rPr>
          <w:rFonts w:ascii="Times New Roman" w:hAnsi="Times New Roman"/>
          <w:sz w:val="26"/>
          <w:szCs w:val="26"/>
        </w:rPr>
        <w:t xml:space="preserve">big 4, </w:t>
      </w:r>
      <w:r w:rsidR="00137EC6" w:rsidRPr="003B7DC7">
        <w:rPr>
          <w:rFonts w:ascii="Times New Roman" w:hAnsi="Times New Roman"/>
          <w:sz w:val="26"/>
          <w:szCs w:val="26"/>
        </w:rPr>
        <w:t xml:space="preserve">have </w:t>
      </w:r>
      <w:r w:rsidR="00314638" w:rsidRPr="003B7DC7">
        <w:rPr>
          <w:rFonts w:ascii="Times New Roman" w:hAnsi="Times New Roman"/>
          <w:sz w:val="26"/>
          <w:szCs w:val="26"/>
        </w:rPr>
        <w:t>less risk</w:t>
      </w:r>
      <w:r w:rsidR="007A4D9B">
        <w:rPr>
          <w:rFonts w:ascii="Times New Roman" w:hAnsi="Times New Roman"/>
          <w:sz w:val="26"/>
          <w:szCs w:val="26"/>
        </w:rPr>
        <w:t>,</w:t>
      </w:r>
      <w:r w:rsidR="00314638" w:rsidRPr="003B7DC7">
        <w:rPr>
          <w:rFonts w:ascii="Times New Roman" w:hAnsi="Times New Roman"/>
          <w:sz w:val="26"/>
          <w:szCs w:val="26"/>
        </w:rPr>
        <w:t xml:space="preserve"> and </w:t>
      </w:r>
      <w:r w:rsidR="00137EC6" w:rsidRPr="003B7DC7">
        <w:rPr>
          <w:rFonts w:ascii="Times New Roman" w:hAnsi="Times New Roman"/>
          <w:sz w:val="26"/>
          <w:szCs w:val="26"/>
        </w:rPr>
        <w:t xml:space="preserve">are </w:t>
      </w:r>
      <w:r w:rsidR="00314638" w:rsidRPr="003B7DC7">
        <w:rPr>
          <w:rFonts w:ascii="Times New Roman" w:hAnsi="Times New Roman"/>
          <w:sz w:val="26"/>
          <w:szCs w:val="26"/>
        </w:rPr>
        <w:t xml:space="preserve">small </w:t>
      </w:r>
      <w:r w:rsidR="00137EC6" w:rsidRPr="003B7DC7">
        <w:rPr>
          <w:rFonts w:ascii="Times New Roman" w:hAnsi="Times New Roman"/>
          <w:sz w:val="26"/>
          <w:szCs w:val="26"/>
        </w:rPr>
        <w:t xml:space="preserve">in </w:t>
      </w:r>
      <w:r w:rsidR="00314638" w:rsidRPr="003B7DC7">
        <w:rPr>
          <w:rFonts w:ascii="Times New Roman" w:hAnsi="Times New Roman"/>
          <w:sz w:val="26"/>
          <w:szCs w:val="26"/>
        </w:rPr>
        <w:t xml:space="preserve">size as conservatism is low.  </w:t>
      </w:r>
    </w:p>
    <w:p w14:paraId="41B78332" w14:textId="77777777" w:rsidR="005B257E" w:rsidRPr="003B7DC7" w:rsidRDefault="005B257E" w:rsidP="003B7DC7">
      <w:pPr>
        <w:autoSpaceDE w:val="0"/>
        <w:autoSpaceDN w:val="0"/>
        <w:adjustRightInd w:val="0"/>
        <w:snapToGrid w:val="0"/>
        <w:spacing w:after="0" w:line="360" w:lineRule="exact"/>
        <w:jc w:val="both"/>
        <w:rPr>
          <w:rFonts w:ascii="Times New Roman" w:hAnsi="Times New Roman"/>
          <w:sz w:val="26"/>
          <w:szCs w:val="26"/>
        </w:rPr>
      </w:pPr>
    </w:p>
    <w:p w14:paraId="3830D9F3" w14:textId="133DCFA3" w:rsidR="000870A7" w:rsidRPr="003B7DC7" w:rsidRDefault="00B932EA" w:rsidP="003B7DC7">
      <w:pPr>
        <w:autoSpaceDE w:val="0"/>
        <w:autoSpaceDN w:val="0"/>
        <w:adjustRightInd w:val="0"/>
        <w:snapToGrid w:val="0"/>
        <w:spacing w:after="0" w:line="360" w:lineRule="exact"/>
        <w:rPr>
          <w:rFonts w:ascii="Times New Roman" w:hAnsi="Times New Roman"/>
          <w:b/>
          <w:sz w:val="26"/>
          <w:szCs w:val="26"/>
        </w:rPr>
      </w:pPr>
      <w:r w:rsidRPr="003B7DC7">
        <w:rPr>
          <w:rFonts w:ascii="Times New Roman" w:hAnsi="Times New Roman"/>
          <w:b/>
          <w:sz w:val="26"/>
          <w:szCs w:val="26"/>
        </w:rPr>
        <w:t xml:space="preserve">Ranking of </w:t>
      </w:r>
      <w:r w:rsidR="006B1C85" w:rsidRPr="003B7DC7">
        <w:rPr>
          <w:rFonts w:ascii="Times New Roman" w:hAnsi="Times New Roman"/>
          <w:b/>
          <w:sz w:val="26"/>
          <w:szCs w:val="26"/>
        </w:rPr>
        <w:t>EQ</w:t>
      </w:r>
      <w:r w:rsidRPr="003B7DC7">
        <w:rPr>
          <w:rFonts w:ascii="Times New Roman" w:hAnsi="Times New Roman"/>
          <w:b/>
          <w:sz w:val="26"/>
          <w:szCs w:val="26"/>
        </w:rPr>
        <w:t xml:space="preserve"> Measures</w:t>
      </w:r>
    </w:p>
    <w:p w14:paraId="45260F60" w14:textId="6D974125" w:rsidR="00B932EA" w:rsidRPr="003B7DC7" w:rsidRDefault="00AF1A5C" w:rsidP="00B730DC">
      <w:pPr>
        <w:pStyle w:val="Default"/>
        <w:snapToGrid w:val="0"/>
        <w:spacing w:line="360" w:lineRule="exact"/>
        <w:ind w:firstLine="510"/>
        <w:jc w:val="both"/>
        <w:rPr>
          <w:color w:val="auto"/>
          <w:sz w:val="26"/>
          <w:szCs w:val="26"/>
          <w:lang w:val="en-GB"/>
        </w:rPr>
      </w:pPr>
      <w:r w:rsidRPr="003B7DC7">
        <w:rPr>
          <w:color w:val="auto"/>
          <w:sz w:val="26"/>
          <w:szCs w:val="26"/>
          <w:lang w:val="en-GB"/>
        </w:rPr>
        <w:t xml:space="preserve">The ranking of </w:t>
      </w:r>
      <w:r w:rsidR="006B1C85" w:rsidRPr="003B7DC7">
        <w:rPr>
          <w:color w:val="auto"/>
          <w:sz w:val="26"/>
          <w:szCs w:val="26"/>
          <w:lang w:val="en-GB"/>
        </w:rPr>
        <w:t>EQ</w:t>
      </w:r>
      <w:r w:rsidRPr="003B7DC7">
        <w:rPr>
          <w:color w:val="auto"/>
          <w:sz w:val="26"/>
          <w:szCs w:val="26"/>
          <w:lang w:val="en-GB"/>
        </w:rPr>
        <w:t xml:space="preserve"> measures helps </w:t>
      </w:r>
      <w:r w:rsidR="00137EC6" w:rsidRPr="003B7DC7">
        <w:rPr>
          <w:color w:val="auto"/>
          <w:sz w:val="26"/>
          <w:szCs w:val="26"/>
          <w:lang w:val="en-GB"/>
        </w:rPr>
        <w:t>investors</w:t>
      </w:r>
      <w:r w:rsidRPr="003B7DC7">
        <w:rPr>
          <w:color w:val="auto"/>
          <w:sz w:val="26"/>
          <w:szCs w:val="26"/>
          <w:lang w:val="en-GB"/>
        </w:rPr>
        <w:t xml:space="preserve"> build </w:t>
      </w:r>
      <w:r w:rsidR="00137EC6" w:rsidRPr="003B7DC7">
        <w:rPr>
          <w:color w:val="auto"/>
          <w:sz w:val="26"/>
          <w:szCs w:val="26"/>
          <w:lang w:val="en-GB"/>
        </w:rPr>
        <w:t>their</w:t>
      </w:r>
      <w:r w:rsidRPr="003B7DC7">
        <w:rPr>
          <w:color w:val="auto"/>
          <w:sz w:val="26"/>
          <w:szCs w:val="26"/>
          <w:lang w:val="en-GB"/>
        </w:rPr>
        <w:t xml:space="preserve"> decision model</w:t>
      </w:r>
      <w:r w:rsidR="007A4D9B">
        <w:rPr>
          <w:color w:val="auto"/>
          <w:sz w:val="26"/>
          <w:szCs w:val="26"/>
          <w:lang w:val="en-GB"/>
        </w:rPr>
        <w:t>s</w:t>
      </w:r>
      <w:r w:rsidRPr="003B7DC7">
        <w:rPr>
          <w:color w:val="auto"/>
          <w:sz w:val="26"/>
          <w:szCs w:val="26"/>
          <w:lang w:val="en-GB"/>
        </w:rPr>
        <w:t xml:space="preserve"> carefully. </w:t>
      </w:r>
      <w:proofErr w:type="spellStart"/>
      <w:r w:rsidR="007A4D9B">
        <w:rPr>
          <w:color w:val="auto"/>
          <w:sz w:val="26"/>
          <w:szCs w:val="26"/>
          <w:lang w:val="en-GB"/>
        </w:rPr>
        <w:t>Perotti</w:t>
      </w:r>
      <w:proofErr w:type="spellEnd"/>
      <w:r w:rsidR="007A4D9B">
        <w:rPr>
          <w:color w:val="auto"/>
          <w:sz w:val="26"/>
          <w:szCs w:val="26"/>
          <w:lang w:val="en-GB"/>
        </w:rPr>
        <w:t xml:space="preserve"> </w:t>
      </w:r>
      <w:r w:rsidR="00523653">
        <w:rPr>
          <w:color w:val="auto"/>
          <w:sz w:val="26"/>
          <w:szCs w:val="26"/>
          <w:lang w:val="en-GB"/>
        </w:rPr>
        <w:t>and</w:t>
      </w:r>
      <w:r w:rsidR="007A4D9B">
        <w:rPr>
          <w:color w:val="auto"/>
          <w:sz w:val="26"/>
          <w:szCs w:val="26"/>
          <w:lang w:val="en-GB"/>
        </w:rPr>
        <w:t xml:space="preserve"> </w:t>
      </w:r>
      <w:proofErr w:type="spellStart"/>
      <w:r w:rsidR="00A962D9">
        <w:rPr>
          <w:color w:val="auto"/>
          <w:sz w:val="26"/>
          <w:szCs w:val="26"/>
          <w:lang w:val="en-GB"/>
        </w:rPr>
        <w:t>Wagenhofer</w:t>
      </w:r>
      <w:proofErr w:type="spellEnd"/>
      <w:r w:rsidR="007A4D9B">
        <w:rPr>
          <w:color w:val="auto"/>
          <w:sz w:val="26"/>
          <w:szCs w:val="26"/>
          <w:lang w:val="en-GB"/>
        </w:rPr>
        <w:t xml:space="preserve"> (2014) discussed that</w:t>
      </w:r>
      <w:r w:rsidR="00907462" w:rsidRPr="003B7DC7">
        <w:rPr>
          <w:color w:val="auto"/>
          <w:sz w:val="26"/>
          <w:szCs w:val="26"/>
          <w:lang w:val="en-GB"/>
        </w:rPr>
        <w:t xml:space="preserve"> there is little discussion in the literature addressing this point as this </w:t>
      </w:r>
      <w:r w:rsidR="00137EC6" w:rsidRPr="003B7DC7">
        <w:rPr>
          <w:color w:val="auto"/>
          <w:sz w:val="26"/>
          <w:szCs w:val="26"/>
          <w:lang w:val="en-GB"/>
        </w:rPr>
        <w:t xml:space="preserve">depends </w:t>
      </w:r>
      <w:r w:rsidR="00907462" w:rsidRPr="003B7DC7">
        <w:rPr>
          <w:color w:val="auto"/>
          <w:sz w:val="26"/>
          <w:szCs w:val="26"/>
          <w:lang w:val="en-GB"/>
        </w:rPr>
        <w:t>on the measures themselves and the association between these measures and other variable</w:t>
      </w:r>
      <w:r w:rsidR="00137EC6" w:rsidRPr="003B7DC7">
        <w:rPr>
          <w:color w:val="auto"/>
          <w:sz w:val="26"/>
          <w:szCs w:val="26"/>
          <w:lang w:val="en-GB"/>
        </w:rPr>
        <w:t>s</w:t>
      </w:r>
      <w:r w:rsidR="00907462" w:rsidRPr="003B7DC7">
        <w:rPr>
          <w:color w:val="auto"/>
          <w:sz w:val="26"/>
          <w:szCs w:val="26"/>
          <w:lang w:val="en-GB"/>
        </w:rPr>
        <w:t xml:space="preserve">. </w:t>
      </w:r>
      <w:proofErr w:type="spellStart"/>
      <w:r w:rsidR="0087368A" w:rsidRPr="003B7DC7">
        <w:rPr>
          <w:color w:val="auto"/>
          <w:sz w:val="26"/>
          <w:szCs w:val="26"/>
          <w:lang w:val="en-GB"/>
        </w:rPr>
        <w:t>Lyimo</w:t>
      </w:r>
      <w:proofErr w:type="spellEnd"/>
      <w:r w:rsidR="0087368A" w:rsidRPr="003B7DC7">
        <w:rPr>
          <w:color w:val="auto"/>
          <w:sz w:val="26"/>
          <w:szCs w:val="26"/>
          <w:lang w:val="en-GB"/>
        </w:rPr>
        <w:t xml:space="preserve"> (2014) </w:t>
      </w:r>
      <w:r w:rsidR="00137EC6" w:rsidRPr="003B7DC7">
        <w:rPr>
          <w:color w:val="auto"/>
          <w:sz w:val="26"/>
          <w:szCs w:val="26"/>
          <w:lang w:val="en-GB"/>
        </w:rPr>
        <w:t xml:space="preserve">used </w:t>
      </w:r>
      <w:r w:rsidR="0087368A" w:rsidRPr="003B7DC7">
        <w:rPr>
          <w:color w:val="auto"/>
          <w:sz w:val="26"/>
          <w:szCs w:val="26"/>
          <w:lang w:val="en-GB"/>
        </w:rPr>
        <w:t xml:space="preserve">consistency among the </w:t>
      </w:r>
      <w:r w:rsidR="006B1C85" w:rsidRPr="003B7DC7">
        <w:rPr>
          <w:color w:val="auto"/>
          <w:sz w:val="26"/>
          <w:szCs w:val="26"/>
          <w:lang w:val="en-GB"/>
        </w:rPr>
        <w:t>EQ</w:t>
      </w:r>
      <w:r w:rsidR="0087368A" w:rsidRPr="003B7DC7">
        <w:rPr>
          <w:color w:val="auto"/>
          <w:sz w:val="26"/>
          <w:szCs w:val="26"/>
          <w:lang w:val="en-GB"/>
        </w:rPr>
        <w:t xml:space="preserve"> measures as more consistency indicates good measures. </w:t>
      </w:r>
      <w:r w:rsidR="00907462" w:rsidRPr="003B7DC7">
        <w:rPr>
          <w:color w:val="auto"/>
          <w:sz w:val="26"/>
          <w:szCs w:val="26"/>
          <w:lang w:val="en-GB"/>
        </w:rPr>
        <w:t>Therefore, researcher</w:t>
      </w:r>
      <w:r w:rsidR="00137EC6" w:rsidRPr="003B7DC7">
        <w:rPr>
          <w:color w:val="auto"/>
          <w:sz w:val="26"/>
          <w:szCs w:val="26"/>
          <w:lang w:val="en-GB"/>
        </w:rPr>
        <w:t>s</w:t>
      </w:r>
      <w:r w:rsidR="00907462" w:rsidRPr="003B7DC7">
        <w:rPr>
          <w:color w:val="auto"/>
          <w:sz w:val="26"/>
          <w:szCs w:val="26"/>
          <w:lang w:val="en-GB"/>
        </w:rPr>
        <w:t xml:space="preserve"> can use </w:t>
      </w:r>
      <w:r w:rsidR="00137EC6" w:rsidRPr="003B7DC7">
        <w:rPr>
          <w:color w:val="auto"/>
          <w:sz w:val="26"/>
          <w:szCs w:val="26"/>
          <w:lang w:val="en-GB"/>
        </w:rPr>
        <w:t>their</w:t>
      </w:r>
      <w:r w:rsidR="00907462" w:rsidRPr="003B7DC7">
        <w:rPr>
          <w:color w:val="auto"/>
          <w:sz w:val="26"/>
          <w:szCs w:val="26"/>
          <w:lang w:val="en-GB"/>
        </w:rPr>
        <w:t xml:space="preserve"> own method to rank the </w:t>
      </w:r>
      <w:r w:rsidR="006B1C85" w:rsidRPr="003B7DC7">
        <w:rPr>
          <w:color w:val="auto"/>
          <w:sz w:val="26"/>
          <w:szCs w:val="26"/>
          <w:lang w:val="en-GB"/>
        </w:rPr>
        <w:t>EQ</w:t>
      </w:r>
      <w:r w:rsidR="00907462" w:rsidRPr="003B7DC7">
        <w:rPr>
          <w:color w:val="auto"/>
          <w:sz w:val="26"/>
          <w:szCs w:val="26"/>
          <w:lang w:val="en-GB"/>
        </w:rPr>
        <w:t xml:space="preserve"> measures</w:t>
      </w:r>
      <w:r w:rsidR="0087368A" w:rsidRPr="003B7DC7">
        <w:rPr>
          <w:color w:val="auto"/>
          <w:sz w:val="26"/>
          <w:szCs w:val="26"/>
          <w:lang w:val="en-GB"/>
        </w:rPr>
        <w:t>.</w:t>
      </w:r>
      <w:r w:rsidR="00907462" w:rsidRPr="003B7DC7">
        <w:rPr>
          <w:color w:val="auto"/>
          <w:sz w:val="26"/>
          <w:szCs w:val="26"/>
          <w:lang w:val="en-GB"/>
        </w:rPr>
        <w:t xml:space="preserve">  </w:t>
      </w:r>
    </w:p>
    <w:p w14:paraId="6028B662" w14:textId="0AFE5441" w:rsidR="0087368A" w:rsidRDefault="0087368A" w:rsidP="003B7DC7">
      <w:pPr>
        <w:pStyle w:val="Default"/>
        <w:snapToGrid w:val="0"/>
        <w:spacing w:line="360" w:lineRule="exact"/>
        <w:ind w:firstLine="510"/>
        <w:jc w:val="both"/>
        <w:rPr>
          <w:color w:val="auto"/>
          <w:sz w:val="26"/>
          <w:szCs w:val="26"/>
          <w:lang w:val="en-GB"/>
        </w:rPr>
      </w:pPr>
      <w:r w:rsidRPr="003B7DC7">
        <w:rPr>
          <w:color w:val="auto"/>
          <w:sz w:val="26"/>
          <w:szCs w:val="26"/>
          <w:lang w:val="en-GB"/>
        </w:rPr>
        <w:t xml:space="preserve">In this study, </w:t>
      </w:r>
      <w:r w:rsidR="00137EC6" w:rsidRPr="003B7DC7">
        <w:rPr>
          <w:color w:val="auto"/>
          <w:sz w:val="26"/>
          <w:szCs w:val="26"/>
          <w:lang w:val="en-GB"/>
        </w:rPr>
        <w:t xml:space="preserve">we </w:t>
      </w:r>
      <w:r w:rsidRPr="003B7DC7">
        <w:rPr>
          <w:color w:val="auto"/>
          <w:sz w:val="26"/>
          <w:szCs w:val="26"/>
          <w:lang w:val="en-GB"/>
        </w:rPr>
        <w:t>rank</w:t>
      </w:r>
      <w:r w:rsidR="00137EC6" w:rsidRPr="003B7DC7">
        <w:rPr>
          <w:color w:val="auto"/>
          <w:sz w:val="26"/>
          <w:szCs w:val="26"/>
          <w:lang w:val="en-GB"/>
        </w:rPr>
        <w:t>ed</w:t>
      </w:r>
      <w:r w:rsidRPr="003B7DC7">
        <w:rPr>
          <w:color w:val="auto"/>
          <w:sz w:val="26"/>
          <w:szCs w:val="26"/>
          <w:lang w:val="en-GB"/>
        </w:rPr>
        <w:t xml:space="preserve"> the </w:t>
      </w:r>
      <w:r w:rsidR="006B1C85" w:rsidRPr="003B7DC7">
        <w:rPr>
          <w:color w:val="auto"/>
          <w:sz w:val="26"/>
          <w:szCs w:val="26"/>
          <w:lang w:val="en-GB"/>
        </w:rPr>
        <w:t>EQ</w:t>
      </w:r>
      <w:r w:rsidRPr="003B7DC7">
        <w:rPr>
          <w:color w:val="auto"/>
          <w:sz w:val="26"/>
          <w:szCs w:val="26"/>
          <w:lang w:val="en-GB"/>
        </w:rPr>
        <w:t xml:space="preserve"> </w:t>
      </w:r>
      <w:r w:rsidR="00137EC6" w:rsidRPr="003B7DC7">
        <w:rPr>
          <w:color w:val="auto"/>
          <w:sz w:val="26"/>
          <w:szCs w:val="26"/>
          <w:lang w:val="en-GB"/>
        </w:rPr>
        <w:t xml:space="preserve">measures </w:t>
      </w:r>
      <w:r w:rsidRPr="003B7DC7">
        <w:rPr>
          <w:color w:val="auto"/>
          <w:sz w:val="26"/>
          <w:szCs w:val="26"/>
          <w:lang w:val="en-GB"/>
        </w:rPr>
        <w:t xml:space="preserve">in the </w:t>
      </w:r>
      <w:r w:rsidR="00137EC6" w:rsidRPr="003B7DC7">
        <w:rPr>
          <w:color w:val="auto"/>
          <w:sz w:val="26"/>
          <w:szCs w:val="26"/>
          <w:lang w:val="en-GB"/>
        </w:rPr>
        <w:t xml:space="preserve">respective </w:t>
      </w:r>
      <w:r w:rsidRPr="003B7DC7">
        <w:rPr>
          <w:color w:val="auto"/>
          <w:sz w:val="26"/>
          <w:szCs w:val="26"/>
          <w:lang w:val="en-GB"/>
        </w:rPr>
        <w:t xml:space="preserve">country based on the high and low </w:t>
      </w:r>
      <w:r w:rsidR="006B1C85" w:rsidRPr="003B7DC7">
        <w:rPr>
          <w:color w:val="auto"/>
          <w:sz w:val="26"/>
          <w:szCs w:val="26"/>
          <w:lang w:val="en-GB"/>
        </w:rPr>
        <w:t>EQ</w:t>
      </w:r>
      <w:r w:rsidRPr="003B7DC7">
        <w:rPr>
          <w:color w:val="auto"/>
          <w:sz w:val="26"/>
          <w:szCs w:val="26"/>
          <w:lang w:val="en-GB"/>
        </w:rPr>
        <w:t xml:space="preserve"> measures in that country. Table </w:t>
      </w:r>
      <w:r w:rsidR="008D3063" w:rsidRPr="003B7DC7">
        <w:rPr>
          <w:color w:val="auto"/>
          <w:sz w:val="26"/>
          <w:szCs w:val="26"/>
          <w:lang w:val="en-GB"/>
        </w:rPr>
        <w:t>22</w:t>
      </w:r>
      <w:r w:rsidRPr="003B7DC7">
        <w:rPr>
          <w:color w:val="auto"/>
          <w:sz w:val="26"/>
          <w:szCs w:val="26"/>
          <w:lang w:val="en-GB"/>
        </w:rPr>
        <w:t xml:space="preserve"> shows the results of high and low </w:t>
      </w:r>
      <w:r w:rsidR="006B1C85" w:rsidRPr="003B7DC7">
        <w:rPr>
          <w:color w:val="auto"/>
          <w:sz w:val="26"/>
          <w:szCs w:val="26"/>
          <w:lang w:val="en-GB"/>
        </w:rPr>
        <w:t>EQ</w:t>
      </w:r>
      <w:r w:rsidRPr="003B7DC7">
        <w:rPr>
          <w:color w:val="auto"/>
          <w:sz w:val="26"/>
          <w:szCs w:val="26"/>
          <w:lang w:val="en-GB"/>
        </w:rPr>
        <w:t xml:space="preserve"> measures in each country.</w:t>
      </w:r>
    </w:p>
    <w:p w14:paraId="75B9A1F3" w14:textId="26025ADE" w:rsidR="00E40A40" w:rsidRPr="00FA3651" w:rsidRDefault="008D3063" w:rsidP="00FA3651">
      <w:pPr>
        <w:snapToGrid w:val="0"/>
        <w:spacing w:afterLines="50" w:after="120" w:line="360" w:lineRule="exact"/>
        <w:jc w:val="both"/>
        <w:rPr>
          <w:rFonts w:asciiTheme="majorBidi" w:hAnsiTheme="majorBidi"/>
          <w:sz w:val="26"/>
        </w:rPr>
      </w:pPr>
      <w:r w:rsidRPr="00B47B68">
        <w:rPr>
          <w:rFonts w:asciiTheme="majorBidi" w:hAnsiTheme="majorBidi"/>
          <w:b/>
          <w:sz w:val="26"/>
        </w:rPr>
        <w:lastRenderedPageBreak/>
        <w:t xml:space="preserve">Table </w:t>
      </w:r>
      <w:proofErr w:type="gramStart"/>
      <w:r w:rsidRPr="00B47B68">
        <w:rPr>
          <w:rFonts w:asciiTheme="majorBidi" w:hAnsiTheme="majorBidi"/>
          <w:b/>
          <w:sz w:val="26"/>
        </w:rPr>
        <w:t>22</w:t>
      </w:r>
      <w:r w:rsidR="00B47B68">
        <w:rPr>
          <w:rFonts w:asciiTheme="majorBidi" w:hAnsiTheme="majorBidi"/>
          <w:sz w:val="26"/>
        </w:rPr>
        <w:t xml:space="preserve"> </w:t>
      </w:r>
      <w:r w:rsidR="00E40A40" w:rsidRPr="00FA3651">
        <w:rPr>
          <w:rFonts w:asciiTheme="majorBidi" w:hAnsiTheme="majorBidi"/>
          <w:sz w:val="26"/>
        </w:rPr>
        <w:t xml:space="preserve"> </w:t>
      </w:r>
      <w:r w:rsidR="00E40A40" w:rsidRPr="00B47B68">
        <w:rPr>
          <w:rFonts w:asciiTheme="majorBidi" w:hAnsiTheme="majorBidi"/>
          <w:i/>
          <w:sz w:val="26"/>
        </w:rPr>
        <w:t>Ranks</w:t>
      </w:r>
      <w:proofErr w:type="gramEnd"/>
      <w:r w:rsidR="00E40A40" w:rsidRPr="00B47B68">
        <w:rPr>
          <w:rFonts w:asciiTheme="majorBidi" w:hAnsiTheme="majorBidi"/>
          <w:i/>
          <w:sz w:val="26"/>
        </w:rPr>
        <w:t xml:space="preserve"> of EQ by Country</w:t>
      </w: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6"/>
        <w:gridCol w:w="747"/>
        <w:gridCol w:w="605"/>
        <w:gridCol w:w="747"/>
        <w:gridCol w:w="605"/>
        <w:gridCol w:w="747"/>
        <w:gridCol w:w="596"/>
        <w:gridCol w:w="681"/>
        <w:gridCol w:w="605"/>
        <w:gridCol w:w="681"/>
        <w:gridCol w:w="605"/>
        <w:gridCol w:w="711"/>
        <w:gridCol w:w="601"/>
      </w:tblGrid>
      <w:tr w:rsidR="007F15D8" w:rsidRPr="00EA76AA" w14:paraId="66E2E2B0" w14:textId="77777777" w:rsidTr="00215E9A">
        <w:trPr>
          <w:trHeight w:val="301"/>
        </w:trPr>
        <w:tc>
          <w:tcPr>
            <w:tcW w:w="607" w:type="pct"/>
            <w:vMerge w:val="restart"/>
            <w:tcBorders>
              <w:top w:val="single" w:sz="4" w:space="0" w:color="auto"/>
              <w:bottom w:val="single" w:sz="4" w:space="0" w:color="auto"/>
              <w:right w:val="single" w:sz="4" w:space="0" w:color="auto"/>
              <w:tl2br w:val="single" w:sz="4" w:space="0" w:color="auto"/>
            </w:tcBorders>
          </w:tcPr>
          <w:p w14:paraId="6D86DC9D" w14:textId="65126FE3" w:rsidR="00E40A40" w:rsidRPr="006F15D5" w:rsidRDefault="00E40A40" w:rsidP="006F15D5">
            <w:pPr>
              <w:autoSpaceDE w:val="0"/>
              <w:autoSpaceDN w:val="0"/>
              <w:adjustRightInd w:val="0"/>
              <w:rPr>
                <w:rFonts w:ascii="Times New Roman" w:hAnsi="Times New Roman" w:cs="Times New Roman"/>
                <w:sz w:val="18"/>
                <w:szCs w:val="20"/>
              </w:rPr>
            </w:pPr>
            <w:r w:rsidRPr="006F15D5">
              <w:rPr>
                <w:rFonts w:ascii="Times New Roman" w:hAnsi="Times New Roman" w:cs="Times New Roman"/>
                <w:sz w:val="18"/>
                <w:szCs w:val="20"/>
              </w:rPr>
              <w:t xml:space="preserve">      Country </w:t>
            </w:r>
          </w:p>
          <w:p w14:paraId="69CA5E41" w14:textId="77777777" w:rsidR="00E40A40" w:rsidRPr="006F15D5" w:rsidRDefault="00E40A40" w:rsidP="00E40A40">
            <w:pPr>
              <w:autoSpaceDE w:val="0"/>
              <w:autoSpaceDN w:val="0"/>
              <w:adjustRightInd w:val="0"/>
              <w:jc w:val="both"/>
              <w:rPr>
                <w:rFonts w:ascii="Times New Roman" w:hAnsi="Times New Roman" w:cs="Times New Roman"/>
                <w:sz w:val="18"/>
                <w:szCs w:val="20"/>
              </w:rPr>
            </w:pPr>
          </w:p>
          <w:p w14:paraId="138EE11F" w14:textId="77777777" w:rsidR="00E40A40" w:rsidRPr="006F15D5" w:rsidRDefault="00E40A40" w:rsidP="00E40A40">
            <w:pPr>
              <w:autoSpaceDE w:val="0"/>
              <w:autoSpaceDN w:val="0"/>
              <w:adjustRightInd w:val="0"/>
              <w:jc w:val="both"/>
              <w:rPr>
                <w:rFonts w:ascii="Times New Roman" w:hAnsi="Times New Roman" w:cs="Times New Roman"/>
                <w:sz w:val="18"/>
                <w:szCs w:val="20"/>
              </w:rPr>
            </w:pPr>
            <w:r w:rsidRPr="006F15D5">
              <w:rPr>
                <w:rFonts w:ascii="Times New Roman" w:hAnsi="Times New Roman" w:cs="Times New Roman"/>
                <w:sz w:val="18"/>
                <w:szCs w:val="20"/>
              </w:rPr>
              <w:t>EQ measure</w:t>
            </w:r>
          </w:p>
        </w:tc>
        <w:tc>
          <w:tcPr>
            <w:tcW w:w="749" w:type="pct"/>
            <w:gridSpan w:val="2"/>
            <w:tcBorders>
              <w:top w:val="single" w:sz="4" w:space="0" w:color="auto"/>
              <w:left w:val="single" w:sz="4" w:space="0" w:color="auto"/>
              <w:bottom w:val="single" w:sz="4" w:space="0" w:color="auto"/>
            </w:tcBorders>
            <w:vAlign w:val="center"/>
          </w:tcPr>
          <w:p w14:paraId="6B5F1F40"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KSA</w:t>
            </w:r>
          </w:p>
        </w:tc>
        <w:tc>
          <w:tcPr>
            <w:tcW w:w="749" w:type="pct"/>
            <w:gridSpan w:val="2"/>
            <w:tcBorders>
              <w:top w:val="single" w:sz="4" w:space="0" w:color="auto"/>
              <w:bottom w:val="single" w:sz="4" w:space="0" w:color="auto"/>
            </w:tcBorders>
            <w:vAlign w:val="center"/>
          </w:tcPr>
          <w:p w14:paraId="3B3ED4E9"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OMN</w:t>
            </w:r>
          </w:p>
        </w:tc>
        <w:tc>
          <w:tcPr>
            <w:tcW w:w="744" w:type="pct"/>
            <w:gridSpan w:val="2"/>
            <w:tcBorders>
              <w:top w:val="single" w:sz="4" w:space="0" w:color="auto"/>
              <w:bottom w:val="single" w:sz="4" w:space="0" w:color="auto"/>
            </w:tcBorders>
            <w:vAlign w:val="center"/>
          </w:tcPr>
          <w:p w14:paraId="747AAF74"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QAT</w:t>
            </w:r>
          </w:p>
        </w:tc>
        <w:tc>
          <w:tcPr>
            <w:tcW w:w="712" w:type="pct"/>
            <w:gridSpan w:val="2"/>
            <w:tcBorders>
              <w:top w:val="single" w:sz="4" w:space="0" w:color="auto"/>
              <w:bottom w:val="single" w:sz="4" w:space="0" w:color="auto"/>
            </w:tcBorders>
            <w:vAlign w:val="center"/>
          </w:tcPr>
          <w:p w14:paraId="21A9F9EA"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BAH</w:t>
            </w:r>
          </w:p>
        </w:tc>
        <w:tc>
          <w:tcPr>
            <w:tcW w:w="712" w:type="pct"/>
            <w:gridSpan w:val="2"/>
            <w:tcBorders>
              <w:top w:val="single" w:sz="4" w:space="0" w:color="auto"/>
              <w:bottom w:val="single" w:sz="4" w:space="0" w:color="auto"/>
            </w:tcBorders>
            <w:vAlign w:val="center"/>
          </w:tcPr>
          <w:p w14:paraId="10E55AC1" w14:textId="0343B4CF" w:rsidR="00E40A40" w:rsidRPr="006F15D5" w:rsidRDefault="00BB074E"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KUW</w:t>
            </w:r>
          </w:p>
        </w:tc>
        <w:tc>
          <w:tcPr>
            <w:tcW w:w="727" w:type="pct"/>
            <w:gridSpan w:val="2"/>
            <w:tcBorders>
              <w:top w:val="single" w:sz="4" w:space="0" w:color="auto"/>
              <w:bottom w:val="single" w:sz="4" w:space="0" w:color="auto"/>
            </w:tcBorders>
            <w:vAlign w:val="center"/>
          </w:tcPr>
          <w:p w14:paraId="49D7624C"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UAE</w:t>
            </w:r>
          </w:p>
        </w:tc>
      </w:tr>
      <w:tr w:rsidR="007F15D8" w:rsidRPr="00EA76AA" w14:paraId="656044BF" w14:textId="77777777" w:rsidTr="00215E9A">
        <w:trPr>
          <w:trHeight w:val="150"/>
        </w:trPr>
        <w:tc>
          <w:tcPr>
            <w:tcW w:w="607" w:type="pct"/>
            <w:vMerge/>
            <w:tcBorders>
              <w:top w:val="single" w:sz="4" w:space="0" w:color="auto"/>
              <w:bottom w:val="single" w:sz="4" w:space="0" w:color="auto"/>
              <w:right w:val="single" w:sz="4" w:space="0" w:color="auto"/>
              <w:tl2br w:val="single" w:sz="4" w:space="0" w:color="auto"/>
            </w:tcBorders>
          </w:tcPr>
          <w:p w14:paraId="291F550D" w14:textId="77777777" w:rsidR="00E40A40" w:rsidRPr="006F15D5" w:rsidRDefault="00E40A40" w:rsidP="00E40A40">
            <w:pPr>
              <w:autoSpaceDE w:val="0"/>
              <w:autoSpaceDN w:val="0"/>
              <w:adjustRightInd w:val="0"/>
              <w:jc w:val="both"/>
              <w:rPr>
                <w:rFonts w:ascii="Times New Roman" w:hAnsi="Times New Roman" w:cs="Times New Roman"/>
                <w:noProof/>
                <w:sz w:val="18"/>
                <w:szCs w:val="20"/>
              </w:rPr>
            </w:pPr>
          </w:p>
        </w:tc>
        <w:tc>
          <w:tcPr>
            <w:tcW w:w="414" w:type="pct"/>
            <w:tcBorders>
              <w:top w:val="single" w:sz="4" w:space="0" w:color="auto"/>
              <w:left w:val="single" w:sz="4" w:space="0" w:color="auto"/>
              <w:bottom w:val="single" w:sz="4" w:space="0" w:color="auto"/>
            </w:tcBorders>
            <w:vAlign w:val="center"/>
          </w:tcPr>
          <w:p w14:paraId="320EA8C4"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Value</w:t>
            </w:r>
          </w:p>
        </w:tc>
        <w:tc>
          <w:tcPr>
            <w:tcW w:w="335" w:type="pct"/>
            <w:tcBorders>
              <w:top w:val="single" w:sz="4" w:space="0" w:color="auto"/>
              <w:bottom w:val="single" w:sz="4" w:space="0" w:color="auto"/>
            </w:tcBorders>
            <w:vAlign w:val="center"/>
          </w:tcPr>
          <w:p w14:paraId="776D4742"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Rank</w:t>
            </w:r>
          </w:p>
        </w:tc>
        <w:tc>
          <w:tcPr>
            <w:tcW w:w="414" w:type="pct"/>
            <w:tcBorders>
              <w:top w:val="single" w:sz="4" w:space="0" w:color="auto"/>
              <w:bottom w:val="single" w:sz="4" w:space="0" w:color="auto"/>
            </w:tcBorders>
            <w:vAlign w:val="center"/>
          </w:tcPr>
          <w:p w14:paraId="3653A9EF"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Value</w:t>
            </w:r>
          </w:p>
        </w:tc>
        <w:tc>
          <w:tcPr>
            <w:tcW w:w="335" w:type="pct"/>
            <w:tcBorders>
              <w:top w:val="single" w:sz="4" w:space="0" w:color="auto"/>
              <w:bottom w:val="single" w:sz="4" w:space="0" w:color="auto"/>
            </w:tcBorders>
            <w:vAlign w:val="center"/>
          </w:tcPr>
          <w:p w14:paraId="42AB1283"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Rank</w:t>
            </w:r>
          </w:p>
        </w:tc>
        <w:tc>
          <w:tcPr>
            <w:tcW w:w="414" w:type="pct"/>
            <w:tcBorders>
              <w:top w:val="single" w:sz="4" w:space="0" w:color="auto"/>
              <w:bottom w:val="single" w:sz="4" w:space="0" w:color="auto"/>
            </w:tcBorders>
            <w:vAlign w:val="center"/>
          </w:tcPr>
          <w:p w14:paraId="37F1F984"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Value</w:t>
            </w:r>
          </w:p>
        </w:tc>
        <w:tc>
          <w:tcPr>
            <w:tcW w:w="330" w:type="pct"/>
            <w:tcBorders>
              <w:top w:val="single" w:sz="4" w:space="0" w:color="auto"/>
              <w:bottom w:val="single" w:sz="4" w:space="0" w:color="auto"/>
            </w:tcBorders>
            <w:vAlign w:val="center"/>
          </w:tcPr>
          <w:p w14:paraId="58FE1332"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Rank</w:t>
            </w:r>
          </w:p>
        </w:tc>
        <w:tc>
          <w:tcPr>
            <w:tcW w:w="377" w:type="pct"/>
            <w:tcBorders>
              <w:top w:val="single" w:sz="4" w:space="0" w:color="auto"/>
              <w:bottom w:val="single" w:sz="4" w:space="0" w:color="auto"/>
            </w:tcBorders>
            <w:vAlign w:val="center"/>
          </w:tcPr>
          <w:p w14:paraId="263341A1"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Value</w:t>
            </w:r>
          </w:p>
        </w:tc>
        <w:tc>
          <w:tcPr>
            <w:tcW w:w="335" w:type="pct"/>
            <w:tcBorders>
              <w:top w:val="single" w:sz="4" w:space="0" w:color="auto"/>
              <w:bottom w:val="single" w:sz="4" w:space="0" w:color="auto"/>
            </w:tcBorders>
            <w:vAlign w:val="center"/>
          </w:tcPr>
          <w:p w14:paraId="17697683"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Rank</w:t>
            </w:r>
          </w:p>
        </w:tc>
        <w:tc>
          <w:tcPr>
            <w:tcW w:w="377" w:type="pct"/>
            <w:tcBorders>
              <w:top w:val="single" w:sz="4" w:space="0" w:color="auto"/>
              <w:bottom w:val="single" w:sz="4" w:space="0" w:color="auto"/>
            </w:tcBorders>
            <w:vAlign w:val="center"/>
          </w:tcPr>
          <w:p w14:paraId="43F43BD5"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Value</w:t>
            </w:r>
          </w:p>
        </w:tc>
        <w:tc>
          <w:tcPr>
            <w:tcW w:w="335" w:type="pct"/>
            <w:tcBorders>
              <w:top w:val="single" w:sz="4" w:space="0" w:color="auto"/>
              <w:bottom w:val="single" w:sz="4" w:space="0" w:color="auto"/>
            </w:tcBorders>
            <w:vAlign w:val="center"/>
          </w:tcPr>
          <w:p w14:paraId="0BA835B8"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Rank</w:t>
            </w:r>
          </w:p>
        </w:tc>
        <w:tc>
          <w:tcPr>
            <w:tcW w:w="394" w:type="pct"/>
            <w:tcBorders>
              <w:top w:val="single" w:sz="4" w:space="0" w:color="auto"/>
              <w:bottom w:val="single" w:sz="4" w:space="0" w:color="auto"/>
            </w:tcBorders>
            <w:vAlign w:val="center"/>
          </w:tcPr>
          <w:p w14:paraId="4F21976E"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Value</w:t>
            </w:r>
          </w:p>
        </w:tc>
        <w:tc>
          <w:tcPr>
            <w:tcW w:w="333" w:type="pct"/>
            <w:tcBorders>
              <w:top w:val="single" w:sz="4" w:space="0" w:color="auto"/>
              <w:bottom w:val="single" w:sz="4" w:space="0" w:color="auto"/>
            </w:tcBorders>
            <w:vAlign w:val="center"/>
          </w:tcPr>
          <w:p w14:paraId="56BB2AA8"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Rank</w:t>
            </w:r>
          </w:p>
        </w:tc>
      </w:tr>
      <w:tr w:rsidR="007F15D8" w:rsidRPr="00EA76AA" w14:paraId="557108F2" w14:textId="77777777" w:rsidTr="00215E9A">
        <w:trPr>
          <w:trHeight w:val="340"/>
        </w:trPr>
        <w:tc>
          <w:tcPr>
            <w:tcW w:w="607" w:type="pct"/>
            <w:tcBorders>
              <w:top w:val="single" w:sz="4" w:space="0" w:color="auto"/>
              <w:bottom w:val="single" w:sz="4" w:space="0" w:color="auto"/>
              <w:right w:val="single" w:sz="4" w:space="0" w:color="auto"/>
            </w:tcBorders>
            <w:vAlign w:val="center"/>
          </w:tcPr>
          <w:p w14:paraId="393A4BCC" w14:textId="77777777" w:rsidR="00E40A40" w:rsidRPr="006F15D5" w:rsidRDefault="00E40A40" w:rsidP="00B47B68">
            <w:pPr>
              <w:tabs>
                <w:tab w:val="left" w:pos="4536"/>
              </w:tabs>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EQ(PER)- β</w:t>
            </w:r>
          </w:p>
        </w:tc>
        <w:tc>
          <w:tcPr>
            <w:tcW w:w="414" w:type="pct"/>
            <w:tcBorders>
              <w:top w:val="single" w:sz="4" w:space="0" w:color="auto"/>
              <w:left w:val="single" w:sz="4" w:space="0" w:color="auto"/>
              <w:bottom w:val="single" w:sz="4" w:space="0" w:color="auto"/>
            </w:tcBorders>
            <w:vAlign w:val="center"/>
          </w:tcPr>
          <w:p w14:paraId="0C7AA6FB"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0.333</w:t>
            </w:r>
          </w:p>
        </w:tc>
        <w:tc>
          <w:tcPr>
            <w:tcW w:w="335" w:type="pct"/>
            <w:tcBorders>
              <w:top w:val="single" w:sz="4" w:space="0" w:color="auto"/>
              <w:bottom w:val="single" w:sz="4" w:space="0" w:color="auto"/>
            </w:tcBorders>
            <w:vAlign w:val="center"/>
          </w:tcPr>
          <w:p w14:paraId="5864A4CD"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6</w:t>
            </w:r>
          </w:p>
        </w:tc>
        <w:tc>
          <w:tcPr>
            <w:tcW w:w="414" w:type="pct"/>
            <w:tcBorders>
              <w:top w:val="single" w:sz="4" w:space="0" w:color="auto"/>
              <w:bottom w:val="single" w:sz="4" w:space="0" w:color="auto"/>
            </w:tcBorders>
            <w:vAlign w:val="center"/>
          </w:tcPr>
          <w:p w14:paraId="28134077"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0.610</w:t>
            </w:r>
          </w:p>
        </w:tc>
        <w:tc>
          <w:tcPr>
            <w:tcW w:w="335" w:type="pct"/>
            <w:tcBorders>
              <w:top w:val="single" w:sz="4" w:space="0" w:color="auto"/>
              <w:bottom w:val="single" w:sz="4" w:space="0" w:color="auto"/>
            </w:tcBorders>
            <w:vAlign w:val="center"/>
          </w:tcPr>
          <w:p w14:paraId="059CCF9A"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1</w:t>
            </w:r>
          </w:p>
        </w:tc>
        <w:tc>
          <w:tcPr>
            <w:tcW w:w="414" w:type="pct"/>
            <w:tcBorders>
              <w:top w:val="single" w:sz="4" w:space="0" w:color="auto"/>
              <w:bottom w:val="single" w:sz="4" w:space="0" w:color="auto"/>
            </w:tcBorders>
            <w:vAlign w:val="center"/>
          </w:tcPr>
          <w:p w14:paraId="6BD50D87"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0.490</w:t>
            </w:r>
          </w:p>
        </w:tc>
        <w:tc>
          <w:tcPr>
            <w:tcW w:w="330" w:type="pct"/>
            <w:tcBorders>
              <w:top w:val="single" w:sz="4" w:space="0" w:color="auto"/>
              <w:bottom w:val="single" w:sz="4" w:space="0" w:color="auto"/>
            </w:tcBorders>
            <w:vAlign w:val="center"/>
          </w:tcPr>
          <w:p w14:paraId="6774D1ED"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4</w:t>
            </w:r>
          </w:p>
        </w:tc>
        <w:tc>
          <w:tcPr>
            <w:tcW w:w="377" w:type="pct"/>
            <w:tcBorders>
              <w:top w:val="single" w:sz="4" w:space="0" w:color="auto"/>
              <w:bottom w:val="single" w:sz="4" w:space="0" w:color="auto"/>
            </w:tcBorders>
            <w:vAlign w:val="center"/>
          </w:tcPr>
          <w:p w14:paraId="07A661DE"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0.504</w:t>
            </w:r>
          </w:p>
        </w:tc>
        <w:tc>
          <w:tcPr>
            <w:tcW w:w="335" w:type="pct"/>
            <w:tcBorders>
              <w:top w:val="single" w:sz="4" w:space="0" w:color="auto"/>
              <w:bottom w:val="single" w:sz="4" w:space="0" w:color="auto"/>
            </w:tcBorders>
            <w:vAlign w:val="center"/>
          </w:tcPr>
          <w:p w14:paraId="1505434A"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3</w:t>
            </w:r>
          </w:p>
        </w:tc>
        <w:tc>
          <w:tcPr>
            <w:tcW w:w="377" w:type="pct"/>
            <w:tcBorders>
              <w:top w:val="single" w:sz="4" w:space="0" w:color="auto"/>
              <w:bottom w:val="single" w:sz="4" w:space="0" w:color="auto"/>
            </w:tcBorders>
            <w:vAlign w:val="center"/>
          </w:tcPr>
          <w:p w14:paraId="05F325DC"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0.581</w:t>
            </w:r>
          </w:p>
        </w:tc>
        <w:tc>
          <w:tcPr>
            <w:tcW w:w="335" w:type="pct"/>
            <w:tcBorders>
              <w:top w:val="single" w:sz="4" w:space="0" w:color="auto"/>
              <w:bottom w:val="single" w:sz="4" w:space="0" w:color="auto"/>
            </w:tcBorders>
            <w:vAlign w:val="center"/>
          </w:tcPr>
          <w:p w14:paraId="5C001055"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2</w:t>
            </w:r>
          </w:p>
        </w:tc>
        <w:tc>
          <w:tcPr>
            <w:tcW w:w="394" w:type="pct"/>
            <w:tcBorders>
              <w:top w:val="single" w:sz="4" w:space="0" w:color="auto"/>
              <w:bottom w:val="single" w:sz="4" w:space="0" w:color="auto"/>
            </w:tcBorders>
            <w:vAlign w:val="center"/>
          </w:tcPr>
          <w:p w14:paraId="097F7B8D"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0.405</w:t>
            </w:r>
          </w:p>
        </w:tc>
        <w:tc>
          <w:tcPr>
            <w:tcW w:w="333" w:type="pct"/>
            <w:tcBorders>
              <w:top w:val="single" w:sz="4" w:space="0" w:color="auto"/>
              <w:bottom w:val="single" w:sz="4" w:space="0" w:color="auto"/>
            </w:tcBorders>
            <w:vAlign w:val="center"/>
          </w:tcPr>
          <w:p w14:paraId="7AB38E8F"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5</w:t>
            </w:r>
          </w:p>
        </w:tc>
      </w:tr>
      <w:tr w:rsidR="007F15D8" w:rsidRPr="00EA76AA" w14:paraId="6EDFD8F3" w14:textId="77777777" w:rsidTr="00215E9A">
        <w:trPr>
          <w:trHeight w:val="340"/>
        </w:trPr>
        <w:tc>
          <w:tcPr>
            <w:tcW w:w="607" w:type="pct"/>
            <w:tcBorders>
              <w:top w:val="single" w:sz="4" w:space="0" w:color="auto"/>
              <w:bottom w:val="single" w:sz="4" w:space="0" w:color="auto"/>
              <w:right w:val="single" w:sz="4" w:space="0" w:color="auto"/>
            </w:tcBorders>
            <w:vAlign w:val="center"/>
          </w:tcPr>
          <w:p w14:paraId="6C7115A3" w14:textId="77777777" w:rsidR="00E40A40" w:rsidRPr="006F15D5" w:rsidRDefault="00E40A40" w:rsidP="00B47B68">
            <w:pPr>
              <w:tabs>
                <w:tab w:val="left" w:pos="4536"/>
              </w:tabs>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EQ(P)-R</w:t>
            </w:r>
            <w:r w:rsidRPr="006F15D5">
              <w:rPr>
                <w:rFonts w:ascii="Times New Roman" w:hAnsi="Times New Roman" w:cs="Times New Roman"/>
                <w:sz w:val="18"/>
                <w:szCs w:val="20"/>
                <w:vertAlign w:val="superscript"/>
              </w:rPr>
              <w:t>2</w:t>
            </w:r>
          </w:p>
        </w:tc>
        <w:tc>
          <w:tcPr>
            <w:tcW w:w="414" w:type="pct"/>
            <w:tcBorders>
              <w:top w:val="single" w:sz="4" w:space="0" w:color="auto"/>
              <w:left w:val="single" w:sz="4" w:space="0" w:color="auto"/>
              <w:bottom w:val="single" w:sz="4" w:space="0" w:color="auto"/>
            </w:tcBorders>
            <w:vAlign w:val="center"/>
          </w:tcPr>
          <w:p w14:paraId="4957F35E"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10.8%</w:t>
            </w:r>
          </w:p>
        </w:tc>
        <w:tc>
          <w:tcPr>
            <w:tcW w:w="335" w:type="pct"/>
            <w:tcBorders>
              <w:top w:val="single" w:sz="4" w:space="0" w:color="auto"/>
              <w:bottom w:val="single" w:sz="4" w:space="0" w:color="auto"/>
            </w:tcBorders>
            <w:vAlign w:val="center"/>
          </w:tcPr>
          <w:p w14:paraId="4E203F61"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6</w:t>
            </w:r>
          </w:p>
        </w:tc>
        <w:tc>
          <w:tcPr>
            <w:tcW w:w="414" w:type="pct"/>
            <w:tcBorders>
              <w:top w:val="single" w:sz="4" w:space="0" w:color="auto"/>
              <w:bottom w:val="single" w:sz="4" w:space="0" w:color="auto"/>
            </w:tcBorders>
            <w:vAlign w:val="center"/>
          </w:tcPr>
          <w:p w14:paraId="462C4B19"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38.2%</w:t>
            </w:r>
          </w:p>
        </w:tc>
        <w:tc>
          <w:tcPr>
            <w:tcW w:w="335" w:type="pct"/>
            <w:tcBorders>
              <w:top w:val="single" w:sz="4" w:space="0" w:color="auto"/>
              <w:bottom w:val="single" w:sz="4" w:space="0" w:color="auto"/>
            </w:tcBorders>
            <w:vAlign w:val="center"/>
          </w:tcPr>
          <w:p w14:paraId="2C49D646"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3</w:t>
            </w:r>
          </w:p>
        </w:tc>
        <w:tc>
          <w:tcPr>
            <w:tcW w:w="414" w:type="pct"/>
            <w:tcBorders>
              <w:top w:val="single" w:sz="4" w:space="0" w:color="auto"/>
              <w:bottom w:val="single" w:sz="4" w:space="0" w:color="auto"/>
            </w:tcBorders>
            <w:vAlign w:val="center"/>
          </w:tcPr>
          <w:p w14:paraId="27AE0D41"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36.8%</w:t>
            </w:r>
          </w:p>
        </w:tc>
        <w:tc>
          <w:tcPr>
            <w:tcW w:w="330" w:type="pct"/>
            <w:tcBorders>
              <w:top w:val="single" w:sz="4" w:space="0" w:color="auto"/>
              <w:bottom w:val="single" w:sz="4" w:space="0" w:color="auto"/>
            </w:tcBorders>
            <w:vAlign w:val="center"/>
          </w:tcPr>
          <w:p w14:paraId="5B3F3793"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4</w:t>
            </w:r>
          </w:p>
        </w:tc>
        <w:tc>
          <w:tcPr>
            <w:tcW w:w="377" w:type="pct"/>
            <w:tcBorders>
              <w:top w:val="single" w:sz="4" w:space="0" w:color="auto"/>
              <w:bottom w:val="single" w:sz="4" w:space="0" w:color="auto"/>
            </w:tcBorders>
            <w:vAlign w:val="center"/>
          </w:tcPr>
          <w:p w14:paraId="2343EEC0"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39.4%</w:t>
            </w:r>
          </w:p>
        </w:tc>
        <w:tc>
          <w:tcPr>
            <w:tcW w:w="335" w:type="pct"/>
            <w:tcBorders>
              <w:top w:val="single" w:sz="4" w:space="0" w:color="auto"/>
              <w:bottom w:val="single" w:sz="4" w:space="0" w:color="auto"/>
            </w:tcBorders>
            <w:vAlign w:val="center"/>
          </w:tcPr>
          <w:p w14:paraId="002B0842"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1</w:t>
            </w:r>
          </w:p>
        </w:tc>
        <w:tc>
          <w:tcPr>
            <w:tcW w:w="377" w:type="pct"/>
            <w:tcBorders>
              <w:top w:val="single" w:sz="4" w:space="0" w:color="auto"/>
              <w:bottom w:val="single" w:sz="4" w:space="0" w:color="auto"/>
            </w:tcBorders>
            <w:vAlign w:val="center"/>
          </w:tcPr>
          <w:p w14:paraId="0DE86A8D"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38.6%</w:t>
            </w:r>
          </w:p>
        </w:tc>
        <w:tc>
          <w:tcPr>
            <w:tcW w:w="335" w:type="pct"/>
            <w:tcBorders>
              <w:top w:val="single" w:sz="4" w:space="0" w:color="auto"/>
              <w:bottom w:val="single" w:sz="4" w:space="0" w:color="auto"/>
            </w:tcBorders>
            <w:vAlign w:val="center"/>
          </w:tcPr>
          <w:p w14:paraId="284C5AE6"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2</w:t>
            </w:r>
          </w:p>
        </w:tc>
        <w:tc>
          <w:tcPr>
            <w:tcW w:w="394" w:type="pct"/>
            <w:tcBorders>
              <w:top w:val="single" w:sz="4" w:space="0" w:color="auto"/>
              <w:bottom w:val="single" w:sz="4" w:space="0" w:color="auto"/>
            </w:tcBorders>
            <w:vAlign w:val="center"/>
          </w:tcPr>
          <w:p w14:paraId="1447E9D4"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21.8%</w:t>
            </w:r>
          </w:p>
        </w:tc>
        <w:tc>
          <w:tcPr>
            <w:tcW w:w="333" w:type="pct"/>
            <w:tcBorders>
              <w:top w:val="single" w:sz="4" w:space="0" w:color="auto"/>
              <w:bottom w:val="single" w:sz="4" w:space="0" w:color="auto"/>
            </w:tcBorders>
            <w:vAlign w:val="center"/>
          </w:tcPr>
          <w:p w14:paraId="25E21F84"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5</w:t>
            </w:r>
          </w:p>
        </w:tc>
      </w:tr>
      <w:tr w:rsidR="007F15D8" w:rsidRPr="00EA76AA" w14:paraId="7265DB82" w14:textId="77777777" w:rsidTr="00215E9A">
        <w:trPr>
          <w:trHeight w:val="340"/>
        </w:trPr>
        <w:tc>
          <w:tcPr>
            <w:tcW w:w="607" w:type="pct"/>
            <w:tcBorders>
              <w:top w:val="single" w:sz="4" w:space="0" w:color="auto"/>
              <w:bottom w:val="single" w:sz="4" w:space="0" w:color="auto"/>
              <w:right w:val="single" w:sz="4" w:space="0" w:color="auto"/>
            </w:tcBorders>
            <w:vAlign w:val="center"/>
          </w:tcPr>
          <w:p w14:paraId="1C92E5DB" w14:textId="77777777" w:rsidR="00E40A40" w:rsidRPr="006F15D5" w:rsidRDefault="00E40A40" w:rsidP="00B47B68">
            <w:pPr>
              <w:tabs>
                <w:tab w:val="left" w:pos="4536"/>
              </w:tabs>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EQ(VR)- R</w:t>
            </w:r>
            <w:r w:rsidRPr="006F15D5">
              <w:rPr>
                <w:rFonts w:ascii="Times New Roman" w:hAnsi="Times New Roman" w:cs="Times New Roman"/>
                <w:sz w:val="18"/>
                <w:szCs w:val="20"/>
                <w:vertAlign w:val="superscript"/>
              </w:rPr>
              <w:t>2</w:t>
            </w:r>
          </w:p>
        </w:tc>
        <w:tc>
          <w:tcPr>
            <w:tcW w:w="414" w:type="pct"/>
            <w:tcBorders>
              <w:top w:val="single" w:sz="4" w:space="0" w:color="auto"/>
              <w:left w:val="single" w:sz="4" w:space="0" w:color="auto"/>
              <w:bottom w:val="single" w:sz="4" w:space="0" w:color="auto"/>
            </w:tcBorders>
            <w:vAlign w:val="center"/>
          </w:tcPr>
          <w:p w14:paraId="4A88B489" w14:textId="77777777" w:rsidR="00E40A40" w:rsidRPr="006F15D5" w:rsidRDefault="00E40A40" w:rsidP="00B47B68">
            <w:pPr>
              <w:tabs>
                <w:tab w:val="left" w:pos="4536"/>
              </w:tabs>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21.9%</w:t>
            </w:r>
          </w:p>
        </w:tc>
        <w:tc>
          <w:tcPr>
            <w:tcW w:w="335" w:type="pct"/>
            <w:tcBorders>
              <w:top w:val="single" w:sz="4" w:space="0" w:color="auto"/>
              <w:bottom w:val="single" w:sz="4" w:space="0" w:color="auto"/>
            </w:tcBorders>
            <w:vAlign w:val="center"/>
          </w:tcPr>
          <w:p w14:paraId="7982CB86"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6</w:t>
            </w:r>
          </w:p>
        </w:tc>
        <w:tc>
          <w:tcPr>
            <w:tcW w:w="414" w:type="pct"/>
            <w:tcBorders>
              <w:top w:val="single" w:sz="4" w:space="0" w:color="auto"/>
              <w:bottom w:val="single" w:sz="4" w:space="0" w:color="auto"/>
            </w:tcBorders>
            <w:vAlign w:val="center"/>
          </w:tcPr>
          <w:p w14:paraId="29C6D921" w14:textId="77777777" w:rsidR="00E40A40" w:rsidRPr="006F15D5" w:rsidRDefault="00E40A40" w:rsidP="00B47B68">
            <w:pPr>
              <w:tabs>
                <w:tab w:val="left" w:pos="4536"/>
              </w:tabs>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53.7%</w:t>
            </w:r>
          </w:p>
        </w:tc>
        <w:tc>
          <w:tcPr>
            <w:tcW w:w="335" w:type="pct"/>
            <w:tcBorders>
              <w:top w:val="single" w:sz="4" w:space="0" w:color="auto"/>
              <w:bottom w:val="single" w:sz="4" w:space="0" w:color="auto"/>
            </w:tcBorders>
            <w:vAlign w:val="center"/>
          </w:tcPr>
          <w:p w14:paraId="4C848DCC"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4</w:t>
            </w:r>
          </w:p>
        </w:tc>
        <w:tc>
          <w:tcPr>
            <w:tcW w:w="414" w:type="pct"/>
            <w:tcBorders>
              <w:top w:val="single" w:sz="4" w:space="0" w:color="auto"/>
              <w:bottom w:val="single" w:sz="4" w:space="0" w:color="auto"/>
            </w:tcBorders>
            <w:vAlign w:val="center"/>
          </w:tcPr>
          <w:p w14:paraId="1440978A" w14:textId="77777777" w:rsidR="00E40A40" w:rsidRPr="006F15D5" w:rsidRDefault="00E40A40" w:rsidP="00B47B68">
            <w:pPr>
              <w:tabs>
                <w:tab w:val="left" w:pos="4536"/>
              </w:tabs>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67.1%</w:t>
            </w:r>
          </w:p>
        </w:tc>
        <w:tc>
          <w:tcPr>
            <w:tcW w:w="330" w:type="pct"/>
            <w:tcBorders>
              <w:top w:val="single" w:sz="4" w:space="0" w:color="auto"/>
              <w:bottom w:val="single" w:sz="4" w:space="0" w:color="auto"/>
            </w:tcBorders>
            <w:vAlign w:val="center"/>
          </w:tcPr>
          <w:p w14:paraId="0D02471A"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3</w:t>
            </w:r>
          </w:p>
        </w:tc>
        <w:tc>
          <w:tcPr>
            <w:tcW w:w="377" w:type="pct"/>
            <w:tcBorders>
              <w:top w:val="single" w:sz="4" w:space="0" w:color="auto"/>
              <w:bottom w:val="single" w:sz="4" w:space="0" w:color="auto"/>
            </w:tcBorders>
            <w:vAlign w:val="center"/>
          </w:tcPr>
          <w:p w14:paraId="2B6E6C3D" w14:textId="77777777" w:rsidR="00E40A40" w:rsidRPr="006F15D5" w:rsidRDefault="00E40A40" w:rsidP="00B47B68">
            <w:pPr>
              <w:tabs>
                <w:tab w:val="left" w:pos="4536"/>
              </w:tabs>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71.1%</w:t>
            </w:r>
          </w:p>
        </w:tc>
        <w:tc>
          <w:tcPr>
            <w:tcW w:w="335" w:type="pct"/>
            <w:tcBorders>
              <w:top w:val="single" w:sz="4" w:space="0" w:color="auto"/>
              <w:bottom w:val="single" w:sz="4" w:space="0" w:color="auto"/>
            </w:tcBorders>
            <w:vAlign w:val="center"/>
          </w:tcPr>
          <w:p w14:paraId="463B380D"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2</w:t>
            </w:r>
          </w:p>
        </w:tc>
        <w:tc>
          <w:tcPr>
            <w:tcW w:w="377" w:type="pct"/>
            <w:tcBorders>
              <w:top w:val="single" w:sz="4" w:space="0" w:color="auto"/>
              <w:bottom w:val="single" w:sz="4" w:space="0" w:color="auto"/>
            </w:tcBorders>
            <w:vAlign w:val="center"/>
          </w:tcPr>
          <w:p w14:paraId="68E22708" w14:textId="77777777" w:rsidR="00E40A40" w:rsidRPr="006F15D5" w:rsidRDefault="00E40A40" w:rsidP="00B47B68">
            <w:pPr>
              <w:tabs>
                <w:tab w:val="left" w:pos="4536"/>
              </w:tabs>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72%</w:t>
            </w:r>
          </w:p>
        </w:tc>
        <w:tc>
          <w:tcPr>
            <w:tcW w:w="335" w:type="pct"/>
            <w:tcBorders>
              <w:top w:val="single" w:sz="4" w:space="0" w:color="auto"/>
              <w:bottom w:val="single" w:sz="4" w:space="0" w:color="auto"/>
            </w:tcBorders>
            <w:vAlign w:val="center"/>
          </w:tcPr>
          <w:p w14:paraId="470055B7" w14:textId="77777777" w:rsidR="00E40A40" w:rsidRPr="006F15D5" w:rsidRDefault="00E40A40" w:rsidP="00B47B68">
            <w:pPr>
              <w:jc w:val="center"/>
              <w:rPr>
                <w:rFonts w:ascii="Times New Roman" w:hAnsi="Times New Roman" w:cs="Times New Roman"/>
                <w:sz w:val="18"/>
                <w:szCs w:val="20"/>
              </w:rPr>
            </w:pPr>
            <w:r w:rsidRPr="006F15D5">
              <w:rPr>
                <w:rFonts w:ascii="Times New Roman" w:hAnsi="Times New Roman" w:cs="Times New Roman"/>
                <w:sz w:val="18"/>
                <w:szCs w:val="20"/>
              </w:rPr>
              <w:t>1</w:t>
            </w:r>
          </w:p>
        </w:tc>
        <w:tc>
          <w:tcPr>
            <w:tcW w:w="394" w:type="pct"/>
            <w:tcBorders>
              <w:top w:val="single" w:sz="4" w:space="0" w:color="auto"/>
              <w:bottom w:val="single" w:sz="4" w:space="0" w:color="auto"/>
            </w:tcBorders>
            <w:vAlign w:val="center"/>
          </w:tcPr>
          <w:p w14:paraId="72E53853" w14:textId="77777777" w:rsidR="00E40A40" w:rsidRPr="006F15D5" w:rsidRDefault="00E40A40" w:rsidP="00B47B68">
            <w:pPr>
              <w:tabs>
                <w:tab w:val="left" w:pos="4536"/>
              </w:tabs>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27.4%</w:t>
            </w:r>
          </w:p>
        </w:tc>
        <w:tc>
          <w:tcPr>
            <w:tcW w:w="333" w:type="pct"/>
            <w:tcBorders>
              <w:top w:val="single" w:sz="4" w:space="0" w:color="auto"/>
              <w:bottom w:val="single" w:sz="4" w:space="0" w:color="auto"/>
            </w:tcBorders>
            <w:vAlign w:val="center"/>
          </w:tcPr>
          <w:p w14:paraId="5EAEC91A"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5</w:t>
            </w:r>
          </w:p>
        </w:tc>
      </w:tr>
      <w:tr w:rsidR="007F15D8" w:rsidRPr="00EA76AA" w14:paraId="468BBD3D" w14:textId="77777777" w:rsidTr="00215E9A">
        <w:trPr>
          <w:trHeight w:val="340"/>
        </w:trPr>
        <w:tc>
          <w:tcPr>
            <w:tcW w:w="607" w:type="pct"/>
            <w:tcBorders>
              <w:top w:val="single" w:sz="4" w:space="0" w:color="auto"/>
              <w:bottom w:val="single" w:sz="4" w:space="0" w:color="auto"/>
              <w:right w:val="single" w:sz="4" w:space="0" w:color="auto"/>
            </w:tcBorders>
            <w:vAlign w:val="center"/>
          </w:tcPr>
          <w:p w14:paraId="48A30E1A" w14:textId="77777777" w:rsidR="00E40A40" w:rsidRPr="006F15D5" w:rsidRDefault="00E40A40" w:rsidP="00B47B68">
            <w:pPr>
              <w:tabs>
                <w:tab w:val="left" w:pos="4536"/>
              </w:tabs>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EQ(ERC)- β</w:t>
            </w:r>
          </w:p>
        </w:tc>
        <w:tc>
          <w:tcPr>
            <w:tcW w:w="414" w:type="pct"/>
            <w:tcBorders>
              <w:top w:val="single" w:sz="4" w:space="0" w:color="auto"/>
              <w:left w:val="single" w:sz="4" w:space="0" w:color="auto"/>
              <w:bottom w:val="single" w:sz="4" w:space="0" w:color="auto"/>
            </w:tcBorders>
            <w:vAlign w:val="center"/>
          </w:tcPr>
          <w:p w14:paraId="3260C94C" w14:textId="77777777" w:rsidR="00E40A40" w:rsidRPr="006F15D5" w:rsidRDefault="00E40A40" w:rsidP="00B47B68">
            <w:pPr>
              <w:tabs>
                <w:tab w:val="left" w:pos="4536"/>
              </w:tabs>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0.058</w:t>
            </w:r>
          </w:p>
        </w:tc>
        <w:tc>
          <w:tcPr>
            <w:tcW w:w="335" w:type="pct"/>
            <w:tcBorders>
              <w:top w:val="single" w:sz="4" w:space="0" w:color="auto"/>
              <w:bottom w:val="single" w:sz="4" w:space="0" w:color="auto"/>
            </w:tcBorders>
            <w:vAlign w:val="center"/>
          </w:tcPr>
          <w:p w14:paraId="461737E2"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2</w:t>
            </w:r>
          </w:p>
        </w:tc>
        <w:tc>
          <w:tcPr>
            <w:tcW w:w="414" w:type="pct"/>
            <w:tcBorders>
              <w:top w:val="single" w:sz="4" w:space="0" w:color="auto"/>
              <w:bottom w:val="single" w:sz="4" w:space="0" w:color="auto"/>
            </w:tcBorders>
            <w:vAlign w:val="center"/>
          </w:tcPr>
          <w:p w14:paraId="03C7B9B0" w14:textId="77777777" w:rsidR="00E40A40" w:rsidRPr="006F15D5" w:rsidRDefault="00E40A40" w:rsidP="00B47B68">
            <w:pPr>
              <w:tabs>
                <w:tab w:val="left" w:pos="4536"/>
              </w:tabs>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0.268</w:t>
            </w:r>
          </w:p>
        </w:tc>
        <w:tc>
          <w:tcPr>
            <w:tcW w:w="335" w:type="pct"/>
            <w:tcBorders>
              <w:top w:val="single" w:sz="4" w:space="0" w:color="auto"/>
              <w:bottom w:val="single" w:sz="4" w:space="0" w:color="auto"/>
            </w:tcBorders>
            <w:vAlign w:val="center"/>
          </w:tcPr>
          <w:p w14:paraId="202B4D96"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1</w:t>
            </w:r>
          </w:p>
        </w:tc>
        <w:tc>
          <w:tcPr>
            <w:tcW w:w="414" w:type="pct"/>
            <w:tcBorders>
              <w:top w:val="single" w:sz="4" w:space="0" w:color="auto"/>
              <w:bottom w:val="single" w:sz="4" w:space="0" w:color="auto"/>
            </w:tcBorders>
            <w:vAlign w:val="center"/>
          </w:tcPr>
          <w:p w14:paraId="384C3342" w14:textId="77777777" w:rsidR="00E40A40" w:rsidRPr="006F15D5" w:rsidRDefault="00E40A40" w:rsidP="00B47B68">
            <w:pPr>
              <w:tabs>
                <w:tab w:val="left" w:pos="4536"/>
              </w:tabs>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-0.228</w:t>
            </w:r>
          </w:p>
        </w:tc>
        <w:tc>
          <w:tcPr>
            <w:tcW w:w="330" w:type="pct"/>
            <w:tcBorders>
              <w:top w:val="single" w:sz="4" w:space="0" w:color="auto"/>
              <w:bottom w:val="single" w:sz="4" w:space="0" w:color="auto"/>
            </w:tcBorders>
            <w:vAlign w:val="center"/>
          </w:tcPr>
          <w:p w14:paraId="5E57348E"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6</w:t>
            </w:r>
          </w:p>
        </w:tc>
        <w:tc>
          <w:tcPr>
            <w:tcW w:w="377" w:type="pct"/>
            <w:tcBorders>
              <w:top w:val="single" w:sz="4" w:space="0" w:color="auto"/>
              <w:bottom w:val="single" w:sz="4" w:space="0" w:color="auto"/>
            </w:tcBorders>
            <w:vAlign w:val="center"/>
          </w:tcPr>
          <w:p w14:paraId="528813A9" w14:textId="77777777" w:rsidR="00E40A40" w:rsidRPr="006F15D5" w:rsidRDefault="00E40A40" w:rsidP="00B47B68">
            <w:pPr>
              <w:tabs>
                <w:tab w:val="left" w:pos="4536"/>
              </w:tabs>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-0.064</w:t>
            </w:r>
          </w:p>
        </w:tc>
        <w:tc>
          <w:tcPr>
            <w:tcW w:w="335" w:type="pct"/>
            <w:tcBorders>
              <w:top w:val="single" w:sz="4" w:space="0" w:color="auto"/>
              <w:bottom w:val="single" w:sz="4" w:space="0" w:color="auto"/>
            </w:tcBorders>
            <w:vAlign w:val="center"/>
          </w:tcPr>
          <w:p w14:paraId="49671FB3"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3</w:t>
            </w:r>
          </w:p>
        </w:tc>
        <w:tc>
          <w:tcPr>
            <w:tcW w:w="377" w:type="pct"/>
            <w:tcBorders>
              <w:top w:val="single" w:sz="4" w:space="0" w:color="auto"/>
              <w:bottom w:val="single" w:sz="4" w:space="0" w:color="auto"/>
            </w:tcBorders>
            <w:vAlign w:val="center"/>
          </w:tcPr>
          <w:p w14:paraId="1437DFAF" w14:textId="77777777" w:rsidR="00E40A40" w:rsidRPr="006F15D5" w:rsidRDefault="00E40A40" w:rsidP="00B47B68">
            <w:pPr>
              <w:tabs>
                <w:tab w:val="left" w:pos="4536"/>
              </w:tabs>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-0.091</w:t>
            </w:r>
          </w:p>
        </w:tc>
        <w:tc>
          <w:tcPr>
            <w:tcW w:w="335" w:type="pct"/>
            <w:tcBorders>
              <w:top w:val="single" w:sz="4" w:space="0" w:color="auto"/>
              <w:bottom w:val="single" w:sz="4" w:space="0" w:color="auto"/>
            </w:tcBorders>
            <w:vAlign w:val="center"/>
          </w:tcPr>
          <w:p w14:paraId="3E8D0541"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4</w:t>
            </w:r>
          </w:p>
        </w:tc>
        <w:tc>
          <w:tcPr>
            <w:tcW w:w="394" w:type="pct"/>
            <w:tcBorders>
              <w:top w:val="single" w:sz="4" w:space="0" w:color="auto"/>
              <w:bottom w:val="single" w:sz="4" w:space="0" w:color="auto"/>
            </w:tcBorders>
            <w:vAlign w:val="center"/>
          </w:tcPr>
          <w:p w14:paraId="430F6FCC" w14:textId="77777777" w:rsidR="00E40A40" w:rsidRPr="006F15D5" w:rsidRDefault="00E40A40" w:rsidP="00B47B68">
            <w:pPr>
              <w:tabs>
                <w:tab w:val="left" w:pos="4536"/>
              </w:tabs>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-0.222</w:t>
            </w:r>
          </w:p>
        </w:tc>
        <w:tc>
          <w:tcPr>
            <w:tcW w:w="333" w:type="pct"/>
            <w:tcBorders>
              <w:top w:val="single" w:sz="4" w:space="0" w:color="auto"/>
              <w:bottom w:val="single" w:sz="4" w:space="0" w:color="auto"/>
            </w:tcBorders>
            <w:vAlign w:val="center"/>
          </w:tcPr>
          <w:p w14:paraId="4240AF24"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5</w:t>
            </w:r>
          </w:p>
        </w:tc>
      </w:tr>
      <w:tr w:rsidR="007F15D8" w:rsidRPr="00EA76AA" w14:paraId="7C9E599E" w14:textId="77777777" w:rsidTr="00215E9A">
        <w:trPr>
          <w:trHeight w:val="340"/>
        </w:trPr>
        <w:tc>
          <w:tcPr>
            <w:tcW w:w="607" w:type="pct"/>
            <w:tcBorders>
              <w:top w:val="single" w:sz="4" w:space="0" w:color="auto"/>
              <w:bottom w:val="single" w:sz="4" w:space="0" w:color="auto"/>
              <w:right w:val="single" w:sz="4" w:space="0" w:color="auto"/>
            </w:tcBorders>
            <w:vAlign w:val="center"/>
          </w:tcPr>
          <w:p w14:paraId="79E799BC" w14:textId="77777777" w:rsidR="00E40A40" w:rsidRPr="006F15D5" w:rsidRDefault="00E40A40" w:rsidP="00B47B68">
            <w:pPr>
              <w:tabs>
                <w:tab w:val="left" w:pos="4536"/>
              </w:tabs>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EQ(ESI)</w:t>
            </w:r>
          </w:p>
        </w:tc>
        <w:tc>
          <w:tcPr>
            <w:tcW w:w="414" w:type="pct"/>
            <w:tcBorders>
              <w:top w:val="single" w:sz="4" w:space="0" w:color="auto"/>
              <w:left w:val="single" w:sz="4" w:space="0" w:color="auto"/>
              <w:bottom w:val="single" w:sz="4" w:space="0" w:color="auto"/>
            </w:tcBorders>
            <w:vAlign w:val="center"/>
          </w:tcPr>
          <w:p w14:paraId="4501B390"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1.33</w:t>
            </w:r>
          </w:p>
        </w:tc>
        <w:tc>
          <w:tcPr>
            <w:tcW w:w="335" w:type="pct"/>
            <w:tcBorders>
              <w:top w:val="single" w:sz="4" w:space="0" w:color="auto"/>
              <w:bottom w:val="single" w:sz="4" w:space="0" w:color="auto"/>
            </w:tcBorders>
            <w:vAlign w:val="center"/>
          </w:tcPr>
          <w:p w14:paraId="6D52754D"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4</w:t>
            </w:r>
          </w:p>
        </w:tc>
        <w:tc>
          <w:tcPr>
            <w:tcW w:w="414" w:type="pct"/>
            <w:tcBorders>
              <w:top w:val="single" w:sz="4" w:space="0" w:color="auto"/>
              <w:bottom w:val="single" w:sz="4" w:space="0" w:color="auto"/>
            </w:tcBorders>
            <w:vAlign w:val="center"/>
          </w:tcPr>
          <w:p w14:paraId="0F6AEA96"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1.52</w:t>
            </w:r>
          </w:p>
        </w:tc>
        <w:tc>
          <w:tcPr>
            <w:tcW w:w="335" w:type="pct"/>
            <w:tcBorders>
              <w:top w:val="single" w:sz="4" w:space="0" w:color="auto"/>
              <w:bottom w:val="single" w:sz="4" w:space="0" w:color="auto"/>
            </w:tcBorders>
            <w:vAlign w:val="center"/>
          </w:tcPr>
          <w:p w14:paraId="13B62747"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5</w:t>
            </w:r>
          </w:p>
        </w:tc>
        <w:tc>
          <w:tcPr>
            <w:tcW w:w="414" w:type="pct"/>
            <w:tcBorders>
              <w:top w:val="single" w:sz="4" w:space="0" w:color="auto"/>
              <w:bottom w:val="single" w:sz="4" w:space="0" w:color="auto"/>
            </w:tcBorders>
            <w:vAlign w:val="center"/>
          </w:tcPr>
          <w:p w14:paraId="4E0D9DC4"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1.25</w:t>
            </w:r>
          </w:p>
        </w:tc>
        <w:tc>
          <w:tcPr>
            <w:tcW w:w="330" w:type="pct"/>
            <w:tcBorders>
              <w:top w:val="single" w:sz="4" w:space="0" w:color="auto"/>
              <w:bottom w:val="single" w:sz="4" w:space="0" w:color="auto"/>
            </w:tcBorders>
            <w:vAlign w:val="center"/>
          </w:tcPr>
          <w:p w14:paraId="7B6A5346"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2</w:t>
            </w:r>
          </w:p>
        </w:tc>
        <w:tc>
          <w:tcPr>
            <w:tcW w:w="377" w:type="pct"/>
            <w:tcBorders>
              <w:top w:val="single" w:sz="4" w:space="0" w:color="auto"/>
              <w:bottom w:val="single" w:sz="4" w:space="0" w:color="auto"/>
            </w:tcBorders>
            <w:vAlign w:val="center"/>
          </w:tcPr>
          <w:p w14:paraId="390993EC"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1.28</w:t>
            </w:r>
          </w:p>
        </w:tc>
        <w:tc>
          <w:tcPr>
            <w:tcW w:w="335" w:type="pct"/>
            <w:tcBorders>
              <w:top w:val="single" w:sz="4" w:space="0" w:color="auto"/>
              <w:bottom w:val="single" w:sz="4" w:space="0" w:color="auto"/>
            </w:tcBorders>
            <w:vAlign w:val="center"/>
          </w:tcPr>
          <w:p w14:paraId="3F7CA95D"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3</w:t>
            </w:r>
          </w:p>
        </w:tc>
        <w:tc>
          <w:tcPr>
            <w:tcW w:w="377" w:type="pct"/>
            <w:tcBorders>
              <w:top w:val="single" w:sz="4" w:space="0" w:color="auto"/>
              <w:bottom w:val="single" w:sz="4" w:space="0" w:color="auto"/>
            </w:tcBorders>
            <w:vAlign w:val="center"/>
          </w:tcPr>
          <w:p w14:paraId="2C7A2C74"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1.59</w:t>
            </w:r>
          </w:p>
        </w:tc>
        <w:tc>
          <w:tcPr>
            <w:tcW w:w="335" w:type="pct"/>
            <w:tcBorders>
              <w:top w:val="single" w:sz="4" w:space="0" w:color="auto"/>
              <w:bottom w:val="single" w:sz="4" w:space="0" w:color="auto"/>
            </w:tcBorders>
            <w:vAlign w:val="center"/>
          </w:tcPr>
          <w:p w14:paraId="6608258C"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6</w:t>
            </w:r>
          </w:p>
        </w:tc>
        <w:tc>
          <w:tcPr>
            <w:tcW w:w="394" w:type="pct"/>
            <w:tcBorders>
              <w:top w:val="single" w:sz="4" w:space="0" w:color="auto"/>
              <w:bottom w:val="single" w:sz="4" w:space="0" w:color="auto"/>
            </w:tcBorders>
            <w:vAlign w:val="center"/>
          </w:tcPr>
          <w:p w14:paraId="619549AB"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1.24</w:t>
            </w:r>
          </w:p>
        </w:tc>
        <w:tc>
          <w:tcPr>
            <w:tcW w:w="333" w:type="pct"/>
            <w:tcBorders>
              <w:top w:val="single" w:sz="4" w:space="0" w:color="auto"/>
              <w:bottom w:val="single" w:sz="4" w:space="0" w:color="auto"/>
            </w:tcBorders>
            <w:vAlign w:val="center"/>
          </w:tcPr>
          <w:p w14:paraId="37380ED9"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1</w:t>
            </w:r>
          </w:p>
        </w:tc>
      </w:tr>
      <w:tr w:rsidR="007F15D8" w:rsidRPr="00EA76AA" w14:paraId="77706D30" w14:textId="77777777" w:rsidTr="00215E9A">
        <w:trPr>
          <w:trHeight w:val="340"/>
        </w:trPr>
        <w:tc>
          <w:tcPr>
            <w:tcW w:w="607" w:type="pct"/>
            <w:tcBorders>
              <w:top w:val="single" w:sz="4" w:space="0" w:color="auto"/>
              <w:bottom w:val="single" w:sz="4" w:space="0" w:color="auto"/>
              <w:right w:val="single" w:sz="4" w:space="0" w:color="auto"/>
            </w:tcBorders>
            <w:vAlign w:val="center"/>
          </w:tcPr>
          <w:p w14:paraId="61E10AD7" w14:textId="77777777" w:rsidR="00E40A40" w:rsidRPr="006F15D5" w:rsidRDefault="00E40A40" w:rsidP="00B47B68">
            <w:pPr>
              <w:tabs>
                <w:tab w:val="left" w:pos="4536"/>
              </w:tabs>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EQ(AQ)</w:t>
            </w:r>
          </w:p>
        </w:tc>
        <w:tc>
          <w:tcPr>
            <w:tcW w:w="414" w:type="pct"/>
            <w:tcBorders>
              <w:top w:val="single" w:sz="4" w:space="0" w:color="auto"/>
              <w:left w:val="single" w:sz="4" w:space="0" w:color="auto"/>
              <w:bottom w:val="single" w:sz="4" w:space="0" w:color="auto"/>
            </w:tcBorders>
            <w:vAlign w:val="center"/>
          </w:tcPr>
          <w:p w14:paraId="1169D178"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0.577</w:t>
            </w:r>
          </w:p>
        </w:tc>
        <w:tc>
          <w:tcPr>
            <w:tcW w:w="335" w:type="pct"/>
            <w:tcBorders>
              <w:top w:val="single" w:sz="4" w:space="0" w:color="auto"/>
              <w:bottom w:val="single" w:sz="4" w:space="0" w:color="auto"/>
            </w:tcBorders>
            <w:vAlign w:val="center"/>
          </w:tcPr>
          <w:p w14:paraId="2395A9A2"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6</w:t>
            </w:r>
          </w:p>
        </w:tc>
        <w:tc>
          <w:tcPr>
            <w:tcW w:w="414" w:type="pct"/>
            <w:tcBorders>
              <w:top w:val="single" w:sz="4" w:space="0" w:color="auto"/>
              <w:bottom w:val="single" w:sz="4" w:space="0" w:color="auto"/>
            </w:tcBorders>
            <w:vAlign w:val="center"/>
          </w:tcPr>
          <w:p w14:paraId="3F9978CE"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0.504</w:t>
            </w:r>
          </w:p>
        </w:tc>
        <w:tc>
          <w:tcPr>
            <w:tcW w:w="335" w:type="pct"/>
            <w:tcBorders>
              <w:top w:val="single" w:sz="4" w:space="0" w:color="auto"/>
              <w:bottom w:val="single" w:sz="4" w:space="0" w:color="auto"/>
            </w:tcBorders>
            <w:vAlign w:val="center"/>
          </w:tcPr>
          <w:p w14:paraId="7DBC3F37"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3</w:t>
            </w:r>
          </w:p>
        </w:tc>
        <w:tc>
          <w:tcPr>
            <w:tcW w:w="414" w:type="pct"/>
            <w:tcBorders>
              <w:top w:val="single" w:sz="4" w:space="0" w:color="auto"/>
              <w:bottom w:val="single" w:sz="4" w:space="0" w:color="auto"/>
            </w:tcBorders>
            <w:vAlign w:val="center"/>
          </w:tcPr>
          <w:p w14:paraId="39D20CA7"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0.504</w:t>
            </w:r>
          </w:p>
        </w:tc>
        <w:tc>
          <w:tcPr>
            <w:tcW w:w="330" w:type="pct"/>
            <w:tcBorders>
              <w:top w:val="single" w:sz="4" w:space="0" w:color="auto"/>
              <w:bottom w:val="single" w:sz="4" w:space="0" w:color="auto"/>
            </w:tcBorders>
            <w:vAlign w:val="center"/>
          </w:tcPr>
          <w:p w14:paraId="4A3C3D42"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2*</w:t>
            </w:r>
          </w:p>
        </w:tc>
        <w:tc>
          <w:tcPr>
            <w:tcW w:w="377" w:type="pct"/>
            <w:tcBorders>
              <w:top w:val="single" w:sz="4" w:space="0" w:color="auto"/>
              <w:bottom w:val="single" w:sz="4" w:space="0" w:color="auto"/>
            </w:tcBorders>
            <w:vAlign w:val="center"/>
          </w:tcPr>
          <w:p w14:paraId="0406D79C"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0.348</w:t>
            </w:r>
          </w:p>
        </w:tc>
        <w:tc>
          <w:tcPr>
            <w:tcW w:w="335" w:type="pct"/>
            <w:tcBorders>
              <w:top w:val="single" w:sz="4" w:space="0" w:color="auto"/>
              <w:bottom w:val="single" w:sz="4" w:space="0" w:color="auto"/>
            </w:tcBorders>
            <w:vAlign w:val="center"/>
          </w:tcPr>
          <w:p w14:paraId="158A2BDB"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1</w:t>
            </w:r>
          </w:p>
        </w:tc>
        <w:tc>
          <w:tcPr>
            <w:tcW w:w="377" w:type="pct"/>
            <w:tcBorders>
              <w:top w:val="single" w:sz="4" w:space="0" w:color="auto"/>
              <w:bottom w:val="single" w:sz="4" w:space="0" w:color="auto"/>
            </w:tcBorders>
            <w:vAlign w:val="center"/>
          </w:tcPr>
          <w:p w14:paraId="70C11C2A"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0.457</w:t>
            </w:r>
          </w:p>
        </w:tc>
        <w:tc>
          <w:tcPr>
            <w:tcW w:w="335" w:type="pct"/>
            <w:tcBorders>
              <w:top w:val="single" w:sz="4" w:space="0" w:color="auto"/>
              <w:bottom w:val="single" w:sz="4" w:space="0" w:color="auto"/>
            </w:tcBorders>
            <w:vAlign w:val="center"/>
          </w:tcPr>
          <w:p w14:paraId="3B626C85"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4</w:t>
            </w:r>
          </w:p>
        </w:tc>
        <w:tc>
          <w:tcPr>
            <w:tcW w:w="394" w:type="pct"/>
            <w:tcBorders>
              <w:top w:val="single" w:sz="4" w:space="0" w:color="auto"/>
              <w:bottom w:val="single" w:sz="4" w:space="0" w:color="auto"/>
            </w:tcBorders>
            <w:vAlign w:val="center"/>
          </w:tcPr>
          <w:p w14:paraId="49EA0E7F"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0.559</w:t>
            </w:r>
          </w:p>
        </w:tc>
        <w:tc>
          <w:tcPr>
            <w:tcW w:w="333" w:type="pct"/>
            <w:tcBorders>
              <w:top w:val="single" w:sz="4" w:space="0" w:color="auto"/>
              <w:bottom w:val="single" w:sz="4" w:space="0" w:color="auto"/>
            </w:tcBorders>
            <w:vAlign w:val="center"/>
          </w:tcPr>
          <w:p w14:paraId="333AF25B"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5</w:t>
            </w:r>
          </w:p>
        </w:tc>
      </w:tr>
      <w:tr w:rsidR="007F15D8" w:rsidRPr="00EA76AA" w14:paraId="6833022F" w14:textId="77777777" w:rsidTr="00215E9A">
        <w:trPr>
          <w:trHeight w:val="340"/>
        </w:trPr>
        <w:tc>
          <w:tcPr>
            <w:tcW w:w="607" w:type="pct"/>
            <w:tcBorders>
              <w:top w:val="single" w:sz="4" w:space="0" w:color="auto"/>
              <w:bottom w:val="single" w:sz="4" w:space="0" w:color="auto"/>
              <w:right w:val="single" w:sz="4" w:space="0" w:color="auto"/>
            </w:tcBorders>
            <w:vAlign w:val="center"/>
          </w:tcPr>
          <w:p w14:paraId="2F19CC5D" w14:textId="77777777" w:rsidR="00E40A40" w:rsidRPr="006F15D5" w:rsidRDefault="00E40A40" w:rsidP="00B47B68">
            <w:pPr>
              <w:tabs>
                <w:tab w:val="left" w:pos="4536"/>
              </w:tabs>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EQ(SM)</w:t>
            </w:r>
          </w:p>
        </w:tc>
        <w:tc>
          <w:tcPr>
            <w:tcW w:w="414" w:type="pct"/>
            <w:tcBorders>
              <w:top w:val="single" w:sz="4" w:space="0" w:color="auto"/>
              <w:left w:val="single" w:sz="4" w:space="0" w:color="auto"/>
              <w:bottom w:val="single" w:sz="4" w:space="0" w:color="auto"/>
            </w:tcBorders>
            <w:vAlign w:val="center"/>
          </w:tcPr>
          <w:p w14:paraId="0BC1E46E"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0.930</w:t>
            </w:r>
          </w:p>
        </w:tc>
        <w:tc>
          <w:tcPr>
            <w:tcW w:w="335" w:type="pct"/>
            <w:tcBorders>
              <w:top w:val="single" w:sz="4" w:space="0" w:color="auto"/>
              <w:bottom w:val="single" w:sz="4" w:space="0" w:color="auto"/>
            </w:tcBorders>
            <w:vAlign w:val="center"/>
          </w:tcPr>
          <w:p w14:paraId="2864FEDE"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3</w:t>
            </w:r>
          </w:p>
        </w:tc>
        <w:tc>
          <w:tcPr>
            <w:tcW w:w="414" w:type="pct"/>
            <w:tcBorders>
              <w:top w:val="single" w:sz="4" w:space="0" w:color="auto"/>
              <w:bottom w:val="single" w:sz="4" w:space="0" w:color="auto"/>
            </w:tcBorders>
            <w:vAlign w:val="center"/>
          </w:tcPr>
          <w:p w14:paraId="45925940"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0.934</w:t>
            </w:r>
          </w:p>
        </w:tc>
        <w:tc>
          <w:tcPr>
            <w:tcW w:w="335" w:type="pct"/>
            <w:tcBorders>
              <w:top w:val="single" w:sz="4" w:space="0" w:color="auto"/>
              <w:bottom w:val="single" w:sz="4" w:space="0" w:color="auto"/>
            </w:tcBorders>
            <w:vAlign w:val="center"/>
          </w:tcPr>
          <w:p w14:paraId="1A76B47C"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4</w:t>
            </w:r>
          </w:p>
        </w:tc>
        <w:tc>
          <w:tcPr>
            <w:tcW w:w="414" w:type="pct"/>
            <w:tcBorders>
              <w:top w:val="single" w:sz="4" w:space="0" w:color="auto"/>
              <w:bottom w:val="single" w:sz="4" w:space="0" w:color="auto"/>
            </w:tcBorders>
            <w:vAlign w:val="center"/>
          </w:tcPr>
          <w:p w14:paraId="56F6B06B"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2.67</w:t>
            </w:r>
          </w:p>
        </w:tc>
        <w:tc>
          <w:tcPr>
            <w:tcW w:w="330" w:type="pct"/>
            <w:tcBorders>
              <w:top w:val="single" w:sz="4" w:space="0" w:color="auto"/>
              <w:bottom w:val="single" w:sz="4" w:space="0" w:color="auto"/>
            </w:tcBorders>
            <w:vAlign w:val="center"/>
          </w:tcPr>
          <w:p w14:paraId="50DADBA0"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6</w:t>
            </w:r>
          </w:p>
        </w:tc>
        <w:tc>
          <w:tcPr>
            <w:tcW w:w="377" w:type="pct"/>
            <w:tcBorders>
              <w:top w:val="single" w:sz="4" w:space="0" w:color="auto"/>
              <w:bottom w:val="single" w:sz="4" w:space="0" w:color="auto"/>
            </w:tcBorders>
            <w:vAlign w:val="center"/>
          </w:tcPr>
          <w:p w14:paraId="77287265"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0.802</w:t>
            </w:r>
          </w:p>
        </w:tc>
        <w:tc>
          <w:tcPr>
            <w:tcW w:w="335" w:type="pct"/>
            <w:tcBorders>
              <w:top w:val="single" w:sz="4" w:space="0" w:color="auto"/>
              <w:bottom w:val="single" w:sz="4" w:space="0" w:color="auto"/>
            </w:tcBorders>
            <w:vAlign w:val="center"/>
          </w:tcPr>
          <w:p w14:paraId="65B994C2"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1</w:t>
            </w:r>
          </w:p>
        </w:tc>
        <w:tc>
          <w:tcPr>
            <w:tcW w:w="377" w:type="pct"/>
            <w:tcBorders>
              <w:top w:val="single" w:sz="4" w:space="0" w:color="auto"/>
              <w:bottom w:val="single" w:sz="4" w:space="0" w:color="auto"/>
            </w:tcBorders>
            <w:vAlign w:val="center"/>
          </w:tcPr>
          <w:p w14:paraId="1B8CD149"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1.134</w:t>
            </w:r>
          </w:p>
        </w:tc>
        <w:tc>
          <w:tcPr>
            <w:tcW w:w="335" w:type="pct"/>
            <w:tcBorders>
              <w:top w:val="single" w:sz="4" w:space="0" w:color="auto"/>
              <w:bottom w:val="single" w:sz="4" w:space="0" w:color="auto"/>
            </w:tcBorders>
            <w:vAlign w:val="center"/>
          </w:tcPr>
          <w:p w14:paraId="0445AC33"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5</w:t>
            </w:r>
          </w:p>
        </w:tc>
        <w:tc>
          <w:tcPr>
            <w:tcW w:w="394" w:type="pct"/>
            <w:tcBorders>
              <w:top w:val="single" w:sz="4" w:space="0" w:color="auto"/>
              <w:bottom w:val="single" w:sz="4" w:space="0" w:color="auto"/>
            </w:tcBorders>
            <w:vAlign w:val="center"/>
          </w:tcPr>
          <w:p w14:paraId="7FEBC95C"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0.849</w:t>
            </w:r>
          </w:p>
        </w:tc>
        <w:tc>
          <w:tcPr>
            <w:tcW w:w="333" w:type="pct"/>
            <w:tcBorders>
              <w:top w:val="single" w:sz="4" w:space="0" w:color="auto"/>
              <w:bottom w:val="single" w:sz="4" w:space="0" w:color="auto"/>
            </w:tcBorders>
            <w:vAlign w:val="center"/>
          </w:tcPr>
          <w:p w14:paraId="1398CE67"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2</w:t>
            </w:r>
          </w:p>
        </w:tc>
      </w:tr>
      <w:tr w:rsidR="007F15D8" w:rsidRPr="00EA76AA" w14:paraId="30843489" w14:textId="77777777" w:rsidTr="00215E9A">
        <w:tc>
          <w:tcPr>
            <w:tcW w:w="607" w:type="pct"/>
            <w:tcBorders>
              <w:top w:val="single" w:sz="4" w:space="0" w:color="auto"/>
              <w:bottom w:val="single" w:sz="4" w:space="0" w:color="auto"/>
              <w:right w:val="single" w:sz="4" w:space="0" w:color="auto"/>
            </w:tcBorders>
            <w:vAlign w:val="center"/>
          </w:tcPr>
          <w:p w14:paraId="07E7AAD5" w14:textId="77777777" w:rsidR="00E40A40" w:rsidRPr="006F15D5" w:rsidRDefault="00E40A40" w:rsidP="00B47B68">
            <w:pPr>
              <w:tabs>
                <w:tab w:val="left" w:pos="4536"/>
              </w:tabs>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EQ(TRL)- β1</w:t>
            </w:r>
          </w:p>
        </w:tc>
        <w:tc>
          <w:tcPr>
            <w:tcW w:w="414" w:type="pct"/>
            <w:tcBorders>
              <w:top w:val="single" w:sz="4" w:space="0" w:color="auto"/>
              <w:left w:val="single" w:sz="4" w:space="0" w:color="auto"/>
              <w:bottom w:val="single" w:sz="4" w:space="0" w:color="auto"/>
            </w:tcBorders>
            <w:vAlign w:val="center"/>
          </w:tcPr>
          <w:p w14:paraId="5D91541E"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0.898</w:t>
            </w:r>
          </w:p>
        </w:tc>
        <w:tc>
          <w:tcPr>
            <w:tcW w:w="335" w:type="pct"/>
            <w:tcBorders>
              <w:top w:val="single" w:sz="4" w:space="0" w:color="auto"/>
              <w:bottom w:val="single" w:sz="4" w:space="0" w:color="auto"/>
            </w:tcBorders>
            <w:vAlign w:val="center"/>
          </w:tcPr>
          <w:p w14:paraId="2B54D938"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3</w:t>
            </w:r>
          </w:p>
        </w:tc>
        <w:tc>
          <w:tcPr>
            <w:tcW w:w="414" w:type="pct"/>
            <w:tcBorders>
              <w:top w:val="single" w:sz="4" w:space="0" w:color="auto"/>
              <w:bottom w:val="single" w:sz="4" w:space="0" w:color="auto"/>
            </w:tcBorders>
            <w:vAlign w:val="center"/>
          </w:tcPr>
          <w:p w14:paraId="711DF668"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0.249</w:t>
            </w:r>
          </w:p>
        </w:tc>
        <w:tc>
          <w:tcPr>
            <w:tcW w:w="335" w:type="pct"/>
            <w:tcBorders>
              <w:top w:val="single" w:sz="4" w:space="0" w:color="auto"/>
              <w:bottom w:val="single" w:sz="4" w:space="0" w:color="auto"/>
            </w:tcBorders>
            <w:vAlign w:val="center"/>
          </w:tcPr>
          <w:p w14:paraId="2582F569"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4</w:t>
            </w:r>
          </w:p>
        </w:tc>
        <w:tc>
          <w:tcPr>
            <w:tcW w:w="414" w:type="pct"/>
            <w:tcBorders>
              <w:top w:val="single" w:sz="4" w:space="0" w:color="auto"/>
              <w:bottom w:val="single" w:sz="4" w:space="0" w:color="auto"/>
            </w:tcBorders>
            <w:vAlign w:val="center"/>
          </w:tcPr>
          <w:p w14:paraId="2C0D79EA"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2.121</w:t>
            </w:r>
          </w:p>
        </w:tc>
        <w:tc>
          <w:tcPr>
            <w:tcW w:w="330" w:type="pct"/>
            <w:tcBorders>
              <w:top w:val="single" w:sz="4" w:space="0" w:color="auto"/>
              <w:bottom w:val="single" w:sz="4" w:space="0" w:color="auto"/>
            </w:tcBorders>
            <w:vAlign w:val="center"/>
          </w:tcPr>
          <w:p w14:paraId="1C0AC566"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1</w:t>
            </w:r>
          </w:p>
        </w:tc>
        <w:tc>
          <w:tcPr>
            <w:tcW w:w="377" w:type="pct"/>
            <w:tcBorders>
              <w:top w:val="single" w:sz="4" w:space="0" w:color="auto"/>
              <w:bottom w:val="single" w:sz="4" w:space="0" w:color="auto"/>
            </w:tcBorders>
            <w:vAlign w:val="center"/>
          </w:tcPr>
          <w:p w14:paraId="6443A727"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-4.857</w:t>
            </w:r>
          </w:p>
        </w:tc>
        <w:tc>
          <w:tcPr>
            <w:tcW w:w="335" w:type="pct"/>
            <w:tcBorders>
              <w:top w:val="single" w:sz="4" w:space="0" w:color="auto"/>
              <w:bottom w:val="single" w:sz="4" w:space="0" w:color="auto"/>
            </w:tcBorders>
            <w:vAlign w:val="center"/>
          </w:tcPr>
          <w:p w14:paraId="12707FDA"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5</w:t>
            </w:r>
          </w:p>
        </w:tc>
        <w:tc>
          <w:tcPr>
            <w:tcW w:w="377" w:type="pct"/>
            <w:tcBorders>
              <w:top w:val="single" w:sz="4" w:space="0" w:color="auto"/>
              <w:bottom w:val="single" w:sz="4" w:space="0" w:color="auto"/>
            </w:tcBorders>
            <w:vAlign w:val="center"/>
          </w:tcPr>
          <w:p w14:paraId="00E58B44"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-0.074</w:t>
            </w:r>
          </w:p>
        </w:tc>
        <w:tc>
          <w:tcPr>
            <w:tcW w:w="335" w:type="pct"/>
            <w:tcBorders>
              <w:top w:val="single" w:sz="4" w:space="0" w:color="auto"/>
              <w:bottom w:val="single" w:sz="4" w:space="0" w:color="auto"/>
            </w:tcBorders>
            <w:vAlign w:val="center"/>
          </w:tcPr>
          <w:p w14:paraId="011C649B"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6</w:t>
            </w:r>
          </w:p>
        </w:tc>
        <w:tc>
          <w:tcPr>
            <w:tcW w:w="394" w:type="pct"/>
            <w:tcBorders>
              <w:top w:val="single" w:sz="4" w:space="0" w:color="auto"/>
              <w:bottom w:val="single" w:sz="4" w:space="0" w:color="auto"/>
            </w:tcBorders>
            <w:vAlign w:val="center"/>
          </w:tcPr>
          <w:p w14:paraId="394C4AED"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1.578</w:t>
            </w:r>
          </w:p>
        </w:tc>
        <w:tc>
          <w:tcPr>
            <w:tcW w:w="333" w:type="pct"/>
            <w:tcBorders>
              <w:top w:val="single" w:sz="4" w:space="0" w:color="auto"/>
              <w:bottom w:val="single" w:sz="4" w:space="0" w:color="auto"/>
            </w:tcBorders>
            <w:vAlign w:val="center"/>
          </w:tcPr>
          <w:p w14:paraId="3EE3496A"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2</w:t>
            </w:r>
          </w:p>
        </w:tc>
      </w:tr>
      <w:tr w:rsidR="007F15D8" w:rsidRPr="00EA76AA" w14:paraId="4CFEC4A1" w14:textId="77777777" w:rsidTr="00215E9A">
        <w:tc>
          <w:tcPr>
            <w:tcW w:w="607" w:type="pct"/>
            <w:tcBorders>
              <w:top w:val="single" w:sz="4" w:space="0" w:color="auto"/>
              <w:bottom w:val="single" w:sz="4" w:space="0" w:color="auto"/>
              <w:right w:val="single" w:sz="4" w:space="0" w:color="auto"/>
            </w:tcBorders>
            <w:vAlign w:val="center"/>
          </w:tcPr>
          <w:p w14:paraId="5AE03B1E" w14:textId="77777777" w:rsidR="00E40A40" w:rsidRPr="006F15D5" w:rsidRDefault="00E40A40" w:rsidP="00B47B68">
            <w:pPr>
              <w:tabs>
                <w:tab w:val="left" w:pos="4536"/>
              </w:tabs>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EQ(CON)- β3</w:t>
            </w:r>
          </w:p>
        </w:tc>
        <w:tc>
          <w:tcPr>
            <w:tcW w:w="414" w:type="pct"/>
            <w:tcBorders>
              <w:top w:val="single" w:sz="4" w:space="0" w:color="auto"/>
              <w:left w:val="single" w:sz="4" w:space="0" w:color="auto"/>
              <w:bottom w:val="single" w:sz="4" w:space="0" w:color="auto"/>
            </w:tcBorders>
            <w:vAlign w:val="center"/>
          </w:tcPr>
          <w:p w14:paraId="6748D572"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0.301</w:t>
            </w:r>
          </w:p>
        </w:tc>
        <w:tc>
          <w:tcPr>
            <w:tcW w:w="335" w:type="pct"/>
            <w:tcBorders>
              <w:top w:val="single" w:sz="4" w:space="0" w:color="auto"/>
              <w:bottom w:val="single" w:sz="4" w:space="0" w:color="auto"/>
            </w:tcBorders>
            <w:vAlign w:val="center"/>
          </w:tcPr>
          <w:p w14:paraId="703177AA"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5</w:t>
            </w:r>
          </w:p>
        </w:tc>
        <w:tc>
          <w:tcPr>
            <w:tcW w:w="414" w:type="pct"/>
            <w:tcBorders>
              <w:top w:val="single" w:sz="4" w:space="0" w:color="auto"/>
              <w:bottom w:val="single" w:sz="4" w:space="0" w:color="auto"/>
            </w:tcBorders>
            <w:vAlign w:val="center"/>
          </w:tcPr>
          <w:p w14:paraId="34C89B43"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-0.783</w:t>
            </w:r>
          </w:p>
        </w:tc>
        <w:tc>
          <w:tcPr>
            <w:tcW w:w="335" w:type="pct"/>
            <w:tcBorders>
              <w:top w:val="single" w:sz="4" w:space="0" w:color="auto"/>
              <w:bottom w:val="single" w:sz="4" w:space="0" w:color="auto"/>
            </w:tcBorders>
            <w:vAlign w:val="center"/>
          </w:tcPr>
          <w:p w14:paraId="0EF91F67"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1</w:t>
            </w:r>
          </w:p>
        </w:tc>
        <w:tc>
          <w:tcPr>
            <w:tcW w:w="414" w:type="pct"/>
            <w:tcBorders>
              <w:top w:val="single" w:sz="4" w:space="0" w:color="auto"/>
              <w:bottom w:val="single" w:sz="4" w:space="0" w:color="auto"/>
            </w:tcBorders>
            <w:vAlign w:val="center"/>
          </w:tcPr>
          <w:p w14:paraId="06365F87"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-0.678</w:t>
            </w:r>
          </w:p>
        </w:tc>
        <w:tc>
          <w:tcPr>
            <w:tcW w:w="330" w:type="pct"/>
            <w:tcBorders>
              <w:top w:val="single" w:sz="4" w:space="0" w:color="auto"/>
              <w:bottom w:val="single" w:sz="4" w:space="0" w:color="auto"/>
            </w:tcBorders>
            <w:vAlign w:val="center"/>
          </w:tcPr>
          <w:p w14:paraId="6EFB7EDA"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2</w:t>
            </w:r>
          </w:p>
        </w:tc>
        <w:tc>
          <w:tcPr>
            <w:tcW w:w="377" w:type="pct"/>
            <w:tcBorders>
              <w:top w:val="single" w:sz="4" w:space="0" w:color="auto"/>
              <w:bottom w:val="single" w:sz="4" w:space="0" w:color="auto"/>
            </w:tcBorders>
            <w:vAlign w:val="center"/>
          </w:tcPr>
          <w:p w14:paraId="413E75F8"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-0.474</w:t>
            </w:r>
          </w:p>
        </w:tc>
        <w:tc>
          <w:tcPr>
            <w:tcW w:w="335" w:type="pct"/>
            <w:tcBorders>
              <w:top w:val="single" w:sz="4" w:space="0" w:color="auto"/>
              <w:bottom w:val="single" w:sz="4" w:space="0" w:color="auto"/>
            </w:tcBorders>
            <w:vAlign w:val="center"/>
          </w:tcPr>
          <w:p w14:paraId="14407FD7"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3</w:t>
            </w:r>
          </w:p>
        </w:tc>
        <w:tc>
          <w:tcPr>
            <w:tcW w:w="377" w:type="pct"/>
            <w:tcBorders>
              <w:top w:val="single" w:sz="4" w:space="0" w:color="auto"/>
              <w:bottom w:val="single" w:sz="4" w:space="0" w:color="auto"/>
            </w:tcBorders>
            <w:vAlign w:val="center"/>
          </w:tcPr>
          <w:p w14:paraId="09751F4B"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-0.165</w:t>
            </w:r>
          </w:p>
        </w:tc>
        <w:tc>
          <w:tcPr>
            <w:tcW w:w="335" w:type="pct"/>
            <w:tcBorders>
              <w:top w:val="single" w:sz="4" w:space="0" w:color="auto"/>
              <w:bottom w:val="single" w:sz="4" w:space="0" w:color="auto"/>
            </w:tcBorders>
            <w:vAlign w:val="center"/>
          </w:tcPr>
          <w:p w14:paraId="6D3E3EF5"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4</w:t>
            </w:r>
          </w:p>
        </w:tc>
        <w:tc>
          <w:tcPr>
            <w:tcW w:w="394" w:type="pct"/>
            <w:tcBorders>
              <w:top w:val="single" w:sz="4" w:space="0" w:color="auto"/>
              <w:bottom w:val="single" w:sz="4" w:space="0" w:color="auto"/>
            </w:tcBorders>
            <w:vAlign w:val="center"/>
          </w:tcPr>
          <w:p w14:paraId="08023E7C"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0.503</w:t>
            </w:r>
          </w:p>
        </w:tc>
        <w:tc>
          <w:tcPr>
            <w:tcW w:w="333" w:type="pct"/>
            <w:tcBorders>
              <w:top w:val="single" w:sz="4" w:space="0" w:color="auto"/>
              <w:bottom w:val="single" w:sz="4" w:space="0" w:color="auto"/>
            </w:tcBorders>
            <w:vAlign w:val="center"/>
          </w:tcPr>
          <w:p w14:paraId="5923C9BA" w14:textId="77777777" w:rsidR="00E40A40" w:rsidRPr="006F15D5" w:rsidRDefault="00E40A40" w:rsidP="00B47B68">
            <w:pPr>
              <w:autoSpaceDE w:val="0"/>
              <w:autoSpaceDN w:val="0"/>
              <w:adjustRightInd w:val="0"/>
              <w:jc w:val="center"/>
              <w:rPr>
                <w:rFonts w:ascii="Times New Roman" w:hAnsi="Times New Roman" w:cs="Times New Roman"/>
                <w:sz w:val="18"/>
                <w:szCs w:val="20"/>
              </w:rPr>
            </w:pPr>
            <w:r w:rsidRPr="006F15D5">
              <w:rPr>
                <w:rFonts w:ascii="Times New Roman" w:hAnsi="Times New Roman" w:cs="Times New Roman"/>
                <w:sz w:val="18"/>
                <w:szCs w:val="20"/>
              </w:rPr>
              <w:t>6</w:t>
            </w:r>
          </w:p>
        </w:tc>
      </w:tr>
    </w:tbl>
    <w:p w14:paraId="64CA2915" w14:textId="7238B768" w:rsidR="00E40A40" w:rsidRPr="00B47B68" w:rsidRDefault="00215E9A" w:rsidP="00B47B68">
      <w:pPr>
        <w:autoSpaceDE w:val="0"/>
        <w:autoSpaceDN w:val="0"/>
        <w:adjustRightInd w:val="0"/>
        <w:snapToGrid w:val="0"/>
        <w:spacing w:after="0" w:line="360" w:lineRule="exact"/>
        <w:jc w:val="both"/>
        <w:rPr>
          <w:rFonts w:ascii="Times New Roman" w:hAnsi="Times New Roman" w:cs="Times New Roman"/>
          <w:szCs w:val="16"/>
        </w:rPr>
      </w:pPr>
      <w:r w:rsidRPr="00215E9A">
        <w:rPr>
          <w:rFonts w:asciiTheme="majorBidi" w:hAnsiTheme="majorBidi" w:cstheme="majorBidi"/>
          <w:i/>
          <w:szCs w:val="24"/>
        </w:rPr>
        <w:t>Note.</w:t>
      </w:r>
      <w:r>
        <w:rPr>
          <w:rFonts w:asciiTheme="majorBidi" w:hAnsiTheme="majorBidi" w:cstheme="majorBidi"/>
          <w:i/>
          <w:szCs w:val="24"/>
        </w:rPr>
        <w:t xml:space="preserve"> </w:t>
      </w:r>
      <w:r w:rsidR="00E40A40" w:rsidRPr="00B47B68">
        <w:rPr>
          <w:rFonts w:ascii="Times New Roman" w:hAnsi="Times New Roman" w:cs="Times New Roman"/>
          <w:szCs w:val="16"/>
        </w:rPr>
        <w:t>*R</w:t>
      </w:r>
      <w:r w:rsidR="00E40A40" w:rsidRPr="00B47B68">
        <w:rPr>
          <w:rFonts w:ascii="Times New Roman" w:hAnsi="Times New Roman" w:cs="Times New Roman"/>
          <w:szCs w:val="16"/>
          <w:vertAlign w:val="superscript"/>
        </w:rPr>
        <w:t>2</w:t>
      </w:r>
      <w:r w:rsidR="00E40A40" w:rsidRPr="00B47B68">
        <w:rPr>
          <w:rFonts w:ascii="Times New Roman" w:hAnsi="Times New Roman" w:cs="Times New Roman"/>
          <w:szCs w:val="16"/>
        </w:rPr>
        <w:t xml:space="preserve"> of AQ in Qatar is more than Oman. </w:t>
      </w:r>
    </w:p>
    <w:p w14:paraId="14E9A5A5" w14:textId="46B3AB26" w:rsidR="007C75D5" w:rsidRPr="003B7DC7" w:rsidRDefault="007C75D5" w:rsidP="003B7DC7">
      <w:pPr>
        <w:pStyle w:val="Default"/>
        <w:snapToGrid w:val="0"/>
        <w:spacing w:line="360" w:lineRule="exact"/>
        <w:ind w:firstLine="510"/>
        <w:jc w:val="both"/>
        <w:rPr>
          <w:color w:val="auto"/>
          <w:sz w:val="26"/>
          <w:szCs w:val="26"/>
          <w:lang w:val="en-GB"/>
        </w:rPr>
      </w:pPr>
    </w:p>
    <w:p w14:paraId="62846ED3" w14:textId="07BBBACA" w:rsidR="000870A7" w:rsidRPr="003B7DC7" w:rsidRDefault="00D1353F" w:rsidP="003B7DC7">
      <w:pPr>
        <w:pStyle w:val="Default"/>
        <w:snapToGrid w:val="0"/>
        <w:spacing w:line="360" w:lineRule="exact"/>
        <w:ind w:firstLine="510"/>
        <w:jc w:val="both"/>
        <w:rPr>
          <w:color w:val="auto"/>
          <w:sz w:val="26"/>
          <w:szCs w:val="26"/>
          <w:lang w:val="en-GB"/>
        </w:rPr>
      </w:pPr>
      <w:r w:rsidRPr="003B7DC7">
        <w:rPr>
          <w:color w:val="auto"/>
          <w:sz w:val="26"/>
          <w:szCs w:val="26"/>
          <w:lang w:val="en-GB"/>
        </w:rPr>
        <w:t xml:space="preserve">Table </w:t>
      </w:r>
      <w:r w:rsidR="008D3063" w:rsidRPr="003B7DC7">
        <w:rPr>
          <w:color w:val="auto"/>
          <w:sz w:val="26"/>
          <w:szCs w:val="26"/>
          <w:lang w:val="en-GB"/>
        </w:rPr>
        <w:t>22</w:t>
      </w:r>
      <w:r w:rsidRPr="003B7DC7">
        <w:rPr>
          <w:color w:val="auto"/>
          <w:sz w:val="26"/>
          <w:szCs w:val="26"/>
          <w:lang w:val="en-GB"/>
        </w:rPr>
        <w:t xml:space="preserve"> show</w:t>
      </w:r>
      <w:r w:rsidR="00ED7065" w:rsidRPr="003B7DC7">
        <w:rPr>
          <w:color w:val="auto"/>
          <w:sz w:val="26"/>
          <w:szCs w:val="26"/>
          <w:lang w:val="en-GB"/>
        </w:rPr>
        <w:t xml:space="preserve">s the degree of each EQ measure. </w:t>
      </w:r>
      <w:r w:rsidR="001E3C70" w:rsidRPr="003B7DC7">
        <w:rPr>
          <w:color w:val="auto"/>
          <w:sz w:val="26"/>
          <w:szCs w:val="26"/>
          <w:lang w:val="en-GB"/>
        </w:rPr>
        <w:t>Firstly,</w:t>
      </w:r>
      <w:r w:rsidR="00ED7065" w:rsidRPr="003B7DC7">
        <w:rPr>
          <w:color w:val="auto"/>
          <w:sz w:val="26"/>
          <w:szCs w:val="26"/>
          <w:lang w:val="en-GB"/>
        </w:rPr>
        <w:t xml:space="preserve"> Oman and Bahrain never came at the last (sixth) rank</w:t>
      </w:r>
      <w:r w:rsidR="007A4D9B">
        <w:rPr>
          <w:color w:val="auto"/>
          <w:sz w:val="26"/>
          <w:szCs w:val="26"/>
          <w:lang w:val="en-GB"/>
        </w:rPr>
        <w:t>,</w:t>
      </w:r>
      <w:r w:rsidR="00ED7065" w:rsidRPr="003B7DC7">
        <w:rPr>
          <w:color w:val="auto"/>
          <w:sz w:val="26"/>
          <w:szCs w:val="26"/>
          <w:lang w:val="en-GB"/>
        </w:rPr>
        <w:t xml:space="preserve"> which means that the earnings have higher quality in </w:t>
      </w:r>
      <w:r w:rsidR="00137EC6" w:rsidRPr="003B7DC7">
        <w:rPr>
          <w:color w:val="auto"/>
          <w:sz w:val="26"/>
          <w:szCs w:val="26"/>
          <w:lang w:val="en-GB"/>
        </w:rPr>
        <w:t xml:space="preserve">these </w:t>
      </w:r>
      <w:r w:rsidR="00ED7065" w:rsidRPr="003B7DC7">
        <w:rPr>
          <w:color w:val="auto"/>
          <w:sz w:val="26"/>
          <w:szCs w:val="26"/>
          <w:lang w:val="en-GB"/>
        </w:rPr>
        <w:t xml:space="preserve">two countries. </w:t>
      </w:r>
      <w:r w:rsidR="00137EC6" w:rsidRPr="003B7DC7">
        <w:rPr>
          <w:color w:val="auto"/>
          <w:sz w:val="26"/>
          <w:szCs w:val="26"/>
          <w:lang w:val="en-GB"/>
        </w:rPr>
        <w:t>In addition</w:t>
      </w:r>
      <w:r w:rsidR="00ED7065" w:rsidRPr="003B7DC7">
        <w:rPr>
          <w:color w:val="auto"/>
          <w:sz w:val="26"/>
          <w:szCs w:val="26"/>
          <w:lang w:val="en-GB"/>
        </w:rPr>
        <w:t xml:space="preserve">, Oman </w:t>
      </w:r>
      <w:r w:rsidR="00343C4C" w:rsidRPr="003B7DC7">
        <w:rPr>
          <w:color w:val="auto"/>
          <w:sz w:val="26"/>
          <w:szCs w:val="26"/>
          <w:lang w:val="en-GB"/>
        </w:rPr>
        <w:t xml:space="preserve">and Bahrain </w:t>
      </w:r>
      <w:r w:rsidR="00ED7065" w:rsidRPr="003B7DC7">
        <w:rPr>
          <w:color w:val="auto"/>
          <w:sz w:val="26"/>
          <w:szCs w:val="26"/>
          <w:lang w:val="en-GB"/>
        </w:rPr>
        <w:t xml:space="preserve">came in the first rank </w:t>
      </w:r>
      <w:r w:rsidR="00343C4C" w:rsidRPr="003B7DC7">
        <w:rPr>
          <w:color w:val="auto"/>
          <w:sz w:val="26"/>
          <w:szCs w:val="26"/>
          <w:lang w:val="en-GB"/>
        </w:rPr>
        <w:t>three times out of nine</w:t>
      </w:r>
      <w:r w:rsidR="00137EC6" w:rsidRPr="003B7DC7">
        <w:rPr>
          <w:color w:val="auto"/>
          <w:sz w:val="26"/>
          <w:szCs w:val="26"/>
          <w:lang w:val="en-GB"/>
        </w:rPr>
        <w:t xml:space="preserve">; </w:t>
      </w:r>
      <w:r w:rsidR="00ED7065" w:rsidRPr="003B7DC7">
        <w:rPr>
          <w:color w:val="auto"/>
          <w:sz w:val="26"/>
          <w:szCs w:val="26"/>
          <w:lang w:val="en-GB"/>
        </w:rPr>
        <w:t>Qatar</w:t>
      </w:r>
      <w:r w:rsidR="00343C4C" w:rsidRPr="003B7DC7">
        <w:rPr>
          <w:color w:val="auto"/>
          <w:sz w:val="26"/>
          <w:szCs w:val="26"/>
          <w:lang w:val="en-GB"/>
        </w:rPr>
        <w:t>,</w:t>
      </w:r>
      <w:r w:rsidR="00ED7065" w:rsidRPr="003B7DC7">
        <w:rPr>
          <w:color w:val="auto"/>
          <w:sz w:val="26"/>
          <w:szCs w:val="26"/>
          <w:lang w:val="en-GB"/>
        </w:rPr>
        <w:t xml:space="preserve"> UAE</w:t>
      </w:r>
      <w:r w:rsidR="007A4D9B">
        <w:rPr>
          <w:color w:val="auto"/>
          <w:sz w:val="26"/>
          <w:szCs w:val="26"/>
          <w:lang w:val="en-GB"/>
        </w:rPr>
        <w:t>,</w:t>
      </w:r>
      <w:r w:rsidR="00ED7065" w:rsidRPr="003B7DC7">
        <w:rPr>
          <w:color w:val="auto"/>
          <w:sz w:val="26"/>
          <w:szCs w:val="26"/>
          <w:lang w:val="en-GB"/>
        </w:rPr>
        <w:t xml:space="preserve"> </w:t>
      </w:r>
      <w:r w:rsidR="00343C4C" w:rsidRPr="003B7DC7">
        <w:rPr>
          <w:color w:val="auto"/>
          <w:sz w:val="26"/>
          <w:szCs w:val="26"/>
          <w:lang w:val="en-GB"/>
        </w:rPr>
        <w:t>and Kuwait</w:t>
      </w:r>
      <w:r w:rsidR="00137EC6" w:rsidRPr="003B7DC7">
        <w:rPr>
          <w:color w:val="auto"/>
          <w:sz w:val="26"/>
          <w:szCs w:val="26"/>
          <w:lang w:val="en-GB"/>
        </w:rPr>
        <w:t>,</w:t>
      </w:r>
      <w:r w:rsidR="00343C4C" w:rsidRPr="003B7DC7">
        <w:rPr>
          <w:color w:val="auto"/>
          <w:sz w:val="26"/>
          <w:szCs w:val="26"/>
          <w:lang w:val="en-GB"/>
        </w:rPr>
        <w:t xml:space="preserve"> </w:t>
      </w:r>
      <w:r w:rsidR="00ED7065" w:rsidRPr="003B7DC7">
        <w:rPr>
          <w:color w:val="auto"/>
          <w:sz w:val="26"/>
          <w:szCs w:val="26"/>
          <w:lang w:val="en-GB"/>
        </w:rPr>
        <w:t>one time</w:t>
      </w:r>
      <w:r w:rsidR="00137EC6" w:rsidRPr="003B7DC7">
        <w:rPr>
          <w:color w:val="auto"/>
          <w:sz w:val="26"/>
          <w:szCs w:val="26"/>
          <w:lang w:val="en-GB"/>
        </w:rPr>
        <w:t>.</w:t>
      </w:r>
      <w:r w:rsidR="00ED7065" w:rsidRPr="003B7DC7">
        <w:rPr>
          <w:color w:val="auto"/>
          <w:sz w:val="26"/>
          <w:szCs w:val="26"/>
          <w:lang w:val="en-GB"/>
        </w:rPr>
        <w:t xml:space="preserve"> KSA never came first in all EQ measures</w:t>
      </w:r>
      <w:r w:rsidR="007A4D9B">
        <w:rPr>
          <w:color w:val="auto"/>
          <w:sz w:val="26"/>
          <w:szCs w:val="26"/>
          <w:lang w:val="en-GB"/>
        </w:rPr>
        <w:t>,</w:t>
      </w:r>
      <w:r w:rsidR="00ED7065" w:rsidRPr="003B7DC7">
        <w:rPr>
          <w:color w:val="auto"/>
          <w:sz w:val="26"/>
          <w:szCs w:val="26"/>
          <w:lang w:val="en-GB"/>
        </w:rPr>
        <w:t xml:space="preserve"> which mean</w:t>
      </w:r>
      <w:r w:rsidR="007A4D9B">
        <w:rPr>
          <w:color w:val="auto"/>
          <w:sz w:val="26"/>
          <w:szCs w:val="26"/>
          <w:lang w:val="en-GB"/>
        </w:rPr>
        <w:t>s</w:t>
      </w:r>
      <w:r w:rsidR="00ED7065" w:rsidRPr="003B7DC7">
        <w:rPr>
          <w:color w:val="auto"/>
          <w:sz w:val="26"/>
          <w:szCs w:val="26"/>
          <w:lang w:val="en-GB"/>
        </w:rPr>
        <w:t xml:space="preserve"> that the </w:t>
      </w:r>
      <w:r w:rsidR="006B1C85" w:rsidRPr="003B7DC7">
        <w:rPr>
          <w:color w:val="auto"/>
          <w:sz w:val="26"/>
          <w:szCs w:val="26"/>
          <w:lang w:val="en-GB"/>
        </w:rPr>
        <w:t>EQ</w:t>
      </w:r>
      <w:r w:rsidR="00ED7065" w:rsidRPr="003B7DC7">
        <w:rPr>
          <w:color w:val="auto"/>
          <w:sz w:val="26"/>
          <w:szCs w:val="26"/>
          <w:lang w:val="en-GB"/>
        </w:rPr>
        <w:t xml:space="preserve"> in th</w:t>
      </w:r>
      <w:r w:rsidR="00343C4C" w:rsidRPr="003B7DC7">
        <w:rPr>
          <w:color w:val="auto"/>
          <w:sz w:val="26"/>
          <w:szCs w:val="26"/>
          <w:lang w:val="en-GB"/>
        </w:rPr>
        <w:t>is</w:t>
      </w:r>
      <w:r w:rsidR="00ED7065" w:rsidRPr="003B7DC7">
        <w:rPr>
          <w:color w:val="auto"/>
          <w:sz w:val="26"/>
          <w:szCs w:val="26"/>
          <w:lang w:val="en-GB"/>
        </w:rPr>
        <w:t xml:space="preserve"> </w:t>
      </w:r>
      <w:r w:rsidR="00343C4C" w:rsidRPr="003B7DC7">
        <w:rPr>
          <w:color w:val="auto"/>
          <w:sz w:val="26"/>
          <w:szCs w:val="26"/>
          <w:lang w:val="en-GB"/>
        </w:rPr>
        <w:t>country</w:t>
      </w:r>
      <w:r w:rsidR="00ED7065" w:rsidRPr="003B7DC7">
        <w:rPr>
          <w:color w:val="auto"/>
          <w:sz w:val="26"/>
          <w:szCs w:val="26"/>
          <w:lang w:val="en-GB"/>
        </w:rPr>
        <w:t xml:space="preserve"> is questionable.</w:t>
      </w:r>
      <w:r w:rsidR="001F48F8" w:rsidRPr="003B7DC7">
        <w:rPr>
          <w:color w:val="auto"/>
          <w:sz w:val="26"/>
          <w:szCs w:val="26"/>
          <w:lang w:val="en-GB"/>
        </w:rPr>
        <w:t xml:space="preserve"> </w:t>
      </w:r>
    </w:p>
    <w:p w14:paraId="0D9C8439" w14:textId="3A5F41F7" w:rsidR="0025485E" w:rsidRPr="003B7DC7" w:rsidRDefault="0073539C" w:rsidP="003B7DC7">
      <w:pPr>
        <w:pStyle w:val="Default"/>
        <w:snapToGrid w:val="0"/>
        <w:spacing w:line="360" w:lineRule="exact"/>
        <w:ind w:firstLine="510"/>
        <w:jc w:val="both"/>
        <w:rPr>
          <w:color w:val="auto"/>
          <w:sz w:val="26"/>
          <w:szCs w:val="26"/>
          <w:lang w:val="en-GB"/>
        </w:rPr>
      </w:pPr>
      <w:r w:rsidRPr="003B7DC7">
        <w:rPr>
          <w:color w:val="auto"/>
          <w:sz w:val="26"/>
          <w:szCs w:val="26"/>
          <w:lang w:val="en-GB"/>
        </w:rPr>
        <w:t>In terms of accounting-based measures, Oman and Bahrain are the better countries that focus on the sustainability of earnings. Bahrain, Qatar</w:t>
      </w:r>
      <w:r w:rsidR="007A4D9B">
        <w:rPr>
          <w:color w:val="auto"/>
          <w:sz w:val="26"/>
          <w:szCs w:val="26"/>
          <w:lang w:val="en-GB"/>
        </w:rPr>
        <w:t>,</w:t>
      </w:r>
      <w:r w:rsidRPr="003B7DC7">
        <w:rPr>
          <w:color w:val="auto"/>
          <w:sz w:val="26"/>
          <w:szCs w:val="26"/>
          <w:lang w:val="en-GB"/>
        </w:rPr>
        <w:t xml:space="preserve"> and </w:t>
      </w:r>
      <w:r w:rsidR="00343C4C" w:rsidRPr="003B7DC7">
        <w:rPr>
          <w:color w:val="auto"/>
          <w:sz w:val="26"/>
          <w:szCs w:val="26"/>
          <w:lang w:val="en-GB"/>
        </w:rPr>
        <w:t>Oman</w:t>
      </w:r>
      <w:r w:rsidRPr="003B7DC7">
        <w:rPr>
          <w:color w:val="auto"/>
          <w:sz w:val="26"/>
          <w:szCs w:val="26"/>
          <w:lang w:val="en-GB"/>
        </w:rPr>
        <w:t xml:space="preserve"> are the better three countries in terms of the quick </w:t>
      </w:r>
      <w:r w:rsidR="00137EC6" w:rsidRPr="003B7DC7">
        <w:rPr>
          <w:color w:val="auto"/>
          <w:sz w:val="26"/>
          <w:szCs w:val="26"/>
          <w:lang w:val="en-GB"/>
        </w:rPr>
        <w:t xml:space="preserve">conversion of </w:t>
      </w:r>
      <w:r w:rsidRPr="003B7DC7">
        <w:rPr>
          <w:color w:val="auto"/>
          <w:sz w:val="26"/>
          <w:szCs w:val="26"/>
          <w:lang w:val="en-GB"/>
        </w:rPr>
        <w:t>earnings into cash flow</w:t>
      </w:r>
      <w:r w:rsidR="00137EC6" w:rsidRPr="003B7DC7">
        <w:rPr>
          <w:color w:val="auto"/>
          <w:sz w:val="26"/>
          <w:szCs w:val="26"/>
          <w:lang w:val="en-GB"/>
        </w:rPr>
        <w:t>.</w:t>
      </w:r>
      <w:r w:rsidRPr="003B7DC7">
        <w:rPr>
          <w:color w:val="auto"/>
          <w:sz w:val="26"/>
          <w:szCs w:val="26"/>
          <w:lang w:val="en-GB"/>
        </w:rPr>
        <w:t xml:space="preserve"> </w:t>
      </w:r>
      <w:r w:rsidR="00137EC6" w:rsidRPr="003B7DC7">
        <w:rPr>
          <w:color w:val="auto"/>
          <w:sz w:val="26"/>
          <w:szCs w:val="26"/>
          <w:lang w:val="en-GB"/>
        </w:rPr>
        <w:t xml:space="preserve">In addition, </w:t>
      </w:r>
      <w:r w:rsidRPr="003B7DC7">
        <w:rPr>
          <w:color w:val="auto"/>
          <w:sz w:val="26"/>
          <w:szCs w:val="26"/>
          <w:lang w:val="en-GB"/>
        </w:rPr>
        <w:t xml:space="preserve">the accruals contain lower estimation error which is </w:t>
      </w:r>
      <w:r w:rsidR="00137EC6" w:rsidRPr="003B7DC7">
        <w:rPr>
          <w:color w:val="auto"/>
          <w:sz w:val="26"/>
          <w:szCs w:val="26"/>
          <w:lang w:val="en-GB"/>
        </w:rPr>
        <w:t xml:space="preserve">a </w:t>
      </w:r>
      <w:r w:rsidRPr="003B7DC7">
        <w:rPr>
          <w:color w:val="auto"/>
          <w:sz w:val="26"/>
          <w:szCs w:val="26"/>
          <w:lang w:val="en-GB"/>
        </w:rPr>
        <w:t xml:space="preserve">good indicator for the </w:t>
      </w:r>
      <w:r w:rsidR="00D521BF" w:rsidRPr="003B7DC7">
        <w:rPr>
          <w:color w:val="auto"/>
          <w:sz w:val="26"/>
          <w:szCs w:val="26"/>
          <w:lang w:val="en-GB"/>
        </w:rPr>
        <w:t xml:space="preserve">protection of </w:t>
      </w:r>
      <w:r w:rsidRPr="003B7DC7">
        <w:rPr>
          <w:color w:val="auto"/>
          <w:sz w:val="26"/>
          <w:szCs w:val="26"/>
          <w:lang w:val="en-GB"/>
        </w:rPr>
        <w:t>investor</w:t>
      </w:r>
      <w:r w:rsidR="00D521BF" w:rsidRPr="003B7DC7">
        <w:rPr>
          <w:color w:val="auto"/>
          <w:sz w:val="26"/>
          <w:szCs w:val="26"/>
          <w:lang w:val="en-GB"/>
        </w:rPr>
        <w:t>s</w:t>
      </w:r>
      <w:r w:rsidRPr="003B7DC7">
        <w:rPr>
          <w:color w:val="auto"/>
          <w:sz w:val="26"/>
          <w:szCs w:val="26"/>
          <w:lang w:val="en-GB"/>
        </w:rPr>
        <w:t xml:space="preserve">. </w:t>
      </w:r>
      <w:r w:rsidR="00EA265C" w:rsidRPr="00173FE4">
        <w:rPr>
          <w:color w:val="auto"/>
          <w:sz w:val="26"/>
          <w:szCs w:val="26"/>
          <w:lang w:val="en-GB"/>
        </w:rPr>
        <w:t>With respect to earnings smoothness, all GCC countries have a problem of earnings volatility as the degree of smoothness is high</w:t>
      </w:r>
      <w:r w:rsidR="00137EC6" w:rsidRPr="009076E0">
        <w:rPr>
          <w:color w:val="auto"/>
          <w:sz w:val="26"/>
          <w:szCs w:val="26"/>
          <w:lang w:val="en-GB"/>
        </w:rPr>
        <w:t>,</w:t>
      </w:r>
      <w:r w:rsidR="00EA265C" w:rsidRPr="009076E0">
        <w:rPr>
          <w:color w:val="auto"/>
          <w:sz w:val="26"/>
          <w:szCs w:val="26"/>
          <w:lang w:val="en-GB"/>
        </w:rPr>
        <w:t xml:space="preserve"> </w:t>
      </w:r>
      <w:r w:rsidR="00137EC6" w:rsidRPr="009076E0">
        <w:rPr>
          <w:color w:val="auto"/>
          <w:sz w:val="26"/>
          <w:szCs w:val="26"/>
          <w:lang w:val="en-GB"/>
        </w:rPr>
        <w:t>making</w:t>
      </w:r>
      <w:r w:rsidR="00EA265C" w:rsidRPr="009076E0">
        <w:rPr>
          <w:color w:val="auto"/>
          <w:sz w:val="26"/>
          <w:szCs w:val="26"/>
          <w:lang w:val="en-GB"/>
        </w:rPr>
        <w:t xml:space="preserve"> </w:t>
      </w:r>
      <w:r w:rsidR="006B1C85" w:rsidRPr="007875AD">
        <w:rPr>
          <w:color w:val="auto"/>
          <w:sz w:val="26"/>
          <w:szCs w:val="26"/>
          <w:lang w:val="en-GB"/>
        </w:rPr>
        <w:t>EQ</w:t>
      </w:r>
      <w:r w:rsidR="00EA265C" w:rsidRPr="00C950E1">
        <w:rPr>
          <w:color w:val="auto"/>
          <w:sz w:val="26"/>
          <w:szCs w:val="26"/>
          <w:lang w:val="en-GB"/>
        </w:rPr>
        <w:t xml:space="preserve"> questionable. </w:t>
      </w:r>
      <w:r w:rsidR="00137EC6" w:rsidRPr="00C950E1">
        <w:rPr>
          <w:color w:val="auto"/>
          <w:sz w:val="26"/>
          <w:szCs w:val="26"/>
          <w:lang w:val="en-GB"/>
        </w:rPr>
        <w:t>ESI</w:t>
      </w:r>
      <w:r w:rsidR="00EA265C" w:rsidRPr="00C950E1">
        <w:rPr>
          <w:color w:val="auto"/>
          <w:sz w:val="26"/>
          <w:szCs w:val="26"/>
          <w:lang w:val="en-GB"/>
        </w:rPr>
        <w:t xml:space="preserve"> refer</w:t>
      </w:r>
      <w:r w:rsidR="00137EC6" w:rsidRPr="00C950E1">
        <w:rPr>
          <w:color w:val="auto"/>
          <w:sz w:val="26"/>
          <w:szCs w:val="26"/>
          <w:lang w:val="en-GB"/>
        </w:rPr>
        <w:t>s</w:t>
      </w:r>
      <w:r w:rsidR="00EA265C" w:rsidRPr="00C950E1">
        <w:rPr>
          <w:color w:val="auto"/>
          <w:sz w:val="26"/>
          <w:szCs w:val="26"/>
          <w:lang w:val="en-GB"/>
        </w:rPr>
        <w:t xml:space="preserve"> to </w:t>
      </w:r>
      <w:r w:rsidR="00173FE4">
        <w:rPr>
          <w:color w:val="auto"/>
          <w:sz w:val="26"/>
          <w:szCs w:val="26"/>
          <w:lang w:val="en-GB"/>
        </w:rPr>
        <w:t xml:space="preserve">the </w:t>
      </w:r>
      <w:r w:rsidR="00EA265C" w:rsidRPr="00173FE4">
        <w:rPr>
          <w:color w:val="auto"/>
          <w:sz w:val="26"/>
          <w:szCs w:val="26"/>
          <w:lang w:val="en-GB"/>
        </w:rPr>
        <w:t>case that the</w:t>
      </w:r>
      <w:r w:rsidR="00173FE4">
        <w:rPr>
          <w:color w:val="auto"/>
          <w:sz w:val="26"/>
          <w:szCs w:val="26"/>
          <w:lang w:val="en-GB"/>
        </w:rPr>
        <w:t xml:space="preserve"> firms</w:t>
      </w:r>
      <w:r w:rsidR="00E75D57">
        <w:rPr>
          <w:color w:val="auto"/>
          <w:sz w:val="26"/>
          <w:szCs w:val="26"/>
          <w:lang w:val="en-GB"/>
        </w:rPr>
        <w:t>'</w:t>
      </w:r>
      <w:r w:rsidR="00173FE4">
        <w:rPr>
          <w:color w:val="auto"/>
          <w:sz w:val="26"/>
          <w:szCs w:val="26"/>
          <w:lang w:val="en-GB"/>
        </w:rPr>
        <w:t xml:space="preserve"> actual results meet and beat analysts' expectation</w:t>
      </w:r>
      <w:r w:rsidR="00EA265C" w:rsidRPr="00173FE4">
        <w:rPr>
          <w:color w:val="auto"/>
          <w:sz w:val="26"/>
          <w:szCs w:val="26"/>
          <w:lang w:val="en-GB"/>
        </w:rPr>
        <w:t>s</w:t>
      </w:r>
      <w:r w:rsidR="00137EC6" w:rsidRPr="00173FE4">
        <w:rPr>
          <w:color w:val="auto"/>
          <w:sz w:val="26"/>
          <w:szCs w:val="26"/>
          <w:lang w:val="en-GB"/>
        </w:rPr>
        <w:t>. However,</w:t>
      </w:r>
      <w:r w:rsidR="0025485E" w:rsidRPr="00173FE4">
        <w:rPr>
          <w:color w:val="auto"/>
          <w:sz w:val="26"/>
          <w:szCs w:val="26"/>
          <w:lang w:val="en-GB"/>
        </w:rPr>
        <w:t xml:space="preserve"> the </w:t>
      </w:r>
      <w:r w:rsidR="00137EC6" w:rsidRPr="00173FE4">
        <w:rPr>
          <w:color w:val="auto"/>
          <w:sz w:val="26"/>
          <w:szCs w:val="26"/>
          <w:lang w:val="en-GB"/>
        </w:rPr>
        <w:t xml:space="preserve">high </w:t>
      </w:r>
      <w:r w:rsidR="0025485E" w:rsidRPr="00173FE4">
        <w:rPr>
          <w:color w:val="auto"/>
          <w:sz w:val="26"/>
          <w:szCs w:val="26"/>
          <w:lang w:val="en-GB"/>
        </w:rPr>
        <w:t xml:space="preserve">value of earnings </w:t>
      </w:r>
      <w:r w:rsidR="00FD4287" w:rsidRPr="00173FE4">
        <w:rPr>
          <w:color w:val="auto"/>
          <w:sz w:val="26"/>
          <w:szCs w:val="26"/>
          <w:lang w:val="en-GB"/>
        </w:rPr>
        <w:t>surprise in</w:t>
      </w:r>
      <w:r w:rsidR="0025485E" w:rsidRPr="00173FE4">
        <w:rPr>
          <w:color w:val="auto"/>
          <w:sz w:val="26"/>
          <w:szCs w:val="26"/>
          <w:lang w:val="en-GB"/>
        </w:rPr>
        <w:t xml:space="preserve"> all GCC countries make</w:t>
      </w:r>
      <w:r w:rsidR="00137EC6" w:rsidRPr="00173FE4">
        <w:rPr>
          <w:color w:val="auto"/>
          <w:sz w:val="26"/>
          <w:szCs w:val="26"/>
          <w:lang w:val="en-GB"/>
        </w:rPr>
        <w:t>s</w:t>
      </w:r>
      <w:r w:rsidR="0025485E" w:rsidRPr="00173FE4">
        <w:rPr>
          <w:color w:val="auto"/>
          <w:sz w:val="26"/>
          <w:szCs w:val="26"/>
          <w:lang w:val="en-GB"/>
        </w:rPr>
        <w:t xml:space="preserve"> </w:t>
      </w:r>
      <w:r w:rsidR="006B1C85" w:rsidRPr="00173FE4">
        <w:rPr>
          <w:color w:val="auto"/>
          <w:sz w:val="26"/>
          <w:szCs w:val="26"/>
          <w:lang w:val="en-GB"/>
        </w:rPr>
        <w:t>EQ</w:t>
      </w:r>
      <w:r w:rsidR="0025485E" w:rsidRPr="003B7DC7">
        <w:rPr>
          <w:color w:val="auto"/>
          <w:sz w:val="26"/>
          <w:szCs w:val="26"/>
          <w:lang w:val="en-GB"/>
        </w:rPr>
        <w:t xml:space="preserve"> questionable. </w:t>
      </w:r>
      <w:r w:rsidR="00137EC6" w:rsidRPr="003B7DC7">
        <w:rPr>
          <w:color w:val="auto"/>
          <w:sz w:val="26"/>
          <w:szCs w:val="26"/>
          <w:lang w:val="en-GB"/>
        </w:rPr>
        <w:t xml:space="preserve">With conservatism </w:t>
      </w:r>
      <w:r w:rsidR="0025485E" w:rsidRPr="003B7DC7">
        <w:rPr>
          <w:color w:val="auto"/>
          <w:sz w:val="26"/>
          <w:szCs w:val="26"/>
          <w:lang w:val="en-GB"/>
        </w:rPr>
        <w:t>as a tool to protect the stakeholders</w:t>
      </w:r>
      <w:r w:rsidR="00137EC6" w:rsidRPr="003B7DC7">
        <w:rPr>
          <w:color w:val="auto"/>
          <w:sz w:val="26"/>
          <w:szCs w:val="26"/>
          <w:lang w:val="en-GB"/>
        </w:rPr>
        <w:t>,</w:t>
      </w:r>
      <w:r w:rsidR="0025485E" w:rsidRPr="003B7DC7">
        <w:rPr>
          <w:color w:val="auto"/>
          <w:sz w:val="26"/>
          <w:szCs w:val="26"/>
          <w:lang w:val="en-GB"/>
        </w:rPr>
        <w:t xml:space="preserve"> Oman is the better country that pro</w:t>
      </w:r>
      <w:r w:rsidR="00E75D57">
        <w:rPr>
          <w:color w:val="auto"/>
          <w:sz w:val="26"/>
          <w:szCs w:val="26"/>
          <w:lang w:val="en-GB"/>
        </w:rPr>
        <w:t>tects</w:t>
      </w:r>
      <w:r w:rsidR="0025485E" w:rsidRPr="003B7DC7">
        <w:rPr>
          <w:color w:val="auto"/>
          <w:sz w:val="26"/>
          <w:szCs w:val="26"/>
          <w:lang w:val="en-GB"/>
        </w:rPr>
        <w:t xml:space="preserve"> the investors, </w:t>
      </w:r>
      <w:r w:rsidR="00137EC6" w:rsidRPr="003B7DC7">
        <w:rPr>
          <w:color w:val="auto"/>
          <w:sz w:val="26"/>
          <w:szCs w:val="26"/>
          <w:lang w:val="en-GB"/>
        </w:rPr>
        <w:t xml:space="preserve">followed by </w:t>
      </w:r>
      <w:r w:rsidR="0025485E" w:rsidRPr="003B7DC7">
        <w:rPr>
          <w:color w:val="auto"/>
          <w:sz w:val="26"/>
          <w:szCs w:val="26"/>
          <w:lang w:val="en-GB"/>
        </w:rPr>
        <w:t>Qatar and Bahrain</w:t>
      </w:r>
      <w:r w:rsidR="00137EC6" w:rsidRPr="003B7DC7">
        <w:rPr>
          <w:color w:val="auto"/>
          <w:sz w:val="26"/>
          <w:szCs w:val="26"/>
          <w:lang w:val="en-GB"/>
        </w:rPr>
        <w:t>.</w:t>
      </w:r>
      <w:r w:rsidR="0025485E" w:rsidRPr="003B7DC7">
        <w:rPr>
          <w:color w:val="auto"/>
          <w:sz w:val="26"/>
          <w:szCs w:val="26"/>
          <w:lang w:val="en-GB"/>
        </w:rPr>
        <w:t xml:space="preserve"> </w:t>
      </w:r>
      <w:r w:rsidR="00137EC6" w:rsidRPr="003B7DC7">
        <w:rPr>
          <w:color w:val="auto"/>
          <w:sz w:val="26"/>
          <w:szCs w:val="26"/>
          <w:lang w:val="en-GB"/>
        </w:rPr>
        <w:t>T</w:t>
      </w:r>
      <w:r w:rsidR="0025485E" w:rsidRPr="003B7DC7">
        <w:rPr>
          <w:color w:val="auto"/>
          <w:sz w:val="26"/>
          <w:szCs w:val="26"/>
          <w:lang w:val="en-GB"/>
        </w:rPr>
        <w:t>he protection of investors in UAE, KSA</w:t>
      </w:r>
      <w:r w:rsidR="00173FE4">
        <w:rPr>
          <w:color w:val="auto"/>
          <w:sz w:val="26"/>
          <w:szCs w:val="26"/>
          <w:lang w:val="en-GB"/>
        </w:rPr>
        <w:t>,</w:t>
      </w:r>
      <w:r w:rsidR="0025485E" w:rsidRPr="003B7DC7">
        <w:rPr>
          <w:color w:val="auto"/>
          <w:sz w:val="26"/>
          <w:szCs w:val="26"/>
          <w:lang w:val="en-GB"/>
        </w:rPr>
        <w:t xml:space="preserve"> and Kuwait is an issue</w:t>
      </w:r>
      <w:r w:rsidR="00173FE4">
        <w:rPr>
          <w:color w:val="auto"/>
          <w:sz w:val="26"/>
          <w:szCs w:val="26"/>
          <w:lang w:val="en-GB"/>
        </w:rPr>
        <w:t>,</w:t>
      </w:r>
      <w:r w:rsidR="0025485E" w:rsidRPr="003B7DC7">
        <w:rPr>
          <w:color w:val="auto"/>
          <w:sz w:val="26"/>
          <w:szCs w:val="26"/>
          <w:lang w:val="en-GB"/>
        </w:rPr>
        <w:t xml:space="preserve"> </w:t>
      </w:r>
      <w:r w:rsidR="00137EC6" w:rsidRPr="003B7DC7">
        <w:rPr>
          <w:color w:val="auto"/>
          <w:sz w:val="26"/>
          <w:szCs w:val="26"/>
          <w:lang w:val="en-GB"/>
        </w:rPr>
        <w:t>though</w:t>
      </w:r>
      <w:r w:rsidR="0025485E" w:rsidRPr="003B7DC7">
        <w:rPr>
          <w:color w:val="auto"/>
          <w:sz w:val="26"/>
          <w:szCs w:val="26"/>
          <w:lang w:val="en-GB"/>
        </w:rPr>
        <w:t>.</w:t>
      </w:r>
    </w:p>
    <w:p w14:paraId="488943F1" w14:textId="3341CE51" w:rsidR="0073539C" w:rsidRPr="003B7DC7" w:rsidRDefault="00137EC6" w:rsidP="003B7DC7">
      <w:pPr>
        <w:pStyle w:val="Default"/>
        <w:snapToGrid w:val="0"/>
        <w:spacing w:line="360" w:lineRule="exact"/>
        <w:ind w:firstLine="510"/>
        <w:jc w:val="both"/>
        <w:rPr>
          <w:color w:val="auto"/>
          <w:sz w:val="26"/>
          <w:szCs w:val="26"/>
          <w:lang w:val="en-GB"/>
        </w:rPr>
      </w:pPr>
      <w:r w:rsidRPr="003B7DC7">
        <w:rPr>
          <w:color w:val="auto"/>
          <w:sz w:val="26"/>
          <w:szCs w:val="26"/>
          <w:lang w:val="en-GB"/>
        </w:rPr>
        <w:t>Regarding</w:t>
      </w:r>
      <w:r w:rsidR="00D521BF" w:rsidRPr="003B7DC7">
        <w:rPr>
          <w:color w:val="auto"/>
          <w:sz w:val="26"/>
          <w:szCs w:val="26"/>
          <w:lang w:val="en-GB"/>
        </w:rPr>
        <w:t xml:space="preserve"> market-based measures, as a</w:t>
      </w:r>
      <w:r w:rsidR="0073539C" w:rsidRPr="003B7DC7">
        <w:rPr>
          <w:color w:val="auto"/>
          <w:sz w:val="26"/>
          <w:szCs w:val="26"/>
          <w:lang w:val="en-GB"/>
        </w:rPr>
        <w:t>ll GCC countries</w:t>
      </w:r>
      <w:r w:rsidR="00EA265C" w:rsidRPr="003B7DC7">
        <w:rPr>
          <w:color w:val="auto"/>
          <w:sz w:val="26"/>
          <w:szCs w:val="26"/>
          <w:lang w:val="en-GB"/>
        </w:rPr>
        <w:t xml:space="preserve"> hav</w:t>
      </w:r>
      <w:r w:rsidR="0073539C" w:rsidRPr="003B7DC7">
        <w:rPr>
          <w:color w:val="auto"/>
          <w:sz w:val="26"/>
          <w:szCs w:val="26"/>
          <w:lang w:val="en-GB"/>
        </w:rPr>
        <w:t>e bad indic</w:t>
      </w:r>
      <w:r w:rsidRPr="003B7DC7">
        <w:rPr>
          <w:color w:val="auto"/>
          <w:sz w:val="26"/>
          <w:szCs w:val="26"/>
          <w:lang w:val="en-GB"/>
        </w:rPr>
        <w:t>a</w:t>
      </w:r>
      <w:r w:rsidR="0073539C" w:rsidRPr="003B7DC7">
        <w:rPr>
          <w:color w:val="auto"/>
          <w:sz w:val="26"/>
          <w:szCs w:val="26"/>
          <w:lang w:val="en-GB"/>
        </w:rPr>
        <w:t>tors abo</w:t>
      </w:r>
      <w:r w:rsidR="00EA265C" w:rsidRPr="003B7DC7">
        <w:rPr>
          <w:color w:val="auto"/>
          <w:sz w:val="26"/>
          <w:szCs w:val="26"/>
          <w:lang w:val="en-GB"/>
        </w:rPr>
        <w:t>u</w:t>
      </w:r>
      <w:r w:rsidR="0073539C" w:rsidRPr="003B7DC7">
        <w:rPr>
          <w:color w:val="auto"/>
          <w:sz w:val="26"/>
          <w:szCs w:val="26"/>
          <w:lang w:val="en-GB"/>
        </w:rPr>
        <w:t xml:space="preserve">t value </w:t>
      </w:r>
      <w:r w:rsidR="00EA265C" w:rsidRPr="003B7DC7">
        <w:rPr>
          <w:color w:val="auto"/>
          <w:sz w:val="26"/>
          <w:szCs w:val="26"/>
          <w:lang w:val="en-GB"/>
        </w:rPr>
        <w:t>relevance</w:t>
      </w:r>
      <w:r w:rsidR="00D521BF" w:rsidRPr="003B7DC7">
        <w:rPr>
          <w:color w:val="auto"/>
          <w:sz w:val="26"/>
          <w:szCs w:val="26"/>
          <w:lang w:val="en-GB"/>
        </w:rPr>
        <w:t xml:space="preserve"> in </w:t>
      </w:r>
      <w:r w:rsidR="00250EAE" w:rsidRPr="003B7DC7">
        <w:rPr>
          <w:color w:val="auto"/>
          <w:sz w:val="26"/>
          <w:szCs w:val="26"/>
          <w:lang w:val="en-GB"/>
        </w:rPr>
        <w:t>terms of ERC</w:t>
      </w:r>
      <w:r w:rsidRPr="003B7DC7">
        <w:rPr>
          <w:color w:val="auto"/>
          <w:sz w:val="26"/>
          <w:szCs w:val="26"/>
          <w:lang w:val="en-GB"/>
        </w:rPr>
        <w:t>,</w:t>
      </w:r>
      <w:r w:rsidR="00D521BF" w:rsidRPr="003B7DC7">
        <w:rPr>
          <w:color w:val="auto"/>
          <w:sz w:val="26"/>
          <w:szCs w:val="26"/>
          <w:lang w:val="en-GB"/>
        </w:rPr>
        <w:t xml:space="preserve"> the information that the investors need to build their decision model is</w:t>
      </w:r>
      <w:r w:rsidR="00741FB9" w:rsidRPr="003B7DC7">
        <w:rPr>
          <w:color w:val="auto"/>
          <w:sz w:val="26"/>
          <w:szCs w:val="26"/>
          <w:lang w:val="en-GB"/>
        </w:rPr>
        <w:t xml:space="preserve"> an issue</w:t>
      </w:r>
      <w:r w:rsidRPr="003B7DC7">
        <w:rPr>
          <w:color w:val="auto"/>
          <w:sz w:val="26"/>
          <w:szCs w:val="26"/>
          <w:lang w:val="en-GB"/>
        </w:rPr>
        <w:t>.</w:t>
      </w:r>
      <w:r w:rsidR="00250EAE" w:rsidRPr="003B7DC7">
        <w:rPr>
          <w:color w:val="auto"/>
          <w:sz w:val="26"/>
          <w:szCs w:val="26"/>
          <w:lang w:val="en-GB"/>
        </w:rPr>
        <w:t xml:space="preserve"> </w:t>
      </w:r>
      <w:r w:rsidRPr="003B7DC7">
        <w:rPr>
          <w:color w:val="auto"/>
          <w:sz w:val="26"/>
          <w:szCs w:val="26"/>
          <w:lang w:val="en-GB"/>
        </w:rPr>
        <w:t>Nevertheless,</w:t>
      </w:r>
      <w:r w:rsidR="00250EAE" w:rsidRPr="003B7DC7">
        <w:rPr>
          <w:color w:val="auto"/>
          <w:sz w:val="26"/>
          <w:szCs w:val="26"/>
          <w:lang w:val="en-GB"/>
        </w:rPr>
        <w:t xml:space="preserve"> the earnings per share and book value of </w:t>
      </w:r>
      <w:r w:rsidR="00173FE4">
        <w:rPr>
          <w:color w:val="auto"/>
          <w:sz w:val="26"/>
          <w:szCs w:val="26"/>
          <w:lang w:val="en-GB"/>
        </w:rPr>
        <w:t xml:space="preserve">the </w:t>
      </w:r>
      <w:r w:rsidR="00250EAE" w:rsidRPr="003B7DC7">
        <w:rPr>
          <w:color w:val="auto"/>
          <w:sz w:val="26"/>
          <w:szCs w:val="26"/>
          <w:lang w:val="en-GB"/>
        </w:rPr>
        <w:t>share reflect the share price.</w:t>
      </w:r>
      <w:r w:rsidR="00D521BF" w:rsidRPr="003B7DC7">
        <w:rPr>
          <w:color w:val="auto"/>
          <w:sz w:val="26"/>
          <w:szCs w:val="26"/>
          <w:lang w:val="en-GB"/>
        </w:rPr>
        <w:t xml:space="preserve"> </w:t>
      </w:r>
      <w:r w:rsidR="00741FB9" w:rsidRPr="003B7DC7">
        <w:rPr>
          <w:color w:val="auto"/>
          <w:sz w:val="26"/>
          <w:szCs w:val="26"/>
          <w:lang w:val="en-GB"/>
        </w:rPr>
        <w:t xml:space="preserve">Qatar and UAE </w:t>
      </w:r>
      <w:r w:rsidRPr="003B7DC7">
        <w:rPr>
          <w:color w:val="auto"/>
          <w:sz w:val="26"/>
          <w:szCs w:val="26"/>
          <w:lang w:val="en-GB"/>
        </w:rPr>
        <w:t xml:space="preserve">rank </w:t>
      </w:r>
      <w:r w:rsidR="00741FB9" w:rsidRPr="003B7DC7">
        <w:rPr>
          <w:color w:val="auto"/>
          <w:sz w:val="26"/>
          <w:szCs w:val="26"/>
          <w:lang w:val="en-GB"/>
        </w:rPr>
        <w:t xml:space="preserve">the first and second for the measure of </w:t>
      </w:r>
      <w:r w:rsidRPr="003B7DC7">
        <w:rPr>
          <w:color w:val="auto"/>
          <w:sz w:val="26"/>
          <w:szCs w:val="26"/>
          <w:lang w:val="en-GB"/>
        </w:rPr>
        <w:t xml:space="preserve">loss </w:t>
      </w:r>
      <w:r w:rsidR="00741FB9" w:rsidRPr="003B7DC7">
        <w:rPr>
          <w:color w:val="auto"/>
          <w:sz w:val="26"/>
          <w:szCs w:val="26"/>
          <w:lang w:val="en-GB"/>
        </w:rPr>
        <w:t xml:space="preserve">recognition </w:t>
      </w:r>
      <w:r w:rsidRPr="003B7DC7">
        <w:rPr>
          <w:color w:val="auto"/>
          <w:sz w:val="26"/>
          <w:szCs w:val="26"/>
          <w:lang w:val="en-GB"/>
        </w:rPr>
        <w:t>timeliness,</w:t>
      </w:r>
      <w:r w:rsidR="00741FB9" w:rsidRPr="003B7DC7">
        <w:rPr>
          <w:color w:val="auto"/>
          <w:sz w:val="26"/>
          <w:szCs w:val="26"/>
          <w:lang w:val="en-GB"/>
        </w:rPr>
        <w:t xml:space="preserve"> indicating that the stakeholders </w:t>
      </w:r>
      <w:r w:rsidRPr="003B7DC7">
        <w:rPr>
          <w:color w:val="auto"/>
          <w:sz w:val="26"/>
          <w:szCs w:val="26"/>
          <w:lang w:val="en-GB"/>
        </w:rPr>
        <w:t>can</w:t>
      </w:r>
      <w:r w:rsidR="00741FB9" w:rsidRPr="003B7DC7">
        <w:rPr>
          <w:color w:val="auto"/>
          <w:sz w:val="26"/>
          <w:szCs w:val="26"/>
          <w:lang w:val="en-GB"/>
        </w:rPr>
        <w:t xml:space="preserve"> assess the management’s optimism about the future.</w:t>
      </w:r>
      <w:r w:rsidR="001F48F8" w:rsidRPr="003B7DC7">
        <w:rPr>
          <w:color w:val="auto"/>
          <w:sz w:val="26"/>
          <w:szCs w:val="26"/>
          <w:lang w:val="en-GB"/>
        </w:rPr>
        <w:t xml:space="preserve"> </w:t>
      </w:r>
      <w:r w:rsidR="0073539C" w:rsidRPr="003B7DC7">
        <w:rPr>
          <w:color w:val="auto"/>
          <w:sz w:val="26"/>
          <w:szCs w:val="26"/>
          <w:lang w:val="en-GB"/>
        </w:rPr>
        <w:t xml:space="preserve">  </w:t>
      </w:r>
    </w:p>
    <w:p w14:paraId="608A64E8" w14:textId="77777777" w:rsidR="00371C80" w:rsidRPr="003B7DC7" w:rsidRDefault="00371C80" w:rsidP="003B7DC7">
      <w:pPr>
        <w:pStyle w:val="Default"/>
        <w:snapToGrid w:val="0"/>
        <w:spacing w:line="360" w:lineRule="exact"/>
        <w:ind w:firstLine="510"/>
        <w:jc w:val="both"/>
        <w:rPr>
          <w:color w:val="auto"/>
          <w:sz w:val="26"/>
          <w:szCs w:val="26"/>
          <w:lang w:val="en-GB"/>
        </w:rPr>
      </w:pPr>
    </w:p>
    <w:p w14:paraId="55004818" w14:textId="15EB45B8" w:rsidR="006358B5" w:rsidRPr="00B47B68" w:rsidRDefault="00E75690" w:rsidP="00B47B68">
      <w:pPr>
        <w:pStyle w:val="Default"/>
        <w:snapToGrid w:val="0"/>
        <w:spacing w:line="360" w:lineRule="exact"/>
        <w:jc w:val="center"/>
        <w:rPr>
          <w:b/>
          <w:color w:val="auto"/>
          <w:sz w:val="26"/>
          <w:szCs w:val="26"/>
          <w:lang w:val="en-GB"/>
        </w:rPr>
      </w:pPr>
      <w:r w:rsidRPr="00B47B68">
        <w:rPr>
          <w:b/>
          <w:color w:val="auto"/>
          <w:sz w:val="26"/>
          <w:szCs w:val="26"/>
          <w:lang w:val="en-GB"/>
        </w:rPr>
        <w:lastRenderedPageBreak/>
        <w:t>D</w:t>
      </w:r>
      <w:r w:rsidR="003A2A39" w:rsidRPr="00B47B68">
        <w:rPr>
          <w:b/>
          <w:color w:val="auto"/>
          <w:sz w:val="26"/>
          <w:szCs w:val="26"/>
          <w:lang w:val="en-GB"/>
        </w:rPr>
        <w:t>ISCUSSION OF RESULTS</w:t>
      </w:r>
    </w:p>
    <w:p w14:paraId="06DAAEDE" w14:textId="0FD974BE" w:rsidR="00D57B34" w:rsidRPr="003B7DC7" w:rsidRDefault="002E34C0" w:rsidP="00B730DC">
      <w:pPr>
        <w:pStyle w:val="Default"/>
        <w:snapToGrid w:val="0"/>
        <w:spacing w:line="360" w:lineRule="exact"/>
        <w:ind w:firstLine="510"/>
        <w:jc w:val="both"/>
        <w:rPr>
          <w:color w:val="auto"/>
          <w:sz w:val="26"/>
          <w:szCs w:val="26"/>
          <w:lang w:val="en-GB"/>
        </w:rPr>
      </w:pPr>
      <w:r w:rsidRPr="003B7DC7">
        <w:rPr>
          <w:color w:val="auto"/>
          <w:sz w:val="26"/>
          <w:szCs w:val="26"/>
          <w:lang w:val="en-GB"/>
        </w:rPr>
        <w:t xml:space="preserve">The GCC countries struggle to attract more foreign investment to compensate </w:t>
      </w:r>
      <w:r w:rsidR="00E75D57">
        <w:rPr>
          <w:color w:val="auto"/>
          <w:sz w:val="26"/>
          <w:szCs w:val="26"/>
          <w:lang w:val="en-GB"/>
        </w:rPr>
        <w:t xml:space="preserve">for </w:t>
      </w:r>
      <w:r w:rsidRPr="003B7DC7">
        <w:rPr>
          <w:color w:val="auto"/>
          <w:sz w:val="26"/>
          <w:szCs w:val="26"/>
          <w:lang w:val="en-GB"/>
        </w:rPr>
        <w:t xml:space="preserve">the </w:t>
      </w:r>
      <w:r w:rsidR="00472BC5" w:rsidRPr="003B7DC7">
        <w:rPr>
          <w:color w:val="auto"/>
          <w:sz w:val="26"/>
          <w:szCs w:val="26"/>
          <w:lang w:val="en-GB"/>
        </w:rPr>
        <w:t>ongoing</w:t>
      </w:r>
      <w:r w:rsidRPr="003B7DC7">
        <w:rPr>
          <w:color w:val="auto"/>
          <w:sz w:val="26"/>
          <w:szCs w:val="26"/>
          <w:lang w:val="en-GB"/>
        </w:rPr>
        <w:t xml:space="preserve"> </w:t>
      </w:r>
      <w:r w:rsidR="00137EC6" w:rsidRPr="003B7DC7">
        <w:rPr>
          <w:color w:val="auto"/>
          <w:sz w:val="26"/>
          <w:szCs w:val="26"/>
          <w:lang w:val="en-GB"/>
        </w:rPr>
        <w:t xml:space="preserve">decrease </w:t>
      </w:r>
      <w:r w:rsidRPr="003B7DC7">
        <w:rPr>
          <w:color w:val="auto"/>
          <w:sz w:val="26"/>
          <w:szCs w:val="26"/>
          <w:lang w:val="en-GB"/>
        </w:rPr>
        <w:t>in oil and gas prices</w:t>
      </w:r>
      <w:r w:rsidR="008D2E93" w:rsidRPr="003B7DC7">
        <w:rPr>
          <w:color w:val="auto"/>
          <w:sz w:val="26"/>
          <w:szCs w:val="26"/>
          <w:lang w:val="en-GB"/>
        </w:rPr>
        <w:t xml:space="preserve"> and to implement the economic diversification policy</w:t>
      </w:r>
      <w:r w:rsidRPr="003B7DC7">
        <w:rPr>
          <w:color w:val="auto"/>
          <w:sz w:val="26"/>
          <w:szCs w:val="26"/>
          <w:lang w:val="en-GB"/>
        </w:rPr>
        <w:t xml:space="preserve">. </w:t>
      </w:r>
      <w:r w:rsidR="00684443" w:rsidRPr="003B7DC7">
        <w:rPr>
          <w:color w:val="auto"/>
          <w:sz w:val="26"/>
          <w:szCs w:val="26"/>
          <w:lang w:val="en-GB"/>
        </w:rPr>
        <w:t xml:space="preserve">Due to this situation, Khayat (2020) </w:t>
      </w:r>
      <w:r w:rsidR="00FE19B6" w:rsidRPr="003B7DC7">
        <w:rPr>
          <w:color w:val="auto"/>
          <w:sz w:val="26"/>
          <w:szCs w:val="26"/>
          <w:lang w:val="en-GB"/>
        </w:rPr>
        <w:t xml:space="preserve">indicates </w:t>
      </w:r>
      <w:r w:rsidR="00684443" w:rsidRPr="003B7DC7">
        <w:rPr>
          <w:color w:val="auto"/>
          <w:sz w:val="26"/>
          <w:szCs w:val="26"/>
          <w:lang w:val="en-GB"/>
        </w:rPr>
        <w:t xml:space="preserve">that GCC countries </w:t>
      </w:r>
      <w:r w:rsidR="00FE19B6" w:rsidRPr="003B7DC7">
        <w:rPr>
          <w:color w:val="auto"/>
          <w:sz w:val="26"/>
          <w:szCs w:val="26"/>
          <w:lang w:val="en-GB"/>
        </w:rPr>
        <w:t xml:space="preserve">start </w:t>
      </w:r>
      <w:r w:rsidR="00684443" w:rsidRPr="003B7DC7">
        <w:rPr>
          <w:color w:val="auto"/>
          <w:sz w:val="26"/>
          <w:szCs w:val="26"/>
          <w:lang w:val="en-GB"/>
        </w:rPr>
        <w:t>to implement a</w:t>
      </w:r>
      <w:r w:rsidR="00E75D57">
        <w:rPr>
          <w:color w:val="auto"/>
          <w:sz w:val="26"/>
          <w:szCs w:val="26"/>
          <w:lang w:val="en-GB"/>
        </w:rPr>
        <w:t>n</w:t>
      </w:r>
      <w:r w:rsidR="00684443" w:rsidRPr="003B7DC7">
        <w:rPr>
          <w:color w:val="auto"/>
          <w:sz w:val="26"/>
          <w:szCs w:val="26"/>
          <w:lang w:val="en-GB"/>
        </w:rPr>
        <w:t xml:space="preserve"> </w:t>
      </w:r>
      <w:r w:rsidR="00E75D57">
        <w:rPr>
          <w:color w:val="auto"/>
          <w:sz w:val="26"/>
          <w:szCs w:val="26"/>
          <w:lang w:val="en-GB"/>
        </w:rPr>
        <w:t>economic diversification policy</w:t>
      </w:r>
      <w:r w:rsidR="004673C6">
        <w:rPr>
          <w:color w:val="auto"/>
          <w:sz w:val="26"/>
          <w:szCs w:val="26"/>
          <w:lang w:val="en-GB"/>
        </w:rPr>
        <w:t xml:space="preserve">. </w:t>
      </w:r>
      <w:proofErr w:type="spellStart"/>
      <w:r w:rsidR="004673C6">
        <w:rPr>
          <w:color w:val="auto"/>
          <w:sz w:val="26"/>
          <w:szCs w:val="26"/>
          <w:lang w:val="en-GB"/>
        </w:rPr>
        <w:t>AL</w:t>
      </w:r>
      <w:r w:rsidR="00684443" w:rsidRPr="003B7DC7">
        <w:rPr>
          <w:color w:val="auto"/>
          <w:sz w:val="26"/>
          <w:szCs w:val="26"/>
          <w:lang w:val="en-GB"/>
        </w:rPr>
        <w:t>Har</w:t>
      </w:r>
      <w:r w:rsidR="00B730DC">
        <w:rPr>
          <w:color w:val="auto"/>
          <w:sz w:val="26"/>
          <w:szCs w:val="26"/>
          <w:lang w:val="en-GB"/>
        </w:rPr>
        <w:t>i</w:t>
      </w:r>
      <w:r w:rsidR="00684443" w:rsidRPr="003B7DC7">
        <w:rPr>
          <w:color w:val="auto"/>
          <w:sz w:val="26"/>
          <w:szCs w:val="26"/>
          <w:lang w:val="en-GB"/>
        </w:rPr>
        <w:t>thi</w:t>
      </w:r>
      <w:proofErr w:type="spellEnd"/>
      <w:r w:rsidR="00684443" w:rsidRPr="003B7DC7">
        <w:rPr>
          <w:color w:val="auto"/>
          <w:sz w:val="26"/>
          <w:szCs w:val="26"/>
          <w:lang w:val="en-GB"/>
        </w:rPr>
        <w:t xml:space="preserve"> (2018) </w:t>
      </w:r>
      <w:r w:rsidR="00FE19B6" w:rsidRPr="003B7DC7">
        <w:rPr>
          <w:color w:val="auto"/>
          <w:sz w:val="26"/>
          <w:szCs w:val="26"/>
          <w:lang w:val="en-GB"/>
        </w:rPr>
        <w:t xml:space="preserve">points </w:t>
      </w:r>
      <w:r w:rsidR="00684443" w:rsidRPr="003B7DC7">
        <w:rPr>
          <w:color w:val="auto"/>
          <w:sz w:val="26"/>
          <w:szCs w:val="26"/>
          <w:lang w:val="en-GB"/>
        </w:rPr>
        <w:t xml:space="preserve">out that GCC policymakers </w:t>
      </w:r>
      <w:r w:rsidR="00FE19B6" w:rsidRPr="003B7DC7">
        <w:rPr>
          <w:color w:val="auto"/>
          <w:sz w:val="26"/>
          <w:szCs w:val="26"/>
          <w:lang w:val="en-GB"/>
        </w:rPr>
        <w:t xml:space="preserve">make </w:t>
      </w:r>
      <w:r w:rsidR="00684443" w:rsidRPr="003B7DC7">
        <w:rPr>
          <w:color w:val="auto"/>
          <w:sz w:val="26"/>
          <w:szCs w:val="26"/>
          <w:lang w:val="en-GB"/>
        </w:rPr>
        <w:t xml:space="preserve">foreign direct investment one of the main plans to diversify </w:t>
      </w:r>
      <w:r w:rsidR="00E75D57">
        <w:rPr>
          <w:color w:val="auto"/>
          <w:sz w:val="26"/>
          <w:szCs w:val="26"/>
          <w:lang w:val="en-GB"/>
        </w:rPr>
        <w:t>GCC countries' economies and</w:t>
      </w:r>
      <w:r w:rsidR="00684443" w:rsidRPr="003B7DC7">
        <w:rPr>
          <w:color w:val="auto"/>
          <w:sz w:val="26"/>
          <w:szCs w:val="26"/>
          <w:lang w:val="en-GB"/>
        </w:rPr>
        <w:t xml:space="preserve"> attract additional foreign portfolio investments. </w:t>
      </w:r>
      <w:r w:rsidR="007F088E" w:rsidRPr="003B7DC7">
        <w:rPr>
          <w:color w:val="auto"/>
          <w:sz w:val="26"/>
          <w:szCs w:val="26"/>
          <w:lang w:val="en-GB"/>
        </w:rPr>
        <w:t>Aziz and Mishra (2016)</w:t>
      </w:r>
      <w:r w:rsidR="00EB21ED" w:rsidRPr="003B7DC7">
        <w:rPr>
          <w:color w:val="auto"/>
          <w:sz w:val="26"/>
          <w:szCs w:val="26"/>
          <w:lang w:val="en-GB"/>
        </w:rPr>
        <w:t xml:space="preserve"> and Hussein (2009)</w:t>
      </w:r>
      <w:r w:rsidR="007F088E" w:rsidRPr="003B7DC7">
        <w:rPr>
          <w:color w:val="auto"/>
          <w:sz w:val="26"/>
          <w:szCs w:val="26"/>
          <w:lang w:val="en-GB"/>
        </w:rPr>
        <w:t xml:space="preserve"> find that foreign investments </w:t>
      </w:r>
      <w:r w:rsidR="00C950E1">
        <w:rPr>
          <w:color w:val="auto"/>
          <w:sz w:val="26"/>
          <w:szCs w:val="26"/>
          <w:lang w:val="en-GB"/>
        </w:rPr>
        <w:t>positively and significantly affect</w:t>
      </w:r>
      <w:r w:rsidR="007F088E" w:rsidRPr="003B7DC7">
        <w:rPr>
          <w:color w:val="auto"/>
          <w:sz w:val="26"/>
          <w:szCs w:val="26"/>
          <w:lang w:val="en-GB"/>
        </w:rPr>
        <w:t xml:space="preserve"> GCC economies. </w:t>
      </w:r>
      <w:r w:rsidR="00EB21ED" w:rsidRPr="003B7DC7">
        <w:rPr>
          <w:color w:val="auto"/>
          <w:sz w:val="26"/>
          <w:szCs w:val="26"/>
          <w:lang w:val="en-GB"/>
        </w:rPr>
        <w:t xml:space="preserve">Accordingly, GCC countries improve </w:t>
      </w:r>
      <w:r w:rsidR="00C950E1">
        <w:rPr>
          <w:color w:val="auto"/>
          <w:sz w:val="26"/>
          <w:szCs w:val="26"/>
          <w:lang w:val="en-GB"/>
        </w:rPr>
        <w:t>foreign investments' policy and regulatory environment</w:t>
      </w:r>
      <w:r w:rsidR="00EB21ED" w:rsidRPr="003B7DC7">
        <w:rPr>
          <w:color w:val="auto"/>
          <w:sz w:val="26"/>
          <w:szCs w:val="26"/>
          <w:lang w:val="en-GB"/>
        </w:rPr>
        <w:t xml:space="preserve"> </w:t>
      </w:r>
      <w:r w:rsidR="009D4A7F" w:rsidRPr="003B7DC7">
        <w:rPr>
          <w:color w:val="auto"/>
          <w:sz w:val="26"/>
          <w:szCs w:val="26"/>
          <w:lang w:val="en-GB"/>
        </w:rPr>
        <w:t>to</w:t>
      </w:r>
      <w:r w:rsidR="00EB21ED" w:rsidRPr="003B7DC7">
        <w:rPr>
          <w:color w:val="auto"/>
          <w:sz w:val="26"/>
          <w:szCs w:val="26"/>
          <w:lang w:val="en-GB"/>
        </w:rPr>
        <w:t xml:space="preserve"> attract more foreign investors</w:t>
      </w:r>
      <w:r w:rsidR="00E75D57">
        <w:rPr>
          <w:color w:val="auto"/>
          <w:sz w:val="26"/>
          <w:szCs w:val="26"/>
          <w:lang w:val="en-GB"/>
        </w:rPr>
        <w:t>,</w:t>
      </w:r>
      <w:r w:rsidR="00EB21ED" w:rsidRPr="003B7DC7">
        <w:rPr>
          <w:color w:val="auto"/>
          <w:sz w:val="26"/>
          <w:szCs w:val="26"/>
          <w:lang w:val="en-GB"/>
        </w:rPr>
        <w:t xml:space="preserve"> </w:t>
      </w:r>
      <w:r w:rsidR="00FE19B6" w:rsidRPr="003B7DC7">
        <w:rPr>
          <w:color w:val="auto"/>
          <w:sz w:val="26"/>
          <w:szCs w:val="26"/>
          <w:lang w:val="en-GB"/>
        </w:rPr>
        <w:t xml:space="preserve">which reflects </w:t>
      </w:r>
      <w:r w:rsidR="00EB21ED" w:rsidRPr="003B7DC7">
        <w:rPr>
          <w:color w:val="auto"/>
          <w:sz w:val="26"/>
          <w:szCs w:val="26"/>
          <w:lang w:val="en-GB"/>
        </w:rPr>
        <w:t>the countr</w:t>
      </w:r>
      <w:r w:rsidR="009D4A7F" w:rsidRPr="003B7DC7">
        <w:rPr>
          <w:color w:val="auto"/>
          <w:sz w:val="26"/>
          <w:szCs w:val="26"/>
          <w:lang w:val="en-GB"/>
        </w:rPr>
        <w:t xml:space="preserve">ies’ </w:t>
      </w:r>
      <w:r w:rsidR="00C950E1">
        <w:rPr>
          <w:color w:val="auto"/>
          <w:sz w:val="26"/>
          <w:szCs w:val="26"/>
          <w:lang w:val="en-GB"/>
        </w:rPr>
        <w:t>economic solid</w:t>
      </w:r>
      <w:r w:rsidR="009D4A7F" w:rsidRPr="003B7DC7">
        <w:rPr>
          <w:color w:val="auto"/>
          <w:sz w:val="26"/>
          <w:szCs w:val="26"/>
          <w:lang w:val="en-GB"/>
        </w:rPr>
        <w:t xml:space="preserve"> prospects</w:t>
      </w:r>
      <w:r w:rsidR="00EB21ED" w:rsidRPr="003B7DC7">
        <w:rPr>
          <w:color w:val="auto"/>
          <w:sz w:val="26"/>
          <w:szCs w:val="26"/>
          <w:lang w:val="en-GB"/>
        </w:rPr>
        <w:t xml:space="preserve">. </w:t>
      </w:r>
      <w:r w:rsidR="008A4B26" w:rsidRPr="003B7DC7">
        <w:rPr>
          <w:color w:val="auto"/>
          <w:sz w:val="26"/>
          <w:szCs w:val="26"/>
          <w:lang w:val="en-GB"/>
        </w:rPr>
        <w:t>On the other side, o</w:t>
      </w:r>
      <w:r w:rsidRPr="003B7DC7">
        <w:rPr>
          <w:color w:val="auto"/>
          <w:sz w:val="26"/>
          <w:szCs w:val="26"/>
          <w:lang w:val="en-GB"/>
        </w:rPr>
        <w:t xml:space="preserve">ne of the most important steps on this road is improving the financial reporting quality through enhancing </w:t>
      </w:r>
      <w:r w:rsidR="006B1C85" w:rsidRPr="003B7DC7">
        <w:rPr>
          <w:color w:val="auto"/>
          <w:sz w:val="26"/>
          <w:szCs w:val="26"/>
          <w:lang w:val="en-GB"/>
        </w:rPr>
        <w:t>EQ</w:t>
      </w:r>
      <w:r w:rsidRPr="003B7DC7">
        <w:rPr>
          <w:color w:val="auto"/>
          <w:sz w:val="26"/>
          <w:szCs w:val="26"/>
          <w:lang w:val="en-GB"/>
        </w:rPr>
        <w:t xml:space="preserve">. </w:t>
      </w:r>
      <w:r w:rsidR="00137EC6" w:rsidRPr="003B7DC7">
        <w:rPr>
          <w:color w:val="auto"/>
          <w:sz w:val="26"/>
          <w:szCs w:val="26"/>
          <w:lang w:val="en-GB"/>
        </w:rPr>
        <w:t>Typically</w:t>
      </w:r>
      <w:r w:rsidRPr="003B7DC7">
        <w:rPr>
          <w:color w:val="auto"/>
          <w:sz w:val="26"/>
          <w:szCs w:val="26"/>
          <w:lang w:val="en-GB"/>
        </w:rPr>
        <w:t>, foreign investors need relevant and reliable information to improve their investment decision models</w:t>
      </w:r>
      <w:r w:rsidR="00137EC6" w:rsidRPr="003B7DC7">
        <w:rPr>
          <w:color w:val="auto"/>
          <w:sz w:val="26"/>
          <w:szCs w:val="26"/>
          <w:lang w:val="en-GB"/>
        </w:rPr>
        <w:t>,</w:t>
      </w:r>
      <w:r w:rsidRPr="003B7DC7">
        <w:rPr>
          <w:color w:val="auto"/>
          <w:sz w:val="26"/>
          <w:szCs w:val="26"/>
          <w:lang w:val="en-GB"/>
        </w:rPr>
        <w:t xml:space="preserve"> </w:t>
      </w:r>
      <w:r w:rsidR="00A14320" w:rsidRPr="003B7DC7">
        <w:rPr>
          <w:color w:val="auto"/>
          <w:sz w:val="26"/>
          <w:szCs w:val="26"/>
          <w:lang w:val="en-GB"/>
        </w:rPr>
        <w:t>and</w:t>
      </w:r>
      <w:r w:rsidRPr="003B7DC7">
        <w:rPr>
          <w:color w:val="auto"/>
          <w:sz w:val="26"/>
          <w:szCs w:val="26"/>
          <w:lang w:val="en-GB"/>
        </w:rPr>
        <w:t xml:space="preserve"> this can be done through using multiple</w:t>
      </w:r>
      <w:r w:rsidR="00A14320" w:rsidRPr="003B7DC7">
        <w:rPr>
          <w:color w:val="auto"/>
          <w:sz w:val="26"/>
          <w:szCs w:val="26"/>
          <w:lang w:val="en-GB"/>
        </w:rPr>
        <w:t>, competing</w:t>
      </w:r>
      <w:r w:rsidR="00AF11E0">
        <w:rPr>
          <w:color w:val="auto"/>
          <w:sz w:val="26"/>
          <w:szCs w:val="26"/>
          <w:lang w:val="en-GB"/>
        </w:rPr>
        <w:t>,</w:t>
      </w:r>
      <w:r w:rsidR="00A14320" w:rsidRPr="003B7DC7">
        <w:rPr>
          <w:color w:val="auto"/>
          <w:sz w:val="26"/>
          <w:szCs w:val="26"/>
          <w:lang w:val="en-GB"/>
        </w:rPr>
        <w:t xml:space="preserve"> and integrated</w:t>
      </w:r>
      <w:r w:rsidRPr="003B7DC7">
        <w:rPr>
          <w:color w:val="auto"/>
          <w:sz w:val="26"/>
          <w:szCs w:val="26"/>
          <w:lang w:val="en-GB"/>
        </w:rPr>
        <w:t xml:space="preserve"> EQ measures</w:t>
      </w:r>
      <w:r w:rsidR="00A14320" w:rsidRPr="003B7DC7">
        <w:rPr>
          <w:color w:val="auto"/>
          <w:sz w:val="26"/>
          <w:szCs w:val="26"/>
          <w:lang w:val="en-GB"/>
        </w:rPr>
        <w:t xml:space="preserve">. As the GCC markets are relatively new for foreign investors, this study aims </w:t>
      </w:r>
      <w:r w:rsidR="00137EC6" w:rsidRPr="003B7DC7">
        <w:rPr>
          <w:color w:val="auto"/>
          <w:sz w:val="26"/>
          <w:szCs w:val="26"/>
          <w:lang w:val="en-GB"/>
        </w:rPr>
        <w:t xml:space="preserve">to </w:t>
      </w:r>
      <w:r w:rsidR="00A14320" w:rsidRPr="003B7DC7">
        <w:rPr>
          <w:color w:val="auto"/>
          <w:sz w:val="26"/>
          <w:szCs w:val="26"/>
          <w:lang w:val="en-GB"/>
        </w:rPr>
        <w:t xml:space="preserve">provide a wide range of relevant and reliable information about </w:t>
      </w:r>
      <w:r w:rsidR="006B1C85" w:rsidRPr="003B7DC7">
        <w:rPr>
          <w:color w:val="auto"/>
          <w:sz w:val="26"/>
          <w:szCs w:val="26"/>
          <w:lang w:val="en-GB"/>
        </w:rPr>
        <w:t>EQ</w:t>
      </w:r>
      <w:r w:rsidR="00A14320" w:rsidRPr="003B7DC7">
        <w:rPr>
          <w:color w:val="auto"/>
          <w:sz w:val="26"/>
          <w:szCs w:val="26"/>
          <w:lang w:val="en-GB"/>
        </w:rPr>
        <w:t>.  In terms of earnings persistence,</w:t>
      </w:r>
      <w:r w:rsidR="00635118" w:rsidRPr="003B7DC7">
        <w:rPr>
          <w:color w:val="auto"/>
          <w:sz w:val="26"/>
          <w:szCs w:val="26"/>
          <w:lang w:val="en-GB"/>
        </w:rPr>
        <w:t xml:space="preserve"> all GCC have high and sustainable earnings</w:t>
      </w:r>
      <w:r w:rsidR="00AF11E0">
        <w:rPr>
          <w:color w:val="auto"/>
          <w:sz w:val="26"/>
          <w:szCs w:val="26"/>
          <w:lang w:val="en-GB"/>
        </w:rPr>
        <w:t>,</w:t>
      </w:r>
      <w:r w:rsidR="00635118" w:rsidRPr="003B7DC7">
        <w:rPr>
          <w:color w:val="auto"/>
          <w:sz w:val="26"/>
          <w:szCs w:val="26"/>
          <w:lang w:val="en-GB"/>
        </w:rPr>
        <w:t xml:space="preserve"> but only the model in Oman </w:t>
      </w:r>
      <w:r w:rsidR="00C950E1">
        <w:rPr>
          <w:color w:val="auto"/>
          <w:sz w:val="26"/>
          <w:szCs w:val="26"/>
          <w:lang w:val="en-GB"/>
        </w:rPr>
        <w:t>positively affects</w:t>
      </w:r>
      <w:r w:rsidR="00635118" w:rsidRPr="003B7DC7">
        <w:rPr>
          <w:color w:val="auto"/>
          <w:sz w:val="26"/>
          <w:szCs w:val="26"/>
          <w:lang w:val="en-GB"/>
        </w:rPr>
        <w:t xml:space="preserve"> attracting</w:t>
      </w:r>
      <w:r w:rsidR="001D1CFF" w:rsidRPr="003B7DC7">
        <w:rPr>
          <w:color w:val="auto"/>
          <w:sz w:val="26"/>
          <w:szCs w:val="26"/>
          <w:lang w:val="en-GB"/>
        </w:rPr>
        <w:t xml:space="preserve"> foreign investors as Oman is more stable than other GCC countries. </w:t>
      </w:r>
      <w:proofErr w:type="spellStart"/>
      <w:r w:rsidR="009D4A7F" w:rsidRPr="003B7DC7">
        <w:rPr>
          <w:color w:val="auto"/>
          <w:sz w:val="26"/>
          <w:szCs w:val="26"/>
          <w:lang w:val="en-GB"/>
        </w:rPr>
        <w:t>Pauceanu</w:t>
      </w:r>
      <w:proofErr w:type="spellEnd"/>
      <w:r w:rsidR="009D4A7F" w:rsidRPr="003B7DC7">
        <w:rPr>
          <w:color w:val="auto"/>
          <w:sz w:val="26"/>
          <w:szCs w:val="26"/>
          <w:lang w:val="en-GB"/>
        </w:rPr>
        <w:t xml:space="preserve"> (2016) finds that political </w:t>
      </w:r>
      <w:r w:rsidR="006535B1" w:rsidRPr="003B7DC7">
        <w:rPr>
          <w:color w:val="auto"/>
          <w:sz w:val="26"/>
          <w:szCs w:val="26"/>
          <w:lang w:val="en-GB"/>
        </w:rPr>
        <w:t xml:space="preserve">and economic </w:t>
      </w:r>
      <w:r w:rsidR="009D4A7F" w:rsidRPr="003B7DC7">
        <w:rPr>
          <w:color w:val="auto"/>
          <w:sz w:val="26"/>
          <w:szCs w:val="26"/>
          <w:lang w:val="en-GB"/>
        </w:rPr>
        <w:t xml:space="preserve">stability is </w:t>
      </w:r>
      <w:r w:rsidR="00FE19B6" w:rsidRPr="003B7DC7">
        <w:rPr>
          <w:color w:val="auto"/>
          <w:sz w:val="26"/>
          <w:szCs w:val="26"/>
          <w:lang w:val="en-GB"/>
        </w:rPr>
        <w:t xml:space="preserve">one </w:t>
      </w:r>
      <w:r w:rsidR="009D4A7F" w:rsidRPr="003B7DC7">
        <w:rPr>
          <w:color w:val="auto"/>
          <w:sz w:val="26"/>
          <w:szCs w:val="26"/>
          <w:lang w:val="en-GB"/>
        </w:rPr>
        <w:t xml:space="preserve">factor </w:t>
      </w:r>
      <w:r w:rsidR="00AF11E0">
        <w:rPr>
          <w:color w:val="auto"/>
          <w:sz w:val="26"/>
          <w:szCs w:val="26"/>
          <w:lang w:val="en-GB"/>
        </w:rPr>
        <w:t>to</w:t>
      </w:r>
      <w:r w:rsidR="00FE19B6" w:rsidRPr="003B7DC7">
        <w:rPr>
          <w:color w:val="auto"/>
          <w:sz w:val="26"/>
          <w:szCs w:val="26"/>
          <w:lang w:val="en-GB"/>
        </w:rPr>
        <w:t xml:space="preserve"> </w:t>
      </w:r>
      <w:r w:rsidR="006535B1" w:rsidRPr="003B7DC7">
        <w:rPr>
          <w:color w:val="auto"/>
          <w:sz w:val="26"/>
          <w:szCs w:val="26"/>
          <w:lang w:val="en-GB"/>
        </w:rPr>
        <w:t>motivate</w:t>
      </w:r>
      <w:r w:rsidR="009D4A7F" w:rsidRPr="003B7DC7">
        <w:rPr>
          <w:color w:val="auto"/>
          <w:sz w:val="26"/>
          <w:szCs w:val="26"/>
          <w:lang w:val="en-GB"/>
        </w:rPr>
        <w:t xml:space="preserve"> foreign investors to invest in Oman. </w:t>
      </w:r>
      <w:r w:rsidR="004E5E41" w:rsidRPr="003B7DC7">
        <w:rPr>
          <w:color w:val="auto"/>
          <w:sz w:val="26"/>
          <w:szCs w:val="26"/>
          <w:lang w:val="en-GB"/>
        </w:rPr>
        <w:t>Foreign investors seem to have a problem</w:t>
      </w:r>
      <w:r w:rsidR="001D1CFF" w:rsidRPr="003B7DC7">
        <w:rPr>
          <w:color w:val="auto"/>
          <w:sz w:val="26"/>
          <w:szCs w:val="26"/>
          <w:lang w:val="en-GB"/>
        </w:rPr>
        <w:t xml:space="preserve"> </w:t>
      </w:r>
      <w:r w:rsidR="00C950E1">
        <w:rPr>
          <w:color w:val="auto"/>
          <w:sz w:val="26"/>
          <w:szCs w:val="26"/>
          <w:lang w:val="en-GB"/>
        </w:rPr>
        <w:t>using the relationship between past and future earnings in the other GCC countries as they fail to use earnings persistence information and</w:t>
      </w:r>
      <w:r w:rsidR="001D1CFF" w:rsidRPr="003B7DC7">
        <w:rPr>
          <w:color w:val="auto"/>
          <w:sz w:val="26"/>
          <w:szCs w:val="26"/>
          <w:lang w:val="en-GB"/>
        </w:rPr>
        <w:t xml:space="preserve"> usually underestimate earnings. </w:t>
      </w:r>
      <w:r w:rsidR="00F84494" w:rsidRPr="003B7DC7">
        <w:rPr>
          <w:color w:val="auto"/>
          <w:sz w:val="26"/>
          <w:szCs w:val="26"/>
          <w:lang w:val="en-GB"/>
        </w:rPr>
        <w:t>This result is supported by Ben-Nasr et al.</w:t>
      </w:r>
      <w:r w:rsidR="00944F99" w:rsidRPr="003B7DC7">
        <w:rPr>
          <w:color w:val="auto"/>
          <w:sz w:val="26"/>
          <w:szCs w:val="26"/>
          <w:lang w:val="en-GB"/>
        </w:rPr>
        <w:t xml:space="preserve"> (</w:t>
      </w:r>
      <w:r w:rsidR="00F84494" w:rsidRPr="003B7DC7">
        <w:rPr>
          <w:color w:val="auto"/>
          <w:sz w:val="26"/>
          <w:szCs w:val="26"/>
          <w:lang w:val="en-GB"/>
        </w:rPr>
        <w:t xml:space="preserve">2015) </w:t>
      </w:r>
      <w:r w:rsidR="00A41BCF" w:rsidRPr="003B7DC7">
        <w:rPr>
          <w:color w:val="auto"/>
          <w:sz w:val="26"/>
          <w:szCs w:val="26"/>
          <w:lang w:val="en-GB"/>
        </w:rPr>
        <w:t>wh</w:t>
      </w:r>
      <w:r w:rsidR="00AF11E0">
        <w:rPr>
          <w:color w:val="auto"/>
          <w:sz w:val="26"/>
          <w:szCs w:val="26"/>
          <w:lang w:val="en-GB"/>
        </w:rPr>
        <w:t>ich</w:t>
      </w:r>
      <w:r w:rsidR="00A41BCF" w:rsidRPr="003B7DC7">
        <w:rPr>
          <w:color w:val="auto"/>
          <w:sz w:val="26"/>
          <w:szCs w:val="26"/>
          <w:lang w:val="en-GB"/>
        </w:rPr>
        <w:t xml:space="preserve"> found</w:t>
      </w:r>
      <w:r w:rsidR="00F84494" w:rsidRPr="003B7DC7">
        <w:rPr>
          <w:color w:val="auto"/>
          <w:sz w:val="26"/>
          <w:szCs w:val="26"/>
          <w:lang w:val="en-GB"/>
        </w:rPr>
        <w:t xml:space="preserve"> that more stable </w:t>
      </w:r>
      <w:r w:rsidR="004E5E41" w:rsidRPr="003B7DC7">
        <w:rPr>
          <w:color w:val="auto"/>
          <w:sz w:val="26"/>
          <w:szCs w:val="26"/>
          <w:lang w:val="en-GB"/>
        </w:rPr>
        <w:t xml:space="preserve">countries </w:t>
      </w:r>
      <w:r w:rsidR="00F84494" w:rsidRPr="003B7DC7">
        <w:rPr>
          <w:color w:val="auto"/>
          <w:sz w:val="26"/>
          <w:szCs w:val="26"/>
          <w:lang w:val="en-GB"/>
        </w:rPr>
        <w:t xml:space="preserve">refer to higher EQ. </w:t>
      </w:r>
      <w:r w:rsidR="00FC1E15" w:rsidRPr="003B7DC7">
        <w:rPr>
          <w:color w:val="auto"/>
          <w:sz w:val="26"/>
          <w:szCs w:val="26"/>
          <w:lang w:val="en-GB"/>
        </w:rPr>
        <w:t>Also, this result is consistent with the finding</w:t>
      </w:r>
      <w:r w:rsidR="00FE19B6" w:rsidRPr="003B7DC7">
        <w:rPr>
          <w:color w:val="auto"/>
          <w:sz w:val="26"/>
          <w:szCs w:val="26"/>
          <w:lang w:val="en-GB"/>
        </w:rPr>
        <w:t>s</w:t>
      </w:r>
      <w:r w:rsidR="00FC1E15" w:rsidRPr="003B7DC7">
        <w:rPr>
          <w:color w:val="auto"/>
          <w:sz w:val="26"/>
          <w:szCs w:val="26"/>
          <w:lang w:val="en-GB"/>
        </w:rPr>
        <w:t xml:space="preserve"> of Vo </w:t>
      </w:r>
      <w:r w:rsidR="00523653">
        <w:rPr>
          <w:color w:val="auto"/>
          <w:sz w:val="26"/>
          <w:szCs w:val="26"/>
          <w:lang w:val="en-GB"/>
        </w:rPr>
        <w:t>and</w:t>
      </w:r>
      <w:r w:rsidR="00FC1E15" w:rsidRPr="003B7DC7">
        <w:rPr>
          <w:color w:val="auto"/>
          <w:sz w:val="26"/>
          <w:szCs w:val="26"/>
          <w:lang w:val="en-GB"/>
        </w:rPr>
        <w:t xml:space="preserve"> Chu (2019) and </w:t>
      </w:r>
      <w:proofErr w:type="gramStart"/>
      <w:r w:rsidR="00FC1E15" w:rsidRPr="003B7DC7">
        <w:rPr>
          <w:color w:val="auto"/>
          <w:sz w:val="26"/>
          <w:szCs w:val="26"/>
          <w:lang w:val="en-GB"/>
        </w:rPr>
        <w:t>An</w:t>
      </w:r>
      <w:proofErr w:type="gramEnd"/>
      <w:r w:rsidR="00FC1E15" w:rsidRPr="003B7DC7">
        <w:rPr>
          <w:color w:val="auto"/>
          <w:sz w:val="26"/>
          <w:szCs w:val="26"/>
          <w:lang w:val="en-GB"/>
        </w:rPr>
        <w:t xml:space="preserve"> (2019) wh</w:t>
      </w:r>
      <w:r w:rsidR="00AF11E0">
        <w:rPr>
          <w:color w:val="auto"/>
          <w:sz w:val="26"/>
          <w:szCs w:val="26"/>
          <w:lang w:val="en-GB"/>
        </w:rPr>
        <w:t>ich</w:t>
      </w:r>
      <w:r w:rsidR="00FC1E15" w:rsidRPr="003B7DC7">
        <w:rPr>
          <w:color w:val="auto"/>
          <w:sz w:val="26"/>
          <w:szCs w:val="26"/>
          <w:lang w:val="en-GB"/>
        </w:rPr>
        <w:t xml:space="preserve"> find a </w:t>
      </w:r>
      <w:r w:rsidR="00AF11E0" w:rsidRPr="003B7DC7">
        <w:rPr>
          <w:color w:val="auto"/>
          <w:sz w:val="26"/>
          <w:szCs w:val="26"/>
          <w:lang w:val="en-GB"/>
        </w:rPr>
        <w:t>significan</w:t>
      </w:r>
      <w:r w:rsidR="00AF11E0">
        <w:rPr>
          <w:color w:val="auto"/>
          <w:sz w:val="26"/>
          <w:szCs w:val="26"/>
          <w:lang w:val="en-GB"/>
        </w:rPr>
        <w:t>t</w:t>
      </w:r>
      <w:r w:rsidR="00AF11E0" w:rsidRPr="003B7DC7">
        <w:rPr>
          <w:color w:val="auto"/>
          <w:sz w:val="26"/>
          <w:szCs w:val="26"/>
          <w:lang w:val="en-GB"/>
        </w:rPr>
        <w:t xml:space="preserve"> </w:t>
      </w:r>
      <w:r w:rsidR="00FC1E15" w:rsidRPr="003B7DC7">
        <w:rPr>
          <w:color w:val="auto"/>
          <w:sz w:val="26"/>
          <w:szCs w:val="26"/>
          <w:lang w:val="en-GB"/>
        </w:rPr>
        <w:t xml:space="preserve">positive association between PER and FI as using PER improves the decisions of FI. </w:t>
      </w:r>
      <w:r w:rsidR="004E5E41" w:rsidRPr="003B7DC7">
        <w:rPr>
          <w:color w:val="auto"/>
          <w:sz w:val="26"/>
          <w:szCs w:val="26"/>
          <w:lang w:val="en-GB"/>
        </w:rPr>
        <w:t>T</w:t>
      </w:r>
      <w:r w:rsidR="001D1CFF" w:rsidRPr="003B7DC7">
        <w:rPr>
          <w:color w:val="auto"/>
          <w:sz w:val="26"/>
          <w:szCs w:val="26"/>
          <w:lang w:val="en-GB"/>
        </w:rPr>
        <w:t xml:space="preserve">he predictability of earnings </w:t>
      </w:r>
      <w:r w:rsidR="00C950E1">
        <w:rPr>
          <w:color w:val="auto"/>
          <w:sz w:val="26"/>
          <w:szCs w:val="26"/>
          <w:lang w:val="en-GB"/>
        </w:rPr>
        <w:t>positively affects</w:t>
      </w:r>
      <w:r w:rsidR="001D1CFF" w:rsidRPr="003B7DC7">
        <w:rPr>
          <w:color w:val="auto"/>
          <w:sz w:val="26"/>
          <w:szCs w:val="26"/>
          <w:lang w:val="en-GB"/>
        </w:rPr>
        <w:t xml:space="preserve"> attracting FI only in Oman</w:t>
      </w:r>
      <w:r w:rsidR="004E5E41" w:rsidRPr="003B7DC7">
        <w:rPr>
          <w:color w:val="auto"/>
          <w:sz w:val="26"/>
          <w:szCs w:val="26"/>
          <w:lang w:val="en-GB"/>
        </w:rPr>
        <w:t>,</w:t>
      </w:r>
      <w:r w:rsidR="001D1CFF" w:rsidRPr="003B7DC7">
        <w:rPr>
          <w:color w:val="auto"/>
          <w:sz w:val="26"/>
          <w:szCs w:val="26"/>
          <w:lang w:val="en-GB"/>
        </w:rPr>
        <w:t xml:space="preserve"> </w:t>
      </w:r>
      <w:r w:rsidR="00D57B34" w:rsidRPr="003B7DC7">
        <w:rPr>
          <w:color w:val="auto"/>
          <w:sz w:val="26"/>
          <w:szCs w:val="26"/>
          <w:lang w:val="en-GB"/>
        </w:rPr>
        <w:t xml:space="preserve">indicating </w:t>
      </w:r>
      <w:r w:rsidR="004E5E41" w:rsidRPr="003B7DC7">
        <w:rPr>
          <w:color w:val="auto"/>
          <w:sz w:val="26"/>
          <w:szCs w:val="26"/>
          <w:lang w:val="en-GB"/>
        </w:rPr>
        <w:t>that foreign investors</w:t>
      </w:r>
      <w:r w:rsidR="00D57B34" w:rsidRPr="003B7DC7">
        <w:rPr>
          <w:color w:val="auto"/>
          <w:sz w:val="26"/>
          <w:szCs w:val="26"/>
          <w:lang w:val="en-GB"/>
        </w:rPr>
        <w:t xml:space="preserve"> can use the current earnings to predict future earnings</w:t>
      </w:r>
      <w:r w:rsidR="004E5E41" w:rsidRPr="003B7DC7">
        <w:rPr>
          <w:color w:val="auto"/>
          <w:sz w:val="26"/>
          <w:szCs w:val="26"/>
          <w:lang w:val="en-GB"/>
        </w:rPr>
        <w:t>.</w:t>
      </w:r>
      <w:r w:rsidR="00D57B34" w:rsidRPr="003B7DC7">
        <w:rPr>
          <w:color w:val="auto"/>
          <w:sz w:val="26"/>
          <w:szCs w:val="26"/>
          <w:lang w:val="en-GB"/>
        </w:rPr>
        <w:t xml:space="preserve"> </w:t>
      </w:r>
      <w:r w:rsidR="00AF11E0">
        <w:rPr>
          <w:color w:val="auto"/>
          <w:sz w:val="26"/>
          <w:szCs w:val="26"/>
          <w:lang w:val="en-GB"/>
        </w:rPr>
        <w:t>On</w:t>
      </w:r>
      <w:r w:rsidR="00AF11E0" w:rsidRPr="003B7DC7">
        <w:rPr>
          <w:color w:val="auto"/>
          <w:sz w:val="26"/>
          <w:szCs w:val="26"/>
          <w:lang w:val="en-GB"/>
        </w:rPr>
        <w:t xml:space="preserve"> </w:t>
      </w:r>
      <w:r w:rsidR="004E5E41" w:rsidRPr="003B7DC7">
        <w:rPr>
          <w:color w:val="auto"/>
          <w:sz w:val="26"/>
          <w:szCs w:val="26"/>
          <w:lang w:val="en-GB"/>
        </w:rPr>
        <w:t xml:space="preserve">the contrary, they </w:t>
      </w:r>
      <w:r w:rsidR="00D57B34" w:rsidRPr="003B7DC7">
        <w:rPr>
          <w:color w:val="auto"/>
          <w:sz w:val="26"/>
          <w:szCs w:val="26"/>
          <w:lang w:val="en-GB"/>
        </w:rPr>
        <w:t xml:space="preserve">cannot do the same in other GCC countries as the earnings components are less </w:t>
      </w:r>
      <w:r w:rsidR="004E5E41" w:rsidRPr="003B7DC7">
        <w:rPr>
          <w:color w:val="auto"/>
          <w:sz w:val="26"/>
          <w:szCs w:val="26"/>
          <w:lang w:val="en-GB"/>
        </w:rPr>
        <w:t xml:space="preserve">important </w:t>
      </w:r>
      <w:r w:rsidR="00D57B34" w:rsidRPr="003B7DC7">
        <w:rPr>
          <w:color w:val="auto"/>
          <w:sz w:val="26"/>
          <w:szCs w:val="26"/>
          <w:lang w:val="en-GB"/>
        </w:rPr>
        <w:t>than other data such as cash flow and market data.</w:t>
      </w:r>
    </w:p>
    <w:p w14:paraId="0E732E94" w14:textId="26328413" w:rsidR="005045DB" w:rsidRPr="003B7DC7" w:rsidRDefault="00D57B34" w:rsidP="00682718">
      <w:pPr>
        <w:pStyle w:val="Default"/>
        <w:snapToGrid w:val="0"/>
        <w:spacing w:line="360" w:lineRule="exact"/>
        <w:ind w:firstLine="510"/>
        <w:jc w:val="both"/>
        <w:rPr>
          <w:color w:val="auto"/>
          <w:sz w:val="26"/>
          <w:szCs w:val="26"/>
          <w:lang w:val="en-GB"/>
        </w:rPr>
      </w:pPr>
      <w:r w:rsidRPr="003B7DC7">
        <w:rPr>
          <w:color w:val="auto"/>
          <w:sz w:val="26"/>
          <w:szCs w:val="26"/>
          <w:lang w:val="en-GB"/>
        </w:rPr>
        <w:t xml:space="preserve">In terms of accruals, </w:t>
      </w:r>
      <w:r w:rsidR="00307A07" w:rsidRPr="003B7DC7">
        <w:rPr>
          <w:color w:val="auto"/>
          <w:sz w:val="26"/>
          <w:szCs w:val="26"/>
          <w:lang w:val="en-GB"/>
        </w:rPr>
        <w:t xml:space="preserve">EQ in Oman has </w:t>
      </w:r>
      <w:r w:rsidR="00AF11E0">
        <w:rPr>
          <w:color w:val="auto"/>
          <w:sz w:val="26"/>
          <w:szCs w:val="26"/>
          <w:lang w:val="en-GB"/>
        </w:rPr>
        <w:t xml:space="preserve">a </w:t>
      </w:r>
      <w:r w:rsidR="00307A07" w:rsidRPr="003B7DC7">
        <w:rPr>
          <w:color w:val="auto"/>
          <w:sz w:val="26"/>
          <w:szCs w:val="26"/>
          <w:lang w:val="en-GB"/>
        </w:rPr>
        <w:t>po</w:t>
      </w:r>
      <w:r w:rsidR="005045DB" w:rsidRPr="003B7DC7">
        <w:rPr>
          <w:color w:val="auto"/>
          <w:sz w:val="26"/>
          <w:szCs w:val="26"/>
          <w:lang w:val="en-GB"/>
        </w:rPr>
        <w:t xml:space="preserve">sitive effect on attracting </w:t>
      </w:r>
      <w:r w:rsidR="004E5E41" w:rsidRPr="003B7DC7">
        <w:rPr>
          <w:color w:val="auto"/>
          <w:sz w:val="26"/>
          <w:szCs w:val="26"/>
          <w:lang w:val="en-GB"/>
        </w:rPr>
        <w:t xml:space="preserve">foreign investors. </w:t>
      </w:r>
      <w:r w:rsidR="00472BC5" w:rsidRPr="003B7DC7">
        <w:rPr>
          <w:color w:val="auto"/>
          <w:sz w:val="26"/>
          <w:szCs w:val="26"/>
          <w:lang w:val="en-GB"/>
        </w:rPr>
        <w:t>This result</w:t>
      </w:r>
      <w:r w:rsidR="004E5E41" w:rsidRPr="003B7DC7">
        <w:rPr>
          <w:color w:val="auto"/>
          <w:sz w:val="26"/>
          <w:szCs w:val="26"/>
          <w:lang w:val="en-GB"/>
        </w:rPr>
        <w:t xml:space="preserve"> </w:t>
      </w:r>
      <w:r w:rsidR="005045DB" w:rsidRPr="003B7DC7">
        <w:rPr>
          <w:color w:val="auto"/>
          <w:sz w:val="26"/>
          <w:szCs w:val="26"/>
          <w:lang w:val="en-GB"/>
        </w:rPr>
        <w:t>give</w:t>
      </w:r>
      <w:r w:rsidR="004E5E41" w:rsidRPr="003B7DC7">
        <w:rPr>
          <w:color w:val="auto"/>
          <w:sz w:val="26"/>
          <w:szCs w:val="26"/>
          <w:lang w:val="en-GB"/>
        </w:rPr>
        <w:t>s</w:t>
      </w:r>
      <w:r w:rsidR="005045DB" w:rsidRPr="003B7DC7">
        <w:rPr>
          <w:color w:val="auto"/>
          <w:sz w:val="26"/>
          <w:szCs w:val="26"/>
          <w:lang w:val="en-GB"/>
        </w:rPr>
        <w:t xml:space="preserve"> more credibility to accounting information </w:t>
      </w:r>
      <w:r w:rsidR="004E5E41" w:rsidRPr="003B7DC7">
        <w:rPr>
          <w:color w:val="auto"/>
          <w:sz w:val="26"/>
          <w:szCs w:val="26"/>
          <w:lang w:val="en-GB"/>
        </w:rPr>
        <w:t xml:space="preserve">when deciding </w:t>
      </w:r>
      <w:r w:rsidR="005045DB" w:rsidRPr="003B7DC7">
        <w:rPr>
          <w:color w:val="auto"/>
          <w:sz w:val="26"/>
          <w:szCs w:val="26"/>
          <w:lang w:val="en-GB"/>
        </w:rPr>
        <w:t xml:space="preserve">about foreign </w:t>
      </w:r>
      <w:r w:rsidR="00325179" w:rsidRPr="003B7DC7">
        <w:rPr>
          <w:color w:val="auto"/>
          <w:sz w:val="26"/>
          <w:szCs w:val="26"/>
          <w:lang w:val="en-GB"/>
        </w:rPr>
        <w:t>investment</w:t>
      </w:r>
      <w:r w:rsidR="00325179">
        <w:rPr>
          <w:color w:val="auto"/>
          <w:sz w:val="26"/>
          <w:szCs w:val="26"/>
          <w:lang w:val="en-GB"/>
        </w:rPr>
        <w:t>,</w:t>
      </w:r>
      <w:r w:rsidR="00106699" w:rsidRPr="003B7DC7">
        <w:rPr>
          <w:color w:val="auto"/>
          <w:sz w:val="26"/>
          <w:szCs w:val="26"/>
          <w:lang w:val="en-GB"/>
        </w:rPr>
        <w:t xml:space="preserve"> and </w:t>
      </w:r>
      <w:r w:rsidR="004E5E41" w:rsidRPr="003B7DC7">
        <w:rPr>
          <w:color w:val="auto"/>
          <w:sz w:val="26"/>
          <w:szCs w:val="26"/>
          <w:lang w:val="en-GB"/>
        </w:rPr>
        <w:t xml:space="preserve">it serves as a </w:t>
      </w:r>
      <w:r w:rsidR="00106699" w:rsidRPr="003B7DC7">
        <w:rPr>
          <w:color w:val="auto"/>
          <w:sz w:val="26"/>
          <w:szCs w:val="26"/>
          <w:lang w:val="en-GB"/>
        </w:rPr>
        <w:t xml:space="preserve">good indicator for protecting </w:t>
      </w:r>
      <w:r w:rsidR="004E5E41" w:rsidRPr="003B7DC7">
        <w:rPr>
          <w:color w:val="auto"/>
          <w:sz w:val="26"/>
          <w:szCs w:val="26"/>
          <w:lang w:val="en-GB"/>
        </w:rPr>
        <w:t>foreign investors</w:t>
      </w:r>
      <w:r w:rsidR="005045DB" w:rsidRPr="003B7DC7">
        <w:rPr>
          <w:color w:val="auto"/>
          <w:sz w:val="26"/>
          <w:szCs w:val="26"/>
          <w:lang w:val="en-GB"/>
        </w:rPr>
        <w:t xml:space="preserve">. The situation in KSA is different as EQ has </w:t>
      </w:r>
      <w:r w:rsidR="00AF11E0">
        <w:rPr>
          <w:color w:val="auto"/>
          <w:sz w:val="26"/>
          <w:szCs w:val="26"/>
          <w:lang w:val="en-GB"/>
        </w:rPr>
        <w:t xml:space="preserve">a </w:t>
      </w:r>
      <w:r w:rsidR="005045DB" w:rsidRPr="003B7DC7">
        <w:rPr>
          <w:color w:val="auto"/>
          <w:sz w:val="26"/>
          <w:szCs w:val="26"/>
          <w:lang w:val="en-GB"/>
        </w:rPr>
        <w:t>negative effect on attracting FI</w:t>
      </w:r>
      <w:r w:rsidR="004E5E41" w:rsidRPr="003B7DC7">
        <w:rPr>
          <w:color w:val="auto"/>
          <w:sz w:val="26"/>
          <w:szCs w:val="26"/>
          <w:lang w:val="en-GB"/>
        </w:rPr>
        <w:t>,</w:t>
      </w:r>
      <w:r w:rsidR="005045DB" w:rsidRPr="003B7DC7">
        <w:rPr>
          <w:color w:val="auto"/>
          <w:sz w:val="26"/>
          <w:szCs w:val="26"/>
          <w:lang w:val="en-GB"/>
        </w:rPr>
        <w:t xml:space="preserve"> </w:t>
      </w:r>
      <w:r w:rsidR="004E5E41" w:rsidRPr="003B7DC7">
        <w:rPr>
          <w:color w:val="auto"/>
          <w:sz w:val="26"/>
          <w:szCs w:val="26"/>
          <w:lang w:val="en-GB"/>
        </w:rPr>
        <w:t>making</w:t>
      </w:r>
      <w:r w:rsidR="005045DB" w:rsidRPr="003B7DC7">
        <w:rPr>
          <w:color w:val="auto"/>
          <w:sz w:val="26"/>
          <w:szCs w:val="26"/>
          <w:lang w:val="en-GB"/>
        </w:rPr>
        <w:t xml:space="preserve"> accounting information questionable. The </w:t>
      </w:r>
      <w:r w:rsidR="004E5E41" w:rsidRPr="003B7DC7">
        <w:rPr>
          <w:color w:val="auto"/>
          <w:sz w:val="26"/>
          <w:szCs w:val="26"/>
          <w:lang w:val="en-GB"/>
        </w:rPr>
        <w:t xml:space="preserve">surprising </w:t>
      </w:r>
      <w:r w:rsidR="005045DB" w:rsidRPr="003B7DC7">
        <w:rPr>
          <w:color w:val="auto"/>
          <w:sz w:val="26"/>
          <w:szCs w:val="26"/>
          <w:lang w:val="en-GB"/>
        </w:rPr>
        <w:t xml:space="preserve">result </w:t>
      </w:r>
      <w:r w:rsidR="00C950E1">
        <w:rPr>
          <w:color w:val="auto"/>
          <w:sz w:val="26"/>
          <w:szCs w:val="26"/>
          <w:lang w:val="en-GB"/>
        </w:rPr>
        <w:t>of</w:t>
      </w:r>
      <w:r w:rsidR="005045DB" w:rsidRPr="003B7DC7">
        <w:rPr>
          <w:color w:val="auto"/>
          <w:sz w:val="26"/>
          <w:szCs w:val="26"/>
          <w:lang w:val="en-GB"/>
        </w:rPr>
        <w:t xml:space="preserve"> Bahrain</w:t>
      </w:r>
      <w:r w:rsidR="00AF11E0">
        <w:rPr>
          <w:color w:val="auto"/>
          <w:sz w:val="26"/>
          <w:szCs w:val="26"/>
          <w:lang w:val="en-GB"/>
        </w:rPr>
        <w:t>,</w:t>
      </w:r>
      <w:r w:rsidR="005045DB" w:rsidRPr="003B7DC7">
        <w:rPr>
          <w:color w:val="auto"/>
          <w:sz w:val="26"/>
          <w:szCs w:val="26"/>
          <w:lang w:val="en-GB"/>
        </w:rPr>
        <w:t xml:space="preserve"> as the AQ</w:t>
      </w:r>
      <w:r w:rsidR="00AF11E0">
        <w:rPr>
          <w:color w:val="auto"/>
          <w:sz w:val="26"/>
          <w:szCs w:val="26"/>
          <w:lang w:val="en-GB"/>
        </w:rPr>
        <w:t>,</w:t>
      </w:r>
      <w:r w:rsidR="005045DB" w:rsidRPr="003B7DC7">
        <w:rPr>
          <w:color w:val="auto"/>
          <w:sz w:val="26"/>
          <w:szCs w:val="26"/>
          <w:lang w:val="en-GB"/>
        </w:rPr>
        <w:t xml:space="preserve"> is less than </w:t>
      </w:r>
      <w:r w:rsidR="004E5E41" w:rsidRPr="003B7DC7">
        <w:rPr>
          <w:color w:val="auto"/>
          <w:sz w:val="26"/>
          <w:szCs w:val="26"/>
          <w:lang w:val="en-GB"/>
        </w:rPr>
        <w:t xml:space="preserve">that in </w:t>
      </w:r>
      <w:r w:rsidR="005045DB" w:rsidRPr="003B7DC7">
        <w:rPr>
          <w:color w:val="auto"/>
          <w:sz w:val="26"/>
          <w:szCs w:val="26"/>
          <w:lang w:val="en-GB"/>
        </w:rPr>
        <w:t xml:space="preserve">other GCC </w:t>
      </w:r>
      <w:r w:rsidR="004E5E41" w:rsidRPr="003B7DC7">
        <w:rPr>
          <w:color w:val="auto"/>
          <w:sz w:val="26"/>
          <w:szCs w:val="26"/>
          <w:lang w:val="en-GB"/>
        </w:rPr>
        <w:t xml:space="preserve">countries, </w:t>
      </w:r>
      <w:r w:rsidR="005045DB" w:rsidRPr="003B7DC7">
        <w:rPr>
          <w:color w:val="auto"/>
          <w:sz w:val="26"/>
          <w:szCs w:val="26"/>
          <w:lang w:val="en-GB"/>
        </w:rPr>
        <w:t xml:space="preserve">but </w:t>
      </w:r>
      <w:r w:rsidR="00AF11E0">
        <w:rPr>
          <w:color w:val="auto"/>
          <w:sz w:val="26"/>
          <w:szCs w:val="26"/>
          <w:lang w:val="en-GB"/>
        </w:rPr>
        <w:t>it</w:t>
      </w:r>
      <w:r w:rsidR="005045DB" w:rsidRPr="003B7DC7">
        <w:rPr>
          <w:color w:val="auto"/>
          <w:sz w:val="26"/>
          <w:szCs w:val="26"/>
          <w:lang w:val="en-GB"/>
        </w:rPr>
        <w:t xml:space="preserve"> </w:t>
      </w:r>
      <w:r w:rsidR="004E5E41" w:rsidRPr="003B7DC7">
        <w:rPr>
          <w:color w:val="auto"/>
          <w:sz w:val="26"/>
          <w:szCs w:val="26"/>
          <w:lang w:val="en-GB"/>
        </w:rPr>
        <w:t xml:space="preserve">does not </w:t>
      </w:r>
      <w:r w:rsidR="00AF11E0">
        <w:rPr>
          <w:color w:val="auto"/>
          <w:sz w:val="26"/>
          <w:szCs w:val="26"/>
          <w:lang w:val="en-GB"/>
        </w:rPr>
        <w:t>affect attracting foreign investors owing to political issues in the country from</w:t>
      </w:r>
      <w:r w:rsidR="005045DB" w:rsidRPr="003B7DC7">
        <w:rPr>
          <w:color w:val="auto"/>
          <w:sz w:val="26"/>
          <w:szCs w:val="26"/>
          <w:lang w:val="en-GB"/>
        </w:rPr>
        <w:t xml:space="preserve"> 2011 onward</w:t>
      </w:r>
      <w:r w:rsidR="002265FB">
        <w:rPr>
          <w:color w:val="auto"/>
          <w:sz w:val="26"/>
          <w:szCs w:val="26"/>
          <w:lang w:val="en-GB"/>
        </w:rPr>
        <w:t xml:space="preserve"> (</w:t>
      </w:r>
      <w:proofErr w:type="spellStart"/>
      <w:r w:rsidR="002265FB">
        <w:t>Nuruzzaman</w:t>
      </w:r>
      <w:proofErr w:type="spellEnd"/>
      <w:r w:rsidR="002265FB">
        <w:t>, 2013)</w:t>
      </w:r>
      <w:r w:rsidR="005045DB" w:rsidRPr="003B7DC7">
        <w:rPr>
          <w:color w:val="auto"/>
          <w:sz w:val="26"/>
          <w:szCs w:val="26"/>
          <w:lang w:val="en-GB"/>
        </w:rPr>
        <w:t xml:space="preserve">. </w:t>
      </w:r>
      <w:r w:rsidR="005E6A6C" w:rsidRPr="003B7DC7">
        <w:rPr>
          <w:color w:val="auto"/>
          <w:sz w:val="26"/>
          <w:szCs w:val="26"/>
          <w:lang w:val="en-GB"/>
        </w:rPr>
        <w:lastRenderedPageBreak/>
        <w:t xml:space="preserve">GCC countries (except for Oman) have difficulties in converting the accruals into cash flows quickly and completely. </w:t>
      </w:r>
      <w:r w:rsidR="00D06765" w:rsidRPr="003B7DC7">
        <w:rPr>
          <w:color w:val="auto"/>
          <w:sz w:val="26"/>
          <w:szCs w:val="26"/>
          <w:lang w:val="en-GB"/>
        </w:rPr>
        <w:t xml:space="preserve">This is because EQ-AQ has </w:t>
      </w:r>
      <w:r w:rsidR="00847242">
        <w:rPr>
          <w:color w:val="auto"/>
          <w:sz w:val="26"/>
          <w:szCs w:val="26"/>
          <w:lang w:val="en-GB"/>
        </w:rPr>
        <w:t xml:space="preserve">a </w:t>
      </w:r>
      <w:r w:rsidR="00D06765" w:rsidRPr="003B7DC7">
        <w:rPr>
          <w:color w:val="auto"/>
          <w:sz w:val="26"/>
          <w:szCs w:val="26"/>
          <w:lang w:val="en-GB"/>
        </w:rPr>
        <w:t xml:space="preserve">significantly positive effect on attracting foreign investors only in Oman as the coefficient is 1.992 (p-value&lt;0.05), and the R2 of AQ explains 4.8% of </w:t>
      </w:r>
      <w:r w:rsidR="00847242">
        <w:rPr>
          <w:color w:val="auto"/>
          <w:sz w:val="26"/>
          <w:szCs w:val="26"/>
          <w:lang w:val="en-GB"/>
        </w:rPr>
        <w:t xml:space="preserve">the </w:t>
      </w:r>
      <w:r w:rsidR="00D06765" w:rsidRPr="003B7DC7">
        <w:rPr>
          <w:color w:val="auto"/>
          <w:sz w:val="26"/>
          <w:szCs w:val="26"/>
          <w:lang w:val="en-GB"/>
        </w:rPr>
        <w:t xml:space="preserve">variation of attracting foreign investors. </w:t>
      </w:r>
      <w:r w:rsidR="0088209F" w:rsidRPr="003B7DC7">
        <w:rPr>
          <w:color w:val="auto"/>
          <w:sz w:val="26"/>
          <w:szCs w:val="26"/>
          <w:lang w:val="en-GB"/>
        </w:rPr>
        <w:t xml:space="preserve">The results of AQ </w:t>
      </w:r>
      <w:r w:rsidR="00847242">
        <w:rPr>
          <w:color w:val="auto"/>
          <w:sz w:val="26"/>
          <w:szCs w:val="26"/>
          <w:lang w:val="en-GB"/>
        </w:rPr>
        <w:t>are</w:t>
      </w:r>
      <w:r w:rsidR="00847242" w:rsidRPr="003B7DC7">
        <w:rPr>
          <w:color w:val="auto"/>
          <w:sz w:val="26"/>
          <w:szCs w:val="26"/>
          <w:lang w:val="en-GB"/>
        </w:rPr>
        <w:t xml:space="preserve"> </w:t>
      </w:r>
      <w:r w:rsidR="0088209F" w:rsidRPr="003B7DC7">
        <w:rPr>
          <w:color w:val="auto"/>
          <w:sz w:val="26"/>
          <w:szCs w:val="26"/>
          <w:lang w:val="en-GB"/>
        </w:rPr>
        <w:t>not in line with</w:t>
      </w:r>
      <w:r w:rsidR="005E6A6C" w:rsidRPr="003B7DC7">
        <w:rPr>
          <w:color w:val="auto"/>
          <w:sz w:val="26"/>
          <w:szCs w:val="26"/>
          <w:lang w:val="en-GB"/>
        </w:rPr>
        <w:t xml:space="preserve"> Bloomfield et al.</w:t>
      </w:r>
      <w:r w:rsidR="00944F99" w:rsidRPr="003B7DC7">
        <w:rPr>
          <w:color w:val="auto"/>
          <w:sz w:val="26"/>
          <w:szCs w:val="26"/>
          <w:lang w:val="en-GB"/>
        </w:rPr>
        <w:t xml:space="preserve"> (</w:t>
      </w:r>
      <w:r w:rsidR="005E6A6C" w:rsidRPr="003B7DC7">
        <w:rPr>
          <w:color w:val="auto"/>
          <w:sz w:val="26"/>
          <w:szCs w:val="26"/>
          <w:lang w:val="en-GB"/>
        </w:rPr>
        <w:t>201</w:t>
      </w:r>
      <w:r w:rsidR="007A7F50">
        <w:rPr>
          <w:color w:val="auto"/>
          <w:sz w:val="26"/>
          <w:szCs w:val="26"/>
          <w:lang w:val="en-GB"/>
        </w:rPr>
        <w:t>5</w:t>
      </w:r>
      <w:r w:rsidR="005E6A6C" w:rsidRPr="003B7DC7">
        <w:rPr>
          <w:color w:val="auto"/>
          <w:sz w:val="26"/>
          <w:szCs w:val="26"/>
          <w:lang w:val="en-GB"/>
        </w:rPr>
        <w:t>)</w:t>
      </w:r>
      <w:r w:rsidR="00FC1E15" w:rsidRPr="003B7DC7">
        <w:rPr>
          <w:color w:val="auto"/>
          <w:sz w:val="26"/>
          <w:szCs w:val="26"/>
          <w:lang w:val="en-GB"/>
        </w:rPr>
        <w:t xml:space="preserve"> and </w:t>
      </w:r>
      <w:proofErr w:type="gramStart"/>
      <w:r w:rsidR="00FC1E15" w:rsidRPr="003B7DC7">
        <w:rPr>
          <w:color w:val="auto"/>
          <w:sz w:val="26"/>
          <w:szCs w:val="26"/>
          <w:lang w:val="en-GB"/>
        </w:rPr>
        <w:t>An</w:t>
      </w:r>
      <w:proofErr w:type="gramEnd"/>
      <w:r w:rsidR="00FC1E15" w:rsidRPr="003B7DC7">
        <w:rPr>
          <w:color w:val="auto"/>
          <w:sz w:val="26"/>
          <w:szCs w:val="26"/>
          <w:lang w:val="en-GB"/>
        </w:rPr>
        <w:t xml:space="preserve"> (2019)</w:t>
      </w:r>
      <w:r w:rsidR="005E6A6C" w:rsidRPr="003B7DC7">
        <w:rPr>
          <w:color w:val="auto"/>
          <w:sz w:val="26"/>
          <w:szCs w:val="26"/>
          <w:lang w:val="en-GB"/>
        </w:rPr>
        <w:t xml:space="preserve"> </w:t>
      </w:r>
      <w:r w:rsidR="00A41BCF" w:rsidRPr="003B7DC7">
        <w:rPr>
          <w:color w:val="auto"/>
          <w:sz w:val="26"/>
          <w:szCs w:val="26"/>
          <w:lang w:val="en-GB"/>
        </w:rPr>
        <w:t>wh</w:t>
      </w:r>
      <w:r w:rsidR="00847242">
        <w:rPr>
          <w:color w:val="auto"/>
          <w:sz w:val="26"/>
          <w:szCs w:val="26"/>
          <w:lang w:val="en-GB"/>
        </w:rPr>
        <w:t>ich</w:t>
      </w:r>
      <w:r w:rsidR="00A41BCF" w:rsidRPr="003B7DC7">
        <w:rPr>
          <w:color w:val="auto"/>
          <w:sz w:val="26"/>
          <w:szCs w:val="26"/>
          <w:lang w:val="en-GB"/>
        </w:rPr>
        <w:t xml:space="preserve"> found</w:t>
      </w:r>
      <w:r w:rsidR="005E6A6C" w:rsidRPr="003B7DC7">
        <w:rPr>
          <w:color w:val="auto"/>
          <w:sz w:val="26"/>
          <w:szCs w:val="26"/>
          <w:lang w:val="en-GB"/>
        </w:rPr>
        <w:t xml:space="preserve"> that good EQ is there when the accruals are more quickly and completely convert</w:t>
      </w:r>
      <w:r w:rsidR="004E5E41" w:rsidRPr="003B7DC7">
        <w:rPr>
          <w:color w:val="auto"/>
          <w:sz w:val="26"/>
          <w:szCs w:val="26"/>
          <w:lang w:val="en-GB"/>
        </w:rPr>
        <w:t>ed</w:t>
      </w:r>
      <w:r w:rsidR="005E6A6C" w:rsidRPr="003B7DC7">
        <w:rPr>
          <w:color w:val="auto"/>
          <w:sz w:val="26"/>
          <w:szCs w:val="26"/>
          <w:lang w:val="en-GB"/>
        </w:rPr>
        <w:t xml:space="preserve"> into cash flow.</w:t>
      </w:r>
      <w:r w:rsidR="00FC1E15" w:rsidRPr="003B7DC7">
        <w:rPr>
          <w:color w:val="auto"/>
          <w:sz w:val="26"/>
          <w:szCs w:val="26"/>
          <w:lang w:val="en-GB"/>
        </w:rPr>
        <w:t xml:space="preserve"> </w:t>
      </w:r>
      <w:r w:rsidR="005E6A6C" w:rsidRPr="003B7DC7">
        <w:rPr>
          <w:color w:val="auto"/>
          <w:sz w:val="26"/>
          <w:szCs w:val="26"/>
          <w:lang w:val="en-GB"/>
        </w:rPr>
        <w:t xml:space="preserve"> </w:t>
      </w:r>
    </w:p>
    <w:p w14:paraId="73CE9285" w14:textId="08324D44" w:rsidR="005E6A6C" w:rsidRPr="003B7DC7" w:rsidRDefault="005E6A6C" w:rsidP="00B730DC">
      <w:pPr>
        <w:pStyle w:val="Default"/>
        <w:snapToGrid w:val="0"/>
        <w:spacing w:line="360" w:lineRule="exact"/>
        <w:ind w:firstLine="510"/>
        <w:jc w:val="both"/>
        <w:rPr>
          <w:color w:val="auto"/>
          <w:sz w:val="26"/>
          <w:szCs w:val="26"/>
          <w:lang w:val="en-GB"/>
        </w:rPr>
      </w:pPr>
      <w:r w:rsidRPr="003B7DC7">
        <w:rPr>
          <w:color w:val="auto"/>
          <w:sz w:val="26"/>
          <w:szCs w:val="26"/>
          <w:lang w:val="en-GB"/>
        </w:rPr>
        <w:t xml:space="preserve">In terms of </w:t>
      </w:r>
      <w:r w:rsidR="001602EF" w:rsidRPr="003B7DC7">
        <w:rPr>
          <w:color w:val="auto"/>
          <w:sz w:val="26"/>
          <w:szCs w:val="26"/>
          <w:lang w:val="en-GB"/>
        </w:rPr>
        <w:t>ERC</w:t>
      </w:r>
      <w:r w:rsidR="00D052F7" w:rsidRPr="003B7DC7">
        <w:rPr>
          <w:color w:val="auto"/>
          <w:sz w:val="26"/>
          <w:szCs w:val="26"/>
          <w:lang w:val="en-GB"/>
        </w:rPr>
        <w:t xml:space="preserve">, EQ </w:t>
      </w:r>
      <w:r w:rsidR="004E5E41" w:rsidRPr="003B7DC7">
        <w:rPr>
          <w:color w:val="auto"/>
          <w:sz w:val="26"/>
          <w:szCs w:val="26"/>
          <w:lang w:val="en-GB"/>
        </w:rPr>
        <w:t xml:space="preserve">is </w:t>
      </w:r>
      <w:r w:rsidR="00D052F7" w:rsidRPr="003B7DC7">
        <w:rPr>
          <w:color w:val="auto"/>
          <w:sz w:val="26"/>
          <w:szCs w:val="26"/>
          <w:lang w:val="en-GB"/>
        </w:rPr>
        <w:t>very low in all GCC countries</w:t>
      </w:r>
      <w:r w:rsidR="004E5E41" w:rsidRPr="003B7DC7">
        <w:rPr>
          <w:color w:val="auto"/>
          <w:sz w:val="26"/>
          <w:szCs w:val="26"/>
          <w:lang w:val="en-GB"/>
        </w:rPr>
        <w:t>,</w:t>
      </w:r>
      <w:r w:rsidR="00D052F7" w:rsidRPr="003B7DC7">
        <w:rPr>
          <w:color w:val="auto"/>
          <w:sz w:val="26"/>
          <w:szCs w:val="26"/>
          <w:lang w:val="en-GB"/>
        </w:rPr>
        <w:t xml:space="preserve"> indicating that the informativeness of financial reporting is a matter of concern </w:t>
      </w:r>
      <w:r w:rsidR="00994DFE" w:rsidRPr="003B7DC7">
        <w:rPr>
          <w:color w:val="auto"/>
          <w:sz w:val="26"/>
          <w:szCs w:val="26"/>
          <w:lang w:val="en-GB"/>
        </w:rPr>
        <w:t xml:space="preserve">as </w:t>
      </w:r>
      <w:r w:rsidR="00D052F7" w:rsidRPr="003B7DC7">
        <w:rPr>
          <w:color w:val="auto"/>
          <w:sz w:val="26"/>
          <w:szCs w:val="26"/>
          <w:lang w:val="en-GB"/>
        </w:rPr>
        <w:t xml:space="preserve">the </w:t>
      </w:r>
      <w:r w:rsidR="007875AD">
        <w:rPr>
          <w:color w:val="auto"/>
          <w:sz w:val="26"/>
          <w:szCs w:val="26"/>
          <w:lang w:val="en-GB"/>
        </w:rPr>
        <w:t>market's reaction</w:t>
      </w:r>
      <w:r w:rsidR="00D052F7" w:rsidRPr="003B7DC7">
        <w:rPr>
          <w:color w:val="auto"/>
          <w:sz w:val="26"/>
          <w:szCs w:val="26"/>
          <w:lang w:val="en-GB"/>
        </w:rPr>
        <w:t xml:space="preserve"> to the accounting information is low. </w:t>
      </w:r>
      <w:r w:rsidR="00994DFE" w:rsidRPr="003B7DC7">
        <w:rPr>
          <w:color w:val="auto"/>
          <w:sz w:val="26"/>
          <w:szCs w:val="26"/>
          <w:lang w:val="en-GB"/>
        </w:rPr>
        <w:t xml:space="preserve">However, </w:t>
      </w:r>
      <w:r w:rsidR="00D052F7" w:rsidRPr="003B7DC7">
        <w:rPr>
          <w:color w:val="auto"/>
          <w:sz w:val="26"/>
          <w:szCs w:val="26"/>
          <w:lang w:val="en-GB"/>
        </w:rPr>
        <w:t xml:space="preserve">ERC in Oman and Kuwait has </w:t>
      </w:r>
      <w:r w:rsidR="007875AD">
        <w:rPr>
          <w:color w:val="auto"/>
          <w:sz w:val="26"/>
          <w:szCs w:val="26"/>
          <w:lang w:val="en-GB"/>
        </w:rPr>
        <w:t xml:space="preserve">a </w:t>
      </w:r>
      <w:r w:rsidR="00D052F7" w:rsidRPr="003B7DC7">
        <w:rPr>
          <w:color w:val="auto"/>
          <w:sz w:val="26"/>
          <w:szCs w:val="26"/>
          <w:lang w:val="en-GB"/>
        </w:rPr>
        <w:t>positive association</w:t>
      </w:r>
      <w:r w:rsidR="00E73AC1" w:rsidRPr="003B7DC7">
        <w:rPr>
          <w:color w:val="auto"/>
          <w:sz w:val="26"/>
          <w:szCs w:val="26"/>
          <w:lang w:val="en-GB"/>
        </w:rPr>
        <w:t xml:space="preserve"> with foreign investors</w:t>
      </w:r>
      <w:r w:rsidR="007875AD">
        <w:rPr>
          <w:color w:val="auto"/>
          <w:sz w:val="26"/>
          <w:szCs w:val="26"/>
          <w:lang w:val="en-GB"/>
        </w:rPr>
        <w:t>,</w:t>
      </w:r>
      <w:r w:rsidR="00E73AC1" w:rsidRPr="003B7DC7">
        <w:rPr>
          <w:color w:val="auto"/>
          <w:sz w:val="26"/>
          <w:szCs w:val="26"/>
          <w:lang w:val="en-GB"/>
        </w:rPr>
        <w:t xml:space="preserve"> which means that the foreign investors use the accounting information to predict the v</w:t>
      </w:r>
      <w:r w:rsidR="00994DFE" w:rsidRPr="003B7DC7">
        <w:rPr>
          <w:color w:val="auto"/>
          <w:sz w:val="26"/>
          <w:szCs w:val="26"/>
          <w:lang w:val="en-GB"/>
        </w:rPr>
        <w:t xml:space="preserve">ariations in share price as these variations are associated </w:t>
      </w:r>
      <w:r w:rsidR="007875AD">
        <w:rPr>
          <w:color w:val="auto"/>
          <w:sz w:val="26"/>
          <w:szCs w:val="26"/>
          <w:lang w:val="en-GB"/>
        </w:rPr>
        <w:t>with</w:t>
      </w:r>
      <w:r w:rsidR="007875AD" w:rsidRPr="003B7DC7">
        <w:rPr>
          <w:color w:val="auto"/>
          <w:sz w:val="26"/>
          <w:szCs w:val="26"/>
          <w:lang w:val="en-GB"/>
        </w:rPr>
        <w:t xml:space="preserve"> </w:t>
      </w:r>
      <w:r w:rsidR="00994DFE" w:rsidRPr="003B7DC7">
        <w:rPr>
          <w:color w:val="auto"/>
          <w:sz w:val="26"/>
          <w:szCs w:val="26"/>
          <w:lang w:val="en-GB"/>
        </w:rPr>
        <w:t xml:space="preserve">the earnings announcements. </w:t>
      </w:r>
      <w:r w:rsidR="004E5E41" w:rsidRPr="003B7DC7">
        <w:rPr>
          <w:color w:val="auto"/>
          <w:sz w:val="26"/>
          <w:szCs w:val="26"/>
          <w:lang w:val="en-GB"/>
        </w:rPr>
        <w:t>In addition,</w:t>
      </w:r>
      <w:r w:rsidR="00994DFE" w:rsidRPr="003B7DC7">
        <w:rPr>
          <w:color w:val="auto"/>
          <w:sz w:val="26"/>
          <w:szCs w:val="26"/>
          <w:lang w:val="en-GB"/>
        </w:rPr>
        <w:t xml:space="preserve"> foreign investors predict to achieve more profits in Oman and Kuwait as </w:t>
      </w:r>
      <w:r w:rsidR="004E5E41" w:rsidRPr="003B7DC7">
        <w:rPr>
          <w:color w:val="auto"/>
          <w:sz w:val="26"/>
          <w:szCs w:val="26"/>
          <w:lang w:val="en-GB"/>
        </w:rPr>
        <w:t xml:space="preserve">these </w:t>
      </w:r>
      <w:r w:rsidR="00994DFE" w:rsidRPr="003B7DC7">
        <w:rPr>
          <w:color w:val="auto"/>
          <w:sz w:val="26"/>
          <w:szCs w:val="26"/>
          <w:lang w:val="en-GB"/>
        </w:rPr>
        <w:t>countries are neutral against the GCC political crisis in 2017</w:t>
      </w:r>
      <w:r w:rsidR="004673C6">
        <w:rPr>
          <w:color w:val="auto"/>
          <w:sz w:val="26"/>
          <w:szCs w:val="26"/>
          <w:lang w:val="en-GB"/>
        </w:rPr>
        <w:t xml:space="preserve"> (</w:t>
      </w:r>
      <w:r w:rsidR="004673C6" w:rsidRPr="004673C6">
        <w:rPr>
          <w:sz w:val="26"/>
          <w:szCs w:val="26"/>
        </w:rPr>
        <w:t>Pradhan</w:t>
      </w:r>
      <w:r w:rsidR="004673C6">
        <w:rPr>
          <w:sz w:val="26"/>
          <w:szCs w:val="26"/>
        </w:rPr>
        <w:t>, 2017)</w:t>
      </w:r>
      <w:r w:rsidR="00994DFE" w:rsidRPr="003B7DC7">
        <w:rPr>
          <w:color w:val="auto"/>
          <w:sz w:val="26"/>
          <w:szCs w:val="26"/>
          <w:lang w:val="en-GB"/>
        </w:rPr>
        <w:t xml:space="preserve">. </w:t>
      </w:r>
      <w:r w:rsidR="004F7B05" w:rsidRPr="003B7DC7">
        <w:rPr>
          <w:color w:val="auto"/>
          <w:sz w:val="26"/>
          <w:szCs w:val="26"/>
          <w:lang w:val="en-GB"/>
        </w:rPr>
        <w:t xml:space="preserve">In relation to another value relevance measure, EQ of Kuwaiti firms </w:t>
      </w:r>
      <w:r w:rsidR="007875AD">
        <w:rPr>
          <w:color w:val="auto"/>
          <w:sz w:val="26"/>
          <w:szCs w:val="26"/>
          <w:lang w:val="en-GB"/>
        </w:rPr>
        <w:t>is</w:t>
      </w:r>
      <w:r w:rsidR="007875AD" w:rsidRPr="003B7DC7">
        <w:rPr>
          <w:color w:val="auto"/>
          <w:sz w:val="26"/>
          <w:szCs w:val="26"/>
          <w:lang w:val="en-GB"/>
        </w:rPr>
        <w:t xml:space="preserve"> </w:t>
      </w:r>
      <w:r w:rsidR="004F7B05" w:rsidRPr="003B7DC7">
        <w:rPr>
          <w:color w:val="auto"/>
          <w:sz w:val="26"/>
          <w:szCs w:val="26"/>
          <w:lang w:val="en-GB"/>
        </w:rPr>
        <w:t xml:space="preserve">matched with </w:t>
      </w:r>
      <w:r w:rsidR="0062368F" w:rsidRPr="003B7DC7">
        <w:rPr>
          <w:color w:val="auto"/>
          <w:sz w:val="26"/>
          <w:szCs w:val="26"/>
          <w:lang w:val="en-GB"/>
        </w:rPr>
        <w:t>R</w:t>
      </w:r>
      <w:r w:rsidR="0062368F" w:rsidRPr="00325179">
        <w:rPr>
          <w:color w:val="auto"/>
          <w:sz w:val="26"/>
          <w:szCs w:val="26"/>
          <w:vertAlign w:val="superscript"/>
          <w:lang w:val="en-GB"/>
        </w:rPr>
        <w:t>2</w:t>
      </w:r>
      <w:r w:rsidR="004F7B05" w:rsidRPr="003B7DC7">
        <w:rPr>
          <w:color w:val="auto"/>
          <w:sz w:val="26"/>
          <w:szCs w:val="26"/>
          <w:lang w:val="en-GB"/>
        </w:rPr>
        <w:t xml:space="preserve"> </w:t>
      </w:r>
      <w:r w:rsidR="0062368F" w:rsidRPr="003B7DC7">
        <w:rPr>
          <w:color w:val="auto"/>
          <w:sz w:val="26"/>
          <w:szCs w:val="26"/>
          <w:lang w:val="en-GB"/>
        </w:rPr>
        <w:t xml:space="preserve">as a value relevance measure </w:t>
      </w:r>
      <w:r w:rsidR="004F7B05" w:rsidRPr="003B7DC7">
        <w:rPr>
          <w:color w:val="auto"/>
          <w:sz w:val="26"/>
          <w:szCs w:val="26"/>
          <w:lang w:val="en-GB"/>
        </w:rPr>
        <w:t xml:space="preserve">which means that </w:t>
      </w:r>
      <w:r w:rsidR="004E5E41" w:rsidRPr="003B7DC7">
        <w:rPr>
          <w:color w:val="auto"/>
          <w:sz w:val="26"/>
          <w:szCs w:val="26"/>
          <w:lang w:val="en-GB"/>
        </w:rPr>
        <w:t>foreign investors</w:t>
      </w:r>
      <w:r w:rsidR="005506C1" w:rsidRPr="003B7DC7">
        <w:rPr>
          <w:color w:val="auto"/>
          <w:sz w:val="26"/>
          <w:szCs w:val="26"/>
          <w:lang w:val="en-GB"/>
        </w:rPr>
        <w:t xml:space="preserve"> </w:t>
      </w:r>
      <w:r w:rsidR="004F7B05" w:rsidRPr="003B7DC7">
        <w:rPr>
          <w:color w:val="auto"/>
          <w:sz w:val="26"/>
          <w:szCs w:val="26"/>
          <w:lang w:val="en-GB"/>
        </w:rPr>
        <w:t xml:space="preserve">can use the book value and EPS to predict the share price. </w:t>
      </w:r>
      <w:r w:rsidR="0062368F" w:rsidRPr="003B7DC7">
        <w:rPr>
          <w:color w:val="auto"/>
          <w:sz w:val="26"/>
          <w:szCs w:val="26"/>
          <w:lang w:val="en-GB"/>
        </w:rPr>
        <w:t xml:space="preserve">This result is consistent with </w:t>
      </w:r>
      <w:proofErr w:type="gramStart"/>
      <w:r w:rsidR="007875AD">
        <w:rPr>
          <w:color w:val="auto"/>
          <w:sz w:val="26"/>
          <w:szCs w:val="26"/>
          <w:lang w:val="en-GB"/>
        </w:rPr>
        <w:t>An</w:t>
      </w:r>
      <w:proofErr w:type="gramEnd"/>
      <w:r w:rsidR="007875AD">
        <w:rPr>
          <w:color w:val="auto"/>
          <w:sz w:val="26"/>
          <w:szCs w:val="26"/>
          <w:lang w:val="en-GB"/>
        </w:rPr>
        <w:t xml:space="preserve"> (2019) finding,</w:t>
      </w:r>
      <w:r w:rsidR="0062368F" w:rsidRPr="003B7DC7">
        <w:rPr>
          <w:color w:val="auto"/>
          <w:sz w:val="26"/>
          <w:szCs w:val="26"/>
          <w:lang w:val="en-GB"/>
        </w:rPr>
        <w:t xml:space="preserve"> wh</w:t>
      </w:r>
      <w:r w:rsidR="007875AD">
        <w:rPr>
          <w:color w:val="auto"/>
          <w:sz w:val="26"/>
          <w:szCs w:val="26"/>
          <w:lang w:val="en-GB"/>
        </w:rPr>
        <w:t>ich</w:t>
      </w:r>
      <w:r w:rsidR="0062368F" w:rsidRPr="003B7DC7">
        <w:rPr>
          <w:color w:val="auto"/>
          <w:sz w:val="26"/>
          <w:szCs w:val="26"/>
          <w:lang w:val="en-GB"/>
        </w:rPr>
        <w:t xml:space="preserve"> find</w:t>
      </w:r>
      <w:r w:rsidR="007875AD">
        <w:rPr>
          <w:color w:val="auto"/>
          <w:sz w:val="26"/>
          <w:szCs w:val="26"/>
          <w:lang w:val="en-GB"/>
        </w:rPr>
        <w:t>s</w:t>
      </w:r>
      <w:r w:rsidR="0062368F" w:rsidRPr="003B7DC7">
        <w:rPr>
          <w:color w:val="auto"/>
          <w:sz w:val="26"/>
          <w:szCs w:val="26"/>
          <w:lang w:val="en-GB"/>
        </w:rPr>
        <w:t xml:space="preserve"> a positive relationship between value relevance and FI. </w:t>
      </w:r>
      <w:r w:rsidR="004F7B05" w:rsidRPr="003B7DC7">
        <w:rPr>
          <w:color w:val="auto"/>
          <w:sz w:val="26"/>
          <w:szCs w:val="26"/>
          <w:lang w:val="en-GB"/>
        </w:rPr>
        <w:t xml:space="preserve">This result is supported by </w:t>
      </w:r>
      <w:proofErr w:type="spellStart"/>
      <w:r w:rsidR="004F7B05" w:rsidRPr="003B7DC7">
        <w:rPr>
          <w:color w:val="auto"/>
          <w:sz w:val="26"/>
          <w:szCs w:val="26"/>
          <w:lang w:val="en-GB"/>
        </w:rPr>
        <w:t>Alfraih</w:t>
      </w:r>
      <w:proofErr w:type="spellEnd"/>
      <w:r w:rsidR="004F7B05" w:rsidRPr="003B7DC7">
        <w:rPr>
          <w:color w:val="auto"/>
          <w:sz w:val="26"/>
          <w:szCs w:val="26"/>
          <w:lang w:val="en-GB"/>
        </w:rPr>
        <w:t xml:space="preserve"> </w:t>
      </w:r>
      <w:r w:rsidR="00523653">
        <w:rPr>
          <w:color w:val="auto"/>
          <w:sz w:val="26"/>
          <w:szCs w:val="26"/>
          <w:lang w:val="en-GB"/>
        </w:rPr>
        <w:t>and</w:t>
      </w:r>
      <w:r w:rsidR="004F7B05" w:rsidRPr="003B7DC7">
        <w:rPr>
          <w:color w:val="auto"/>
          <w:sz w:val="26"/>
          <w:szCs w:val="26"/>
          <w:lang w:val="en-GB"/>
        </w:rPr>
        <w:t xml:space="preserve"> </w:t>
      </w:r>
      <w:proofErr w:type="spellStart"/>
      <w:r w:rsidR="004F7B05" w:rsidRPr="003B7DC7">
        <w:rPr>
          <w:color w:val="auto"/>
          <w:sz w:val="26"/>
          <w:szCs w:val="26"/>
          <w:lang w:val="en-GB"/>
        </w:rPr>
        <w:t>Alanezi</w:t>
      </w:r>
      <w:proofErr w:type="spellEnd"/>
      <w:r w:rsidR="00944F99" w:rsidRPr="003B7DC7">
        <w:rPr>
          <w:color w:val="auto"/>
          <w:sz w:val="26"/>
          <w:szCs w:val="26"/>
          <w:lang w:val="en-GB"/>
        </w:rPr>
        <w:t xml:space="preserve"> (</w:t>
      </w:r>
      <w:r w:rsidR="004F7B05" w:rsidRPr="003B7DC7">
        <w:rPr>
          <w:color w:val="auto"/>
          <w:sz w:val="26"/>
          <w:szCs w:val="26"/>
          <w:lang w:val="en-GB"/>
        </w:rPr>
        <w:t xml:space="preserve">2015) </w:t>
      </w:r>
      <w:r w:rsidR="00A41BCF" w:rsidRPr="003B7DC7">
        <w:rPr>
          <w:color w:val="auto"/>
          <w:sz w:val="26"/>
          <w:szCs w:val="26"/>
          <w:lang w:val="en-GB"/>
        </w:rPr>
        <w:t>wh</w:t>
      </w:r>
      <w:r w:rsidR="007875AD">
        <w:rPr>
          <w:color w:val="auto"/>
          <w:sz w:val="26"/>
          <w:szCs w:val="26"/>
          <w:lang w:val="en-GB"/>
        </w:rPr>
        <w:t>ich</w:t>
      </w:r>
      <w:r w:rsidR="00A41BCF" w:rsidRPr="003B7DC7">
        <w:rPr>
          <w:color w:val="auto"/>
          <w:sz w:val="26"/>
          <w:szCs w:val="26"/>
          <w:lang w:val="en-GB"/>
        </w:rPr>
        <w:t xml:space="preserve"> found</w:t>
      </w:r>
      <w:r w:rsidR="004F7B05" w:rsidRPr="003B7DC7">
        <w:rPr>
          <w:color w:val="auto"/>
          <w:sz w:val="26"/>
          <w:szCs w:val="26"/>
          <w:lang w:val="en-GB"/>
        </w:rPr>
        <w:t xml:space="preserve"> </w:t>
      </w:r>
      <w:r w:rsidR="007875AD">
        <w:rPr>
          <w:color w:val="auto"/>
          <w:sz w:val="26"/>
          <w:szCs w:val="26"/>
          <w:lang w:val="en-GB"/>
        </w:rPr>
        <w:t xml:space="preserve">that </w:t>
      </w:r>
      <w:r w:rsidR="004F7B05" w:rsidRPr="003B7DC7">
        <w:rPr>
          <w:color w:val="auto"/>
          <w:sz w:val="26"/>
          <w:szCs w:val="26"/>
          <w:lang w:val="en-GB"/>
        </w:rPr>
        <w:t>the financial reporting of non</w:t>
      </w:r>
      <w:r w:rsidR="006460A7" w:rsidRPr="003B7DC7">
        <w:rPr>
          <w:color w:val="auto"/>
          <w:sz w:val="26"/>
          <w:szCs w:val="26"/>
          <w:lang w:val="en-GB"/>
        </w:rPr>
        <w:t>-</w:t>
      </w:r>
      <w:r w:rsidR="004F7B05" w:rsidRPr="003B7DC7">
        <w:rPr>
          <w:color w:val="auto"/>
          <w:sz w:val="26"/>
          <w:szCs w:val="26"/>
          <w:lang w:val="en-GB"/>
        </w:rPr>
        <w:t>financial Kuwaiti firm</w:t>
      </w:r>
      <w:r w:rsidR="006460A7" w:rsidRPr="003B7DC7">
        <w:rPr>
          <w:color w:val="auto"/>
          <w:sz w:val="26"/>
          <w:szCs w:val="26"/>
          <w:lang w:val="en-GB"/>
        </w:rPr>
        <w:t>s</w:t>
      </w:r>
      <w:r w:rsidR="004F7B05" w:rsidRPr="003B7DC7">
        <w:rPr>
          <w:color w:val="auto"/>
          <w:sz w:val="26"/>
          <w:szCs w:val="26"/>
          <w:lang w:val="en-GB"/>
        </w:rPr>
        <w:t xml:space="preserve"> </w:t>
      </w:r>
      <w:r w:rsidR="007875AD">
        <w:rPr>
          <w:color w:val="auto"/>
          <w:sz w:val="26"/>
          <w:szCs w:val="26"/>
          <w:lang w:val="en-GB"/>
        </w:rPr>
        <w:t>is</w:t>
      </w:r>
      <w:r w:rsidR="007875AD" w:rsidRPr="003B7DC7">
        <w:rPr>
          <w:color w:val="auto"/>
          <w:sz w:val="26"/>
          <w:szCs w:val="26"/>
          <w:lang w:val="en-GB"/>
        </w:rPr>
        <w:t xml:space="preserve"> </w:t>
      </w:r>
      <w:r w:rsidR="004F7B05" w:rsidRPr="003B7DC7">
        <w:rPr>
          <w:color w:val="auto"/>
          <w:sz w:val="26"/>
          <w:szCs w:val="26"/>
          <w:lang w:val="en-GB"/>
        </w:rPr>
        <w:t xml:space="preserve">associated positively with investors. </w:t>
      </w:r>
      <w:r w:rsidR="004E5E41" w:rsidRPr="003B7DC7">
        <w:rPr>
          <w:color w:val="auto"/>
          <w:sz w:val="26"/>
          <w:szCs w:val="26"/>
          <w:lang w:val="en-GB"/>
        </w:rPr>
        <w:t>T</w:t>
      </w:r>
      <w:r w:rsidR="00737F5C" w:rsidRPr="003B7DC7">
        <w:rPr>
          <w:color w:val="auto"/>
          <w:sz w:val="26"/>
          <w:szCs w:val="26"/>
          <w:lang w:val="en-GB"/>
        </w:rPr>
        <w:t xml:space="preserve">his result is </w:t>
      </w:r>
      <w:r w:rsidR="004E5E41" w:rsidRPr="003B7DC7">
        <w:rPr>
          <w:color w:val="auto"/>
          <w:sz w:val="26"/>
          <w:szCs w:val="26"/>
          <w:lang w:val="en-GB"/>
        </w:rPr>
        <w:t xml:space="preserve">also </w:t>
      </w:r>
      <w:r w:rsidR="00737F5C" w:rsidRPr="003B7DC7">
        <w:rPr>
          <w:color w:val="auto"/>
          <w:sz w:val="26"/>
          <w:szCs w:val="26"/>
          <w:lang w:val="en-GB"/>
        </w:rPr>
        <w:t xml:space="preserve">supported by Kumar </w:t>
      </w:r>
      <w:r w:rsidR="00523653">
        <w:rPr>
          <w:color w:val="auto"/>
          <w:sz w:val="26"/>
          <w:szCs w:val="26"/>
          <w:lang w:val="en-GB"/>
        </w:rPr>
        <w:t>and</w:t>
      </w:r>
      <w:r w:rsidR="00737F5C" w:rsidRPr="003B7DC7">
        <w:rPr>
          <w:color w:val="auto"/>
          <w:sz w:val="26"/>
          <w:szCs w:val="26"/>
          <w:lang w:val="en-GB"/>
        </w:rPr>
        <w:t xml:space="preserve"> Singh (2013) </w:t>
      </w:r>
      <w:r w:rsidR="007875AD">
        <w:rPr>
          <w:color w:val="auto"/>
          <w:sz w:val="26"/>
          <w:szCs w:val="26"/>
          <w:lang w:val="en-GB"/>
        </w:rPr>
        <w:t>which</w:t>
      </w:r>
      <w:r w:rsidR="00A41BCF" w:rsidRPr="003B7DC7">
        <w:rPr>
          <w:color w:val="auto"/>
          <w:sz w:val="26"/>
          <w:szCs w:val="26"/>
          <w:lang w:val="en-GB"/>
        </w:rPr>
        <w:t xml:space="preserve"> found</w:t>
      </w:r>
      <w:r w:rsidR="00737F5C" w:rsidRPr="003B7DC7">
        <w:rPr>
          <w:color w:val="auto"/>
          <w:sz w:val="26"/>
          <w:szCs w:val="26"/>
          <w:lang w:val="en-GB"/>
        </w:rPr>
        <w:t xml:space="preserve"> that the investors in </w:t>
      </w:r>
      <w:r w:rsidR="007875AD">
        <w:rPr>
          <w:color w:val="auto"/>
          <w:sz w:val="26"/>
          <w:szCs w:val="26"/>
          <w:lang w:val="en-GB"/>
        </w:rPr>
        <w:t xml:space="preserve">the </w:t>
      </w:r>
      <w:r w:rsidR="00737F5C" w:rsidRPr="003B7DC7">
        <w:rPr>
          <w:color w:val="auto"/>
          <w:sz w:val="26"/>
          <w:szCs w:val="26"/>
          <w:lang w:val="en-GB"/>
        </w:rPr>
        <w:t>Omani capital market can achieve abnormal return</w:t>
      </w:r>
      <w:r w:rsidR="007875AD">
        <w:rPr>
          <w:color w:val="auto"/>
          <w:sz w:val="26"/>
          <w:szCs w:val="26"/>
          <w:lang w:val="en-GB"/>
        </w:rPr>
        <w:t>s</w:t>
      </w:r>
      <w:r w:rsidR="00737F5C" w:rsidRPr="003B7DC7">
        <w:rPr>
          <w:color w:val="auto"/>
          <w:sz w:val="26"/>
          <w:szCs w:val="26"/>
          <w:lang w:val="en-GB"/>
        </w:rPr>
        <w:t xml:space="preserve"> using the accounting information. </w:t>
      </w:r>
      <w:r w:rsidR="004F7B05" w:rsidRPr="003B7DC7">
        <w:rPr>
          <w:color w:val="auto"/>
          <w:sz w:val="26"/>
          <w:szCs w:val="26"/>
          <w:lang w:val="en-GB"/>
        </w:rPr>
        <w:t xml:space="preserve">In KSA, both measures of value relevance have </w:t>
      </w:r>
      <w:r w:rsidR="007875AD">
        <w:rPr>
          <w:color w:val="auto"/>
          <w:sz w:val="26"/>
          <w:szCs w:val="26"/>
          <w:lang w:val="en-GB"/>
        </w:rPr>
        <w:t xml:space="preserve">a </w:t>
      </w:r>
      <w:r w:rsidR="004F7B05" w:rsidRPr="003B7DC7">
        <w:rPr>
          <w:color w:val="auto"/>
          <w:sz w:val="26"/>
          <w:szCs w:val="26"/>
          <w:lang w:val="en-GB"/>
        </w:rPr>
        <w:t>negative association with</w:t>
      </w:r>
      <w:r w:rsidR="008F6109" w:rsidRPr="003B7DC7">
        <w:rPr>
          <w:color w:val="auto"/>
          <w:sz w:val="26"/>
          <w:szCs w:val="26"/>
          <w:lang w:val="en-GB"/>
        </w:rPr>
        <w:t xml:space="preserve"> foreign investors</w:t>
      </w:r>
      <w:r w:rsidR="004E5E41" w:rsidRPr="003B7DC7">
        <w:rPr>
          <w:color w:val="auto"/>
          <w:sz w:val="26"/>
          <w:szCs w:val="26"/>
          <w:lang w:val="en-GB"/>
        </w:rPr>
        <w:t>,</w:t>
      </w:r>
      <w:r w:rsidR="008F6109" w:rsidRPr="003B7DC7">
        <w:rPr>
          <w:color w:val="auto"/>
          <w:sz w:val="26"/>
          <w:szCs w:val="26"/>
          <w:lang w:val="en-GB"/>
        </w:rPr>
        <w:t xml:space="preserve"> indicating</w:t>
      </w:r>
      <w:r w:rsidR="004F7B05" w:rsidRPr="003B7DC7">
        <w:rPr>
          <w:color w:val="auto"/>
          <w:sz w:val="26"/>
          <w:szCs w:val="26"/>
          <w:lang w:val="en-GB"/>
        </w:rPr>
        <w:t xml:space="preserve"> a weak market reaction to financial reporting and the relationship between</w:t>
      </w:r>
      <w:r w:rsidR="008F6109" w:rsidRPr="003B7DC7">
        <w:rPr>
          <w:color w:val="auto"/>
          <w:sz w:val="26"/>
          <w:szCs w:val="26"/>
          <w:lang w:val="en-GB"/>
        </w:rPr>
        <w:t xml:space="preserve"> book value, EPS</w:t>
      </w:r>
      <w:r w:rsidR="007875AD">
        <w:rPr>
          <w:color w:val="auto"/>
          <w:sz w:val="26"/>
          <w:szCs w:val="26"/>
          <w:lang w:val="en-GB"/>
        </w:rPr>
        <w:t>,</w:t>
      </w:r>
      <w:r w:rsidR="008F6109" w:rsidRPr="003B7DC7">
        <w:rPr>
          <w:color w:val="auto"/>
          <w:sz w:val="26"/>
          <w:szCs w:val="26"/>
          <w:lang w:val="en-GB"/>
        </w:rPr>
        <w:t xml:space="preserve"> and share price. The result of EQ in KSA is supported by </w:t>
      </w:r>
      <w:proofErr w:type="spellStart"/>
      <w:r w:rsidR="008F6109" w:rsidRPr="003B7DC7">
        <w:rPr>
          <w:color w:val="auto"/>
          <w:sz w:val="26"/>
          <w:szCs w:val="26"/>
          <w:lang w:val="en-GB"/>
        </w:rPr>
        <w:t>Asiri</w:t>
      </w:r>
      <w:proofErr w:type="spellEnd"/>
      <w:r w:rsidR="008F6109" w:rsidRPr="003B7DC7">
        <w:rPr>
          <w:color w:val="auto"/>
          <w:sz w:val="26"/>
          <w:szCs w:val="26"/>
          <w:lang w:val="en-GB"/>
        </w:rPr>
        <w:t xml:space="preserve"> </w:t>
      </w:r>
      <w:r w:rsidR="00523653">
        <w:rPr>
          <w:color w:val="auto"/>
          <w:sz w:val="26"/>
          <w:szCs w:val="26"/>
          <w:lang w:val="en-GB"/>
        </w:rPr>
        <w:t>and</w:t>
      </w:r>
      <w:r w:rsidR="008F6109" w:rsidRPr="003B7DC7">
        <w:rPr>
          <w:color w:val="auto"/>
          <w:sz w:val="26"/>
          <w:szCs w:val="26"/>
          <w:lang w:val="en-GB"/>
        </w:rPr>
        <w:t xml:space="preserve"> </w:t>
      </w:r>
      <w:proofErr w:type="spellStart"/>
      <w:r w:rsidR="008F6109" w:rsidRPr="003B7DC7">
        <w:rPr>
          <w:color w:val="auto"/>
          <w:sz w:val="26"/>
          <w:szCs w:val="26"/>
          <w:lang w:val="en-GB"/>
        </w:rPr>
        <w:t>Alzeera</w:t>
      </w:r>
      <w:proofErr w:type="spellEnd"/>
      <w:r w:rsidR="004F7B05" w:rsidRPr="003B7DC7">
        <w:rPr>
          <w:color w:val="auto"/>
          <w:sz w:val="26"/>
          <w:szCs w:val="26"/>
          <w:lang w:val="en-GB"/>
        </w:rPr>
        <w:t xml:space="preserve"> </w:t>
      </w:r>
      <w:r w:rsidR="00645D53" w:rsidRPr="003B7DC7">
        <w:rPr>
          <w:color w:val="auto"/>
          <w:sz w:val="26"/>
          <w:szCs w:val="26"/>
          <w:lang w:val="en-GB"/>
        </w:rPr>
        <w:t xml:space="preserve">(2013) </w:t>
      </w:r>
      <w:r w:rsidR="007875AD">
        <w:rPr>
          <w:color w:val="auto"/>
          <w:sz w:val="26"/>
          <w:szCs w:val="26"/>
          <w:lang w:val="en-GB"/>
        </w:rPr>
        <w:t>which</w:t>
      </w:r>
      <w:r w:rsidR="00A41BCF" w:rsidRPr="003B7DC7">
        <w:rPr>
          <w:color w:val="auto"/>
          <w:sz w:val="26"/>
          <w:szCs w:val="26"/>
          <w:lang w:val="en-GB"/>
        </w:rPr>
        <w:t xml:space="preserve"> found</w:t>
      </w:r>
      <w:r w:rsidR="008F6109" w:rsidRPr="003B7DC7">
        <w:rPr>
          <w:color w:val="auto"/>
          <w:sz w:val="26"/>
          <w:szCs w:val="26"/>
          <w:lang w:val="en-GB"/>
        </w:rPr>
        <w:t xml:space="preserve"> that </w:t>
      </w:r>
      <w:r w:rsidR="007875AD">
        <w:rPr>
          <w:color w:val="auto"/>
          <w:sz w:val="26"/>
          <w:szCs w:val="26"/>
          <w:lang w:val="en-GB"/>
        </w:rPr>
        <w:t xml:space="preserve">the </w:t>
      </w:r>
      <w:r w:rsidR="008F6109" w:rsidRPr="003B7DC7">
        <w:rPr>
          <w:color w:val="auto"/>
          <w:sz w:val="26"/>
          <w:szCs w:val="26"/>
          <w:lang w:val="en-GB"/>
        </w:rPr>
        <w:t xml:space="preserve">KSA capital market is weak and </w:t>
      </w:r>
      <w:r w:rsidR="004E5E41" w:rsidRPr="003B7DC7">
        <w:rPr>
          <w:color w:val="auto"/>
          <w:sz w:val="26"/>
          <w:szCs w:val="26"/>
          <w:lang w:val="en-GB"/>
        </w:rPr>
        <w:t xml:space="preserve">that </w:t>
      </w:r>
      <w:r w:rsidR="008F6109" w:rsidRPr="003B7DC7">
        <w:rPr>
          <w:color w:val="auto"/>
          <w:sz w:val="26"/>
          <w:szCs w:val="26"/>
          <w:lang w:val="en-GB"/>
        </w:rPr>
        <w:t>all investors are not expected to generate abnormal returns</w:t>
      </w:r>
      <w:r w:rsidR="00737F5C" w:rsidRPr="003B7DC7">
        <w:rPr>
          <w:color w:val="auto"/>
          <w:sz w:val="26"/>
          <w:szCs w:val="26"/>
          <w:lang w:val="en-GB"/>
        </w:rPr>
        <w:t xml:space="preserve">. </w:t>
      </w:r>
      <w:r w:rsidR="00A53281" w:rsidRPr="003B7DC7">
        <w:rPr>
          <w:color w:val="auto"/>
          <w:sz w:val="26"/>
          <w:szCs w:val="26"/>
          <w:lang w:val="en-GB"/>
        </w:rPr>
        <w:t xml:space="preserve">In </w:t>
      </w:r>
      <w:r w:rsidR="007875AD">
        <w:rPr>
          <w:color w:val="auto"/>
          <w:sz w:val="26"/>
          <w:szCs w:val="26"/>
          <w:lang w:val="en-GB"/>
        </w:rPr>
        <w:t>the UAE, value relevance negatively affects</w:t>
      </w:r>
      <w:r w:rsidR="00A53281" w:rsidRPr="003B7DC7">
        <w:rPr>
          <w:color w:val="auto"/>
          <w:sz w:val="26"/>
          <w:szCs w:val="26"/>
          <w:lang w:val="en-GB"/>
        </w:rPr>
        <w:t xml:space="preserve"> attracting </w:t>
      </w:r>
      <w:r w:rsidR="004E5E41" w:rsidRPr="003B7DC7">
        <w:rPr>
          <w:color w:val="auto"/>
          <w:sz w:val="26"/>
          <w:szCs w:val="26"/>
          <w:lang w:val="en-GB"/>
        </w:rPr>
        <w:t>foreign investors, indicating</w:t>
      </w:r>
      <w:r w:rsidR="00A53281" w:rsidRPr="003B7DC7">
        <w:rPr>
          <w:color w:val="auto"/>
          <w:sz w:val="26"/>
          <w:szCs w:val="26"/>
          <w:lang w:val="en-GB"/>
        </w:rPr>
        <w:t xml:space="preserve"> that </w:t>
      </w:r>
      <w:r w:rsidR="004E5E41" w:rsidRPr="003B7DC7">
        <w:rPr>
          <w:color w:val="auto"/>
          <w:sz w:val="26"/>
          <w:szCs w:val="26"/>
          <w:lang w:val="en-GB"/>
        </w:rPr>
        <w:t>they</w:t>
      </w:r>
      <w:r w:rsidR="00A53281" w:rsidRPr="003B7DC7">
        <w:rPr>
          <w:color w:val="auto"/>
          <w:sz w:val="26"/>
          <w:szCs w:val="26"/>
          <w:lang w:val="en-GB"/>
        </w:rPr>
        <w:t xml:space="preserve"> </w:t>
      </w:r>
      <w:r w:rsidR="004E5E41" w:rsidRPr="003B7DC7">
        <w:rPr>
          <w:color w:val="auto"/>
          <w:sz w:val="26"/>
          <w:szCs w:val="26"/>
          <w:lang w:val="en-GB"/>
        </w:rPr>
        <w:t xml:space="preserve">do </w:t>
      </w:r>
      <w:r w:rsidR="00A53281" w:rsidRPr="003B7DC7">
        <w:rPr>
          <w:color w:val="auto"/>
          <w:sz w:val="26"/>
          <w:szCs w:val="26"/>
          <w:lang w:val="en-GB"/>
        </w:rPr>
        <w:t xml:space="preserve">not use the accounting information to build their </w:t>
      </w:r>
      <w:r w:rsidR="00660428" w:rsidRPr="003B7DC7">
        <w:rPr>
          <w:color w:val="auto"/>
          <w:sz w:val="26"/>
          <w:szCs w:val="26"/>
          <w:lang w:val="en-GB"/>
        </w:rPr>
        <w:t xml:space="preserve">investment decisions. </w:t>
      </w:r>
      <w:proofErr w:type="spellStart"/>
      <w:r w:rsidR="007875AD">
        <w:rPr>
          <w:color w:val="auto"/>
          <w:sz w:val="26"/>
          <w:szCs w:val="26"/>
          <w:lang w:val="en-GB"/>
        </w:rPr>
        <w:t>Marashdeh</w:t>
      </w:r>
      <w:proofErr w:type="spellEnd"/>
      <w:r w:rsidR="007875AD">
        <w:rPr>
          <w:color w:val="auto"/>
          <w:sz w:val="26"/>
          <w:szCs w:val="26"/>
          <w:lang w:val="en-GB"/>
        </w:rPr>
        <w:t xml:space="preserve"> </w:t>
      </w:r>
      <w:r w:rsidR="00523653">
        <w:rPr>
          <w:color w:val="auto"/>
          <w:sz w:val="26"/>
          <w:szCs w:val="26"/>
          <w:lang w:val="en-GB"/>
        </w:rPr>
        <w:t>and</w:t>
      </w:r>
      <w:r w:rsidR="007875AD">
        <w:rPr>
          <w:color w:val="auto"/>
          <w:sz w:val="26"/>
          <w:szCs w:val="26"/>
          <w:lang w:val="en-GB"/>
        </w:rPr>
        <w:t xml:space="preserve"> Shrestha support this result</w:t>
      </w:r>
      <w:r w:rsidR="00660428" w:rsidRPr="003B7DC7">
        <w:rPr>
          <w:color w:val="auto"/>
          <w:sz w:val="26"/>
          <w:szCs w:val="26"/>
          <w:lang w:val="en-GB"/>
        </w:rPr>
        <w:t xml:space="preserve"> (2008) </w:t>
      </w:r>
      <w:r w:rsidR="007875AD">
        <w:rPr>
          <w:color w:val="auto"/>
          <w:sz w:val="26"/>
          <w:szCs w:val="26"/>
          <w:lang w:val="en-GB"/>
        </w:rPr>
        <w:t>which</w:t>
      </w:r>
      <w:r w:rsidR="00A41BCF" w:rsidRPr="003B7DC7">
        <w:rPr>
          <w:color w:val="auto"/>
          <w:sz w:val="26"/>
          <w:szCs w:val="26"/>
          <w:lang w:val="en-GB"/>
        </w:rPr>
        <w:t xml:space="preserve"> found</w:t>
      </w:r>
      <w:r w:rsidR="00660428" w:rsidRPr="003B7DC7">
        <w:rPr>
          <w:color w:val="auto"/>
          <w:sz w:val="26"/>
          <w:szCs w:val="26"/>
          <w:lang w:val="en-GB"/>
        </w:rPr>
        <w:t xml:space="preserve"> that the efficiency market of UAE is weak and </w:t>
      </w:r>
      <w:r w:rsidR="004E5E41" w:rsidRPr="003B7DC7">
        <w:rPr>
          <w:color w:val="auto"/>
          <w:sz w:val="26"/>
          <w:szCs w:val="26"/>
          <w:lang w:val="en-GB"/>
        </w:rPr>
        <w:t xml:space="preserve">that </w:t>
      </w:r>
      <w:r w:rsidR="00660428" w:rsidRPr="003B7DC7">
        <w:rPr>
          <w:color w:val="auto"/>
          <w:sz w:val="26"/>
          <w:szCs w:val="26"/>
          <w:lang w:val="en-GB"/>
        </w:rPr>
        <w:t xml:space="preserve">the reaction to the </w:t>
      </w:r>
      <w:r w:rsidR="009D06FA" w:rsidRPr="003B7DC7">
        <w:rPr>
          <w:color w:val="auto"/>
          <w:sz w:val="26"/>
          <w:szCs w:val="26"/>
          <w:lang w:val="en-GB"/>
        </w:rPr>
        <w:t>earning</w:t>
      </w:r>
      <w:r w:rsidR="006330B7" w:rsidRPr="003B7DC7">
        <w:rPr>
          <w:color w:val="auto"/>
          <w:sz w:val="26"/>
          <w:szCs w:val="26"/>
          <w:lang w:val="en-GB"/>
        </w:rPr>
        <w:t xml:space="preserve"> information is also weak. However, </w:t>
      </w:r>
      <w:r w:rsidR="00C708B7" w:rsidRPr="003B7DC7">
        <w:rPr>
          <w:color w:val="auto"/>
          <w:sz w:val="26"/>
          <w:szCs w:val="26"/>
          <w:lang w:val="en-GB"/>
        </w:rPr>
        <w:t>the result</w:t>
      </w:r>
      <w:r w:rsidR="006330B7" w:rsidRPr="003B7DC7">
        <w:rPr>
          <w:color w:val="auto"/>
          <w:sz w:val="26"/>
          <w:szCs w:val="26"/>
          <w:lang w:val="en-GB"/>
        </w:rPr>
        <w:t xml:space="preserve"> of </w:t>
      </w:r>
      <w:r w:rsidR="00C708B7" w:rsidRPr="003B7DC7">
        <w:rPr>
          <w:color w:val="auto"/>
          <w:sz w:val="26"/>
          <w:szCs w:val="26"/>
          <w:lang w:val="en-GB"/>
        </w:rPr>
        <w:t>this EQ (value relevance) in QAT and BAH is consistent with the finding</w:t>
      </w:r>
      <w:r w:rsidR="00FE19B6" w:rsidRPr="003B7DC7">
        <w:rPr>
          <w:color w:val="auto"/>
          <w:sz w:val="26"/>
          <w:szCs w:val="26"/>
          <w:lang w:val="en-GB"/>
        </w:rPr>
        <w:t>s</w:t>
      </w:r>
      <w:r w:rsidR="00C708B7" w:rsidRPr="003B7DC7">
        <w:rPr>
          <w:color w:val="auto"/>
          <w:sz w:val="26"/>
          <w:szCs w:val="26"/>
          <w:lang w:val="en-GB"/>
        </w:rPr>
        <w:t xml:space="preserve"> of Vo </w:t>
      </w:r>
      <w:r w:rsidR="00523653">
        <w:rPr>
          <w:color w:val="auto"/>
          <w:sz w:val="26"/>
          <w:szCs w:val="26"/>
          <w:lang w:val="en-GB"/>
        </w:rPr>
        <w:t>and</w:t>
      </w:r>
      <w:r w:rsidR="00C708B7" w:rsidRPr="003B7DC7">
        <w:rPr>
          <w:color w:val="auto"/>
          <w:sz w:val="26"/>
          <w:szCs w:val="26"/>
          <w:lang w:val="en-GB"/>
        </w:rPr>
        <w:t xml:space="preserve"> Chu (2019)</w:t>
      </w:r>
      <w:r w:rsidR="007875AD">
        <w:rPr>
          <w:color w:val="auto"/>
          <w:sz w:val="26"/>
          <w:szCs w:val="26"/>
          <w:lang w:val="en-GB"/>
        </w:rPr>
        <w:t>,</w:t>
      </w:r>
      <w:r w:rsidR="00C708B7" w:rsidRPr="003B7DC7">
        <w:rPr>
          <w:color w:val="auto"/>
          <w:sz w:val="26"/>
          <w:szCs w:val="26"/>
          <w:lang w:val="en-GB"/>
        </w:rPr>
        <w:t xml:space="preserve"> </w:t>
      </w:r>
      <w:r w:rsidR="007875AD">
        <w:rPr>
          <w:color w:val="auto"/>
          <w:sz w:val="26"/>
          <w:szCs w:val="26"/>
          <w:lang w:val="en-GB"/>
        </w:rPr>
        <w:t>which</w:t>
      </w:r>
      <w:r w:rsidR="00C708B7" w:rsidRPr="003B7DC7">
        <w:rPr>
          <w:color w:val="auto"/>
          <w:sz w:val="26"/>
          <w:szCs w:val="26"/>
          <w:lang w:val="en-GB"/>
        </w:rPr>
        <w:t xml:space="preserve"> find no clear evidence about the relationship between this measure of EQ and FI. </w:t>
      </w:r>
    </w:p>
    <w:p w14:paraId="56D7DF57" w14:textId="74090F44" w:rsidR="009D06FA" w:rsidRPr="003B7DC7" w:rsidRDefault="009D06FA" w:rsidP="003B7DC7">
      <w:pPr>
        <w:pStyle w:val="Default"/>
        <w:snapToGrid w:val="0"/>
        <w:spacing w:line="360" w:lineRule="exact"/>
        <w:ind w:firstLine="510"/>
        <w:jc w:val="both"/>
        <w:rPr>
          <w:color w:val="auto"/>
          <w:sz w:val="26"/>
          <w:szCs w:val="26"/>
          <w:lang w:val="en-GB"/>
        </w:rPr>
      </w:pPr>
      <w:r w:rsidRPr="003B7DC7">
        <w:rPr>
          <w:color w:val="auto"/>
          <w:sz w:val="26"/>
          <w:szCs w:val="26"/>
          <w:lang w:val="en-GB"/>
        </w:rPr>
        <w:t xml:space="preserve">In all GCC countries, EQ in terms of ESI does not </w:t>
      </w:r>
      <w:r w:rsidR="007875AD">
        <w:rPr>
          <w:color w:val="auto"/>
          <w:sz w:val="26"/>
          <w:szCs w:val="26"/>
          <w:lang w:val="en-GB"/>
        </w:rPr>
        <w:t>affect</w:t>
      </w:r>
      <w:r w:rsidRPr="003B7DC7">
        <w:rPr>
          <w:color w:val="auto"/>
          <w:sz w:val="26"/>
          <w:szCs w:val="26"/>
          <w:lang w:val="en-GB"/>
        </w:rPr>
        <w:t xml:space="preserve"> attracting </w:t>
      </w:r>
      <w:r w:rsidR="00F6072B" w:rsidRPr="003B7DC7">
        <w:rPr>
          <w:color w:val="auto"/>
          <w:sz w:val="26"/>
          <w:szCs w:val="26"/>
          <w:lang w:val="en-GB"/>
        </w:rPr>
        <w:t>foreign investors</w:t>
      </w:r>
      <w:r w:rsidR="007875AD">
        <w:rPr>
          <w:color w:val="auto"/>
          <w:sz w:val="26"/>
          <w:szCs w:val="26"/>
          <w:lang w:val="en-GB"/>
        </w:rPr>
        <w:t>,</w:t>
      </w:r>
      <w:r w:rsidR="00F6072B" w:rsidRPr="003B7DC7">
        <w:rPr>
          <w:color w:val="auto"/>
          <w:sz w:val="26"/>
          <w:szCs w:val="26"/>
          <w:lang w:val="en-GB"/>
        </w:rPr>
        <w:t xml:space="preserve"> which means that there are differences between earnings reported and analyst</w:t>
      </w:r>
      <w:r w:rsidR="004E5E41" w:rsidRPr="003B7DC7">
        <w:rPr>
          <w:color w:val="auto"/>
          <w:sz w:val="26"/>
          <w:szCs w:val="26"/>
          <w:lang w:val="en-GB"/>
        </w:rPr>
        <w:t>s</w:t>
      </w:r>
      <w:r w:rsidR="00F6072B" w:rsidRPr="003B7DC7">
        <w:rPr>
          <w:color w:val="auto"/>
          <w:sz w:val="26"/>
          <w:szCs w:val="26"/>
          <w:lang w:val="en-GB"/>
        </w:rPr>
        <w:t>’ prediction</w:t>
      </w:r>
      <w:r w:rsidR="007875AD">
        <w:rPr>
          <w:color w:val="auto"/>
          <w:sz w:val="26"/>
          <w:szCs w:val="26"/>
          <w:lang w:val="en-GB"/>
        </w:rPr>
        <w:t>s</w:t>
      </w:r>
      <w:r w:rsidR="00F6072B" w:rsidRPr="003B7DC7">
        <w:rPr>
          <w:color w:val="auto"/>
          <w:sz w:val="26"/>
          <w:szCs w:val="26"/>
          <w:lang w:val="en-GB"/>
        </w:rPr>
        <w:t xml:space="preserve">. </w:t>
      </w:r>
      <w:r w:rsidR="004E5E41" w:rsidRPr="003B7DC7">
        <w:rPr>
          <w:color w:val="auto"/>
          <w:sz w:val="26"/>
          <w:szCs w:val="26"/>
          <w:lang w:val="en-GB"/>
        </w:rPr>
        <w:t>A</w:t>
      </w:r>
      <w:r w:rsidR="009D0A96" w:rsidRPr="003B7DC7">
        <w:rPr>
          <w:color w:val="auto"/>
          <w:sz w:val="26"/>
          <w:szCs w:val="26"/>
          <w:lang w:val="en-GB"/>
        </w:rPr>
        <w:t>s a</w:t>
      </w:r>
      <w:r w:rsidR="00F6072B" w:rsidRPr="003B7DC7">
        <w:rPr>
          <w:color w:val="auto"/>
          <w:sz w:val="26"/>
          <w:szCs w:val="26"/>
          <w:lang w:val="en-GB"/>
        </w:rPr>
        <w:t xml:space="preserve"> new entry </w:t>
      </w:r>
      <w:r w:rsidR="007875AD">
        <w:rPr>
          <w:color w:val="auto"/>
          <w:sz w:val="26"/>
          <w:szCs w:val="26"/>
          <w:lang w:val="en-GB"/>
        </w:rPr>
        <w:t>in</w:t>
      </w:r>
      <w:r w:rsidR="00F6072B" w:rsidRPr="003B7DC7">
        <w:rPr>
          <w:color w:val="auto"/>
          <w:sz w:val="26"/>
          <w:szCs w:val="26"/>
          <w:lang w:val="en-GB"/>
        </w:rPr>
        <w:t>to the market</w:t>
      </w:r>
      <w:r w:rsidR="004E5E41" w:rsidRPr="003B7DC7">
        <w:rPr>
          <w:color w:val="auto"/>
          <w:sz w:val="26"/>
          <w:szCs w:val="26"/>
          <w:lang w:val="en-GB"/>
        </w:rPr>
        <w:t>, foreign investors</w:t>
      </w:r>
      <w:r w:rsidR="00F6072B" w:rsidRPr="003B7DC7">
        <w:rPr>
          <w:color w:val="auto"/>
          <w:sz w:val="26"/>
          <w:szCs w:val="26"/>
          <w:lang w:val="en-GB"/>
        </w:rPr>
        <w:t xml:space="preserve"> depend on </w:t>
      </w:r>
      <w:r w:rsidR="007875AD">
        <w:rPr>
          <w:color w:val="auto"/>
          <w:sz w:val="26"/>
          <w:szCs w:val="26"/>
          <w:lang w:val="en-GB"/>
        </w:rPr>
        <w:t xml:space="preserve">analysts' </w:t>
      </w:r>
      <w:r w:rsidR="007875AD">
        <w:rPr>
          <w:color w:val="auto"/>
          <w:sz w:val="26"/>
          <w:szCs w:val="26"/>
          <w:lang w:val="en-GB"/>
        </w:rPr>
        <w:lastRenderedPageBreak/>
        <w:t>expectations more than the earnings reported by the firms because they have less information, low knowledge about the market, and a</w:t>
      </w:r>
      <w:r w:rsidR="009D0A96" w:rsidRPr="003B7DC7">
        <w:rPr>
          <w:color w:val="auto"/>
          <w:sz w:val="26"/>
          <w:szCs w:val="26"/>
          <w:lang w:val="en-GB"/>
        </w:rPr>
        <w:t xml:space="preserve"> high level of uncertainty. </w:t>
      </w:r>
    </w:p>
    <w:p w14:paraId="32A00385" w14:textId="1A9BAB53" w:rsidR="000409E6" w:rsidRPr="003B7DC7" w:rsidRDefault="009D0A96" w:rsidP="003B7DC7">
      <w:pPr>
        <w:pStyle w:val="Default"/>
        <w:snapToGrid w:val="0"/>
        <w:spacing w:line="360" w:lineRule="exact"/>
        <w:ind w:firstLine="510"/>
        <w:jc w:val="both"/>
        <w:rPr>
          <w:color w:val="auto"/>
          <w:sz w:val="26"/>
          <w:szCs w:val="26"/>
          <w:lang w:val="en-GB"/>
        </w:rPr>
      </w:pPr>
      <w:r w:rsidRPr="003B7DC7">
        <w:rPr>
          <w:color w:val="auto"/>
          <w:sz w:val="26"/>
          <w:szCs w:val="26"/>
          <w:lang w:val="en-GB"/>
        </w:rPr>
        <w:t xml:space="preserve">In terms of earnings smoothness, there is </w:t>
      </w:r>
      <w:r w:rsidR="00D55B8C" w:rsidRPr="003B7DC7">
        <w:rPr>
          <w:color w:val="auto"/>
          <w:sz w:val="26"/>
          <w:szCs w:val="26"/>
          <w:lang w:val="en-GB"/>
        </w:rPr>
        <w:t xml:space="preserve">no </w:t>
      </w:r>
      <w:r w:rsidRPr="003B7DC7">
        <w:rPr>
          <w:color w:val="auto"/>
          <w:sz w:val="26"/>
          <w:szCs w:val="26"/>
          <w:lang w:val="en-GB"/>
        </w:rPr>
        <w:t xml:space="preserve">association between </w:t>
      </w:r>
      <w:r w:rsidR="004E5E41" w:rsidRPr="003B7DC7">
        <w:rPr>
          <w:color w:val="auto"/>
          <w:sz w:val="26"/>
          <w:szCs w:val="26"/>
          <w:lang w:val="en-GB"/>
        </w:rPr>
        <w:t>EQ-</w:t>
      </w:r>
      <w:r w:rsidR="00D55B8C" w:rsidRPr="003B7DC7">
        <w:rPr>
          <w:color w:val="auto"/>
          <w:sz w:val="26"/>
          <w:szCs w:val="26"/>
          <w:lang w:val="en-GB"/>
        </w:rPr>
        <w:t>SM and FI</w:t>
      </w:r>
      <w:r w:rsidR="004E5E41" w:rsidRPr="003B7DC7">
        <w:rPr>
          <w:color w:val="auto"/>
          <w:sz w:val="26"/>
          <w:szCs w:val="26"/>
          <w:lang w:val="en-GB"/>
        </w:rPr>
        <w:t>,</w:t>
      </w:r>
      <w:r w:rsidR="00D55B8C" w:rsidRPr="003B7DC7">
        <w:rPr>
          <w:color w:val="auto"/>
          <w:sz w:val="26"/>
          <w:szCs w:val="26"/>
          <w:lang w:val="en-GB"/>
        </w:rPr>
        <w:t xml:space="preserve"> indicating that </w:t>
      </w:r>
      <w:r w:rsidR="004E5E41" w:rsidRPr="003B7DC7">
        <w:rPr>
          <w:color w:val="auto"/>
          <w:sz w:val="26"/>
          <w:szCs w:val="26"/>
          <w:lang w:val="en-GB"/>
        </w:rPr>
        <w:t>foreign investors</w:t>
      </w:r>
      <w:r w:rsidR="00D55B8C" w:rsidRPr="003B7DC7">
        <w:rPr>
          <w:color w:val="auto"/>
          <w:sz w:val="26"/>
          <w:szCs w:val="26"/>
          <w:lang w:val="en-GB"/>
        </w:rPr>
        <w:t xml:space="preserve"> </w:t>
      </w:r>
      <w:r w:rsidR="004E5E41" w:rsidRPr="003B7DC7">
        <w:rPr>
          <w:color w:val="auto"/>
          <w:sz w:val="26"/>
          <w:szCs w:val="26"/>
          <w:lang w:val="en-GB"/>
        </w:rPr>
        <w:t xml:space="preserve">do </w:t>
      </w:r>
      <w:r w:rsidR="00D55B8C" w:rsidRPr="003B7DC7">
        <w:rPr>
          <w:color w:val="auto"/>
          <w:sz w:val="26"/>
          <w:szCs w:val="26"/>
          <w:lang w:val="en-GB"/>
        </w:rPr>
        <w:t xml:space="preserve">not prefer earnings smoothness as </w:t>
      </w:r>
      <w:r w:rsidR="004E5E41" w:rsidRPr="003B7DC7">
        <w:rPr>
          <w:color w:val="auto"/>
          <w:sz w:val="26"/>
          <w:szCs w:val="26"/>
          <w:lang w:val="en-GB"/>
        </w:rPr>
        <w:t>they consider it</w:t>
      </w:r>
      <w:r w:rsidR="00D55B8C" w:rsidRPr="003B7DC7">
        <w:rPr>
          <w:color w:val="auto"/>
          <w:sz w:val="26"/>
          <w:szCs w:val="26"/>
          <w:lang w:val="en-GB"/>
        </w:rPr>
        <w:t xml:space="preserve"> a type of earnings management. Basically, the information environment in GCC is categorized as less informative</w:t>
      </w:r>
      <w:r w:rsidR="006460A7" w:rsidRPr="003B7DC7">
        <w:rPr>
          <w:color w:val="auto"/>
          <w:sz w:val="26"/>
          <w:szCs w:val="26"/>
          <w:lang w:val="en-GB"/>
        </w:rPr>
        <w:t>,</w:t>
      </w:r>
      <w:r w:rsidR="00D55B8C" w:rsidRPr="003B7DC7">
        <w:rPr>
          <w:color w:val="auto"/>
          <w:sz w:val="26"/>
          <w:szCs w:val="26"/>
          <w:lang w:val="en-GB"/>
        </w:rPr>
        <w:t xml:space="preserve"> </w:t>
      </w:r>
      <w:r w:rsidR="006460A7" w:rsidRPr="003B7DC7">
        <w:rPr>
          <w:color w:val="auto"/>
          <w:sz w:val="26"/>
          <w:szCs w:val="26"/>
          <w:lang w:val="en-GB"/>
        </w:rPr>
        <w:t>so foreign investors</w:t>
      </w:r>
      <w:r w:rsidR="00D55B8C" w:rsidRPr="003B7DC7">
        <w:rPr>
          <w:color w:val="auto"/>
          <w:sz w:val="26"/>
          <w:szCs w:val="26"/>
          <w:lang w:val="en-GB"/>
        </w:rPr>
        <w:t xml:space="preserve"> </w:t>
      </w:r>
      <w:r w:rsidR="006460A7" w:rsidRPr="003B7DC7">
        <w:rPr>
          <w:color w:val="auto"/>
          <w:sz w:val="26"/>
          <w:szCs w:val="26"/>
          <w:lang w:val="en-GB"/>
        </w:rPr>
        <w:t>encounter</w:t>
      </w:r>
      <w:r w:rsidR="00D55B8C" w:rsidRPr="003B7DC7">
        <w:rPr>
          <w:color w:val="auto"/>
          <w:sz w:val="26"/>
          <w:szCs w:val="26"/>
          <w:lang w:val="en-GB"/>
        </w:rPr>
        <w:t xml:space="preserve"> difficulties</w:t>
      </w:r>
      <w:r w:rsidR="0044559B" w:rsidRPr="003B7DC7">
        <w:rPr>
          <w:color w:val="auto"/>
          <w:sz w:val="26"/>
          <w:szCs w:val="26"/>
          <w:lang w:val="en-GB"/>
        </w:rPr>
        <w:t xml:space="preserve"> </w:t>
      </w:r>
      <w:r w:rsidR="006460A7" w:rsidRPr="003B7DC7">
        <w:rPr>
          <w:color w:val="auto"/>
          <w:sz w:val="26"/>
          <w:szCs w:val="26"/>
          <w:lang w:val="en-GB"/>
        </w:rPr>
        <w:t xml:space="preserve">when trying to </w:t>
      </w:r>
      <w:r w:rsidR="0044559B" w:rsidRPr="003B7DC7">
        <w:rPr>
          <w:color w:val="auto"/>
          <w:sz w:val="26"/>
          <w:szCs w:val="26"/>
          <w:lang w:val="en-GB"/>
        </w:rPr>
        <w:t>understand whether the earnings smoothness practices imp</w:t>
      </w:r>
      <w:r w:rsidR="000409E6" w:rsidRPr="003B7DC7">
        <w:rPr>
          <w:color w:val="auto"/>
          <w:sz w:val="26"/>
          <w:szCs w:val="26"/>
          <w:lang w:val="en-GB"/>
        </w:rPr>
        <w:t>rove</w:t>
      </w:r>
      <w:r w:rsidR="0044559B" w:rsidRPr="003B7DC7">
        <w:rPr>
          <w:color w:val="auto"/>
          <w:sz w:val="26"/>
          <w:szCs w:val="26"/>
          <w:lang w:val="en-GB"/>
        </w:rPr>
        <w:t xml:space="preserve"> earnings informativeness. This result is</w:t>
      </w:r>
      <w:r w:rsidR="000409E6" w:rsidRPr="003B7DC7">
        <w:rPr>
          <w:color w:val="auto"/>
          <w:sz w:val="26"/>
          <w:szCs w:val="26"/>
          <w:lang w:val="en-GB"/>
        </w:rPr>
        <w:t xml:space="preserve"> not in line with Jung et al.</w:t>
      </w:r>
      <w:r w:rsidR="00944F99" w:rsidRPr="003B7DC7">
        <w:rPr>
          <w:color w:val="auto"/>
          <w:sz w:val="26"/>
          <w:szCs w:val="26"/>
          <w:lang w:val="en-GB"/>
        </w:rPr>
        <w:t xml:space="preserve"> (</w:t>
      </w:r>
      <w:r w:rsidR="000409E6" w:rsidRPr="003B7DC7">
        <w:rPr>
          <w:color w:val="auto"/>
          <w:sz w:val="26"/>
          <w:szCs w:val="26"/>
          <w:lang w:val="en-GB"/>
        </w:rPr>
        <w:t xml:space="preserve">2020) </w:t>
      </w:r>
      <w:r w:rsidR="007875AD">
        <w:rPr>
          <w:color w:val="auto"/>
          <w:sz w:val="26"/>
          <w:szCs w:val="26"/>
          <w:lang w:val="en-GB"/>
        </w:rPr>
        <w:t>which</w:t>
      </w:r>
      <w:r w:rsidR="00A41BCF" w:rsidRPr="003B7DC7">
        <w:rPr>
          <w:color w:val="auto"/>
          <w:sz w:val="26"/>
          <w:szCs w:val="26"/>
          <w:lang w:val="en-GB"/>
        </w:rPr>
        <w:t xml:space="preserve"> found</w:t>
      </w:r>
      <w:r w:rsidR="000409E6" w:rsidRPr="003B7DC7">
        <w:rPr>
          <w:color w:val="auto"/>
          <w:sz w:val="26"/>
          <w:szCs w:val="26"/>
          <w:lang w:val="en-GB"/>
        </w:rPr>
        <w:t xml:space="preserve"> that </w:t>
      </w:r>
      <w:r w:rsidR="006460A7" w:rsidRPr="003B7DC7">
        <w:rPr>
          <w:color w:val="auto"/>
          <w:sz w:val="26"/>
          <w:szCs w:val="26"/>
          <w:lang w:val="en-GB"/>
        </w:rPr>
        <w:t xml:space="preserve">foreign investors </w:t>
      </w:r>
      <w:r w:rsidR="000409E6" w:rsidRPr="003B7DC7">
        <w:rPr>
          <w:color w:val="auto"/>
          <w:sz w:val="26"/>
          <w:szCs w:val="26"/>
          <w:lang w:val="en-GB"/>
        </w:rPr>
        <w:t>demand earnings smoothness to improve the earnings informativeness in Korea.</w:t>
      </w:r>
    </w:p>
    <w:p w14:paraId="3FB3C2E8" w14:textId="6108604C" w:rsidR="009D0A96" w:rsidRPr="003B7DC7" w:rsidRDefault="006460A7" w:rsidP="003B7DC7">
      <w:pPr>
        <w:pStyle w:val="Default"/>
        <w:snapToGrid w:val="0"/>
        <w:spacing w:line="360" w:lineRule="exact"/>
        <w:ind w:firstLine="510"/>
        <w:jc w:val="both"/>
        <w:rPr>
          <w:color w:val="auto"/>
          <w:sz w:val="26"/>
          <w:szCs w:val="26"/>
          <w:lang w:val="en-GB"/>
        </w:rPr>
      </w:pPr>
      <w:r w:rsidRPr="003B7DC7">
        <w:rPr>
          <w:color w:val="auto"/>
          <w:sz w:val="26"/>
          <w:szCs w:val="26"/>
          <w:lang w:val="en-GB"/>
        </w:rPr>
        <w:t>Although</w:t>
      </w:r>
      <w:r w:rsidR="00A0101D" w:rsidRPr="003B7DC7">
        <w:rPr>
          <w:color w:val="auto"/>
          <w:sz w:val="26"/>
          <w:szCs w:val="26"/>
          <w:lang w:val="en-GB"/>
        </w:rPr>
        <w:t xml:space="preserve"> </w:t>
      </w:r>
      <w:r w:rsidR="00050EB7" w:rsidRPr="003B7DC7">
        <w:rPr>
          <w:color w:val="auto"/>
          <w:sz w:val="26"/>
          <w:szCs w:val="26"/>
          <w:lang w:val="en-GB"/>
        </w:rPr>
        <w:t>loss recognition timeliness</w:t>
      </w:r>
      <w:r w:rsidR="000409E6" w:rsidRPr="003B7DC7">
        <w:rPr>
          <w:color w:val="auto"/>
          <w:sz w:val="26"/>
          <w:szCs w:val="26"/>
          <w:lang w:val="en-GB"/>
        </w:rPr>
        <w:t xml:space="preserve"> is not </w:t>
      </w:r>
      <w:r w:rsidR="007875AD">
        <w:rPr>
          <w:color w:val="auto"/>
          <w:sz w:val="26"/>
          <w:szCs w:val="26"/>
          <w:lang w:val="en-GB"/>
        </w:rPr>
        <w:t>common</w:t>
      </w:r>
      <w:r w:rsidR="000409E6" w:rsidRPr="003B7DC7">
        <w:rPr>
          <w:color w:val="auto"/>
          <w:sz w:val="26"/>
          <w:szCs w:val="26"/>
          <w:lang w:val="en-GB"/>
        </w:rPr>
        <w:t xml:space="preserve"> in GCC firms</w:t>
      </w:r>
      <w:r w:rsidR="00A0101D" w:rsidRPr="003B7DC7">
        <w:rPr>
          <w:color w:val="auto"/>
          <w:sz w:val="26"/>
          <w:szCs w:val="26"/>
          <w:lang w:val="en-GB"/>
        </w:rPr>
        <w:t xml:space="preserve">, the degree of </w:t>
      </w:r>
      <w:r w:rsidRPr="003B7DC7">
        <w:rPr>
          <w:color w:val="auto"/>
          <w:sz w:val="26"/>
          <w:szCs w:val="26"/>
          <w:lang w:val="en-GB"/>
        </w:rPr>
        <w:t>EQ-</w:t>
      </w:r>
      <w:r w:rsidR="00A0101D" w:rsidRPr="003B7DC7">
        <w:rPr>
          <w:color w:val="auto"/>
          <w:sz w:val="26"/>
          <w:szCs w:val="26"/>
          <w:lang w:val="en-GB"/>
        </w:rPr>
        <w:t>TRL is high in some countries</w:t>
      </w:r>
      <w:r w:rsidR="000409E6" w:rsidRPr="003B7DC7">
        <w:rPr>
          <w:color w:val="auto"/>
          <w:sz w:val="26"/>
          <w:szCs w:val="26"/>
          <w:lang w:val="en-GB"/>
        </w:rPr>
        <w:t xml:space="preserve"> </w:t>
      </w:r>
      <w:r w:rsidRPr="003B7DC7">
        <w:rPr>
          <w:color w:val="auto"/>
          <w:sz w:val="26"/>
          <w:szCs w:val="26"/>
          <w:lang w:val="en-GB"/>
        </w:rPr>
        <w:t>because</w:t>
      </w:r>
      <w:r w:rsidR="000409E6" w:rsidRPr="003B7DC7">
        <w:rPr>
          <w:color w:val="auto"/>
          <w:sz w:val="26"/>
          <w:szCs w:val="26"/>
          <w:lang w:val="en-GB"/>
        </w:rPr>
        <w:t xml:space="preserve"> the GCC firms report less loss </w:t>
      </w:r>
      <w:r w:rsidR="00F27685" w:rsidRPr="003B7DC7">
        <w:rPr>
          <w:color w:val="auto"/>
          <w:sz w:val="26"/>
          <w:szCs w:val="26"/>
          <w:lang w:val="en-GB"/>
        </w:rPr>
        <w:t xml:space="preserve">as they have good experience </w:t>
      </w:r>
      <w:r w:rsidR="00A0101D" w:rsidRPr="003B7DC7">
        <w:rPr>
          <w:color w:val="auto"/>
          <w:sz w:val="26"/>
          <w:szCs w:val="26"/>
          <w:lang w:val="en-GB"/>
        </w:rPr>
        <w:t xml:space="preserve">with the profit. The unknown effect of </w:t>
      </w:r>
      <w:r w:rsidRPr="003B7DC7">
        <w:rPr>
          <w:color w:val="auto"/>
          <w:sz w:val="26"/>
          <w:szCs w:val="26"/>
          <w:lang w:val="en-GB"/>
        </w:rPr>
        <w:t>EQ-</w:t>
      </w:r>
      <w:r w:rsidR="00A0101D" w:rsidRPr="003B7DC7">
        <w:rPr>
          <w:color w:val="auto"/>
          <w:sz w:val="26"/>
          <w:szCs w:val="26"/>
          <w:lang w:val="en-GB"/>
        </w:rPr>
        <w:t>TRL in the period of high persistence of earnings</w:t>
      </w:r>
      <w:r w:rsidR="007875AD">
        <w:rPr>
          <w:color w:val="auto"/>
          <w:sz w:val="26"/>
          <w:szCs w:val="26"/>
          <w:lang w:val="en-GB"/>
        </w:rPr>
        <w:t>,</w:t>
      </w:r>
      <w:r w:rsidR="00A0101D" w:rsidRPr="003B7DC7">
        <w:rPr>
          <w:color w:val="auto"/>
          <w:sz w:val="26"/>
          <w:szCs w:val="26"/>
          <w:lang w:val="en-GB"/>
        </w:rPr>
        <w:t xml:space="preserve"> as </w:t>
      </w:r>
      <w:proofErr w:type="spellStart"/>
      <w:r w:rsidR="00C950E1">
        <w:rPr>
          <w:color w:val="auto"/>
          <w:sz w:val="26"/>
          <w:szCs w:val="26"/>
          <w:lang w:val="en-GB"/>
        </w:rPr>
        <w:t>Basu</w:t>
      </w:r>
      <w:proofErr w:type="spellEnd"/>
      <w:r w:rsidR="00C950E1">
        <w:rPr>
          <w:color w:val="auto"/>
          <w:sz w:val="26"/>
          <w:szCs w:val="26"/>
          <w:lang w:val="en-GB"/>
        </w:rPr>
        <w:t xml:space="preserve"> (1997) pointed out,</w:t>
      </w:r>
      <w:r w:rsidR="00E400CE" w:rsidRPr="003B7DC7">
        <w:rPr>
          <w:color w:val="auto"/>
          <w:sz w:val="26"/>
          <w:szCs w:val="26"/>
          <w:lang w:val="en-GB"/>
        </w:rPr>
        <w:t xml:space="preserve"> affect</w:t>
      </w:r>
      <w:r w:rsidR="007875AD">
        <w:rPr>
          <w:color w:val="auto"/>
          <w:sz w:val="26"/>
          <w:szCs w:val="26"/>
          <w:lang w:val="en-GB"/>
        </w:rPr>
        <w:t>s</w:t>
      </w:r>
      <w:r w:rsidR="00E400CE" w:rsidRPr="003B7DC7">
        <w:rPr>
          <w:color w:val="auto"/>
          <w:sz w:val="26"/>
          <w:szCs w:val="26"/>
          <w:lang w:val="en-GB"/>
        </w:rPr>
        <w:t xml:space="preserve"> the decision usefulness of earnings. In GCC, we agree with this conclusion as the effect of </w:t>
      </w:r>
      <w:r w:rsidRPr="003B7DC7">
        <w:rPr>
          <w:color w:val="auto"/>
          <w:sz w:val="26"/>
          <w:szCs w:val="26"/>
          <w:lang w:val="en-GB"/>
        </w:rPr>
        <w:t>EQ-</w:t>
      </w:r>
      <w:r w:rsidR="00E400CE" w:rsidRPr="003B7DC7">
        <w:rPr>
          <w:color w:val="auto"/>
          <w:sz w:val="26"/>
          <w:szCs w:val="26"/>
          <w:lang w:val="en-GB"/>
        </w:rPr>
        <w:t>TRL is unknown</w:t>
      </w:r>
      <w:r w:rsidRPr="003B7DC7">
        <w:rPr>
          <w:color w:val="auto"/>
          <w:sz w:val="26"/>
          <w:szCs w:val="26"/>
          <w:lang w:val="en-GB"/>
        </w:rPr>
        <w:t>.</w:t>
      </w:r>
      <w:r w:rsidR="00E400CE" w:rsidRPr="003B7DC7">
        <w:rPr>
          <w:color w:val="auto"/>
          <w:sz w:val="26"/>
          <w:szCs w:val="26"/>
          <w:lang w:val="en-GB"/>
        </w:rPr>
        <w:t xml:space="preserve"> </w:t>
      </w:r>
      <w:r w:rsidRPr="003B7DC7">
        <w:rPr>
          <w:color w:val="auto"/>
          <w:sz w:val="26"/>
          <w:szCs w:val="26"/>
          <w:lang w:val="en-GB"/>
        </w:rPr>
        <w:t>N</w:t>
      </w:r>
      <w:r w:rsidR="00E400CE" w:rsidRPr="003B7DC7">
        <w:rPr>
          <w:color w:val="auto"/>
          <w:sz w:val="26"/>
          <w:szCs w:val="26"/>
          <w:lang w:val="en-GB"/>
        </w:rPr>
        <w:t xml:space="preserve">o evidence </w:t>
      </w:r>
      <w:r w:rsidRPr="003B7DC7">
        <w:rPr>
          <w:color w:val="auto"/>
          <w:sz w:val="26"/>
          <w:szCs w:val="26"/>
          <w:lang w:val="en-GB"/>
        </w:rPr>
        <w:t xml:space="preserve">confirms </w:t>
      </w:r>
      <w:r w:rsidR="00E400CE" w:rsidRPr="003B7DC7">
        <w:rPr>
          <w:color w:val="auto"/>
          <w:sz w:val="26"/>
          <w:szCs w:val="26"/>
          <w:lang w:val="en-GB"/>
        </w:rPr>
        <w:t xml:space="preserve">that this effect is positive or negative from </w:t>
      </w:r>
      <w:r w:rsidRPr="003B7DC7">
        <w:rPr>
          <w:color w:val="auto"/>
          <w:sz w:val="26"/>
          <w:szCs w:val="26"/>
          <w:lang w:val="en-GB"/>
        </w:rPr>
        <w:t xml:space="preserve">the FI </w:t>
      </w:r>
      <w:r w:rsidR="00E400CE" w:rsidRPr="003B7DC7">
        <w:rPr>
          <w:color w:val="auto"/>
          <w:sz w:val="26"/>
          <w:szCs w:val="26"/>
          <w:lang w:val="en-GB"/>
        </w:rPr>
        <w:t xml:space="preserve">perspective. </w:t>
      </w:r>
    </w:p>
    <w:p w14:paraId="06F55A81" w14:textId="29829723" w:rsidR="00E400CE" w:rsidRPr="003B7DC7" w:rsidRDefault="00E400CE" w:rsidP="003B7DC7">
      <w:pPr>
        <w:pStyle w:val="Default"/>
        <w:snapToGrid w:val="0"/>
        <w:spacing w:line="360" w:lineRule="exact"/>
        <w:ind w:firstLine="510"/>
        <w:jc w:val="both"/>
        <w:rPr>
          <w:color w:val="auto"/>
          <w:sz w:val="26"/>
          <w:szCs w:val="26"/>
          <w:lang w:val="en-GB"/>
        </w:rPr>
      </w:pPr>
      <w:r w:rsidRPr="003B7DC7">
        <w:rPr>
          <w:color w:val="auto"/>
          <w:sz w:val="26"/>
          <w:szCs w:val="26"/>
          <w:lang w:val="en-GB"/>
        </w:rPr>
        <w:t xml:space="preserve">Finally, the effect of conservatism on attracting </w:t>
      </w:r>
      <w:r w:rsidR="006460A7" w:rsidRPr="003B7DC7">
        <w:rPr>
          <w:color w:val="auto"/>
          <w:sz w:val="26"/>
          <w:szCs w:val="26"/>
          <w:lang w:val="en-GB"/>
        </w:rPr>
        <w:t xml:space="preserve">foreign investors </w:t>
      </w:r>
      <w:r w:rsidRPr="003B7DC7">
        <w:rPr>
          <w:color w:val="auto"/>
          <w:sz w:val="26"/>
          <w:szCs w:val="26"/>
          <w:lang w:val="en-GB"/>
        </w:rPr>
        <w:t xml:space="preserve">is insignificant in all GCC countries except for KSA </w:t>
      </w:r>
      <w:r w:rsidR="004A48E7" w:rsidRPr="003B7DC7">
        <w:rPr>
          <w:color w:val="auto"/>
          <w:sz w:val="26"/>
          <w:szCs w:val="26"/>
          <w:lang w:val="en-GB"/>
        </w:rPr>
        <w:t xml:space="preserve">as the coefficient of conservatism is negative and significant. This is because </w:t>
      </w:r>
      <w:r w:rsidR="006460A7" w:rsidRPr="003B7DC7">
        <w:rPr>
          <w:color w:val="auto"/>
          <w:sz w:val="26"/>
          <w:szCs w:val="26"/>
          <w:lang w:val="en-GB"/>
        </w:rPr>
        <w:t xml:space="preserve">KSA </w:t>
      </w:r>
      <w:r w:rsidR="00643AF6" w:rsidRPr="003B7DC7">
        <w:rPr>
          <w:color w:val="auto"/>
          <w:sz w:val="26"/>
          <w:szCs w:val="26"/>
          <w:lang w:val="en-GB"/>
        </w:rPr>
        <w:t>firms have good experience with accounting conservatism</w:t>
      </w:r>
      <w:r w:rsidR="007875AD">
        <w:rPr>
          <w:color w:val="auto"/>
          <w:sz w:val="26"/>
          <w:szCs w:val="26"/>
          <w:lang w:val="en-GB"/>
        </w:rPr>
        <w:t>,</w:t>
      </w:r>
      <w:r w:rsidR="00643AF6" w:rsidRPr="003B7DC7">
        <w:rPr>
          <w:color w:val="auto"/>
          <w:sz w:val="26"/>
          <w:szCs w:val="26"/>
          <w:lang w:val="en-GB"/>
        </w:rPr>
        <w:t xml:space="preserve"> as pointed out by Abdul-Malik (2017)</w:t>
      </w:r>
      <w:r w:rsidR="007875AD">
        <w:rPr>
          <w:color w:val="auto"/>
          <w:sz w:val="26"/>
          <w:szCs w:val="26"/>
          <w:lang w:val="en-GB"/>
        </w:rPr>
        <w:t>, which found that conservatism positively affects</w:t>
      </w:r>
      <w:r w:rsidR="00643AF6" w:rsidRPr="003B7DC7">
        <w:rPr>
          <w:color w:val="auto"/>
          <w:sz w:val="26"/>
          <w:szCs w:val="26"/>
          <w:lang w:val="en-GB"/>
        </w:rPr>
        <w:t xml:space="preserve"> the financial reporting quality in KSA. </w:t>
      </w:r>
      <w:r w:rsidR="004A48E7" w:rsidRPr="003B7DC7">
        <w:rPr>
          <w:color w:val="auto"/>
          <w:sz w:val="26"/>
          <w:szCs w:val="26"/>
          <w:lang w:val="en-GB"/>
        </w:rPr>
        <w:t xml:space="preserve">In other countries, the level of conservatism is reasonable as the governmental authorities responsible for </w:t>
      </w:r>
      <w:r w:rsidR="007875AD">
        <w:rPr>
          <w:color w:val="auto"/>
          <w:sz w:val="26"/>
          <w:szCs w:val="26"/>
          <w:lang w:val="en-GB"/>
        </w:rPr>
        <w:t xml:space="preserve">the </w:t>
      </w:r>
      <w:r w:rsidR="004A48E7" w:rsidRPr="003B7DC7">
        <w:rPr>
          <w:color w:val="auto"/>
          <w:sz w:val="26"/>
          <w:szCs w:val="26"/>
          <w:lang w:val="en-GB"/>
        </w:rPr>
        <w:t xml:space="preserve">capital market </w:t>
      </w:r>
      <w:r w:rsidR="006460A7" w:rsidRPr="003B7DC7">
        <w:rPr>
          <w:color w:val="auto"/>
          <w:sz w:val="26"/>
          <w:szCs w:val="26"/>
          <w:lang w:val="en-GB"/>
        </w:rPr>
        <w:t xml:space="preserve">have </w:t>
      </w:r>
      <w:r w:rsidR="004A48E7" w:rsidRPr="003B7DC7">
        <w:rPr>
          <w:color w:val="auto"/>
          <w:sz w:val="26"/>
          <w:szCs w:val="26"/>
          <w:lang w:val="en-GB"/>
        </w:rPr>
        <w:t xml:space="preserve">enough power to </w:t>
      </w:r>
      <w:r w:rsidR="00643AF6" w:rsidRPr="003B7DC7">
        <w:rPr>
          <w:color w:val="auto"/>
          <w:sz w:val="26"/>
          <w:szCs w:val="26"/>
          <w:lang w:val="en-GB"/>
        </w:rPr>
        <w:t>force firm</w:t>
      </w:r>
      <w:r w:rsidR="006460A7" w:rsidRPr="003B7DC7">
        <w:rPr>
          <w:color w:val="auto"/>
          <w:sz w:val="26"/>
          <w:szCs w:val="26"/>
          <w:lang w:val="en-GB"/>
        </w:rPr>
        <w:t>s</w:t>
      </w:r>
      <w:r w:rsidR="00643AF6" w:rsidRPr="003B7DC7">
        <w:rPr>
          <w:color w:val="auto"/>
          <w:sz w:val="26"/>
          <w:szCs w:val="26"/>
          <w:lang w:val="en-GB"/>
        </w:rPr>
        <w:t xml:space="preserve"> to present </w:t>
      </w:r>
      <w:r w:rsidR="006460A7" w:rsidRPr="003B7DC7">
        <w:rPr>
          <w:color w:val="auto"/>
          <w:sz w:val="26"/>
          <w:szCs w:val="26"/>
          <w:lang w:val="en-GB"/>
        </w:rPr>
        <w:t xml:space="preserve">a </w:t>
      </w:r>
      <w:r w:rsidR="00643AF6" w:rsidRPr="003B7DC7">
        <w:rPr>
          <w:color w:val="auto"/>
          <w:sz w:val="26"/>
          <w:szCs w:val="26"/>
          <w:lang w:val="en-GB"/>
        </w:rPr>
        <w:t>reasonable level of conservatism</w:t>
      </w:r>
      <w:r w:rsidR="007875AD">
        <w:rPr>
          <w:color w:val="auto"/>
          <w:sz w:val="26"/>
          <w:szCs w:val="26"/>
          <w:lang w:val="en-GB"/>
        </w:rPr>
        <w:t>,</w:t>
      </w:r>
      <w:r w:rsidR="00643AF6" w:rsidRPr="003B7DC7">
        <w:rPr>
          <w:color w:val="auto"/>
          <w:sz w:val="26"/>
          <w:szCs w:val="26"/>
          <w:lang w:val="en-GB"/>
        </w:rPr>
        <w:t xml:space="preserve"> as pointed out by Hamdan et al.</w:t>
      </w:r>
      <w:r w:rsidR="00944F99" w:rsidRPr="003B7DC7">
        <w:rPr>
          <w:color w:val="auto"/>
          <w:sz w:val="26"/>
          <w:szCs w:val="26"/>
          <w:lang w:val="en-GB"/>
        </w:rPr>
        <w:t xml:space="preserve"> (</w:t>
      </w:r>
      <w:r w:rsidR="00643AF6" w:rsidRPr="003B7DC7">
        <w:rPr>
          <w:color w:val="auto"/>
          <w:sz w:val="26"/>
          <w:szCs w:val="26"/>
          <w:lang w:val="en-GB"/>
        </w:rPr>
        <w:t>2011) in Kuwait.</w:t>
      </w:r>
      <w:r w:rsidR="001F48F8" w:rsidRPr="003B7DC7">
        <w:rPr>
          <w:color w:val="auto"/>
          <w:sz w:val="26"/>
          <w:szCs w:val="26"/>
          <w:lang w:val="en-GB"/>
        </w:rPr>
        <w:t xml:space="preserve"> </w:t>
      </w:r>
      <w:r w:rsidR="00C708B7" w:rsidRPr="003B7DC7">
        <w:rPr>
          <w:color w:val="auto"/>
          <w:sz w:val="26"/>
          <w:szCs w:val="26"/>
          <w:lang w:val="en-GB"/>
        </w:rPr>
        <w:t xml:space="preserve">This result is consistent with </w:t>
      </w:r>
      <w:proofErr w:type="gramStart"/>
      <w:r w:rsidR="00C708B7" w:rsidRPr="003B7DC7">
        <w:rPr>
          <w:color w:val="auto"/>
          <w:sz w:val="26"/>
          <w:szCs w:val="26"/>
          <w:lang w:val="en-GB"/>
        </w:rPr>
        <w:t>An</w:t>
      </w:r>
      <w:proofErr w:type="gramEnd"/>
      <w:r w:rsidR="00C708B7" w:rsidRPr="003B7DC7">
        <w:rPr>
          <w:color w:val="auto"/>
          <w:sz w:val="26"/>
          <w:szCs w:val="26"/>
          <w:lang w:val="en-GB"/>
        </w:rPr>
        <w:t xml:space="preserve"> (2019)</w:t>
      </w:r>
      <w:r w:rsidR="007875AD">
        <w:rPr>
          <w:color w:val="auto"/>
          <w:sz w:val="26"/>
          <w:szCs w:val="26"/>
          <w:lang w:val="en-GB"/>
        </w:rPr>
        <w:t>,</w:t>
      </w:r>
      <w:r w:rsidR="00C708B7" w:rsidRPr="003B7DC7">
        <w:rPr>
          <w:color w:val="auto"/>
          <w:sz w:val="26"/>
          <w:szCs w:val="26"/>
          <w:lang w:val="en-GB"/>
        </w:rPr>
        <w:t xml:space="preserve"> </w:t>
      </w:r>
      <w:r w:rsidR="007875AD">
        <w:rPr>
          <w:color w:val="auto"/>
          <w:sz w:val="26"/>
          <w:szCs w:val="26"/>
          <w:lang w:val="en-GB"/>
        </w:rPr>
        <w:t>which</w:t>
      </w:r>
      <w:r w:rsidR="00C708B7" w:rsidRPr="003B7DC7">
        <w:rPr>
          <w:color w:val="auto"/>
          <w:sz w:val="26"/>
          <w:szCs w:val="26"/>
          <w:lang w:val="en-GB"/>
        </w:rPr>
        <w:t xml:space="preserve"> find</w:t>
      </w:r>
      <w:r w:rsidR="00FE19B6" w:rsidRPr="003B7DC7">
        <w:rPr>
          <w:color w:val="auto"/>
          <w:sz w:val="26"/>
          <w:szCs w:val="26"/>
          <w:lang w:val="en-GB"/>
        </w:rPr>
        <w:t>s</w:t>
      </w:r>
      <w:r w:rsidR="00C708B7" w:rsidRPr="003B7DC7">
        <w:rPr>
          <w:color w:val="auto"/>
          <w:sz w:val="26"/>
          <w:szCs w:val="26"/>
          <w:lang w:val="en-GB"/>
        </w:rPr>
        <w:t xml:space="preserve"> no relationship between conservatism and FI. </w:t>
      </w:r>
    </w:p>
    <w:p w14:paraId="0D9DBAF1" w14:textId="77777777" w:rsidR="00465B97" w:rsidRPr="003B7DC7" w:rsidRDefault="00465B97" w:rsidP="003B7DC7">
      <w:pPr>
        <w:pStyle w:val="Default"/>
        <w:snapToGrid w:val="0"/>
        <w:spacing w:line="360" w:lineRule="exact"/>
        <w:ind w:firstLine="510"/>
        <w:jc w:val="both"/>
        <w:rPr>
          <w:color w:val="auto"/>
          <w:sz w:val="26"/>
          <w:szCs w:val="26"/>
          <w:lang w:val="en-GB"/>
        </w:rPr>
      </w:pPr>
    </w:p>
    <w:p w14:paraId="77196C3D" w14:textId="77777777" w:rsidR="00465B97" w:rsidRPr="00B47B68" w:rsidRDefault="003A2A39" w:rsidP="00B47B68">
      <w:pPr>
        <w:pStyle w:val="Default"/>
        <w:snapToGrid w:val="0"/>
        <w:spacing w:line="360" w:lineRule="exact"/>
        <w:jc w:val="center"/>
        <w:rPr>
          <w:b/>
          <w:color w:val="auto"/>
          <w:sz w:val="26"/>
          <w:szCs w:val="26"/>
          <w:lang w:val="en-GB"/>
        </w:rPr>
      </w:pPr>
      <w:r w:rsidRPr="00B47B68">
        <w:rPr>
          <w:b/>
          <w:color w:val="auto"/>
          <w:sz w:val="26"/>
          <w:szCs w:val="26"/>
          <w:lang w:val="en-GB"/>
        </w:rPr>
        <w:t>CONCLUSIONS</w:t>
      </w:r>
    </w:p>
    <w:p w14:paraId="255A654F" w14:textId="2C7D9B46" w:rsidR="002E34C0" w:rsidRDefault="001303CD" w:rsidP="003B7DC7">
      <w:pPr>
        <w:pStyle w:val="Default"/>
        <w:snapToGrid w:val="0"/>
        <w:spacing w:line="360" w:lineRule="exact"/>
        <w:ind w:firstLine="510"/>
        <w:jc w:val="both"/>
        <w:rPr>
          <w:color w:val="auto"/>
          <w:sz w:val="26"/>
          <w:szCs w:val="26"/>
          <w:lang w:val="en-GB"/>
        </w:rPr>
      </w:pPr>
      <w:r w:rsidRPr="003B7DC7">
        <w:rPr>
          <w:color w:val="auto"/>
          <w:sz w:val="26"/>
          <w:szCs w:val="26"/>
          <w:lang w:val="en-GB"/>
        </w:rPr>
        <w:t xml:space="preserve">This study is one of the first to explore a comprehensive set of EQ measures in </w:t>
      </w:r>
      <w:r w:rsidR="00F55724" w:rsidRPr="003B7DC7">
        <w:rPr>
          <w:color w:val="auto"/>
          <w:sz w:val="26"/>
          <w:szCs w:val="26"/>
          <w:lang w:val="en-GB"/>
        </w:rPr>
        <w:t xml:space="preserve">the </w:t>
      </w:r>
      <w:r w:rsidRPr="003B7DC7">
        <w:rPr>
          <w:color w:val="auto"/>
          <w:sz w:val="26"/>
          <w:szCs w:val="26"/>
          <w:lang w:val="en-GB"/>
        </w:rPr>
        <w:t xml:space="preserve">GCC region. It </w:t>
      </w:r>
      <w:r w:rsidR="00465B97" w:rsidRPr="003B7DC7">
        <w:rPr>
          <w:color w:val="auto"/>
          <w:sz w:val="26"/>
          <w:szCs w:val="26"/>
          <w:lang w:val="en-GB"/>
        </w:rPr>
        <w:t xml:space="preserve">has two main objectives. The first is to measure </w:t>
      </w:r>
      <w:r w:rsidR="006B1C85" w:rsidRPr="003B7DC7">
        <w:rPr>
          <w:color w:val="auto"/>
          <w:sz w:val="26"/>
          <w:szCs w:val="26"/>
          <w:lang w:val="en-GB"/>
        </w:rPr>
        <w:t>EQ</w:t>
      </w:r>
      <w:r w:rsidR="00465B97" w:rsidRPr="003B7DC7">
        <w:rPr>
          <w:color w:val="auto"/>
          <w:sz w:val="26"/>
          <w:szCs w:val="26"/>
          <w:lang w:val="en-GB"/>
        </w:rPr>
        <w:t xml:space="preserve"> in GCC countries </w:t>
      </w:r>
      <w:r w:rsidR="007875AD">
        <w:rPr>
          <w:color w:val="auto"/>
          <w:sz w:val="26"/>
          <w:szCs w:val="26"/>
          <w:lang w:val="en-GB"/>
        </w:rPr>
        <w:t>using nine proxies: persistence, predictability, accrual quality, earnings smoothness, earnings surprise indicator, value relevance (two proxies), and loss recognition timeliness</w:t>
      </w:r>
      <w:r w:rsidR="00465B97" w:rsidRPr="003B7DC7">
        <w:rPr>
          <w:color w:val="auto"/>
          <w:sz w:val="26"/>
          <w:szCs w:val="26"/>
          <w:lang w:val="en-GB"/>
        </w:rPr>
        <w:t xml:space="preserve"> and conservatism. The second one is to examine the effect of these nine proxies on attracting foreign investors.</w:t>
      </w:r>
      <w:r w:rsidR="001F48F8" w:rsidRPr="003B7DC7">
        <w:rPr>
          <w:color w:val="auto"/>
          <w:sz w:val="26"/>
          <w:szCs w:val="26"/>
          <w:lang w:val="en-GB"/>
        </w:rPr>
        <w:t xml:space="preserve"> </w:t>
      </w:r>
      <w:r w:rsidR="005045DB" w:rsidRPr="003B7DC7">
        <w:rPr>
          <w:color w:val="auto"/>
          <w:sz w:val="26"/>
          <w:szCs w:val="26"/>
          <w:lang w:val="en-GB"/>
        </w:rPr>
        <w:t xml:space="preserve"> </w:t>
      </w:r>
      <w:r w:rsidR="00D57B34" w:rsidRPr="003B7DC7">
        <w:rPr>
          <w:color w:val="auto"/>
          <w:sz w:val="26"/>
          <w:szCs w:val="26"/>
          <w:lang w:val="en-GB"/>
        </w:rPr>
        <w:t xml:space="preserve"> </w:t>
      </w:r>
    </w:p>
    <w:p w14:paraId="17F6DE98" w14:textId="77777777" w:rsidR="00B47B68" w:rsidRPr="003B7DC7" w:rsidRDefault="00B47B68" w:rsidP="003B7DC7">
      <w:pPr>
        <w:pStyle w:val="Default"/>
        <w:snapToGrid w:val="0"/>
        <w:spacing w:line="360" w:lineRule="exact"/>
        <w:ind w:firstLine="510"/>
        <w:jc w:val="both"/>
        <w:rPr>
          <w:color w:val="auto"/>
          <w:sz w:val="26"/>
          <w:szCs w:val="26"/>
          <w:lang w:val="en-GB"/>
        </w:rPr>
      </w:pPr>
    </w:p>
    <w:p w14:paraId="4759A4B1" w14:textId="190F31AC" w:rsidR="00112BC7" w:rsidRPr="00B47B68" w:rsidRDefault="00112BC7" w:rsidP="00B47B68">
      <w:pPr>
        <w:pStyle w:val="Default"/>
        <w:snapToGrid w:val="0"/>
        <w:spacing w:line="360" w:lineRule="exact"/>
        <w:jc w:val="both"/>
        <w:rPr>
          <w:b/>
          <w:color w:val="auto"/>
          <w:sz w:val="26"/>
          <w:szCs w:val="26"/>
          <w:lang w:val="en-GB"/>
        </w:rPr>
      </w:pPr>
      <w:r w:rsidRPr="00B47B68">
        <w:rPr>
          <w:b/>
          <w:color w:val="auto"/>
          <w:sz w:val="26"/>
          <w:szCs w:val="26"/>
          <w:lang w:val="en-GB"/>
        </w:rPr>
        <w:t xml:space="preserve">Results of EQ </w:t>
      </w:r>
      <w:r w:rsidR="00A95E4E" w:rsidRPr="00B47B68">
        <w:rPr>
          <w:b/>
          <w:color w:val="auto"/>
          <w:sz w:val="26"/>
          <w:szCs w:val="26"/>
          <w:lang w:val="en-GB"/>
        </w:rPr>
        <w:t xml:space="preserve">Proxies </w:t>
      </w:r>
      <w:r w:rsidRPr="00B47B68">
        <w:rPr>
          <w:b/>
          <w:color w:val="auto"/>
          <w:sz w:val="26"/>
          <w:szCs w:val="26"/>
          <w:lang w:val="en-GB"/>
        </w:rPr>
        <w:t xml:space="preserve">in GCC </w:t>
      </w:r>
      <w:r w:rsidR="00A95E4E" w:rsidRPr="00B47B68">
        <w:rPr>
          <w:b/>
          <w:color w:val="auto"/>
          <w:sz w:val="26"/>
          <w:szCs w:val="26"/>
          <w:lang w:val="en-GB"/>
        </w:rPr>
        <w:t>Countries</w:t>
      </w:r>
    </w:p>
    <w:p w14:paraId="17ED5900" w14:textId="2AFE4104" w:rsidR="00E62EB3" w:rsidRPr="003B7DC7" w:rsidRDefault="00530E44" w:rsidP="003B7DC7">
      <w:pPr>
        <w:pStyle w:val="Default"/>
        <w:snapToGrid w:val="0"/>
        <w:spacing w:line="360" w:lineRule="exact"/>
        <w:ind w:firstLine="510"/>
        <w:jc w:val="both"/>
        <w:rPr>
          <w:color w:val="auto"/>
          <w:sz w:val="26"/>
          <w:szCs w:val="26"/>
          <w:lang w:val="en-GB"/>
        </w:rPr>
      </w:pPr>
      <w:r w:rsidRPr="003B7DC7">
        <w:rPr>
          <w:color w:val="auto"/>
          <w:sz w:val="26"/>
          <w:szCs w:val="26"/>
          <w:lang w:val="en-GB"/>
        </w:rPr>
        <w:t xml:space="preserve">Using a large sample of GCC non-financial firms </w:t>
      </w:r>
      <w:r w:rsidR="007875AD">
        <w:rPr>
          <w:color w:val="auto"/>
          <w:sz w:val="26"/>
          <w:szCs w:val="26"/>
          <w:lang w:val="en-GB"/>
        </w:rPr>
        <w:t>throughout</w:t>
      </w:r>
      <w:r w:rsidR="006460A7" w:rsidRPr="003B7DC7">
        <w:rPr>
          <w:color w:val="auto"/>
          <w:sz w:val="26"/>
          <w:szCs w:val="26"/>
          <w:lang w:val="en-GB"/>
        </w:rPr>
        <w:t xml:space="preserve"> </w:t>
      </w:r>
      <w:r w:rsidRPr="003B7DC7">
        <w:rPr>
          <w:color w:val="auto"/>
          <w:sz w:val="26"/>
          <w:szCs w:val="26"/>
          <w:lang w:val="en-GB"/>
        </w:rPr>
        <w:t>2008</w:t>
      </w:r>
      <w:r w:rsidR="00C87DC6">
        <w:rPr>
          <w:color w:val="auto"/>
          <w:sz w:val="26"/>
          <w:szCs w:val="26"/>
          <w:lang w:val="en-GB"/>
        </w:rPr>
        <w:t>-</w:t>
      </w:r>
      <w:r w:rsidRPr="003B7DC7">
        <w:rPr>
          <w:color w:val="auto"/>
          <w:sz w:val="26"/>
          <w:szCs w:val="26"/>
          <w:lang w:val="en-GB"/>
        </w:rPr>
        <w:t xml:space="preserve">2016, </w:t>
      </w:r>
      <w:r w:rsidR="006460A7" w:rsidRPr="003B7DC7">
        <w:rPr>
          <w:color w:val="auto"/>
          <w:sz w:val="26"/>
          <w:szCs w:val="26"/>
          <w:lang w:val="en-GB"/>
        </w:rPr>
        <w:t xml:space="preserve">we </w:t>
      </w:r>
      <w:r w:rsidRPr="003B7DC7">
        <w:rPr>
          <w:color w:val="auto"/>
          <w:sz w:val="26"/>
          <w:szCs w:val="26"/>
          <w:lang w:val="en-GB"/>
        </w:rPr>
        <w:t>first confirm that EQ</w:t>
      </w:r>
      <w:r w:rsidR="00E62EB3" w:rsidRPr="003B7DC7">
        <w:rPr>
          <w:color w:val="auto"/>
          <w:sz w:val="26"/>
          <w:szCs w:val="26"/>
          <w:lang w:val="en-GB"/>
        </w:rPr>
        <w:t xml:space="preserve"> in terms of user needs</w:t>
      </w:r>
      <w:r w:rsidRPr="003B7DC7">
        <w:rPr>
          <w:color w:val="auto"/>
          <w:sz w:val="26"/>
          <w:szCs w:val="26"/>
          <w:lang w:val="en-GB"/>
        </w:rPr>
        <w:t xml:space="preserve"> has higher quality in </w:t>
      </w:r>
      <w:r w:rsidR="00E62EB3" w:rsidRPr="003B7DC7">
        <w:rPr>
          <w:color w:val="auto"/>
          <w:sz w:val="26"/>
          <w:szCs w:val="26"/>
          <w:lang w:val="en-GB"/>
        </w:rPr>
        <w:t xml:space="preserve">Oman for earnings persistence and ERC, </w:t>
      </w:r>
      <w:r w:rsidR="004959F4" w:rsidRPr="003B7DC7">
        <w:rPr>
          <w:color w:val="auto"/>
          <w:sz w:val="26"/>
          <w:szCs w:val="26"/>
          <w:lang w:val="en-GB"/>
        </w:rPr>
        <w:t>Kuwait</w:t>
      </w:r>
      <w:r w:rsidR="00E62EB3" w:rsidRPr="003B7DC7">
        <w:rPr>
          <w:color w:val="auto"/>
          <w:sz w:val="26"/>
          <w:szCs w:val="26"/>
          <w:lang w:val="en-GB"/>
        </w:rPr>
        <w:t xml:space="preserve"> for value relevance (R2), Bahrain</w:t>
      </w:r>
      <w:r w:rsidR="004959F4" w:rsidRPr="003B7DC7">
        <w:rPr>
          <w:color w:val="auto"/>
          <w:sz w:val="26"/>
          <w:szCs w:val="26"/>
          <w:lang w:val="en-GB"/>
        </w:rPr>
        <w:t xml:space="preserve"> </w:t>
      </w:r>
      <w:r w:rsidR="00E62EB3" w:rsidRPr="003B7DC7">
        <w:rPr>
          <w:color w:val="auto"/>
          <w:sz w:val="26"/>
          <w:szCs w:val="26"/>
          <w:lang w:val="en-GB"/>
        </w:rPr>
        <w:t>for predictability</w:t>
      </w:r>
      <w:r w:rsidR="007875AD">
        <w:rPr>
          <w:color w:val="auto"/>
          <w:sz w:val="26"/>
          <w:szCs w:val="26"/>
          <w:lang w:val="en-GB"/>
        </w:rPr>
        <w:t>,</w:t>
      </w:r>
      <w:r w:rsidR="00E62EB3" w:rsidRPr="003B7DC7">
        <w:rPr>
          <w:color w:val="auto"/>
          <w:sz w:val="26"/>
          <w:szCs w:val="26"/>
          <w:lang w:val="en-GB"/>
        </w:rPr>
        <w:t xml:space="preserve"> and </w:t>
      </w:r>
      <w:r w:rsidR="00E62EB3" w:rsidRPr="003B7DC7">
        <w:rPr>
          <w:color w:val="auto"/>
          <w:sz w:val="26"/>
          <w:szCs w:val="26"/>
          <w:lang w:val="en-GB"/>
        </w:rPr>
        <w:lastRenderedPageBreak/>
        <w:t xml:space="preserve">UAE </w:t>
      </w:r>
      <w:r w:rsidR="006460A7" w:rsidRPr="003B7DC7">
        <w:rPr>
          <w:color w:val="auto"/>
          <w:sz w:val="26"/>
          <w:szCs w:val="26"/>
          <w:lang w:val="en-GB"/>
        </w:rPr>
        <w:t>for</w:t>
      </w:r>
      <w:r w:rsidR="00E62EB3" w:rsidRPr="003B7DC7">
        <w:rPr>
          <w:color w:val="auto"/>
          <w:sz w:val="26"/>
          <w:szCs w:val="26"/>
          <w:lang w:val="en-GB"/>
        </w:rPr>
        <w:t xml:space="preserve"> ESI. EQ in </w:t>
      </w:r>
      <w:r w:rsidRPr="003B7DC7">
        <w:rPr>
          <w:color w:val="auto"/>
          <w:sz w:val="26"/>
          <w:szCs w:val="26"/>
          <w:lang w:val="en-GB"/>
        </w:rPr>
        <w:t>terms of earnings persistence</w:t>
      </w:r>
      <w:r w:rsidR="00E62EB3" w:rsidRPr="003B7DC7">
        <w:rPr>
          <w:color w:val="auto"/>
          <w:sz w:val="26"/>
          <w:szCs w:val="26"/>
          <w:lang w:val="en-GB"/>
        </w:rPr>
        <w:t xml:space="preserve">, predictability, </w:t>
      </w:r>
      <w:r w:rsidR="000D6564" w:rsidRPr="003B7DC7">
        <w:rPr>
          <w:color w:val="auto"/>
          <w:sz w:val="26"/>
          <w:szCs w:val="26"/>
          <w:lang w:val="en-GB"/>
        </w:rPr>
        <w:t>value relevance</w:t>
      </w:r>
      <w:r w:rsidR="00E62EB3" w:rsidRPr="003B7DC7">
        <w:rPr>
          <w:color w:val="auto"/>
          <w:sz w:val="26"/>
          <w:szCs w:val="26"/>
          <w:lang w:val="en-GB"/>
        </w:rPr>
        <w:t xml:space="preserve"> (R2)</w:t>
      </w:r>
      <w:r w:rsidR="000D6564" w:rsidRPr="003B7DC7">
        <w:rPr>
          <w:color w:val="auto"/>
          <w:sz w:val="26"/>
          <w:szCs w:val="26"/>
          <w:lang w:val="en-GB"/>
        </w:rPr>
        <w:t xml:space="preserve"> is low in KSA</w:t>
      </w:r>
      <w:r w:rsidR="006460A7" w:rsidRPr="003B7DC7">
        <w:rPr>
          <w:color w:val="auto"/>
          <w:sz w:val="26"/>
          <w:szCs w:val="26"/>
          <w:lang w:val="en-GB"/>
        </w:rPr>
        <w:t>,</w:t>
      </w:r>
      <w:r w:rsidR="000D6564" w:rsidRPr="003B7DC7">
        <w:rPr>
          <w:color w:val="auto"/>
          <w:sz w:val="26"/>
          <w:szCs w:val="26"/>
          <w:lang w:val="en-GB"/>
        </w:rPr>
        <w:t xml:space="preserve"> </w:t>
      </w:r>
      <w:r w:rsidR="00050EB7" w:rsidRPr="003B7DC7">
        <w:rPr>
          <w:color w:val="auto"/>
          <w:sz w:val="26"/>
          <w:szCs w:val="26"/>
          <w:lang w:val="en-GB"/>
        </w:rPr>
        <w:t>whereas</w:t>
      </w:r>
      <w:r w:rsidR="000D6564" w:rsidRPr="003B7DC7">
        <w:rPr>
          <w:color w:val="auto"/>
          <w:sz w:val="26"/>
          <w:szCs w:val="26"/>
          <w:lang w:val="en-GB"/>
        </w:rPr>
        <w:t xml:space="preserve"> EQ is low in Qatar in terms of ERC and in Kuwait in terms of ESI</w:t>
      </w:r>
      <w:r w:rsidR="004959F4" w:rsidRPr="003B7DC7">
        <w:rPr>
          <w:color w:val="auto"/>
          <w:sz w:val="26"/>
          <w:szCs w:val="26"/>
          <w:lang w:val="en-GB"/>
        </w:rPr>
        <w:t xml:space="preserve">. </w:t>
      </w:r>
      <w:r w:rsidR="00BE6B70" w:rsidRPr="003B7DC7">
        <w:rPr>
          <w:color w:val="auto"/>
          <w:sz w:val="26"/>
          <w:szCs w:val="26"/>
          <w:lang w:val="en-GB"/>
        </w:rPr>
        <w:t>EQ has higher predictability in Bahrain and Oman</w:t>
      </w:r>
      <w:r w:rsidR="006460A7" w:rsidRPr="003B7DC7">
        <w:rPr>
          <w:color w:val="auto"/>
          <w:sz w:val="26"/>
          <w:szCs w:val="26"/>
          <w:lang w:val="en-GB"/>
        </w:rPr>
        <w:t>,</w:t>
      </w:r>
      <w:r w:rsidR="00BE6B70" w:rsidRPr="003B7DC7">
        <w:rPr>
          <w:color w:val="auto"/>
          <w:sz w:val="26"/>
          <w:szCs w:val="26"/>
          <w:lang w:val="en-GB"/>
        </w:rPr>
        <w:t xml:space="preserve"> </w:t>
      </w:r>
      <w:r w:rsidR="006460A7" w:rsidRPr="003B7DC7">
        <w:rPr>
          <w:color w:val="auto"/>
          <w:sz w:val="26"/>
          <w:szCs w:val="26"/>
          <w:lang w:val="en-GB"/>
        </w:rPr>
        <w:t>but</w:t>
      </w:r>
      <w:r w:rsidR="00BE6B70" w:rsidRPr="003B7DC7">
        <w:rPr>
          <w:color w:val="auto"/>
          <w:sz w:val="26"/>
          <w:szCs w:val="26"/>
          <w:lang w:val="en-GB"/>
        </w:rPr>
        <w:t xml:space="preserve"> the predictability is low in KSA. </w:t>
      </w:r>
    </w:p>
    <w:p w14:paraId="077C0B8D" w14:textId="59BFF822" w:rsidR="00012233" w:rsidRDefault="00BE6B70" w:rsidP="003B7DC7">
      <w:pPr>
        <w:pStyle w:val="Default"/>
        <w:snapToGrid w:val="0"/>
        <w:spacing w:line="360" w:lineRule="exact"/>
        <w:ind w:firstLine="510"/>
        <w:jc w:val="both"/>
        <w:rPr>
          <w:color w:val="auto"/>
          <w:sz w:val="26"/>
          <w:szCs w:val="26"/>
          <w:lang w:val="en-GB"/>
        </w:rPr>
      </w:pPr>
      <w:r w:rsidRPr="003B7DC7">
        <w:rPr>
          <w:color w:val="auto"/>
          <w:sz w:val="26"/>
          <w:szCs w:val="26"/>
          <w:lang w:val="en-GB"/>
        </w:rPr>
        <w:t xml:space="preserve">In terms of </w:t>
      </w:r>
      <w:r w:rsidR="000D6564" w:rsidRPr="003B7DC7">
        <w:rPr>
          <w:color w:val="auto"/>
          <w:sz w:val="26"/>
          <w:szCs w:val="26"/>
          <w:lang w:val="en-GB"/>
        </w:rPr>
        <w:t xml:space="preserve">investor protection, EQ is higher in Bahrain and Kuwait with respect to </w:t>
      </w:r>
      <w:r w:rsidRPr="003B7DC7">
        <w:rPr>
          <w:color w:val="auto"/>
          <w:sz w:val="26"/>
          <w:szCs w:val="26"/>
          <w:lang w:val="en-GB"/>
        </w:rPr>
        <w:t>accrual quality</w:t>
      </w:r>
      <w:r w:rsidR="000D6564" w:rsidRPr="003B7DC7">
        <w:rPr>
          <w:color w:val="auto"/>
          <w:sz w:val="26"/>
          <w:szCs w:val="26"/>
          <w:lang w:val="en-GB"/>
        </w:rPr>
        <w:t>. EQ is higher in Bahrain and UAE with respect to earnings smoothness, it is high in terms of TRL in Qatar and UAE</w:t>
      </w:r>
      <w:r w:rsidR="007875AD">
        <w:rPr>
          <w:color w:val="auto"/>
          <w:sz w:val="26"/>
          <w:szCs w:val="26"/>
          <w:lang w:val="en-GB"/>
        </w:rPr>
        <w:t>,</w:t>
      </w:r>
      <w:r w:rsidR="000D6564" w:rsidRPr="003B7DC7">
        <w:rPr>
          <w:color w:val="auto"/>
          <w:sz w:val="26"/>
          <w:szCs w:val="26"/>
          <w:lang w:val="en-GB"/>
        </w:rPr>
        <w:t xml:space="preserve"> and finally</w:t>
      </w:r>
      <w:r w:rsidR="00CB6BCD">
        <w:rPr>
          <w:color w:val="auto"/>
          <w:sz w:val="26"/>
          <w:szCs w:val="26"/>
          <w:lang w:val="en-GB"/>
        </w:rPr>
        <w:t>,</w:t>
      </w:r>
      <w:r w:rsidR="000D6564" w:rsidRPr="003B7DC7">
        <w:rPr>
          <w:color w:val="auto"/>
          <w:sz w:val="26"/>
          <w:szCs w:val="26"/>
          <w:lang w:val="en-GB"/>
        </w:rPr>
        <w:t xml:space="preserve"> it is high in Oman in terms of conservatism. </w:t>
      </w:r>
      <w:r w:rsidR="006460A7" w:rsidRPr="003B7DC7">
        <w:rPr>
          <w:color w:val="auto"/>
          <w:sz w:val="26"/>
          <w:szCs w:val="26"/>
          <w:lang w:val="en-GB"/>
        </w:rPr>
        <w:t xml:space="preserve">Foreign investors </w:t>
      </w:r>
      <w:r w:rsidR="000D6564" w:rsidRPr="003B7DC7">
        <w:rPr>
          <w:color w:val="auto"/>
          <w:sz w:val="26"/>
          <w:szCs w:val="26"/>
          <w:lang w:val="en-GB"/>
        </w:rPr>
        <w:t xml:space="preserve">have less protection in terms of accrual quality in KSA, smoothness in Kuwait, TRL in </w:t>
      </w:r>
      <w:r w:rsidR="00012233" w:rsidRPr="003B7DC7">
        <w:rPr>
          <w:color w:val="auto"/>
          <w:sz w:val="26"/>
          <w:szCs w:val="26"/>
          <w:lang w:val="en-GB"/>
        </w:rPr>
        <w:t>Bahrain</w:t>
      </w:r>
      <w:r w:rsidR="007875AD">
        <w:rPr>
          <w:color w:val="auto"/>
          <w:sz w:val="26"/>
          <w:szCs w:val="26"/>
          <w:lang w:val="en-GB"/>
        </w:rPr>
        <w:t>,</w:t>
      </w:r>
      <w:r w:rsidR="00012233" w:rsidRPr="003B7DC7">
        <w:rPr>
          <w:color w:val="auto"/>
          <w:sz w:val="26"/>
          <w:szCs w:val="26"/>
          <w:lang w:val="en-GB"/>
        </w:rPr>
        <w:t xml:space="preserve"> and conservatism in UAE.</w:t>
      </w:r>
      <w:r w:rsidRPr="003B7DC7">
        <w:rPr>
          <w:color w:val="auto"/>
          <w:sz w:val="26"/>
          <w:szCs w:val="26"/>
          <w:lang w:val="en-GB"/>
        </w:rPr>
        <w:t xml:space="preserve"> </w:t>
      </w:r>
      <w:r w:rsidR="00530E44" w:rsidRPr="003B7DC7">
        <w:rPr>
          <w:color w:val="auto"/>
          <w:sz w:val="26"/>
          <w:szCs w:val="26"/>
          <w:lang w:val="en-GB"/>
        </w:rPr>
        <w:t xml:space="preserve"> </w:t>
      </w:r>
    </w:p>
    <w:p w14:paraId="6762654A" w14:textId="77777777" w:rsidR="003F7FC0" w:rsidRPr="003B7DC7" w:rsidRDefault="003F7FC0" w:rsidP="003B7DC7">
      <w:pPr>
        <w:pStyle w:val="Default"/>
        <w:snapToGrid w:val="0"/>
        <w:spacing w:line="360" w:lineRule="exact"/>
        <w:ind w:firstLine="510"/>
        <w:jc w:val="both"/>
        <w:rPr>
          <w:color w:val="auto"/>
          <w:sz w:val="26"/>
          <w:szCs w:val="26"/>
          <w:lang w:val="en-GB"/>
        </w:rPr>
      </w:pPr>
    </w:p>
    <w:p w14:paraId="719EB380" w14:textId="220553FD" w:rsidR="00112BC7" w:rsidRPr="00B47B68" w:rsidRDefault="00112BC7" w:rsidP="00B47B68">
      <w:pPr>
        <w:pStyle w:val="Default"/>
        <w:snapToGrid w:val="0"/>
        <w:spacing w:line="360" w:lineRule="exact"/>
        <w:jc w:val="both"/>
        <w:rPr>
          <w:b/>
          <w:color w:val="auto"/>
          <w:sz w:val="26"/>
          <w:szCs w:val="26"/>
          <w:lang w:val="en-GB"/>
        </w:rPr>
      </w:pPr>
      <w:r w:rsidRPr="00B47B68">
        <w:rPr>
          <w:b/>
          <w:color w:val="auto"/>
          <w:sz w:val="26"/>
          <w:szCs w:val="26"/>
          <w:lang w:val="en-GB"/>
        </w:rPr>
        <w:t xml:space="preserve">Foreign </w:t>
      </w:r>
      <w:r w:rsidR="00A95E4E" w:rsidRPr="00B47B68">
        <w:rPr>
          <w:b/>
          <w:color w:val="auto"/>
          <w:sz w:val="26"/>
          <w:szCs w:val="26"/>
          <w:lang w:val="en-GB"/>
        </w:rPr>
        <w:t xml:space="preserve">Investors </w:t>
      </w:r>
      <w:r w:rsidRPr="00B47B68">
        <w:rPr>
          <w:b/>
          <w:color w:val="auto"/>
          <w:sz w:val="26"/>
          <w:szCs w:val="26"/>
          <w:lang w:val="en-GB"/>
        </w:rPr>
        <w:t>and EQ</w:t>
      </w:r>
    </w:p>
    <w:p w14:paraId="3CD3DCB1" w14:textId="6A74C70C" w:rsidR="009520F3" w:rsidRDefault="005506C1" w:rsidP="003B7DC7">
      <w:pPr>
        <w:pStyle w:val="Default"/>
        <w:snapToGrid w:val="0"/>
        <w:spacing w:line="360" w:lineRule="exact"/>
        <w:ind w:firstLine="510"/>
        <w:jc w:val="both"/>
        <w:rPr>
          <w:color w:val="auto"/>
          <w:sz w:val="26"/>
          <w:szCs w:val="26"/>
          <w:lang w:val="en-GB"/>
        </w:rPr>
      </w:pPr>
      <w:r w:rsidRPr="003B7DC7">
        <w:rPr>
          <w:color w:val="auto"/>
          <w:sz w:val="26"/>
          <w:szCs w:val="26"/>
          <w:lang w:val="en-GB"/>
        </w:rPr>
        <w:t>F</w:t>
      </w:r>
      <w:r w:rsidR="006460A7" w:rsidRPr="003B7DC7">
        <w:rPr>
          <w:color w:val="auto"/>
          <w:sz w:val="26"/>
          <w:szCs w:val="26"/>
          <w:lang w:val="en-GB"/>
        </w:rPr>
        <w:t>oreign investors</w:t>
      </w:r>
      <w:r w:rsidRPr="003B7DC7">
        <w:rPr>
          <w:color w:val="auto"/>
          <w:sz w:val="26"/>
          <w:szCs w:val="26"/>
          <w:lang w:val="en-GB"/>
        </w:rPr>
        <w:t xml:space="preserve"> </w:t>
      </w:r>
      <w:r w:rsidR="00E66950" w:rsidRPr="003B7DC7">
        <w:rPr>
          <w:color w:val="auto"/>
          <w:sz w:val="26"/>
          <w:szCs w:val="26"/>
          <w:lang w:val="en-GB"/>
        </w:rPr>
        <w:t xml:space="preserve">can take </w:t>
      </w:r>
      <w:r w:rsidR="006460A7" w:rsidRPr="003B7DC7">
        <w:rPr>
          <w:color w:val="auto"/>
          <w:sz w:val="26"/>
          <w:szCs w:val="26"/>
          <w:lang w:val="en-GB"/>
        </w:rPr>
        <w:t>their</w:t>
      </w:r>
      <w:r w:rsidR="00E66950" w:rsidRPr="003B7DC7">
        <w:rPr>
          <w:color w:val="auto"/>
          <w:sz w:val="26"/>
          <w:szCs w:val="26"/>
          <w:lang w:val="en-GB"/>
        </w:rPr>
        <w:t xml:space="preserve"> decision in Oman as persistence</w:t>
      </w:r>
      <w:r w:rsidR="004B6049" w:rsidRPr="003B7DC7">
        <w:rPr>
          <w:color w:val="auto"/>
          <w:sz w:val="26"/>
          <w:szCs w:val="26"/>
          <w:lang w:val="en-GB"/>
        </w:rPr>
        <w:t xml:space="preserve"> and predictability</w:t>
      </w:r>
      <w:r w:rsidR="00E66950" w:rsidRPr="003B7DC7">
        <w:rPr>
          <w:color w:val="auto"/>
          <w:sz w:val="26"/>
          <w:szCs w:val="26"/>
          <w:lang w:val="en-GB"/>
        </w:rPr>
        <w:t xml:space="preserve"> </w:t>
      </w:r>
      <w:r w:rsidR="007875AD">
        <w:rPr>
          <w:color w:val="auto"/>
          <w:sz w:val="26"/>
          <w:szCs w:val="26"/>
          <w:lang w:val="en-GB"/>
        </w:rPr>
        <w:t>positively affect</w:t>
      </w:r>
      <w:r w:rsidR="00E66950" w:rsidRPr="003B7DC7">
        <w:rPr>
          <w:color w:val="auto"/>
          <w:sz w:val="26"/>
          <w:szCs w:val="26"/>
          <w:lang w:val="en-GB"/>
        </w:rPr>
        <w:t xml:space="preserve"> attracting FI but not in other GCC </w:t>
      </w:r>
      <w:r w:rsidR="004B6049" w:rsidRPr="003B7DC7">
        <w:rPr>
          <w:color w:val="auto"/>
          <w:sz w:val="26"/>
          <w:szCs w:val="26"/>
          <w:lang w:val="en-GB"/>
        </w:rPr>
        <w:t>countries</w:t>
      </w:r>
      <w:r w:rsidR="00E66950" w:rsidRPr="003B7DC7">
        <w:rPr>
          <w:color w:val="auto"/>
          <w:sz w:val="26"/>
          <w:szCs w:val="26"/>
          <w:lang w:val="en-GB"/>
        </w:rPr>
        <w:t>.</w:t>
      </w:r>
      <w:r w:rsidR="004B6049" w:rsidRPr="003B7DC7">
        <w:rPr>
          <w:color w:val="auto"/>
          <w:sz w:val="26"/>
          <w:szCs w:val="26"/>
          <w:lang w:val="en-GB"/>
        </w:rPr>
        <w:t xml:space="preserve"> Predictability has </w:t>
      </w:r>
      <w:r w:rsidR="007875AD">
        <w:rPr>
          <w:color w:val="auto"/>
          <w:sz w:val="26"/>
          <w:szCs w:val="26"/>
          <w:lang w:val="en-GB"/>
        </w:rPr>
        <w:t xml:space="preserve">a </w:t>
      </w:r>
      <w:r w:rsidR="004B6049" w:rsidRPr="003B7DC7">
        <w:rPr>
          <w:color w:val="auto"/>
          <w:sz w:val="26"/>
          <w:szCs w:val="26"/>
          <w:lang w:val="en-GB"/>
        </w:rPr>
        <w:t>negative effect on attracting FI in KSA and Kuwait</w:t>
      </w:r>
      <w:r w:rsidR="006460A7" w:rsidRPr="003B7DC7">
        <w:rPr>
          <w:color w:val="auto"/>
          <w:sz w:val="26"/>
          <w:szCs w:val="26"/>
          <w:lang w:val="en-GB"/>
        </w:rPr>
        <w:t>,</w:t>
      </w:r>
      <w:r w:rsidR="004B6049" w:rsidRPr="003B7DC7">
        <w:rPr>
          <w:color w:val="auto"/>
          <w:sz w:val="26"/>
          <w:szCs w:val="26"/>
          <w:lang w:val="en-GB"/>
        </w:rPr>
        <w:t xml:space="preserve"> which means that this measure </w:t>
      </w:r>
      <w:r w:rsidR="006460A7" w:rsidRPr="003B7DC7">
        <w:rPr>
          <w:color w:val="auto"/>
          <w:sz w:val="26"/>
          <w:szCs w:val="26"/>
          <w:lang w:val="en-GB"/>
        </w:rPr>
        <w:t>is not a</w:t>
      </w:r>
      <w:r w:rsidR="004B6049" w:rsidRPr="003B7DC7">
        <w:rPr>
          <w:color w:val="auto"/>
          <w:sz w:val="26"/>
          <w:szCs w:val="26"/>
          <w:lang w:val="en-GB"/>
        </w:rPr>
        <w:t xml:space="preserve"> good indicator for FI</w:t>
      </w:r>
      <w:r w:rsidR="007875AD">
        <w:rPr>
          <w:rFonts w:eastAsia="新細明體"/>
          <w:color w:val="auto"/>
          <w:sz w:val="26"/>
          <w:szCs w:val="26"/>
          <w:lang w:val="en-GB" w:eastAsia="zh-TW"/>
        </w:rPr>
        <w:t xml:space="preserve"> and cannot use the current earnings to predict</w:t>
      </w:r>
      <w:r w:rsidR="004B6049" w:rsidRPr="003B7DC7">
        <w:rPr>
          <w:color w:val="auto"/>
          <w:sz w:val="26"/>
          <w:szCs w:val="26"/>
          <w:lang w:val="en-GB"/>
        </w:rPr>
        <w:t xml:space="preserve"> future earnings. ERC has </w:t>
      </w:r>
      <w:r w:rsidR="007875AD">
        <w:rPr>
          <w:color w:val="auto"/>
          <w:sz w:val="26"/>
          <w:szCs w:val="26"/>
          <w:lang w:val="en-GB"/>
        </w:rPr>
        <w:t xml:space="preserve">a </w:t>
      </w:r>
      <w:r w:rsidR="004B6049" w:rsidRPr="003B7DC7">
        <w:rPr>
          <w:color w:val="auto"/>
          <w:sz w:val="26"/>
          <w:szCs w:val="26"/>
          <w:lang w:val="en-GB"/>
        </w:rPr>
        <w:t>positive effect on attracting FI in Oman and Kuwait</w:t>
      </w:r>
      <w:r w:rsidR="006460A7" w:rsidRPr="003B7DC7">
        <w:rPr>
          <w:color w:val="auto"/>
          <w:sz w:val="26"/>
          <w:szCs w:val="26"/>
          <w:lang w:val="en-GB"/>
        </w:rPr>
        <w:t>,</w:t>
      </w:r>
      <w:r w:rsidR="004B6049" w:rsidRPr="003B7DC7">
        <w:rPr>
          <w:color w:val="auto"/>
          <w:sz w:val="26"/>
          <w:szCs w:val="26"/>
          <w:lang w:val="en-GB"/>
        </w:rPr>
        <w:t xml:space="preserve"> indicating that FI can predict the variations in share price</w:t>
      </w:r>
      <w:r w:rsidR="007875AD">
        <w:rPr>
          <w:color w:val="auto"/>
          <w:sz w:val="26"/>
          <w:szCs w:val="26"/>
          <w:lang w:val="en-GB"/>
        </w:rPr>
        <w:t>,</w:t>
      </w:r>
      <w:r w:rsidR="004B6049" w:rsidRPr="003B7DC7">
        <w:rPr>
          <w:color w:val="auto"/>
          <w:sz w:val="26"/>
          <w:szCs w:val="26"/>
          <w:lang w:val="en-GB"/>
        </w:rPr>
        <w:t xml:space="preserve"> but it has </w:t>
      </w:r>
      <w:r w:rsidR="007875AD">
        <w:rPr>
          <w:color w:val="auto"/>
          <w:sz w:val="26"/>
          <w:szCs w:val="26"/>
          <w:lang w:val="en-GB"/>
        </w:rPr>
        <w:t xml:space="preserve">a </w:t>
      </w:r>
      <w:r w:rsidR="004B6049" w:rsidRPr="003B7DC7">
        <w:rPr>
          <w:color w:val="auto"/>
          <w:sz w:val="26"/>
          <w:szCs w:val="26"/>
          <w:lang w:val="en-GB"/>
        </w:rPr>
        <w:t xml:space="preserve">negative </w:t>
      </w:r>
      <w:r w:rsidR="006460A7" w:rsidRPr="003B7DC7">
        <w:rPr>
          <w:color w:val="auto"/>
          <w:sz w:val="26"/>
          <w:szCs w:val="26"/>
          <w:lang w:val="en-GB"/>
        </w:rPr>
        <w:t xml:space="preserve">effect </w:t>
      </w:r>
      <w:r w:rsidR="004B6049" w:rsidRPr="003B7DC7">
        <w:rPr>
          <w:color w:val="auto"/>
          <w:sz w:val="26"/>
          <w:szCs w:val="26"/>
          <w:lang w:val="en-GB"/>
        </w:rPr>
        <w:t xml:space="preserve">in KSA as FI </w:t>
      </w:r>
      <w:r w:rsidR="009520F3" w:rsidRPr="003B7DC7">
        <w:rPr>
          <w:color w:val="auto"/>
          <w:sz w:val="26"/>
          <w:szCs w:val="26"/>
          <w:lang w:val="en-GB"/>
        </w:rPr>
        <w:t xml:space="preserve">cannot predict </w:t>
      </w:r>
      <w:r w:rsidR="00703B43" w:rsidRPr="003B7DC7">
        <w:rPr>
          <w:color w:val="auto"/>
          <w:sz w:val="26"/>
          <w:szCs w:val="26"/>
          <w:lang w:val="en-GB"/>
        </w:rPr>
        <w:t>these variances</w:t>
      </w:r>
      <w:r w:rsidR="009520F3" w:rsidRPr="003B7DC7">
        <w:rPr>
          <w:color w:val="auto"/>
          <w:sz w:val="26"/>
          <w:szCs w:val="26"/>
          <w:lang w:val="en-GB"/>
        </w:rPr>
        <w:t xml:space="preserve"> in share price. </w:t>
      </w:r>
      <w:r w:rsidR="006460A7" w:rsidRPr="003B7DC7">
        <w:rPr>
          <w:color w:val="auto"/>
          <w:sz w:val="26"/>
          <w:szCs w:val="26"/>
          <w:lang w:val="en-GB"/>
        </w:rPr>
        <w:t>V</w:t>
      </w:r>
      <w:r w:rsidR="009520F3" w:rsidRPr="003B7DC7">
        <w:rPr>
          <w:color w:val="auto"/>
          <w:sz w:val="26"/>
          <w:szCs w:val="26"/>
          <w:lang w:val="en-GB"/>
        </w:rPr>
        <w:t xml:space="preserve">alue relevance in Kuwait </w:t>
      </w:r>
      <w:r w:rsidR="007875AD">
        <w:rPr>
          <w:color w:val="auto"/>
          <w:sz w:val="26"/>
          <w:szCs w:val="26"/>
          <w:lang w:val="en-GB"/>
        </w:rPr>
        <w:t>positively affects FI, which means a good relationship between book value, EPS,</w:t>
      </w:r>
      <w:r w:rsidR="009520F3" w:rsidRPr="003B7DC7">
        <w:rPr>
          <w:color w:val="auto"/>
          <w:sz w:val="26"/>
          <w:szCs w:val="26"/>
          <w:lang w:val="en-GB"/>
        </w:rPr>
        <w:t xml:space="preserve"> and share price</w:t>
      </w:r>
      <w:r w:rsidR="006460A7" w:rsidRPr="003B7DC7">
        <w:rPr>
          <w:color w:val="auto"/>
          <w:sz w:val="26"/>
          <w:szCs w:val="26"/>
          <w:lang w:val="en-GB"/>
        </w:rPr>
        <w:t>.</w:t>
      </w:r>
      <w:r w:rsidR="009520F3" w:rsidRPr="003B7DC7">
        <w:rPr>
          <w:color w:val="auto"/>
          <w:sz w:val="26"/>
          <w:szCs w:val="26"/>
          <w:lang w:val="en-GB"/>
        </w:rPr>
        <w:t xml:space="preserve"> </w:t>
      </w:r>
      <w:r w:rsidR="006460A7" w:rsidRPr="003B7DC7">
        <w:rPr>
          <w:color w:val="auto"/>
          <w:sz w:val="26"/>
          <w:szCs w:val="26"/>
          <w:lang w:val="en-GB"/>
        </w:rPr>
        <w:t xml:space="preserve">However, </w:t>
      </w:r>
      <w:r w:rsidR="009520F3" w:rsidRPr="003B7DC7">
        <w:rPr>
          <w:color w:val="auto"/>
          <w:sz w:val="26"/>
          <w:szCs w:val="26"/>
          <w:lang w:val="en-GB"/>
        </w:rPr>
        <w:t>this relationship is negative in KSA, Oman</w:t>
      </w:r>
      <w:r w:rsidR="007875AD">
        <w:rPr>
          <w:color w:val="auto"/>
          <w:sz w:val="26"/>
          <w:szCs w:val="26"/>
          <w:lang w:val="en-GB"/>
        </w:rPr>
        <w:t>,</w:t>
      </w:r>
      <w:r w:rsidR="009520F3" w:rsidRPr="003B7DC7">
        <w:rPr>
          <w:color w:val="auto"/>
          <w:sz w:val="26"/>
          <w:szCs w:val="26"/>
          <w:lang w:val="en-GB"/>
        </w:rPr>
        <w:t xml:space="preserve"> and UAE</w:t>
      </w:r>
      <w:r w:rsidR="007875AD">
        <w:rPr>
          <w:color w:val="auto"/>
          <w:sz w:val="26"/>
          <w:szCs w:val="26"/>
          <w:lang w:val="en-GB"/>
        </w:rPr>
        <w:t>,</w:t>
      </w:r>
      <w:r w:rsidR="009520F3" w:rsidRPr="003B7DC7">
        <w:rPr>
          <w:color w:val="auto"/>
          <w:sz w:val="26"/>
          <w:szCs w:val="26"/>
          <w:lang w:val="en-GB"/>
        </w:rPr>
        <w:t xml:space="preserve"> indicating that </w:t>
      </w:r>
      <w:r w:rsidR="006460A7" w:rsidRPr="003B7DC7">
        <w:rPr>
          <w:color w:val="auto"/>
          <w:sz w:val="26"/>
          <w:szCs w:val="26"/>
          <w:lang w:val="en-GB"/>
        </w:rPr>
        <w:t>foreign investors have</w:t>
      </w:r>
      <w:r w:rsidR="009520F3" w:rsidRPr="003B7DC7">
        <w:rPr>
          <w:color w:val="auto"/>
          <w:sz w:val="26"/>
          <w:szCs w:val="26"/>
          <w:lang w:val="en-GB"/>
        </w:rPr>
        <w:t xml:space="preserve"> doubts about increasing share price</w:t>
      </w:r>
      <w:r w:rsidR="007875AD">
        <w:rPr>
          <w:color w:val="auto"/>
          <w:sz w:val="26"/>
          <w:szCs w:val="26"/>
          <w:lang w:val="en-GB"/>
        </w:rPr>
        <w:t>s</w:t>
      </w:r>
      <w:r w:rsidR="009520F3" w:rsidRPr="003B7DC7">
        <w:rPr>
          <w:color w:val="auto"/>
          <w:sz w:val="26"/>
          <w:szCs w:val="26"/>
          <w:lang w:val="en-GB"/>
        </w:rPr>
        <w:t>. Accruals quality positive</w:t>
      </w:r>
      <w:r w:rsidR="007875AD">
        <w:rPr>
          <w:color w:val="auto"/>
          <w:sz w:val="26"/>
          <w:szCs w:val="26"/>
          <w:lang w:val="en-GB"/>
        </w:rPr>
        <w:t>ly</w:t>
      </w:r>
      <w:r w:rsidR="009520F3" w:rsidRPr="003B7DC7">
        <w:rPr>
          <w:color w:val="auto"/>
          <w:sz w:val="26"/>
          <w:szCs w:val="26"/>
          <w:lang w:val="en-GB"/>
        </w:rPr>
        <w:t xml:space="preserve"> </w:t>
      </w:r>
      <w:r w:rsidR="007875AD">
        <w:rPr>
          <w:color w:val="auto"/>
          <w:sz w:val="26"/>
          <w:szCs w:val="26"/>
          <w:lang w:val="en-GB"/>
        </w:rPr>
        <w:t>a</w:t>
      </w:r>
      <w:r w:rsidR="009520F3" w:rsidRPr="003B7DC7">
        <w:rPr>
          <w:color w:val="auto"/>
          <w:sz w:val="26"/>
          <w:szCs w:val="26"/>
          <w:lang w:val="en-GB"/>
        </w:rPr>
        <w:t>ffect</w:t>
      </w:r>
      <w:r w:rsidR="007875AD">
        <w:rPr>
          <w:color w:val="auto"/>
          <w:sz w:val="26"/>
          <w:szCs w:val="26"/>
          <w:lang w:val="en-GB"/>
        </w:rPr>
        <w:t>s</w:t>
      </w:r>
      <w:r w:rsidR="009520F3" w:rsidRPr="003B7DC7">
        <w:rPr>
          <w:color w:val="auto"/>
          <w:sz w:val="26"/>
          <w:szCs w:val="26"/>
          <w:lang w:val="en-GB"/>
        </w:rPr>
        <w:t xml:space="preserve"> attracting FI in Oman</w:t>
      </w:r>
      <w:r w:rsidR="006460A7" w:rsidRPr="003B7DC7">
        <w:rPr>
          <w:color w:val="auto"/>
          <w:sz w:val="26"/>
          <w:szCs w:val="26"/>
          <w:lang w:val="en-GB"/>
        </w:rPr>
        <w:t>,</w:t>
      </w:r>
      <w:r w:rsidR="009520F3" w:rsidRPr="003B7DC7">
        <w:rPr>
          <w:color w:val="auto"/>
          <w:sz w:val="26"/>
          <w:szCs w:val="26"/>
          <w:lang w:val="en-GB"/>
        </w:rPr>
        <w:t xml:space="preserve"> indicating that accrual can be quickly convert</w:t>
      </w:r>
      <w:r w:rsidR="006460A7" w:rsidRPr="003B7DC7">
        <w:rPr>
          <w:color w:val="auto"/>
          <w:sz w:val="26"/>
          <w:szCs w:val="26"/>
          <w:lang w:val="en-GB"/>
        </w:rPr>
        <w:t>ed</w:t>
      </w:r>
      <w:r w:rsidR="009520F3" w:rsidRPr="003B7DC7">
        <w:rPr>
          <w:color w:val="auto"/>
          <w:sz w:val="26"/>
          <w:szCs w:val="26"/>
          <w:lang w:val="en-GB"/>
        </w:rPr>
        <w:t xml:space="preserve"> into cash</w:t>
      </w:r>
      <w:r w:rsidR="006460A7" w:rsidRPr="003B7DC7">
        <w:rPr>
          <w:color w:val="auto"/>
          <w:sz w:val="26"/>
          <w:szCs w:val="26"/>
          <w:lang w:val="en-GB"/>
        </w:rPr>
        <w:t>.</w:t>
      </w:r>
      <w:r w:rsidR="009520F3" w:rsidRPr="003B7DC7">
        <w:rPr>
          <w:color w:val="auto"/>
          <w:sz w:val="26"/>
          <w:szCs w:val="26"/>
          <w:lang w:val="en-GB"/>
        </w:rPr>
        <w:t xml:space="preserve"> </w:t>
      </w:r>
      <w:r w:rsidR="006460A7" w:rsidRPr="003B7DC7">
        <w:rPr>
          <w:color w:val="auto"/>
          <w:sz w:val="26"/>
          <w:szCs w:val="26"/>
          <w:lang w:val="en-GB"/>
        </w:rPr>
        <w:t>A</w:t>
      </w:r>
      <w:r w:rsidR="009520F3" w:rsidRPr="003B7DC7">
        <w:rPr>
          <w:color w:val="auto"/>
          <w:sz w:val="26"/>
          <w:szCs w:val="26"/>
          <w:lang w:val="en-GB"/>
        </w:rPr>
        <w:t>ccrual needs more time to convert into cash in KSA</w:t>
      </w:r>
      <w:r w:rsidR="007875AD">
        <w:rPr>
          <w:color w:val="auto"/>
          <w:sz w:val="26"/>
          <w:szCs w:val="26"/>
          <w:lang w:val="en-GB"/>
        </w:rPr>
        <w:t>,</w:t>
      </w:r>
      <w:r w:rsidR="009520F3" w:rsidRPr="003B7DC7">
        <w:rPr>
          <w:color w:val="auto"/>
          <w:sz w:val="26"/>
          <w:szCs w:val="26"/>
          <w:lang w:val="en-GB"/>
        </w:rPr>
        <w:t xml:space="preserve"> </w:t>
      </w:r>
      <w:r w:rsidR="006460A7" w:rsidRPr="003B7DC7">
        <w:rPr>
          <w:color w:val="auto"/>
          <w:sz w:val="26"/>
          <w:szCs w:val="26"/>
          <w:lang w:val="en-GB"/>
        </w:rPr>
        <w:t>though</w:t>
      </w:r>
      <w:r w:rsidR="007875AD">
        <w:rPr>
          <w:color w:val="auto"/>
          <w:sz w:val="26"/>
          <w:szCs w:val="26"/>
          <w:lang w:val="en-GB"/>
        </w:rPr>
        <w:t>,</w:t>
      </w:r>
      <w:r w:rsidR="006460A7" w:rsidRPr="003B7DC7">
        <w:rPr>
          <w:color w:val="auto"/>
          <w:sz w:val="26"/>
          <w:szCs w:val="26"/>
          <w:lang w:val="en-GB"/>
        </w:rPr>
        <w:t xml:space="preserve"> </w:t>
      </w:r>
      <w:r w:rsidR="009520F3" w:rsidRPr="003B7DC7">
        <w:rPr>
          <w:color w:val="auto"/>
          <w:sz w:val="26"/>
          <w:szCs w:val="26"/>
          <w:lang w:val="en-GB"/>
        </w:rPr>
        <w:t xml:space="preserve">as the association between accrual and FI </w:t>
      </w:r>
      <w:r w:rsidR="007875AD" w:rsidRPr="003B7DC7">
        <w:rPr>
          <w:color w:val="auto"/>
          <w:sz w:val="26"/>
          <w:szCs w:val="26"/>
          <w:lang w:val="en-GB"/>
        </w:rPr>
        <w:t>i</w:t>
      </w:r>
      <w:r w:rsidR="007875AD">
        <w:rPr>
          <w:color w:val="auto"/>
          <w:sz w:val="26"/>
          <w:szCs w:val="26"/>
          <w:lang w:val="en-GB"/>
        </w:rPr>
        <w:t>s</w:t>
      </w:r>
      <w:r w:rsidR="007875AD" w:rsidRPr="003B7DC7">
        <w:rPr>
          <w:color w:val="auto"/>
          <w:sz w:val="26"/>
          <w:szCs w:val="26"/>
          <w:lang w:val="en-GB"/>
        </w:rPr>
        <w:t xml:space="preserve"> </w:t>
      </w:r>
      <w:r w:rsidR="009520F3" w:rsidRPr="003B7DC7">
        <w:rPr>
          <w:color w:val="auto"/>
          <w:sz w:val="26"/>
          <w:szCs w:val="26"/>
          <w:lang w:val="en-GB"/>
        </w:rPr>
        <w:t xml:space="preserve">negative. Conservatism </w:t>
      </w:r>
      <w:r w:rsidR="00C950E1">
        <w:rPr>
          <w:color w:val="auto"/>
          <w:sz w:val="26"/>
          <w:szCs w:val="26"/>
          <w:lang w:val="en-GB"/>
        </w:rPr>
        <w:t>negatively affects</w:t>
      </w:r>
      <w:r w:rsidR="009520F3" w:rsidRPr="003B7DC7">
        <w:rPr>
          <w:color w:val="auto"/>
          <w:sz w:val="26"/>
          <w:szCs w:val="26"/>
          <w:lang w:val="en-GB"/>
        </w:rPr>
        <w:t xml:space="preserve"> KSA</w:t>
      </w:r>
      <w:r w:rsidR="006460A7" w:rsidRPr="003B7DC7">
        <w:rPr>
          <w:color w:val="auto"/>
          <w:sz w:val="26"/>
          <w:szCs w:val="26"/>
          <w:lang w:val="en-GB"/>
        </w:rPr>
        <w:t>,</w:t>
      </w:r>
      <w:r w:rsidR="009520F3" w:rsidRPr="003B7DC7">
        <w:rPr>
          <w:color w:val="auto"/>
          <w:sz w:val="26"/>
          <w:szCs w:val="26"/>
          <w:lang w:val="en-GB"/>
        </w:rPr>
        <w:t xml:space="preserve"> indicating that the firms should keep reasonable conservatism to attract more </w:t>
      </w:r>
      <w:r w:rsidR="006460A7" w:rsidRPr="003B7DC7">
        <w:rPr>
          <w:color w:val="auto"/>
          <w:sz w:val="26"/>
          <w:szCs w:val="26"/>
          <w:lang w:val="en-GB"/>
        </w:rPr>
        <w:t>foreign investors</w:t>
      </w:r>
      <w:r w:rsidR="009520F3" w:rsidRPr="003B7DC7">
        <w:rPr>
          <w:color w:val="auto"/>
          <w:sz w:val="26"/>
          <w:szCs w:val="26"/>
          <w:lang w:val="en-GB"/>
        </w:rPr>
        <w:t>. Finally, ESI,</w:t>
      </w:r>
      <w:r w:rsidR="00503655" w:rsidRPr="003B7DC7">
        <w:rPr>
          <w:color w:val="auto"/>
          <w:sz w:val="26"/>
          <w:szCs w:val="26"/>
          <w:lang w:val="en-GB"/>
        </w:rPr>
        <w:t xml:space="preserve"> </w:t>
      </w:r>
      <w:r w:rsidR="009520F3" w:rsidRPr="003B7DC7">
        <w:rPr>
          <w:color w:val="auto"/>
          <w:sz w:val="26"/>
          <w:szCs w:val="26"/>
          <w:lang w:val="en-GB"/>
        </w:rPr>
        <w:t>SM</w:t>
      </w:r>
      <w:r w:rsidR="007875AD">
        <w:rPr>
          <w:color w:val="auto"/>
          <w:sz w:val="26"/>
          <w:szCs w:val="26"/>
          <w:lang w:val="en-GB"/>
        </w:rPr>
        <w:t>,</w:t>
      </w:r>
      <w:r w:rsidR="009520F3" w:rsidRPr="003B7DC7">
        <w:rPr>
          <w:color w:val="auto"/>
          <w:sz w:val="26"/>
          <w:szCs w:val="26"/>
          <w:lang w:val="en-GB"/>
        </w:rPr>
        <w:t xml:space="preserve"> and TRL </w:t>
      </w:r>
      <w:r w:rsidR="006460A7" w:rsidRPr="003B7DC7">
        <w:rPr>
          <w:color w:val="auto"/>
          <w:sz w:val="26"/>
          <w:szCs w:val="26"/>
          <w:lang w:val="en-GB"/>
        </w:rPr>
        <w:t xml:space="preserve">do </w:t>
      </w:r>
      <w:r w:rsidR="009520F3" w:rsidRPr="003B7DC7">
        <w:rPr>
          <w:color w:val="auto"/>
          <w:sz w:val="26"/>
          <w:szCs w:val="26"/>
          <w:lang w:val="en-GB"/>
        </w:rPr>
        <w:t xml:space="preserve">not </w:t>
      </w:r>
      <w:r w:rsidR="007875AD">
        <w:rPr>
          <w:color w:val="auto"/>
          <w:sz w:val="26"/>
          <w:szCs w:val="26"/>
          <w:lang w:val="en-GB"/>
        </w:rPr>
        <w:t>a</w:t>
      </w:r>
      <w:r w:rsidR="009520F3" w:rsidRPr="003B7DC7">
        <w:rPr>
          <w:color w:val="auto"/>
          <w:sz w:val="26"/>
          <w:szCs w:val="26"/>
          <w:lang w:val="en-GB"/>
        </w:rPr>
        <w:t>ffect attracting foreign investors to GCC capital markets.</w:t>
      </w:r>
      <w:r w:rsidR="002C7835" w:rsidRPr="003B7DC7">
        <w:rPr>
          <w:color w:val="auto"/>
          <w:sz w:val="26"/>
          <w:szCs w:val="26"/>
          <w:lang w:val="en-GB"/>
        </w:rPr>
        <w:t xml:space="preserve"> Control variables have different effect</w:t>
      </w:r>
      <w:r w:rsidR="006460A7" w:rsidRPr="003B7DC7">
        <w:rPr>
          <w:color w:val="auto"/>
          <w:sz w:val="26"/>
          <w:szCs w:val="26"/>
          <w:lang w:val="en-GB"/>
        </w:rPr>
        <w:t>s</w:t>
      </w:r>
      <w:r w:rsidR="002C7835" w:rsidRPr="003B7DC7">
        <w:rPr>
          <w:color w:val="auto"/>
          <w:sz w:val="26"/>
          <w:szCs w:val="26"/>
          <w:lang w:val="en-GB"/>
        </w:rPr>
        <w:t xml:space="preserve"> on foreign investors</w:t>
      </w:r>
      <w:r w:rsidR="006460A7" w:rsidRPr="003B7DC7">
        <w:rPr>
          <w:color w:val="auto"/>
          <w:sz w:val="26"/>
          <w:szCs w:val="26"/>
          <w:lang w:val="en-GB"/>
        </w:rPr>
        <w:t>,</w:t>
      </w:r>
      <w:r w:rsidR="002C7835" w:rsidRPr="003B7DC7">
        <w:rPr>
          <w:color w:val="auto"/>
          <w:sz w:val="26"/>
          <w:szCs w:val="26"/>
          <w:lang w:val="en-GB"/>
        </w:rPr>
        <w:t xml:space="preserve"> confirming the significance of these variables</w:t>
      </w:r>
      <w:r w:rsidR="006460A7" w:rsidRPr="003B7DC7">
        <w:rPr>
          <w:color w:val="auto"/>
          <w:sz w:val="26"/>
          <w:szCs w:val="26"/>
          <w:lang w:val="en-GB"/>
        </w:rPr>
        <w:t>.</w:t>
      </w:r>
      <w:r w:rsidR="002C7835" w:rsidRPr="003B7DC7">
        <w:rPr>
          <w:color w:val="auto"/>
          <w:sz w:val="26"/>
          <w:szCs w:val="26"/>
          <w:lang w:val="en-GB"/>
        </w:rPr>
        <w:t xml:space="preserve"> </w:t>
      </w:r>
      <w:r w:rsidR="006460A7" w:rsidRPr="003B7DC7">
        <w:rPr>
          <w:color w:val="auto"/>
          <w:sz w:val="26"/>
          <w:szCs w:val="26"/>
          <w:lang w:val="en-GB"/>
        </w:rPr>
        <w:t>T</w:t>
      </w:r>
      <w:r w:rsidR="002C7835" w:rsidRPr="003B7DC7">
        <w:rPr>
          <w:color w:val="auto"/>
          <w:sz w:val="26"/>
          <w:szCs w:val="26"/>
          <w:lang w:val="en-GB"/>
        </w:rPr>
        <w:t xml:space="preserve">hey </w:t>
      </w:r>
      <w:r w:rsidR="006460A7" w:rsidRPr="003B7DC7">
        <w:rPr>
          <w:color w:val="auto"/>
          <w:sz w:val="26"/>
          <w:szCs w:val="26"/>
          <w:lang w:val="en-GB"/>
        </w:rPr>
        <w:t xml:space="preserve">also </w:t>
      </w:r>
      <w:r w:rsidR="002C7835" w:rsidRPr="003B7DC7">
        <w:rPr>
          <w:color w:val="auto"/>
          <w:sz w:val="26"/>
          <w:szCs w:val="26"/>
          <w:lang w:val="en-GB"/>
        </w:rPr>
        <w:t>improve the regression models.</w:t>
      </w:r>
      <w:r w:rsidR="00B5333E" w:rsidRPr="003B7DC7">
        <w:rPr>
          <w:color w:val="auto"/>
          <w:sz w:val="26"/>
          <w:szCs w:val="26"/>
          <w:lang w:val="en-GB"/>
        </w:rPr>
        <w:t xml:space="preserve"> Table 23 summarized the results of the effect of EQ proxies on FI in all six GCC countries. </w:t>
      </w:r>
    </w:p>
    <w:p w14:paraId="2F2A06E7" w14:textId="77777777" w:rsidR="003F7FC0" w:rsidRPr="003B7DC7" w:rsidRDefault="003F7FC0" w:rsidP="003B7DC7">
      <w:pPr>
        <w:pStyle w:val="Default"/>
        <w:snapToGrid w:val="0"/>
        <w:spacing w:line="360" w:lineRule="exact"/>
        <w:ind w:firstLine="510"/>
        <w:jc w:val="both"/>
        <w:rPr>
          <w:color w:val="auto"/>
          <w:sz w:val="26"/>
          <w:szCs w:val="26"/>
          <w:lang w:val="en-GB"/>
        </w:rPr>
      </w:pPr>
    </w:p>
    <w:p w14:paraId="3F970E4A" w14:textId="77777777" w:rsidR="003F7FC0" w:rsidRDefault="003F7FC0">
      <w:pPr>
        <w:rPr>
          <w:rFonts w:asciiTheme="majorBidi" w:hAnsiTheme="majorBidi"/>
          <w:b/>
          <w:sz w:val="26"/>
        </w:rPr>
      </w:pPr>
      <w:r>
        <w:rPr>
          <w:rFonts w:asciiTheme="majorBidi" w:hAnsiTheme="majorBidi"/>
          <w:b/>
          <w:sz w:val="26"/>
        </w:rPr>
        <w:br w:type="page"/>
      </w:r>
    </w:p>
    <w:p w14:paraId="292B0E5A" w14:textId="64D44CE6" w:rsidR="00857982" w:rsidRPr="00FA3651" w:rsidRDefault="00857982" w:rsidP="00FA3651">
      <w:pPr>
        <w:snapToGrid w:val="0"/>
        <w:spacing w:afterLines="50" w:after="120" w:line="360" w:lineRule="exact"/>
        <w:jc w:val="both"/>
        <w:rPr>
          <w:rFonts w:asciiTheme="majorBidi" w:hAnsiTheme="majorBidi"/>
          <w:sz w:val="26"/>
        </w:rPr>
      </w:pPr>
      <w:r w:rsidRPr="003F7FC0">
        <w:rPr>
          <w:rFonts w:asciiTheme="majorBidi" w:hAnsiTheme="majorBidi"/>
          <w:b/>
          <w:sz w:val="26"/>
        </w:rPr>
        <w:lastRenderedPageBreak/>
        <w:t xml:space="preserve">Table </w:t>
      </w:r>
      <w:proofErr w:type="gramStart"/>
      <w:r w:rsidRPr="003F7FC0">
        <w:rPr>
          <w:rFonts w:asciiTheme="majorBidi" w:hAnsiTheme="majorBidi"/>
          <w:b/>
          <w:sz w:val="26"/>
        </w:rPr>
        <w:t>23</w:t>
      </w:r>
      <w:r w:rsidR="003F7FC0">
        <w:rPr>
          <w:rFonts w:ascii="新細明體" w:eastAsia="新細明體" w:hAnsi="新細明體" w:hint="eastAsia"/>
          <w:sz w:val="26"/>
          <w:lang w:eastAsia="zh-TW"/>
        </w:rPr>
        <w:t xml:space="preserve"> </w:t>
      </w:r>
      <w:r w:rsidRPr="00FA3651">
        <w:rPr>
          <w:rFonts w:asciiTheme="majorBidi" w:hAnsiTheme="majorBidi"/>
          <w:sz w:val="26"/>
        </w:rPr>
        <w:t xml:space="preserve"> </w:t>
      </w:r>
      <w:r w:rsidRPr="003F7FC0">
        <w:rPr>
          <w:rFonts w:asciiTheme="majorBidi" w:hAnsiTheme="majorBidi"/>
          <w:i/>
          <w:sz w:val="26"/>
        </w:rPr>
        <w:t>Summary</w:t>
      </w:r>
      <w:proofErr w:type="gramEnd"/>
      <w:r w:rsidRPr="003F7FC0">
        <w:rPr>
          <w:rFonts w:asciiTheme="majorBidi" w:hAnsiTheme="majorBidi"/>
          <w:i/>
          <w:sz w:val="26"/>
        </w:rPr>
        <w:t xml:space="preserve"> of Results of the Study</w:t>
      </w:r>
    </w:p>
    <w:tbl>
      <w:tblPr>
        <w:tblStyle w:val="a9"/>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129"/>
        <w:gridCol w:w="1129"/>
        <w:gridCol w:w="1128"/>
        <w:gridCol w:w="1128"/>
        <w:gridCol w:w="1128"/>
        <w:gridCol w:w="1128"/>
        <w:gridCol w:w="1128"/>
      </w:tblGrid>
      <w:tr w:rsidR="007F15D8" w:rsidRPr="007F15D8" w14:paraId="793038D1" w14:textId="77777777" w:rsidTr="000D6980">
        <w:trPr>
          <w:trHeight w:val="340"/>
          <w:jc w:val="center"/>
        </w:trPr>
        <w:tc>
          <w:tcPr>
            <w:tcW w:w="625" w:type="pct"/>
            <w:tcBorders>
              <w:top w:val="single" w:sz="4" w:space="0" w:color="auto"/>
              <w:bottom w:val="single" w:sz="4" w:space="0" w:color="auto"/>
              <w:right w:val="single" w:sz="4" w:space="0" w:color="auto"/>
            </w:tcBorders>
            <w:vAlign w:val="center"/>
          </w:tcPr>
          <w:p w14:paraId="1C6A3CBC" w14:textId="788EA161"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EQ</w:t>
            </w:r>
          </w:p>
        </w:tc>
        <w:tc>
          <w:tcPr>
            <w:tcW w:w="625" w:type="pct"/>
            <w:tcBorders>
              <w:top w:val="single" w:sz="4" w:space="0" w:color="auto"/>
              <w:left w:val="single" w:sz="4" w:space="0" w:color="auto"/>
              <w:bottom w:val="single" w:sz="4" w:space="0" w:color="auto"/>
            </w:tcBorders>
            <w:vAlign w:val="center"/>
          </w:tcPr>
          <w:p w14:paraId="53B05D15" w14:textId="386BE3F4"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Expected</w:t>
            </w:r>
          </w:p>
        </w:tc>
        <w:tc>
          <w:tcPr>
            <w:tcW w:w="625" w:type="pct"/>
            <w:tcBorders>
              <w:top w:val="single" w:sz="4" w:space="0" w:color="auto"/>
              <w:bottom w:val="single" w:sz="4" w:space="0" w:color="auto"/>
            </w:tcBorders>
            <w:vAlign w:val="center"/>
          </w:tcPr>
          <w:p w14:paraId="32A8C2B4" w14:textId="342A3E9A"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KSA</w:t>
            </w:r>
          </w:p>
        </w:tc>
        <w:tc>
          <w:tcPr>
            <w:tcW w:w="625" w:type="pct"/>
            <w:tcBorders>
              <w:top w:val="single" w:sz="4" w:space="0" w:color="auto"/>
              <w:bottom w:val="single" w:sz="4" w:space="0" w:color="auto"/>
            </w:tcBorders>
            <w:vAlign w:val="center"/>
          </w:tcPr>
          <w:p w14:paraId="0F423508" w14:textId="27A28F42"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OMN</w:t>
            </w:r>
          </w:p>
        </w:tc>
        <w:tc>
          <w:tcPr>
            <w:tcW w:w="625" w:type="pct"/>
            <w:tcBorders>
              <w:top w:val="single" w:sz="4" w:space="0" w:color="auto"/>
              <w:bottom w:val="single" w:sz="4" w:space="0" w:color="auto"/>
            </w:tcBorders>
            <w:vAlign w:val="center"/>
          </w:tcPr>
          <w:p w14:paraId="79F92BE0" w14:textId="225EA62E"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QAT</w:t>
            </w:r>
          </w:p>
        </w:tc>
        <w:tc>
          <w:tcPr>
            <w:tcW w:w="625" w:type="pct"/>
            <w:tcBorders>
              <w:top w:val="single" w:sz="4" w:space="0" w:color="auto"/>
              <w:bottom w:val="single" w:sz="4" w:space="0" w:color="auto"/>
            </w:tcBorders>
            <w:vAlign w:val="center"/>
          </w:tcPr>
          <w:p w14:paraId="67152483" w14:textId="2419E5F7"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BAH</w:t>
            </w:r>
          </w:p>
        </w:tc>
        <w:tc>
          <w:tcPr>
            <w:tcW w:w="625" w:type="pct"/>
            <w:tcBorders>
              <w:top w:val="single" w:sz="4" w:space="0" w:color="auto"/>
              <w:bottom w:val="single" w:sz="4" w:space="0" w:color="auto"/>
            </w:tcBorders>
            <w:vAlign w:val="center"/>
          </w:tcPr>
          <w:p w14:paraId="3126A469" w14:textId="1097F180"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KUW</w:t>
            </w:r>
          </w:p>
        </w:tc>
        <w:tc>
          <w:tcPr>
            <w:tcW w:w="625" w:type="pct"/>
            <w:tcBorders>
              <w:top w:val="single" w:sz="4" w:space="0" w:color="auto"/>
              <w:bottom w:val="single" w:sz="4" w:space="0" w:color="auto"/>
            </w:tcBorders>
            <w:vAlign w:val="center"/>
          </w:tcPr>
          <w:p w14:paraId="327E1C6C" w14:textId="30187AE4"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UAE</w:t>
            </w:r>
          </w:p>
        </w:tc>
      </w:tr>
      <w:tr w:rsidR="007F15D8" w:rsidRPr="007F15D8" w14:paraId="71643AC2" w14:textId="77777777" w:rsidTr="000D6980">
        <w:trPr>
          <w:trHeight w:val="340"/>
          <w:jc w:val="center"/>
        </w:trPr>
        <w:tc>
          <w:tcPr>
            <w:tcW w:w="625" w:type="pct"/>
            <w:tcBorders>
              <w:top w:val="single" w:sz="4" w:space="0" w:color="auto"/>
              <w:bottom w:val="single" w:sz="4" w:space="0" w:color="auto"/>
              <w:right w:val="single" w:sz="4" w:space="0" w:color="auto"/>
            </w:tcBorders>
            <w:vAlign w:val="center"/>
          </w:tcPr>
          <w:p w14:paraId="4A00B3A5" w14:textId="21ED6846"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PER</w:t>
            </w:r>
          </w:p>
        </w:tc>
        <w:tc>
          <w:tcPr>
            <w:tcW w:w="625" w:type="pct"/>
            <w:tcBorders>
              <w:top w:val="single" w:sz="4" w:space="0" w:color="auto"/>
              <w:left w:val="single" w:sz="4" w:space="0" w:color="auto"/>
              <w:bottom w:val="single" w:sz="4" w:space="0" w:color="auto"/>
            </w:tcBorders>
            <w:vAlign w:val="center"/>
          </w:tcPr>
          <w:p w14:paraId="1B7A85D2" w14:textId="651DD28A"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w:t>
            </w:r>
          </w:p>
        </w:tc>
        <w:tc>
          <w:tcPr>
            <w:tcW w:w="625" w:type="pct"/>
            <w:tcBorders>
              <w:top w:val="single" w:sz="4" w:space="0" w:color="auto"/>
              <w:bottom w:val="single" w:sz="4" w:space="0" w:color="auto"/>
            </w:tcBorders>
            <w:vAlign w:val="center"/>
          </w:tcPr>
          <w:p w14:paraId="17F89563" w14:textId="2FEFBEE1"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No effect</w:t>
            </w:r>
          </w:p>
        </w:tc>
        <w:tc>
          <w:tcPr>
            <w:tcW w:w="625" w:type="pct"/>
            <w:tcBorders>
              <w:top w:val="single" w:sz="4" w:space="0" w:color="auto"/>
              <w:bottom w:val="single" w:sz="4" w:space="0" w:color="auto"/>
            </w:tcBorders>
            <w:vAlign w:val="center"/>
          </w:tcPr>
          <w:p w14:paraId="3687C5A4" w14:textId="362F49EE"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w:t>
            </w:r>
          </w:p>
        </w:tc>
        <w:tc>
          <w:tcPr>
            <w:tcW w:w="625" w:type="pct"/>
            <w:tcBorders>
              <w:top w:val="single" w:sz="4" w:space="0" w:color="auto"/>
              <w:bottom w:val="single" w:sz="4" w:space="0" w:color="auto"/>
            </w:tcBorders>
            <w:vAlign w:val="center"/>
          </w:tcPr>
          <w:p w14:paraId="11B5F3C8" w14:textId="14662D0C"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No effect</w:t>
            </w:r>
          </w:p>
        </w:tc>
        <w:tc>
          <w:tcPr>
            <w:tcW w:w="625" w:type="pct"/>
            <w:tcBorders>
              <w:top w:val="single" w:sz="4" w:space="0" w:color="auto"/>
              <w:bottom w:val="single" w:sz="4" w:space="0" w:color="auto"/>
            </w:tcBorders>
            <w:vAlign w:val="center"/>
          </w:tcPr>
          <w:p w14:paraId="0C55F2E9" w14:textId="2EDAEE0B"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No effect</w:t>
            </w:r>
          </w:p>
        </w:tc>
        <w:tc>
          <w:tcPr>
            <w:tcW w:w="625" w:type="pct"/>
            <w:tcBorders>
              <w:top w:val="single" w:sz="4" w:space="0" w:color="auto"/>
              <w:bottom w:val="single" w:sz="4" w:space="0" w:color="auto"/>
            </w:tcBorders>
            <w:vAlign w:val="center"/>
          </w:tcPr>
          <w:p w14:paraId="58549169" w14:textId="1FEAD6D1"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No effect</w:t>
            </w:r>
          </w:p>
        </w:tc>
        <w:tc>
          <w:tcPr>
            <w:tcW w:w="625" w:type="pct"/>
            <w:tcBorders>
              <w:top w:val="single" w:sz="4" w:space="0" w:color="auto"/>
              <w:bottom w:val="single" w:sz="4" w:space="0" w:color="auto"/>
            </w:tcBorders>
            <w:vAlign w:val="center"/>
          </w:tcPr>
          <w:p w14:paraId="3F5B4EE6" w14:textId="0F3FD9F5"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No effect</w:t>
            </w:r>
          </w:p>
        </w:tc>
      </w:tr>
      <w:tr w:rsidR="007F15D8" w:rsidRPr="007F15D8" w14:paraId="69EE8643" w14:textId="77777777" w:rsidTr="000D6980">
        <w:trPr>
          <w:trHeight w:val="340"/>
          <w:jc w:val="center"/>
        </w:trPr>
        <w:tc>
          <w:tcPr>
            <w:tcW w:w="625" w:type="pct"/>
            <w:tcBorders>
              <w:top w:val="single" w:sz="4" w:space="0" w:color="auto"/>
              <w:bottom w:val="single" w:sz="4" w:space="0" w:color="auto"/>
              <w:right w:val="single" w:sz="4" w:space="0" w:color="auto"/>
            </w:tcBorders>
            <w:vAlign w:val="center"/>
          </w:tcPr>
          <w:p w14:paraId="2D2F261B" w14:textId="2BC60605"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P</w:t>
            </w:r>
          </w:p>
        </w:tc>
        <w:tc>
          <w:tcPr>
            <w:tcW w:w="625" w:type="pct"/>
            <w:tcBorders>
              <w:top w:val="single" w:sz="4" w:space="0" w:color="auto"/>
              <w:left w:val="single" w:sz="4" w:space="0" w:color="auto"/>
              <w:bottom w:val="single" w:sz="4" w:space="0" w:color="auto"/>
            </w:tcBorders>
            <w:vAlign w:val="center"/>
          </w:tcPr>
          <w:p w14:paraId="4F39CBFD" w14:textId="4422DC03"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w:t>
            </w:r>
          </w:p>
        </w:tc>
        <w:tc>
          <w:tcPr>
            <w:tcW w:w="625" w:type="pct"/>
            <w:tcBorders>
              <w:top w:val="single" w:sz="4" w:space="0" w:color="auto"/>
              <w:bottom w:val="single" w:sz="4" w:space="0" w:color="auto"/>
            </w:tcBorders>
            <w:vAlign w:val="center"/>
          </w:tcPr>
          <w:p w14:paraId="04D59694" w14:textId="466C9916"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w:t>
            </w:r>
          </w:p>
        </w:tc>
        <w:tc>
          <w:tcPr>
            <w:tcW w:w="625" w:type="pct"/>
            <w:tcBorders>
              <w:top w:val="single" w:sz="4" w:space="0" w:color="auto"/>
              <w:bottom w:val="single" w:sz="4" w:space="0" w:color="auto"/>
            </w:tcBorders>
            <w:vAlign w:val="center"/>
          </w:tcPr>
          <w:p w14:paraId="10FE6B28" w14:textId="57CB84D5"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w:t>
            </w:r>
          </w:p>
        </w:tc>
        <w:tc>
          <w:tcPr>
            <w:tcW w:w="625" w:type="pct"/>
            <w:tcBorders>
              <w:top w:val="single" w:sz="4" w:space="0" w:color="auto"/>
              <w:bottom w:val="single" w:sz="4" w:space="0" w:color="auto"/>
            </w:tcBorders>
            <w:vAlign w:val="center"/>
          </w:tcPr>
          <w:p w14:paraId="0B61AAA3" w14:textId="35B3D1A5"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No effect</w:t>
            </w:r>
          </w:p>
        </w:tc>
        <w:tc>
          <w:tcPr>
            <w:tcW w:w="625" w:type="pct"/>
            <w:tcBorders>
              <w:top w:val="single" w:sz="4" w:space="0" w:color="auto"/>
              <w:bottom w:val="single" w:sz="4" w:space="0" w:color="auto"/>
            </w:tcBorders>
            <w:vAlign w:val="center"/>
          </w:tcPr>
          <w:p w14:paraId="3CDBDF2B" w14:textId="4E7E80DB"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No effect</w:t>
            </w:r>
          </w:p>
        </w:tc>
        <w:tc>
          <w:tcPr>
            <w:tcW w:w="625" w:type="pct"/>
            <w:tcBorders>
              <w:top w:val="single" w:sz="4" w:space="0" w:color="auto"/>
              <w:bottom w:val="single" w:sz="4" w:space="0" w:color="auto"/>
            </w:tcBorders>
            <w:vAlign w:val="center"/>
          </w:tcPr>
          <w:p w14:paraId="5A0D580D" w14:textId="66222A32"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w:t>
            </w:r>
          </w:p>
        </w:tc>
        <w:tc>
          <w:tcPr>
            <w:tcW w:w="625" w:type="pct"/>
            <w:tcBorders>
              <w:top w:val="single" w:sz="4" w:space="0" w:color="auto"/>
              <w:bottom w:val="single" w:sz="4" w:space="0" w:color="auto"/>
            </w:tcBorders>
            <w:vAlign w:val="center"/>
          </w:tcPr>
          <w:p w14:paraId="4CF7C5FC" w14:textId="47B9BBCC"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No effect</w:t>
            </w:r>
          </w:p>
        </w:tc>
      </w:tr>
      <w:tr w:rsidR="007F15D8" w:rsidRPr="007F15D8" w14:paraId="58CB1969" w14:textId="77777777" w:rsidTr="000D6980">
        <w:trPr>
          <w:trHeight w:val="340"/>
          <w:jc w:val="center"/>
        </w:trPr>
        <w:tc>
          <w:tcPr>
            <w:tcW w:w="625" w:type="pct"/>
            <w:tcBorders>
              <w:top w:val="single" w:sz="4" w:space="0" w:color="auto"/>
              <w:bottom w:val="single" w:sz="4" w:space="0" w:color="auto"/>
              <w:right w:val="single" w:sz="4" w:space="0" w:color="auto"/>
            </w:tcBorders>
            <w:vAlign w:val="center"/>
          </w:tcPr>
          <w:p w14:paraId="7EA1B445" w14:textId="4D44DD35"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VR-ERC</w:t>
            </w:r>
          </w:p>
        </w:tc>
        <w:tc>
          <w:tcPr>
            <w:tcW w:w="625" w:type="pct"/>
            <w:tcBorders>
              <w:top w:val="single" w:sz="4" w:space="0" w:color="auto"/>
              <w:left w:val="single" w:sz="4" w:space="0" w:color="auto"/>
              <w:bottom w:val="single" w:sz="4" w:space="0" w:color="auto"/>
            </w:tcBorders>
            <w:vAlign w:val="center"/>
          </w:tcPr>
          <w:p w14:paraId="5BFF3813" w14:textId="085F3DCE"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w:t>
            </w:r>
          </w:p>
        </w:tc>
        <w:tc>
          <w:tcPr>
            <w:tcW w:w="625" w:type="pct"/>
            <w:tcBorders>
              <w:top w:val="single" w:sz="4" w:space="0" w:color="auto"/>
              <w:bottom w:val="single" w:sz="4" w:space="0" w:color="auto"/>
            </w:tcBorders>
            <w:vAlign w:val="center"/>
          </w:tcPr>
          <w:p w14:paraId="1C8DA58B" w14:textId="7753916F"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w:t>
            </w:r>
          </w:p>
        </w:tc>
        <w:tc>
          <w:tcPr>
            <w:tcW w:w="625" w:type="pct"/>
            <w:tcBorders>
              <w:top w:val="single" w:sz="4" w:space="0" w:color="auto"/>
              <w:bottom w:val="single" w:sz="4" w:space="0" w:color="auto"/>
            </w:tcBorders>
            <w:vAlign w:val="center"/>
          </w:tcPr>
          <w:p w14:paraId="01147D52" w14:textId="5F0CC159"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w:t>
            </w:r>
          </w:p>
        </w:tc>
        <w:tc>
          <w:tcPr>
            <w:tcW w:w="625" w:type="pct"/>
            <w:tcBorders>
              <w:top w:val="single" w:sz="4" w:space="0" w:color="auto"/>
              <w:bottom w:val="single" w:sz="4" w:space="0" w:color="auto"/>
            </w:tcBorders>
            <w:vAlign w:val="center"/>
          </w:tcPr>
          <w:p w14:paraId="0A1872A2" w14:textId="61CCDBEE"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No effect</w:t>
            </w:r>
          </w:p>
        </w:tc>
        <w:tc>
          <w:tcPr>
            <w:tcW w:w="625" w:type="pct"/>
            <w:tcBorders>
              <w:top w:val="single" w:sz="4" w:space="0" w:color="auto"/>
              <w:bottom w:val="single" w:sz="4" w:space="0" w:color="auto"/>
            </w:tcBorders>
            <w:vAlign w:val="center"/>
          </w:tcPr>
          <w:p w14:paraId="66F25B09" w14:textId="0B1E22BD"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No effect</w:t>
            </w:r>
          </w:p>
        </w:tc>
        <w:tc>
          <w:tcPr>
            <w:tcW w:w="625" w:type="pct"/>
            <w:tcBorders>
              <w:top w:val="single" w:sz="4" w:space="0" w:color="auto"/>
              <w:bottom w:val="single" w:sz="4" w:space="0" w:color="auto"/>
            </w:tcBorders>
            <w:vAlign w:val="center"/>
          </w:tcPr>
          <w:p w14:paraId="7A9B57B9" w14:textId="07625112"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w:t>
            </w:r>
          </w:p>
        </w:tc>
        <w:tc>
          <w:tcPr>
            <w:tcW w:w="625" w:type="pct"/>
            <w:tcBorders>
              <w:top w:val="single" w:sz="4" w:space="0" w:color="auto"/>
              <w:bottom w:val="single" w:sz="4" w:space="0" w:color="auto"/>
            </w:tcBorders>
            <w:vAlign w:val="center"/>
          </w:tcPr>
          <w:p w14:paraId="3481487F" w14:textId="1E276801"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No effect</w:t>
            </w:r>
          </w:p>
        </w:tc>
      </w:tr>
      <w:tr w:rsidR="007F15D8" w:rsidRPr="007F15D8" w14:paraId="4538C0D6" w14:textId="77777777" w:rsidTr="000D6980">
        <w:trPr>
          <w:trHeight w:val="340"/>
          <w:jc w:val="center"/>
        </w:trPr>
        <w:tc>
          <w:tcPr>
            <w:tcW w:w="625" w:type="pct"/>
            <w:tcBorders>
              <w:top w:val="single" w:sz="4" w:space="0" w:color="auto"/>
              <w:bottom w:val="single" w:sz="4" w:space="0" w:color="auto"/>
              <w:right w:val="single" w:sz="4" w:space="0" w:color="auto"/>
            </w:tcBorders>
            <w:vAlign w:val="center"/>
          </w:tcPr>
          <w:p w14:paraId="029AB3C1" w14:textId="072B1C04"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VR-R</w:t>
            </w:r>
            <w:r w:rsidRPr="003F7FC0">
              <w:rPr>
                <w:rFonts w:asciiTheme="majorBidi" w:hAnsiTheme="majorBidi" w:cstheme="majorBidi"/>
                <w:sz w:val="20"/>
                <w:szCs w:val="18"/>
                <w:vertAlign w:val="superscript"/>
              </w:rPr>
              <w:t>2</w:t>
            </w:r>
          </w:p>
        </w:tc>
        <w:tc>
          <w:tcPr>
            <w:tcW w:w="625" w:type="pct"/>
            <w:tcBorders>
              <w:top w:val="single" w:sz="4" w:space="0" w:color="auto"/>
              <w:left w:val="single" w:sz="4" w:space="0" w:color="auto"/>
              <w:bottom w:val="single" w:sz="4" w:space="0" w:color="auto"/>
            </w:tcBorders>
            <w:vAlign w:val="center"/>
          </w:tcPr>
          <w:p w14:paraId="33A7F0D6" w14:textId="48D2ABBA"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w:t>
            </w:r>
          </w:p>
        </w:tc>
        <w:tc>
          <w:tcPr>
            <w:tcW w:w="625" w:type="pct"/>
            <w:tcBorders>
              <w:top w:val="single" w:sz="4" w:space="0" w:color="auto"/>
              <w:bottom w:val="single" w:sz="4" w:space="0" w:color="auto"/>
            </w:tcBorders>
            <w:vAlign w:val="center"/>
          </w:tcPr>
          <w:p w14:paraId="03EEA817" w14:textId="69170857"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w:t>
            </w:r>
          </w:p>
        </w:tc>
        <w:tc>
          <w:tcPr>
            <w:tcW w:w="625" w:type="pct"/>
            <w:tcBorders>
              <w:top w:val="single" w:sz="4" w:space="0" w:color="auto"/>
              <w:bottom w:val="single" w:sz="4" w:space="0" w:color="auto"/>
            </w:tcBorders>
            <w:vAlign w:val="center"/>
          </w:tcPr>
          <w:p w14:paraId="75B33DF1" w14:textId="38B74DE0"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w:t>
            </w:r>
          </w:p>
        </w:tc>
        <w:tc>
          <w:tcPr>
            <w:tcW w:w="625" w:type="pct"/>
            <w:tcBorders>
              <w:top w:val="single" w:sz="4" w:space="0" w:color="auto"/>
              <w:bottom w:val="single" w:sz="4" w:space="0" w:color="auto"/>
            </w:tcBorders>
            <w:vAlign w:val="center"/>
          </w:tcPr>
          <w:p w14:paraId="785C313C" w14:textId="611E6224"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No effect</w:t>
            </w:r>
          </w:p>
        </w:tc>
        <w:tc>
          <w:tcPr>
            <w:tcW w:w="625" w:type="pct"/>
            <w:tcBorders>
              <w:top w:val="single" w:sz="4" w:space="0" w:color="auto"/>
              <w:bottom w:val="single" w:sz="4" w:space="0" w:color="auto"/>
            </w:tcBorders>
            <w:vAlign w:val="center"/>
          </w:tcPr>
          <w:p w14:paraId="03D9D50B" w14:textId="65A7F816"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No effect</w:t>
            </w:r>
          </w:p>
        </w:tc>
        <w:tc>
          <w:tcPr>
            <w:tcW w:w="625" w:type="pct"/>
            <w:tcBorders>
              <w:top w:val="single" w:sz="4" w:space="0" w:color="auto"/>
              <w:bottom w:val="single" w:sz="4" w:space="0" w:color="auto"/>
            </w:tcBorders>
            <w:vAlign w:val="center"/>
          </w:tcPr>
          <w:p w14:paraId="56CEBF6B" w14:textId="6B335992"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w:t>
            </w:r>
          </w:p>
        </w:tc>
        <w:tc>
          <w:tcPr>
            <w:tcW w:w="625" w:type="pct"/>
            <w:tcBorders>
              <w:top w:val="single" w:sz="4" w:space="0" w:color="auto"/>
              <w:bottom w:val="single" w:sz="4" w:space="0" w:color="auto"/>
            </w:tcBorders>
            <w:vAlign w:val="center"/>
          </w:tcPr>
          <w:p w14:paraId="54923D18" w14:textId="2C003605"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w:t>
            </w:r>
          </w:p>
        </w:tc>
      </w:tr>
      <w:tr w:rsidR="007F15D8" w:rsidRPr="007F15D8" w14:paraId="73E40E8B" w14:textId="77777777" w:rsidTr="000D6980">
        <w:trPr>
          <w:trHeight w:val="340"/>
          <w:jc w:val="center"/>
        </w:trPr>
        <w:tc>
          <w:tcPr>
            <w:tcW w:w="625" w:type="pct"/>
            <w:tcBorders>
              <w:top w:val="single" w:sz="4" w:space="0" w:color="auto"/>
              <w:bottom w:val="single" w:sz="4" w:space="0" w:color="auto"/>
              <w:right w:val="single" w:sz="4" w:space="0" w:color="auto"/>
            </w:tcBorders>
            <w:vAlign w:val="center"/>
          </w:tcPr>
          <w:p w14:paraId="2D4AB2DA" w14:textId="7E163453"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ESI</w:t>
            </w:r>
          </w:p>
        </w:tc>
        <w:tc>
          <w:tcPr>
            <w:tcW w:w="625" w:type="pct"/>
            <w:tcBorders>
              <w:top w:val="single" w:sz="4" w:space="0" w:color="auto"/>
              <w:left w:val="single" w:sz="4" w:space="0" w:color="auto"/>
              <w:bottom w:val="single" w:sz="4" w:space="0" w:color="auto"/>
            </w:tcBorders>
            <w:vAlign w:val="center"/>
          </w:tcPr>
          <w:p w14:paraId="3D14DAD3" w14:textId="5512D8A2"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w:t>
            </w:r>
          </w:p>
        </w:tc>
        <w:tc>
          <w:tcPr>
            <w:tcW w:w="625" w:type="pct"/>
            <w:tcBorders>
              <w:top w:val="single" w:sz="4" w:space="0" w:color="auto"/>
              <w:bottom w:val="single" w:sz="4" w:space="0" w:color="auto"/>
            </w:tcBorders>
            <w:vAlign w:val="center"/>
          </w:tcPr>
          <w:p w14:paraId="25BC1842" w14:textId="4CCF058D"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No effect</w:t>
            </w:r>
          </w:p>
        </w:tc>
        <w:tc>
          <w:tcPr>
            <w:tcW w:w="625" w:type="pct"/>
            <w:tcBorders>
              <w:top w:val="single" w:sz="4" w:space="0" w:color="auto"/>
              <w:bottom w:val="single" w:sz="4" w:space="0" w:color="auto"/>
            </w:tcBorders>
            <w:vAlign w:val="center"/>
          </w:tcPr>
          <w:p w14:paraId="3BFB6542" w14:textId="4ABBFB91"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No effect</w:t>
            </w:r>
          </w:p>
        </w:tc>
        <w:tc>
          <w:tcPr>
            <w:tcW w:w="625" w:type="pct"/>
            <w:tcBorders>
              <w:top w:val="single" w:sz="4" w:space="0" w:color="auto"/>
              <w:bottom w:val="single" w:sz="4" w:space="0" w:color="auto"/>
            </w:tcBorders>
            <w:vAlign w:val="center"/>
          </w:tcPr>
          <w:p w14:paraId="3668612E" w14:textId="28AED281"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No effect</w:t>
            </w:r>
          </w:p>
        </w:tc>
        <w:tc>
          <w:tcPr>
            <w:tcW w:w="625" w:type="pct"/>
            <w:tcBorders>
              <w:top w:val="single" w:sz="4" w:space="0" w:color="auto"/>
              <w:bottom w:val="single" w:sz="4" w:space="0" w:color="auto"/>
            </w:tcBorders>
            <w:vAlign w:val="center"/>
          </w:tcPr>
          <w:p w14:paraId="5D64F122" w14:textId="55CE56C2"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No effect</w:t>
            </w:r>
          </w:p>
        </w:tc>
        <w:tc>
          <w:tcPr>
            <w:tcW w:w="625" w:type="pct"/>
            <w:tcBorders>
              <w:top w:val="single" w:sz="4" w:space="0" w:color="auto"/>
              <w:bottom w:val="single" w:sz="4" w:space="0" w:color="auto"/>
            </w:tcBorders>
            <w:vAlign w:val="center"/>
          </w:tcPr>
          <w:p w14:paraId="048393E0" w14:textId="67E33DA5"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No effect</w:t>
            </w:r>
          </w:p>
        </w:tc>
        <w:tc>
          <w:tcPr>
            <w:tcW w:w="625" w:type="pct"/>
            <w:tcBorders>
              <w:top w:val="single" w:sz="4" w:space="0" w:color="auto"/>
              <w:bottom w:val="single" w:sz="4" w:space="0" w:color="auto"/>
            </w:tcBorders>
            <w:vAlign w:val="center"/>
          </w:tcPr>
          <w:p w14:paraId="46CCA8C7" w14:textId="13C0D5BC"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No effect</w:t>
            </w:r>
          </w:p>
        </w:tc>
      </w:tr>
      <w:tr w:rsidR="007F15D8" w:rsidRPr="007F15D8" w14:paraId="431E32C6" w14:textId="77777777" w:rsidTr="000D6980">
        <w:trPr>
          <w:trHeight w:val="340"/>
          <w:jc w:val="center"/>
        </w:trPr>
        <w:tc>
          <w:tcPr>
            <w:tcW w:w="625" w:type="pct"/>
            <w:tcBorders>
              <w:top w:val="single" w:sz="4" w:space="0" w:color="auto"/>
              <w:bottom w:val="single" w:sz="4" w:space="0" w:color="auto"/>
              <w:right w:val="single" w:sz="4" w:space="0" w:color="auto"/>
            </w:tcBorders>
            <w:vAlign w:val="center"/>
          </w:tcPr>
          <w:p w14:paraId="0F0ED38D" w14:textId="7004EE74"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AQ</w:t>
            </w:r>
          </w:p>
        </w:tc>
        <w:tc>
          <w:tcPr>
            <w:tcW w:w="625" w:type="pct"/>
            <w:tcBorders>
              <w:top w:val="single" w:sz="4" w:space="0" w:color="auto"/>
              <w:left w:val="single" w:sz="4" w:space="0" w:color="auto"/>
              <w:bottom w:val="single" w:sz="4" w:space="0" w:color="auto"/>
            </w:tcBorders>
            <w:vAlign w:val="center"/>
          </w:tcPr>
          <w:p w14:paraId="11F011E6" w14:textId="4F0DA56E"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w:t>
            </w:r>
          </w:p>
        </w:tc>
        <w:tc>
          <w:tcPr>
            <w:tcW w:w="625" w:type="pct"/>
            <w:tcBorders>
              <w:top w:val="single" w:sz="4" w:space="0" w:color="auto"/>
              <w:bottom w:val="single" w:sz="4" w:space="0" w:color="auto"/>
            </w:tcBorders>
            <w:vAlign w:val="center"/>
          </w:tcPr>
          <w:p w14:paraId="46D66ED0" w14:textId="641B9A01"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w:t>
            </w:r>
          </w:p>
        </w:tc>
        <w:tc>
          <w:tcPr>
            <w:tcW w:w="625" w:type="pct"/>
            <w:tcBorders>
              <w:top w:val="single" w:sz="4" w:space="0" w:color="auto"/>
              <w:bottom w:val="single" w:sz="4" w:space="0" w:color="auto"/>
            </w:tcBorders>
            <w:vAlign w:val="center"/>
          </w:tcPr>
          <w:p w14:paraId="2B65E9F2" w14:textId="56582B7F"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w:t>
            </w:r>
          </w:p>
        </w:tc>
        <w:tc>
          <w:tcPr>
            <w:tcW w:w="625" w:type="pct"/>
            <w:tcBorders>
              <w:top w:val="single" w:sz="4" w:space="0" w:color="auto"/>
              <w:bottom w:val="single" w:sz="4" w:space="0" w:color="auto"/>
            </w:tcBorders>
            <w:vAlign w:val="center"/>
          </w:tcPr>
          <w:p w14:paraId="7FCCAE38" w14:textId="061DB436"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No effect</w:t>
            </w:r>
          </w:p>
        </w:tc>
        <w:tc>
          <w:tcPr>
            <w:tcW w:w="625" w:type="pct"/>
            <w:tcBorders>
              <w:top w:val="single" w:sz="4" w:space="0" w:color="auto"/>
              <w:bottom w:val="single" w:sz="4" w:space="0" w:color="auto"/>
            </w:tcBorders>
            <w:vAlign w:val="center"/>
          </w:tcPr>
          <w:p w14:paraId="6A449B38" w14:textId="3C9736F6"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No effect</w:t>
            </w:r>
          </w:p>
        </w:tc>
        <w:tc>
          <w:tcPr>
            <w:tcW w:w="625" w:type="pct"/>
            <w:tcBorders>
              <w:top w:val="single" w:sz="4" w:space="0" w:color="auto"/>
              <w:bottom w:val="single" w:sz="4" w:space="0" w:color="auto"/>
            </w:tcBorders>
            <w:vAlign w:val="center"/>
          </w:tcPr>
          <w:p w14:paraId="65039D5E" w14:textId="10244FD1"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No effect</w:t>
            </w:r>
          </w:p>
        </w:tc>
        <w:tc>
          <w:tcPr>
            <w:tcW w:w="625" w:type="pct"/>
            <w:tcBorders>
              <w:top w:val="single" w:sz="4" w:space="0" w:color="auto"/>
              <w:bottom w:val="single" w:sz="4" w:space="0" w:color="auto"/>
            </w:tcBorders>
            <w:vAlign w:val="center"/>
          </w:tcPr>
          <w:p w14:paraId="56B8F9D0" w14:textId="5C16AD3C"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No effect</w:t>
            </w:r>
          </w:p>
        </w:tc>
      </w:tr>
      <w:tr w:rsidR="007F15D8" w:rsidRPr="007F15D8" w14:paraId="476156FD" w14:textId="77777777" w:rsidTr="000D6980">
        <w:trPr>
          <w:trHeight w:val="340"/>
          <w:jc w:val="center"/>
        </w:trPr>
        <w:tc>
          <w:tcPr>
            <w:tcW w:w="625" w:type="pct"/>
            <w:tcBorders>
              <w:top w:val="single" w:sz="4" w:space="0" w:color="auto"/>
              <w:bottom w:val="single" w:sz="4" w:space="0" w:color="auto"/>
              <w:right w:val="single" w:sz="4" w:space="0" w:color="auto"/>
            </w:tcBorders>
            <w:vAlign w:val="center"/>
          </w:tcPr>
          <w:p w14:paraId="6F5623F0" w14:textId="32AA61B1"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SM</w:t>
            </w:r>
          </w:p>
        </w:tc>
        <w:tc>
          <w:tcPr>
            <w:tcW w:w="625" w:type="pct"/>
            <w:tcBorders>
              <w:top w:val="single" w:sz="4" w:space="0" w:color="auto"/>
              <w:left w:val="single" w:sz="4" w:space="0" w:color="auto"/>
              <w:bottom w:val="single" w:sz="4" w:space="0" w:color="auto"/>
            </w:tcBorders>
            <w:vAlign w:val="center"/>
          </w:tcPr>
          <w:p w14:paraId="002F1375" w14:textId="599039FC"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No sign</w:t>
            </w:r>
          </w:p>
        </w:tc>
        <w:tc>
          <w:tcPr>
            <w:tcW w:w="625" w:type="pct"/>
            <w:tcBorders>
              <w:top w:val="single" w:sz="4" w:space="0" w:color="auto"/>
              <w:bottom w:val="single" w:sz="4" w:space="0" w:color="auto"/>
            </w:tcBorders>
            <w:vAlign w:val="center"/>
          </w:tcPr>
          <w:p w14:paraId="56AD9151" w14:textId="41EB6FDC"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No effect</w:t>
            </w:r>
          </w:p>
        </w:tc>
        <w:tc>
          <w:tcPr>
            <w:tcW w:w="625" w:type="pct"/>
            <w:tcBorders>
              <w:top w:val="single" w:sz="4" w:space="0" w:color="auto"/>
              <w:bottom w:val="single" w:sz="4" w:space="0" w:color="auto"/>
            </w:tcBorders>
            <w:vAlign w:val="center"/>
          </w:tcPr>
          <w:p w14:paraId="5BACB641" w14:textId="399FD1CA"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No effect</w:t>
            </w:r>
          </w:p>
        </w:tc>
        <w:tc>
          <w:tcPr>
            <w:tcW w:w="625" w:type="pct"/>
            <w:tcBorders>
              <w:top w:val="single" w:sz="4" w:space="0" w:color="auto"/>
              <w:bottom w:val="single" w:sz="4" w:space="0" w:color="auto"/>
            </w:tcBorders>
            <w:vAlign w:val="center"/>
          </w:tcPr>
          <w:p w14:paraId="0BD8AFB0" w14:textId="434002A2"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No effect</w:t>
            </w:r>
          </w:p>
        </w:tc>
        <w:tc>
          <w:tcPr>
            <w:tcW w:w="625" w:type="pct"/>
            <w:tcBorders>
              <w:top w:val="single" w:sz="4" w:space="0" w:color="auto"/>
              <w:bottom w:val="single" w:sz="4" w:space="0" w:color="auto"/>
            </w:tcBorders>
            <w:vAlign w:val="center"/>
          </w:tcPr>
          <w:p w14:paraId="12D89EC6" w14:textId="09B1C8F0"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No effect</w:t>
            </w:r>
          </w:p>
        </w:tc>
        <w:tc>
          <w:tcPr>
            <w:tcW w:w="625" w:type="pct"/>
            <w:tcBorders>
              <w:top w:val="single" w:sz="4" w:space="0" w:color="auto"/>
              <w:bottom w:val="single" w:sz="4" w:space="0" w:color="auto"/>
            </w:tcBorders>
            <w:vAlign w:val="center"/>
          </w:tcPr>
          <w:p w14:paraId="1B4FCF60" w14:textId="047648A0"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No effect</w:t>
            </w:r>
          </w:p>
        </w:tc>
        <w:tc>
          <w:tcPr>
            <w:tcW w:w="625" w:type="pct"/>
            <w:tcBorders>
              <w:top w:val="single" w:sz="4" w:space="0" w:color="auto"/>
              <w:bottom w:val="single" w:sz="4" w:space="0" w:color="auto"/>
            </w:tcBorders>
            <w:vAlign w:val="center"/>
          </w:tcPr>
          <w:p w14:paraId="5FD34740" w14:textId="48CCE6C2"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No effect</w:t>
            </w:r>
          </w:p>
        </w:tc>
      </w:tr>
      <w:tr w:rsidR="007F15D8" w:rsidRPr="007F15D8" w14:paraId="3AC2D8B7" w14:textId="77777777" w:rsidTr="000D6980">
        <w:trPr>
          <w:trHeight w:val="340"/>
          <w:jc w:val="center"/>
        </w:trPr>
        <w:tc>
          <w:tcPr>
            <w:tcW w:w="625" w:type="pct"/>
            <w:tcBorders>
              <w:top w:val="single" w:sz="4" w:space="0" w:color="auto"/>
              <w:bottom w:val="single" w:sz="4" w:space="0" w:color="auto"/>
              <w:right w:val="single" w:sz="4" w:space="0" w:color="auto"/>
            </w:tcBorders>
            <w:vAlign w:val="center"/>
          </w:tcPr>
          <w:p w14:paraId="7C530199" w14:textId="4D728636"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TRL</w:t>
            </w:r>
          </w:p>
        </w:tc>
        <w:tc>
          <w:tcPr>
            <w:tcW w:w="625" w:type="pct"/>
            <w:tcBorders>
              <w:top w:val="single" w:sz="4" w:space="0" w:color="auto"/>
              <w:left w:val="single" w:sz="4" w:space="0" w:color="auto"/>
              <w:bottom w:val="single" w:sz="4" w:space="0" w:color="auto"/>
            </w:tcBorders>
            <w:vAlign w:val="center"/>
          </w:tcPr>
          <w:p w14:paraId="03EFD43E" w14:textId="0D0D6E43"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w:t>
            </w:r>
          </w:p>
        </w:tc>
        <w:tc>
          <w:tcPr>
            <w:tcW w:w="625" w:type="pct"/>
            <w:tcBorders>
              <w:top w:val="single" w:sz="4" w:space="0" w:color="auto"/>
              <w:bottom w:val="single" w:sz="4" w:space="0" w:color="auto"/>
            </w:tcBorders>
            <w:vAlign w:val="center"/>
          </w:tcPr>
          <w:p w14:paraId="177134AF" w14:textId="290A1C63"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No effect</w:t>
            </w:r>
          </w:p>
        </w:tc>
        <w:tc>
          <w:tcPr>
            <w:tcW w:w="625" w:type="pct"/>
            <w:tcBorders>
              <w:top w:val="single" w:sz="4" w:space="0" w:color="auto"/>
              <w:bottom w:val="single" w:sz="4" w:space="0" w:color="auto"/>
            </w:tcBorders>
            <w:vAlign w:val="center"/>
          </w:tcPr>
          <w:p w14:paraId="6CFED8D7" w14:textId="1E70885F"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No effect</w:t>
            </w:r>
          </w:p>
        </w:tc>
        <w:tc>
          <w:tcPr>
            <w:tcW w:w="625" w:type="pct"/>
            <w:tcBorders>
              <w:top w:val="single" w:sz="4" w:space="0" w:color="auto"/>
              <w:bottom w:val="single" w:sz="4" w:space="0" w:color="auto"/>
            </w:tcBorders>
            <w:vAlign w:val="center"/>
          </w:tcPr>
          <w:p w14:paraId="07D1A3F3" w14:textId="5E2C55E3"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No effect</w:t>
            </w:r>
          </w:p>
        </w:tc>
        <w:tc>
          <w:tcPr>
            <w:tcW w:w="625" w:type="pct"/>
            <w:tcBorders>
              <w:top w:val="single" w:sz="4" w:space="0" w:color="auto"/>
              <w:bottom w:val="single" w:sz="4" w:space="0" w:color="auto"/>
            </w:tcBorders>
            <w:vAlign w:val="center"/>
          </w:tcPr>
          <w:p w14:paraId="108B4DDD" w14:textId="65E7DA33"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No effect</w:t>
            </w:r>
          </w:p>
        </w:tc>
        <w:tc>
          <w:tcPr>
            <w:tcW w:w="625" w:type="pct"/>
            <w:tcBorders>
              <w:top w:val="single" w:sz="4" w:space="0" w:color="auto"/>
              <w:bottom w:val="single" w:sz="4" w:space="0" w:color="auto"/>
            </w:tcBorders>
            <w:vAlign w:val="center"/>
          </w:tcPr>
          <w:p w14:paraId="4B36CDAF" w14:textId="0AAAD695"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No effect</w:t>
            </w:r>
          </w:p>
        </w:tc>
        <w:tc>
          <w:tcPr>
            <w:tcW w:w="625" w:type="pct"/>
            <w:tcBorders>
              <w:top w:val="single" w:sz="4" w:space="0" w:color="auto"/>
              <w:bottom w:val="single" w:sz="4" w:space="0" w:color="auto"/>
            </w:tcBorders>
            <w:vAlign w:val="center"/>
          </w:tcPr>
          <w:p w14:paraId="107D8779" w14:textId="56F6D5DD"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No effect</w:t>
            </w:r>
          </w:p>
        </w:tc>
      </w:tr>
      <w:tr w:rsidR="007F15D8" w:rsidRPr="007F15D8" w14:paraId="7A33DCCB" w14:textId="77777777" w:rsidTr="000D6980">
        <w:trPr>
          <w:trHeight w:val="340"/>
          <w:jc w:val="center"/>
        </w:trPr>
        <w:tc>
          <w:tcPr>
            <w:tcW w:w="625" w:type="pct"/>
            <w:tcBorders>
              <w:top w:val="single" w:sz="4" w:space="0" w:color="auto"/>
              <w:bottom w:val="single" w:sz="4" w:space="0" w:color="auto"/>
              <w:right w:val="single" w:sz="4" w:space="0" w:color="auto"/>
            </w:tcBorders>
            <w:vAlign w:val="center"/>
          </w:tcPr>
          <w:p w14:paraId="6000C151" w14:textId="3D93A753"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CON</w:t>
            </w:r>
          </w:p>
        </w:tc>
        <w:tc>
          <w:tcPr>
            <w:tcW w:w="625" w:type="pct"/>
            <w:tcBorders>
              <w:top w:val="single" w:sz="4" w:space="0" w:color="auto"/>
              <w:left w:val="single" w:sz="4" w:space="0" w:color="auto"/>
              <w:bottom w:val="single" w:sz="4" w:space="0" w:color="auto"/>
            </w:tcBorders>
            <w:vAlign w:val="center"/>
          </w:tcPr>
          <w:p w14:paraId="078157D5" w14:textId="574BC187"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No sign</w:t>
            </w:r>
          </w:p>
        </w:tc>
        <w:tc>
          <w:tcPr>
            <w:tcW w:w="625" w:type="pct"/>
            <w:tcBorders>
              <w:top w:val="single" w:sz="4" w:space="0" w:color="auto"/>
              <w:bottom w:val="single" w:sz="4" w:space="0" w:color="auto"/>
            </w:tcBorders>
            <w:vAlign w:val="center"/>
          </w:tcPr>
          <w:p w14:paraId="18051C4A" w14:textId="22ADFAF5"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w:t>
            </w:r>
          </w:p>
        </w:tc>
        <w:tc>
          <w:tcPr>
            <w:tcW w:w="625" w:type="pct"/>
            <w:tcBorders>
              <w:top w:val="single" w:sz="4" w:space="0" w:color="auto"/>
              <w:bottom w:val="single" w:sz="4" w:space="0" w:color="auto"/>
            </w:tcBorders>
            <w:vAlign w:val="center"/>
          </w:tcPr>
          <w:p w14:paraId="171B10E3" w14:textId="72D4D70F"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No effect</w:t>
            </w:r>
          </w:p>
        </w:tc>
        <w:tc>
          <w:tcPr>
            <w:tcW w:w="625" w:type="pct"/>
            <w:tcBorders>
              <w:top w:val="single" w:sz="4" w:space="0" w:color="auto"/>
              <w:bottom w:val="single" w:sz="4" w:space="0" w:color="auto"/>
            </w:tcBorders>
            <w:vAlign w:val="center"/>
          </w:tcPr>
          <w:p w14:paraId="04638B51" w14:textId="6A4B5EB2"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No effect</w:t>
            </w:r>
          </w:p>
        </w:tc>
        <w:tc>
          <w:tcPr>
            <w:tcW w:w="625" w:type="pct"/>
            <w:tcBorders>
              <w:top w:val="single" w:sz="4" w:space="0" w:color="auto"/>
              <w:bottom w:val="single" w:sz="4" w:space="0" w:color="auto"/>
            </w:tcBorders>
            <w:vAlign w:val="center"/>
          </w:tcPr>
          <w:p w14:paraId="79E45466" w14:textId="687CC36E"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No effect</w:t>
            </w:r>
          </w:p>
        </w:tc>
        <w:tc>
          <w:tcPr>
            <w:tcW w:w="625" w:type="pct"/>
            <w:tcBorders>
              <w:top w:val="single" w:sz="4" w:space="0" w:color="auto"/>
              <w:bottom w:val="single" w:sz="4" w:space="0" w:color="auto"/>
            </w:tcBorders>
            <w:vAlign w:val="center"/>
          </w:tcPr>
          <w:p w14:paraId="4786D32D" w14:textId="15623AF7"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No effect</w:t>
            </w:r>
          </w:p>
        </w:tc>
        <w:tc>
          <w:tcPr>
            <w:tcW w:w="625" w:type="pct"/>
            <w:tcBorders>
              <w:top w:val="single" w:sz="4" w:space="0" w:color="auto"/>
              <w:bottom w:val="single" w:sz="4" w:space="0" w:color="auto"/>
            </w:tcBorders>
            <w:vAlign w:val="center"/>
          </w:tcPr>
          <w:p w14:paraId="1A604496" w14:textId="747CCDB3" w:rsidR="00EB6C65" w:rsidRPr="003F7FC0" w:rsidRDefault="00EB6C65" w:rsidP="003F7FC0">
            <w:pPr>
              <w:autoSpaceDE w:val="0"/>
              <w:autoSpaceDN w:val="0"/>
              <w:adjustRightInd w:val="0"/>
              <w:jc w:val="center"/>
              <w:rPr>
                <w:rFonts w:asciiTheme="majorBidi" w:hAnsiTheme="majorBidi" w:cstheme="majorBidi"/>
                <w:sz w:val="20"/>
                <w:szCs w:val="18"/>
              </w:rPr>
            </w:pPr>
            <w:r w:rsidRPr="003F7FC0">
              <w:rPr>
                <w:rFonts w:asciiTheme="majorBidi" w:hAnsiTheme="majorBidi" w:cstheme="majorBidi"/>
                <w:sz w:val="20"/>
                <w:szCs w:val="18"/>
              </w:rPr>
              <w:t>No effect</w:t>
            </w:r>
          </w:p>
        </w:tc>
      </w:tr>
    </w:tbl>
    <w:p w14:paraId="62B3182D" w14:textId="77777777" w:rsidR="003F7FC0" w:rsidRDefault="003F7FC0" w:rsidP="003B7DC7">
      <w:pPr>
        <w:pStyle w:val="Default"/>
        <w:snapToGrid w:val="0"/>
        <w:spacing w:line="360" w:lineRule="exact"/>
        <w:ind w:firstLine="510"/>
        <w:jc w:val="both"/>
        <w:rPr>
          <w:color w:val="auto"/>
          <w:sz w:val="26"/>
          <w:szCs w:val="26"/>
          <w:lang w:val="en-GB"/>
        </w:rPr>
      </w:pPr>
    </w:p>
    <w:p w14:paraId="63A14348" w14:textId="7B9CA5D7" w:rsidR="00B5333E" w:rsidRPr="003B7DC7" w:rsidRDefault="00EB6C65" w:rsidP="003B7DC7">
      <w:pPr>
        <w:pStyle w:val="Default"/>
        <w:snapToGrid w:val="0"/>
        <w:spacing w:line="360" w:lineRule="exact"/>
        <w:ind w:firstLine="510"/>
        <w:jc w:val="both"/>
        <w:rPr>
          <w:color w:val="auto"/>
          <w:sz w:val="26"/>
          <w:szCs w:val="26"/>
          <w:lang w:val="en-GB"/>
        </w:rPr>
      </w:pPr>
      <w:r w:rsidRPr="003B7DC7">
        <w:rPr>
          <w:color w:val="auto"/>
          <w:sz w:val="26"/>
          <w:szCs w:val="26"/>
          <w:lang w:val="en-GB"/>
        </w:rPr>
        <w:t xml:space="preserve">In general, the results of the effect of EQ on FI are different in all six GGC countries. Firstly, the </w:t>
      </w:r>
      <w:r w:rsidR="006F15D5">
        <w:rPr>
          <w:color w:val="auto"/>
          <w:sz w:val="26"/>
          <w:szCs w:val="26"/>
          <w:lang w:val="en-GB"/>
        </w:rPr>
        <w:t>study results</w:t>
      </w:r>
      <w:r w:rsidRPr="003B7DC7">
        <w:rPr>
          <w:color w:val="auto"/>
          <w:sz w:val="26"/>
          <w:szCs w:val="26"/>
          <w:lang w:val="en-GB"/>
        </w:rPr>
        <w:t xml:space="preserve"> match </w:t>
      </w:r>
      <w:r w:rsidR="00C950E1">
        <w:rPr>
          <w:color w:val="auto"/>
          <w:sz w:val="26"/>
          <w:szCs w:val="26"/>
          <w:lang w:val="en-GB"/>
        </w:rPr>
        <w:t>all GCC countries' expected SM (smoothness) and CON (conservatism) result</w:t>
      </w:r>
      <w:r w:rsidRPr="003B7DC7">
        <w:rPr>
          <w:color w:val="auto"/>
          <w:sz w:val="26"/>
          <w:szCs w:val="26"/>
          <w:lang w:val="en-GB"/>
        </w:rPr>
        <w:t xml:space="preserve">s. The results of PER match with the expected results only in OMN. Also, the results of P </w:t>
      </w:r>
      <w:r w:rsidR="00B16BBC" w:rsidRPr="003B7DC7">
        <w:rPr>
          <w:color w:val="auto"/>
          <w:sz w:val="26"/>
          <w:szCs w:val="26"/>
          <w:lang w:val="en-GB"/>
        </w:rPr>
        <w:t xml:space="preserve">are different across GCC countries as it </w:t>
      </w:r>
      <w:r w:rsidRPr="003B7DC7">
        <w:rPr>
          <w:color w:val="auto"/>
          <w:sz w:val="26"/>
          <w:szCs w:val="26"/>
          <w:lang w:val="en-GB"/>
        </w:rPr>
        <w:t>matche</w:t>
      </w:r>
      <w:r w:rsidR="00C950E1">
        <w:rPr>
          <w:color w:val="auto"/>
          <w:sz w:val="26"/>
          <w:szCs w:val="26"/>
          <w:lang w:val="en-GB"/>
        </w:rPr>
        <w:t>s</w:t>
      </w:r>
      <w:r w:rsidRPr="003B7DC7">
        <w:rPr>
          <w:color w:val="auto"/>
          <w:sz w:val="26"/>
          <w:szCs w:val="26"/>
          <w:lang w:val="en-GB"/>
        </w:rPr>
        <w:t xml:space="preserve"> with the expected results in OMN</w:t>
      </w:r>
      <w:r w:rsidR="00B16BBC" w:rsidRPr="003B7DC7">
        <w:rPr>
          <w:color w:val="auto"/>
          <w:sz w:val="26"/>
          <w:szCs w:val="26"/>
          <w:lang w:val="en-GB"/>
        </w:rPr>
        <w:t>, unmatched in KSA</w:t>
      </w:r>
      <w:r w:rsidRPr="003B7DC7">
        <w:rPr>
          <w:color w:val="auto"/>
          <w:sz w:val="26"/>
          <w:szCs w:val="26"/>
          <w:lang w:val="en-GB"/>
        </w:rPr>
        <w:t xml:space="preserve"> and</w:t>
      </w:r>
      <w:r w:rsidR="00B16BBC" w:rsidRPr="003B7DC7">
        <w:rPr>
          <w:color w:val="auto"/>
          <w:sz w:val="26"/>
          <w:szCs w:val="26"/>
          <w:lang w:val="en-GB"/>
        </w:rPr>
        <w:t xml:space="preserve"> KUW</w:t>
      </w:r>
      <w:r w:rsidR="006F15D5">
        <w:rPr>
          <w:color w:val="auto"/>
          <w:sz w:val="26"/>
          <w:szCs w:val="26"/>
          <w:lang w:val="en-GB"/>
        </w:rPr>
        <w:t>,</w:t>
      </w:r>
      <w:r w:rsidR="00B16BBC" w:rsidRPr="003B7DC7">
        <w:rPr>
          <w:color w:val="auto"/>
          <w:sz w:val="26"/>
          <w:szCs w:val="26"/>
          <w:lang w:val="en-GB"/>
        </w:rPr>
        <w:t xml:space="preserve"> and no effect in QAT, BAH</w:t>
      </w:r>
      <w:r w:rsidR="006F15D5">
        <w:rPr>
          <w:color w:val="auto"/>
          <w:sz w:val="26"/>
          <w:szCs w:val="26"/>
          <w:lang w:val="en-GB"/>
        </w:rPr>
        <w:t>,</w:t>
      </w:r>
      <w:r w:rsidR="00B16BBC" w:rsidRPr="003B7DC7">
        <w:rPr>
          <w:color w:val="auto"/>
          <w:sz w:val="26"/>
          <w:szCs w:val="26"/>
          <w:lang w:val="en-GB"/>
        </w:rPr>
        <w:t xml:space="preserve"> and UAE. The </w:t>
      </w:r>
      <w:r w:rsidR="006F15D5">
        <w:rPr>
          <w:color w:val="auto"/>
          <w:sz w:val="26"/>
          <w:szCs w:val="26"/>
          <w:lang w:val="en-GB"/>
        </w:rPr>
        <w:t>value relevance results in ERC match the expected results in OMN and KUW while it is negative in KSA and has</w:t>
      </w:r>
      <w:r w:rsidR="00B16BBC" w:rsidRPr="003B7DC7">
        <w:rPr>
          <w:color w:val="auto"/>
          <w:sz w:val="26"/>
          <w:szCs w:val="26"/>
          <w:lang w:val="en-GB"/>
        </w:rPr>
        <w:t xml:space="preserve"> no effect in BAH, UAE</w:t>
      </w:r>
      <w:r w:rsidR="006F15D5">
        <w:rPr>
          <w:color w:val="auto"/>
          <w:sz w:val="26"/>
          <w:szCs w:val="26"/>
          <w:lang w:val="en-GB"/>
        </w:rPr>
        <w:t>,</w:t>
      </w:r>
      <w:r w:rsidR="00B16BBC" w:rsidRPr="003B7DC7">
        <w:rPr>
          <w:color w:val="auto"/>
          <w:sz w:val="26"/>
          <w:szCs w:val="26"/>
          <w:lang w:val="en-GB"/>
        </w:rPr>
        <w:t xml:space="preserve"> and QAT.</w:t>
      </w:r>
      <w:r w:rsidRPr="003B7DC7">
        <w:rPr>
          <w:color w:val="auto"/>
          <w:sz w:val="26"/>
          <w:szCs w:val="26"/>
          <w:lang w:val="en-GB"/>
        </w:rPr>
        <w:t xml:space="preserve"> </w:t>
      </w:r>
      <w:r w:rsidR="00B16BBC" w:rsidRPr="003B7DC7">
        <w:rPr>
          <w:color w:val="auto"/>
          <w:sz w:val="26"/>
          <w:szCs w:val="26"/>
          <w:lang w:val="en-GB"/>
        </w:rPr>
        <w:t>The value relevance in terms of R2</w:t>
      </w:r>
      <w:r w:rsidR="00857982" w:rsidRPr="003B7DC7">
        <w:rPr>
          <w:color w:val="auto"/>
          <w:sz w:val="26"/>
          <w:szCs w:val="26"/>
          <w:lang w:val="en-GB"/>
        </w:rPr>
        <w:t xml:space="preserve"> </w:t>
      </w:r>
      <w:r w:rsidR="00B16BBC" w:rsidRPr="003B7DC7">
        <w:rPr>
          <w:color w:val="auto"/>
          <w:sz w:val="26"/>
          <w:szCs w:val="26"/>
          <w:lang w:val="en-GB"/>
        </w:rPr>
        <w:t xml:space="preserve">has </w:t>
      </w:r>
      <w:r w:rsidR="006F15D5">
        <w:rPr>
          <w:color w:val="auto"/>
          <w:sz w:val="26"/>
          <w:szCs w:val="26"/>
          <w:lang w:val="en-GB"/>
        </w:rPr>
        <w:t>the same result in KUW bu</w:t>
      </w:r>
      <w:r w:rsidR="00B16BBC" w:rsidRPr="003B7DC7">
        <w:rPr>
          <w:color w:val="auto"/>
          <w:sz w:val="26"/>
          <w:szCs w:val="26"/>
          <w:lang w:val="en-GB"/>
        </w:rPr>
        <w:t>t is negative in KSA, OMN</w:t>
      </w:r>
      <w:r w:rsidR="00BA0AC5" w:rsidRPr="003B7DC7">
        <w:rPr>
          <w:color w:val="auto"/>
          <w:sz w:val="26"/>
          <w:szCs w:val="26"/>
          <w:lang w:val="en-GB"/>
        </w:rPr>
        <w:t>,</w:t>
      </w:r>
      <w:r w:rsidR="00B16BBC" w:rsidRPr="003B7DC7">
        <w:rPr>
          <w:color w:val="auto"/>
          <w:sz w:val="26"/>
          <w:szCs w:val="26"/>
          <w:lang w:val="en-GB"/>
        </w:rPr>
        <w:t xml:space="preserve"> and UAE. </w:t>
      </w:r>
      <w:r w:rsidR="00857982" w:rsidRPr="003B7DC7">
        <w:rPr>
          <w:color w:val="auto"/>
          <w:sz w:val="26"/>
          <w:szCs w:val="26"/>
          <w:lang w:val="en-GB"/>
        </w:rPr>
        <w:t>The results of ESI and TRL are unmatched with the expected results in all GCC countries as the expected result is positive</w:t>
      </w:r>
      <w:r w:rsidR="006F15D5">
        <w:rPr>
          <w:color w:val="auto"/>
          <w:sz w:val="26"/>
          <w:szCs w:val="26"/>
          <w:lang w:val="en-GB"/>
        </w:rPr>
        <w:t>,</w:t>
      </w:r>
      <w:r w:rsidR="00857982" w:rsidRPr="003B7DC7">
        <w:rPr>
          <w:color w:val="auto"/>
          <w:sz w:val="26"/>
          <w:szCs w:val="26"/>
          <w:lang w:val="en-GB"/>
        </w:rPr>
        <w:t xml:space="preserve"> whereas the statistical result of this study is no effect. The results of AQ matche</w:t>
      </w:r>
      <w:r w:rsidR="00C950E1">
        <w:rPr>
          <w:color w:val="auto"/>
          <w:sz w:val="26"/>
          <w:szCs w:val="26"/>
          <w:lang w:val="en-GB"/>
        </w:rPr>
        <w:t>s</w:t>
      </w:r>
      <w:r w:rsidR="00857982" w:rsidRPr="003B7DC7">
        <w:rPr>
          <w:color w:val="auto"/>
          <w:sz w:val="26"/>
          <w:szCs w:val="26"/>
          <w:lang w:val="en-GB"/>
        </w:rPr>
        <w:t xml:space="preserve"> with the expected results in OMN and unmatched in other GCC countries. Finally, the results of the effect of conservatism on FI are matched in all GCC countries except for KSA as the effect </w:t>
      </w:r>
      <w:r w:rsidR="00BA0AC5" w:rsidRPr="003B7DC7">
        <w:rPr>
          <w:color w:val="auto"/>
          <w:sz w:val="26"/>
          <w:szCs w:val="26"/>
          <w:lang w:val="en-GB"/>
        </w:rPr>
        <w:t xml:space="preserve">is </w:t>
      </w:r>
      <w:r w:rsidR="00857982" w:rsidRPr="003B7DC7">
        <w:rPr>
          <w:color w:val="auto"/>
          <w:sz w:val="26"/>
          <w:szCs w:val="26"/>
          <w:lang w:val="en-GB"/>
        </w:rPr>
        <w:t xml:space="preserve">negative. </w:t>
      </w:r>
    </w:p>
    <w:p w14:paraId="506BDC00" w14:textId="77777777" w:rsidR="00E777CA" w:rsidRPr="003B7DC7" w:rsidRDefault="00E777CA" w:rsidP="003B7DC7">
      <w:pPr>
        <w:pStyle w:val="Default"/>
        <w:snapToGrid w:val="0"/>
        <w:spacing w:line="360" w:lineRule="exact"/>
        <w:ind w:firstLine="510"/>
        <w:jc w:val="both"/>
        <w:rPr>
          <w:color w:val="auto"/>
          <w:sz w:val="26"/>
          <w:szCs w:val="26"/>
          <w:lang w:val="en-GB"/>
        </w:rPr>
      </w:pPr>
    </w:p>
    <w:p w14:paraId="0137EB6B" w14:textId="66D64887" w:rsidR="00C05F7C" w:rsidRPr="00B47B68" w:rsidRDefault="00C05F7C" w:rsidP="00B47B68">
      <w:pPr>
        <w:pStyle w:val="Default"/>
        <w:snapToGrid w:val="0"/>
        <w:spacing w:line="360" w:lineRule="exact"/>
        <w:jc w:val="both"/>
        <w:rPr>
          <w:b/>
          <w:color w:val="auto"/>
          <w:sz w:val="26"/>
          <w:szCs w:val="26"/>
          <w:lang w:val="en-GB"/>
        </w:rPr>
      </w:pPr>
      <w:r w:rsidRPr="00B47B68">
        <w:rPr>
          <w:b/>
          <w:color w:val="auto"/>
          <w:sz w:val="26"/>
          <w:szCs w:val="26"/>
          <w:lang w:val="en-GB"/>
        </w:rPr>
        <w:t xml:space="preserve">Study Contributions </w:t>
      </w:r>
    </w:p>
    <w:p w14:paraId="374BB0DE" w14:textId="24992B3D" w:rsidR="00C05F7C" w:rsidRPr="003B7DC7" w:rsidRDefault="00C05F7C" w:rsidP="001C79FD">
      <w:pPr>
        <w:pStyle w:val="Default"/>
        <w:snapToGrid w:val="0"/>
        <w:spacing w:line="360" w:lineRule="exact"/>
        <w:ind w:firstLine="510"/>
        <w:jc w:val="both"/>
        <w:rPr>
          <w:color w:val="auto"/>
          <w:sz w:val="26"/>
          <w:szCs w:val="26"/>
          <w:lang w:val="en-GB"/>
        </w:rPr>
      </w:pPr>
      <w:r w:rsidRPr="003B7DC7">
        <w:rPr>
          <w:color w:val="auto"/>
          <w:sz w:val="26"/>
          <w:szCs w:val="26"/>
          <w:lang w:val="en-GB"/>
        </w:rPr>
        <w:t xml:space="preserve">This research intends to make four contributions. Firstly, this research is done in emerging markets, particularly GCC capital markets, where few studies on EQ are done. Secondly, notable measures commonly used </w:t>
      </w:r>
      <w:r w:rsidR="006F15D5">
        <w:rPr>
          <w:color w:val="auto"/>
          <w:sz w:val="26"/>
          <w:szCs w:val="26"/>
          <w:lang w:val="en-GB"/>
        </w:rPr>
        <w:t xml:space="preserve">to </w:t>
      </w:r>
      <w:r w:rsidRPr="003B7DC7">
        <w:rPr>
          <w:color w:val="auto"/>
          <w:sz w:val="26"/>
          <w:szCs w:val="26"/>
          <w:lang w:val="en-GB"/>
        </w:rPr>
        <w:t>measur</w:t>
      </w:r>
      <w:r w:rsidR="006F15D5">
        <w:rPr>
          <w:color w:val="auto"/>
          <w:sz w:val="26"/>
          <w:szCs w:val="26"/>
          <w:lang w:val="en-GB"/>
        </w:rPr>
        <w:t>e</w:t>
      </w:r>
      <w:r w:rsidRPr="003B7DC7">
        <w:rPr>
          <w:color w:val="auto"/>
          <w:sz w:val="26"/>
          <w:szCs w:val="26"/>
          <w:lang w:val="en-GB"/>
        </w:rPr>
        <w:t xml:space="preserve"> </w:t>
      </w:r>
      <w:r w:rsidR="006F15D5">
        <w:rPr>
          <w:color w:val="auto"/>
          <w:sz w:val="26"/>
          <w:szCs w:val="26"/>
          <w:lang w:val="en-GB"/>
        </w:rPr>
        <w:t xml:space="preserve">the </w:t>
      </w:r>
      <w:r w:rsidRPr="003B7DC7">
        <w:rPr>
          <w:color w:val="auto"/>
          <w:sz w:val="26"/>
          <w:szCs w:val="26"/>
          <w:lang w:val="en-GB"/>
        </w:rPr>
        <w:t>quality of reported earnings include accrual quality, loss recognition timeliness, persistence, predictability, smoothness, timeliness, conservatism</w:t>
      </w:r>
      <w:r w:rsidR="006F15D5">
        <w:rPr>
          <w:color w:val="auto"/>
          <w:sz w:val="26"/>
          <w:szCs w:val="26"/>
          <w:lang w:val="en-GB"/>
        </w:rPr>
        <w:t>,</w:t>
      </w:r>
      <w:r w:rsidRPr="003B7DC7">
        <w:rPr>
          <w:color w:val="auto"/>
          <w:sz w:val="26"/>
          <w:szCs w:val="26"/>
          <w:lang w:val="en-GB"/>
        </w:rPr>
        <w:t xml:space="preserve"> and earnings surprise. As previously discussed, very limited proxies are used to measure EQ in GCC countries. Thirdly, all GCC countries issued new foreign investment laws and regulations to attract more institutional and individual investors. Hence, improving EQ is crucial to improve the disclosure and transparency of financial information. Finally, this study introduces a framework to measure and compare EQ as an across-the-board factor that plays an important role in influencing investors’ decisions. This study complements existing </w:t>
      </w:r>
      <w:r w:rsidRPr="003B7DC7">
        <w:rPr>
          <w:color w:val="auto"/>
          <w:sz w:val="26"/>
          <w:szCs w:val="26"/>
          <w:lang w:val="en-GB"/>
        </w:rPr>
        <w:lastRenderedPageBreak/>
        <w:t>research on the association between EQ and foreign investors. Most studies in this area aim to examine the effect of foreign investors on EQ (e.g.</w:t>
      </w:r>
      <w:r w:rsidR="00C950E1">
        <w:rPr>
          <w:color w:val="auto"/>
          <w:sz w:val="26"/>
          <w:szCs w:val="26"/>
          <w:lang w:val="en-GB"/>
        </w:rPr>
        <w:t>,</w:t>
      </w:r>
      <w:r w:rsidRPr="003B7DC7">
        <w:rPr>
          <w:color w:val="auto"/>
          <w:sz w:val="26"/>
          <w:szCs w:val="26"/>
          <w:lang w:val="en-GB"/>
        </w:rPr>
        <w:t xml:space="preserve"> </w:t>
      </w:r>
      <w:r w:rsidR="001C79FD" w:rsidRPr="003B7DC7">
        <w:rPr>
          <w:color w:val="auto"/>
          <w:sz w:val="26"/>
          <w:szCs w:val="26"/>
          <w:lang w:val="en-GB"/>
        </w:rPr>
        <w:t>Khalil et al., 2020</w:t>
      </w:r>
      <w:r w:rsidR="001C79FD">
        <w:rPr>
          <w:color w:val="auto"/>
          <w:sz w:val="26"/>
          <w:szCs w:val="26"/>
          <w:lang w:val="en-GB"/>
        </w:rPr>
        <w:t xml:space="preserve">; </w:t>
      </w:r>
      <w:r w:rsidRPr="003B7DC7">
        <w:rPr>
          <w:color w:val="auto"/>
          <w:sz w:val="26"/>
          <w:szCs w:val="26"/>
          <w:lang w:val="en-GB"/>
        </w:rPr>
        <w:t xml:space="preserve">Vo </w:t>
      </w:r>
      <w:r w:rsidR="007875AD">
        <w:rPr>
          <w:color w:val="auto"/>
          <w:sz w:val="26"/>
          <w:szCs w:val="26"/>
          <w:lang w:val="en-GB"/>
        </w:rPr>
        <w:t xml:space="preserve">&amp; </w:t>
      </w:r>
      <w:r w:rsidR="001C79FD">
        <w:rPr>
          <w:color w:val="auto"/>
          <w:sz w:val="26"/>
          <w:szCs w:val="26"/>
          <w:lang w:val="en-GB"/>
        </w:rPr>
        <w:t>Chu, 2019</w:t>
      </w:r>
      <w:r w:rsidRPr="003B7DC7">
        <w:rPr>
          <w:color w:val="auto"/>
          <w:sz w:val="26"/>
          <w:szCs w:val="26"/>
          <w:lang w:val="en-GB"/>
        </w:rPr>
        <w:t>), but very limited efforts are conducted to examine whether FI is influenced by different measures of EQ which is the main theme in this study.</w:t>
      </w:r>
    </w:p>
    <w:p w14:paraId="79011424" w14:textId="77777777" w:rsidR="003F7FC0" w:rsidRDefault="003F7FC0" w:rsidP="00B47B68">
      <w:pPr>
        <w:pStyle w:val="Default"/>
        <w:snapToGrid w:val="0"/>
        <w:spacing w:line="360" w:lineRule="exact"/>
        <w:jc w:val="both"/>
        <w:rPr>
          <w:b/>
          <w:color w:val="auto"/>
          <w:sz w:val="26"/>
          <w:szCs w:val="26"/>
          <w:lang w:val="en-GB"/>
        </w:rPr>
      </w:pPr>
    </w:p>
    <w:p w14:paraId="2058409C" w14:textId="13F3BC9A" w:rsidR="00112BC7" w:rsidRPr="00B47B68" w:rsidRDefault="00112BC7" w:rsidP="00B47B68">
      <w:pPr>
        <w:pStyle w:val="Default"/>
        <w:snapToGrid w:val="0"/>
        <w:spacing w:line="360" w:lineRule="exact"/>
        <w:jc w:val="both"/>
        <w:rPr>
          <w:b/>
          <w:color w:val="auto"/>
          <w:sz w:val="26"/>
          <w:szCs w:val="26"/>
          <w:lang w:val="en-GB"/>
        </w:rPr>
      </w:pPr>
      <w:r w:rsidRPr="00B47B68">
        <w:rPr>
          <w:b/>
          <w:color w:val="auto"/>
          <w:sz w:val="26"/>
          <w:szCs w:val="26"/>
          <w:lang w:val="en-GB"/>
        </w:rPr>
        <w:t xml:space="preserve">Policy </w:t>
      </w:r>
      <w:r w:rsidR="00A95E4E" w:rsidRPr="00B47B68">
        <w:rPr>
          <w:b/>
          <w:color w:val="auto"/>
          <w:sz w:val="26"/>
          <w:szCs w:val="26"/>
          <w:lang w:val="en-GB"/>
        </w:rPr>
        <w:t>Implications</w:t>
      </w:r>
    </w:p>
    <w:p w14:paraId="26C63C2F" w14:textId="61225B88" w:rsidR="00784B4C" w:rsidRDefault="00503655" w:rsidP="003B7DC7">
      <w:pPr>
        <w:pStyle w:val="Default"/>
        <w:snapToGrid w:val="0"/>
        <w:spacing w:line="360" w:lineRule="exact"/>
        <w:ind w:firstLine="510"/>
        <w:jc w:val="both"/>
        <w:rPr>
          <w:color w:val="auto"/>
          <w:sz w:val="26"/>
          <w:szCs w:val="26"/>
          <w:lang w:val="en-GB"/>
        </w:rPr>
      </w:pPr>
      <w:r w:rsidRPr="003B7DC7">
        <w:rPr>
          <w:color w:val="auto"/>
          <w:sz w:val="26"/>
          <w:szCs w:val="26"/>
          <w:lang w:val="en-GB"/>
        </w:rPr>
        <w:t xml:space="preserve">The findings of this study have several policy implications. </w:t>
      </w:r>
      <w:r w:rsidR="001E3C70" w:rsidRPr="003B7DC7">
        <w:rPr>
          <w:color w:val="auto"/>
          <w:sz w:val="26"/>
          <w:szCs w:val="26"/>
          <w:lang w:val="en-GB"/>
        </w:rPr>
        <w:t>Firstly,</w:t>
      </w:r>
      <w:r w:rsidRPr="003B7DC7">
        <w:rPr>
          <w:color w:val="auto"/>
          <w:sz w:val="26"/>
          <w:szCs w:val="26"/>
          <w:lang w:val="en-GB"/>
        </w:rPr>
        <w:t xml:space="preserve"> multiple EQ measures have different interpretations</w:t>
      </w:r>
      <w:r w:rsidR="006460A7" w:rsidRPr="003B7DC7">
        <w:rPr>
          <w:color w:val="auto"/>
          <w:sz w:val="26"/>
          <w:szCs w:val="26"/>
          <w:lang w:val="en-GB"/>
        </w:rPr>
        <w:t>,</w:t>
      </w:r>
      <w:r w:rsidRPr="003B7DC7">
        <w:rPr>
          <w:color w:val="auto"/>
          <w:sz w:val="26"/>
          <w:szCs w:val="26"/>
          <w:lang w:val="en-GB"/>
        </w:rPr>
        <w:t xml:space="preserve"> and </w:t>
      </w:r>
      <w:r w:rsidR="006460A7" w:rsidRPr="003B7DC7">
        <w:rPr>
          <w:color w:val="auto"/>
          <w:sz w:val="26"/>
          <w:szCs w:val="26"/>
          <w:lang w:val="en-GB"/>
        </w:rPr>
        <w:t>foreign investors</w:t>
      </w:r>
      <w:r w:rsidR="005506C1" w:rsidRPr="003B7DC7">
        <w:rPr>
          <w:color w:val="auto"/>
          <w:sz w:val="26"/>
          <w:szCs w:val="26"/>
          <w:lang w:val="en-GB"/>
        </w:rPr>
        <w:t xml:space="preserve"> </w:t>
      </w:r>
      <w:r w:rsidRPr="003B7DC7">
        <w:rPr>
          <w:color w:val="auto"/>
          <w:sz w:val="26"/>
          <w:szCs w:val="26"/>
          <w:lang w:val="en-GB"/>
        </w:rPr>
        <w:t xml:space="preserve">should accept each measure carefully and according to </w:t>
      </w:r>
      <w:r w:rsidR="006460A7" w:rsidRPr="003B7DC7">
        <w:rPr>
          <w:color w:val="auto"/>
          <w:sz w:val="26"/>
          <w:szCs w:val="26"/>
          <w:lang w:val="en-GB"/>
        </w:rPr>
        <w:t>their</w:t>
      </w:r>
      <w:r w:rsidRPr="003B7DC7">
        <w:rPr>
          <w:color w:val="auto"/>
          <w:sz w:val="26"/>
          <w:szCs w:val="26"/>
          <w:lang w:val="en-GB"/>
        </w:rPr>
        <w:t xml:space="preserve"> preference</w:t>
      </w:r>
      <w:r w:rsidR="006F15D5">
        <w:rPr>
          <w:color w:val="auto"/>
          <w:sz w:val="26"/>
          <w:szCs w:val="26"/>
          <w:lang w:val="en-GB"/>
        </w:rPr>
        <w:t>s</w:t>
      </w:r>
      <w:r w:rsidRPr="003B7DC7">
        <w:rPr>
          <w:color w:val="auto"/>
          <w:sz w:val="26"/>
          <w:szCs w:val="26"/>
          <w:lang w:val="en-GB"/>
        </w:rPr>
        <w:t xml:space="preserve">. </w:t>
      </w:r>
      <w:r w:rsidR="001E3C70" w:rsidRPr="003B7DC7">
        <w:rPr>
          <w:color w:val="auto"/>
          <w:sz w:val="26"/>
          <w:szCs w:val="26"/>
          <w:lang w:val="en-GB"/>
        </w:rPr>
        <w:t>Secondly,</w:t>
      </w:r>
      <w:r w:rsidRPr="003B7DC7">
        <w:rPr>
          <w:color w:val="auto"/>
          <w:sz w:val="26"/>
          <w:szCs w:val="26"/>
          <w:lang w:val="en-GB"/>
        </w:rPr>
        <w:t xml:space="preserve"> </w:t>
      </w:r>
      <w:r w:rsidR="003831C2" w:rsidRPr="003B7DC7">
        <w:rPr>
          <w:color w:val="auto"/>
          <w:sz w:val="26"/>
          <w:szCs w:val="26"/>
          <w:lang w:val="en-GB"/>
        </w:rPr>
        <w:t xml:space="preserve">foreign investors are interested </w:t>
      </w:r>
      <w:r w:rsidR="006460A7" w:rsidRPr="003B7DC7">
        <w:rPr>
          <w:color w:val="auto"/>
          <w:sz w:val="26"/>
          <w:szCs w:val="26"/>
          <w:lang w:val="en-GB"/>
        </w:rPr>
        <w:t xml:space="preserve">in </w:t>
      </w:r>
      <w:r w:rsidR="003831C2" w:rsidRPr="003B7DC7">
        <w:rPr>
          <w:color w:val="auto"/>
          <w:sz w:val="26"/>
          <w:szCs w:val="26"/>
          <w:lang w:val="en-GB"/>
        </w:rPr>
        <w:t>more relevant information as well as more reliable or protection information</w:t>
      </w:r>
      <w:r w:rsidR="006460A7" w:rsidRPr="003B7DC7">
        <w:rPr>
          <w:color w:val="auto"/>
          <w:sz w:val="26"/>
          <w:szCs w:val="26"/>
          <w:lang w:val="en-GB"/>
        </w:rPr>
        <w:t xml:space="preserve">. Therefore, </w:t>
      </w:r>
      <w:r w:rsidR="003831C2" w:rsidRPr="003B7DC7">
        <w:rPr>
          <w:color w:val="auto"/>
          <w:sz w:val="26"/>
          <w:szCs w:val="26"/>
          <w:lang w:val="en-GB"/>
        </w:rPr>
        <w:t xml:space="preserve">regulators of </w:t>
      </w:r>
      <w:r w:rsidR="006F15D5">
        <w:rPr>
          <w:color w:val="auto"/>
          <w:sz w:val="26"/>
          <w:szCs w:val="26"/>
          <w:lang w:val="en-GB"/>
        </w:rPr>
        <w:t xml:space="preserve">the </w:t>
      </w:r>
      <w:r w:rsidR="003831C2" w:rsidRPr="003B7DC7">
        <w:rPr>
          <w:color w:val="auto"/>
          <w:sz w:val="26"/>
          <w:szCs w:val="26"/>
          <w:lang w:val="en-GB"/>
        </w:rPr>
        <w:t xml:space="preserve">capital market should use </w:t>
      </w:r>
      <w:r w:rsidR="006B1C85" w:rsidRPr="003B7DC7">
        <w:rPr>
          <w:color w:val="auto"/>
          <w:sz w:val="26"/>
          <w:szCs w:val="26"/>
          <w:lang w:val="en-GB"/>
        </w:rPr>
        <w:t>EQ</w:t>
      </w:r>
      <w:r w:rsidR="003831C2" w:rsidRPr="003B7DC7">
        <w:rPr>
          <w:color w:val="auto"/>
          <w:sz w:val="26"/>
          <w:szCs w:val="26"/>
          <w:lang w:val="en-GB"/>
        </w:rPr>
        <w:t xml:space="preserve"> measures as guidelines to improve the informativeness of financial reporting for better allocation of resources in capital markets. </w:t>
      </w:r>
      <w:r w:rsidR="003D478B" w:rsidRPr="003B7DC7">
        <w:rPr>
          <w:color w:val="auto"/>
          <w:sz w:val="26"/>
          <w:szCs w:val="26"/>
          <w:lang w:val="en-GB"/>
        </w:rPr>
        <w:t>Third</w:t>
      </w:r>
      <w:r w:rsidR="00407BA3" w:rsidRPr="003B7DC7">
        <w:rPr>
          <w:color w:val="auto"/>
          <w:sz w:val="26"/>
          <w:szCs w:val="26"/>
          <w:lang w:val="en-GB"/>
        </w:rPr>
        <w:t>ly</w:t>
      </w:r>
      <w:r w:rsidR="00155567" w:rsidRPr="003B7DC7">
        <w:rPr>
          <w:color w:val="auto"/>
          <w:sz w:val="26"/>
          <w:szCs w:val="26"/>
          <w:lang w:val="en-GB"/>
        </w:rPr>
        <w:t xml:space="preserve">, the regulators should increase the awareness and comprehensive understanding of the role of foreign ownership in GCC capital markets. </w:t>
      </w:r>
      <w:r w:rsidR="003D478B" w:rsidRPr="003B7DC7">
        <w:rPr>
          <w:color w:val="auto"/>
          <w:sz w:val="26"/>
          <w:szCs w:val="26"/>
          <w:lang w:val="en-GB"/>
        </w:rPr>
        <w:t>Fourth</w:t>
      </w:r>
      <w:r w:rsidR="00407BA3" w:rsidRPr="003B7DC7">
        <w:rPr>
          <w:color w:val="auto"/>
          <w:sz w:val="26"/>
          <w:szCs w:val="26"/>
          <w:lang w:val="en-GB"/>
        </w:rPr>
        <w:t>ly</w:t>
      </w:r>
      <w:r w:rsidR="001303CD" w:rsidRPr="003B7DC7">
        <w:rPr>
          <w:color w:val="auto"/>
          <w:sz w:val="26"/>
          <w:szCs w:val="26"/>
          <w:lang w:val="en-GB"/>
        </w:rPr>
        <w:t>, the findings have implication</w:t>
      </w:r>
      <w:r w:rsidR="006F15D5">
        <w:rPr>
          <w:color w:val="auto"/>
          <w:sz w:val="26"/>
          <w:szCs w:val="26"/>
          <w:lang w:val="en-GB"/>
        </w:rPr>
        <w:t>s</w:t>
      </w:r>
      <w:r w:rsidR="001303CD" w:rsidRPr="003B7DC7">
        <w:rPr>
          <w:color w:val="auto"/>
          <w:sz w:val="26"/>
          <w:szCs w:val="26"/>
          <w:lang w:val="en-GB"/>
        </w:rPr>
        <w:t xml:space="preserve"> for the managers of the firms as they should manage the </w:t>
      </w:r>
      <w:r w:rsidR="006B1C85" w:rsidRPr="003B7DC7">
        <w:rPr>
          <w:color w:val="auto"/>
          <w:sz w:val="26"/>
          <w:szCs w:val="26"/>
          <w:lang w:val="en-GB"/>
        </w:rPr>
        <w:t>EQ</w:t>
      </w:r>
      <w:r w:rsidR="001303CD" w:rsidRPr="003B7DC7">
        <w:rPr>
          <w:color w:val="auto"/>
          <w:sz w:val="26"/>
          <w:szCs w:val="26"/>
          <w:lang w:val="en-GB"/>
        </w:rPr>
        <w:t xml:space="preserve"> information carefully to avoid any misuse of each EQ measure</w:t>
      </w:r>
      <w:r w:rsidR="00FC3976" w:rsidRPr="003B7DC7">
        <w:rPr>
          <w:color w:val="auto"/>
          <w:sz w:val="26"/>
          <w:szCs w:val="26"/>
          <w:lang w:val="en-GB"/>
        </w:rPr>
        <w:t>. For example, if the managers decide to smooth the earnings</w:t>
      </w:r>
      <w:r w:rsidR="006460A7" w:rsidRPr="003B7DC7">
        <w:rPr>
          <w:color w:val="auto"/>
          <w:sz w:val="26"/>
          <w:szCs w:val="26"/>
          <w:lang w:val="en-GB"/>
        </w:rPr>
        <w:t xml:space="preserve">, </w:t>
      </w:r>
      <w:r w:rsidR="00FC3976" w:rsidRPr="003B7DC7">
        <w:rPr>
          <w:color w:val="auto"/>
          <w:sz w:val="26"/>
          <w:szCs w:val="26"/>
          <w:lang w:val="en-GB"/>
        </w:rPr>
        <w:t>they should study the consequences of this decision on attracting foreign investor</w:t>
      </w:r>
      <w:r w:rsidR="006460A7" w:rsidRPr="003B7DC7">
        <w:rPr>
          <w:color w:val="auto"/>
          <w:sz w:val="26"/>
          <w:szCs w:val="26"/>
          <w:lang w:val="en-GB"/>
        </w:rPr>
        <w:t>s</w:t>
      </w:r>
      <w:r w:rsidR="00FC3976" w:rsidRPr="003B7DC7">
        <w:rPr>
          <w:color w:val="auto"/>
          <w:sz w:val="26"/>
          <w:szCs w:val="26"/>
          <w:lang w:val="en-GB"/>
        </w:rPr>
        <w:t>.</w:t>
      </w:r>
      <w:r w:rsidR="003D478B" w:rsidRPr="003B7DC7">
        <w:rPr>
          <w:color w:val="auto"/>
          <w:sz w:val="26"/>
          <w:szCs w:val="26"/>
          <w:lang w:val="en-GB"/>
        </w:rPr>
        <w:t xml:space="preserve"> </w:t>
      </w:r>
    </w:p>
    <w:p w14:paraId="13A2F43F" w14:textId="77777777" w:rsidR="00B47B68" w:rsidRPr="003B7DC7" w:rsidRDefault="00B47B68" w:rsidP="003B7DC7">
      <w:pPr>
        <w:pStyle w:val="Default"/>
        <w:snapToGrid w:val="0"/>
        <w:spacing w:line="360" w:lineRule="exact"/>
        <w:ind w:firstLine="510"/>
        <w:jc w:val="both"/>
        <w:rPr>
          <w:color w:val="auto"/>
          <w:sz w:val="26"/>
          <w:szCs w:val="26"/>
          <w:lang w:val="en-GB"/>
        </w:rPr>
      </w:pPr>
    </w:p>
    <w:p w14:paraId="43B7724B" w14:textId="77777777" w:rsidR="00112BC7" w:rsidRPr="00B47B68" w:rsidRDefault="00112BC7" w:rsidP="00B47B68">
      <w:pPr>
        <w:pStyle w:val="Default"/>
        <w:snapToGrid w:val="0"/>
        <w:spacing w:line="360" w:lineRule="exact"/>
        <w:jc w:val="both"/>
        <w:rPr>
          <w:b/>
          <w:color w:val="auto"/>
          <w:sz w:val="26"/>
          <w:szCs w:val="26"/>
          <w:lang w:val="en-GB"/>
        </w:rPr>
      </w:pPr>
      <w:r w:rsidRPr="00B47B68">
        <w:rPr>
          <w:b/>
          <w:color w:val="auto"/>
          <w:sz w:val="26"/>
          <w:szCs w:val="26"/>
          <w:lang w:val="en-GB"/>
        </w:rPr>
        <w:t>Study Limitations and Future Studies</w:t>
      </w:r>
    </w:p>
    <w:p w14:paraId="28019A33" w14:textId="77777777" w:rsidR="00A95E4E" w:rsidRDefault="00784B4C" w:rsidP="000D6980">
      <w:pPr>
        <w:pStyle w:val="Default"/>
        <w:snapToGrid w:val="0"/>
        <w:spacing w:line="360" w:lineRule="exact"/>
        <w:ind w:firstLine="510"/>
        <w:jc w:val="both"/>
        <w:rPr>
          <w:color w:val="auto"/>
          <w:sz w:val="26"/>
          <w:szCs w:val="26"/>
          <w:lang w:val="en-GB"/>
        </w:rPr>
      </w:pPr>
      <w:r w:rsidRPr="003B7DC7">
        <w:rPr>
          <w:color w:val="auto"/>
          <w:sz w:val="26"/>
          <w:szCs w:val="26"/>
          <w:lang w:val="en-GB"/>
        </w:rPr>
        <w:t xml:space="preserve">There are several limitations </w:t>
      </w:r>
      <w:r w:rsidR="006F15D5">
        <w:rPr>
          <w:color w:val="auto"/>
          <w:sz w:val="26"/>
          <w:szCs w:val="26"/>
          <w:lang w:val="en-GB"/>
        </w:rPr>
        <w:t>to</w:t>
      </w:r>
      <w:r w:rsidR="006F15D5" w:rsidRPr="003B7DC7">
        <w:rPr>
          <w:color w:val="auto"/>
          <w:sz w:val="26"/>
          <w:szCs w:val="26"/>
          <w:lang w:val="en-GB"/>
        </w:rPr>
        <w:t xml:space="preserve"> </w:t>
      </w:r>
      <w:r w:rsidRPr="003B7DC7">
        <w:rPr>
          <w:color w:val="auto"/>
          <w:sz w:val="26"/>
          <w:szCs w:val="26"/>
          <w:lang w:val="en-GB"/>
        </w:rPr>
        <w:t xml:space="preserve">this study. </w:t>
      </w:r>
      <w:r w:rsidR="001E3C70" w:rsidRPr="003B7DC7">
        <w:rPr>
          <w:color w:val="auto"/>
          <w:sz w:val="26"/>
          <w:szCs w:val="26"/>
          <w:lang w:val="en-GB"/>
        </w:rPr>
        <w:t>Firstly,</w:t>
      </w:r>
      <w:r w:rsidRPr="003B7DC7">
        <w:rPr>
          <w:color w:val="auto"/>
          <w:sz w:val="26"/>
          <w:szCs w:val="26"/>
          <w:lang w:val="en-GB"/>
        </w:rPr>
        <w:t xml:space="preserve"> the study is based on the </w:t>
      </w:r>
      <w:r w:rsidR="006460A7" w:rsidRPr="003B7DC7">
        <w:rPr>
          <w:color w:val="auto"/>
          <w:sz w:val="26"/>
          <w:szCs w:val="26"/>
          <w:lang w:val="en-GB"/>
        </w:rPr>
        <w:t>non</w:t>
      </w:r>
      <w:r w:rsidRPr="003B7DC7">
        <w:rPr>
          <w:color w:val="auto"/>
          <w:sz w:val="26"/>
          <w:szCs w:val="26"/>
          <w:lang w:val="en-GB"/>
        </w:rPr>
        <w:t>-</w:t>
      </w:r>
      <w:r w:rsidR="006460A7" w:rsidRPr="003B7DC7">
        <w:rPr>
          <w:color w:val="auto"/>
          <w:sz w:val="26"/>
          <w:szCs w:val="26"/>
          <w:lang w:val="en-GB"/>
        </w:rPr>
        <w:t xml:space="preserve">financial </w:t>
      </w:r>
      <w:r w:rsidRPr="003B7DC7">
        <w:rPr>
          <w:color w:val="auto"/>
          <w:sz w:val="26"/>
          <w:szCs w:val="26"/>
          <w:lang w:val="en-GB"/>
        </w:rPr>
        <w:t>listed firm</w:t>
      </w:r>
      <w:r w:rsidR="006460A7" w:rsidRPr="003B7DC7">
        <w:rPr>
          <w:color w:val="auto"/>
          <w:sz w:val="26"/>
          <w:szCs w:val="26"/>
          <w:lang w:val="en-GB"/>
        </w:rPr>
        <w:t>s</w:t>
      </w:r>
      <w:r w:rsidRPr="003B7DC7">
        <w:rPr>
          <w:color w:val="auto"/>
          <w:sz w:val="26"/>
          <w:szCs w:val="26"/>
          <w:lang w:val="en-GB"/>
        </w:rPr>
        <w:t xml:space="preserve"> in GCC markets</w:t>
      </w:r>
      <w:r w:rsidR="006460A7" w:rsidRPr="003B7DC7">
        <w:rPr>
          <w:color w:val="auto"/>
          <w:sz w:val="26"/>
          <w:szCs w:val="26"/>
          <w:lang w:val="en-GB"/>
        </w:rPr>
        <w:t>, excluding listed firms in</w:t>
      </w:r>
      <w:r w:rsidRPr="003B7DC7">
        <w:rPr>
          <w:color w:val="auto"/>
          <w:sz w:val="26"/>
          <w:szCs w:val="26"/>
          <w:lang w:val="en-GB"/>
        </w:rPr>
        <w:t xml:space="preserve"> </w:t>
      </w:r>
      <w:r w:rsidR="006460A7" w:rsidRPr="003B7DC7">
        <w:rPr>
          <w:color w:val="auto"/>
          <w:sz w:val="26"/>
          <w:szCs w:val="26"/>
          <w:lang w:val="en-GB"/>
        </w:rPr>
        <w:t xml:space="preserve">the </w:t>
      </w:r>
      <w:r w:rsidRPr="003B7DC7">
        <w:rPr>
          <w:color w:val="auto"/>
          <w:sz w:val="26"/>
          <w:szCs w:val="26"/>
          <w:lang w:val="en-GB"/>
        </w:rPr>
        <w:t xml:space="preserve">banking and financial </w:t>
      </w:r>
      <w:r w:rsidR="006460A7" w:rsidRPr="003B7DC7">
        <w:rPr>
          <w:color w:val="auto"/>
          <w:sz w:val="26"/>
          <w:szCs w:val="26"/>
          <w:lang w:val="en-GB"/>
        </w:rPr>
        <w:t>sectors</w:t>
      </w:r>
      <w:r w:rsidRPr="003B7DC7">
        <w:rPr>
          <w:color w:val="auto"/>
          <w:sz w:val="26"/>
          <w:szCs w:val="26"/>
          <w:lang w:val="en-GB"/>
        </w:rPr>
        <w:t xml:space="preserve">. </w:t>
      </w:r>
      <w:r w:rsidR="006F15D5">
        <w:rPr>
          <w:color w:val="auto"/>
          <w:sz w:val="26"/>
          <w:szCs w:val="26"/>
          <w:lang w:val="en-GB"/>
        </w:rPr>
        <w:t>The g</w:t>
      </w:r>
      <w:r w:rsidR="006F15D5" w:rsidRPr="003B7DC7">
        <w:rPr>
          <w:color w:val="auto"/>
          <w:sz w:val="26"/>
          <w:szCs w:val="26"/>
          <w:lang w:val="en-GB"/>
        </w:rPr>
        <w:t xml:space="preserve">eneralisation </w:t>
      </w:r>
      <w:r w:rsidR="006460A7" w:rsidRPr="003B7DC7">
        <w:rPr>
          <w:color w:val="auto"/>
          <w:sz w:val="26"/>
          <w:szCs w:val="26"/>
          <w:lang w:val="en-GB"/>
        </w:rPr>
        <w:t>of findings</w:t>
      </w:r>
      <w:r w:rsidRPr="003B7DC7">
        <w:rPr>
          <w:color w:val="auto"/>
          <w:sz w:val="26"/>
          <w:szCs w:val="26"/>
          <w:lang w:val="en-GB"/>
        </w:rPr>
        <w:t xml:space="preserve"> to all sectors in the GCC </w:t>
      </w:r>
      <w:r w:rsidR="00407BA3" w:rsidRPr="003B7DC7">
        <w:rPr>
          <w:color w:val="auto"/>
          <w:sz w:val="26"/>
          <w:szCs w:val="26"/>
          <w:lang w:val="en-GB"/>
        </w:rPr>
        <w:t xml:space="preserve">capital </w:t>
      </w:r>
      <w:r w:rsidR="006460A7" w:rsidRPr="003B7DC7">
        <w:rPr>
          <w:color w:val="auto"/>
          <w:sz w:val="26"/>
          <w:szCs w:val="26"/>
          <w:lang w:val="en-GB"/>
        </w:rPr>
        <w:t xml:space="preserve">markets </w:t>
      </w:r>
      <w:r w:rsidRPr="003B7DC7">
        <w:rPr>
          <w:color w:val="auto"/>
          <w:sz w:val="26"/>
          <w:szCs w:val="26"/>
          <w:lang w:val="en-GB"/>
        </w:rPr>
        <w:t>may be problematic due to the different regulatory framework</w:t>
      </w:r>
      <w:r w:rsidR="006F15D5">
        <w:rPr>
          <w:color w:val="auto"/>
          <w:sz w:val="26"/>
          <w:szCs w:val="26"/>
          <w:lang w:val="en-GB"/>
        </w:rPr>
        <w:t>s</w:t>
      </w:r>
      <w:r w:rsidRPr="003B7DC7">
        <w:rPr>
          <w:color w:val="auto"/>
          <w:sz w:val="26"/>
          <w:szCs w:val="26"/>
          <w:lang w:val="en-GB"/>
        </w:rPr>
        <w:t xml:space="preserve"> for these firms. </w:t>
      </w:r>
      <w:r w:rsidR="004D7AC1" w:rsidRPr="003B7DC7">
        <w:rPr>
          <w:color w:val="auto"/>
          <w:sz w:val="26"/>
          <w:szCs w:val="26"/>
          <w:lang w:val="en-GB"/>
        </w:rPr>
        <w:t xml:space="preserve">Further study </w:t>
      </w:r>
      <w:r w:rsidR="006460A7" w:rsidRPr="003B7DC7">
        <w:rPr>
          <w:color w:val="auto"/>
          <w:sz w:val="26"/>
          <w:szCs w:val="26"/>
          <w:lang w:val="en-GB"/>
        </w:rPr>
        <w:t xml:space="preserve">can </w:t>
      </w:r>
      <w:r w:rsidR="004D7AC1" w:rsidRPr="003B7DC7">
        <w:rPr>
          <w:color w:val="auto"/>
          <w:sz w:val="26"/>
          <w:szCs w:val="26"/>
          <w:lang w:val="en-GB"/>
        </w:rPr>
        <w:t xml:space="preserve">be carried out in </w:t>
      </w:r>
      <w:r w:rsidR="006F15D5">
        <w:rPr>
          <w:color w:val="auto"/>
          <w:sz w:val="26"/>
          <w:szCs w:val="26"/>
          <w:lang w:val="en-GB"/>
        </w:rPr>
        <w:t xml:space="preserve">the </w:t>
      </w:r>
      <w:r w:rsidR="004D7AC1" w:rsidRPr="003B7DC7">
        <w:rPr>
          <w:color w:val="auto"/>
          <w:sz w:val="26"/>
          <w:szCs w:val="26"/>
          <w:lang w:val="en-GB"/>
        </w:rPr>
        <w:t xml:space="preserve">banking and financial sectors. </w:t>
      </w:r>
      <w:r w:rsidR="001E3C70" w:rsidRPr="003B7DC7">
        <w:rPr>
          <w:color w:val="auto"/>
          <w:sz w:val="26"/>
          <w:szCs w:val="26"/>
          <w:lang w:val="en-GB"/>
        </w:rPr>
        <w:t>Secondly,</w:t>
      </w:r>
      <w:r w:rsidRPr="003B7DC7">
        <w:rPr>
          <w:color w:val="auto"/>
          <w:sz w:val="26"/>
          <w:szCs w:val="26"/>
          <w:lang w:val="en-GB"/>
        </w:rPr>
        <w:t xml:space="preserve"> the findings may also not be </w:t>
      </w:r>
      <w:r w:rsidR="006460A7" w:rsidRPr="003B7DC7">
        <w:rPr>
          <w:color w:val="auto"/>
          <w:sz w:val="26"/>
          <w:szCs w:val="26"/>
          <w:lang w:val="en-GB"/>
        </w:rPr>
        <w:t xml:space="preserve">generalised </w:t>
      </w:r>
      <w:r w:rsidRPr="003B7DC7">
        <w:rPr>
          <w:color w:val="auto"/>
          <w:sz w:val="26"/>
          <w:szCs w:val="26"/>
          <w:lang w:val="en-GB"/>
        </w:rPr>
        <w:t xml:space="preserve">to the other developing countries such as </w:t>
      </w:r>
      <w:r w:rsidR="006F15D5">
        <w:rPr>
          <w:color w:val="auto"/>
          <w:sz w:val="26"/>
          <w:szCs w:val="26"/>
          <w:lang w:val="en-GB"/>
        </w:rPr>
        <w:t xml:space="preserve">the </w:t>
      </w:r>
      <w:r w:rsidRPr="003B7DC7">
        <w:rPr>
          <w:color w:val="auto"/>
          <w:sz w:val="26"/>
          <w:szCs w:val="26"/>
          <w:lang w:val="en-GB"/>
        </w:rPr>
        <w:t xml:space="preserve">Middle East </w:t>
      </w:r>
      <w:r w:rsidR="004D7AC1" w:rsidRPr="003B7DC7">
        <w:rPr>
          <w:color w:val="auto"/>
          <w:sz w:val="26"/>
          <w:szCs w:val="26"/>
          <w:lang w:val="en-GB"/>
        </w:rPr>
        <w:t xml:space="preserve">region </w:t>
      </w:r>
      <w:r w:rsidRPr="003B7DC7">
        <w:rPr>
          <w:color w:val="auto"/>
          <w:sz w:val="26"/>
          <w:szCs w:val="26"/>
          <w:lang w:val="en-GB"/>
        </w:rPr>
        <w:t>due to the different legal, institutional and economic environment</w:t>
      </w:r>
      <w:r w:rsidR="006F15D5">
        <w:rPr>
          <w:color w:val="auto"/>
          <w:sz w:val="26"/>
          <w:szCs w:val="26"/>
          <w:lang w:val="en-GB"/>
        </w:rPr>
        <w:t>s</w:t>
      </w:r>
      <w:r w:rsidRPr="003B7DC7">
        <w:rPr>
          <w:color w:val="auto"/>
          <w:sz w:val="26"/>
          <w:szCs w:val="26"/>
          <w:lang w:val="en-GB"/>
        </w:rPr>
        <w:t xml:space="preserve">. </w:t>
      </w:r>
      <w:r w:rsidR="004D7AC1" w:rsidRPr="003B7DC7">
        <w:rPr>
          <w:color w:val="auto"/>
          <w:sz w:val="26"/>
          <w:szCs w:val="26"/>
          <w:lang w:val="en-GB"/>
        </w:rPr>
        <w:t xml:space="preserve">Further research </w:t>
      </w:r>
      <w:r w:rsidR="006460A7" w:rsidRPr="003B7DC7">
        <w:rPr>
          <w:color w:val="auto"/>
          <w:sz w:val="26"/>
          <w:szCs w:val="26"/>
          <w:lang w:val="en-GB"/>
        </w:rPr>
        <w:t xml:space="preserve">can </w:t>
      </w:r>
      <w:r w:rsidR="004D7AC1" w:rsidRPr="003B7DC7">
        <w:rPr>
          <w:color w:val="auto"/>
          <w:sz w:val="26"/>
          <w:szCs w:val="26"/>
          <w:lang w:val="en-GB"/>
        </w:rPr>
        <w:t xml:space="preserve">also be carried out in these regions. </w:t>
      </w:r>
      <w:r w:rsidRPr="003B7DC7">
        <w:rPr>
          <w:color w:val="auto"/>
          <w:sz w:val="26"/>
          <w:szCs w:val="26"/>
          <w:lang w:val="en-GB"/>
        </w:rPr>
        <w:t>Third</w:t>
      </w:r>
      <w:r w:rsidR="006460A7" w:rsidRPr="003B7DC7">
        <w:rPr>
          <w:color w:val="auto"/>
          <w:sz w:val="26"/>
          <w:szCs w:val="26"/>
          <w:lang w:val="en-GB"/>
        </w:rPr>
        <w:t>ly</w:t>
      </w:r>
      <w:r w:rsidRPr="003B7DC7">
        <w:rPr>
          <w:color w:val="auto"/>
          <w:sz w:val="26"/>
          <w:szCs w:val="26"/>
          <w:lang w:val="en-GB"/>
        </w:rPr>
        <w:t xml:space="preserve">, in calculating </w:t>
      </w:r>
      <w:r w:rsidR="00103E47" w:rsidRPr="003B7DC7">
        <w:rPr>
          <w:color w:val="auto"/>
          <w:sz w:val="26"/>
          <w:szCs w:val="26"/>
          <w:lang w:val="en-GB"/>
        </w:rPr>
        <w:t>the EQ measures</w:t>
      </w:r>
      <w:r w:rsidRPr="003B7DC7">
        <w:rPr>
          <w:color w:val="auto"/>
          <w:sz w:val="26"/>
          <w:szCs w:val="26"/>
          <w:lang w:val="en-GB"/>
        </w:rPr>
        <w:t>, the study use</w:t>
      </w:r>
      <w:r w:rsidR="00C622FD" w:rsidRPr="003B7DC7">
        <w:rPr>
          <w:color w:val="auto"/>
          <w:sz w:val="26"/>
          <w:szCs w:val="26"/>
          <w:lang w:val="en-GB"/>
        </w:rPr>
        <w:t>s</w:t>
      </w:r>
      <w:r w:rsidRPr="003B7DC7">
        <w:rPr>
          <w:color w:val="auto"/>
          <w:sz w:val="26"/>
          <w:szCs w:val="26"/>
          <w:lang w:val="en-GB"/>
        </w:rPr>
        <w:t xml:space="preserve"> some common measures in reputable </w:t>
      </w:r>
      <w:r w:rsidR="001F48F8" w:rsidRPr="003B7DC7">
        <w:rPr>
          <w:color w:val="auto"/>
          <w:sz w:val="26"/>
          <w:szCs w:val="26"/>
          <w:lang w:val="en-GB"/>
        </w:rPr>
        <w:t>studies.</w:t>
      </w:r>
      <w:r w:rsidR="00C622FD" w:rsidRPr="003B7DC7">
        <w:rPr>
          <w:color w:val="auto"/>
          <w:sz w:val="26"/>
          <w:szCs w:val="26"/>
          <w:lang w:val="en-GB"/>
        </w:rPr>
        <w:t xml:space="preserve"> </w:t>
      </w:r>
      <w:r w:rsidR="001F48F8" w:rsidRPr="003B7DC7">
        <w:rPr>
          <w:color w:val="auto"/>
          <w:sz w:val="26"/>
          <w:szCs w:val="26"/>
          <w:lang w:val="en-GB"/>
        </w:rPr>
        <w:t xml:space="preserve">Nonetheless, </w:t>
      </w:r>
      <w:r w:rsidR="00C622FD" w:rsidRPr="003B7DC7">
        <w:rPr>
          <w:color w:val="auto"/>
          <w:sz w:val="26"/>
          <w:szCs w:val="26"/>
          <w:lang w:val="en-GB"/>
        </w:rPr>
        <w:t xml:space="preserve">other measures </w:t>
      </w:r>
      <w:r w:rsidR="001F48F8" w:rsidRPr="003B7DC7">
        <w:rPr>
          <w:color w:val="auto"/>
          <w:sz w:val="26"/>
          <w:szCs w:val="26"/>
          <w:lang w:val="en-GB"/>
        </w:rPr>
        <w:t>may</w:t>
      </w:r>
      <w:r w:rsidR="00C622FD" w:rsidRPr="003B7DC7">
        <w:rPr>
          <w:color w:val="auto"/>
          <w:sz w:val="26"/>
          <w:szCs w:val="26"/>
          <w:lang w:val="en-GB"/>
        </w:rPr>
        <w:t xml:space="preserve"> give different results and interpretations</w:t>
      </w:r>
      <w:r w:rsidR="001F48F8" w:rsidRPr="003B7DC7">
        <w:rPr>
          <w:color w:val="auto"/>
          <w:sz w:val="26"/>
          <w:szCs w:val="26"/>
          <w:lang w:val="en-GB"/>
        </w:rPr>
        <w:t>,</w:t>
      </w:r>
      <w:r w:rsidR="004D7AC1" w:rsidRPr="003B7DC7">
        <w:rPr>
          <w:color w:val="auto"/>
          <w:sz w:val="26"/>
          <w:szCs w:val="26"/>
          <w:lang w:val="en-GB"/>
        </w:rPr>
        <w:t xml:space="preserve"> </w:t>
      </w:r>
      <w:r w:rsidR="001F48F8" w:rsidRPr="003B7DC7">
        <w:rPr>
          <w:color w:val="auto"/>
          <w:sz w:val="26"/>
          <w:szCs w:val="26"/>
          <w:lang w:val="en-GB"/>
        </w:rPr>
        <w:t>so future</w:t>
      </w:r>
      <w:r w:rsidR="004D7AC1" w:rsidRPr="003B7DC7">
        <w:rPr>
          <w:color w:val="auto"/>
          <w:sz w:val="26"/>
          <w:szCs w:val="26"/>
          <w:lang w:val="en-GB"/>
        </w:rPr>
        <w:t xml:space="preserve"> studies </w:t>
      </w:r>
      <w:r w:rsidR="001F48F8" w:rsidRPr="003B7DC7">
        <w:rPr>
          <w:color w:val="auto"/>
          <w:sz w:val="26"/>
          <w:szCs w:val="26"/>
          <w:lang w:val="en-GB"/>
        </w:rPr>
        <w:t>should</w:t>
      </w:r>
      <w:r w:rsidR="004D7AC1" w:rsidRPr="003B7DC7">
        <w:rPr>
          <w:color w:val="auto"/>
          <w:sz w:val="26"/>
          <w:szCs w:val="26"/>
          <w:lang w:val="en-GB"/>
        </w:rPr>
        <w:t xml:space="preserve"> use other EQ measures.</w:t>
      </w:r>
      <w:r w:rsidR="005B257E" w:rsidRPr="003B7DC7">
        <w:rPr>
          <w:color w:val="auto"/>
          <w:sz w:val="26"/>
          <w:szCs w:val="26"/>
          <w:lang w:val="en-GB"/>
        </w:rPr>
        <w:t xml:space="preserve"> </w:t>
      </w:r>
      <w:r w:rsidR="004D7AC1" w:rsidRPr="003B7DC7">
        <w:rPr>
          <w:color w:val="auto"/>
          <w:sz w:val="26"/>
          <w:szCs w:val="26"/>
          <w:lang w:val="en-GB"/>
        </w:rPr>
        <w:t>Fourth</w:t>
      </w:r>
      <w:r w:rsidR="001F48F8" w:rsidRPr="003B7DC7">
        <w:rPr>
          <w:color w:val="auto"/>
          <w:sz w:val="26"/>
          <w:szCs w:val="26"/>
          <w:lang w:val="en-GB"/>
        </w:rPr>
        <w:t>ly</w:t>
      </w:r>
      <w:r w:rsidR="004D7AC1" w:rsidRPr="003B7DC7">
        <w:rPr>
          <w:color w:val="auto"/>
          <w:sz w:val="26"/>
          <w:szCs w:val="26"/>
          <w:lang w:val="en-GB"/>
        </w:rPr>
        <w:t xml:space="preserve">, </w:t>
      </w:r>
      <w:r w:rsidR="001F48F8" w:rsidRPr="003B7DC7">
        <w:rPr>
          <w:color w:val="auto"/>
          <w:sz w:val="26"/>
          <w:szCs w:val="26"/>
          <w:lang w:val="en-GB"/>
        </w:rPr>
        <w:t xml:space="preserve">the </w:t>
      </w:r>
      <w:r w:rsidR="004D7AC1" w:rsidRPr="003B7DC7">
        <w:rPr>
          <w:color w:val="auto"/>
          <w:sz w:val="26"/>
          <w:szCs w:val="26"/>
          <w:lang w:val="en-GB"/>
        </w:rPr>
        <w:t>number of observation</w:t>
      </w:r>
      <w:r w:rsidR="00AA30B8" w:rsidRPr="003B7DC7">
        <w:rPr>
          <w:color w:val="auto"/>
          <w:sz w:val="26"/>
          <w:szCs w:val="26"/>
          <w:lang w:val="en-GB"/>
        </w:rPr>
        <w:t>s</w:t>
      </w:r>
      <w:r w:rsidR="004D7AC1" w:rsidRPr="003B7DC7">
        <w:rPr>
          <w:color w:val="auto"/>
          <w:sz w:val="26"/>
          <w:szCs w:val="26"/>
          <w:lang w:val="en-GB"/>
        </w:rPr>
        <w:t xml:space="preserve"> in each measure is different due to missing data</w:t>
      </w:r>
      <w:r w:rsidR="006F15D5">
        <w:rPr>
          <w:color w:val="auto"/>
          <w:sz w:val="26"/>
          <w:szCs w:val="26"/>
          <w:lang w:val="en-GB"/>
        </w:rPr>
        <w:t>,</w:t>
      </w:r>
      <w:r w:rsidR="004D7AC1" w:rsidRPr="003B7DC7">
        <w:rPr>
          <w:color w:val="auto"/>
          <w:sz w:val="26"/>
          <w:szCs w:val="26"/>
          <w:lang w:val="en-GB"/>
        </w:rPr>
        <w:t xml:space="preserve"> which </w:t>
      </w:r>
      <w:r w:rsidR="001F48F8" w:rsidRPr="003B7DC7">
        <w:rPr>
          <w:color w:val="auto"/>
          <w:sz w:val="26"/>
          <w:szCs w:val="26"/>
          <w:lang w:val="en-GB"/>
        </w:rPr>
        <w:t xml:space="preserve">may </w:t>
      </w:r>
      <w:r w:rsidR="004D7AC1" w:rsidRPr="003B7DC7">
        <w:rPr>
          <w:color w:val="auto"/>
          <w:sz w:val="26"/>
          <w:szCs w:val="26"/>
          <w:lang w:val="en-GB"/>
        </w:rPr>
        <w:t xml:space="preserve">have </w:t>
      </w:r>
      <w:r w:rsidR="001F48F8" w:rsidRPr="003B7DC7">
        <w:rPr>
          <w:color w:val="auto"/>
          <w:sz w:val="26"/>
          <w:szCs w:val="26"/>
          <w:lang w:val="en-GB"/>
        </w:rPr>
        <w:t xml:space="preserve">a </w:t>
      </w:r>
      <w:r w:rsidR="004D7AC1" w:rsidRPr="003B7DC7">
        <w:rPr>
          <w:color w:val="auto"/>
          <w:sz w:val="26"/>
          <w:szCs w:val="26"/>
          <w:lang w:val="en-GB"/>
        </w:rPr>
        <w:t>different effect</w:t>
      </w:r>
      <w:r w:rsidR="00C20823" w:rsidRPr="003B7DC7">
        <w:rPr>
          <w:color w:val="auto"/>
          <w:sz w:val="26"/>
          <w:szCs w:val="26"/>
          <w:lang w:val="en-GB"/>
        </w:rPr>
        <w:t xml:space="preserve"> on EQ. </w:t>
      </w:r>
      <w:r w:rsidR="001F48F8" w:rsidRPr="003B7DC7">
        <w:rPr>
          <w:color w:val="auto"/>
          <w:sz w:val="26"/>
          <w:szCs w:val="26"/>
          <w:lang w:val="en-GB"/>
        </w:rPr>
        <w:t>We</w:t>
      </w:r>
      <w:r w:rsidR="00C20823" w:rsidRPr="003B7DC7">
        <w:rPr>
          <w:color w:val="auto"/>
          <w:sz w:val="26"/>
          <w:szCs w:val="26"/>
          <w:lang w:val="en-GB"/>
        </w:rPr>
        <w:t xml:space="preserve"> advise </w:t>
      </w:r>
      <w:r w:rsidR="001F48F8" w:rsidRPr="003B7DC7">
        <w:rPr>
          <w:color w:val="auto"/>
          <w:sz w:val="26"/>
          <w:szCs w:val="26"/>
          <w:lang w:val="en-GB"/>
        </w:rPr>
        <w:t xml:space="preserve">completing the </w:t>
      </w:r>
      <w:r w:rsidR="00C20823" w:rsidRPr="003B7DC7">
        <w:rPr>
          <w:color w:val="auto"/>
          <w:sz w:val="26"/>
          <w:szCs w:val="26"/>
          <w:lang w:val="en-GB"/>
        </w:rPr>
        <w:t>data by using the research database as well as the financial reports of the firms in each country. Finally,</w:t>
      </w:r>
      <w:r w:rsidR="00AA30B8" w:rsidRPr="003B7DC7">
        <w:rPr>
          <w:color w:val="auto"/>
          <w:sz w:val="26"/>
          <w:szCs w:val="26"/>
          <w:lang w:val="en-GB"/>
        </w:rPr>
        <w:t xml:space="preserve"> due to limited time and resources, some topics are not discussed in this study</w:t>
      </w:r>
      <w:r w:rsidR="001F48F8" w:rsidRPr="003B7DC7">
        <w:rPr>
          <w:color w:val="auto"/>
          <w:sz w:val="26"/>
          <w:szCs w:val="26"/>
          <w:lang w:val="en-GB"/>
        </w:rPr>
        <w:t>,</w:t>
      </w:r>
      <w:r w:rsidR="00AA30B8" w:rsidRPr="003B7DC7">
        <w:rPr>
          <w:color w:val="auto"/>
          <w:sz w:val="26"/>
          <w:szCs w:val="26"/>
          <w:lang w:val="en-GB"/>
        </w:rPr>
        <w:t xml:space="preserve"> such as the rank of EQ </w:t>
      </w:r>
      <w:r w:rsidR="001F48F8" w:rsidRPr="003B7DC7">
        <w:rPr>
          <w:color w:val="auto"/>
          <w:sz w:val="26"/>
          <w:szCs w:val="26"/>
          <w:lang w:val="en-GB"/>
        </w:rPr>
        <w:t xml:space="preserve">measures </w:t>
      </w:r>
      <w:r w:rsidR="00AA30B8" w:rsidRPr="003B7DC7">
        <w:rPr>
          <w:color w:val="auto"/>
          <w:sz w:val="26"/>
          <w:szCs w:val="26"/>
          <w:lang w:val="en-GB"/>
        </w:rPr>
        <w:t xml:space="preserve">as </w:t>
      </w:r>
      <w:r w:rsidR="001F48F8" w:rsidRPr="003B7DC7">
        <w:rPr>
          <w:color w:val="auto"/>
          <w:sz w:val="26"/>
          <w:szCs w:val="26"/>
          <w:lang w:val="en-GB"/>
        </w:rPr>
        <w:t xml:space="preserve">the </w:t>
      </w:r>
      <w:r w:rsidR="00AA30B8" w:rsidRPr="003B7DC7">
        <w:rPr>
          <w:color w:val="auto"/>
          <w:sz w:val="26"/>
          <w:szCs w:val="26"/>
          <w:lang w:val="en-GB"/>
        </w:rPr>
        <w:t xml:space="preserve">best measure and </w:t>
      </w:r>
      <w:r w:rsidR="001F48F8" w:rsidRPr="003B7DC7">
        <w:rPr>
          <w:color w:val="auto"/>
          <w:sz w:val="26"/>
          <w:szCs w:val="26"/>
          <w:lang w:val="en-GB"/>
        </w:rPr>
        <w:t xml:space="preserve">the </w:t>
      </w:r>
      <w:r w:rsidR="00AA30B8" w:rsidRPr="003B7DC7">
        <w:rPr>
          <w:color w:val="auto"/>
          <w:sz w:val="26"/>
          <w:szCs w:val="26"/>
          <w:lang w:val="en-GB"/>
        </w:rPr>
        <w:t>relationships between the EQ measures</w:t>
      </w:r>
      <w:r w:rsidR="001F48F8" w:rsidRPr="003B7DC7">
        <w:rPr>
          <w:color w:val="auto"/>
          <w:sz w:val="26"/>
          <w:szCs w:val="26"/>
          <w:lang w:val="en-GB"/>
        </w:rPr>
        <w:t>.</w:t>
      </w:r>
      <w:r w:rsidR="00AA30B8" w:rsidRPr="003B7DC7">
        <w:rPr>
          <w:color w:val="auto"/>
          <w:sz w:val="26"/>
          <w:szCs w:val="26"/>
          <w:lang w:val="en-GB"/>
        </w:rPr>
        <w:t xml:space="preserve"> </w:t>
      </w:r>
      <w:r w:rsidR="001F48F8" w:rsidRPr="003B7DC7">
        <w:rPr>
          <w:color w:val="auto"/>
          <w:sz w:val="26"/>
          <w:szCs w:val="26"/>
          <w:lang w:val="en-GB"/>
        </w:rPr>
        <w:t xml:space="preserve">Future </w:t>
      </w:r>
      <w:r w:rsidR="00AA30B8" w:rsidRPr="003B7DC7">
        <w:rPr>
          <w:color w:val="auto"/>
          <w:sz w:val="26"/>
          <w:szCs w:val="26"/>
          <w:lang w:val="en-GB"/>
        </w:rPr>
        <w:t xml:space="preserve">studies </w:t>
      </w:r>
      <w:r w:rsidR="001F48F8" w:rsidRPr="003B7DC7">
        <w:rPr>
          <w:color w:val="auto"/>
          <w:sz w:val="26"/>
          <w:szCs w:val="26"/>
          <w:lang w:val="en-GB"/>
        </w:rPr>
        <w:t>can pursue</w:t>
      </w:r>
      <w:r w:rsidR="00AA30B8" w:rsidRPr="003B7DC7">
        <w:rPr>
          <w:color w:val="auto"/>
          <w:sz w:val="26"/>
          <w:szCs w:val="26"/>
          <w:lang w:val="en-GB"/>
        </w:rPr>
        <w:t xml:space="preserve"> these topics.</w:t>
      </w:r>
      <w:r w:rsidR="001F48F8" w:rsidRPr="003B7DC7">
        <w:rPr>
          <w:color w:val="auto"/>
          <w:sz w:val="26"/>
          <w:szCs w:val="26"/>
          <w:lang w:val="en-GB"/>
        </w:rPr>
        <w:t xml:space="preserve">  </w:t>
      </w:r>
      <w:r w:rsidR="004D7AC1" w:rsidRPr="003B7DC7">
        <w:rPr>
          <w:color w:val="auto"/>
          <w:sz w:val="26"/>
          <w:szCs w:val="26"/>
          <w:lang w:val="en-GB"/>
        </w:rPr>
        <w:t xml:space="preserve"> </w:t>
      </w:r>
    </w:p>
    <w:p w14:paraId="62747CC6" w14:textId="60856114" w:rsidR="00C950E1" w:rsidRPr="000D6980" w:rsidRDefault="00C950E1" w:rsidP="000D6980">
      <w:pPr>
        <w:pStyle w:val="Default"/>
        <w:snapToGrid w:val="0"/>
        <w:spacing w:line="360" w:lineRule="exact"/>
        <w:ind w:firstLine="510"/>
        <w:jc w:val="both"/>
        <w:rPr>
          <w:color w:val="auto"/>
          <w:sz w:val="26"/>
          <w:szCs w:val="26"/>
          <w:lang w:val="en-GB"/>
        </w:rPr>
      </w:pPr>
    </w:p>
    <w:p w14:paraId="6E94CAFB" w14:textId="77777777" w:rsidR="00A95E4E" w:rsidRDefault="00A95E4E">
      <w:pPr>
        <w:rPr>
          <w:rFonts w:ascii="Times New Roman" w:hAnsi="Times New Roman" w:cs="Times New Roman"/>
          <w:b/>
          <w:sz w:val="26"/>
          <w:szCs w:val="26"/>
        </w:rPr>
      </w:pPr>
      <w:r>
        <w:rPr>
          <w:b/>
          <w:sz w:val="26"/>
          <w:szCs w:val="26"/>
        </w:rPr>
        <w:br w:type="page"/>
      </w:r>
    </w:p>
    <w:p w14:paraId="72BFA731" w14:textId="77EA3233" w:rsidR="00BE7FF5" w:rsidRPr="00B47B68" w:rsidRDefault="003C57AC" w:rsidP="00B47B68">
      <w:pPr>
        <w:pStyle w:val="Default"/>
        <w:snapToGrid w:val="0"/>
        <w:spacing w:line="360" w:lineRule="exact"/>
        <w:jc w:val="center"/>
        <w:rPr>
          <w:b/>
          <w:color w:val="auto"/>
          <w:sz w:val="26"/>
          <w:szCs w:val="26"/>
          <w:lang w:val="en-GB"/>
        </w:rPr>
      </w:pPr>
      <w:r>
        <w:rPr>
          <w:b/>
          <w:color w:val="auto"/>
          <w:sz w:val="26"/>
          <w:szCs w:val="26"/>
          <w:lang w:val="en-GB"/>
        </w:rPr>
        <w:lastRenderedPageBreak/>
        <w:t>REFERENCES</w:t>
      </w:r>
      <w:r w:rsidR="00682718">
        <w:rPr>
          <w:b/>
          <w:color w:val="auto"/>
          <w:sz w:val="26"/>
          <w:szCs w:val="26"/>
          <w:lang w:val="en-GB"/>
        </w:rPr>
        <w:t xml:space="preserve"> </w:t>
      </w:r>
    </w:p>
    <w:p w14:paraId="56DF0D7E" w14:textId="789F9E03" w:rsidR="003C57AC" w:rsidRPr="00C950E1" w:rsidRDefault="003C57AC" w:rsidP="003C57AC">
      <w:pPr>
        <w:snapToGrid w:val="0"/>
        <w:spacing w:after="0" w:line="360" w:lineRule="exact"/>
        <w:ind w:left="630" w:hanging="630"/>
        <w:rPr>
          <w:rFonts w:ascii="Times New Roman" w:hAnsi="Times New Roman" w:cs="Times New Roman"/>
          <w:sz w:val="26"/>
          <w:szCs w:val="26"/>
        </w:rPr>
      </w:pPr>
      <w:r w:rsidRPr="00C950E1">
        <w:rPr>
          <w:rFonts w:ascii="Times New Roman" w:hAnsi="Times New Roman" w:cs="Times New Roman"/>
          <w:sz w:val="26"/>
          <w:szCs w:val="26"/>
        </w:rPr>
        <w:t xml:space="preserve">Abdul-Malik, A. R. (2017). </w:t>
      </w:r>
      <w:r w:rsidR="00381067" w:rsidRPr="00C950E1">
        <w:rPr>
          <w:rFonts w:ascii="Times New Roman" w:hAnsi="Times New Roman" w:cs="Times New Roman"/>
          <w:sz w:val="26"/>
          <w:szCs w:val="26"/>
        </w:rPr>
        <w:t>Investigating the relationship between corporate governance principles and accounting conservatism for companies listed on Saudi stock exchange.</w:t>
      </w:r>
      <w:r w:rsidRPr="00C950E1">
        <w:rPr>
          <w:rFonts w:ascii="Times New Roman" w:hAnsi="Times New Roman" w:cs="Times New Roman"/>
          <w:sz w:val="26"/>
          <w:szCs w:val="26"/>
        </w:rPr>
        <w:t xml:space="preserve"> </w:t>
      </w:r>
      <w:r w:rsidRPr="00C950E1">
        <w:rPr>
          <w:rFonts w:ascii="Times New Roman" w:hAnsi="Times New Roman" w:cs="Times New Roman"/>
          <w:i/>
          <w:iCs/>
          <w:sz w:val="26"/>
          <w:szCs w:val="26"/>
        </w:rPr>
        <w:t>European Journal of Accounting Auditing and Finance Research, 5</w:t>
      </w:r>
      <w:r w:rsidRPr="00443808">
        <w:rPr>
          <w:rFonts w:ascii="Times New Roman" w:hAnsi="Times New Roman" w:cs="Times New Roman"/>
          <w:iCs/>
          <w:sz w:val="26"/>
          <w:szCs w:val="26"/>
        </w:rPr>
        <w:t>(9)</w:t>
      </w:r>
      <w:r w:rsidRPr="00C950E1">
        <w:rPr>
          <w:rFonts w:ascii="Times New Roman" w:hAnsi="Times New Roman" w:cs="Times New Roman"/>
          <w:sz w:val="26"/>
          <w:szCs w:val="26"/>
        </w:rPr>
        <w:t>, 10-30.</w:t>
      </w:r>
    </w:p>
    <w:p w14:paraId="46158C71" w14:textId="03F05041" w:rsidR="003C57AC" w:rsidRPr="00C950E1" w:rsidRDefault="003C57AC" w:rsidP="003C57AC">
      <w:pPr>
        <w:snapToGrid w:val="0"/>
        <w:spacing w:after="0" w:line="360" w:lineRule="exact"/>
        <w:ind w:left="630" w:hanging="630"/>
        <w:rPr>
          <w:rFonts w:ascii="Times New Roman" w:hAnsi="Times New Roman" w:cs="Times New Roman"/>
          <w:sz w:val="26"/>
          <w:szCs w:val="26"/>
        </w:rPr>
      </w:pPr>
      <w:proofErr w:type="spellStart"/>
      <w:r w:rsidRPr="00C950E1">
        <w:rPr>
          <w:rFonts w:ascii="Times New Roman" w:hAnsi="Times New Roman" w:cs="Times New Roman"/>
          <w:sz w:val="26"/>
          <w:szCs w:val="26"/>
        </w:rPr>
        <w:t>Adetunji</w:t>
      </w:r>
      <w:proofErr w:type="spellEnd"/>
      <w:r w:rsidRPr="00C950E1">
        <w:rPr>
          <w:rFonts w:ascii="Times New Roman" w:hAnsi="Times New Roman" w:cs="Times New Roman"/>
          <w:sz w:val="26"/>
          <w:szCs w:val="26"/>
        </w:rPr>
        <w:t>, S. A. (2016). The value relevance of earnings in the return–</w:t>
      </w:r>
      <w:r w:rsidR="00842071" w:rsidRPr="00C950E1">
        <w:rPr>
          <w:rFonts w:ascii="Times New Roman" w:hAnsi="Times New Roman" w:cs="Times New Roman"/>
          <w:sz w:val="26"/>
          <w:szCs w:val="26"/>
        </w:rPr>
        <w:t xml:space="preserve">Earnings </w:t>
      </w:r>
      <w:r w:rsidRPr="00C950E1">
        <w:rPr>
          <w:rFonts w:ascii="Times New Roman" w:hAnsi="Times New Roman" w:cs="Times New Roman"/>
          <w:sz w:val="26"/>
          <w:szCs w:val="26"/>
        </w:rPr>
        <w:t xml:space="preserve">relation in the Nigerian </w:t>
      </w:r>
      <w:r w:rsidR="009D1EEA" w:rsidRPr="00C950E1">
        <w:rPr>
          <w:rFonts w:ascii="Times New Roman" w:hAnsi="Times New Roman" w:cs="Times New Roman"/>
          <w:sz w:val="26"/>
          <w:szCs w:val="26"/>
        </w:rPr>
        <w:t>deposit money banks.</w:t>
      </w:r>
      <w:r w:rsidRPr="00C950E1">
        <w:rPr>
          <w:rFonts w:ascii="Times New Roman" w:hAnsi="Times New Roman" w:cs="Times New Roman"/>
          <w:sz w:val="26"/>
          <w:szCs w:val="26"/>
        </w:rPr>
        <w:t xml:space="preserve"> </w:t>
      </w:r>
      <w:r w:rsidRPr="00C950E1">
        <w:rPr>
          <w:rFonts w:ascii="Times New Roman" w:hAnsi="Times New Roman" w:cs="Times New Roman"/>
          <w:i/>
          <w:iCs/>
          <w:sz w:val="26"/>
          <w:szCs w:val="26"/>
        </w:rPr>
        <w:t>Cogent Business &amp; Management</w:t>
      </w:r>
      <w:r w:rsidRPr="00C950E1">
        <w:rPr>
          <w:rFonts w:ascii="Times New Roman" w:hAnsi="Times New Roman" w:cs="Times New Roman"/>
          <w:sz w:val="26"/>
          <w:szCs w:val="26"/>
        </w:rPr>
        <w:t xml:space="preserve">, </w:t>
      </w:r>
      <w:r w:rsidRPr="00C950E1">
        <w:rPr>
          <w:rFonts w:ascii="Times New Roman" w:hAnsi="Times New Roman" w:cs="Times New Roman"/>
          <w:i/>
          <w:iCs/>
          <w:sz w:val="26"/>
          <w:szCs w:val="26"/>
        </w:rPr>
        <w:t>3</w:t>
      </w:r>
      <w:r w:rsidRPr="00443808">
        <w:rPr>
          <w:rFonts w:ascii="Times New Roman" w:hAnsi="Times New Roman" w:cs="Times New Roman"/>
          <w:iCs/>
          <w:sz w:val="26"/>
          <w:szCs w:val="26"/>
        </w:rPr>
        <w:t>(1)</w:t>
      </w:r>
      <w:r w:rsidRPr="00C950E1">
        <w:rPr>
          <w:rFonts w:ascii="Times New Roman" w:hAnsi="Times New Roman" w:cs="Times New Roman"/>
          <w:i/>
          <w:iCs/>
          <w:sz w:val="26"/>
          <w:szCs w:val="26"/>
        </w:rPr>
        <w:t>,</w:t>
      </w:r>
      <w:r w:rsidRPr="00C950E1">
        <w:rPr>
          <w:rFonts w:ascii="Times New Roman" w:hAnsi="Times New Roman" w:cs="Times New Roman"/>
          <w:sz w:val="26"/>
          <w:szCs w:val="26"/>
        </w:rPr>
        <w:t xml:space="preserve"> </w:t>
      </w:r>
      <w:r w:rsidRPr="00C95423">
        <w:rPr>
          <w:rFonts w:ascii="Times New Roman" w:hAnsi="Times New Roman" w:cs="Times New Roman"/>
          <w:sz w:val="26"/>
          <w:szCs w:val="26"/>
        </w:rPr>
        <w:t>1210276</w:t>
      </w:r>
      <w:r w:rsidRPr="00136468">
        <w:rPr>
          <w:rFonts w:ascii="Times New Roman" w:hAnsi="Times New Roman" w:cs="Times New Roman"/>
          <w:sz w:val="26"/>
          <w:szCs w:val="26"/>
        </w:rPr>
        <w:t>, 1-10</w:t>
      </w:r>
      <w:r w:rsidR="009D1EEA" w:rsidRPr="00136468">
        <w:rPr>
          <w:rFonts w:ascii="Times New Roman" w:hAnsi="Times New Roman" w:cs="Times New Roman"/>
          <w:sz w:val="26"/>
          <w:szCs w:val="26"/>
        </w:rPr>
        <w:t>.</w:t>
      </w:r>
      <w:r w:rsidRPr="00514151">
        <w:rPr>
          <w:rFonts w:ascii="Times New Roman" w:hAnsi="Times New Roman" w:cs="Times New Roman"/>
          <w:sz w:val="26"/>
          <w:szCs w:val="26"/>
        </w:rPr>
        <w:t xml:space="preserve"> </w:t>
      </w:r>
      <w:r w:rsidR="00CA1B3C" w:rsidRPr="00514151">
        <w:rPr>
          <w:rFonts w:ascii="Times New Roman" w:hAnsi="Times New Roman" w:cs="Times New Roman"/>
          <w:sz w:val="26"/>
          <w:szCs w:val="26"/>
        </w:rPr>
        <w:t>https://doi.org/10.1080/23311975.2016.1210276</w:t>
      </w:r>
    </w:p>
    <w:p w14:paraId="43B99395" w14:textId="6AB98BAB" w:rsidR="003C57AC" w:rsidRPr="00C950E1" w:rsidRDefault="003C57AC" w:rsidP="003C57AC">
      <w:pPr>
        <w:snapToGrid w:val="0"/>
        <w:spacing w:after="0" w:line="360" w:lineRule="exact"/>
        <w:ind w:left="630" w:hanging="630"/>
        <w:rPr>
          <w:rFonts w:ascii="Times New Roman" w:hAnsi="Times New Roman" w:cs="Times New Roman"/>
          <w:sz w:val="26"/>
          <w:szCs w:val="26"/>
        </w:rPr>
      </w:pPr>
      <w:proofErr w:type="spellStart"/>
      <w:r w:rsidRPr="00C950E1">
        <w:rPr>
          <w:rFonts w:ascii="Times New Roman" w:hAnsi="Times New Roman" w:cs="Times New Roman"/>
          <w:sz w:val="26"/>
          <w:szCs w:val="26"/>
        </w:rPr>
        <w:t>Aflatooni</w:t>
      </w:r>
      <w:proofErr w:type="spellEnd"/>
      <w:r>
        <w:rPr>
          <w:rFonts w:ascii="Times New Roman" w:hAnsi="Times New Roman" w:cs="Times New Roman"/>
          <w:sz w:val="26"/>
          <w:szCs w:val="26"/>
        </w:rPr>
        <w:t>,</w:t>
      </w:r>
      <w:r w:rsidRPr="00C950E1">
        <w:rPr>
          <w:rFonts w:ascii="Times New Roman" w:hAnsi="Times New Roman" w:cs="Times New Roman"/>
          <w:sz w:val="26"/>
          <w:szCs w:val="26"/>
        </w:rPr>
        <w:t xml:space="preserve"> A., &amp; </w:t>
      </w:r>
      <w:proofErr w:type="spellStart"/>
      <w:r w:rsidRPr="00C950E1">
        <w:rPr>
          <w:rFonts w:ascii="Times New Roman" w:hAnsi="Times New Roman" w:cs="Times New Roman"/>
          <w:sz w:val="26"/>
          <w:szCs w:val="26"/>
        </w:rPr>
        <w:t>Nikbakht</w:t>
      </w:r>
      <w:proofErr w:type="spellEnd"/>
      <w:r>
        <w:rPr>
          <w:rFonts w:ascii="Times New Roman" w:hAnsi="Times New Roman" w:cs="Times New Roman"/>
          <w:sz w:val="26"/>
          <w:szCs w:val="26"/>
        </w:rPr>
        <w:t>,</w:t>
      </w:r>
      <w:r w:rsidRPr="00C950E1">
        <w:rPr>
          <w:rFonts w:ascii="Times New Roman" w:hAnsi="Times New Roman" w:cs="Times New Roman"/>
          <w:sz w:val="26"/>
          <w:szCs w:val="26"/>
        </w:rPr>
        <w:t xml:space="preserve"> Z. (2010). Income smoothing, real earning management and long-run stock returns. </w:t>
      </w:r>
      <w:r w:rsidRPr="00C950E1">
        <w:rPr>
          <w:rFonts w:ascii="Times New Roman" w:hAnsi="Times New Roman" w:cs="Times New Roman"/>
          <w:i/>
          <w:iCs/>
          <w:sz w:val="26"/>
          <w:szCs w:val="26"/>
        </w:rPr>
        <w:t>Business Intelligence Journal, 3</w:t>
      </w:r>
      <w:r w:rsidRPr="00443808">
        <w:rPr>
          <w:rFonts w:ascii="Times New Roman" w:hAnsi="Times New Roman" w:cs="Times New Roman"/>
          <w:iCs/>
          <w:sz w:val="26"/>
          <w:szCs w:val="26"/>
        </w:rPr>
        <w:t>(1)</w:t>
      </w:r>
      <w:r w:rsidRPr="00C950E1">
        <w:rPr>
          <w:rFonts w:ascii="Times New Roman" w:hAnsi="Times New Roman" w:cs="Times New Roman"/>
          <w:i/>
          <w:iCs/>
          <w:sz w:val="26"/>
          <w:szCs w:val="26"/>
        </w:rPr>
        <w:t>,</w:t>
      </w:r>
      <w:r w:rsidRPr="00C950E1">
        <w:rPr>
          <w:rFonts w:ascii="Times New Roman" w:hAnsi="Times New Roman" w:cs="Times New Roman"/>
          <w:sz w:val="26"/>
          <w:szCs w:val="26"/>
        </w:rPr>
        <w:t xml:space="preserve"> 55-73</w:t>
      </w:r>
      <w:r w:rsidR="009D1EEA">
        <w:rPr>
          <w:rFonts w:ascii="Times New Roman" w:hAnsi="Times New Roman" w:cs="Times New Roman"/>
          <w:sz w:val="26"/>
          <w:szCs w:val="26"/>
        </w:rPr>
        <w:t>.</w:t>
      </w:r>
    </w:p>
    <w:p w14:paraId="415F8E60" w14:textId="5CCC373B" w:rsidR="003C57AC" w:rsidRPr="00C950E1" w:rsidRDefault="003C57AC" w:rsidP="003C57AC">
      <w:pPr>
        <w:snapToGrid w:val="0"/>
        <w:spacing w:after="0" w:line="360" w:lineRule="exact"/>
        <w:ind w:left="630" w:hanging="630"/>
        <w:rPr>
          <w:rFonts w:ascii="Times New Roman" w:hAnsi="Times New Roman" w:cs="Times New Roman"/>
          <w:sz w:val="26"/>
          <w:szCs w:val="26"/>
        </w:rPr>
      </w:pPr>
      <w:proofErr w:type="spellStart"/>
      <w:r w:rsidRPr="00C950E1">
        <w:rPr>
          <w:rFonts w:ascii="Times New Roman" w:hAnsi="Times New Roman" w:cs="Times New Roman"/>
          <w:sz w:val="26"/>
          <w:szCs w:val="26"/>
        </w:rPr>
        <w:t>Ahn</w:t>
      </w:r>
      <w:proofErr w:type="spellEnd"/>
      <w:r w:rsidRPr="00C950E1">
        <w:rPr>
          <w:rFonts w:ascii="Times New Roman" w:hAnsi="Times New Roman" w:cs="Times New Roman"/>
          <w:sz w:val="26"/>
          <w:szCs w:val="26"/>
        </w:rPr>
        <w:t>, H</w:t>
      </w:r>
      <w:r>
        <w:rPr>
          <w:rFonts w:ascii="Times New Roman" w:hAnsi="Times New Roman" w:cs="Times New Roman"/>
          <w:sz w:val="26"/>
          <w:szCs w:val="26"/>
        </w:rPr>
        <w:t>.</w:t>
      </w:r>
      <w:r w:rsidRPr="00C950E1">
        <w:rPr>
          <w:rFonts w:ascii="Times New Roman" w:hAnsi="Times New Roman" w:cs="Times New Roman"/>
          <w:sz w:val="26"/>
          <w:szCs w:val="26"/>
        </w:rPr>
        <w:t>-B., &amp; Kwon, G</w:t>
      </w:r>
      <w:r w:rsidR="000056EA">
        <w:rPr>
          <w:rFonts w:ascii="Times New Roman" w:hAnsi="Times New Roman" w:cs="Times New Roman"/>
          <w:sz w:val="26"/>
          <w:szCs w:val="26"/>
        </w:rPr>
        <w:t>.</w:t>
      </w:r>
      <w:r w:rsidRPr="00C950E1">
        <w:rPr>
          <w:rFonts w:ascii="Times New Roman" w:hAnsi="Times New Roman" w:cs="Times New Roman"/>
          <w:sz w:val="26"/>
          <w:szCs w:val="26"/>
        </w:rPr>
        <w:t xml:space="preserve">-J. (2010). Earnings persistence and market reaction: Evidence from Korea. </w:t>
      </w:r>
      <w:r w:rsidRPr="00C950E1">
        <w:rPr>
          <w:rFonts w:ascii="Times New Roman" w:hAnsi="Times New Roman" w:cs="Times New Roman"/>
          <w:i/>
          <w:iCs/>
          <w:sz w:val="26"/>
          <w:szCs w:val="26"/>
        </w:rPr>
        <w:t>International Journal of Business and Management, 5</w:t>
      </w:r>
      <w:r w:rsidRPr="00443808">
        <w:rPr>
          <w:rFonts w:ascii="Times New Roman" w:hAnsi="Times New Roman" w:cs="Times New Roman"/>
          <w:iCs/>
          <w:sz w:val="26"/>
          <w:szCs w:val="26"/>
        </w:rPr>
        <w:t>(10)</w:t>
      </w:r>
      <w:r w:rsidRPr="00C950E1">
        <w:rPr>
          <w:rFonts w:ascii="Times New Roman" w:hAnsi="Times New Roman" w:cs="Times New Roman"/>
          <w:i/>
          <w:iCs/>
          <w:sz w:val="26"/>
          <w:szCs w:val="26"/>
        </w:rPr>
        <w:t>,</w:t>
      </w:r>
      <w:r w:rsidRPr="00C950E1">
        <w:rPr>
          <w:rFonts w:ascii="Times New Roman" w:hAnsi="Times New Roman" w:cs="Times New Roman"/>
          <w:sz w:val="26"/>
          <w:szCs w:val="26"/>
        </w:rPr>
        <w:t xml:space="preserve"> 10-19. </w:t>
      </w:r>
      <w:r w:rsidR="00CA1B3C" w:rsidRPr="00CA1B3C">
        <w:rPr>
          <w:rFonts w:ascii="Times New Roman" w:hAnsi="Times New Roman" w:cs="Times New Roman"/>
          <w:sz w:val="26"/>
          <w:szCs w:val="26"/>
        </w:rPr>
        <w:t>https://doi.org/10.5539/ijbm.v5n10p10</w:t>
      </w:r>
    </w:p>
    <w:p w14:paraId="09E5CB26" w14:textId="2D2C277C" w:rsidR="003C57AC" w:rsidRPr="00C950E1" w:rsidRDefault="003C57AC" w:rsidP="003C57AC">
      <w:pPr>
        <w:snapToGrid w:val="0"/>
        <w:spacing w:after="0" w:line="360" w:lineRule="exact"/>
        <w:ind w:left="630" w:hanging="630"/>
        <w:rPr>
          <w:rFonts w:ascii="Times New Roman" w:hAnsi="Times New Roman" w:cs="Times New Roman"/>
          <w:sz w:val="26"/>
          <w:szCs w:val="26"/>
        </w:rPr>
      </w:pPr>
      <w:r w:rsidRPr="00C950E1">
        <w:rPr>
          <w:rFonts w:ascii="Times New Roman" w:hAnsi="Times New Roman" w:cs="Times New Roman"/>
          <w:sz w:val="26"/>
          <w:szCs w:val="26"/>
        </w:rPr>
        <w:t>Al-</w:t>
      </w:r>
      <w:proofErr w:type="spellStart"/>
      <w:r w:rsidRPr="00C950E1">
        <w:rPr>
          <w:rFonts w:ascii="Times New Roman" w:hAnsi="Times New Roman" w:cs="Times New Roman"/>
          <w:sz w:val="26"/>
          <w:szCs w:val="26"/>
        </w:rPr>
        <w:t>Amri</w:t>
      </w:r>
      <w:proofErr w:type="spellEnd"/>
      <w:r w:rsidRPr="00C950E1">
        <w:rPr>
          <w:rFonts w:ascii="Times New Roman" w:hAnsi="Times New Roman" w:cs="Times New Roman"/>
          <w:sz w:val="26"/>
          <w:szCs w:val="26"/>
        </w:rPr>
        <w:t xml:space="preserve">, K., Al </w:t>
      </w:r>
      <w:proofErr w:type="spellStart"/>
      <w:r w:rsidRPr="00C950E1">
        <w:rPr>
          <w:rFonts w:ascii="Times New Roman" w:hAnsi="Times New Roman" w:cs="Times New Roman"/>
          <w:sz w:val="26"/>
          <w:szCs w:val="26"/>
        </w:rPr>
        <w:t>Shidi</w:t>
      </w:r>
      <w:proofErr w:type="spellEnd"/>
      <w:r w:rsidRPr="00C950E1">
        <w:rPr>
          <w:rFonts w:ascii="Times New Roman" w:hAnsi="Times New Roman" w:cs="Times New Roman"/>
          <w:sz w:val="26"/>
          <w:szCs w:val="26"/>
        </w:rPr>
        <w:t xml:space="preserve">, S., Al </w:t>
      </w:r>
      <w:proofErr w:type="spellStart"/>
      <w:r w:rsidRPr="00C950E1">
        <w:rPr>
          <w:rFonts w:ascii="Times New Roman" w:hAnsi="Times New Roman" w:cs="Times New Roman"/>
          <w:sz w:val="26"/>
          <w:szCs w:val="26"/>
        </w:rPr>
        <w:t>Busaidi</w:t>
      </w:r>
      <w:proofErr w:type="spellEnd"/>
      <w:r w:rsidRPr="00C950E1">
        <w:rPr>
          <w:rFonts w:ascii="Times New Roman" w:hAnsi="Times New Roman" w:cs="Times New Roman"/>
          <w:sz w:val="26"/>
          <w:szCs w:val="26"/>
        </w:rPr>
        <w:t xml:space="preserve">, M., </w:t>
      </w:r>
      <w:r>
        <w:rPr>
          <w:rFonts w:ascii="Times New Roman" w:hAnsi="Times New Roman" w:cs="Times New Roman"/>
          <w:sz w:val="26"/>
          <w:szCs w:val="26"/>
        </w:rPr>
        <w:t xml:space="preserve">&amp; </w:t>
      </w:r>
      <w:proofErr w:type="spellStart"/>
      <w:r w:rsidRPr="00C950E1">
        <w:rPr>
          <w:rFonts w:ascii="Times New Roman" w:hAnsi="Times New Roman" w:cs="Times New Roman"/>
          <w:sz w:val="26"/>
          <w:szCs w:val="26"/>
        </w:rPr>
        <w:t>Akguc</w:t>
      </w:r>
      <w:proofErr w:type="spellEnd"/>
      <w:r w:rsidRPr="00C950E1">
        <w:rPr>
          <w:rFonts w:ascii="Times New Roman" w:hAnsi="Times New Roman" w:cs="Times New Roman"/>
          <w:sz w:val="26"/>
          <w:szCs w:val="26"/>
        </w:rPr>
        <w:t xml:space="preserve">, S. (2017). Real earnings management in public vs private firms in the GCC countries: </w:t>
      </w:r>
      <w:r w:rsidR="00443808">
        <w:rPr>
          <w:rFonts w:ascii="Times New Roman" w:hAnsi="Times New Roman" w:cs="Times New Roman"/>
          <w:sz w:val="26"/>
          <w:szCs w:val="26"/>
        </w:rPr>
        <w:t>A</w:t>
      </w:r>
      <w:r w:rsidRPr="00C950E1">
        <w:rPr>
          <w:rFonts w:ascii="Times New Roman" w:hAnsi="Times New Roman" w:cs="Times New Roman"/>
          <w:sz w:val="26"/>
          <w:szCs w:val="26"/>
        </w:rPr>
        <w:t xml:space="preserve"> risk perspective. </w:t>
      </w:r>
      <w:r w:rsidRPr="00C950E1">
        <w:rPr>
          <w:rFonts w:ascii="Times New Roman" w:hAnsi="Times New Roman" w:cs="Times New Roman"/>
          <w:i/>
          <w:iCs/>
          <w:sz w:val="26"/>
          <w:szCs w:val="26"/>
        </w:rPr>
        <w:t>Journal of Applied Accounting Research, 18</w:t>
      </w:r>
      <w:r w:rsidRPr="00443808">
        <w:rPr>
          <w:rFonts w:ascii="Times New Roman" w:hAnsi="Times New Roman" w:cs="Times New Roman"/>
          <w:iCs/>
          <w:sz w:val="26"/>
          <w:szCs w:val="26"/>
        </w:rPr>
        <w:t>(2)</w:t>
      </w:r>
      <w:r w:rsidRPr="00C950E1">
        <w:rPr>
          <w:rFonts w:ascii="Times New Roman" w:hAnsi="Times New Roman" w:cs="Times New Roman"/>
          <w:sz w:val="26"/>
          <w:szCs w:val="26"/>
        </w:rPr>
        <w:t>, 242-260</w:t>
      </w:r>
      <w:r w:rsidR="009D1EEA">
        <w:rPr>
          <w:rFonts w:ascii="Times New Roman" w:hAnsi="Times New Roman" w:cs="Times New Roman"/>
          <w:sz w:val="26"/>
          <w:szCs w:val="26"/>
        </w:rPr>
        <w:t>.</w:t>
      </w:r>
      <w:r w:rsidRPr="00C950E1">
        <w:rPr>
          <w:rFonts w:ascii="Times New Roman" w:hAnsi="Times New Roman" w:cs="Times New Roman"/>
          <w:sz w:val="26"/>
          <w:szCs w:val="26"/>
        </w:rPr>
        <w:t xml:space="preserve"> </w:t>
      </w:r>
      <w:hyperlink r:id="rId12" w:history="1">
        <w:r w:rsidRPr="00C950E1">
          <w:rPr>
            <w:rFonts w:ascii="Times New Roman" w:hAnsi="Times New Roman" w:cs="Times New Roman"/>
            <w:sz w:val="26"/>
            <w:szCs w:val="26"/>
          </w:rPr>
          <w:t>https://doi.org/10.1108/JAAR-11-2014-0124</w:t>
        </w:r>
      </w:hyperlink>
    </w:p>
    <w:p w14:paraId="4FAF3537" w14:textId="4821799F" w:rsidR="003C57AC" w:rsidRPr="00C950E1" w:rsidRDefault="003C57AC" w:rsidP="003C57AC">
      <w:pPr>
        <w:snapToGrid w:val="0"/>
        <w:spacing w:after="0" w:line="360" w:lineRule="exact"/>
        <w:ind w:left="630" w:hanging="630"/>
        <w:rPr>
          <w:rFonts w:ascii="Times New Roman" w:hAnsi="Times New Roman" w:cs="Times New Roman"/>
          <w:sz w:val="26"/>
          <w:szCs w:val="26"/>
        </w:rPr>
      </w:pPr>
      <w:proofErr w:type="spellStart"/>
      <w:r w:rsidRPr="00C950E1">
        <w:rPr>
          <w:rFonts w:ascii="Times New Roman" w:hAnsi="Times New Roman" w:cs="Times New Roman"/>
          <w:sz w:val="26"/>
          <w:szCs w:val="26"/>
        </w:rPr>
        <w:t>Alfraih</w:t>
      </w:r>
      <w:proofErr w:type="spellEnd"/>
      <w:r w:rsidRPr="00C950E1">
        <w:rPr>
          <w:rFonts w:ascii="Times New Roman" w:hAnsi="Times New Roman" w:cs="Times New Roman"/>
          <w:sz w:val="26"/>
          <w:szCs w:val="26"/>
        </w:rPr>
        <w:t>, M</w:t>
      </w:r>
      <w:r>
        <w:rPr>
          <w:rFonts w:ascii="Times New Roman" w:hAnsi="Times New Roman" w:cs="Times New Roman"/>
          <w:sz w:val="26"/>
          <w:szCs w:val="26"/>
        </w:rPr>
        <w:t>.,</w:t>
      </w:r>
      <w:r w:rsidRPr="00C950E1">
        <w:rPr>
          <w:rFonts w:ascii="Times New Roman" w:hAnsi="Times New Roman" w:cs="Times New Roman"/>
          <w:sz w:val="26"/>
          <w:szCs w:val="26"/>
        </w:rPr>
        <w:t xml:space="preserve"> &amp; </w:t>
      </w:r>
      <w:proofErr w:type="spellStart"/>
      <w:r w:rsidRPr="00C950E1">
        <w:rPr>
          <w:rFonts w:ascii="Times New Roman" w:hAnsi="Times New Roman" w:cs="Times New Roman"/>
          <w:sz w:val="26"/>
          <w:szCs w:val="26"/>
        </w:rPr>
        <w:t>Alanezi</w:t>
      </w:r>
      <w:proofErr w:type="spellEnd"/>
      <w:r>
        <w:rPr>
          <w:rFonts w:ascii="Times New Roman" w:hAnsi="Times New Roman" w:cs="Times New Roman"/>
          <w:sz w:val="26"/>
          <w:szCs w:val="26"/>
        </w:rPr>
        <w:t>,</w:t>
      </w:r>
      <w:r w:rsidRPr="00C950E1">
        <w:rPr>
          <w:rFonts w:ascii="Times New Roman" w:hAnsi="Times New Roman" w:cs="Times New Roman"/>
          <w:sz w:val="26"/>
          <w:szCs w:val="26"/>
        </w:rPr>
        <w:t xml:space="preserve"> F. (2015). The </w:t>
      </w:r>
      <w:r w:rsidR="00443808" w:rsidRPr="00C950E1">
        <w:rPr>
          <w:rFonts w:ascii="Times New Roman" w:hAnsi="Times New Roman" w:cs="Times New Roman"/>
          <w:sz w:val="26"/>
          <w:szCs w:val="26"/>
        </w:rPr>
        <w:t>value relevance of mandatory corporate disclosure</w:t>
      </w:r>
      <w:r w:rsidRPr="00C950E1">
        <w:rPr>
          <w:rFonts w:ascii="Times New Roman" w:hAnsi="Times New Roman" w:cs="Times New Roman"/>
          <w:sz w:val="26"/>
          <w:szCs w:val="26"/>
        </w:rPr>
        <w:t xml:space="preserve">s: Evidence from Kuwait. </w:t>
      </w:r>
      <w:r w:rsidRPr="00C950E1">
        <w:rPr>
          <w:rFonts w:ascii="Times New Roman" w:hAnsi="Times New Roman" w:cs="Times New Roman"/>
          <w:i/>
          <w:iCs/>
          <w:sz w:val="26"/>
          <w:szCs w:val="26"/>
        </w:rPr>
        <w:t>International Journal of Business and Finance Research, 9</w:t>
      </w:r>
      <w:r w:rsidRPr="00443808">
        <w:rPr>
          <w:rFonts w:ascii="Times New Roman" w:hAnsi="Times New Roman" w:cs="Times New Roman"/>
          <w:iCs/>
          <w:sz w:val="26"/>
          <w:szCs w:val="26"/>
        </w:rPr>
        <w:t>(3)</w:t>
      </w:r>
      <w:r w:rsidRPr="00C950E1">
        <w:rPr>
          <w:rFonts w:ascii="Times New Roman" w:hAnsi="Times New Roman" w:cs="Times New Roman"/>
          <w:i/>
          <w:iCs/>
          <w:sz w:val="26"/>
          <w:szCs w:val="26"/>
        </w:rPr>
        <w:t>,</w:t>
      </w:r>
      <w:r w:rsidRPr="00C950E1">
        <w:rPr>
          <w:rFonts w:ascii="Times New Roman" w:hAnsi="Times New Roman" w:cs="Times New Roman"/>
          <w:sz w:val="26"/>
          <w:szCs w:val="26"/>
        </w:rPr>
        <w:t xml:space="preserve"> 1-18</w:t>
      </w:r>
      <w:r w:rsidR="009D1EEA">
        <w:rPr>
          <w:rFonts w:ascii="Times New Roman" w:hAnsi="Times New Roman" w:cs="Times New Roman"/>
          <w:sz w:val="26"/>
          <w:szCs w:val="26"/>
        </w:rPr>
        <w:t>.</w:t>
      </w:r>
    </w:p>
    <w:p w14:paraId="0F99529B" w14:textId="6F364793" w:rsidR="003C57AC" w:rsidRPr="00C95423" w:rsidRDefault="003C57AC" w:rsidP="00514151">
      <w:pPr>
        <w:overflowPunct w:val="0"/>
        <w:spacing w:after="0" w:line="360" w:lineRule="exact"/>
        <w:ind w:left="520" w:hangingChars="200" w:hanging="520"/>
        <w:jc w:val="both"/>
        <w:rPr>
          <w:rFonts w:ascii="Times New Roman" w:hAnsi="Times New Roman" w:cs="Times New Roman"/>
          <w:sz w:val="26"/>
          <w:szCs w:val="26"/>
        </w:rPr>
      </w:pPr>
      <w:proofErr w:type="spellStart"/>
      <w:r w:rsidRPr="00C95423">
        <w:rPr>
          <w:rFonts w:ascii="Times New Roman" w:hAnsi="Times New Roman" w:cs="Times New Roman"/>
          <w:sz w:val="26"/>
          <w:szCs w:val="26"/>
        </w:rPr>
        <w:t>ALHarithi</w:t>
      </w:r>
      <w:proofErr w:type="spellEnd"/>
      <w:r w:rsidRPr="00C95423">
        <w:rPr>
          <w:rFonts w:ascii="Times New Roman" w:hAnsi="Times New Roman" w:cs="Times New Roman"/>
          <w:sz w:val="26"/>
          <w:szCs w:val="26"/>
        </w:rPr>
        <w:t>, M. (2018). Determinants of</w:t>
      </w:r>
      <w:r w:rsidR="00443808" w:rsidRPr="00C95423">
        <w:rPr>
          <w:rFonts w:ascii="Times New Roman" w:hAnsi="Times New Roman" w:cs="Times New Roman"/>
          <w:sz w:val="26"/>
          <w:szCs w:val="26"/>
        </w:rPr>
        <w:t xml:space="preserve"> foreign direct investment </w:t>
      </w:r>
      <w:r w:rsidRPr="00C95423">
        <w:rPr>
          <w:rFonts w:ascii="Times New Roman" w:hAnsi="Times New Roman" w:cs="Times New Roman"/>
          <w:sz w:val="26"/>
          <w:szCs w:val="26"/>
        </w:rPr>
        <w:t xml:space="preserve">in Gulf Cooperation Council (GCC) </w:t>
      </w:r>
      <w:r w:rsidR="00443808" w:rsidRPr="00C95423">
        <w:rPr>
          <w:rFonts w:ascii="Times New Roman" w:hAnsi="Times New Roman" w:cs="Times New Roman"/>
          <w:sz w:val="26"/>
          <w:szCs w:val="26"/>
        </w:rPr>
        <w:t>region</w:t>
      </w:r>
      <w:r w:rsidR="00514151" w:rsidRPr="00C95423">
        <w:rPr>
          <w:rFonts w:ascii="Times New Roman" w:hAnsi="Times New Roman" w:cs="Times New Roman"/>
          <w:sz w:val="26"/>
          <w:szCs w:val="26"/>
        </w:rPr>
        <w:t xml:space="preserve"> [</w:t>
      </w:r>
      <w:proofErr w:type="spellStart"/>
      <w:r w:rsidR="00514151" w:rsidRPr="00C95423">
        <w:rPr>
          <w:rFonts w:ascii="Times New Roman" w:hAnsi="Times New Roman" w:cs="Times New Roman"/>
          <w:sz w:val="26"/>
          <w:szCs w:val="26"/>
        </w:rPr>
        <w:t>Conferene</w:t>
      </w:r>
      <w:proofErr w:type="spellEnd"/>
      <w:r w:rsidR="00514151" w:rsidRPr="00C95423">
        <w:rPr>
          <w:rFonts w:ascii="Times New Roman" w:hAnsi="Times New Roman" w:cs="Times New Roman"/>
          <w:sz w:val="26"/>
          <w:szCs w:val="26"/>
        </w:rPr>
        <w:t xml:space="preserve"> presentation]</w:t>
      </w:r>
      <w:r w:rsidRPr="00C95423">
        <w:rPr>
          <w:rFonts w:ascii="Times New Roman" w:hAnsi="Times New Roman" w:cs="Times New Roman"/>
          <w:sz w:val="26"/>
          <w:szCs w:val="26"/>
        </w:rPr>
        <w:t>. 10th Economics &amp; Finance Conference, Rome</w:t>
      </w:r>
      <w:r w:rsidR="00514151" w:rsidRPr="00C95423">
        <w:rPr>
          <w:rFonts w:ascii="Times New Roman" w:hAnsi="Times New Roman" w:cs="Times New Roman"/>
          <w:sz w:val="26"/>
          <w:szCs w:val="26"/>
        </w:rPr>
        <w:t>,</w:t>
      </w:r>
      <w:r w:rsidRPr="00C95423">
        <w:rPr>
          <w:rFonts w:ascii="Times New Roman" w:hAnsi="Times New Roman" w:cs="Times New Roman"/>
          <w:sz w:val="26"/>
          <w:szCs w:val="26"/>
        </w:rPr>
        <w:t xml:space="preserve"> Italy. </w:t>
      </w:r>
    </w:p>
    <w:p w14:paraId="0802ACB3" w14:textId="6F70DAA2" w:rsidR="003C57AC" w:rsidRPr="00C95423" w:rsidRDefault="003C57AC" w:rsidP="003C57AC">
      <w:pPr>
        <w:snapToGrid w:val="0"/>
        <w:spacing w:after="0" w:line="360" w:lineRule="exact"/>
        <w:ind w:left="630" w:hanging="630"/>
        <w:rPr>
          <w:rFonts w:ascii="Times New Roman" w:hAnsi="Times New Roman" w:cs="Times New Roman"/>
          <w:sz w:val="26"/>
          <w:szCs w:val="26"/>
        </w:rPr>
      </w:pPr>
      <w:r w:rsidRPr="00C95423">
        <w:rPr>
          <w:rFonts w:ascii="Times New Roman" w:hAnsi="Times New Roman" w:cs="Times New Roman"/>
          <w:sz w:val="26"/>
          <w:szCs w:val="26"/>
        </w:rPr>
        <w:t xml:space="preserve">Ali, A., &amp; Hwang, L. S. (2000). Country-specific factors related to financial reporting and the value relevance of accounting data. </w:t>
      </w:r>
      <w:r w:rsidRPr="00C95423">
        <w:rPr>
          <w:rFonts w:ascii="Times New Roman" w:hAnsi="Times New Roman" w:cs="Times New Roman"/>
          <w:i/>
          <w:iCs/>
          <w:sz w:val="26"/>
          <w:szCs w:val="26"/>
        </w:rPr>
        <w:t>Journal of Accounting Research, 38</w:t>
      </w:r>
      <w:r w:rsidRPr="00C95423">
        <w:rPr>
          <w:rFonts w:ascii="Times New Roman" w:hAnsi="Times New Roman" w:cs="Times New Roman"/>
          <w:iCs/>
          <w:sz w:val="26"/>
          <w:szCs w:val="26"/>
        </w:rPr>
        <w:t>(1)</w:t>
      </w:r>
      <w:r w:rsidRPr="00C95423">
        <w:rPr>
          <w:rFonts w:ascii="Times New Roman" w:hAnsi="Times New Roman" w:cs="Times New Roman"/>
          <w:i/>
          <w:iCs/>
          <w:sz w:val="26"/>
          <w:szCs w:val="26"/>
        </w:rPr>
        <w:t>,</w:t>
      </w:r>
      <w:r w:rsidRPr="00C95423">
        <w:rPr>
          <w:rFonts w:ascii="Times New Roman" w:hAnsi="Times New Roman" w:cs="Times New Roman"/>
          <w:sz w:val="26"/>
          <w:szCs w:val="26"/>
        </w:rPr>
        <w:t xml:space="preserve"> 1-21</w:t>
      </w:r>
      <w:r w:rsidR="009D1EEA" w:rsidRPr="00C95423">
        <w:rPr>
          <w:rFonts w:ascii="Times New Roman" w:hAnsi="Times New Roman" w:cs="Times New Roman"/>
          <w:sz w:val="26"/>
          <w:szCs w:val="26"/>
        </w:rPr>
        <w:t>.</w:t>
      </w:r>
      <w:r w:rsidRPr="00C95423">
        <w:rPr>
          <w:rFonts w:ascii="Times New Roman" w:hAnsi="Times New Roman" w:cs="Times New Roman"/>
          <w:sz w:val="26"/>
          <w:szCs w:val="26"/>
        </w:rPr>
        <w:t xml:space="preserve"> </w:t>
      </w:r>
      <w:hyperlink r:id="rId13" w:tgtFrame="_blank" w:tooltip="This link opens in a new window" w:history="1">
        <w:r w:rsidRPr="00C95423">
          <w:rPr>
            <w:rFonts w:ascii="Times New Roman" w:hAnsi="Times New Roman" w:cs="Times New Roman"/>
            <w:sz w:val="26"/>
            <w:szCs w:val="26"/>
          </w:rPr>
          <w:t>https://doi.org/10.2307/2672920</w:t>
        </w:r>
      </w:hyperlink>
    </w:p>
    <w:p w14:paraId="69A7FED4" w14:textId="3E25F3DD" w:rsidR="003C57AC" w:rsidRPr="00C950E1" w:rsidRDefault="003C57AC" w:rsidP="003C57AC">
      <w:pPr>
        <w:snapToGrid w:val="0"/>
        <w:spacing w:after="0" w:line="360" w:lineRule="exact"/>
        <w:ind w:left="630" w:hanging="630"/>
        <w:rPr>
          <w:rFonts w:ascii="Times New Roman" w:hAnsi="Times New Roman" w:cs="Times New Roman"/>
          <w:sz w:val="26"/>
          <w:szCs w:val="26"/>
        </w:rPr>
      </w:pPr>
      <w:proofErr w:type="spellStart"/>
      <w:r w:rsidRPr="00C95423">
        <w:rPr>
          <w:rFonts w:ascii="Times New Roman" w:hAnsi="Times New Roman" w:cs="Times New Roman"/>
          <w:sz w:val="26"/>
          <w:szCs w:val="26"/>
        </w:rPr>
        <w:t>Allayannis</w:t>
      </w:r>
      <w:proofErr w:type="spellEnd"/>
      <w:r w:rsidRPr="00C95423">
        <w:rPr>
          <w:rFonts w:ascii="Times New Roman" w:hAnsi="Times New Roman" w:cs="Times New Roman"/>
          <w:sz w:val="26"/>
          <w:szCs w:val="26"/>
        </w:rPr>
        <w:t xml:space="preserve">, G., &amp; </w:t>
      </w:r>
      <w:proofErr w:type="spellStart"/>
      <w:r w:rsidRPr="00C95423">
        <w:rPr>
          <w:rFonts w:ascii="Times New Roman" w:hAnsi="Times New Roman" w:cs="Times New Roman"/>
          <w:sz w:val="26"/>
          <w:szCs w:val="26"/>
        </w:rPr>
        <w:t>Simko</w:t>
      </w:r>
      <w:proofErr w:type="spellEnd"/>
      <w:r w:rsidRPr="00C95423">
        <w:rPr>
          <w:rFonts w:ascii="Times New Roman" w:hAnsi="Times New Roman" w:cs="Times New Roman"/>
          <w:sz w:val="26"/>
          <w:szCs w:val="26"/>
        </w:rPr>
        <w:t xml:space="preserve">, P. (2009). Earnings </w:t>
      </w:r>
      <w:r w:rsidR="009D1EEA" w:rsidRPr="00C95423">
        <w:rPr>
          <w:rFonts w:ascii="Times New Roman" w:hAnsi="Times New Roman" w:cs="Times New Roman"/>
          <w:sz w:val="26"/>
          <w:szCs w:val="26"/>
        </w:rPr>
        <w:t>smoothing, analyst following and firm value</w:t>
      </w:r>
      <w:r w:rsidRPr="00C95423">
        <w:rPr>
          <w:rFonts w:ascii="Times New Roman" w:hAnsi="Times New Roman" w:cs="Times New Roman"/>
          <w:sz w:val="26"/>
          <w:szCs w:val="26"/>
        </w:rPr>
        <w:t>. Available at SSRN:</w:t>
      </w:r>
      <w:r w:rsidR="00443808" w:rsidRPr="00C95423">
        <w:rPr>
          <w:rFonts w:ascii="Times New Roman" w:hAnsi="Times New Roman" w:cs="Times New Roman"/>
          <w:sz w:val="26"/>
          <w:szCs w:val="26"/>
        </w:rPr>
        <w:t xml:space="preserve"> </w:t>
      </w:r>
      <w:hyperlink r:id="rId14" w:tgtFrame="_blank" w:history="1">
        <w:r w:rsidRPr="00C95423">
          <w:rPr>
            <w:rFonts w:ascii="Times New Roman" w:hAnsi="Times New Roman" w:cs="Times New Roman"/>
            <w:sz w:val="26"/>
            <w:szCs w:val="26"/>
          </w:rPr>
          <w:t>https://ssrn.com/abstract=1572461</w:t>
        </w:r>
      </w:hyperlink>
      <w:r w:rsidR="00443808" w:rsidRPr="00C95423">
        <w:rPr>
          <w:rFonts w:ascii="Times New Roman" w:hAnsi="Times New Roman" w:cs="Times New Roman"/>
          <w:sz w:val="26"/>
          <w:szCs w:val="26"/>
        </w:rPr>
        <w:t xml:space="preserve"> </w:t>
      </w:r>
      <w:r w:rsidRPr="00C95423">
        <w:rPr>
          <w:rFonts w:ascii="Times New Roman" w:hAnsi="Times New Roman" w:cs="Times New Roman"/>
          <w:sz w:val="26"/>
          <w:szCs w:val="26"/>
        </w:rPr>
        <w:t>or</w:t>
      </w:r>
      <w:r w:rsidR="00443808" w:rsidRPr="00C95423">
        <w:rPr>
          <w:rFonts w:ascii="Times New Roman" w:hAnsi="Times New Roman" w:cs="Times New Roman"/>
          <w:sz w:val="26"/>
          <w:szCs w:val="26"/>
        </w:rPr>
        <w:t xml:space="preserve"> </w:t>
      </w:r>
      <w:hyperlink r:id="rId15" w:tgtFrame="_blank" w:history="1">
        <w:r w:rsidRPr="00C95423">
          <w:rPr>
            <w:rFonts w:ascii="Times New Roman" w:hAnsi="Times New Roman" w:cs="Times New Roman"/>
            <w:sz w:val="26"/>
            <w:szCs w:val="26"/>
          </w:rPr>
          <w:t>http://dx.doi.org/10.2139/ssrn.1572461</w:t>
        </w:r>
      </w:hyperlink>
      <w:r w:rsidR="00CA1B3C" w:rsidRPr="00CA1B3C">
        <w:t xml:space="preserve"> </w:t>
      </w:r>
    </w:p>
    <w:p w14:paraId="6CE806DF" w14:textId="122F9E6A" w:rsidR="003C57AC" w:rsidRPr="00C950E1" w:rsidRDefault="003C57AC" w:rsidP="003C57AC">
      <w:pPr>
        <w:snapToGrid w:val="0"/>
        <w:spacing w:after="0" w:line="360" w:lineRule="exact"/>
        <w:ind w:left="630" w:hanging="630"/>
        <w:rPr>
          <w:rFonts w:ascii="Times New Roman" w:hAnsi="Times New Roman" w:cs="Times New Roman"/>
          <w:sz w:val="26"/>
          <w:szCs w:val="26"/>
        </w:rPr>
      </w:pPr>
      <w:r w:rsidRPr="00C950E1">
        <w:rPr>
          <w:rFonts w:ascii="Times New Roman" w:hAnsi="Times New Roman" w:cs="Times New Roman"/>
          <w:sz w:val="26"/>
          <w:szCs w:val="26"/>
        </w:rPr>
        <w:t>An</w:t>
      </w:r>
      <w:r>
        <w:rPr>
          <w:rFonts w:ascii="Times New Roman" w:hAnsi="Times New Roman" w:cs="Times New Roman"/>
          <w:sz w:val="26"/>
          <w:szCs w:val="26"/>
        </w:rPr>
        <w:t>,</w:t>
      </w:r>
      <w:r w:rsidRPr="00C950E1">
        <w:rPr>
          <w:rFonts w:ascii="Times New Roman" w:hAnsi="Times New Roman" w:cs="Times New Roman"/>
          <w:sz w:val="26"/>
          <w:szCs w:val="26"/>
        </w:rPr>
        <w:t xml:space="preserve"> Y.  (2017). Measuring </w:t>
      </w:r>
      <w:r w:rsidR="00443808" w:rsidRPr="00C950E1">
        <w:rPr>
          <w:rFonts w:ascii="Times New Roman" w:hAnsi="Times New Roman" w:cs="Times New Roman"/>
          <w:sz w:val="26"/>
          <w:szCs w:val="26"/>
        </w:rPr>
        <w:t>earnings quality over time</w:t>
      </w:r>
      <w:r w:rsidRPr="00C950E1">
        <w:rPr>
          <w:rFonts w:ascii="Times New Roman" w:hAnsi="Times New Roman" w:cs="Times New Roman"/>
          <w:sz w:val="26"/>
          <w:szCs w:val="26"/>
        </w:rPr>
        <w:t xml:space="preserve">. </w:t>
      </w:r>
      <w:r w:rsidRPr="00C950E1">
        <w:rPr>
          <w:rFonts w:ascii="Times New Roman" w:hAnsi="Times New Roman" w:cs="Times New Roman"/>
          <w:i/>
          <w:iCs/>
          <w:sz w:val="26"/>
          <w:szCs w:val="26"/>
        </w:rPr>
        <w:t>International Journal of Economics and Financial Issues, 7</w:t>
      </w:r>
      <w:r w:rsidRPr="00443808">
        <w:rPr>
          <w:rFonts w:ascii="Times New Roman" w:hAnsi="Times New Roman" w:cs="Times New Roman"/>
          <w:iCs/>
          <w:sz w:val="26"/>
          <w:szCs w:val="26"/>
        </w:rPr>
        <w:t>(3)</w:t>
      </w:r>
      <w:r w:rsidRPr="00C950E1">
        <w:rPr>
          <w:rFonts w:ascii="Times New Roman" w:hAnsi="Times New Roman" w:cs="Times New Roman"/>
          <w:i/>
          <w:iCs/>
          <w:sz w:val="26"/>
          <w:szCs w:val="26"/>
        </w:rPr>
        <w:t>,</w:t>
      </w:r>
      <w:r w:rsidRPr="00C950E1">
        <w:rPr>
          <w:rFonts w:ascii="Times New Roman" w:hAnsi="Times New Roman" w:cs="Times New Roman"/>
          <w:sz w:val="26"/>
          <w:szCs w:val="26"/>
        </w:rPr>
        <w:t xml:space="preserve"> 82-87. </w:t>
      </w:r>
    </w:p>
    <w:p w14:paraId="1C5C7C85" w14:textId="658D3529" w:rsidR="003C57AC" w:rsidRPr="00C950E1" w:rsidRDefault="003C57AC" w:rsidP="003C57AC">
      <w:pPr>
        <w:snapToGrid w:val="0"/>
        <w:spacing w:after="0" w:line="360" w:lineRule="exact"/>
        <w:ind w:left="630" w:hanging="630"/>
        <w:rPr>
          <w:rFonts w:ascii="Times New Roman" w:hAnsi="Times New Roman" w:cs="Times New Roman"/>
          <w:sz w:val="26"/>
          <w:szCs w:val="26"/>
        </w:rPr>
      </w:pPr>
      <w:r w:rsidRPr="00C950E1">
        <w:rPr>
          <w:rFonts w:ascii="Times New Roman" w:hAnsi="Times New Roman" w:cs="Times New Roman"/>
          <w:sz w:val="26"/>
          <w:szCs w:val="26"/>
        </w:rPr>
        <w:t xml:space="preserve">An, Y. (2019). An </w:t>
      </w:r>
      <w:r w:rsidR="00443808" w:rsidRPr="00C950E1">
        <w:rPr>
          <w:rFonts w:ascii="Times New Roman" w:hAnsi="Times New Roman" w:cs="Times New Roman"/>
          <w:sz w:val="26"/>
          <w:szCs w:val="26"/>
        </w:rPr>
        <w:t>empirical study on the relationship between foreign investors and earnings quality</w:t>
      </w:r>
      <w:r w:rsidRPr="00C950E1">
        <w:rPr>
          <w:rFonts w:ascii="Times New Roman" w:hAnsi="Times New Roman" w:cs="Times New Roman"/>
          <w:sz w:val="26"/>
          <w:szCs w:val="26"/>
        </w:rPr>
        <w:t xml:space="preserve">. </w:t>
      </w:r>
      <w:r w:rsidRPr="00C950E1">
        <w:rPr>
          <w:rFonts w:ascii="Times New Roman" w:hAnsi="Times New Roman" w:cs="Times New Roman"/>
          <w:i/>
          <w:iCs/>
          <w:sz w:val="26"/>
          <w:szCs w:val="26"/>
        </w:rPr>
        <w:t>Research in World Economy, 10</w:t>
      </w:r>
      <w:r w:rsidRPr="00443808">
        <w:rPr>
          <w:rFonts w:ascii="Times New Roman" w:hAnsi="Times New Roman" w:cs="Times New Roman"/>
          <w:iCs/>
          <w:sz w:val="26"/>
          <w:szCs w:val="26"/>
        </w:rPr>
        <w:t>(3)</w:t>
      </w:r>
      <w:r w:rsidRPr="00C950E1">
        <w:rPr>
          <w:rFonts w:ascii="Times New Roman" w:hAnsi="Times New Roman" w:cs="Times New Roman"/>
          <w:i/>
          <w:iCs/>
          <w:sz w:val="26"/>
          <w:szCs w:val="26"/>
        </w:rPr>
        <w:t>,</w:t>
      </w:r>
      <w:r w:rsidRPr="00C950E1">
        <w:rPr>
          <w:rFonts w:ascii="Times New Roman" w:hAnsi="Times New Roman" w:cs="Times New Roman"/>
          <w:sz w:val="26"/>
          <w:szCs w:val="26"/>
        </w:rPr>
        <w:t xml:space="preserve"> 99-107. https://doi.org/10.5430/rwe.v10n3p99 </w:t>
      </w:r>
    </w:p>
    <w:p w14:paraId="2321B630" w14:textId="47DD0A98" w:rsidR="003C57AC" w:rsidRPr="00C950E1" w:rsidRDefault="003C57AC" w:rsidP="003C57AC">
      <w:pPr>
        <w:snapToGrid w:val="0"/>
        <w:spacing w:after="0" w:line="360" w:lineRule="exact"/>
        <w:ind w:left="630" w:hanging="630"/>
        <w:rPr>
          <w:rFonts w:ascii="Times New Roman" w:hAnsi="Times New Roman" w:cs="Times New Roman"/>
          <w:sz w:val="26"/>
          <w:szCs w:val="26"/>
        </w:rPr>
      </w:pPr>
      <w:proofErr w:type="spellStart"/>
      <w:r w:rsidRPr="00C950E1">
        <w:rPr>
          <w:rFonts w:ascii="Times New Roman" w:hAnsi="Times New Roman" w:cs="Times New Roman"/>
          <w:sz w:val="26"/>
          <w:szCs w:val="26"/>
        </w:rPr>
        <w:t>Asiri</w:t>
      </w:r>
      <w:proofErr w:type="spellEnd"/>
      <w:r>
        <w:rPr>
          <w:rFonts w:ascii="Times New Roman" w:hAnsi="Times New Roman" w:cs="Times New Roman"/>
          <w:sz w:val="26"/>
          <w:szCs w:val="26"/>
        </w:rPr>
        <w:t>,</w:t>
      </w:r>
      <w:r w:rsidRPr="00C950E1">
        <w:rPr>
          <w:rFonts w:ascii="Times New Roman" w:hAnsi="Times New Roman" w:cs="Times New Roman"/>
          <w:sz w:val="26"/>
          <w:szCs w:val="26"/>
        </w:rPr>
        <w:t xml:space="preserve"> B</w:t>
      </w:r>
      <w:r>
        <w:rPr>
          <w:rFonts w:ascii="Times New Roman" w:hAnsi="Times New Roman" w:cs="Times New Roman"/>
          <w:sz w:val="26"/>
          <w:szCs w:val="26"/>
        </w:rPr>
        <w:t>.,</w:t>
      </w:r>
      <w:r w:rsidRPr="00C950E1">
        <w:rPr>
          <w:rFonts w:ascii="Times New Roman" w:hAnsi="Times New Roman" w:cs="Times New Roman"/>
          <w:sz w:val="26"/>
          <w:szCs w:val="26"/>
        </w:rPr>
        <w:t xml:space="preserve"> &amp; </w:t>
      </w:r>
      <w:proofErr w:type="spellStart"/>
      <w:r w:rsidRPr="00C950E1">
        <w:rPr>
          <w:rFonts w:ascii="Times New Roman" w:hAnsi="Times New Roman" w:cs="Times New Roman"/>
          <w:sz w:val="26"/>
          <w:szCs w:val="26"/>
        </w:rPr>
        <w:t>Alzeera</w:t>
      </w:r>
      <w:proofErr w:type="spellEnd"/>
      <w:r w:rsidRPr="00C950E1">
        <w:rPr>
          <w:rFonts w:ascii="Times New Roman" w:hAnsi="Times New Roman" w:cs="Times New Roman"/>
          <w:sz w:val="26"/>
          <w:szCs w:val="26"/>
        </w:rPr>
        <w:t xml:space="preserve">, H. (2013). Is the Saudi </w:t>
      </w:r>
      <w:r w:rsidR="00443808" w:rsidRPr="00C950E1">
        <w:rPr>
          <w:rFonts w:ascii="Times New Roman" w:hAnsi="Times New Roman" w:cs="Times New Roman"/>
          <w:sz w:val="26"/>
          <w:szCs w:val="26"/>
        </w:rPr>
        <w:t xml:space="preserve">stock market efficient? </w:t>
      </w:r>
      <w:r w:rsidRPr="00C950E1">
        <w:rPr>
          <w:rFonts w:ascii="Times New Roman" w:hAnsi="Times New Roman" w:cs="Times New Roman"/>
          <w:sz w:val="26"/>
          <w:szCs w:val="26"/>
        </w:rPr>
        <w:t>A case of weak-form efficiency</w:t>
      </w:r>
      <w:r w:rsidR="00443808">
        <w:rPr>
          <w:rFonts w:ascii="Times New Roman" w:hAnsi="Times New Roman" w:cs="Times New Roman"/>
          <w:sz w:val="26"/>
          <w:szCs w:val="26"/>
        </w:rPr>
        <w:t>.</w:t>
      </w:r>
      <w:r w:rsidRPr="00C950E1">
        <w:rPr>
          <w:rFonts w:ascii="Times New Roman" w:hAnsi="Times New Roman" w:cs="Times New Roman"/>
          <w:sz w:val="26"/>
          <w:szCs w:val="26"/>
        </w:rPr>
        <w:t xml:space="preserve"> </w:t>
      </w:r>
      <w:r w:rsidRPr="00C950E1">
        <w:rPr>
          <w:rFonts w:ascii="Times New Roman" w:hAnsi="Times New Roman" w:cs="Times New Roman"/>
          <w:i/>
          <w:iCs/>
          <w:sz w:val="26"/>
          <w:szCs w:val="26"/>
        </w:rPr>
        <w:t>Research Journal of Finance and Accounting, 4</w:t>
      </w:r>
      <w:r w:rsidRPr="00443808">
        <w:rPr>
          <w:rFonts w:ascii="Times New Roman" w:hAnsi="Times New Roman" w:cs="Times New Roman"/>
          <w:iCs/>
          <w:sz w:val="26"/>
          <w:szCs w:val="26"/>
        </w:rPr>
        <w:t>(6)</w:t>
      </w:r>
      <w:r w:rsidRPr="00C950E1">
        <w:rPr>
          <w:rFonts w:ascii="Times New Roman" w:hAnsi="Times New Roman" w:cs="Times New Roman"/>
          <w:sz w:val="26"/>
          <w:szCs w:val="26"/>
        </w:rPr>
        <w:t xml:space="preserve">, 35-48. </w:t>
      </w:r>
    </w:p>
    <w:p w14:paraId="5F5707EF" w14:textId="5F247863" w:rsidR="003C57AC" w:rsidRPr="00C950E1" w:rsidRDefault="003C57AC" w:rsidP="003C57AC">
      <w:pPr>
        <w:snapToGrid w:val="0"/>
        <w:spacing w:after="0" w:line="360" w:lineRule="exact"/>
        <w:ind w:left="630" w:hanging="630"/>
        <w:rPr>
          <w:rFonts w:ascii="Times New Roman" w:hAnsi="Times New Roman" w:cs="Times New Roman"/>
          <w:sz w:val="26"/>
          <w:szCs w:val="26"/>
        </w:rPr>
      </w:pPr>
      <w:r w:rsidRPr="00C950E1">
        <w:rPr>
          <w:rFonts w:ascii="Times New Roman" w:hAnsi="Times New Roman" w:cs="Times New Roman"/>
          <w:sz w:val="26"/>
          <w:szCs w:val="26"/>
        </w:rPr>
        <w:lastRenderedPageBreak/>
        <w:t>Assad, N. F</w:t>
      </w:r>
      <w:r>
        <w:rPr>
          <w:rFonts w:ascii="Times New Roman" w:hAnsi="Times New Roman" w:cs="Times New Roman"/>
          <w:sz w:val="26"/>
          <w:szCs w:val="26"/>
        </w:rPr>
        <w:t>.,</w:t>
      </w:r>
      <w:r w:rsidRPr="00C950E1">
        <w:rPr>
          <w:rFonts w:ascii="Times New Roman" w:hAnsi="Times New Roman" w:cs="Times New Roman"/>
          <w:sz w:val="26"/>
          <w:szCs w:val="26"/>
        </w:rPr>
        <w:t xml:space="preserve"> &amp; </w:t>
      </w:r>
      <w:proofErr w:type="spellStart"/>
      <w:r w:rsidRPr="00C950E1">
        <w:rPr>
          <w:rFonts w:ascii="Times New Roman" w:hAnsi="Times New Roman" w:cs="Times New Roman"/>
          <w:sz w:val="26"/>
          <w:szCs w:val="26"/>
        </w:rPr>
        <w:t>Alshurideh</w:t>
      </w:r>
      <w:proofErr w:type="spellEnd"/>
      <w:r w:rsidRPr="00C950E1">
        <w:rPr>
          <w:rFonts w:ascii="Times New Roman" w:hAnsi="Times New Roman" w:cs="Times New Roman"/>
          <w:sz w:val="26"/>
          <w:szCs w:val="26"/>
        </w:rPr>
        <w:t xml:space="preserve">, M. T. (2020). Financial </w:t>
      </w:r>
      <w:r w:rsidR="00443808" w:rsidRPr="00C950E1">
        <w:rPr>
          <w:rFonts w:ascii="Times New Roman" w:hAnsi="Times New Roman" w:cs="Times New Roman"/>
          <w:sz w:val="26"/>
          <w:szCs w:val="26"/>
        </w:rPr>
        <w:t>reporting quality, audit quality, and investment efficiency</w:t>
      </w:r>
      <w:r w:rsidRPr="00C950E1">
        <w:rPr>
          <w:rFonts w:ascii="Times New Roman" w:hAnsi="Times New Roman" w:cs="Times New Roman"/>
          <w:sz w:val="26"/>
          <w:szCs w:val="26"/>
        </w:rPr>
        <w:t xml:space="preserve">: Evidence from GCC </w:t>
      </w:r>
      <w:r w:rsidR="00443808" w:rsidRPr="00C950E1">
        <w:rPr>
          <w:rFonts w:ascii="Times New Roman" w:hAnsi="Times New Roman" w:cs="Times New Roman"/>
          <w:sz w:val="26"/>
          <w:szCs w:val="26"/>
        </w:rPr>
        <w:t>economies</w:t>
      </w:r>
      <w:r w:rsidRPr="00C950E1">
        <w:rPr>
          <w:rFonts w:ascii="Times New Roman" w:hAnsi="Times New Roman" w:cs="Times New Roman"/>
          <w:sz w:val="26"/>
          <w:szCs w:val="26"/>
        </w:rPr>
        <w:t xml:space="preserve">. </w:t>
      </w:r>
      <w:r w:rsidR="00443808" w:rsidRPr="00C950E1">
        <w:rPr>
          <w:rFonts w:ascii="Times New Roman" w:hAnsi="Times New Roman" w:cs="Times New Roman"/>
          <w:i/>
          <w:iCs/>
          <w:sz w:val="26"/>
          <w:szCs w:val="26"/>
        </w:rPr>
        <w:t>Waffen-</w:t>
      </w:r>
      <w:r w:rsidR="00443808">
        <w:rPr>
          <w:rFonts w:ascii="Times New Roman" w:hAnsi="Times New Roman" w:cs="Times New Roman"/>
          <w:i/>
          <w:iCs/>
          <w:sz w:val="26"/>
          <w:szCs w:val="26"/>
        </w:rPr>
        <w:t>u</w:t>
      </w:r>
      <w:r w:rsidR="00443808" w:rsidRPr="00C950E1">
        <w:rPr>
          <w:rFonts w:ascii="Times New Roman" w:hAnsi="Times New Roman" w:cs="Times New Roman"/>
          <w:i/>
          <w:iCs/>
          <w:sz w:val="26"/>
          <w:szCs w:val="26"/>
        </w:rPr>
        <w:t xml:space="preserve">nd </w:t>
      </w:r>
      <w:proofErr w:type="spellStart"/>
      <w:r w:rsidR="00443808" w:rsidRPr="00C950E1">
        <w:rPr>
          <w:rFonts w:ascii="Times New Roman" w:hAnsi="Times New Roman" w:cs="Times New Roman"/>
          <w:i/>
          <w:iCs/>
          <w:sz w:val="26"/>
          <w:szCs w:val="26"/>
        </w:rPr>
        <w:t>Kostumkunde</w:t>
      </w:r>
      <w:proofErr w:type="spellEnd"/>
      <w:r w:rsidR="00443808" w:rsidRPr="00C950E1">
        <w:rPr>
          <w:rFonts w:ascii="Times New Roman" w:hAnsi="Times New Roman" w:cs="Times New Roman"/>
          <w:i/>
          <w:iCs/>
          <w:sz w:val="26"/>
          <w:szCs w:val="26"/>
        </w:rPr>
        <w:t xml:space="preserve"> Journal</w:t>
      </w:r>
      <w:r w:rsidRPr="00C950E1">
        <w:rPr>
          <w:rFonts w:ascii="Times New Roman" w:hAnsi="Times New Roman" w:cs="Times New Roman"/>
          <w:i/>
          <w:iCs/>
          <w:sz w:val="26"/>
          <w:szCs w:val="26"/>
        </w:rPr>
        <w:t xml:space="preserve">, </w:t>
      </w:r>
      <w:r w:rsidR="00CA1B3C">
        <w:rPr>
          <w:rFonts w:ascii="Times New Roman" w:hAnsi="Times New Roman" w:cs="Times New Roman"/>
          <w:sz w:val="26"/>
          <w:szCs w:val="26"/>
        </w:rPr>
        <w:t>14</w:t>
      </w:r>
      <w:r w:rsidR="00CA1B3C" w:rsidRPr="00443808">
        <w:rPr>
          <w:rFonts w:ascii="Times New Roman" w:hAnsi="Times New Roman" w:cs="Times New Roman"/>
          <w:iCs/>
          <w:sz w:val="26"/>
          <w:szCs w:val="26"/>
        </w:rPr>
        <w:t>(</w:t>
      </w:r>
      <w:r w:rsidR="00CA1B3C">
        <w:rPr>
          <w:rFonts w:ascii="Times New Roman" w:hAnsi="Times New Roman" w:cs="Times New Roman"/>
          <w:iCs/>
          <w:sz w:val="26"/>
          <w:szCs w:val="26"/>
        </w:rPr>
        <w:t>3</w:t>
      </w:r>
      <w:r w:rsidR="00CA1B3C" w:rsidRPr="00443808">
        <w:rPr>
          <w:rFonts w:ascii="Times New Roman" w:hAnsi="Times New Roman" w:cs="Times New Roman"/>
          <w:iCs/>
          <w:sz w:val="26"/>
          <w:szCs w:val="26"/>
        </w:rPr>
        <w:t>)</w:t>
      </w:r>
      <w:r w:rsidR="00CA1B3C" w:rsidRPr="00C950E1">
        <w:rPr>
          <w:rFonts w:ascii="Times New Roman" w:hAnsi="Times New Roman" w:cs="Times New Roman"/>
          <w:i/>
          <w:iCs/>
          <w:sz w:val="26"/>
          <w:szCs w:val="26"/>
        </w:rPr>
        <w:t>,</w:t>
      </w:r>
      <w:r w:rsidRPr="00C950E1">
        <w:rPr>
          <w:rFonts w:ascii="Times New Roman" w:hAnsi="Times New Roman" w:cs="Times New Roman"/>
          <w:sz w:val="26"/>
          <w:szCs w:val="26"/>
        </w:rPr>
        <w:t xml:space="preserve">194-208. </w:t>
      </w:r>
    </w:p>
    <w:p w14:paraId="28D83404" w14:textId="4426104A" w:rsidR="003C57AC" w:rsidRPr="00C950E1" w:rsidRDefault="003C57AC" w:rsidP="003C57AC">
      <w:pPr>
        <w:snapToGrid w:val="0"/>
        <w:spacing w:after="0" w:line="360" w:lineRule="exact"/>
        <w:ind w:left="630" w:hanging="630"/>
        <w:rPr>
          <w:rFonts w:ascii="Times New Roman" w:hAnsi="Times New Roman" w:cs="Times New Roman"/>
          <w:sz w:val="26"/>
          <w:szCs w:val="26"/>
        </w:rPr>
      </w:pPr>
      <w:r w:rsidRPr="00C950E1">
        <w:rPr>
          <w:rFonts w:ascii="Times New Roman" w:hAnsi="Times New Roman" w:cs="Times New Roman"/>
          <w:sz w:val="26"/>
          <w:szCs w:val="26"/>
        </w:rPr>
        <w:t xml:space="preserve">Aziz, </w:t>
      </w:r>
      <w:hyperlink r:id="rId16" w:history="1">
        <w:r w:rsidRPr="00C950E1">
          <w:rPr>
            <w:rFonts w:ascii="Times New Roman" w:hAnsi="Times New Roman" w:cs="Times New Roman"/>
            <w:sz w:val="26"/>
            <w:szCs w:val="26"/>
          </w:rPr>
          <w:t>O. G.</w:t>
        </w:r>
        <w:r>
          <w:rPr>
            <w:rFonts w:ascii="Times New Roman" w:hAnsi="Times New Roman" w:cs="Times New Roman"/>
            <w:sz w:val="26"/>
            <w:szCs w:val="26"/>
          </w:rPr>
          <w:t>,</w:t>
        </w:r>
        <w:r w:rsidRPr="00C950E1">
          <w:rPr>
            <w:rFonts w:ascii="Times New Roman" w:hAnsi="Times New Roman" w:cs="Times New Roman"/>
            <w:sz w:val="26"/>
            <w:szCs w:val="26"/>
          </w:rPr>
          <w:t xml:space="preserve"> </w:t>
        </w:r>
      </w:hyperlink>
      <w:r w:rsidRPr="00C950E1">
        <w:rPr>
          <w:rFonts w:ascii="Times New Roman" w:hAnsi="Times New Roman" w:cs="Times New Roman"/>
          <w:sz w:val="26"/>
          <w:szCs w:val="26"/>
        </w:rPr>
        <w:t xml:space="preserve">&amp; Mishra, </w:t>
      </w:r>
      <w:hyperlink r:id="rId17" w:history="1">
        <w:r w:rsidRPr="00C950E1">
          <w:rPr>
            <w:rFonts w:ascii="Times New Roman" w:hAnsi="Times New Roman" w:cs="Times New Roman"/>
            <w:sz w:val="26"/>
            <w:szCs w:val="26"/>
          </w:rPr>
          <w:t xml:space="preserve">A. V. </w:t>
        </w:r>
      </w:hyperlink>
      <w:r w:rsidRPr="00C950E1">
        <w:rPr>
          <w:rFonts w:ascii="Times New Roman" w:hAnsi="Times New Roman" w:cs="Times New Roman"/>
          <w:sz w:val="26"/>
          <w:szCs w:val="26"/>
        </w:rPr>
        <w:t>(2016)</w:t>
      </w:r>
      <w:r>
        <w:rPr>
          <w:rFonts w:ascii="Times New Roman" w:hAnsi="Times New Roman" w:cs="Times New Roman"/>
          <w:sz w:val="26"/>
          <w:szCs w:val="26"/>
        </w:rPr>
        <w:t>.</w:t>
      </w:r>
      <w:r w:rsidRPr="00C950E1">
        <w:rPr>
          <w:rFonts w:ascii="Times New Roman" w:hAnsi="Times New Roman" w:cs="Times New Roman"/>
          <w:sz w:val="26"/>
          <w:szCs w:val="26"/>
        </w:rPr>
        <w:t xml:space="preserve"> Determinants of FDI inflows to Arab economies. </w:t>
      </w:r>
      <w:r w:rsidRPr="00C950E1">
        <w:rPr>
          <w:rFonts w:ascii="Times New Roman" w:hAnsi="Times New Roman" w:cs="Times New Roman"/>
          <w:i/>
          <w:iCs/>
          <w:sz w:val="26"/>
          <w:szCs w:val="26"/>
        </w:rPr>
        <w:t>The Journal of International Trade &amp; Economic Development: An International and Comparative Review, 25</w:t>
      </w:r>
      <w:r w:rsidRPr="00443808">
        <w:rPr>
          <w:rFonts w:ascii="Times New Roman" w:hAnsi="Times New Roman" w:cs="Times New Roman"/>
          <w:iCs/>
          <w:sz w:val="26"/>
          <w:szCs w:val="26"/>
        </w:rPr>
        <w:t>(3)</w:t>
      </w:r>
      <w:r w:rsidRPr="00C950E1">
        <w:rPr>
          <w:rFonts w:ascii="Times New Roman" w:hAnsi="Times New Roman" w:cs="Times New Roman"/>
          <w:i/>
          <w:iCs/>
          <w:sz w:val="26"/>
          <w:szCs w:val="26"/>
        </w:rPr>
        <w:t>,</w:t>
      </w:r>
      <w:r w:rsidRPr="00C950E1">
        <w:rPr>
          <w:rFonts w:ascii="Times New Roman" w:hAnsi="Times New Roman" w:cs="Times New Roman"/>
          <w:sz w:val="26"/>
          <w:szCs w:val="26"/>
        </w:rPr>
        <w:t xml:space="preserve"> 325-356</w:t>
      </w:r>
      <w:r w:rsidR="009D1EEA">
        <w:rPr>
          <w:rFonts w:ascii="Times New Roman" w:hAnsi="Times New Roman" w:cs="Times New Roman"/>
          <w:sz w:val="26"/>
          <w:szCs w:val="26"/>
        </w:rPr>
        <w:t xml:space="preserve">. </w:t>
      </w:r>
      <w:hyperlink r:id="rId18" w:history="1">
        <w:r w:rsidR="009D1EEA" w:rsidRPr="00E60BAB">
          <w:rPr>
            <w:rStyle w:val="ac"/>
            <w:rFonts w:ascii="Times New Roman" w:hAnsi="Times New Roman" w:cs="Times New Roman"/>
            <w:sz w:val="26"/>
            <w:szCs w:val="26"/>
          </w:rPr>
          <w:t>https://doi.org/10.1080/09638199.2015.1057</w:t>
        </w:r>
        <w:r w:rsidR="009D1EEA" w:rsidRPr="00E60BAB">
          <w:rPr>
            <w:rStyle w:val="ac"/>
            <w:rFonts w:ascii="Times New Roman" w:hAnsi="Times New Roman" w:cs="Times New Roman"/>
            <w:sz w:val="26"/>
            <w:szCs w:val="26"/>
          </w:rPr>
          <w:t>6</w:t>
        </w:r>
        <w:r w:rsidR="009D1EEA" w:rsidRPr="00E60BAB">
          <w:rPr>
            <w:rStyle w:val="ac"/>
            <w:rFonts w:ascii="Times New Roman" w:hAnsi="Times New Roman" w:cs="Times New Roman"/>
            <w:sz w:val="26"/>
            <w:szCs w:val="26"/>
          </w:rPr>
          <w:t>10</w:t>
        </w:r>
      </w:hyperlink>
      <w:r w:rsidRPr="00C950E1">
        <w:rPr>
          <w:rFonts w:ascii="Times New Roman" w:hAnsi="Times New Roman" w:cs="Times New Roman"/>
          <w:sz w:val="26"/>
          <w:szCs w:val="26"/>
        </w:rPr>
        <w:t xml:space="preserve">. </w:t>
      </w:r>
    </w:p>
    <w:p w14:paraId="09504F47" w14:textId="77777777" w:rsidR="003C57AC" w:rsidRPr="00C950E1" w:rsidRDefault="003C57AC" w:rsidP="003C57AC">
      <w:pPr>
        <w:snapToGrid w:val="0"/>
        <w:spacing w:after="0" w:line="360" w:lineRule="exact"/>
        <w:ind w:left="630" w:hanging="630"/>
        <w:rPr>
          <w:rFonts w:ascii="Times New Roman" w:hAnsi="Times New Roman" w:cs="Times New Roman"/>
          <w:sz w:val="26"/>
          <w:szCs w:val="26"/>
        </w:rPr>
      </w:pPr>
      <w:r w:rsidRPr="00C950E1">
        <w:rPr>
          <w:rFonts w:ascii="Times New Roman" w:hAnsi="Times New Roman" w:cs="Times New Roman"/>
          <w:sz w:val="26"/>
          <w:szCs w:val="26"/>
        </w:rPr>
        <w:t xml:space="preserve">Ball, R., &amp; </w:t>
      </w:r>
      <w:proofErr w:type="spellStart"/>
      <w:r w:rsidRPr="00C950E1">
        <w:rPr>
          <w:rFonts w:ascii="Times New Roman" w:hAnsi="Times New Roman" w:cs="Times New Roman"/>
          <w:sz w:val="26"/>
          <w:szCs w:val="26"/>
        </w:rPr>
        <w:t>Shivakumar</w:t>
      </w:r>
      <w:proofErr w:type="spellEnd"/>
      <w:r w:rsidRPr="00C950E1">
        <w:rPr>
          <w:rFonts w:ascii="Times New Roman" w:hAnsi="Times New Roman" w:cs="Times New Roman"/>
          <w:sz w:val="26"/>
          <w:szCs w:val="26"/>
        </w:rPr>
        <w:t xml:space="preserve">, L. (2005). Earnings quality in U.K. private firms; Comparative loss recognition. </w:t>
      </w:r>
      <w:r w:rsidRPr="00C950E1">
        <w:rPr>
          <w:rFonts w:ascii="Times New Roman" w:hAnsi="Times New Roman" w:cs="Times New Roman"/>
          <w:i/>
          <w:iCs/>
          <w:sz w:val="26"/>
          <w:szCs w:val="26"/>
        </w:rPr>
        <w:t>Journal of Accounting and Economics, 39</w:t>
      </w:r>
      <w:r w:rsidRPr="00443808">
        <w:rPr>
          <w:rFonts w:ascii="Times New Roman" w:hAnsi="Times New Roman" w:cs="Times New Roman"/>
          <w:iCs/>
          <w:sz w:val="26"/>
          <w:szCs w:val="26"/>
        </w:rPr>
        <w:t>(1)</w:t>
      </w:r>
      <w:r w:rsidRPr="00C950E1">
        <w:rPr>
          <w:rFonts w:ascii="Times New Roman" w:hAnsi="Times New Roman" w:cs="Times New Roman"/>
          <w:sz w:val="26"/>
          <w:szCs w:val="26"/>
        </w:rPr>
        <w:t xml:space="preserve">, 83-128. </w:t>
      </w:r>
      <w:hyperlink r:id="rId19" w:history="1">
        <w:r w:rsidRPr="00C950E1">
          <w:rPr>
            <w:rFonts w:ascii="Times New Roman" w:hAnsi="Times New Roman" w:cs="Times New Roman"/>
            <w:sz w:val="26"/>
            <w:szCs w:val="26"/>
          </w:rPr>
          <w:t>https://doi.org/10.1016/j.jacceco.2004.04.001</w:t>
        </w:r>
      </w:hyperlink>
    </w:p>
    <w:p w14:paraId="68FE17C1" w14:textId="0BD70EC3" w:rsidR="003C57AC" w:rsidRPr="00C950E1" w:rsidRDefault="003C57AC" w:rsidP="003C57AC">
      <w:pPr>
        <w:snapToGrid w:val="0"/>
        <w:spacing w:after="0" w:line="360" w:lineRule="exact"/>
        <w:ind w:left="630" w:hanging="630"/>
        <w:rPr>
          <w:rFonts w:ascii="Times New Roman" w:hAnsi="Times New Roman" w:cs="Times New Roman"/>
          <w:sz w:val="26"/>
          <w:szCs w:val="26"/>
        </w:rPr>
      </w:pPr>
      <w:r w:rsidRPr="00C950E1">
        <w:rPr>
          <w:rFonts w:ascii="Times New Roman" w:hAnsi="Times New Roman" w:cs="Times New Roman"/>
          <w:sz w:val="26"/>
          <w:szCs w:val="26"/>
        </w:rPr>
        <w:t xml:space="preserve">Ball, R., Robin, A., &amp; Wu, J. S. (2003). Incentives versus standards: </w:t>
      </w:r>
      <w:r w:rsidR="009D1EEA" w:rsidRPr="00C950E1">
        <w:rPr>
          <w:rFonts w:ascii="Times New Roman" w:hAnsi="Times New Roman" w:cs="Times New Roman"/>
          <w:sz w:val="26"/>
          <w:szCs w:val="26"/>
        </w:rPr>
        <w:t xml:space="preserve">Properties </w:t>
      </w:r>
      <w:r w:rsidRPr="00C950E1">
        <w:rPr>
          <w:rFonts w:ascii="Times New Roman" w:hAnsi="Times New Roman" w:cs="Times New Roman"/>
          <w:sz w:val="26"/>
          <w:szCs w:val="26"/>
        </w:rPr>
        <w:t xml:space="preserve">of accounting income in four East Asian countries. </w:t>
      </w:r>
      <w:r w:rsidRPr="00C950E1">
        <w:rPr>
          <w:rFonts w:ascii="Times New Roman" w:hAnsi="Times New Roman" w:cs="Times New Roman"/>
          <w:i/>
          <w:iCs/>
          <w:sz w:val="26"/>
          <w:szCs w:val="26"/>
        </w:rPr>
        <w:t>Journal of Accounting and Economics, 36</w:t>
      </w:r>
      <w:r w:rsidRPr="00443808">
        <w:rPr>
          <w:rFonts w:ascii="Times New Roman" w:hAnsi="Times New Roman" w:cs="Times New Roman"/>
          <w:iCs/>
          <w:sz w:val="26"/>
          <w:szCs w:val="26"/>
        </w:rPr>
        <w:t>(1)</w:t>
      </w:r>
      <w:r w:rsidRPr="00C950E1">
        <w:rPr>
          <w:rFonts w:ascii="Times New Roman" w:hAnsi="Times New Roman" w:cs="Times New Roman"/>
          <w:i/>
          <w:iCs/>
          <w:sz w:val="26"/>
          <w:szCs w:val="26"/>
        </w:rPr>
        <w:t>,</w:t>
      </w:r>
      <w:r w:rsidRPr="00C950E1">
        <w:rPr>
          <w:rFonts w:ascii="Times New Roman" w:hAnsi="Times New Roman" w:cs="Times New Roman"/>
          <w:sz w:val="26"/>
          <w:szCs w:val="26"/>
        </w:rPr>
        <w:t xml:space="preserve"> 235-270. </w:t>
      </w:r>
      <w:hyperlink r:id="rId20" w:history="1">
        <w:r w:rsidRPr="00C950E1">
          <w:rPr>
            <w:rFonts w:ascii="Times New Roman" w:hAnsi="Times New Roman" w:cs="Times New Roman"/>
            <w:sz w:val="26"/>
            <w:szCs w:val="26"/>
          </w:rPr>
          <w:t>https://doi.org/10.1016/j.jacceco.2003.10.003</w:t>
        </w:r>
      </w:hyperlink>
    </w:p>
    <w:p w14:paraId="76E23375" w14:textId="36FFA1DF" w:rsidR="003C57AC" w:rsidRPr="00C950E1" w:rsidRDefault="003C57AC" w:rsidP="003C57AC">
      <w:pPr>
        <w:snapToGrid w:val="0"/>
        <w:spacing w:after="0" w:line="360" w:lineRule="exact"/>
        <w:ind w:left="630" w:hanging="630"/>
        <w:rPr>
          <w:rFonts w:ascii="Times New Roman" w:hAnsi="Times New Roman" w:cs="Times New Roman"/>
          <w:sz w:val="26"/>
          <w:szCs w:val="26"/>
        </w:rPr>
      </w:pPr>
      <w:r w:rsidRPr="00C950E1">
        <w:rPr>
          <w:rFonts w:ascii="Times New Roman" w:hAnsi="Times New Roman" w:cs="Times New Roman"/>
          <w:sz w:val="26"/>
          <w:szCs w:val="26"/>
        </w:rPr>
        <w:t xml:space="preserve">Barth, </w:t>
      </w:r>
      <w:hyperlink r:id="rId21" w:anchor="!" w:history="1">
        <w:r w:rsidRPr="00C950E1">
          <w:rPr>
            <w:rFonts w:ascii="Times New Roman" w:hAnsi="Times New Roman" w:cs="Times New Roman"/>
            <w:sz w:val="26"/>
            <w:szCs w:val="26"/>
          </w:rPr>
          <w:t xml:space="preserve">M. E., </w:t>
        </w:r>
      </w:hyperlink>
      <w:r w:rsidRPr="00C950E1">
        <w:rPr>
          <w:rFonts w:ascii="Times New Roman" w:hAnsi="Times New Roman" w:cs="Times New Roman"/>
          <w:sz w:val="26"/>
          <w:szCs w:val="26"/>
        </w:rPr>
        <w:t xml:space="preserve">Beaver, </w:t>
      </w:r>
      <w:hyperlink r:id="rId22" w:anchor="!" w:history="1">
        <w:r w:rsidRPr="00C950E1">
          <w:rPr>
            <w:rFonts w:ascii="Times New Roman" w:hAnsi="Times New Roman" w:cs="Times New Roman"/>
            <w:sz w:val="26"/>
            <w:szCs w:val="26"/>
          </w:rPr>
          <w:t>W. H.</w:t>
        </w:r>
        <w:r>
          <w:rPr>
            <w:rFonts w:ascii="Times New Roman" w:hAnsi="Times New Roman" w:cs="Times New Roman"/>
            <w:sz w:val="26"/>
            <w:szCs w:val="26"/>
          </w:rPr>
          <w:t>,</w:t>
        </w:r>
        <w:r w:rsidRPr="00C950E1">
          <w:rPr>
            <w:rFonts w:ascii="Times New Roman" w:hAnsi="Times New Roman" w:cs="Times New Roman"/>
            <w:sz w:val="26"/>
            <w:szCs w:val="26"/>
          </w:rPr>
          <w:t xml:space="preserve"> </w:t>
        </w:r>
      </w:hyperlink>
      <w:bookmarkStart w:id="1" w:name="baep-author-id4"/>
      <w:r w:rsidRPr="00C950E1">
        <w:rPr>
          <w:rFonts w:ascii="Times New Roman" w:hAnsi="Times New Roman" w:cs="Times New Roman"/>
          <w:sz w:val="26"/>
          <w:szCs w:val="26"/>
        </w:rPr>
        <w:t>&amp; Landsman</w:t>
      </w:r>
      <w:r>
        <w:rPr>
          <w:rFonts w:ascii="Times New Roman" w:hAnsi="Times New Roman" w:cs="Times New Roman"/>
          <w:sz w:val="26"/>
          <w:szCs w:val="26"/>
        </w:rPr>
        <w:t>,</w:t>
      </w:r>
      <w:r w:rsidRPr="00C950E1">
        <w:rPr>
          <w:rFonts w:ascii="Times New Roman" w:hAnsi="Times New Roman" w:cs="Times New Roman"/>
          <w:sz w:val="26"/>
          <w:szCs w:val="26"/>
        </w:rPr>
        <w:t xml:space="preserve"> </w:t>
      </w:r>
      <w:hyperlink r:id="rId23" w:anchor="!" w:history="1">
        <w:r w:rsidRPr="00C950E1">
          <w:rPr>
            <w:rFonts w:ascii="Times New Roman" w:hAnsi="Times New Roman" w:cs="Times New Roman"/>
            <w:sz w:val="26"/>
            <w:szCs w:val="26"/>
          </w:rPr>
          <w:t xml:space="preserve">W. R. </w:t>
        </w:r>
      </w:hyperlink>
      <w:bookmarkEnd w:id="1"/>
      <w:r w:rsidRPr="00C950E1">
        <w:rPr>
          <w:rFonts w:ascii="Times New Roman" w:hAnsi="Times New Roman" w:cs="Times New Roman"/>
          <w:sz w:val="26"/>
          <w:szCs w:val="26"/>
        </w:rPr>
        <w:t xml:space="preserve">(2001). The relevance of the value relevance literature for financial accounting standard setting: </w:t>
      </w:r>
      <w:r w:rsidR="00443808">
        <w:rPr>
          <w:rFonts w:ascii="Times New Roman" w:hAnsi="Times New Roman" w:cs="Times New Roman"/>
          <w:sz w:val="26"/>
          <w:szCs w:val="26"/>
        </w:rPr>
        <w:t>A</w:t>
      </w:r>
      <w:r w:rsidRPr="00C950E1">
        <w:rPr>
          <w:rFonts w:ascii="Times New Roman" w:hAnsi="Times New Roman" w:cs="Times New Roman"/>
          <w:sz w:val="26"/>
          <w:szCs w:val="26"/>
        </w:rPr>
        <w:t xml:space="preserve">nother view. </w:t>
      </w:r>
      <w:hyperlink r:id="rId24" w:tooltip="Go to Journal of Accounting and Economics on ScienceDirect" w:history="1">
        <w:r w:rsidRPr="00C950E1">
          <w:rPr>
            <w:rFonts w:ascii="Times New Roman" w:hAnsi="Times New Roman" w:cs="Times New Roman"/>
            <w:i/>
            <w:iCs/>
            <w:sz w:val="26"/>
            <w:szCs w:val="26"/>
          </w:rPr>
          <w:t>Journal of Accounting and Economics</w:t>
        </w:r>
      </w:hyperlink>
      <w:r w:rsidRPr="00C950E1">
        <w:rPr>
          <w:rFonts w:ascii="Times New Roman" w:hAnsi="Times New Roman" w:cs="Times New Roman"/>
          <w:i/>
          <w:iCs/>
          <w:sz w:val="26"/>
          <w:szCs w:val="26"/>
        </w:rPr>
        <w:t>, 31</w:t>
      </w:r>
      <w:r w:rsidRPr="00443808">
        <w:rPr>
          <w:rFonts w:ascii="Times New Roman" w:hAnsi="Times New Roman" w:cs="Times New Roman"/>
          <w:iCs/>
          <w:sz w:val="26"/>
          <w:szCs w:val="26"/>
        </w:rPr>
        <w:t>(1-3)</w:t>
      </w:r>
      <w:r w:rsidRPr="00C950E1">
        <w:rPr>
          <w:rFonts w:ascii="Times New Roman" w:hAnsi="Times New Roman" w:cs="Times New Roman"/>
          <w:sz w:val="26"/>
          <w:szCs w:val="26"/>
        </w:rPr>
        <w:t>, 77-104. https://doi.org/10.1016/S0165-4101(01)00019-2</w:t>
      </w:r>
    </w:p>
    <w:p w14:paraId="5EDD025E" w14:textId="152B440F" w:rsidR="003C57AC" w:rsidRPr="00C950E1" w:rsidRDefault="003C57AC" w:rsidP="003C57AC">
      <w:pPr>
        <w:snapToGrid w:val="0"/>
        <w:spacing w:after="0" w:line="360" w:lineRule="exact"/>
        <w:ind w:left="630" w:hanging="630"/>
        <w:rPr>
          <w:rFonts w:ascii="Times New Roman" w:hAnsi="Times New Roman" w:cs="Times New Roman"/>
          <w:sz w:val="26"/>
          <w:szCs w:val="26"/>
        </w:rPr>
      </w:pPr>
      <w:r w:rsidRPr="00C950E1">
        <w:rPr>
          <w:rFonts w:ascii="Times New Roman" w:hAnsi="Times New Roman" w:cs="Times New Roman"/>
          <w:sz w:val="26"/>
          <w:szCs w:val="26"/>
        </w:rPr>
        <w:t xml:space="preserve">Barton, J., &amp; </w:t>
      </w:r>
      <w:proofErr w:type="spellStart"/>
      <w:r w:rsidRPr="00C950E1">
        <w:rPr>
          <w:rFonts w:ascii="Times New Roman" w:hAnsi="Times New Roman" w:cs="Times New Roman"/>
          <w:sz w:val="26"/>
          <w:szCs w:val="26"/>
        </w:rPr>
        <w:t>Simko</w:t>
      </w:r>
      <w:proofErr w:type="spellEnd"/>
      <w:r w:rsidRPr="00C950E1">
        <w:rPr>
          <w:rFonts w:ascii="Times New Roman" w:hAnsi="Times New Roman" w:cs="Times New Roman"/>
          <w:sz w:val="26"/>
          <w:szCs w:val="26"/>
        </w:rPr>
        <w:t>, P. J. (2002).</w:t>
      </w:r>
      <w:r>
        <w:rPr>
          <w:rFonts w:ascii="Times New Roman" w:hAnsi="Times New Roman" w:cs="Times New Roman"/>
          <w:sz w:val="26"/>
          <w:szCs w:val="26"/>
        </w:rPr>
        <w:t xml:space="preserve"> </w:t>
      </w:r>
      <w:r w:rsidRPr="00C950E1">
        <w:rPr>
          <w:rFonts w:ascii="Times New Roman" w:hAnsi="Times New Roman" w:cs="Times New Roman"/>
          <w:sz w:val="26"/>
          <w:szCs w:val="26"/>
        </w:rPr>
        <w:t xml:space="preserve">The </w:t>
      </w:r>
      <w:r w:rsidR="009D1EEA" w:rsidRPr="00C950E1">
        <w:rPr>
          <w:rFonts w:ascii="Times New Roman" w:hAnsi="Times New Roman" w:cs="Times New Roman"/>
          <w:sz w:val="26"/>
          <w:szCs w:val="26"/>
        </w:rPr>
        <w:t>balance sheet as an earnings management constraint</w:t>
      </w:r>
      <w:r w:rsidRPr="00C950E1">
        <w:rPr>
          <w:rFonts w:ascii="Times New Roman" w:hAnsi="Times New Roman" w:cs="Times New Roman"/>
          <w:sz w:val="26"/>
          <w:szCs w:val="26"/>
        </w:rPr>
        <w:t xml:space="preserve">. </w:t>
      </w:r>
      <w:r w:rsidRPr="00C950E1">
        <w:rPr>
          <w:rFonts w:ascii="Times New Roman" w:hAnsi="Times New Roman" w:cs="Times New Roman"/>
          <w:i/>
          <w:iCs/>
          <w:sz w:val="26"/>
          <w:szCs w:val="26"/>
        </w:rPr>
        <w:t xml:space="preserve">The Accounting Review, </w:t>
      </w:r>
      <w:r w:rsidRPr="00C95423">
        <w:rPr>
          <w:rFonts w:ascii="Times New Roman" w:hAnsi="Times New Roman" w:cs="Times New Roman"/>
          <w:i/>
          <w:iCs/>
          <w:sz w:val="26"/>
          <w:szCs w:val="26"/>
        </w:rPr>
        <w:t>77</w:t>
      </w:r>
      <w:r w:rsidRPr="00C95423">
        <w:rPr>
          <w:rFonts w:ascii="Times New Roman" w:hAnsi="Times New Roman" w:cs="Times New Roman"/>
          <w:iCs/>
          <w:sz w:val="26"/>
          <w:szCs w:val="26"/>
        </w:rPr>
        <w:t>(Supplement)</w:t>
      </w:r>
      <w:r w:rsidR="00443808">
        <w:rPr>
          <w:rFonts w:ascii="Times New Roman" w:hAnsi="Times New Roman" w:cs="Times New Roman"/>
          <w:iCs/>
          <w:sz w:val="26"/>
          <w:szCs w:val="26"/>
        </w:rPr>
        <w:t>,</w:t>
      </w:r>
      <w:r w:rsidRPr="00C950E1">
        <w:rPr>
          <w:rFonts w:ascii="Times New Roman" w:hAnsi="Times New Roman" w:cs="Times New Roman"/>
          <w:sz w:val="26"/>
          <w:szCs w:val="26"/>
        </w:rPr>
        <w:t xml:space="preserve"> 1</w:t>
      </w:r>
      <w:r w:rsidR="00C87DC6">
        <w:rPr>
          <w:rFonts w:ascii="Times New Roman" w:hAnsi="Times New Roman" w:cs="Times New Roman"/>
          <w:sz w:val="26"/>
          <w:szCs w:val="26"/>
        </w:rPr>
        <w:t>-</w:t>
      </w:r>
      <w:r w:rsidRPr="00C950E1">
        <w:rPr>
          <w:rFonts w:ascii="Times New Roman" w:hAnsi="Times New Roman" w:cs="Times New Roman"/>
          <w:sz w:val="26"/>
          <w:szCs w:val="26"/>
        </w:rPr>
        <w:t>27. https://www.jstor.org/stable/3203322</w:t>
      </w:r>
      <w:r w:rsidR="00CA1B3C" w:rsidRPr="00CA1B3C">
        <w:t xml:space="preserve"> </w:t>
      </w:r>
    </w:p>
    <w:p w14:paraId="5FB0BB85" w14:textId="37DEC1FA" w:rsidR="003C57AC" w:rsidRPr="00C950E1" w:rsidRDefault="003C57AC" w:rsidP="003C57AC">
      <w:pPr>
        <w:snapToGrid w:val="0"/>
        <w:spacing w:after="0" w:line="360" w:lineRule="exact"/>
        <w:ind w:left="630" w:hanging="630"/>
        <w:rPr>
          <w:rFonts w:ascii="Times New Roman" w:hAnsi="Times New Roman" w:cs="Times New Roman"/>
          <w:sz w:val="26"/>
          <w:szCs w:val="26"/>
        </w:rPr>
      </w:pPr>
      <w:proofErr w:type="spellStart"/>
      <w:r w:rsidRPr="00C950E1">
        <w:rPr>
          <w:rFonts w:ascii="Times New Roman" w:hAnsi="Times New Roman" w:cs="Times New Roman"/>
          <w:sz w:val="26"/>
          <w:szCs w:val="26"/>
        </w:rPr>
        <w:t>Basu</w:t>
      </w:r>
      <w:proofErr w:type="spellEnd"/>
      <w:r w:rsidRPr="00C950E1">
        <w:rPr>
          <w:rFonts w:ascii="Times New Roman" w:hAnsi="Times New Roman" w:cs="Times New Roman"/>
          <w:sz w:val="26"/>
          <w:szCs w:val="26"/>
        </w:rPr>
        <w:t xml:space="preserve">, S. (1997). The conservatism principle and the asymmetric timeliness of earnings. </w:t>
      </w:r>
      <w:r w:rsidRPr="00C950E1">
        <w:rPr>
          <w:rFonts w:ascii="Times New Roman" w:hAnsi="Times New Roman" w:cs="Times New Roman"/>
          <w:i/>
          <w:iCs/>
          <w:sz w:val="26"/>
          <w:szCs w:val="26"/>
        </w:rPr>
        <w:t>Journal of Accounting and Economics, 24</w:t>
      </w:r>
      <w:r w:rsidRPr="00443808">
        <w:rPr>
          <w:rFonts w:ascii="Times New Roman" w:hAnsi="Times New Roman" w:cs="Times New Roman"/>
          <w:iCs/>
          <w:sz w:val="26"/>
          <w:szCs w:val="26"/>
        </w:rPr>
        <w:t>(1)</w:t>
      </w:r>
      <w:r w:rsidRPr="00C950E1">
        <w:rPr>
          <w:rFonts w:ascii="Times New Roman" w:hAnsi="Times New Roman" w:cs="Times New Roman"/>
          <w:i/>
          <w:iCs/>
          <w:sz w:val="26"/>
          <w:szCs w:val="26"/>
        </w:rPr>
        <w:t>,</w:t>
      </w:r>
      <w:r w:rsidRPr="00C950E1">
        <w:rPr>
          <w:rFonts w:ascii="Times New Roman" w:hAnsi="Times New Roman" w:cs="Times New Roman"/>
          <w:sz w:val="26"/>
          <w:szCs w:val="26"/>
        </w:rPr>
        <w:t xml:space="preserve"> 3-37. https://doi.org/10.1016/</w:t>
      </w:r>
      <w:r w:rsidR="00CA1B3C">
        <w:rPr>
          <w:rFonts w:ascii="Times New Roman" w:hAnsi="Times New Roman" w:cs="Times New Roman"/>
          <w:sz w:val="26"/>
          <w:szCs w:val="26"/>
        </w:rPr>
        <w:t>-s</w:t>
      </w:r>
      <w:r w:rsidR="00CA1B3C" w:rsidRPr="00C950E1">
        <w:rPr>
          <w:rFonts w:ascii="Times New Roman" w:hAnsi="Times New Roman" w:cs="Times New Roman"/>
          <w:sz w:val="26"/>
          <w:szCs w:val="26"/>
        </w:rPr>
        <w:t>0165</w:t>
      </w:r>
      <w:r w:rsidRPr="00C950E1">
        <w:rPr>
          <w:rFonts w:ascii="Times New Roman" w:hAnsi="Times New Roman" w:cs="Times New Roman"/>
          <w:sz w:val="26"/>
          <w:szCs w:val="26"/>
        </w:rPr>
        <w:t>-4101(97)00014-1</w:t>
      </w:r>
    </w:p>
    <w:p w14:paraId="1A16C253" w14:textId="4200E87C" w:rsidR="003C57AC" w:rsidRPr="00C950E1" w:rsidRDefault="003C57AC" w:rsidP="003C57AC">
      <w:pPr>
        <w:snapToGrid w:val="0"/>
        <w:spacing w:after="0" w:line="360" w:lineRule="exact"/>
        <w:ind w:left="630" w:hanging="630"/>
        <w:rPr>
          <w:rFonts w:ascii="Times New Roman" w:hAnsi="Times New Roman" w:cs="Times New Roman"/>
          <w:sz w:val="26"/>
          <w:szCs w:val="26"/>
        </w:rPr>
      </w:pPr>
      <w:r w:rsidRPr="00C950E1">
        <w:rPr>
          <w:rFonts w:ascii="Times New Roman" w:hAnsi="Times New Roman" w:cs="Times New Roman"/>
          <w:sz w:val="26"/>
          <w:szCs w:val="26"/>
        </w:rPr>
        <w:t>Bell, A., Fairbrother</w:t>
      </w:r>
      <w:r>
        <w:rPr>
          <w:rFonts w:ascii="Times New Roman" w:hAnsi="Times New Roman" w:cs="Times New Roman"/>
          <w:sz w:val="26"/>
          <w:szCs w:val="26"/>
        </w:rPr>
        <w:t>,</w:t>
      </w:r>
      <w:r w:rsidRPr="00C950E1">
        <w:rPr>
          <w:rFonts w:ascii="Times New Roman" w:hAnsi="Times New Roman" w:cs="Times New Roman"/>
          <w:sz w:val="26"/>
          <w:szCs w:val="26"/>
        </w:rPr>
        <w:t xml:space="preserve"> M.</w:t>
      </w:r>
      <w:r>
        <w:rPr>
          <w:rFonts w:ascii="Times New Roman" w:hAnsi="Times New Roman" w:cs="Times New Roman"/>
          <w:sz w:val="26"/>
          <w:szCs w:val="26"/>
        </w:rPr>
        <w:t>,</w:t>
      </w:r>
      <w:r w:rsidR="00443808">
        <w:rPr>
          <w:rFonts w:ascii="Times New Roman" w:hAnsi="Times New Roman" w:cs="Times New Roman"/>
          <w:sz w:val="26"/>
          <w:szCs w:val="26"/>
        </w:rPr>
        <w:t xml:space="preserve"> </w:t>
      </w:r>
      <w:r w:rsidRPr="00C950E1">
        <w:rPr>
          <w:rFonts w:ascii="Times New Roman" w:hAnsi="Times New Roman" w:cs="Times New Roman"/>
          <w:sz w:val="26"/>
          <w:szCs w:val="26"/>
        </w:rPr>
        <w:t>&amp; Jones, K. (2019). Fixed and</w:t>
      </w:r>
      <w:r w:rsidR="00443808">
        <w:rPr>
          <w:rFonts w:ascii="Times New Roman" w:hAnsi="Times New Roman" w:cs="Times New Roman"/>
          <w:sz w:val="26"/>
          <w:szCs w:val="26"/>
        </w:rPr>
        <w:t xml:space="preserve"> </w:t>
      </w:r>
      <w:r w:rsidRPr="00C950E1">
        <w:rPr>
          <w:rFonts w:ascii="Times New Roman" w:hAnsi="Times New Roman" w:cs="Times New Roman"/>
          <w:sz w:val="26"/>
          <w:szCs w:val="26"/>
        </w:rPr>
        <w:t xml:space="preserve">random effects models: </w:t>
      </w:r>
      <w:r w:rsidR="00443808">
        <w:rPr>
          <w:rFonts w:ascii="Times New Roman" w:hAnsi="Times New Roman" w:cs="Times New Roman"/>
          <w:sz w:val="26"/>
          <w:szCs w:val="26"/>
        </w:rPr>
        <w:t>M</w:t>
      </w:r>
      <w:r w:rsidRPr="00C950E1">
        <w:rPr>
          <w:rFonts w:ascii="Times New Roman" w:hAnsi="Times New Roman" w:cs="Times New Roman"/>
          <w:sz w:val="26"/>
          <w:szCs w:val="26"/>
        </w:rPr>
        <w:t>aking an</w:t>
      </w:r>
      <w:r w:rsidR="00443808">
        <w:rPr>
          <w:rFonts w:ascii="Times New Roman" w:hAnsi="Times New Roman" w:cs="Times New Roman"/>
          <w:sz w:val="26"/>
          <w:szCs w:val="26"/>
        </w:rPr>
        <w:t xml:space="preserve"> </w:t>
      </w:r>
      <w:r w:rsidRPr="00C950E1">
        <w:rPr>
          <w:rFonts w:ascii="Times New Roman" w:hAnsi="Times New Roman" w:cs="Times New Roman"/>
          <w:sz w:val="26"/>
          <w:szCs w:val="26"/>
        </w:rPr>
        <w:t xml:space="preserve">informed choice. </w:t>
      </w:r>
      <w:hyperlink r:id="rId25" w:history="1">
        <w:r w:rsidRPr="00C950E1">
          <w:rPr>
            <w:rFonts w:ascii="Times New Roman" w:hAnsi="Times New Roman" w:cs="Times New Roman"/>
            <w:i/>
            <w:iCs/>
            <w:sz w:val="26"/>
            <w:szCs w:val="26"/>
          </w:rPr>
          <w:t>Quality &amp; Quantity</w:t>
        </w:r>
      </w:hyperlink>
      <w:r w:rsidRPr="00C950E1">
        <w:rPr>
          <w:rFonts w:ascii="Times New Roman" w:hAnsi="Times New Roman" w:cs="Times New Roman"/>
          <w:i/>
          <w:iCs/>
          <w:sz w:val="26"/>
          <w:szCs w:val="26"/>
        </w:rPr>
        <w:t>,</w:t>
      </w:r>
      <w:r w:rsidR="00443808">
        <w:rPr>
          <w:rFonts w:ascii="Times New Roman" w:hAnsi="Times New Roman" w:cs="Times New Roman"/>
          <w:i/>
          <w:iCs/>
          <w:sz w:val="26"/>
          <w:szCs w:val="26"/>
        </w:rPr>
        <w:t xml:space="preserve"> </w:t>
      </w:r>
      <w:r w:rsidRPr="00C950E1">
        <w:rPr>
          <w:rFonts w:ascii="Times New Roman" w:hAnsi="Times New Roman" w:cs="Times New Roman"/>
          <w:i/>
          <w:iCs/>
          <w:sz w:val="26"/>
          <w:szCs w:val="26"/>
        </w:rPr>
        <w:t>53</w:t>
      </w:r>
      <w:r w:rsidR="00CA1B3C" w:rsidRPr="00C95423">
        <w:rPr>
          <w:rFonts w:ascii="Times New Roman" w:hAnsi="Times New Roman" w:cs="Times New Roman"/>
          <w:iCs/>
          <w:sz w:val="26"/>
          <w:szCs w:val="26"/>
        </w:rPr>
        <w:t>(</w:t>
      </w:r>
      <w:r w:rsidR="00CA1B3C" w:rsidRPr="00C95423">
        <w:rPr>
          <w:rFonts w:ascii="Times New Roman" w:hAnsi="Times New Roman" w:cs="Times New Roman"/>
          <w:iCs/>
          <w:sz w:val="26"/>
          <w:szCs w:val="26"/>
        </w:rPr>
        <w:t>2)</w:t>
      </w:r>
      <w:r w:rsidRPr="00C95423">
        <w:rPr>
          <w:rFonts w:ascii="Times New Roman" w:hAnsi="Times New Roman" w:cs="Times New Roman"/>
          <w:iCs/>
          <w:sz w:val="26"/>
          <w:szCs w:val="26"/>
        </w:rPr>
        <w:t>,</w:t>
      </w:r>
      <w:r w:rsidRPr="00C950E1">
        <w:rPr>
          <w:rFonts w:ascii="Times New Roman" w:hAnsi="Times New Roman" w:cs="Times New Roman"/>
          <w:sz w:val="26"/>
          <w:szCs w:val="26"/>
        </w:rPr>
        <w:t xml:space="preserve"> 1051</w:t>
      </w:r>
      <w:r w:rsidR="00C87DC6">
        <w:rPr>
          <w:rFonts w:ascii="Times New Roman" w:hAnsi="Times New Roman" w:cs="Times New Roman"/>
          <w:sz w:val="26"/>
          <w:szCs w:val="26"/>
        </w:rPr>
        <w:t>-</w:t>
      </w:r>
      <w:r w:rsidRPr="00C950E1">
        <w:rPr>
          <w:rFonts w:ascii="Times New Roman" w:hAnsi="Times New Roman" w:cs="Times New Roman"/>
          <w:sz w:val="26"/>
          <w:szCs w:val="26"/>
        </w:rPr>
        <w:t xml:space="preserve">1074. https://doi.org/10.1007/s1113 5-018-0802-x </w:t>
      </w:r>
    </w:p>
    <w:p w14:paraId="762997EE" w14:textId="37E3BF94" w:rsidR="003C57AC" w:rsidRPr="00C950E1" w:rsidRDefault="003C57AC" w:rsidP="003C57AC">
      <w:pPr>
        <w:snapToGrid w:val="0"/>
        <w:spacing w:after="0" w:line="360" w:lineRule="exact"/>
        <w:ind w:left="630" w:hanging="630"/>
        <w:rPr>
          <w:rFonts w:ascii="Times New Roman" w:hAnsi="Times New Roman" w:cs="Times New Roman"/>
          <w:sz w:val="26"/>
          <w:szCs w:val="26"/>
        </w:rPr>
      </w:pPr>
      <w:r w:rsidRPr="00C950E1">
        <w:rPr>
          <w:rFonts w:ascii="Times New Roman" w:hAnsi="Times New Roman" w:cs="Times New Roman"/>
          <w:sz w:val="26"/>
          <w:szCs w:val="26"/>
        </w:rPr>
        <w:t>Ben-Nas</w:t>
      </w:r>
      <w:r w:rsidR="00CA1B3C">
        <w:rPr>
          <w:rFonts w:ascii="Times New Roman" w:hAnsi="Times New Roman" w:cs="Times New Roman"/>
          <w:sz w:val="26"/>
          <w:szCs w:val="26"/>
        </w:rPr>
        <w:t>e</w:t>
      </w:r>
      <w:r w:rsidRPr="00C950E1">
        <w:rPr>
          <w:rFonts w:ascii="Times New Roman" w:hAnsi="Times New Roman" w:cs="Times New Roman"/>
          <w:sz w:val="26"/>
          <w:szCs w:val="26"/>
        </w:rPr>
        <w:t xml:space="preserve">r, H., </w:t>
      </w:r>
      <w:proofErr w:type="spellStart"/>
      <w:r w:rsidRPr="00C950E1">
        <w:rPr>
          <w:rFonts w:ascii="Times New Roman" w:hAnsi="Times New Roman" w:cs="Times New Roman"/>
          <w:sz w:val="26"/>
          <w:szCs w:val="26"/>
        </w:rPr>
        <w:t>Boubakri</w:t>
      </w:r>
      <w:proofErr w:type="spellEnd"/>
      <w:r w:rsidRPr="00C950E1">
        <w:rPr>
          <w:rFonts w:ascii="Times New Roman" w:hAnsi="Times New Roman" w:cs="Times New Roman"/>
          <w:sz w:val="26"/>
          <w:szCs w:val="26"/>
        </w:rPr>
        <w:t>, N</w:t>
      </w:r>
      <w:r>
        <w:rPr>
          <w:rFonts w:ascii="Times New Roman" w:hAnsi="Times New Roman" w:cs="Times New Roman"/>
          <w:sz w:val="26"/>
          <w:szCs w:val="26"/>
        </w:rPr>
        <w:t>.,</w:t>
      </w:r>
      <w:r w:rsidRPr="00C950E1">
        <w:rPr>
          <w:rFonts w:ascii="Times New Roman" w:hAnsi="Times New Roman" w:cs="Times New Roman"/>
          <w:sz w:val="26"/>
          <w:szCs w:val="26"/>
        </w:rPr>
        <w:t xml:space="preserve"> &amp; Cosset, J</w:t>
      </w:r>
      <w:r>
        <w:rPr>
          <w:rFonts w:ascii="Times New Roman" w:hAnsi="Times New Roman" w:cs="Times New Roman"/>
          <w:sz w:val="26"/>
          <w:szCs w:val="26"/>
        </w:rPr>
        <w:t>.</w:t>
      </w:r>
      <w:r w:rsidRPr="00C950E1">
        <w:rPr>
          <w:rFonts w:ascii="Times New Roman" w:hAnsi="Times New Roman" w:cs="Times New Roman"/>
          <w:sz w:val="26"/>
          <w:szCs w:val="26"/>
        </w:rPr>
        <w:t xml:space="preserve">-C. (2015). Earnings quality in privatized firms: The role of state and foreign owners. </w:t>
      </w:r>
      <w:r w:rsidRPr="00C950E1">
        <w:rPr>
          <w:rFonts w:ascii="Times New Roman" w:hAnsi="Times New Roman" w:cs="Times New Roman"/>
          <w:i/>
          <w:iCs/>
          <w:sz w:val="26"/>
          <w:szCs w:val="26"/>
        </w:rPr>
        <w:t>Journal of Accounting &amp; Public Policy, 34</w:t>
      </w:r>
      <w:r w:rsidRPr="00443808">
        <w:rPr>
          <w:rFonts w:ascii="Times New Roman" w:hAnsi="Times New Roman" w:cs="Times New Roman"/>
          <w:iCs/>
          <w:sz w:val="26"/>
          <w:szCs w:val="26"/>
        </w:rPr>
        <w:t>(4)</w:t>
      </w:r>
      <w:r w:rsidRPr="00C950E1">
        <w:rPr>
          <w:rFonts w:ascii="Times New Roman" w:hAnsi="Times New Roman" w:cs="Times New Roman"/>
          <w:sz w:val="26"/>
          <w:szCs w:val="26"/>
        </w:rPr>
        <w:t>, 392</w:t>
      </w:r>
      <w:r w:rsidR="00C87DC6">
        <w:rPr>
          <w:rFonts w:ascii="Times New Roman" w:hAnsi="Times New Roman" w:cs="Times New Roman"/>
          <w:sz w:val="26"/>
          <w:szCs w:val="26"/>
        </w:rPr>
        <w:t>-</w:t>
      </w:r>
      <w:r w:rsidRPr="00C950E1">
        <w:rPr>
          <w:rFonts w:ascii="Times New Roman" w:hAnsi="Times New Roman" w:cs="Times New Roman"/>
          <w:sz w:val="26"/>
          <w:szCs w:val="26"/>
        </w:rPr>
        <w:t xml:space="preserve">416. https://doi.org/10.1016/j.jaccpubpol.2014.12.003 </w:t>
      </w:r>
    </w:p>
    <w:p w14:paraId="34B684FD" w14:textId="2FE9B76C" w:rsidR="003C57AC" w:rsidRPr="00C950E1" w:rsidRDefault="003C57AC" w:rsidP="003C57AC">
      <w:pPr>
        <w:snapToGrid w:val="0"/>
        <w:spacing w:after="0" w:line="360" w:lineRule="exact"/>
        <w:ind w:left="630" w:hanging="630"/>
        <w:rPr>
          <w:rFonts w:ascii="Times New Roman" w:hAnsi="Times New Roman" w:cs="Times New Roman"/>
          <w:sz w:val="26"/>
          <w:szCs w:val="26"/>
        </w:rPr>
      </w:pPr>
      <w:proofErr w:type="spellStart"/>
      <w:r w:rsidRPr="00C950E1">
        <w:rPr>
          <w:rFonts w:ascii="Times New Roman" w:hAnsi="Times New Roman" w:cs="Times New Roman"/>
          <w:sz w:val="26"/>
          <w:szCs w:val="26"/>
        </w:rPr>
        <w:t>Bissessur</w:t>
      </w:r>
      <w:proofErr w:type="spellEnd"/>
      <w:r w:rsidRPr="00C950E1">
        <w:rPr>
          <w:rFonts w:ascii="Times New Roman" w:hAnsi="Times New Roman" w:cs="Times New Roman"/>
          <w:sz w:val="26"/>
          <w:szCs w:val="26"/>
        </w:rPr>
        <w:t xml:space="preserve">, S. W. (2008). Earnings quality and earnings management: </w:t>
      </w:r>
      <w:r w:rsidR="00443808">
        <w:rPr>
          <w:rFonts w:ascii="Times New Roman" w:hAnsi="Times New Roman" w:cs="Times New Roman"/>
          <w:sz w:val="26"/>
          <w:szCs w:val="26"/>
        </w:rPr>
        <w:t>T</w:t>
      </w:r>
      <w:r w:rsidRPr="00C950E1">
        <w:rPr>
          <w:rFonts w:ascii="Times New Roman" w:hAnsi="Times New Roman" w:cs="Times New Roman"/>
          <w:sz w:val="26"/>
          <w:szCs w:val="26"/>
        </w:rPr>
        <w:t xml:space="preserve">he role of accounting accruals </w:t>
      </w:r>
      <w:r w:rsidR="00A218EE">
        <w:rPr>
          <w:rFonts w:ascii="Times New Roman" w:hAnsi="Times New Roman" w:cs="Times New Roman"/>
          <w:sz w:val="26"/>
          <w:szCs w:val="26"/>
        </w:rPr>
        <w:t>[</w:t>
      </w:r>
      <w:r w:rsidRPr="00C950E1">
        <w:rPr>
          <w:rFonts w:ascii="Times New Roman" w:hAnsi="Times New Roman" w:cs="Times New Roman"/>
          <w:sz w:val="26"/>
          <w:szCs w:val="26"/>
        </w:rPr>
        <w:t>Unpublished doctoral dissertation</w:t>
      </w:r>
      <w:r w:rsidR="00A218EE">
        <w:rPr>
          <w:rFonts w:ascii="Times New Roman" w:hAnsi="Times New Roman" w:cs="Times New Roman"/>
          <w:sz w:val="26"/>
          <w:szCs w:val="26"/>
        </w:rPr>
        <w:t>)</w:t>
      </w:r>
      <w:r w:rsidRPr="00C950E1">
        <w:rPr>
          <w:rFonts w:ascii="Times New Roman" w:hAnsi="Times New Roman" w:cs="Times New Roman"/>
          <w:sz w:val="26"/>
          <w:szCs w:val="26"/>
        </w:rPr>
        <w:t xml:space="preserve">. </w:t>
      </w:r>
      <w:r w:rsidRPr="00C95423">
        <w:rPr>
          <w:rFonts w:ascii="Times New Roman" w:hAnsi="Times New Roman" w:cs="Times New Roman"/>
          <w:sz w:val="26"/>
          <w:szCs w:val="26"/>
        </w:rPr>
        <w:t xml:space="preserve">Amsterdam Business School Research Institute Rotterdam: </w:t>
      </w:r>
      <w:proofErr w:type="spellStart"/>
      <w:r w:rsidRPr="00C95423">
        <w:rPr>
          <w:rFonts w:ascii="Times New Roman" w:hAnsi="Times New Roman" w:cs="Times New Roman"/>
          <w:sz w:val="26"/>
          <w:szCs w:val="26"/>
        </w:rPr>
        <w:t>Thela</w:t>
      </w:r>
      <w:proofErr w:type="spellEnd"/>
      <w:r w:rsidRPr="00C95423">
        <w:rPr>
          <w:rFonts w:ascii="Times New Roman" w:hAnsi="Times New Roman" w:cs="Times New Roman"/>
          <w:sz w:val="26"/>
          <w:szCs w:val="26"/>
        </w:rPr>
        <w:t>, Amsterdam.</w:t>
      </w:r>
      <w:r w:rsidRPr="00C950E1">
        <w:rPr>
          <w:rFonts w:ascii="Times New Roman" w:hAnsi="Times New Roman" w:cs="Times New Roman"/>
          <w:sz w:val="26"/>
          <w:szCs w:val="26"/>
        </w:rPr>
        <w:t xml:space="preserve"> </w:t>
      </w:r>
    </w:p>
    <w:p w14:paraId="5918BDBE" w14:textId="03C81CE8" w:rsidR="003C57AC" w:rsidRPr="00C950E1" w:rsidRDefault="003C57AC" w:rsidP="003C57AC">
      <w:pPr>
        <w:snapToGrid w:val="0"/>
        <w:spacing w:after="0" w:line="360" w:lineRule="exact"/>
        <w:ind w:left="630" w:hanging="630"/>
        <w:rPr>
          <w:rFonts w:ascii="Times New Roman" w:hAnsi="Times New Roman" w:cs="Times New Roman"/>
          <w:sz w:val="26"/>
          <w:szCs w:val="26"/>
        </w:rPr>
      </w:pPr>
      <w:r w:rsidRPr="00C950E1">
        <w:rPr>
          <w:rFonts w:ascii="Times New Roman" w:hAnsi="Times New Roman" w:cs="Times New Roman"/>
          <w:sz w:val="26"/>
          <w:szCs w:val="26"/>
        </w:rPr>
        <w:t xml:space="preserve">Bloomfield, M. J., </w:t>
      </w:r>
      <w:proofErr w:type="spellStart"/>
      <w:r w:rsidRPr="00C950E1">
        <w:rPr>
          <w:rFonts w:ascii="Times New Roman" w:hAnsi="Times New Roman" w:cs="Times New Roman"/>
          <w:sz w:val="26"/>
          <w:szCs w:val="26"/>
        </w:rPr>
        <w:t>Gerakos</w:t>
      </w:r>
      <w:proofErr w:type="spellEnd"/>
      <w:r w:rsidRPr="00C950E1">
        <w:rPr>
          <w:rFonts w:ascii="Times New Roman" w:hAnsi="Times New Roman" w:cs="Times New Roman"/>
          <w:sz w:val="26"/>
          <w:szCs w:val="26"/>
        </w:rPr>
        <w:t>, J</w:t>
      </w:r>
      <w:r>
        <w:rPr>
          <w:rFonts w:ascii="Times New Roman" w:hAnsi="Times New Roman" w:cs="Times New Roman"/>
          <w:sz w:val="26"/>
          <w:szCs w:val="26"/>
        </w:rPr>
        <w:t>.,</w:t>
      </w:r>
      <w:r w:rsidRPr="00C950E1">
        <w:rPr>
          <w:rFonts w:ascii="Times New Roman" w:hAnsi="Times New Roman" w:cs="Times New Roman"/>
          <w:sz w:val="26"/>
          <w:szCs w:val="26"/>
        </w:rPr>
        <w:t xml:space="preserve"> &amp; </w:t>
      </w:r>
      <w:proofErr w:type="spellStart"/>
      <w:r w:rsidRPr="00C950E1">
        <w:rPr>
          <w:rFonts w:ascii="Times New Roman" w:hAnsi="Times New Roman" w:cs="Times New Roman"/>
          <w:sz w:val="26"/>
          <w:szCs w:val="26"/>
        </w:rPr>
        <w:t>Kovrijnykh</w:t>
      </w:r>
      <w:proofErr w:type="spellEnd"/>
      <w:r w:rsidRPr="00C950E1">
        <w:rPr>
          <w:rFonts w:ascii="Times New Roman" w:hAnsi="Times New Roman" w:cs="Times New Roman"/>
          <w:sz w:val="26"/>
          <w:szCs w:val="26"/>
        </w:rPr>
        <w:t>,</w:t>
      </w:r>
      <w:r>
        <w:rPr>
          <w:rFonts w:ascii="Times New Roman" w:hAnsi="Times New Roman" w:cs="Times New Roman"/>
          <w:sz w:val="26"/>
          <w:szCs w:val="26"/>
        </w:rPr>
        <w:t xml:space="preserve"> </w:t>
      </w:r>
      <w:r w:rsidRPr="00C950E1">
        <w:rPr>
          <w:rFonts w:ascii="Times New Roman" w:hAnsi="Times New Roman" w:cs="Times New Roman"/>
          <w:sz w:val="26"/>
          <w:szCs w:val="26"/>
        </w:rPr>
        <w:t>A</w:t>
      </w:r>
      <w:r>
        <w:rPr>
          <w:rFonts w:ascii="Times New Roman" w:hAnsi="Times New Roman" w:cs="Times New Roman"/>
          <w:sz w:val="26"/>
          <w:szCs w:val="26"/>
        </w:rPr>
        <w:t>. (</w:t>
      </w:r>
      <w:r w:rsidR="00CA1B3C">
        <w:rPr>
          <w:rFonts w:ascii="Times New Roman" w:hAnsi="Times New Roman" w:cs="Times New Roman"/>
          <w:sz w:val="26"/>
          <w:szCs w:val="26"/>
        </w:rPr>
        <w:t>2017</w:t>
      </w:r>
      <w:r w:rsidRPr="00C950E1">
        <w:rPr>
          <w:rFonts w:ascii="Times New Roman" w:hAnsi="Times New Roman" w:cs="Times New Roman"/>
          <w:sz w:val="26"/>
          <w:szCs w:val="26"/>
        </w:rPr>
        <w:t xml:space="preserve">). Accrual </w:t>
      </w:r>
      <w:r w:rsidR="009D1EEA" w:rsidRPr="00C950E1">
        <w:rPr>
          <w:rFonts w:ascii="Times New Roman" w:hAnsi="Times New Roman" w:cs="Times New Roman"/>
          <w:sz w:val="26"/>
          <w:szCs w:val="26"/>
        </w:rPr>
        <w:t>reversals and c</w:t>
      </w:r>
      <w:r w:rsidR="00443808" w:rsidRPr="00C950E1">
        <w:rPr>
          <w:rFonts w:ascii="Times New Roman" w:hAnsi="Times New Roman" w:cs="Times New Roman"/>
          <w:sz w:val="26"/>
          <w:szCs w:val="26"/>
        </w:rPr>
        <w:t>ash conversion</w:t>
      </w:r>
      <w:r>
        <w:rPr>
          <w:rFonts w:ascii="Times New Roman" w:hAnsi="Times New Roman" w:cs="Times New Roman"/>
          <w:sz w:val="26"/>
          <w:szCs w:val="26"/>
        </w:rPr>
        <w:t>.</w:t>
      </w:r>
      <w:r w:rsidRPr="00C950E1">
        <w:rPr>
          <w:rFonts w:ascii="Times New Roman" w:hAnsi="Times New Roman" w:cs="Times New Roman"/>
          <w:sz w:val="26"/>
          <w:szCs w:val="26"/>
        </w:rPr>
        <w:t xml:space="preserve"> </w:t>
      </w:r>
      <w:r w:rsidRPr="00C95423">
        <w:rPr>
          <w:rFonts w:ascii="Times New Roman" w:hAnsi="Times New Roman" w:cs="Times New Roman"/>
          <w:i/>
          <w:sz w:val="26"/>
          <w:szCs w:val="26"/>
        </w:rPr>
        <w:t>Chicago Booth Research Paper</w:t>
      </w:r>
      <w:r w:rsidR="00CA1B3C" w:rsidRPr="00C95423">
        <w:rPr>
          <w:rFonts w:ascii="Times New Roman" w:hAnsi="Times New Roman" w:cs="Times New Roman"/>
          <w:sz w:val="26"/>
          <w:szCs w:val="26"/>
        </w:rPr>
        <w:t>,</w:t>
      </w:r>
      <w:r w:rsidRPr="00C95423">
        <w:rPr>
          <w:rFonts w:ascii="Times New Roman" w:hAnsi="Times New Roman" w:cs="Times New Roman"/>
          <w:sz w:val="26"/>
          <w:szCs w:val="26"/>
        </w:rPr>
        <w:t xml:space="preserve"> 14-29</w:t>
      </w:r>
      <w:r w:rsidR="00CA1B3C" w:rsidRPr="00C95423">
        <w:rPr>
          <w:rFonts w:ascii="Times New Roman" w:hAnsi="Times New Roman" w:cs="Times New Roman"/>
          <w:sz w:val="26"/>
          <w:szCs w:val="26"/>
        </w:rPr>
        <w:t>.</w:t>
      </w:r>
      <w:r w:rsidR="00A218EE" w:rsidRPr="00C95423">
        <w:rPr>
          <w:rFonts w:ascii="Times New Roman" w:hAnsi="Times New Roman" w:cs="Times New Roman"/>
          <w:sz w:val="26"/>
          <w:szCs w:val="26"/>
        </w:rPr>
        <w:t xml:space="preserve"> </w:t>
      </w:r>
      <w:hyperlink r:id="rId26" w:history="1">
        <w:r w:rsidR="00A218EE" w:rsidRPr="00094504">
          <w:rPr>
            <w:rStyle w:val="ac"/>
            <w:rFonts w:ascii="Times New Roman" w:hAnsi="Times New Roman" w:cs="Times New Roman"/>
            <w:sz w:val="26"/>
            <w:szCs w:val="26"/>
          </w:rPr>
          <w:t>http://dx.doi.org/10.2139/ssrn.2495610</w:t>
        </w:r>
      </w:hyperlink>
    </w:p>
    <w:p w14:paraId="25340814" w14:textId="02113B3A" w:rsidR="003C57AC" w:rsidRPr="00C950E1" w:rsidRDefault="003C57AC" w:rsidP="003C57AC">
      <w:pPr>
        <w:snapToGrid w:val="0"/>
        <w:spacing w:after="0" w:line="360" w:lineRule="exact"/>
        <w:ind w:left="630" w:hanging="630"/>
        <w:rPr>
          <w:rFonts w:ascii="Times New Roman" w:hAnsi="Times New Roman" w:cs="Times New Roman"/>
          <w:sz w:val="26"/>
          <w:szCs w:val="26"/>
        </w:rPr>
      </w:pPr>
      <w:r w:rsidRPr="00C950E1">
        <w:rPr>
          <w:rFonts w:ascii="Times New Roman" w:hAnsi="Times New Roman" w:cs="Times New Roman"/>
          <w:sz w:val="26"/>
          <w:szCs w:val="26"/>
        </w:rPr>
        <w:t xml:space="preserve">Callao, S., </w:t>
      </w:r>
      <w:proofErr w:type="spellStart"/>
      <w:r w:rsidRPr="00C950E1">
        <w:rPr>
          <w:rFonts w:ascii="Times New Roman" w:hAnsi="Times New Roman" w:cs="Times New Roman"/>
          <w:sz w:val="26"/>
          <w:szCs w:val="26"/>
        </w:rPr>
        <w:t>Cimini</w:t>
      </w:r>
      <w:proofErr w:type="spellEnd"/>
      <w:r w:rsidRPr="00C950E1">
        <w:rPr>
          <w:rFonts w:ascii="Times New Roman" w:hAnsi="Times New Roman" w:cs="Times New Roman"/>
          <w:sz w:val="26"/>
          <w:szCs w:val="26"/>
        </w:rPr>
        <w:t xml:space="preserve">, R., &amp; </w:t>
      </w:r>
      <w:proofErr w:type="spellStart"/>
      <w:r w:rsidRPr="00C950E1">
        <w:rPr>
          <w:rFonts w:ascii="Times New Roman" w:hAnsi="Times New Roman" w:cs="Times New Roman"/>
          <w:sz w:val="26"/>
          <w:szCs w:val="26"/>
        </w:rPr>
        <w:t>Jarne</w:t>
      </w:r>
      <w:proofErr w:type="spellEnd"/>
      <w:r>
        <w:rPr>
          <w:rFonts w:ascii="Times New Roman" w:hAnsi="Times New Roman" w:cs="Times New Roman"/>
          <w:sz w:val="26"/>
          <w:szCs w:val="26"/>
        </w:rPr>
        <w:t>,</w:t>
      </w:r>
      <w:r w:rsidRPr="00C950E1">
        <w:rPr>
          <w:rFonts w:ascii="Times New Roman" w:hAnsi="Times New Roman" w:cs="Times New Roman"/>
          <w:sz w:val="26"/>
          <w:szCs w:val="26"/>
        </w:rPr>
        <w:t xml:space="preserve"> J. I. (2016). Value relevance of </w:t>
      </w:r>
      <w:r w:rsidR="00443808" w:rsidRPr="00C950E1">
        <w:rPr>
          <w:rFonts w:ascii="Times New Roman" w:hAnsi="Times New Roman" w:cs="Times New Roman"/>
          <w:sz w:val="26"/>
          <w:szCs w:val="26"/>
        </w:rPr>
        <w:t>accounting figures in presence of earnings management</w:t>
      </w:r>
      <w:r w:rsidRPr="00C950E1">
        <w:rPr>
          <w:rFonts w:ascii="Times New Roman" w:hAnsi="Times New Roman" w:cs="Times New Roman"/>
          <w:sz w:val="26"/>
          <w:szCs w:val="26"/>
        </w:rPr>
        <w:t xml:space="preserve">. Are </w:t>
      </w:r>
      <w:r w:rsidR="00443808" w:rsidRPr="00C950E1">
        <w:rPr>
          <w:rFonts w:ascii="Times New Roman" w:hAnsi="Times New Roman" w:cs="Times New Roman"/>
          <w:sz w:val="26"/>
          <w:szCs w:val="26"/>
        </w:rPr>
        <w:t xml:space="preserve">enforcement and ownership diffusion </w:t>
      </w:r>
      <w:r w:rsidR="00443808" w:rsidRPr="00C950E1">
        <w:rPr>
          <w:rFonts w:ascii="Times New Roman" w:hAnsi="Times New Roman" w:cs="Times New Roman"/>
          <w:sz w:val="26"/>
          <w:szCs w:val="26"/>
        </w:rPr>
        <w:lastRenderedPageBreak/>
        <w:t>really enough</w:t>
      </w:r>
      <w:r w:rsidRPr="00C950E1">
        <w:rPr>
          <w:rFonts w:ascii="Times New Roman" w:hAnsi="Times New Roman" w:cs="Times New Roman"/>
          <w:sz w:val="26"/>
          <w:szCs w:val="26"/>
        </w:rPr>
        <w:t xml:space="preserve">? </w:t>
      </w:r>
      <w:r w:rsidRPr="00C950E1">
        <w:rPr>
          <w:rFonts w:ascii="Times New Roman" w:hAnsi="Times New Roman" w:cs="Times New Roman"/>
          <w:i/>
          <w:iCs/>
          <w:sz w:val="26"/>
          <w:szCs w:val="26"/>
        </w:rPr>
        <w:t>Jo</w:t>
      </w:r>
      <w:r w:rsidR="00C95423">
        <w:rPr>
          <w:rFonts w:ascii="Times New Roman" w:hAnsi="Times New Roman" w:cs="Times New Roman"/>
          <w:i/>
          <w:iCs/>
          <w:sz w:val="26"/>
          <w:szCs w:val="26"/>
        </w:rPr>
        <w:t>u</w:t>
      </w:r>
      <w:r w:rsidRPr="00C950E1">
        <w:rPr>
          <w:rFonts w:ascii="Times New Roman" w:hAnsi="Times New Roman" w:cs="Times New Roman"/>
          <w:i/>
          <w:iCs/>
          <w:sz w:val="26"/>
          <w:szCs w:val="26"/>
        </w:rPr>
        <w:t>rnal of Business Economics and Management, 17</w:t>
      </w:r>
      <w:r w:rsidRPr="00443808">
        <w:rPr>
          <w:rFonts w:ascii="Times New Roman" w:hAnsi="Times New Roman" w:cs="Times New Roman"/>
          <w:iCs/>
          <w:sz w:val="26"/>
          <w:szCs w:val="26"/>
        </w:rPr>
        <w:t>(6)</w:t>
      </w:r>
      <w:r w:rsidRPr="00C950E1">
        <w:rPr>
          <w:rFonts w:ascii="Times New Roman" w:hAnsi="Times New Roman" w:cs="Times New Roman"/>
          <w:i/>
          <w:iCs/>
          <w:sz w:val="26"/>
          <w:szCs w:val="26"/>
        </w:rPr>
        <w:t>,</w:t>
      </w:r>
      <w:r w:rsidRPr="00C950E1">
        <w:rPr>
          <w:rFonts w:ascii="Times New Roman" w:hAnsi="Times New Roman" w:cs="Times New Roman"/>
          <w:sz w:val="26"/>
          <w:szCs w:val="26"/>
        </w:rPr>
        <w:t xml:space="preserve"> 1286</w:t>
      </w:r>
      <w:r w:rsidR="00C87DC6">
        <w:rPr>
          <w:rFonts w:ascii="Times New Roman" w:hAnsi="Times New Roman" w:cs="Times New Roman"/>
          <w:sz w:val="26"/>
          <w:szCs w:val="26"/>
        </w:rPr>
        <w:t>-</w:t>
      </w:r>
      <w:r w:rsidRPr="00C950E1">
        <w:rPr>
          <w:rFonts w:ascii="Times New Roman" w:hAnsi="Times New Roman" w:cs="Times New Roman"/>
          <w:sz w:val="26"/>
          <w:szCs w:val="26"/>
        </w:rPr>
        <w:t xml:space="preserve">1299. </w:t>
      </w:r>
      <w:r w:rsidR="00D46413">
        <w:rPr>
          <w:rFonts w:ascii="Times New Roman" w:hAnsi="Times New Roman" w:cs="Times New Roman"/>
          <w:sz w:val="26"/>
          <w:szCs w:val="26"/>
        </w:rPr>
        <w:t>https://doi.org/</w:t>
      </w:r>
      <w:r w:rsidRPr="00C950E1">
        <w:rPr>
          <w:rFonts w:ascii="Times New Roman" w:hAnsi="Times New Roman" w:cs="Times New Roman"/>
          <w:sz w:val="26"/>
          <w:szCs w:val="26"/>
        </w:rPr>
        <w:t>10.3846/16111699.2016.1203816</w:t>
      </w:r>
    </w:p>
    <w:p w14:paraId="5826A9E0" w14:textId="1C072C71" w:rsidR="003C57AC" w:rsidRPr="00C95423" w:rsidRDefault="003C57AC" w:rsidP="003C57AC">
      <w:pPr>
        <w:snapToGrid w:val="0"/>
        <w:spacing w:after="0" w:line="360" w:lineRule="exact"/>
        <w:ind w:left="630" w:hanging="630"/>
        <w:rPr>
          <w:rFonts w:ascii="Times New Roman" w:hAnsi="Times New Roman" w:cs="Times New Roman"/>
          <w:sz w:val="26"/>
          <w:szCs w:val="26"/>
        </w:rPr>
      </w:pPr>
      <w:r w:rsidRPr="00C95423">
        <w:rPr>
          <w:rFonts w:ascii="Times New Roman" w:hAnsi="Times New Roman" w:cs="Times New Roman"/>
          <w:sz w:val="26"/>
          <w:szCs w:val="26"/>
        </w:rPr>
        <w:t xml:space="preserve">Chan, K., </w:t>
      </w:r>
      <w:r w:rsidR="00C95423" w:rsidRPr="00C95423">
        <w:rPr>
          <w:rFonts w:ascii="Times New Roman" w:hAnsi="Times New Roman" w:cs="Times New Roman"/>
          <w:sz w:val="26"/>
          <w:szCs w:val="26"/>
        </w:rPr>
        <w:t xml:space="preserve">Chan, L. K., </w:t>
      </w:r>
      <w:proofErr w:type="spellStart"/>
      <w:r w:rsidRPr="00C95423">
        <w:rPr>
          <w:rFonts w:ascii="Times New Roman" w:hAnsi="Times New Roman" w:cs="Times New Roman"/>
          <w:sz w:val="26"/>
          <w:szCs w:val="26"/>
        </w:rPr>
        <w:t>Jegadeesh</w:t>
      </w:r>
      <w:proofErr w:type="spellEnd"/>
      <w:r w:rsidRPr="00C95423">
        <w:rPr>
          <w:rFonts w:ascii="Times New Roman" w:hAnsi="Times New Roman" w:cs="Times New Roman"/>
          <w:sz w:val="26"/>
          <w:szCs w:val="26"/>
        </w:rPr>
        <w:t xml:space="preserve">, N., &amp; </w:t>
      </w:r>
      <w:proofErr w:type="spellStart"/>
      <w:r w:rsidRPr="00C95423">
        <w:rPr>
          <w:rFonts w:ascii="Times New Roman" w:hAnsi="Times New Roman" w:cs="Times New Roman"/>
          <w:sz w:val="26"/>
          <w:szCs w:val="26"/>
        </w:rPr>
        <w:t>Lakonishok</w:t>
      </w:r>
      <w:proofErr w:type="spellEnd"/>
      <w:r w:rsidRPr="00C95423">
        <w:rPr>
          <w:rFonts w:ascii="Times New Roman" w:hAnsi="Times New Roman" w:cs="Times New Roman"/>
          <w:sz w:val="26"/>
          <w:szCs w:val="26"/>
        </w:rPr>
        <w:t xml:space="preserve">, J. (2006). Earnings </w:t>
      </w:r>
      <w:r w:rsidR="00443808" w:rsidRPr="00C95423">
        <w:rPr>
          <w:rFonts w:ascii="Times New Roman" w:hAnsi="Times New Roman" w:cs="Times New Roman"/>
          <w:sz w:val="26"/>
          <w:szCs w:val="26"/>
        </w:rPr>
        <w:t>quality and stock returns</w:t>
      </w:r>
      <w:r w:rsidRPr="00C95423">
        <w:rPr>
          <w:rFonts w:ascii="Times New Roman" w:hAnsi="Times New Roman" w:cs="Times New Roman"/>
          <w:sz w:val="26"/>
          <w:szCs w:val="26"/>
        </w:rPr>
        <w:t xml:space="preserve">. </w:t>
      </w:r>
      <w:r w:rsidR="00C95423" w:rsidRPr="00C95423">
        <w:rPr>
          <w:rFonts w:ascii="Times New Roman" w:hAnsi="Times New Roman" w:cs="Times New Roman"/>
          <w:i/>
          <w:sz w:val="26"/>
          <w:szCs w:val="26"/>
        </w:rPr>
        <w:t>the</w:t>
      </w:r>
      <w:r w:rsidR="00C95423" w:rsidRPr="00C95423">
        <w:rPr>
          <w:rFonts w:ascii="Times New Roman" w:hAnsi="Times New Roman" w:cs="Times New Roman"/>
          <w:sz w:val="26"/>
          <w:szCs w:val="26"/>
        </w:rPr>
        <w:t xml:space="preserve"> </w:t>
      </w:r>
      <w:r w:rsidRPr="00C95423">
        <w:rPr>
          <w:rFonts w:ascii="Times New Roman" w:hAnsi="Times New Roman" w:cs="Times New Roman"/>
          <w:i/>
          <w:iCs/>
          <w:sz w:val="26"/>
          <w:szCs w:val="26"/>
        </w:rPr>
        <w:t>Journal of Business, 79</w:t>
      </w:r>
      <w:r w:rsidRPr="00C95423">
        <w:rPr>
          <w:rFonts w:ascii="Times New Roman" w:hAnsi="Times New Roman" w:cs="Times New Roman"/>
          <w:iCs/>
          <w:sz w:val="26"/>
          <w:szCs w:val="26"/>
        </w:rPr>
        <w:t>(3)</w:t>
      </w:r>
      <w:r w:rsidRPr="00C95423">
        <w:rPr>
          <w:rFonts w:ascii="Times New Roman" w:hAnsi="Times New Roman" w:cs="Times New Roman"/>
          <w:i/>
          <w:iCs/>
          <w:sz w:val="26"/>
          <w:szCs w:val="26"/>
        </w:rPr>
        <w:t>,</w:t>
      </w:r>
      <w:r w:rsidRPr="00C95423">
        <w:rPr>
          <w:rFonts w:ascii="Times New Roman" w:hAnsi="Times New Roman" w:cs="Times New Roman"/>
          <w:sz w:val="26"/>
          <w:szCs w:val="26"/>
        </w:rPr>
        <w:t xml:space="preserve"> 1041-</w:t>
      </w:r>
      <w:r w:rsidR="00C95423" w:rsidRPr="00C95423">
        <w:rPr>
          <w:rFonts w:ascii="Times New Roman" w:eastAsia="新細明體" w:hAnsi="Times New Roman" w:cs="Times New Roman"/>
          <w:sz w:val="26"/>
          <w:szCs w:val="26"/>
          <w:lang w:eastAsia="zh-TW"/>
        </w:rPr>
        <w:t>10</w:t>
      </w:r>
      <w:r w:rsidRPr="00C95423">
        <w:rPr>
          <w:rFonts w:ascii="Times New Roman" w:hAnsi="Times New Roman" w:cs="Times New Roman"/>
          <w:sz w:val="26"/>
          <w:szCs w:val="26"/>
        </w:rPr>
        <w:t>82.</w:t>
      </w:r>
      <w:r w:rsidR="00C95423" w:rsidRPr="00C95423">
        <w:rPr>
          <w:rFonts w:ascii="Times New Roman" w:eastAsia="新細明體" w:hAnsi="Times New Roman" w:cs="Times New Roman"/>
          <w:sz w:val="26"/>
          <w:szCs w:val="26"/>
          <w:lang w:eastAsia="zh-TW"/>
        </w:rPr>
        <w:t xml:space="preserve"> https://doi.org/10.1086/500669</w:t>
      </w:r>
    </w:p>
    <w:p w14:paraId="5E4FE292" w14:textId="2D724408" w:rsidR="003C57AC" w:rsidRPr="00C950E1" w:rsidRDefault="003C57AC" w:rsidP="003C57AC">
      <w:pPr>
        <w:snapToGrid w:val="0"/>
        <w:spacing w:after="0" w:line="360" w:lineRule="exact"/>
        <w:ind w:left="630" w:hanging="630"/>
        <w:rPr>
          <w:rFonts w:ascii="Times New Roman" w:hAnsi="Times New Roman" w:cs="Times New Roman"/>
          <w:sz w:val="26"/>
          <w:szCs w:val="26"/>
        </w:rPr>
      </w:pPr>
      <w:proofErr w:type="spellStart"/>
      <w:r w:rsidRPr="00C950E1">
        <w:rPr>
          <w:rFonts w:ascii="Times New Roman" w:hAnsi="Times New Roman" w:cs="Times New Roman"/>
          <w:sz w:val="26"/>
          <w:szCs w:val="26"/>
        </w:rPr>
        <w:t>Chandrapala</w:t>
      </w:r>
      <w:proofErr w:type="spellEnd"/>
      <w:r w:rsidRPr="00C950E1">
        <w:rPr>
          <w:rFonts w:ascii="Times New Roman" w:hAnsi="Times New Roman" w:cs="Times New Roman"/>
          <w:sz w:val="26"/>
          <w:szCs w:val="26"/>
        </w:rPr>
        <w:t>, P.</w:t>
      </w:r>
      <w:r>
        <w:rPr>
          <w:rFonts w:ascii="Times New Roman" w:hAnsi="Times New Roman" w:cs="Times New Roman"/>
          <w:sz w:val="26"/>
          <w:szCs w:val="26"/>
        </w:rPr>
        <w:t>,</w:t>
      </w:r>
      <w:r w:rsidRPr="00C950E1">
        <w:rPr>
          <w:rFonts w:ascii="Times New Roman" w:hAnsi="Times New Roman" w:cs="Times New Roman"/>
          <w:sz w:val="26"/>
          <w:szCs w:val="26"/>
        </w:rPr>
        <w:t xml:space="preserve"> (2013). The </w:t>
      </w:r>
      <w:r w:rsidR="00443808" w:rsidRPr="00C950E1">
        <w:rPr>
          <w:rFonts w:ascii="Times New Roman" w:hAnsi="Times New Roman" w:cs="Times New Roman"/>
          <w:sz w:val="26"/>
          <w:szCs w:val="26"/>
        </w:rPr>
        <w:t>value relevance of earnings and book value</w:t>
      </w:r>
      <w:r w:rsidRPr="00C950E1">
        <w:rPr>
          <w:rFonts w:ascii="Times New Roman" w:hAnsi="Times New Roman" w:cs="Times New Roman"/>
          <w:sz w:val="26"/>
          <w:szCs w:val="26"/>
        </w:rPr>
        <w:t xml:space="preserve">: The </w:t>
      </w:r>
      <w:r w:rsidR="00443808" w:rsidRPr="00C950E1">
        <w:rPr>
          <w:rFonts w:ascii="Times New Roman" w:hAnsi="Times New Roman" w:cs="Times New Roman"/>
          <w:sz w:val="26"/>
          <w:szCs w:val="26"/>
        </w:rPr>
        <w:t>importance of ownership concentration and firm size</w:t>
      </w:r>
      <w:r w:rsidRPr="00C950E1">
        <w:rPr>
          <w:rFonts w:ascii="Times New Roman" w:hAnsi="Times New Roman" w:cs="Times New Roman"/>
          <w:sz w:val="26"/>
          <w:szCs w:val="26"/>
        </w:rPr>
        <w:t xml:space="preserve">. </w:t>
      </w:r>
      <w:r w:rsidRPr="00C950E1">
        <w:rPr>
          <w:rFonts w:ascii="Times New Roman" w:hAnsi="Times New Roman" w:cs="Times New Roman"/>
          <w:i/>
          <w:iCs/>
          <w:sz w:val="26"/>
          <w:szCs w:val="26"/>
        </w:rPr>
        <w:t>Journal of Competitiveness, 5</w:t>
      </w:r>
      <w:r w:rsidRPr="00443808">
        <w:rPr>
          <w:rFonts w:ascii="Times New Roman" w:hAnsi="Times New Roman" w:cs="Times New Roman"/>
          <w:iCs/>
          <w:sz w:val="26"/>
          <w:szCs w:val="26"/>
        </w:rPr>
        <w:t>(2)</w:t>
      </w:r>
      <w:r w:rsidRPr="00C950E1">
        <w:rPr>
          <w:rFonts w:ascii="Times New Roman" w:hAnsi="Times New Roman" w:cs="Times New Roman"/>
          <w:i/>
          <w:iCs/>
          <w:sz w:val="26"/>
          <w:szCs w:val="26"/>
        </w:rPr>
        <w:t>,</w:t>
      </w:r>
      <w:r w:rsidRPr="00C950E1">
        <w:rPr>
          <w:rFonts w:ascii="Times New Roman" w:hAnsi="Times New Roman" w:cs="Times New Roman"/>
          <w:sz w:val="26"/>
          <w:szCs w:val="26"/>
        </w:rPr>
        <w:t xml:space="preserve"> 98-107</w:t>
      </w:r>
      <w:r w:rsidR="009D1EEA">
        <w:rPr>
          <w:rFonts w:ascii="Times New Roman" w:hAnsi="Times New Roman" w:cs="Times New Roman"/>
          <w:sz w:val="26"/>
          <w:szCs w:val="26"/>
        </w:rPr>
        <w:t>.</w:t>
      </w:r>
      <w:r w:rsidRPr="00C950E1">
        <w:rPr>
          <w:rFonts w:ascii="Times New Roman" w:hAnsi="Times New Roman" w:cs="Times New Roman"/>
          <w:sz w:val="26"/>
          <w:szCs w:val="26"/>
        </w:rPr>
        <w:t xml:space="preserve"> </w:t>
      </w:r>
      <w:r w:rsidR="00664F3A" w:rsidRPr="00664F3A">
        <w:rPr>
          <w:rFonts w:ascii="Times New Roman" w:hAnsi="Times New Roman" w:cs="Times New Roman"/>
          <w:sz w:val="26"/>
          <w:szCs w:val="26"/>
        </w:rPr>
        <w:t>https://doi.org/10.7441/joc.2013.02.07</w:t>
      </w:r>
    </w:p>
    <w:p w14:paraId="39B3DFF8" w14:textId="49790DC5" w:rsidR="003C57AC" w:rsidRPr="00C950E1" w:rsidRDefault="003C57AC" w:rsidP="003C57AC">
      <w:pPr>
        <w:snapToGrid w:val="0"/>
        <w:spacing w:after="0" w:line="360" w:lineRule="exact"/>
        <w:ind w:left="630" w:hanging="630"/>
        <w:rPr>
          <w:rFonts w:ascii="Times New Roman" w:hAnsi="Times New Roman" w:cs="Times New Roman"/>
          <w:sz w:val="26"/>
          <w:szCs w:val="26"/>
        </w:rPr>
      </w:pPr>
      <w:r w:rsidRPr="00C950E1">
        <w:rPr>
          <w:rFonts w:ascii="Times New Roman" w:hAnsi="Times New Roman" w:cs="Times New Roman"/>
          <w:sz w:val="26"/>
          <w:szCs w:val="26"/>
        </w:rPr>
        <w:t>Cheng</w:t>
      </w:r>
      <w:r>
        <w:rPr>
          <w:rFonts w:ascii="Times New Roman" w:hAnsi="Times New Roman" w:cs="Times New Roman"/>
          <w:sz w:val="26"/>
          <w:szCs w:val="26"/>
        </w:rPr>
        <w:t>,</w:t>
      </w:r>
      <w:r w:rsidRPr="00C950E1">
        <w:rPr>
          <w:rFonts w:ascii="Times New Roman" w:hAnsi="Times New Roman" w:cs="Times New Roman"/>
          <w:sz w:val="26"/>
          <w:szCs w:val="26"/>
        </w:rPr>
        <w:t xml:space="preserve"> C. S. A</w:t>
      </w:r>
      <w:r>
        <w:rPr>
          <w:rFonts w:ascii="Times New Roman" w:hAnsi="Times New Roman" w:cs="Times New Roman"/>
          <w:sz w:val="26"/>
          <w:szCs w:val="26"/>
        </w:rPr>
        <w:t>.,</w:t>
      </w:r>
      <w:r w:rsidRPr="00C950E1">
        <w:rPr>
          <w:rFonts w:ascii="Times New Roman" w:hAnsi="Times New Roman" w:cs="Times New Roman"/>
          <w:sz w:val="26"/>
          <w:szCs w:val="26"/>
        </w:rPr>
        <w:t xml:space="preserve"> &amp; Li, S. (2014). Does </w:t>
      </w:r>
      <w:r w:rsidR="009D1EEA" w:rsidRPr="00C950E1">
        <w:rPr>
          <w:rFonts w:ascii="Times New Roman" w:hAnsi="Times New Roman" w:cs="Times New Roman"/>
          <w:sz w:val="26"/>
          <w:szCs w:val="26"/>
        </w:rPr>
        <w:t>income</w:t>
      </w:r>
      <w:r w:rsidR="00443808" w:rsidRPr="00C950E1">
        <w:rPr>
          <w:rFonts w:ascii="Times New Roman" w:hAnsi="Times New Roman" w:cs="Times New Roman"/>
          <w:sz w:val="26"/>
          <w:szCs w:val="26"/>
        </w:rPr>
        <w:t xml:space="preserve"> smoothing improve earnings informativeness</w:t>
      </w:r>
      <w:r w:rsidRPr="00C950E1">
        <w:rPr>
          <w:rFonts w:ascii="Times New Roman" w:hAnsi="Times New Roman" w:cs="Times New Roman"/>
          <w:sz w:val="26"/>
          <w:szCs w:val="26"/>
        </w:rPr>
        <w:t>? – A</w:t>
      </w:r>
      <w:r w:rsidR="00443808" w:rsidRPr="00C950E1">
        <w:rPr>
          <w:rFonts w:ascii="Times New Roman" w:hAnsi="Times New Roman" w:cs="Times New Roman"/>
          <w:sz w:val="26"/>
          <w:szCs w:val="26"/>
        </w:rPr>
        <w:t xml:space="preserve"> comparison betwee</w:t>
      </w:r>
      <w:r w:rsidRPr="00C950E1">
        <w:rPr>
          <w:rFonts w:ascii="Times New Roman" w:hAnsi="Times New Roman" w:cs="Times New Roman"/>
          <w:sz w:val="26"/>
          <w:szCs w:val="26"/>
        </w:rPr>
        <w:t xml:space="preserve">n the US and China </w:t>
      </w:r>
      <w:r w:rsidR="00443808">
        <w:rPr>
          <w:rFonts w:ascii="Times New Roman" w:hAnsi="Times New Roman" w:cs="Times New Roman"/>
          <w:sz w:val="26"/>
          <w:szCs w:val="26"/>
        </w:rPr>
        <w:t>m</w:t>
      </w:r>
      <w:r w:rsidRPr="00C950E1">
        <w:rPr>
          <w:rFonts w:ascii="Times New Roman" w:hAnsi="Times New Roman" w:cs="Times New Roman"/>
          <w:sz w:val="26"/>
          <w:szCs w:val="26"/>
        </w:rPr>
        <w:t xml:space="preserve">arkets. </w:t>
      </w:r>
      <w:r w:rsidRPr="00C950E1">
        <w:rPr>
          <w:rFonts w:ascii="Times New Roman" w:hAnsi="Times New Roman" w:cs="Times New Roman"/>
          <w:i/>
          <w:iCs/>
          <w:sz w:val="26"/>
          <w:szCs w:val="26"/>
        </w:rPr>
        <w:t>China Accounting and Finance Review, 16</w:t>
      </w:r>
      <w:r w:rsidRPr="00443808">
        <w:rPr>
          <w:rFonts w:ascii="Times New Roman" w:hAnsi="Times New Roman" w:cs="Times New Roman"/>
          <w:iCs/>
          <w:sz w:val="26"/>
          <w:szCs w:val="26"/>
        </w:rPr>
        <w:t>(2)</w:t>
      </w:r>
      <w:r w:rsidRPr="00C950E1">
        <w:rPr>
          <w:rFonts w:ascii="Times New Roman" w:hAnsi="Times New Roman" w:cs="Times New Roman"/>
          <w:i/>
          <w:iCs/>
          <w:sz w:val="26"/>
          <w:szCs w:val="26"/>
        </w:rPr>
        <w:t>,</w:t>
      </w:r>
      <w:r w:rsidRPr="00C950E1">
        <w:rPr>
          <w:rFonts w:ascii="Times New Roman" w:hAnsi="Times New Roman" w:cs="Times New Roman"/>
          <w:sz w:val="26"/>
          <w:szCs w:val="26"/>
        </w:rPr>
        <w:t xml:space="preserve"> 128-147. </w:t>
      </w:r>
      <w:r w:rsidR="00D46413" w:rsidRPr="00D46413">
        <w:rPr>
          <w:rFonts w:ascii="Times New Roman" w:hAnsi="Times New Roman" w:cs="Times New Roman"/>
          <w:sz w:val="26"/>
          <w:szCs w:val="26"/>
        </w:rPr>
        <w:t>https://doi.org/10.7603/s40570-014-0010-6</w:t>
      </w:r>
    </w:p>
    <w:p w14:paraId="44A3FA45" w14:textId="044DAA52" w:rsidR="003C57AC" w:rsidRPr="00C950E1" w:rsidRDefault="003C57AC" w:rsidP="003C57AC">
      <w:pPr>
        <w:snapToGrid w:val="0"/>
        <w:spacing w:after="0" w:line="360" w:lineRule="exact"/>
        <w:ind w:left="630" w:hanging="630"/>
        <w:rPr>
          <w:rFonts w:ascii="Times New Roman" w:hAnsi="Times New Roman" w:cs="Times New Roman"/>
          <w:sz w:val="26"/>
          <w:szCs w:val="26"/>
        </w:rPr>
      </w:pPr>
      <w:r w:rsidRPr="00C950E1">
        <w:rPr>
          <w:rFonts w:ascii="Times New Roman" w:hAnsi="Times New Roman" w:cs="Times New Roman"/>
          <w:sz w:val="26"/>
          <w:szCs w:val="26"/>
        </w:rPr>
        <w:t>Choi, J. J., Lam, K. C. K., Sami, H</w:t>
      </w:r>
      <w:r>
        <w:rPr>
          <w:rFonts w:ascii="Times New Roman" w:hAnsi="Times New Roman" w:cs="Times New Roman"/>
          <w:sz w:val="26"/>
          <w:szCs w:val="26"/>
        </w:rPr>
        <w:t>.,</w:t>
      </w:r>
      <w:r w:rsidRPr="00C950E1">
        <w:rPr>
          <w:rFonts w:ascii="Times New Roman" w:hAnsi="Times New Roman" w:cs="Times New Roman"/>
          <w:sz w:val="26"/>
          <w:szCs w:val="26"/>
        </w:rPr>
        <w:t xml:space="preserve"> &amp; Zhou, H.</w:t>
      </w:r>
      <w:r>
        <w:rPr>
          <w:rFonts w:ascii="Times New Roman" w:hAnsi="Times New Roman" w:cs="Times New Roman"/>
          <w:sz w:val="26"/>
          <w:szCs w:val="26"/>
        </w:rPr>
        <w:t xml:space="preserve"> </w:t>
      </w:r>
      <w:r w:rsidRPr="00C950E1">
        <w:rPr>
          <w:rFonts w:ascii="Times New Roman" w:hAnsi="Times New Roman" w:cs="Times New Roman"/>
          <w:sz w:val="26"/>
          <w:szCs w:val="26"/>
        </w:rPr>
        <w:t xml:space="preserve">(2013). Foreign </w:t>
      </w:r>
      <w:r w:rsidR="00443808" w:rsidRPr="00C950E1">
        <w:rPr>
          <w:rFonts w:ascii="Times New Roman" w:hAnsi="Times New Roman" w:cs="Times New Roman"/>
          <w:sz w:val="26"/>
          <w:szCs w:val="26"/>
        </w:rPr>
        <w:t>ownership and information asymmetry</w:t>
      </w:r>
      <w:r w:rsidRPr="00C950E1">
        <w:rPr>
          <w:rFonts w:ascii="Times New Roman" w:hAnsi="Times New Roman" w:cs="Times New Roman"/>
          <w:sz w:val="26"/>
          <w:szCs w:val="26"/>
        </w:rPr>
        <w:t xml:space="preserve">. </w:t>
      </w:r>
      <w:r w:rsidRPr="00C950E1">
        <w:rPr>
          <w:rFonts w:ascii="Times New Roman" w:hAnsi="Times New Roman" w:cs="Times New Roman"/>
          <w:i/>
          <w:iCs/>
          <w:sz w:val="26"/>
          <w:szCs w:val="26"/>
        </w:rPr>
        <w:t>Asia-Pacific Journal of Financial Studies, 42</w:t>
      </w:r>
      <w:r w:rsidR="00C87DC6" w:rsidRPr="00C95423">
        <w:rPr>
          <w:rFonts w:ascii="Times New Roman" w:hAnsi="Times New Roman" w:cs="Times New Roman"/>
          <w:iCs/>
          <w:sz w:val="26"/>
          <w:szCs w:val="26"/>
        </w:rPr>
        <w:t>(2)</w:t>
      </w:r>
      <w:r w:rsidRPr="00C950E1">
        <w:rPr>
          <w:rFonts w:ascii="Times New Roman" w:hAnsi="Times New Roman" w:cs="Times New Roman"/>
          <w:i/>
          <w:iCs/>
          <w:sz w:val="26"/>
          <w:szCs w:val="26"/>
        </w:rPr>
        <w:t>,</w:t>
      </w:r>
      <w:r w:rsidRPr="00C950E1">
        <w:rPr>
          <w:rFonts w:ascii="Times New Roman" w:hAnsi="Times New Roman" w:cs="Times New Roman"/>
          <w:sz w:val="26"/>
          <w:szCs w:val="26"/>
        </w:rPr>
        <w:t xml:space="preserve"> 141</w:t>
      </w:r>
      <w:r w:rsidR="00C87DC6">
        <w:rPr>
          <w:rFonts w:ascii="Times New Roman" w:hAnsi="Times New Roman" w:cs="Times New Roman"/>
          <w:sz w:val="26"/>
          <w:szCs w:val="26"/>
        </w:rPr>
        <w:t>-</w:t>
      </w:r>
      <w:r w:rsidRPr="00C950E1">
        <w:rPr>
          <w:rFonts w:ascii="Times New Roman" w:hAnsi="Times New Roman" w:cs="Times New Roman"/>
          <w:sz w:val="26"/>
          <w:szCs w:val="26"/>
        </w:rPr>
        <w:t xml:space="preserve">166. </w:t>
      </w:r>
      <w:r w:rsidR="00D46413" w:rsidRPr="00C95423">
        <w:rPr>
          <w:rFonts w:ascii="Times New Roman" w:hAnsi="Times New Roman" w:cs="Times New Roman"/>
          <w:sz w:val="26"/>
          <w:szCs w:val="26"/>
        </w:rPr>
        <w:t>https://doi.org/</w:t>
      </w:r>
      <w:r w:rsidRPr="00C95423">
        <w:rPr>
          <w:rFonts w:ascii="Times New Roman" w:hAnsi="Times New Roman" w:cs="Times New Roman"/>
          <w:sz w:val="26"/>
          <w:szCs w:val="26"/>
        </w:rPr>
        <w:t>10.1111/ajfs.12010</w:t>
      </w:r>
    </w:p>
    <w:p w14:paraId="61C5065A" w14:textId="77777777" w:rsidR="003C57AC" w:rsidRPr="00C950E1" w:rsidRDefault="003C57AC" w:rsidP="003C57AC">
      <w:pPr>
        <w:snapToGrid w:val="0"/>
        <w:spacing w:after="0" w:line="360" w:lineRule="exact"/>
        <w:ind w:left="630" w:hanging="630"/>
        <w:rPr>
          <w:rFonts w:ascii="Times New Roman" w:hAnsi="Times New Roman" w:cs="Times New Roman"/>
          <w:sz w:val="26"/>
          <w:szCs w:val="26"/>
        </w:rPr>
      </w:pPr>
      <w:proofErr w:type="spellStart"/>
      <w:r w:rsidRPr="00C950E1">
        <w:rPr>
          <w:rFonts w:ascii="Times New Roman" w:hAnsi="Times New Roman" w:cs="Times New Roman"/>
          <w:sz w:val="26"/>
          <w:szCs w:val="26"/>
        </w:rPr>
        <w:t>Dechow</w:t>
      </w:r>
      <w:proofErr w:type="spellEnd"/>
      <w:r w:rsidRPr="00C950E1">
        <w:rPr>
          <w:rFonts w:ascii="Times New Roman" w:hAnsi="Times New Roman" w:cs="Times New Roman"/>
          <w:sz w:val="26"/>
          <w:szCs w:val="26"/>
        </w:rPr>
        <w:t>, P.</w:t>
      </w:r>
      <w:r>
        <w:rPr>
          <w:rFonts w:ascii="Times New Roman" w:hAnsi="Times New Roman" w:cs="Times New Roman"/>
          <w:sz w:val="26"/>
          <w:szCs w:val="26"/>
        </w:rPr>
        <w:t xml:space="preserve"> </w:t>
      </w:r>
      <w:r w:rsidRPr="00C950E1">
        <w:rPr>
          <w:rFonts w:ascii="Times New Roman" w:hAnsi="Times New Roman" w:cs="Times New Roman"/>
          <w:sz w:val="26"/>
          <w:szCs w:val="26"/>
        </w:rPr>
        <w:t>M</w:t>
      </w:r>
      <w:r>
        <w:rPr>
          <w:rFonts w:ascii="Times New Roman" w:hAnsi="Times New Roman" w:cs="Times New Roman"/>
          <w:sz w:val="26"/>
          <w:szCs w:val="26"/>
        </w:rPr>
        <w:t>.,</w:t>
      </w:r>
      <w:r w:rsidRPr="00C950E1">
        <w:rPr>
          <w:rFonts w:ascii="Times New Roman" w:hAnsi="Times New Roman" w:cs="Times New Roman"/>
          <w:sz w:val="26"/>
          <w:szCs w:val="26"/>
        </w:rPr>
        <w:t xml:space="preserve"> &amp; </w:t>
      </w:r>
      <w:proofErr w:type="spellStart"/>
      <w:r w:rsidRPr="00C950E1">
        <w:rPr>
          <w:rFonts w:ascii="Times New Roman" w:hAnsi="Times New Roman" w:cs="Times New Roman"/>
          <w:sz w:val="26"/>
          <w:szCs w:val="26"/>
        </w:rPr>
        <w:t>Dichev</w:t>
      </w:r>
      <w:proofErr w:type="spellEnd"/>
      <w:r w:rsidRPr="00C950E1">
        <w:rPr>
          <w:rFonts w:ascii="Times New Roman" w:hAnsi="Times New Roman" w:cs="Times New Roman"/>
          <w:sz w:val="26"/>
          <w:szCs w:val="26"/>
        </w:rPr>
        <w:t>, I.</w:t>
      </w:r>
      <w:r>
        <w:rPr>
          <w:rFonts w:ascii="Times New Roman" w:hAnsi="Times New Roman" w:cs="Times New Roman"/>
          <w:sz w:val="26"/>
          <w:szCs w:val="26"/>
        </w:rPr>
        <w:t xml:space="preserve"> </w:t>
      </w:r>
      <w:r w:rsidRPr="00C950E1">
        <w:rPr>
          <w:rFonts w:ascii="Times New Roman" w:hAnsi="Times New Roman" w:cs="Times New Roman"/>
          <w:sz w:val="26"/>
          <w:szCs w:val="26"/>
        </w:rPr>
        <w:t xml:space="preserve">D. (2002). The quality of accruals and earnings: The role of accrual estimation errors. </w:t>
      </w:r>
      <w:r w:rsidRPr="00C950E1">
        <w:rPr>
          <w:rFonts w:ascii="Times New Roman" w:hAnsi="Times New Roman" w:cs="Times New Roman"/>
          <w:i/>
          <w:iCs/>
          <w:sz w:val="26"/>
          <w:szCs w:val="26"/>
        </w:rPr>
        <w:t>The Accounting Review, 77</w:t>
      </w:r>
      <w:r w:rsidRPr="00443808">
        <w:rPr>
          <w:rFonts w:ascii="Times New Roman" w:hAnsi="Times New Roman" w:cs="Times New Roman"/>
          <w:iCs/>
          <w:sz w:val="26"/>
          <w:szCs w:val="26"/>
        </w:rPr>
        <w:t>(S-1)</w:t>
      </w:r>
      <w:r w:rsidRPr="00C950E1">
        <w:rPr>
          <w:rFonts w:ascii="Times New Roman" w:hAnsi="Times New Roman" w:cs="Times New Roman"/>
          <w:i/>
          <w:iCs/>
          <w:sz w:val="26"/>
          <w:szCs w:val="26"/>
        </w:rPr>
        <w:t>,</w:t>
      </w:r>
      <w:r w:rsidRPr="00C950E1">
        <w:rPr>
          <w:rFonts w:ascii="Times New Roman" w:hAnsi="Times New Roman" w:cs="Times New Roman"/>
          <w:sz w:val="26"/>
          <w:szCs w:val="26"/>
        </w:rPr>
        <w:t xml:space="preserve"> 35-59. </w:t>
      </w:r>
      <w:hyperlink r:id="rId27" w:history="1">
        <w:r w:rsidRPr="00C950E1">
          <w:rPr>
            <w:rFonts w:ascii="Times New Roman" w:hAnsi="Times New Roman" w:cs="Times New Roman"/>
            <w:sz w:val="26"/>
            <w:szCs w:val="26"/>
          </w:rPr>
          <w:t>https://doi.org/10.2308/accr.2002.77.s-1.35</w:t>
        </w:r>
      </w:hyperlink>
      <w:r w:rsidRPr="00C950E1">
        <w:rPr>
          <w:rFonts w:ascii="Times New Roman" w:hAnsi="Times New Roman" w:cs="Times New Roman"/>
          <w:sz w:val="26"/>
          <w:szCs w:val="26"/>
        </w:rPr>
        <w:t xml:space="preserve">. </w:t>
      </w:r>
    </w:p>
    <w:p w14:paraId="5E918A01" w14:textId="328BBFB7" w:rsidR="003C57AC" w:rsidRPr="00C950E1" w:rsidRDefault="003C57AC" w:rsidP="003C57AC">
      <w:pPr>
        <w:snapToGrid w:val="0"/>
        <w:spacing w:after="0" w:line="360" w:lineRule="exact"/>
        <w:ind w:left="630" w:hanging="630"/>
        <w:rPr>
          <w:rFonts w:ascii="Times New Roman" w:hAnsi="Times New Roman" w:cs="Times New Roman"/>
          <w:sz w:val="26"/>
          <w:szCs w:val="26"/>
        </w:rPr>
      </w:pPr>
      <w:proofErr w:type="spellStart"/>
      <w:r w:rsidRPr="00C950E1">
        <w:rPr>
          <w:rFonts w:ascii="Times New Roman" w:hAnsi="Times New Roman" w:cs="Times New Roman"/>
          <w:sz w:val="26"/>
          <w:szCs w:val="26"/>
        </w:rPr>
        <w:t>Dechow</w:t>
      </w:r>
      <w:proofErr w:type="spellEnd"/>
      <w:r>
        <w:rPr>
          <w:rFonts w:ascii="Times New Roman" w:hAnsi="Times New Roman" w:cs="Times New Roman"/>
          <w:sz w:val="26"/>
          <w:szCs w:val="26"/>
        </w:rPr>
        <w:t>,</w:t>
      </w:r>
      <w:r w:rsidRPr="00C950E1">
        <w:rPr>
          <w:rFonts w:ascii="Times New Roman" w:hAnsi="Times New Roman" w:cs="Times New Roman"/>
          <w:sz w:val="26"/>
          <w:szCs w:val="26"/>
        </w:rPr>
        <w:t xml:space="preserve"> P., Ge</w:t>
      </w:r>
      <w:r>
        <w:rPr>
          <w:rFonts w:ascii="Times New Roman" w:hAnsi="Times New Roman" w:cs="Times New Roman"/>
          <w:sz w:val="26"/>
          <w:szCs w:val="26"/>
        </w:rPr>
        <w:t>,</w:t>
      </w:r>
      <w:r w:rsidRPr="00C950E1">
        <w:rPr>
          <w:rFonts w:ascii="Times New Roman" w:hAnsi="Times New Roman" w:cs="Times New Roman"/>
          <w:sz w:val="26"/>
          <w:szCs w:val="26"/>
        </w:rPr>
        <w:t xml:space="preserve"> W</w:t>
      </w:r>
      <w:r>
        <w:rPr>
          <w:rFonts w:ascii="Times New Roman" w:hAnsi="Times New Roman" w:cs="Times New Roman"/>
          <w:sz w:val="26"/>
          <w:szCs w:val="26"/>
        </w:rPr>
        <w:t>.,</w:t>
      </w:r>
      <w:r w:rsidRPr="00C950E1">
        <w:rPr>
          <w:rFonts w:ascii="Times New Roman" w:hAnsi="Times New Roman" w:cs="Times New Roman"/>
          <w:sz w:val="26"/>
          <w:szCs w:val="26"/>
        </w:rPr>
        <w:t xml:space="preserve"> &amp; </w:t>
      </w:r>
      <w:proofErr w:type="spellStart"/>
      <w:r w:rsidRPr="00C950E1">
        <w:rPr>
          <w:rFonts w:ascii="Times New Roman" w:hAnsi="Times New Roman" w:cs="Times New Roman"/>
          <w:sz w:val="26"/>
          <w:szCs w:val="26"/>
        </w:rPr>
        <w:t>Schrand</w:t>
      </w:r>
      <w:proofErr w:type="spellEnd"/>
      <w:r>
        <w:rPr>
          <w:rFonts w:ascii="Times New Roman" w:hAnsi="Times New Roman" w:cs="Times New Roman"/>
          <w:sz w:val="26"/>
          <w:szCs w:val="26"/>
        </w:rPr>
        <w:t>,</w:t>
      </w:r>
      <w:r w:rsidRPr="00C950E1">
        <w:rPr>
          <w:rFonts w:ascii="Times New Roman" w:hAnsi="Times New Roman" w:cs="Times New Roman"/>
          <w:sz w:val="26"/>
          <w:szCs w:val="26"/>
        </w:rPr>
        <w:t xml:space="preserve"> C. (2010). Understanding earnings quality: A review of the proxies, their determinants and their consequences. </w:t>
      </w:r>
      <w:r w:rsidRPr="00C950E1">
        <w:rPr>
          <w:rFonts w:ascii="Times New Roman" w:hAnsi="Times New Roman" w:cs="Times New Roman"/>
          <w:i/>
          <w:iCs/>
          <w:sz w:val="26"/>
          <w:szCs w:val="26"/>
        </w:rPr>
        <w:t xml:space="preserve">Journal of Accounting and Economics, 50, </w:t>
      </w:r>
      <w:r w:rsidRPr="00C950E1">
        <w:rPr>
          <w:rFonts w:ascii="Times New Roman" w:hAnsi="Times New Roman" w:cs="Times New Roman"/>
          <w:sz w:val="26"/>
          <w:szCs w:val="26"/>
        </w:rPr>
        <w:t>344</w:t>
      </w:r>
      <w:r w:rsidR="00C87DC6">
        <w:rPr>
          <w:rFonts w:ascii="Times New Roman" w:hAnsi="Times New Roman" w:cs="Times New Roman"/>
          <w:sz w:val="26"/>
          <w:szCs w:val="26"/>
        </w:rPr>
        <w:t>-</w:t>
      </w:r>
      <w:r w:rsidRPr="00C950E1">
        <w:rPr>
          <w:rFonts w:ascii="Times New Roman" w:hAnsi="Times New Roman" w:cs="Times New Roman"/>
          <w:sz w:val="26"/>
          <w:szCs w:val="26"/>
        </w:rPr>
        <w:t>401. https://doi.org/10.1016/j.jacceco.2010.09.001</w:t>
      </w:r>
    </w:p>
    <w:p w14:paraId="10682401" w14:textId="51F9747D" w:rsidR="003C57AC" w:rsidRPr="00C950E1" w:rsidRDefault="003C57AC" w:rsidP="003C57AC">
      <w:pPr>
        <w:snapToGrid w:val="0"/>
        <w:spacing w:after="0" w:line="360" w:lineRule="exact"/>
        <w:ind w:left="630" w:hanging="630"/>
        <w:rPr>
          <w:rFonts w:ascii="Times New Roman" w:hAnsi="Times New Roman" w:cs="Times New Roman"/>
          <w:sz w:val="26"/>
          <w:szCs w:val="26"/>
        </w:rPr>
      </w:pPr>
      <w:r w:rsidRPr="00C950E1">
        <w:rPr>
          <w:rFonts w:ascii="Times New Roman" w:hAnsi="Times New Roman" w:cs="Times New Roman"/>
          <w:sz w:val="26"/>
          <w:szCs w:val="26"/>
        </w:rPr>
        <w:t xml:space="preserve">Desai, H., Krishnamurthy, S., &amp; Venkataraman, K. (2006). Do </w:t>
      </w:r>
      <w:r w:rsidR="00443808" w:rsidRPr="00C950E1">
        <w:rPr>
          <w:rFonts w:ascii="Times New Roman" w:hAnsi="Times New Roman" w:cs="Times New Roman"/>
          <w:sz w:val="26"/>
          <w:szCs w:val="26"/>
        </w:rPr>
        <w:t>short sellers target firms with poor earnings quality</w:t>
      </w:r>
      <w:r w:rsidRPr="00C950E1">
        <w:rPr>
          <w:rFonts w:ascii="Times New Roman" w:hAnsi="Times New Roman" w:cs="Times New Roman"/>
          <w:sz w:val="26"/>
          <w:szCs w:val="26"/>
        </w:rPr>
        <w:t xml:space="preserve">? Evidence from </w:t>
      </w:r>
      <w:r w:rsidR="00443808" w:rsidRPr="00C950E1">
        <w:rPr>
          <w:rFonts w:ascii="Times New Roman" w:hAnsi="Times New Roman" w:cs="Times New Roman"/>
          <w:sz w:val="26"/>
          <w:szCs w:val="26"/>
        </w:rPr>
        <w:t>earnings restatements</w:t>
      </w:r>
      <w:r w:rsidR="00443808">
        <w:rPr>
          <w:rFonts w:ascii="Times New Roman" w:eastAsia="新細明體" w:hAnsi="Times New Roman" w:cs="Times New Roman" w:hint="eastAsia"/>
          <w:sz w:val="26"/>
          <w:szCs w:val="26"/>
          <w:lang w:eastAsia="zh-TW"/>
        </w:rPr>
        <w:t>.</w:t>
      </w:r>
      <w:r w:rsidRPr="00C950E1">
        <w:rPr>
          <w:rFonts w:ascii="Times New Roman" w:hAnsi="Times New Roman" w:cs="Times New Roman"/>
          <w:sz w:val="26"/>
          <w:szCs w:val="26"/>
        </w:rPr>
        <w:t xml:space="preserve"> </w:t>
      </w:r>
      <w:hyperlink r:id="rId28" w:tgtFrame="_blank" w:history="1">
        <w:r w:rsidRPr="00C950E1">
          <w:rPr>
            <w:rFonts w:ascii="Times New Roman" w:hAnsi="Times New Roman" w:cs="Times New Roman"/>
            <w:i/>
            <w:iCs/>
            <w:sz w:val="26"/>
            <w:szCs w:val="26"/>
          </w:rPr>
          <w:t>Review of Accounting Studies</w:t>
        </w:r>
      </w:hyperlink>
      <w:r w:rsidRPr="00C950E1">
        <w:rPr>
          <w:rFonts w:ascii="Times New Roman" w:hAnsi="Times New Roman" w:cs="Times New Roman"/>
          <w:i/>
          <w:iCs/>
          <w:sz w:val="26"/>
          <w:szCs w:val="26"/>
        </w:rPr>
        <w:t>,</w:t>
      </w:r>
      <w:r w:rsidR="00443808">
        <w:rPr>
          <w:rFonts w:ascii="Times New Roman" w:hAnsi="Times New Roman" w:cs="Times New Roman"/>
          <w:i/>
          <w:iCs/>
          <w:sz w:val="26"/>
          <w:szCs w:val="26"/>
        </w:rPr>
        <w:t xml:space="preserve"> </w:t>
      </w:r>
      <w:r w:rsidRPr="00C950E1">
        <w:rPr>
          <w:rFonts w:ascii="Times New Roman" w:hAnsi="Times New Roman" w:cs="Times New Roman"/>
          <w:i/>
          <w:iCs/>
          <w:sz w:val="26"/>
          <w:szCs w:val="26"/>
        </w:rPr>
        <w:t>11</w:t>
      </w:r>
      <w:r w:rsidRPr="00443808">
        <w:rPr>
          <w:rFonts w:ascii="Times New Roman" w:hAnsi="Times New Roman" w:cs="Times New Roman"/>
          <w:iCs/>
          <w:sz w:val="26"/>
          <w:szCs w:val="26"/>
        </w:rPr>
        <w:t>(1)</w:t>
      </w:r>
      <w:r w:rsidRPr="00C950E1">
        <w:rPr>
          <w:rFonts w:ascii="Times New Roman" w:hAnsi="Times New Roman" w:cs="Times New Roman"/>
          <w:i/>
          <w:iCs/>
          <w:sz w:val="26"/>
          <w:szCs w:val="26"/>
        </w:rPr>
        <w:t>,</w:t>
      </w:r>
      <w:r w:rsidRPr="00C950E1">
        <w:rPr>
          <w:rFonts w:ascii="Times New Roman" w:hAnsi="Times New Roman" w:cs="Times New Roman"/>
          <w:sz w:val="26"/>
          <w:szCs w:val="26"/>
        </w:rPr>
        <w:t xml:space="preserve"> 71-90. https://doi.org/10.1007/s11142-006-6396-x</w:t>
      </w:r>
    </w:p>
    <w:p w14:paraId="0639F376" w14:textId="190AEB79" w:rsidR="003C57AC" w:rsidRPr="00C950E1" w:rsidRDefault="003C57AC" w:rsidP="003C57AC">
      <w:pPr>
        <w:snapToGrid w:val="0"/>
        <w:spacing w:after="0" w:line="360" w:lineRule="exact"/>
        <w:ind w:left="630" w:hanging="630"/>
        <w:rPr>
          <w:rFonts w:ascii="Times New Roman" w:hAnsi="Times New Roman" w:cs="Times New Roman"/>
          <w:sz w:val="26"/>
          <w:szCs w:val="26"/>
        </w:rPr>
      </w:pPr>
      <w:proofErr w:type="spellStart"/>
      <w:r w:rsidRPr="00C950E1">
        <w:rPr>
          <w:rFonts w:ascii="Times New Roman" w:hAnsi="Times New Roman" w:cs="Times New Roman"/>
          <w:sz w:val="26"/>
          <w:szCs w:val="26"/>
        </w:rPr>
        <w:t>Dichev</w:t>
      </w:r>
      <w:proofErr w:type="spellEnd"/>
      <w:r w:rsidRPr="00C950E1">
        <w:rPr>
          <w:rFonts w:ascii="Times New Roman" w:hAnsi="Times New Roman" w:cs="Times New Roman"/>
          <w:sz w:val="26"/>
          <w:szCs w:val="26"/>
        </w:rPr>
        <w:t>, I., Graham, J., Harvey</w:t>
      </w:r>
      <w:r>
        <w:rPr>
          <w:rFonts w:ascii="Times New Roman" w:hAnsi="Times New Roman" w:cs="Times New Roman"/>
          <w:sz w:val="26"/>
          <w:szCs w:val="26"/>
        </w:rPr>
        <w:t>,</w:t>
      </w:r>
      <w:r w:rsidRPr="00C950E1">
        <w:rPr>
          <w:rFonts w:ascii="Times New Roman" w:hAnsi="Times New Roman" w:cs="Times New Roman"/>
          <w:sz w:val="26"/>
          <w:szCs w:val="26"/>
        </w:rPr>
        <w:t xml:space="preserve"> C. R., &amp; </w:t>
      </w:r>
      <w:proofErr w:type="spellStart"/>
      <w:r w:rsidRPr="00C950E1">
        <w:rPr>
          <w:rFonts w:ascii="Times New Roman" w:hAnsi="Times New Roman" w:cs="Times New Roman"/>
          <w:sz w:val="26"/>
          <w:szCs w:val="26"/>
        </w:rPr>
        <w:t>Rajgopal</w:t>
      </w:r>
      <w:proofErr w:type="spellEnd"/>
      <w:r w:rsidRPr="00C950E1">
        <w:rPr>
          <w:rFonts w:ascii="Times New Roman" w:hAnsi="Times New Roman" w:cs="Times New Roman"/>
          <w:sz w:val="26"/>
          <w:szCs w:val="26"/>
        </w:rPr>
        <w:t xml:space="preserve">, S. (2013). Earnings </w:t>
      </w:r>
      <w:r w:rsidR="00443808" w:rsidRPr="00C950E1">
        <w:rPr>
          <w:rFonts w:ascii="Times New Roman" w:hAnsi="Times New Roman" w:cs="Times New Roman"/>
          <w:sz w:val="26"/>
          <w:szCs w:val="26"/>
        </w:rPr>
        <w:t>quality</w:t>
      </w:r>
      <w:r w:rsidRPr="00C950E1">
        <w:rPr>
          <w:rFonts w:ascii="Times New Roman" w:hAnsi="Times New Roman" w:cs="Times New Roman"/>
          <w:sz w:val="26"/>
          <w:szCs w:val="26"/>
        </w:rPr>
        <w:t xml:space="preserve">: </w:t>
      </w:r>
      <w:r w:rsidR="00443808" w:rsidRPr="00C950E1">
        <w:rPr>
          <w:rFonts w:ascii="Times New Roman" w:hAnsi="Times New Roman" w:cs="Times New Roman"/>
          <w:sz w:val="26"/>
          <w:szCs w:val="26"/>
        </w:rPr>
        <w:t xml:space="preserve">Evidence </w:t>
      </w:r>
      <w:r w:rsidRPr="00C950E1">
        <w:rPr>
          <w:rFonts w:ascii="Times New Roman" w:hAnsi="Times New Roman" w:cs="Times New Roman"/>
          <w:sz w:val="26"/>
          <w:szCs w:val="26"/>
        </w:rPr>
        <w:t xml:space="preserve">from the field. </w:t>
      </w:r>
      <w:r w:rsidRPr="00C950E1">
        <w:rPr>
          <w:rFonts w:ascii="Times New Roman" w:hAnsi="Times New Roman" w:cs="Times New Roman"/>
          <w:i/>
          <w:iCs/>
          <w:sz w:val="26"/>
          <w:szCs w:val="26"/>
        </w:rPr>
        <w:t>Journal of Accounting and Economics, 56</w:t>
      </w:r>
      <w:r w:rsidRPr="00443808">
        <w:rPr>
          <w:rFonts w:ascii="Times New Roman" w:hAnsi="Times New Roman" w:cs="Times New Roman"/>
          <w:iCs/>
          <w:sz w:val="26"/>
          <w:szCs w:val="26"/>
        </w:rPr>
        <w:t>(1-2)</w:t>
      </w:r>
      <w:r w:rsidRPr="00C950E1">
        <w:rPr>
          <w:rFonts w:ascii="Times New Roman" w:hAnsi="Times New Roman" w:cs="Times New Roman"/>
          <w:i/>
          <w:iCs/>
          <w:sz w:val="26"/>
          <w:szCs w:val="26"/>
        </w:rPr>
        <w:t xml:space="preserve"> </w:t>
      </w:r>
      <w:r w:rsidRPr="00443808">
        <w:rPr>
          <w:rFonts w:ascii="Times New Roman" w:hAnsi="Times New Roman" w:cs="Times New Roman"/>
          <w:iCs/>
          <w:sz w:val="26"/>
          <w:szCs w:val="26"/>
        </w:rPr>
        <w:t>supplement 1</w:t>
      </w:r>
      <w:r w:rsidRPr="00C950E1">
        <w:rPr>
          <w:rFonts w:ascii="Times New Roman" w:hAnsi="Times New Roman" w:cs="Times New Roman"/>
          <w:i/>
          <w:iCs/>
          <w:sz w:val="26"/>
          <w:szCs w:val="26"/>
        </w:rPr>
        <w:t>,</w:t>
      </w:r>
      <w:r w:rsidRPr="00C950E1">
        <w:rPr>
          <w:rFonts w:ascii="Times New Roman" w:hAnsi="Times New Roman" w:cs="Times New Roman"/>
          <w:sz w:val="26"/>
          <w:szCs w:val="26"/>
        </w:rPr>
        <w:t xml:space="preserve"> 1-33. https://doi.org/10.1016/j.jacceco.2013.05.004.</w:t>
      </w:r>
    </w:p>
    <w:p w14:paraId="783DB913" w14:textId="77777777" w:rsidR="003C57AC" w:rsidRPr="00C950E1" w:rsidRDefault="003C57AC" w:rsidP="003C57AC">
      <w:pPr>
        <w:snapToGrid w:val="0"/>
        <w:spacing w:after="0" w:line="360" w:lineRule="exact"/>
        <w:ind w:left="630" w:hanging="630"/>
        <w:rPr>
          <w:rFonts w:ascii="Times New Roman" w:hAnsi="Times New Roman" w:cs="Times New Roman"/>
          <w:sz w:val="26"/>
          <w:szCs w:val="26"/>
        </w:rPr>
      </w:pPr>
      <w:proofErr w:type="spellStart"/>
      <w:r w:rsidRPr="00C950E1">
        <w:rPr>
          <w:rFonts w:ascii="Times New Roman" w:hAnsi="Times New Roman" w:cs="Times New Roman"/>
          <w:sz w:val="26"/>
          <w:szCs w:val="26"/>
        </w:rPr>
        <w:t>Dobre</w:t>
      </w:r>
      <w:proofErr w:type="spellEnd"/>
      <w:r w:rsidRPr="00C950E1">
        <w:rPr>
          <w:rFonts w:ascii="Times New Roman" w:hAnsi="Times New Roman" w:cs="Times New Roman"/>
          <w:sz w:val="26"/>
          <w:szCs w:val="26"/>
        </w:rPr>
        <w:t xml:space="preserve">, F., Brad, L., &amp; </w:t>
      </w:r>
      <w:proofErr w:type="spellStart"/>
      <w:r w:rsidRPr="00C950E1">
        <w:rPr>
          <w:rFonts w:ascii="Times New Roman" w:hAnsi="Times New Roman" w:cs="Times New Roman"/>
          <w:sz w:val="26"/>
          <w:szCs w:val="26"/>
        </w:rPr>
        <w:t>Ciobanu</w:t>
      </w:r>
      <w:proofErr w:type="spellEnd"/>
      <w:r w:rsidRPr="00C950E1">
        <w:rPr>
          <w:rFonts w:ascii="Times New Roman" w:hAnsi="Times New Roman" w:cs="Times New Roman"/>
          <w:sz w:val="26"/>
          <w:szCs w:val="26"/>
        </w:rPr>
        <w:t xml:space="preserve">, R. (2015). Timely loss recognition and the value relevance of the Romanian listed companies considering the IFRS approach. </w:t>
      </w:r>
      <w:r w:rsidRPr="00C950E1">
        <w:rPr>
          <w:rFonts w:ascii="Times New Roman" w:hAnsi="Times New Roman" w:cs="Times New Roman"/>
          <w:i/>
          <w:iCs/>
          <w:sz w:val="26"/>
          <w:szCs w:val="26"/>
        </w:rPr>
        <w:t>Accounting and Management Information Systems, 14</w:t>
      </w:r>
      <w:r w:rsidRPr="00443808">
        <w:rPr>
          <w:rFonts w:ascii="Times New Roman" w:hAnsi="Times New Roman" w:cs="Times New Roman"/>
          <w:iCs/>
          <w:sz w:val="26"/>
          <w:szCs w:val="26"/>
        </w:rPr>
        <w:t>(4)</w:t>
      </w:r>
      <w:r w:rsidRPr="00C950E1">
        <w:rPr>
          <w:rFonts w:ascii="Times New Roman" w:hAnsi="Times New Roman" w:cs="Times New Roman"/>
          <w:i/>
          <w:iCs/>
          <w:sz w:val="26"/>
          <w:szCs w:val="26"/>
        </w:rPr>
        <w:t>,</w:t>
      </w:r>
      <w:r w:rsidRPr="00C950E1">
        <w:rPr>
          <w:rFonts w:ascii="Times New Roman" w:hAnsi="Times New Roman" w:cs="Times New Roman"/>
          <w:sz w:val="26"/>
          <w:szCs w:val="26"/>
        </w:rPr>
        <w:t xml:space="preserve"> 732-747. </w:t>
      </w:r>
    </w:p>
    <w:p w14:paraId="72F20B7B" w14:textId="3646A49A" w:rsidR="003C57AC" w:rsidRPr="00C950E1" w:rsidRDefault="003C57AC" w:rsidP="003C57AC">
      <w:pPr>
        <w:snapToGrid w:val="0"/>
        <w:spacing w:after="0" w:line="360" w:lineRule="exact"/>
        <w:ind w:left="630" w:hanging="630"/>
        <w:rPr>
          <w:rFonts w:ascii="Times New Roman" w:hAnsi="Times New Roman" w:cs="Times New Roman"/>
          <w:sz w:val="26"/>
          <w:szCs w:val="26"/>
        </w:rPr>
      </w:pPr>
      <w:proofErr w:type="spellStart"/>
      <w:r w:rsidRPr="00C950E1">
        <w:rPr>
          <w:rFonts w:ascii="Times New Roman" w:hAnsi="Times New Roman" w:cs="Times New Roman"/>
          <w:sz w:val="26"/>
          <w:szCs w:val="26"/>
        </w:rPr>
        <w:t>Elheddad</w:t>
      </w:r>
      <w:proofErr w:type="spellEnd"/>
      <w:r w:rsidRPr="00C950E1">
        <w:rPr>
          <w:rFonts w:ascii="Times New Roman" w:hAnsi="Times New Roman" w:cs="Times New Roman"/>
          <w:sz w:val="26"/>
          <w:szCs w:val="26"/>
        </w:rPr>
        <w:t>, M.</w:t>
      </w:r>
      <w:r>
        <w:rPr>
          <w:rFonts w:ascii="Times New Roman" w:hAnsi="Times New Roman" w:cs="Times New Roman"/>
          <w:sz w:val="26"/>
          <w:szCs w:val="26"/>
        </w:rPr>
        <w:t xml:space="preserve"> </w:t>
      </w:r>
      <w:r w:rsidRPr="00C950E1">
        <w:rPr>
          <w:rFonts w:ascii="Times New Roman" w:hAnsi="Times New Roman" w:cs="Times New Roman"/>
          <w:sz w:val="26"/>
          <w:szCs w:val="26"/>
        </w:rPr>
        <w:t xml:space="preserve">M. (2018). What determines FDI inflow to MENA countries? Empirical study on Gulf countries: Sectorial level analysis. </w:t>
      </w:r>
      <w:r w:rsidRPr="00C950E1">
        <w:rPr>
          <w:rFonts w:ascii="Times New Roman" w:hAnsi="Times New Roman" w:cs="Times New Roman"/>
          <w:i/>
          <w:iCs/>
          <w:sz w:val="26"/>
          <w:szCs w:val="26"/>
        </w:rPr>
        <w:t>Research in International Business and Finance, 44</w:t>
      </w:r>
      <w:r w:rsidRPr="003D0CB6">
        <w:rPr>
          <w:rFonts w:ascii="Times New Roman" w:hAnsi="Times New Roman" w:cs="Times New Roman"/>
          <w:iCs/>
          <w:sz w:val="26"/>
          <w:szCs w:val="26"/>
        </w:rPr>
        <w:t>(C)</w:t>
      </w:r>
      <w:r w:rsidRPr="00C950E1">
        <w:rPr>
          <w:rFonts w:ascii="Times New Roman" w:hAnsi="Times New Roman" w:cs="Times New Roman"/>
          <w:i/>
          <w:iCs/>
          <w:sz w:val="26"/>
          <w:szCs w:val="26"/>
        </w:rPr>
        <w:t>,</w:t>
      </w:r>
      <w:r w:rsidRPr="00C950E1">
        <w:rPr>
          <w:rFonts w:ascii="Times New Roman" w:hAnsi="Times New Roman" w:cs="Times New Roman"/>
          <w:sz w:val="26"/>
          <w:szCs w:val="26"/>
        </w:rPr>
        <w:t xml:space="preserve"> 332-339. </w:t>
      </w:r>
      <w:r w:rsidR="00C87DC6">
        <w:rPr>
          <w:rFonts w:ascii="Times New Roman" w:hAnsi="Times New Roman" w:cs="Times New Roman"/>
          <w:sz w:val="26"/>
          <w:szCs w:val="26"/>
        </w:rPr>
        <w:t>https://doi.org/</w:t>
      </w:r>
      <w:r w:rsidR="00C87DC6" w:rsidRPr="00C950E1">
        <w:rPr>
          <w:rFonts w:ascii="Times New Roman" w:hAnsi="Times New Roman" w:cs="Times New Roman"/>
          <w:sz w:val="26"/>
          <w:szCs w:val="26"/>
        </w:rPr>
        <w:t>10.1016/j.ribaf.2017.07.101</w:t>
      </w:r>
    </w:p>
    <w:p w14:paraId="4AAF5802" w14:textId="30A4DD6E" w:rsidR="003C57AC" w:rsidRPr="00C950E1" w:rsidRDefault="003C57AC" w:rsidP="003C57AC">
      <w:pPr>
        <w:snapToGrid w:val="0"/>
        <w:spacing w:after="0" w:line="360" w:lineRule="exact"/>
        <w:ind w:left="630" w:hanging="630"/>
        <w:rPr>
          <w:rFonts w:ascii="Times New Roman" w:hAnsi="Times New Roman" w:cs="Times New Roman"/>
          <w:sz w:val="26"/>
          <w:szCs w:val="26"/>
        </w:rPr>
      </w:pPr>
      <w:r w:rsidRPr="00C950E1">
        <w:rPr>
          <w:rFonts w:ascii="Times New Roman" w:hAnsi="Times New Roman" w:cs="Times New Roman"/>
          <w:sz w:val="26"/>
          <w:szCs w:val="26"/>
        </w:rPr>
        <w:t>Entwistle, G.</w:t>
      </w:r>
      <w:r>
        <w:rPr>
          <w:rFonts w:ascii="Times New Roman" w:hAnsi="Times New Roman" w:cs="Times New Roman"/>
          <w:sz w:val="26"/>
          <w:szCs w:val="26"/>
        </w:rPr>
        <w:t xml:space="preserve"> </w:t>
      </w:r>
      <w:r w:rsidRPr="00C950E1">
        <w:rPr>
          <w:rFonts w:ascii="Times New Roman" w:hAnsi="Times New Roman" w:cs="Times New Roman"/>
          <w:sz w:val="26"/>
          <w:szCs w:val="26"/>
        </w:rPr>
        <w:t xml:space="preserve">M., &amp; Phillips, F. (2003). Relevance, reliability, and the earnings quality debate. </w:t>
      </w:r>
      <w:r w:rsidRPr="00C950E1">
        <w:rPr>
          <w:rFonts w:ascii="Times New Roman" w:hAnsi="Times New Roman" w:cs="Times New Roman"/>
          <w:i/>
          <w:iCs/>
          <w:sz w:val="26"/>
          <w:szCs w:val="26"/>
        </w:rPr>
        <w:t>Issues in Accounting Education, 18</w:t>
      </w:r>
      <w:r w:rsidRPr="003D0CB6">
        <w:rPr>
          <w:rFonts w:ascii="Times New Roman" w:hAnsi="Times New Roman" w:cs="Times New Roman"/>
          <w:iCs/>
          <w:sz w:val="26"/>
          <w:szCs w:val="26"/>
        </w:rPr>
        <w:t>(1),</w:t>
      </w:r>
      <w:r w:rsidRPr="00C950E1">
        <w:rPr>
          <w:rFonts w:ascii="Times New Roman" w:hAnsi="Times New Roman" w:cs="Times New Roman"/>
          <w:sz w:val="26"/>
          <w:szCs w:val="26"/>
        </w:rPr>
        <w:t xml:space="preserve"> 79-92. </w:t>
      </w:r>
      <w:r w:rsidR="00C87DC6" w:rsidRPr="00C95423">
        <w:rPr>
          <w:rFonts w:ascii="Times New Roman" w:hAnsi="Times New Roman" w:cs="Times New Roman"/>
          <w:sz w:val="26"/>
          <w:szCs w:val="26"/>
        </w:rPr>
        <w:t>https://doi.org/</w:t>
      </w:r>
      <w:hyperlink r:id="rId29" w:tgtFrame="_blank" w:history="1">
        <w:r w:rsidR="00C87DC6" w:rsidRPr="00C95423">
          <w:rPr>
            <w:rFonts w:ascii="Times New Roman" w:hAnsi="Times New Roman" w:cs="Times New Roman"/>
            <w:sz w:val="26"/>
            <w:szCs w:val="26"/>
          </w:rPr>
          <w:t>10.2308/iace.2003.18.1.79</w:t>
        </w:r>
      </w:hyperlink>
    </w:p>
    <w:p w14:paraId="43D014FA" w14:textId="563A9185" w:rsidR="003C57AC" w:rsidRPr="00C950E1" w:rsidRDefault="003C57AC" w:rsidP="003C57AC">
      <w:pPr>
        <w:snapToGrid w:val="0"/>
        <w:spacing w:after="0" w:line="360" w:lineRule="exact"/>
        <w:ind w:left="630" w:hanging="630"/>
        <w:rPr>
          <w:rFonts w:ascii="Times New Roman" w:hAnsi="Times New Roman" w:cs="Times New Roman"/>
          <w:sz w:val="26"/>
          <w:szCs w:val="26"/>
        </w:rPr>
      </w:pPr>
      <w:proofErr w:type="spellStart"/>
      <w:r w:rsidRPr="00C950E1">
        <w:rPr>
          <w:rFonts w:ascii="Times New Roman" w:hAnsi="Times New Roman" w:cs="Times New Roman"/>
          <w:sz w:val="26"/>
          <w:szCs w:val="26"/>
        </w:rPr>
        <w:lastRenderedPageBreak/>
        <w:t>Ezat</w:t>
      </w:r>
      <w:proofErr w:type="spellEnd"/>
      <w:r w:rsidRPr="00C950E1">
        <w:rPr>
          <w:rFonts w:ascii="Times New Roman" w:hAnsi="Times New Roman" w:cs="Times New Roman"/>
          <w:sz w:val="26"/>
          <w:szCs w:val="26"/>
        </w:rPr>
        <w:t>, A.</w:t>
      </w:r>
      <w:r>
        <w:rPr>
          <w:rFonts w:ascii="Times New Roman" w:hAnsi="Times New Roman" w:cs="Times New Roman"/>
          <w:sz w:val="26"/>
          <w:szCs w:val="26"/>
        </w:rPr>
        <w:t>, Mahmoud, N.</w:t>
      </w:r>
      <w:r w:rsidRPr="00C950E1">
        <w:rPr>
          <w:rFonts w:ascii="Times New Roman" w:hAnsi="Times New Roman" w:cs="Times New Roman"/>
          <w:sz w:val="26"/>
          <w:szCs w:val="26"/>
        </w:rPr>
        <w:t xml:space="preserve">, Mohamed, A. M. F., </w:t>
      </w:r>
      <w:proofErr w:type="spellStart"/>
      <w:r w:rsidRPr="00C950E1">
        <w:rPr>
          <w:rFonts w:ascii="Times New Roman" w:hAnsi="Times New Roman" w:cs="Times New Roman"/>
          <w:sz w:val="26"/>
          <w:szCs w:val="26"/>
        </w:rPr>
        <w:t>Abulaila</w:t>
      </w:r>
      <w:proofErr w:type="spellEnd"/>
      <w:r w:rsidRPr="00C950E1">
        <w:rPr>
          <w:rFonts w:ascii="Times New Roman" w:hAnsi="Times New Roman" w:cs="Times New Roman"/>
          <w:sz w:val="26"/>
          <w:szCs w:val="26"/>
        </w:rPr>
        <w:t xml:space="preserve">, M., </w:t>
      </w:r>
      <w:proofErr w:type="spellStart"/>
      <w:r w:rsidRPr="00C950E1">
        <w:rPr>
          <w:rFonts w:ascii="Times New Roman" w:hAnsi="Times New Roman" w:cs="Times New Roman"/>
          <w:sz w:val="26"/>
          <w:szCs w:val="26"/>
        </w:rPr>
        <w:t>Jaradat</w:t>
      </w:r>
      <w:proofErr w:type="spellEnd"/>
      <w:r w:rsidRPr="00C950E1">
        <w:rPr>
          <w:rFonts w:ascii="Times New Roman" w:hAnsi="Times New Roman" w:cs="Times New Roman"/>
          <w:sz w:val="26"/>
          <w:szCs w:val="26"/>
        </w:rPr>
        <w:t xml:space="preserve">, S. A. N., Amin, A. Z., &amp; </w:t>
      </w:r>
      <w:proofErr w:type="spellStart"/>
      <w:r w:rsidRPr="00C950E1">
        <w:rPr>
          <w:rFonts w:ascii="Times New Roman" w:hAnsi="Times New Roman" w:cs="Times New Roman"/>
          <w:sz w:val="26"/>
          <w:szCs w:val="26"/>
        </w:rPr>
        <w:t>Abdelmajeed</w:t>
      </w:r>
      <w:proofErr w:type="spellEnd"/>
      <w:r w:rsidRPr="00C950E1">
        <w:rPr>
          <w:rFonts w:ascii="Times New Roman" w:hAnsi="Times New Roman" w:cs="Times New Roman"/>
          <w:sz w:val="26"/>
          <w:szCs w:val="26"/>
        </w:rPr>
        <w:t xml:space="preserve">, S. H. (2019). Measuring </w:t>
      </w:r>
      <w:r w:rsidR="003D0CB6" w:rsidRPr="00C950E1">
        <w:rPr>
          <w:rFonts w:ascii="Times New Roman" w:hAnsi="Times New Roman" w:cs="Times New Roman"/>
          <w:sz w:val="26"/>
          <w:szCs w:val="26"/>
        </w:rPr>
        <w:t xml:space="preserve">earnings quality in </w:t>
      </w:r>
      <w:r w:rsidRPr="00C950E1">
        <w:rPr>
          <w:rFonts w:ascii="Times New Roman" w:hAnsi="Times New Roman" w:cs="Times New Roman"/>
          <w:sz w:val="26"/>
          <w:szCs w:val="26"/>
        </w:rPr>
        <w:t xml:space="preserve">Saudi Arabia </w:t>
      </w:r>
      <w:r w:rsidR="003D0CB6" w:rsidRPr="00C950E1">
        <w:rPr>
          <w:rFonts w:ascii="Times New Roman" w:hAnsi="Times New Roman" w:cs="Times New Roman"/>
          <w:sz w:val="26"/>
          <w:szCs w:val="26"/>
        </w:rPr>
        <w:t>insurance companies</w:t>
      </w:r>
      <w:r w:rsidRPr="00C950E1">
        <w:rPr>
          <w:rFonts w:ascii="Times New Roman" w:hAnsi="Times New Roman" w:cs="Times New Roman"/>
          <w:sz w:val="26"/>
          <w:szCs w:val="26"/>
        </w:rPr>
        <w:t xml:space="preserve">. </w:t>
      </w:r>
      <w:r w:rsidRPr="00C950E1">
        <w:rPr>
          <w:rFonts w:ascii="Times New Roman" w:hAnsi="Times New Roman" w:cs="Times New Roman"/>
          <w:i/>
          <w:iCs/>
          <w:sz w:val="26"/>
          <w:szCs w:val="26"/>
        </w:rPr>
        <w:t>International Journal of Applied Engineering Research, 14</w:t>
      </w:r>
      <w:r w:rsidRPr="003D0CB6">
        <w:rPr>
          <w:rFonts w:ascii="Times New Roman" w:hAnsi="Times New Roman" w:cs="Times New Roman"/>
          <w:iCs/>
          <w:sz w:val="26"/>
          <w:szCs w:val="26"/>
        </w:rPr>
        <w:t>(23)</w:t>
      </w:r>
      <w:r w:rsidRPr="00C950E1">
        <w:rPr>
          <w:rFonts w:ascii="Times New Roman" w:hAnsi="Times New Roman" w:cs="Times New Roman"/>
          <w:i/>
          <w:iCs/>
          <w:sz w:val="26"/>
          <w:szCs w:val="26"/>
        </w:rPr>
        <w:t xml:space="preserve">, </w:t>
      </w:r>
      <w:r w:rsidRPr="00C950E1">
        <w:rPr>
          <w:rFonts w:ascii="Times New Roman" w:hAnsi="Times New Roman" w:cs="Times New Roman"/>
          <w:sz w:val="26"/>
          <w:szCs w:val="26"/>
        </w:rPr>
        <w:t xml:space="preserve">4294-4309. https://www.ripublication.com/ijaer19/ijaerv14n23_10.pdf  </w:t>
      </w:r>
    </w:p>
    <w:p w14:paraId="20C182E7" w14:textId="3FCF8866" w:rsidR="003C57AC" w:rsidRPr="00C950E1" w:rsidRDefault="003C57AC" w:rsidP="003C57AC">
      <w:pPr>
        <w:snapToGrid w:val="0"/>
        <w:spacing w:after="0" w:line="360" w:lineRule="exact"/>
        <w:ind w:left="630" w:hanging="630"/>
        <w:rPr>
          <w:rFonts w:ascii="Times New Roman" w:hAnsi="Times New Roman" w:cs="Times New Roman"/>
          <w:sz w:val="26"/>
          <w:szCs w:val="26"/>
        </w:rPr>
      </w:pPr>
      <w:r w:rsidRPr="00C950E1">
        <w:rPr>
          <w:rFonts w:ascii="Times New Roman" w:hAnsi="Times New Roman" w:cs="Times New Roman"/>
          <w:sz w:val="26"/>
          <w:szCs w:val="26"/>
        </w:rPr>
        <w:t>Ferreira</w:t>
      </w:r>
      <w:r>
        <w:rPr>
          <w:rFonts w:ascii="Times New Roman" w:hAnsi="Times New Roman" w:cs="Times New Roman"/>
          <w:sz w:val="26"/>
          <w:szCs w:val="26"/>
        </w:rPr>
        <w:t>,</w:t>
      </w:r>
      <w:r w:rsidRPr="00C950E1">
        <w:rPr>
          <w:rFonts w:ascii="Times New Roman" w:hAnsi="Times New Roman" w:cs="Times New Roman"/>
          <w:sz w:val="26"/>
          <w:szCs w:val="26"/>
        </w:rPr>
        <w:t xml:space="preserve"> M.</w:t>
      </w:r>
      <w:r>
        <w:rPr>
          <w:rFonts w:ascii="Times New Roman" w:hAnsi="Times New Roman" w:cs="Times New Roman"/>
          <w:sz w:val="26"/>
          <w:szCs w:val="26"/>
        </w:rPr>
        <w:t xml:space="preserve"> </w:t>
      </w:r>
      <w:r w:rsidRPr="00C950E1">
        <w:rPr>
          <w:rFonts w:ascii="Times New Roman" w:hAnsi="Times New Roman" w:cs="Times New Roman"/>
          <w:sz w:val="26"/>
          <w:szCs w:val="26"/>
        </w:rPr>
        <w:t>A., Matos</w:t>
      </w:r>
      <w:r>
        <w:rPr>
          <w:rFonts w:ascii="Times New Roman" w:hAnsi="Times New Roman" w:cs="Times New Roman"/>
          <w:sz w:val="26"/>
          <w:szCs w:val="26"/>
        </w:rPr>
        <w:t>,</w:t>
      </w:r>
      <w:r w:rsidRPr="00C950E1">
        <w:rPr>
          <w:rFonts w:ascii="Times New Roman" w:hAnsi="Times New Roman" w:cs="Times New Roman"/>
          <w:sz w:val="26"/>
          <w:szCs w:val="26"/>
        </w:rPr>
        <w:t xml:space="preserve"> P</w:t>
      </w:r>
      <w:r>
        <w:rPr>
          <w:rFonts w:ascii="Times New Roman" w:hAnsi="Times New Roman" w:cs="Times New Roman"/>
          <w:sz w:val="26"/>
          <w:szCs w:val="26"/>
        </w:rPr>
        <w:t>.</w:t>
      </w:r>
      <w:r w:rsidRPr="00C950E1">
        <w:rPr>
          <w:rFonts w:ascii="Times New Roman" w:hAnsi="Times New Roman" w:cs="Times New Roman"/>
          <w:sz w:val="26"/>
          <w:szCs w:val="26"/>
        </w:rPr>
        <w:t>, Pereira</w:t>
      </w:r>
      <w:r>
        <w:rPr>
          <w:rFonts w:ascii="Times New Roman" w:hAnsi="Times New Roman" w:cs="Times New Roman"/>
          <w:sz w:val="26"/>
          <w:szCs w:val="26"/>
        </w:rPr>
        <w:t>,</w:t>
      </w:r>
      <w:r w:rsidRPr="00C950E1">
        <w:rPr>
          <w:rFonts w:ascii="Times New Roman" w:hAnsi="Times New Roman" w:cs="Times New Roman"/>
          <w:sz w:val="26"/>
          <w:szCs w:val="26"/>
        </w:rPr>
        <w:t xml:space="preserve"> J.</w:t>
      </w:r>
      <w:r>
        <w:rPr>
          <w:rFonts w:ascii="Times New Roman" w:hAnsi="Times New Roman" w:cs="Times New Roman"/>
          <w:sz w:val="26"/>
          <w:szCs w:val="26"/>
        </w:rPr>
        <w:t xml:space="preserve"> </w:t>
      </w:r>
      <w:r w:rsidRPr="00C950E1">
        <w:rPr>
          <w:rFonts w:ascii="Times New Roman" w:hAnsi="Times New Roman" w:cs="Times New Roman"/>
          <w:sz w:val="26"/>
          <w:szCs w:val="26"/>
        </w:rPr>
        <w:t>P., &amp; Pires</w:t>
      </w:r>
      <w:r>
        <w:rPr>
          <w:rFonts w:ascii="Times New Roman" w:hAnsi="Times New Roman" w:cs="Times New Roman"/>
          <w:sz w:val="26"/>
          <w:szCs w:val="26"/>
        </w:rPr>
        <w:t>,</w:t>
      </w:r>
      <w:r w:rsidRPr="00C950E1">
        <w:rPr>
          <w:rFonts w:ascii="Times New Roman" w:hAnsi="Times New Roman" w:cs="Times New Roman"/>
          <w:sz w:val="26"/>
          <w:szCs w:val="26"/>
        </w:rPr>
        <w:t xml:space="preserve"> P. (2017). Do locals know better? A comparison of the performance of local and foreign institutional investors. </w:t>
      </w:r>
      <w:r w:rsidRPr="00C950E1">
        <w:rPr>
          <w:rFonts w:ascii="Times New Roman" w:hAnsi="Times New Roman" w:cs="Times New Roman"/>
          <w:i/>
          <w:iCs/>
          <w:sz w:val="26"/>
          <w:szCs w:val="26"/>
        </w:rPr>
        <w:t>Journal of banking and Finance. 82</w:t>
      </w:r>
      <w:r w:rsidRPr="003D0CB6">
        <w:rPr>
          <w:rFonts w:ascii="Times New Roman" w:hAnsi="Times New Roman" w:cs="Times New Roman"/>
          <w:iCs/>
          <w:sz w:val="26"/>
          <w:szCs w:val="26"/>
        </w:rPr>
        <w:t>(September)</w:t>
      </w:r>
      <w:r w:rsidRPr="00C950E1">
        <w:rPr>
          <w:rFonts w:ascii="Times New Roman" w:hAnsi="Times New Roman" w:cs="Times New Roman"/>
          <w:i/>
          <w:iCs/>
          <w:sz w:val="26"/>
          <w:szCs w:val="26"/>
        </w:rPr>
        <w:t>,</w:t>
      </w:r>
      <w:r w:rsidRPr="00C950E1">
        <w:rPr>
          <w:rFonts w:ascii="Times New Roman" w:hAnsi="Times New Roman" w:cs="Times New Roman"/>
          <w:sz w:val="26"/>
          <w:szCs w:val="26"/>
        </w:rPr>
        <w:t xml:space="preserve"> 151</w:t>
      </w:r>
      <w:r w:rsidR="00C87DC6">
        <w:rPr>
          <w:rFonts w:ascii="Times New Roman" w:hAnsi="Times New Roman" w:cs="Times New Roman"/>
          <w:sz w:val="26"/>
          <w:szCs w:val="26"/>
        </w:rPr>
        <w:t>-</w:t>
      </w:r>
      <w:r w:rsidRPr="00C950E1">
        <w:rPr>
          <w:rFonts w:ascii="Times New Roman" w:hAnsi="Times New Roman" w:cs="Times New Roman"/>
          <w:sz w:val="26"/>
          <w:szCs w:val="26"/>
        </w:rPr>
        <w:t>164. https://doi.org/10.1016/j.jbankfin.2017.06.002</w:t>
      </w:r>
    </w:p>
    <w:p w14:paraId="3AC7A7B8" w14:textId="74FC0275" w:rsidR="003C57AC" w:rsidRPr="00C950E1" w:rsidRDefault="003C57AC" w:rsidP="003C57AC">
      <w:pPr>
        <w:snapToGrid w:val="0"/>
        <w:spacing w:after="0" w:line="360" w:lineRule="exact"/>
        <w:ind w:left="630" w:hanging="630"/>
        <w:rPr>
          <w:rFonts w:ascii="Times New Roman" w:hAnsi="Times New Roman" w:cs="Times New Roman"/>
          <w:sz w:val="26"/>
          <w:szCs w:val="26"/>
        </w:rPr>
      </w:pPr>
      <w:r>
        <w:rPr>
          <w:rFonts w:ascii="Times New Roman" w:hAnsi="Times New Roman" w:cs="Times New Roman"/>
          <w:sz w:val="26"/>
          <w:szCs w:val="26"/>
        </w:rPr>
        <w:t>Franc</w:t>
      </w:r>
      <w:r w:rsidRPr="00C950E1">
        <w:rPr>
          <w:rFonts w:ascii="Times New Roman" w:hAnsi="Times New Roman" w:cs="Times New Roman"/>
          <w:sz w:val="26"/>
          <w:szCs w:val="26"/>
        </w:rPr>
        <w:t xml:space="preserve">is, J., </w:t>
      </w:r>
      <w:proofErr w:type="spellStart"/>
      <w:r w:rsidRPr="00C950E1">
        <w:rPr>
          <w:rFonts w:ascii="Times New Roman" w:hAnsi="Times New Roman" w:cs="Times New Roman"/>
          <w:sz w:val="26"/>
          <w:szCs w:val="26"/>
        </w:rPr>
        <w:t>LaFond</w:t>
      </w:r>
      <w:proofErr w:type="spellEnd"/>
      <w:r w:rsidRPr="00C950E1">
        <w:rPr>
          <w:rFonts w:ascii="Times New Roman" w:hAnsi="Times New Roman" w:cs="Times New Roman"/>
          <w:sz w:val="26"/>
          <w:szCs w:val="26"/>
        </w:rPr>
        <w:t xml:space="preserve">, R., Olsson, P. M., &amp; Schipper, K. (2004). Costs of equity and earnings attributes. </w:t>
      </w:r>
      <w:r w:rsidRPr="00C950E1">
        <w:rPr>
          <w:rFonts w:ascii="Times New Roman" w:hAnsi="Times New Roman" w:cs="Times New Roman"/>
          <w:i/>
          <w:iCs/>
          <w:sz w:val="26"/>
          <w:szCs w:val="26"/>
        </w:rPr>
        <w:t>The Accounting Review, 79</w:t>
      </w:r>
      <w:r w:rsidRPr="003D0CB6">
        <w:rPr>
          <w:rFonts w:ascii="Times New Roman" w:hAnsi="Times New Roman" w:cs="Times New Roman"/>
          <w:iCs/>
          <w:sz w:val="26"/>
          <w:szCs w:val="26"/>
        </w:rPr>
        <w:t>(4)</w:t>
      </w:r>
      <w:r w:rsidRPr="00C950E1">
        <w:rPr>
          <w:rFonts w:ascii="Times New Roman" w:hAnsi="Times New Roman" w:cs="Times New Roman"/>
          <w:i/>
          <w:iCs/>
          <w:sz w:val="26"/>
          <w:szCs w:val="26"/>
        </w:rPr>
        <w:t>,</w:t>
      </w:r>
      <w:r w:rsidRPr="00C950E1">
        <w:rPr>
          <w:rFonts w:ascii="Times New Roman" w:hAnsi="Times New Roman" w:cs="Times New Roman"/>
          <w:sz w:val="26"/>
          <w:szCs w:val="26"/>
        </w:rPr>
        <w:t xml:space="preserve"> 967-1010. </w:t>
      </w:r>
      <w:hyperlink r:id="rId30" w:history="1">
        <w:r w:rsidRPr="00C950E1">
          <w:rPr>
            <w:rFonts w:ascii="Times New Roman" w:hAnsi="Times New Roman" w:cs="Times New Roman"/>
            <w:sz w:val="26"/>
            <w:szCs w:val="26"/>
          </w:rPr>
          <w:t>https://doi.org/10.2308/accr.2004.79.4.967</w:t>
        </w:r>
      </w:hyperlink>
    </w:p>
    <w:p w14:paraId="187A027B" w14:textId="7BFDE3BA" w:rsidR="003C57AC" w:rsidRPr="00C95423" w:rsidRDefault="003C57AC" w:rsidP="003C57AC">
      <w:pPr>
        <w:snapToGrid w:val="0"/>
        <w:spacing w:after="0" w:line="360" w:lineRule="exact"/>
        <w:ind w:left="630" w:hanging="630"/>
        <w:rPr>
          <w:rFonts w:ascii="Times New Roman" w:hAnsi="Times New Roman" w:cs="Times New Roman"/>
          <w:sz w:val="26"/>
          <w:szCs w:val="26"/>
        </w:rPr>
      </w:pPr>
      <w:r w:rsidRPr="00C950E1">
        <w:rPr>
          <w:rFonts w:ascii="Times New Roman" w:hAnsi="Times New Roman" w:cs="Times New Roman"/>
          <w:sz w:val="26"/>
          <w:szCs w:val="26"/>
        </w:rPr>
        <w:t>Greene, W.</w:t>
      </w:r>
      <w:r>
        <w:rPr>
          <w:rFonts w:ascii="Times New Roman" w:hAnsi="Times New Roman" w:cs="Times New Roman"/>
          <w:sz w:val="26"/>
          <w:szCs w:val="26"/>
        </w:rPr>
        <w:t xml:space="preserve"> </w:t>
      </w:r>
      <w:r w:rsidRPr="00C950E1">
        <w:rPr>
          <w:rFonts w:ascii="Times New Roman" w:hAnsi="Times New Roman" w:cs="Times New Roman"/>
          <w:sz w:val="26"/>
          <w:szCs w:val="26"/>
        </w:rPr>
        <w:t xml:space="preserve">H. (2000). </w:t>
      </w:r>
      <w:r w:rsidRPr="00C950E1">
        <w:rPr>
          <w:rFonts w:ascii="Times New Roman" w:hAnsi="Times New Roman" w:cs="Times New Roman"/>
          <w:i/>
          <w:iCs/>
          <w:sz w:val="26"/>
          <w:szCs w:val="26"/>
        </w:rPr>
        <w:t>Econometric Analysis</w:t>
      </w:r>
      <w:r w:rsidR="00C87DC6">
        <w:rPr>
          <w:rFonts w:ascii="新細明體" w:eastAsia="新細明體" w:hAnsi="新細明體" w:cs="Times New Roman" w:hint="eastAsia"/>
          <w:i/>
          <w:iCs/>
          <w:sz w:val="26"/>
          <w:szCs w:val="26"/>
          <w:lang w:eastAsia="zh-TW"/>
        </w:rPr>
        <w:t xml:space="preserve"> </w:t>
      </w:r>
      <w:r w:rsidR="00C87DC6" w:rsidRPr="00C95423">
        <w:rPr>
          <w:rFonts w:ascii="Times New Roman" w:eastAsia="新細明體" w:hAnsi="Times New Roman" w:cs="Times New Roman"/>
          <w:iCs/>
          <w:sz w:val="26"/>
          <w:szCs w:val="26"/>
          <w:lang w:eastAsia="zh-TW"/>
        </w:rPr>
        <w:t>(4</w:t>
      </w:r>
      <w:r w:rsidRPr="00C95423">
        <w:rPr>
          <w:rFonts w:ascii="Times New Roman" w:hAnsi="Times New Roman" w:cs="Times New Roman"/>
          <w:sz w:val="26"/>
          <w:szCs w:val="26"/>
        </w:rPr>
        <w:t>th ed.</w:t>
      </w:r>
      <w:r w:rsidR="00C87DC6" w:rsidRPr="00C95423">
        <w:rPr>
          <w:rFonts w:ascii="新細明體" w:eastAsia="新細明體" w:hAnsi="新細明體" w:cs="Times New Roman" w:hint="eastAsia"/>
          <w:sz w:val="26"/>
          <w:szCs w:val="26"/>
          <w:lang w:eastAsia="zh-TW"/>
        </w:rPr>
        <w:t>).</w:t>
      </w:r>
      <w:r w:rsidRPr="00C95423">
        <w:rPr>
          <w:rFonts w:ascii="Times New Roman" w:hAnsi="Times New Roman" w:cs="Times New Roman"/>
          <w:sz w:val="26"/>
          <w:szCs w:val="26"/>
        </w:rPr>
        <w:t xml:space="preserve"> Macmillan.</w:t>
      </w:r>
    </w:p>
    <w:p w14:paraId="1BBDEAD9" w14:textId="3FA59FB1" w:rsidR="003C57AC" w:rsidRPr="00C95423" w:rsidRDefault="003C57AC" w:rsidP="003C57AC">
      <w:pPr>
        <w:snapToGrid w:val="0"/>
        <w:spacing w:after="0" w:line="360" w:lineRule="exact"/>
        <w:ind w:left="630" w:hanging="630"/>
        <w:rPr>
          <w:rFonts w:ascii="Times New Roman" w:hAnsi="Times New Roman" w:cs="Times New Roman"/>
          <w:sz w:val="26"/>
          <w:szCs w:val="26"/>
        </w:rPr>
      </w:pPr>
      <w:r w:rsidRPr="00C95423">
        <w:rPr>
          <w:rFonts w:ascii="Times New Roman" w:hAnsi="Times New Roman" w:cs="Times New Roman"/>
          <w:sz w:val="26"/>
          <w:szCs w:val="26"/>
        </w:rPr>
        <w:t xml:space="preserve">Hair, J. F., Black, W. C., </w:t>
      </w:r>
      <w:proofErr w:type="spellStart"/>
      <w:r w:rsidRPr="00C95423">
        <w:rPr>
          <w:rFonts w:ascii="Times New Roman" w:hAnsi="Times New Roman" w:cs="Times New Roman"/>
          <w:sz w:val="26"/>
          <w:szCs w:val="26"/>
        </w:rPr>
        <w:t>Babin</w:t>
      </w:r>
      <w:proofErr w:type="spellEnd"/>
      <w:r w:rsidRPr="00C95423">
        <w:rPr>
          <w:rFonts w:ascii="Times New Roman" w:hAnsi="Times New Roman" w:cs="Times New Roman"/>
          <w:sz w:val="26"/>
          <w:szCs w:val="26"/>
        </w:rPr>
        <w:t>, B. J</w:t>
      </w:r>
      <w:r w:rsidR="000056EA" w:rsidRPr="00C95423">
        <w:rPr>
          <w:rFonts w:ascii="Times New Roman" w:hAnsi="Times New Roman" w:cs="Times New Roman"/>
          <w:sz w:val="26"/>
          <w:szCs w:val="26"/>
        </w:rPr>
        <w:t>.</w:t>
      </w:r>
      <w:r w:rsidRPr="00C95423">
        <w:rPr>
          <w:rFonts w:ascii="Times New Roman" w:hAnsi="Times New Roman" w:cs="Times New Roman"/>
          <w:sz w:val="26"/>
          <w:szCs w:val="26"/>
        </w:rPr>
        <w:t xml:space="preserve">, Anderson, R. E, &amp; Tatham, R. L. (2006) </w:t>
      </w:r>
      <w:r w:rsidRPr="00C95423">
        <w:rPr>
          <w:rFonts w:ascii="Times New Roman" w:hAnsi="Times New Roman" w:cs="Times New Roman"/>
          <w:i/>
          <w:iCs/>
          <w:sz w:val="26"/>
          <w:szCs w:val="26"/>
        </w:rPr>
        <w:t>Multivariate data analysis</w:t>
      </w:r>
      <w:r w:rsidR="00C87DC6" w:rsidRPr="00C95423">
        <w:rPr>
          <w:rFonts w:ascii="新細明體" w:eastAsia="新細明體" w:hAnsi="新細明體" w:cs="Times New Roman" w:hint="eastAsia"/>
          <w:i/>
          <w:iCs/>
          <w:sz w:val="26"/>
          <w:szCs w:val="26"/>
          <w:lang w:eastAsia="zh-TW"/>
        </w:rPr>
        <w:t xml:space="preserve"> </w:t>
      </w:r>
      <w:r w:rsidR="00C87DC6" w:rsidRPr="00C95423">
        <w:rPr>
          <w:rFonts w:ascii="新細明體" w:eastAsia="新細明體" w:hAnsi="新細明體" w:cs="Times New Roman" w:hint="eastAsia"/>
          <w:sz w:val="26"/>
          <w:szCs w:val="26"/>
          <w:lang w:eastAsia="zh-TW"/>
        </w:rPr>
        <w:t>(</w:t>
      </w:r>
      <w:r w:rsidRPr="00C95423">
        <w:rPr>
          <w:rFonts w:ascii="Times New Roman" w:hAnsi="Times New Roman" w:cs="Times New Roman"/>
          <w:sz w:val="26"/>
          <w:szCs w:val="26"/>
        </w:rPr>
        <w:t>6th ed.</w:t>
      </w:r>
      <w:r w:rsidR="00C87DC6" w:rsidRPr="00C95423">
        <w:rPr>
          <w:rFonts w:ascii="新細明體" w:eastAsia="新細明體" w:hAnsi="新細明體" w:cs="Times New Roman" w:hint="eastAsia"/>
          <w:sz w:val="26"/>
          <w:szCs w:val="26"/>
          <w:lang w:eastAsia="zh-TW"/>
        </w:rPr>
        <w:t>).</w:t>
      </w:r>
      <w:r w:rsidRPr="00C95423">
        <w:rPr>
          <w:rFonts w:ascii="Times New Roman" w:hAnsi="Times New Roman" w:cs="Times New Roman"/>
          <w:sz w:val="26"/>
          <w:szCs w:val="26"/>
        </w:rPr>
        <w:t xml:space="preserve"> Prentice Hall</w:t>
      </w:r>
      <w:r w:rsidR="00C87DC6" w:rsidRPr="00C95423">
        <w:rPr>
          <w:rFonts w:ascii="Times New Roman" w:hAnsi="Times New Roman" w:cs="Times New Roman"/>
          <w:sz w:val="26"/>
          <w:szCs w:val="26"/>
        </w:rPr>
        <w:t>.</w:t>
      </w:r>
    </w:p>
    <w:p w14:paraId="5FE74938" w14:textId="2EE7E674" w:rsidR="003C57AC" w:rsidRPr="00C95423" w:rsidRDefault="003C57AC" w:rsidP="003C57AC">
      <w:pPr>
        <w:snapToGrid w:val="0"/>
        <w:spacing w:after="0" w:line="360" w:lineRule="exact"/>
        <w:ind w:left="630" w:hanging="630"/>
        <w:rPr>
          <w:rFonts w:ascii="Times New Roman" w:hAnsi="Times New Roman" w:cs="Times New Roman"/>
          <w:sz w:val="26"/>
          <w:szCs w:val="26"/>
        </w:rPr>
      </w:pPr>
      <w:r w:rsidRPr="00C95423">
        <w:rPr>
          <w:rFonts w:ascii="Times New Roman" w:hAnsi="Times New Roman" w:cs="Times New Roman"/>
          <w:sz w:val="26"/>
          <w:szCs w:val="26"/>
        </w:rPr>
        <w:t xml:space="preserve">Hamdan, A. M. M., </w:t>
      </w:r>
      <w:proofErr w:type="spellStart"/>
      <w:r w:rsidRPr="00C95423">
        <w:rPr>
          <w:rFonts w:ascii="Times New Roman" w:hAnsi="Times New Roman" w:cs="Times New Roman"/>
          <w:sz w:val="26"/>
          <w:szCs w:val="26"/>
        </w:rPr>
        <w:t>Abzakh</w:t>
      </w:r>
      <w:proofErr w:type="spellEnd"/>
      <w:r w:rsidRPr="00C95423">
        <w:rPr>
          <w:rFonts w:ascii="Times New Roman" w:hAnsi="Times New Roman" w:cs="Times New Roman"/>
          <w:sz w:val="26"/>
          <w:szCs w:val="26"/>
        </w:rPr>
        <w:t>, M. H., &amp; Al-</w:t>
      </w:r>
      <w:proofErr w:type="spellStart"/>
      <w:r w:rsidRPr="00C95423">
        <w:rPr>
          <w:rFonts w:ascii="Times New Roman" w:hAnsi="Times New Roman" w:cs="Times New Roman"/>
          <w:sz w:val="26"/>
          <w:szCs w:val="26"/>
        </w:rPr>
        <w:t>Ataibi</w:t>
      </w:r>
      <w:proofErr w:type="spellEnd"/>
      <w:r w:rsidRPr="00C95423">
        <w:rPr>
          <w:rFonts w:ascii="Times New Roman" w:hAnsi="Times New Roman" w:cs="Times New Roman"/>
          <w:sz w:val="26"/>
          <w:szCs w:val="26"/>
        </w:rPr>
        <w:t>, M. H. (2011).</w:t>
      </w:r>
      <w:r w:rsidR="003D0CB6" w:rsidRPr="00C95423">
        <w:rPr>
          <w:rFonts w:ascii="Times New Roman" w:hAnsi="Times New Roman" w:cs="Times New Roman"/>
          <w:sz w:val="26"/>
          <w:szCs w:val="26"/>
        </w:rPr>
        <w:t xml:space="preserve"> </w:t>
      </w:r>
      <w:r w:rsidRPr="00C95423">
        <w:rPr>
          <w:rFonts w:ascii="Times New Roman" w:hAnsi="Times New Roman" w:cs="Times New Roman"/>
          <w:sz w:val="26"/>
          <w:szCs w:val="26"/>
        </w:rPr>
        <w:t xml:space="preserve">Factors influencing the </w:t>
      </w:r>
      <w:r w:rsidR="003D0CB6" w:rsidRPr="00C95423">
        <w:rPr>
          <w:rFonts w:ascii="Times New Roman" w:hAnsi="Times New Roman" w:cs="Times New Roman"/>
          <w:sz w:val="26"/>
          <w:szCs w:val="26"/>
        </w:rPr>
        <w:t>level of accounting conservatism in the financial statements</w:t>
      </w:r>
      <w:r w:rsidRPr="00C95423">
        <w:rPr>
          <w:rFonts w:ascii="Times New Roman" w:hAnsi="Times New Roman" w:cs="Times New Roman"/>
          <w:sz w:val="26"/>
          <w:szCs w:val="26"/>
        </w:rPr>
        <w:t xml:space="preserve">. </w:t>
      </w:r>
      <w:r w:rsidRPr="00C95423">
        <w:rPr>
          <w:rFonts w:ascii="Times New Roman" w:hAnsi="Times New Roman" w:cs="Times New Roman"/>
          <w:i/>
          <w:iCs/>
          <w:sz w:val="26"/>
          <w:szCs w:val="26"/>
        </w:rPr>
        <w:t>International Business Research, 4</w:t>
      </w:r>
      <w:r w:rsidRPr="00C95423">
        <w:rPr>
          <w:rFonts w:ascii="Times New Roman" w:hAnsi="Times New Roman" w:cs="Times New Roman"/>
          <w:iCs/>
          <w:sz w:val="26"/>
          <w:szCs w:val="26"/>
        </w:rPr>
        <w:t>(3)</w:t>
      </w:r>
      <w:r w:rsidRPr="00C95423">
        <w:rPr>
          <w:rFonts w:ascii="Times New Roman" w:hAnsi="Times New Roman" w:cs="Times New Roman"/>
          <w:i/>
          <w:iCs/>
          <w:sz w:val="26"/>
          <w:szCs w:val="26"/>
        </w:rPr>
        <w:t>,</w:t>
      </w:r>
      <w:r w:rsidRPr="00C95423">
        <w:rPr>
          <w:rFonts w:ascii="Times New Roman" w:hAnsi="Times New Roman" w:cs="Times New Roman"/>
          <w:sz w:val="26"/>
          <w:szCs w:val="26"/>
        </w:rPr>
        <w:t xml:space="preserve"> 145-155.</w:t>
      </w:r>
      <w:r w:rsidRPr="00C95423">
        <w:rPr>
          <w:rFonts w:ascii="Times New Roman" w:hAnsi="Times New Roman" w:cs="Times New Roman"/>
          <w:color w:val="FF0000"/>
          <w:sz w:val="26"/>
          <w:szCs w:val="26"/>
        </w:rPr>
        <w:t xml:space="preserve"> </w:t>
      </w:r>
      <w:r w:rsidR="00C87DC6" w:rsidRPr="00C95423">
        <w:rPr>
          <w:rFonts w:ascii="Times New Roman" w:hAnsi="Times New Roman" w:cs="Times New Roman"/>
          <w:sz w:val="26"/>
          <w:szCs w:val="26"/>
        </w:rPr>
        <w:t>https://doi.org/10.5539/ibr.v4n3p145</w:t>
      </w:r>
    </w:p>
    <w:p w14:paraId="46F0C0A3" w14:textId="1180B707" w:rsidR="003C57AC" w:rsidRPr="00C950E1" w:rsidRDefault="003C57AC" w:rsidP="003C57AC">
      <w:pPr>
        <w:snapToGrid w:val="0"/>
        <w:spacing w:after="0" w:line="360" w:lineRule="exact"/>
        <w:ind w:left="630" w:hanging="630"/>
        <w:rPr>
          <w:rFonts w:ascii="Times New Roman" w:hAnsi="Times New Roman" w:cs="Times New Roman"/>
          <w:sz w:val="26"/>
          <w:szCs w:val="26"/>
        </w:rPr>
      </w:pPr>
      <w:proofErr w:type="spellStart"/>
      <w:r w:rsidRPr="009668EE">
        <w:rPr>
          <w:rFonts w:ascii="Times New Roman" w:hAnsi="Times New Roman" w:cs="Times New Roman"/>
          <w:sz w:val="26"/>
          <w:szCs w:val="26"/>
        </w:rPr>
        <w:t>Hellström</w:t>
      </w:r>
      <w:proofErr w:type="spellEnd"/>
      <w:r w:rsidRPr="009668EE">
        <w:rPr>
          <w:rFonts w:ascii="Times New Roman" w:hAnsi="Times New Roman" w:cs="Times New Roman"/>
          <w:sz w:val="26"/>
          <w:szCs w:val="26"/>
        </w:rPr>
        <w:t xml:space="preserve">, </w:t>
      </w:r>
      <w:hyperlink r:id="rId31" w:history="1">
        <w:r w:rsidRPr="009668EE">
          <w:rPr>
            <w:rFonts w:ascii="Times New Roman" w:hAnsi="Times New Roman" w:cs="Times New Roman"/>
            <w:sz w:val="26"/>
            <w:szCs w:val="26"/>
          </w:rPr>
          <w:t>K.</w:t>
        </w:r>
      </w:hyperlink>
      <w:r w:rsidRPr="009668EE">
        <w:rPr>
          <w:rFonts w:ascii="Times New Roman" w:hAnsi="Times New Roman" w:cs="Times New Roman"/>
          <w:sz w:val="26"/>
          <w:szCs w:val="26"/>
        </w:rPr>
        <w:t xml:space="preserve"> (2006). The </w:t>
      </w:r>
      <w:r w:rsidR="003D0CB6" w:rsidRPr="009668EE">
        <w:rPr>
          <w:rFonts w:ascii="Times New Roman" w:hAnsi="Times New Roman" w:cs="Times New Roman"/>
          <w:sz w:val="26"/>
          <w:szCs w:val="26"/>
        </w:rPr>
        <w:t>value relevance of financial accounting information in a transition economy</w:t>
      </w:r>
      <w:r w:rsidRPr="009668EE">
        <w:rPr>
          <w:rFonts w:ascii="Times New Roman" w:hAnsi="Times New Roman" w:cs="Times New Roman"/>
          <w:sz w:val="26"/>
          <w:szCs w:val="26"/>
        </w:rPr>
        <w:t>: The</w:t>
      </w:r>
      <w:r w:rsidR="003D0CB6" w:rsidRPr="009668EE">
        <w:rPr>
          <w:rFonts w:ascii="Times New Roman" w:hAnsi="Times New Roman" w:cs="Times New Roman"/>
          <w:sz w:val="26"/>
          <w:szCs w:val="26"/>
        </w:rPr>
        <w:t xml:space="preserve"> case of the</w:t>
      </w:r>
      <w:r w:rsidRPr="009668EE">
        <w:rPr>
          <w:rFonts w:ascii="Times New Roman" w:hAnsi="Times New Roman" w:cs="Times New Roman"/>
          <w:sz w:val="26"/>
          <w:szCs w:val="26"/>
        </w:rPr>
        <w:t xml:space="preserve"> Czech </w:t>
      </w:r>
      <w:r w:rsidR="00C87DC6">
        <w:rPr>
          <w:rFonts w:ascii="Times New Roman" w:hAnsi="Times New Roman" w:cs="Times New Roman"/>
          <w:sz w:val="26"/>
          <w:szCs w:val="26"/>
        </w:rPr>
        <w:t>R</w:t>
      </w:r>
      <w:r w:rsidR="003D0CB6" w:rsidRPr="009668EE">
        <w:rPr>
          <w:rFonts w:ascii="Times New Roman" w:hAnsi="Times New Roman" w:cs="Times New Roman"/>
          <w:sz w:val="26"/>
          <w:szCs w:val="26"/>
        </w:rPr>
        <w:t>epublic</w:t>
      </w:r>
      <w:r w:rsidRPr="009668EE">
        <w:rPr>
          <w:rFonts w:ascii="Times New Roman" w:hAnsi="Times New Roman" w:cs="Times New Roman"/>
          <w:sz w:val="26"/>
          <w:szCs w:val="26"/>
        </w:rPr>
        <w:t xml:space="preserve">. </w:t>
      </w:r>
      <w:hyperlink r:id="rId32" w:history="1">
        <w:r w:rsidRPr="005560F4">
          <w:rPr>
            <w:rFonts w:ascii="Times New Roman" w:hAnsi="Times New Roman" w:cs="Times New Roman"/>
            <w:i/>
            <w:iCs/>
            <w:sz w:val="26"/>
            <w:szCs w:val="26"/>
          </w:rPr>
          <w:t>European Accounting Review</w:t>
        </w:r>
        <w:r w:rsidRPr="009668EE">
          <w:rPr>
            <w:rFonts w:ascii="Times New Roman" w:hAnsi="Times New Roman" w:cs="Times New Roman"/>
            <w:sz w:val="26"/>
            <w:szCs w:val="26"/>
          </w:rPr>
          <w:t>, 15(3), 325-349.</w:t>
        </w:r>
        <w:r w:rsidR="003D0CB6">
          <w:rPr>
            <w:rFonts w:ascii="Times New Roman" w:hAnsi="Times New Roman" w:cs="Times New Roman"/>
            <w:sz w:val="26"/>
            <w:szCs w:val="26"/>
          </w:rPr>
          <w:t xml:space="preserve"> </w:t>
        </w:r>
      </w:hyperlink>
      <w:r w:rsidRPr="009668EE">
        <w:rPr>
          <w:rFonts w:ascii="Times New Roman" w:hAnsi="Times New Roman" w:cs="Times New Roman"/>
          <w:sz w:val="26"/>
          <w:szCs w:val="26"/>
        </w:rPr>
        <w:t xml:space="preserve"> </w:t>
      </w:r>
      <w:hyperlink r:id="rId33" w:history="1">
        <w:r w:rsidRPr="009668EE">
          <w:rPr>
            <w:rFonts w:ascii="Times New Roman" w:hAnsi="Times New Roman" w:cs="Times New Roman"/>
            <w:sz w:val="26"/>
            <w:szCs w:val="26"/>
          </w:rPr>
          <w:t>https://doi.org/10.1080/09638180600916242</w:t>
        </w:r>
      </w:hyperlink>
    </w:p>
    <w:p w14:paraId="1D1AF825" w14:textId="1A6685D4" w:rsidR="003C57AC" w:rsidRPr="00C950E1" w:rsidRDefault="003C57AC" w:rsidP="003C57AC">
      <w:pPr>
        <w:snapToGrid w:val="0"/>
        <w:spacing w:after="0" w:line="360" w:lineRule="exact"/>
        <w:ind w:left="630" w:hanging="630"/>
        <w:rPr>
          <w:rFonts w:ascii="Times New Roman" w:hAnsi="Times New Roman" w:cs="Times New Roman"/>
          <w:sz w:val="26"/>
          <w:szCs w:val="26"/>
        </w:rPr>
      </w:pPr>
      <w:r w:rsidRPr="00C950E1">
        <w:rPr>
          <w:rFonts w:ascii="Times New Roman" w:hAnsi="Times New Roman" w:cs="Times New Roman"/>
          <w:sz w:val="26"/>
          <w:szCs w:val="26"/>
        </w:rPr>
        <w:t>Holt, P. (2013). Earnings</w:t>
      </w:r>
      <w:r w:rsidR="003D0CB6" w:rsidRPr="00C950E1">
        <w:rPr>
          <w:rFonts w:ascii="Times New Roman" w:hAnsi="Times New Roman" w:cs="Times New Roman"/>
          <w:sz w:val="26"/>
          <w:szCs w:val="26"/>
        </w:rPr>
        <w:t xml:space="preserve"> quality as measured by predictability of reported earning</w:t>
      </w:r>
      <w:r w:rsidRPr="00C950E1">
        <w:rPr>
          <w:rFonts w:ascii="Times New Roman" w:hAnsi="Times New Roman" w:cs="Times New Roman"/>
          <w:sz w:val="26"/>
          <w:szCs w:val="26"/>
        </w:rPr>
        <w:t xml:space="preserve">s. </w:t>
      </w:r>
      <w:r w:rsidRPr="00C950E1">
        <w:rPr>
          <w:rFonts w:ascii="Times New Roman" w:hAnsi="Times New Roman" w:cs="Times New Roman"/>
          <w:i/>
          <w:iCs/>
          <w:sz w:val="26"/>
          <w:szCs w:val="26"/>
        </w:rPr>
        <w:t xml:space="preserve">Advances in </w:t>
      </w:r>
      <w:r w:rsidR="003D0CB6" w:rsidRPr="00C950E1">
        <w:rPr>
          <w:rFonts w:ascii="Times New Roman" w:hAnsi="Times New Roman" w:cs="Times New Roman"/>
          <w:i/>
          <w:iCs/>
          <w:sz w:val="26"/>
          <w:szCs w:val="26"/>
        </w:rPr>
        <w:t>Business Research,</w:t>
      </w:r>
      <w:r w:rsidRPr="00C950E1">
        <w:rPr>
          <w:rFonts w:ascii="Times New Roman" w:hAnsi="Times New Roman" w:cs="Times New Roman"/>
          <w:i/>
          <w:iCs/>
          <w:sz w:val="26"/>
          <w:szCs w:val="26"/>
        </w:rPr>
        <w:t xml:space="preserve"> 4</w:t>
      </w:r>
      <w:r w:rsidRPr="003D0CB6">
        <w:rPr>
          <w:rFonts w:ascii="Times New Roman" w:hAnsi="Times New Roman" w:cs="Times New Roman"/>
          <w:iCs/>
          <w:sz w:val="26"/>
          <w:szCs w:val="26"/>
        </w:rPr>
        <w:t>(1)</w:t>
      </w:r>
      <w:r w:rsidRPr="00C950E1">
        <w:rPr>
          <w:rFonts w:ascii="Times New Roman" w:hAnsi="Times New Roman" w:cs="Times New Roman"/>
          <w:i/>
          <w:iCs/>
          <w:sz w:val="26"/>
          <w:szCs w:val="26"/>
        </w:rPr>
        <w:t>,</w:t>
      </w:r>
      <w:r w:rsidRPr="00C950E1">
        <w:rPr>
          <w:rFonts w:ascii="Times New Roman" w:hAnsi="Times New Roman" w:cs="Times New Roman"/>
          <w:sz w:val="26"/>
          <w:szCs w:val="26"/>
        </w:rPr>
        <w:t xml:space="preserve"> 49-53.</w:t>
      </w:r>
    </w:p>
    <w:p w14:paraId="2EAE6F7F" w14:textId="59943C4C" w:rsidR="003C57AC" w:rsidRPr="00C950E1" w:rsidRDefault="003C57AC" w:rsidP="003C57AC">
      <w:pPr>
        <w:snapToGrid w:val="0"/>
        <w:spacing w:after="0" w:line="360" w:lineRule="exact"/>
        <w:ind w:left="630" w:hanging="630"/>
        <w:rPr>
          <w:rFonts w:ascii="Times New Roman" w:hAnsi="Times New Roman" w:cs="Times New Roman"/>
          <w:sz w:val="26"/>
          <w:szCs w:val="26"/>
        </w:rPr>
      </w:pPr>
      <w:r w:rsidRPr="00C950E1">
        <w:rPr>
          <w:rFonts w:ascii="Times New Roman" w:hAnsi="Times New Roman" w:cs="Times New Roman"/>
          <w:sz w:val="26"/>
          <w:szCs w:val="26"/>
        </w:rPr>
        <w:t>Hussein, M. A. (2009). Impacts of</w:t>
      </w:r>
      <w:r w:rsidR="003D0CB6" w:rsidRPr="00C950E1">
        <w:rPr>
          <w:rFonts w:ascii="Times New Roman" w:hAnsi="Times New Roman" w:cs="Times New Roman"/>
          <w:sz w:val="26"/>
          <w:szCs w:val="26"/>
        </w:rPr>
        <w:t xml:space="preserve"> foreign direct investment on economic growth in th</w:t>
      </w:r>
      <w:r w:rsidRPr="00C950E1">
        <w:rPr>
          <w:rFonts w:ascii="Times New Roman" w:hAnsi="Times New Roman" w:cs="Times New Roman"/>
          <w:sz w:val="26"/>
          <w:szCs w:val="26"/>
        </w:rPr>
        <w:t xml:space="preserve">e Gulf Cooperation Council (GCC) </w:t>
      </w:r>
      <w:r w:rsidR="003D0CB6" w:rsidRPr="00C950E1">
        <w:rPr>
          <w:rFonts w:ascii="Times New Roman" w:hAnsi="Times New Roman" w:cs="Times New Roman"/>
          <w:sz w:val="26"/>
          <w:szCs w:val="26"/>
        </w:rPr>
        <w:t>countries</w:t>
      </w:r>
      <w:r w:rsidRPr="00C950E1">
        <w:rPr>
          <w:rFonts w:ascii="Times New Roman" w:hAnsi="Times New Roman" w:cs="Times New Roman"/>
          <w:sz w:val="26"/>
          <w:szCs w:val="26"/>
        </w:rPr>
        <w:t xml:space="preserve">. </w:t>
      </w:r>
      <w:r w:rsidRPr="00C950E1">
        <w:rPr>
          <w:rFonts w:ascii="Times New Roman" w:hAnsi="Times New Roman" w:cs="Times New Roman"/>
          <w:i/>
          <w:iCs/>
          <w:sz w:val="26"/>
          <w:szCs w:val="26"/>
        </w:rPr>
        <w:t>International Review of Business Research Papers, 5</w:t>
      </w:r>
      <w:r w:rsidRPr="003D0CB6">
        <w:rPr>
          <w:rFonts w:ascii="Times New Roman" w:hAnsi="Times New Roman" w:cs="Times New Roman"/>
          <w:iCs/>
          <w:sz w:val="26"/>
          <w:szCs w:val="26"/>
        </w:rPr>
        <w:t>(3)</w:t>
      </w:r>
      <w:r w:rsidRPr="00C950E1">
        <w:rPr>
          <w:rFonts w:ascii="Times New Roman" w:hAnsi="Times New Roman" w:cs="Times New Roman"/>
          <w:i/>
          <w:iCs/>
          <w:sz w:val="26"/>
          <w:szCs w:val="26"/>
        </w:rPr>
        <w:t>,</w:t>
      </w:r>
      <w:r w:rsidRPr="00C950E1">
        <w:rPr>
          <w:rFonts w:ascii="Times New Roman" w:hAnsi="Times New Roman" w:cs="Times New Roman"/>
          <w:sz w:val="26"/>
          <w:szCs w:val="26"/>
        </w:rPr>
        <w:t xml:space="preserve"> 362-376. </w:t>
      </w:r>
    </w:p>
    <w:p w14:paraId="74F81C9F" w14:textId="7AF75E3D" w:rsidR="003C57AC" w:rsidRPr="00C950E1" w:rsidRDefault="003C57AC" w:rsidP="003C57AC">
      <w:pPr>
        <w:snapToGrid w:val="0"/>
        <w:spacing w:after="0" w:line="360" w:lineRule="exact"/>
        <w:ind w:left="630" w:hanging="630"/>
        <w:rPr>
          <w:rFonts w:ascii="Times New Roman" w:hAnsi="Times New Roman" w:cs="Times New Roman"/>
          <w:sz w:val="26"/>
          <w:szCs w:val="26"/>
        </w:rPr>
      </w:pPr>
      <w:r w:rsidRPr="00C950E1">
        <w:rPr>
          <w:rFonts w:ascii="Times New Roman" w:hAnsi="Times New Roman" w:cs="Times New Roman"/>
          <w:sz w:val="26"/>
          <w:szCs w:val="26"/>
        </w:rPr>
        <w:t xml:space="preserve">Jiang, </w:t>
      </w:r>
      <w:hyperlink r:id="rId34" w:history="1">
        <w:r w:rsidRPr="00C950E1">
          <w:rPr>
            <w:rFonts w:ascii="Times New Roman" w:hAnsi="Times New Roman" w:cs="Times New Roman"/>
            <w:sz w:val="26"/>
            <w:szCs w:val="26"/>
          </w:rPr>
          <w:t>L</w:t>
        </w:r>
        <w:r>
          <w:rPr>
            <w:rFonts w:ascii="Times New Roman" w:hAnsi="Times New Roman" w:cs="Times New Roman"/>
            <w:sz w:val="26"/>
            <w:szCs w:val="26"/>
          </w:rPr>
          <w:t>., &amp;</w:t>
        </w:r>
        <w:r w:rsidRPr="00C950E1">
          <w:rPr>
            <w:rFonts w:ascii="Times New Roman" w:hAnsi="Times New Roman" w:cs="Times New Roman"/>
            <w:sz w:val="26"/>
            <w:szCs w:val="26"/>
          </w:rPr>
          <w:t xml:space="preserve"> </w:t>
        </w:r>
      </w:hyperlink>
      <w:r w:rsidRPr="00C950E1">
        <w:rPr>
          <w:rFonts w:ascii="Times New Roman" w:hAnsi="Times New Roman" w:cs="Times New Roman"/>
          <w:sz w:val="26"/>
          <w:szCs w:val="26"/>
        </w:rPr>
        <w:t xml:space="preserve">Kim, </w:t>
      </w:r>
      <w:hyperlink r:id="rId35" w:history="1">
        <w:r>
          <w:rPr>
            <w:rFonts w:ascii="Times New Roman" w:hAnsi="Times New Roman" w:cs="Times New Roman"/>
            <w:sz w:val="26"/>
            <w:szCs w:val="26"/>
          </w:rPr>
          <w:t xml:space="preserve">J. </w:t>
        </w:r>
        <w:r w:rsidRPr="00C950E1">
          <w:rPr>
            <w:rFonts w:ascii="Times New Roman" w:hAnsi="Times New Roman" w:cs="Times New Roman"/>
            <w:sz w:val="26"/>
            <w:szCs w:val="26"/>
          </w:rPr>
          <w:t xml:space="preserve">B. </w:t>
        </w:r>
      </w:hyperlink>
      <w:r w:rsidRPr="00C950E1">
        <w:rPr>
          <w:rFonts w:ascii="Times New Roman" w:hAnsi="Times New Roman" w:cs="Times New Roman"/>
          <w:sz w:val="26"/>
          <w:szCs w:val="26"/>
        </w:rPr>
        <w:t xml:space="preserve">(2004). Foreign </w:t>
      </w:r>
      <w:r w:rsidR="003D0CB6" w:rsidRPr="00C950E1">
        <w:rPr>
          <w:rFonts w:ascii="Times New Roman" w:hAnsi="Times New Roman" w:cs="Times New Roman"/>
          <w:sz w:val="26"/>
          <w:szCs w:val="26"/>
        </w:rPr>
        <w:t>equity ownership and information asymmetry</w:t>
      </w:r>
      <w:r w:rsidRPr="00C950E1">
        <w:rPr>
          <w:rFonts w:ascii="Times New Roman" w:hAnsi="Times New Roman" w:cs="Times New Roman"/>
          <w:sz w:val="26"/>
          <w:szCs w:val="26"/>
        </w:rPr>
        <w:t xml:space="preserve">: Evidence from Japan. </w:t>
      </w:r>
      <w:r w:rsidRPr="00C950E1">
        <w:rPr>
          <w:rFonts w:ascii="Times New Roman" w:hAnsi="Times New Roman" w:cs="Times New Roman"/>
          <w:i/>
          <w:iCs/>
          <w:sz w:val="26"/>
          <w:szCs w:val="26"/>
        </w:rPr>
        <w:t xml:space="preserve">Journal of International </w:t>
      </w:r>
      <w:r w:rsidR="003D0CB6" w:rsidRPr="00C950E1">
        <w:rPr>
          <w:rFonts w:ascii="Times New Roman" w:hAnsi="Times New Roman" w:cs="Times New Roman"/>
          <w:i/>
          <w:iCs/>
          <w:sz w:val="26"/>
          <w:szCs w:val="26"/>
        </w:rPr>
        <w:t>Financial Managemen</w:t>
      </w:r>
      <w:r w:rsidRPr="00C950E1">
        <w:rPr>
          <w:rFonts w:ascii="Times New Roman" w:hAnsi="Times New Roman" w:cs="Times New Roman"/>
          <w:i/>
          <w:iCs/>
          <w:sz w:val="26"/>
          <w:szCs w:val="26"/>
        </w:rPr>
        <w:t>t and Accounting, 15</w:t>
      </w:r>
      <w:r w:rsidRPr="00B12BE9">
        <w:rPr>
          <w:rFonts w:ascii="Times New Roman" w:hAnsi="Times New Roman" w:cs="Times New Roman"/>
          <w:iCs/>
          <w:sz w:val="26"/>
          <w:szCs w:val="26"/>
        </w:rPr>
        <w:t>(3)</w:t>
      </w:r>
      <w:r w:rsidRPr="00C950E1">
        <w:rPr>
          <w:rFonts w:ascii="Times New Roman" w:hAnsi="Times New Roman" w:cs="Times New Roman"/>
          <w:i/>
          <w:iCs/>
          <w:sz w:val="26"/>
          <w:szCs w:val="26"/>
        </w:rPr>
        <w:t>,</w:t>
      </w:r>
      <w:r w:rsidRPr="00C950E1">
        <w:rPr>
          <w:rFonts w:ascii="Times New Roman" w:hAnsi="Times New Roman" w:cs="Times New Roman"/>
          <w:sz w:val="26"/>
          <w:szCs w:val="26"/>
        </w:rPr>
        <w:t xml:space="preserve"> 185-211. </w:t>
      </w:r>
      <w:hyperlink r:id="rId36" w:history="1">
        <w:r w:rsidRPr="00C950E1">
          <w:rPr>
            <w:rFonts w:ascii="Times New Roman" w:hAnsi="Times New Roman" w:cs="Times New Roman"/>
            <w:sz w:val="26"/>
            <w:szCs w:val="26"/>
          </w:rPr>
          <w:t>https://doi.org/10.1111/j.1467-646X.2004.00107.x</w:t>
        </w:r>
      </w:hyperlink>
    </w:p>
    <w:p w14:paraId="6D6EF685" w14:textId="11FA3494" w:rsidR="003C57AC" w:rsidRPr="00C950E1" w:rsidRDefault="003C57AC" w:rsidP="003C57AC">
      <w:pPr>
        <w:snapToGrid w:val="0"/>
        <w:spacing w:after="0" w:line="360" w:lineRule="exact"/>
        <w:ind w:left="630" w:hanging="630"/>
        <w:rPr>
          <w:rFonts w:ascii="Times New Roman" w:hAnsi="Times New Roman" w:cs="Times New Roman"/>
          <w:sz w:val="26"/>
          <w:szCs w:val="26"/>
        </w:rPr>
      </w:pPr>
      <w:r w:rsidRPr="00C950E1">
        <w:rPr>
          <w:rFonts w:ascii="Times New Roman" w:hAnsi="Times New Roman" w:cs="Times New Roman"/>
          <w:sz w:val="26"/>
          <w:szCs w:val="26"/>
        </w:rPr>
        <w:t xml:space="preserve">Jung, </w:t>
      </w:r>
      <w:hyperlink r:id="rId37" w:history="1">
        <w:r w:rsidRPr="00C950E1">
          <w:rPr>
            <w:rFonts w:ascii="Times New Roman" w:hAnsi="Times New Roman" w:cs="Times New Roman"/>
            <w:sz w:val="26"/>
            <w:szCs w:val="26"/>
          </w:rPr>
          <w:t>B. C.</w:t>
        </w:r>
        <w:r>
          <w:rPr>
            <w:rFonts w:ascii="Times New Roman" w:hAnsi="Times New Roman" w:cs="Times New Roman"/>
            <w:sz w:val="26"/>
            <w:szCs w:val="26"/>
          </w:rPr>
          <w:t>,</w:t>
        </w:r>
        <w:r w:rsidRPr="00C950E1">
          <w:rPr>
            <w:rFonts w:ascii="Times New Roman" w:hAnsi="Times New Roman" w:cs="Times New Roman"/>
            <w:sz w:val="26"/>
            <w:szCs w:val="26"/>
          </w:rPr>
          <w:t xml:space="preserve"> </w:t>
        </w:r>
      </w:hyperlink>
      <w:r w:rsidRPr="00C950E1">
        <w:rPr>
          <w:rFonts w:ascii="Times New Roman" w:hAnsi="Times New Roman" w:cs="Times New Roman"/>
          <w:sz w:val="26"/>
          <w:szCs w:val="26"/>
        </w:rPr>
        <w:t xml:space="preserve"> Lee, </w:t>
      </w:r>
      <w:hyperlink r:id="rId38" w:history="1">
        <w:r w:rsidRPr="00C950E1">
          <w:rPr>
            <w:rFonts w:ascii="Times New Roman" w:hAnsi="Times New Roman" w:cs="Times New Roman"/>
            <w:sz w:val="26"/>
            <w:szCs w:val="26"/>
          </w:rPr>
          <w:t>D.</w:t>
        </w:r>
        <w:r>
          <w:rPr>
            <w:rFonts w:ascii="Times New Roman" w:hAnsi="Times New Roman" w:cs="Times New Roman"/>
            <w:sz w:val="26"/>
            <w:szCs w:val="26"/>
          </w:rPr>
          <w:t>,</w:t>
        </w:r>
        <w:r w:rsidRPr="00C950E1">
          <w:rPr>
            <w:rFonts w:ascii="Times New Roman" w:hAnsi="Times New Roman" w:cs="Times New Roman"/>
            <w:sz w:val="26"/>
            <w:szCs w:val="26"/>
          </w:rPr>
          <w:t xml:space="preserve"> </w:t>
        </w:r>
      </w:hyperlink>
      <w:r>
        <w:rPr>
          <w:rFonts w:ascii="Times New Roman" w:hAnsi="Times New Roman" w:cs="Times New Roman"/>
          <w:sz w:val="26"/>
          <w:szCs w:val="26"/>
        </w:rPr>
        <w:t xml:space="preserve"> Shin, I.,</w:t>
      </w:r>
      <w:r w:rsidRPr="00C950E1">
        <w:rPr>
          <w:rFonts w:ascii="Times New Roman" w:hAnsi="Times New Roman" w:cs="Times New Roman"/>
          <w:sz w:val="26"/>
          <w:szCs w:val="26"/>
        </w:rPr>
        <w:t xml:space="preserve"> &amp; Yuen, </w:t>
      </w:r>
      <w:hyperlink r:id="rId39" w:history="1">
        <w:r w:rsidRPr="00C950E1">
          <w:rPr>
            <w:rFonts w:ascii="Times New Roman" w:hAnsi="Times New Roman" w:cs="Times New Roman"/>
            <w:sz w:val="26"/>
            <w:szCs w:val="26"/>
          </w:rPr>
          <w:t>C. Y. D. (2020)</w:t>
        </w:r>
        <w:r>
          <w:rPr>
            <w:rFonts w:ascii="Times New Roman" w:hAnsi="Times New Roman" w:cs="Times New Roman"/>
            <w:sz w:val="26"/>
            <w:szCs w:val="26"/>
          </w:rPr>
          <w:t>.</w:t>
        </w:r>
        <w:r w:rsidRPr="00C950E1">
          <w:rPr>
            <w:rFonts w:ascii="Times New Roman" w:hAnsi="Times New Roman" w:cs="Times New Roman"/>
            <w:sz w:val="26"/>
            <w:szCs w:val="26"/>
          </w:rPr>
          <w:t xml:space="preserve"> </w:t>
        </w:r>
      </w:hyperlink>
      <w:r w:rsidRPr="00C950E1">
        <w:rPr>
          <w:rFonts w:ascii="Times New Roman" w:hAnsi="Times New Roman" w:cs="Times New Roman"/>
          <w:sz w:val="26"/>
          <w:szCs w:val="26"/>
        </w:rPr>
        <w:t xml:space="preserve">Foreign </w:t>
      </w:r>
      <w:r w:rsidR="003D0CB6" w:rsidRPr="00C950E1">
        <w:rPr>
          <w:rFonts w:ascii="Times New Roman" w:hAnsi="Times New Roman" w:cs="Times New Roman"/>
          <w:sz w:val="26"/>
          <w:szCs w:val="26"/>
        </w:rPr>
        <w:t>equity ownership and income smoothing</w:t>
      </w:r>
      <w:r w:rsidRPr="00C950E1">
        <w:rPr>
          <w:rFonts w:ascii="Times New Roman" w:hAnsi="Times New Roman" w:cs="Times New Roman"/>
          <w:sz w:val="26"/>
          <w:szCs w:val="26"/>
        </w:rPr>
        <w:t xml:space="preserve">. </w:t>
      </w:r>
      <w:r w:rsidRPr="00C950E1">
        <w:rPr>
          <w:rFonts w:ascii="Times New Roman" w:hAnsi="Times New Roman" w:cs="Times New Roman"/>
          <w:i/>
          <w:iCs/>
          <w:sz w:val="26"/>
          <w:szCs w:val="26"/>
        </w:rPr>
        <w:t>Journal of International Accounting Research</w:t>
      </w:r>
      <w:r>
        <w:rPr>
          <w:rFonts w:ascii="Times New Roman" w:hAnsi="Times New Roman" w:cs="Times New Roman"/>
          <w:i/>
          <w:iCs/>
          <w:sz w:val="26"/>
          <w:szCs w:val="26"/>
        </w:rPr>
        <w:t>, 19</w:t>
      </w:r>
      <w:r w:rsidRPr="003D0CB6">
        <w:rPr>
          <w:rFonts w:ascii="Times New Roman" w:hAnsi="Times New Roman" w:cs="Times New Roman"/>
          <w:iCs/>
          <w:sz w:val="26"/>
          <w:szCs w:val="26"/>
        </w:rPr>
        <w:t>(2)</w:t>
      </w:r>
      <w:r>
        <w:rPr>
          <w:rFonts w:ascii="Times New Roman" w:hAnsi="Times New Roman" w:cs="Times New Roman"/>
          <w:i/>
          <w:iCs/>
          <w:sz w:val="26"/>
          <w:szCs w:val="26"/>
        </w:rPr>
        <w:t>,</w:t>
      </w:r>
      <w:r>
        <w:rPr>
          <w:rFonts w:ascii="Times New Roman" w:hAnsi="Times New Roman" w:cs="Times New Roman"/>
          <w:sz w:val="26"/>
          <w:szCs w:val="26"/>
        </w:rPr>
        <w:t>141-162.</w:t>
      </w:r>
      <w:r w:rsidRPr="00C950E1">
        <w:rPr>
          <w:rFonts w:ascii="Times New Roman" w:hAnsi="Times New Roman" w:cs="Times New Roman"/>
          <w:sz w:val="26"/>
          <w:szCs w:val="26"/>
        </w:rPr>
        <w:t xml:space="preserve"> </w:t>
      </w:r>
      <w:hyperlink r:id="rId40" w:tgtFrame="_blank" w:history="1">
        <w:r w:rsidRPr="00C950E1">
          <w:rPr>
            <w:rFonts w:ascii="Times New Roman" w:hAnsi="Times New Roman" w:cs="Times New Roman"/>
            <w:sz w:val="26"/>
            <w:szCs w:val="26"/>
          </w:rPr>
          <w:t>https://doi.org/10.2308/jiar-19-514</w:t>
        </w:r>
      </w:hyperlink>
      <w:r w:rsidRPr="00C950E1">
        <w:rPr>
          <w:rFonts w:ascii="Times New Roman" w:hAnsi="Times New Roman" w:cs="Times New Roman"/>
          <w:sz w:val="26"/>
          <w:szCs w:val="26"/>
        </w:rPr>
        <w:t>.</w:t>
      </w:r>
    </w:p>
    <w:p w14:paraId="54F448C5" w14:textId="46BFCB9C" w:rsidR="003C57AC" w:rsidRPr="00C950E1" w:rsidRDefault="003C57AC" w:rsidP="003C57AC">
      <w:pPr>
        <w:snapToGrid w:val="0"/>
        <w:spacing w:after="0" w:line="360" w:lineRule="exact"/>
        <w:ind w:left="630" w:hanging="630"/>
        <w:rPr>
          <w:rFonts w:ascii="Times New Roman" w:hAnsi="Times New Roman" w:cs="Times New Roman"/>
          <w:sz w:val="26"/>
          <w:szCs w:val="26"/>
        </w:rPr>
      </w:pPr>
      <w:r w:rsidRPr="00C950E1">
        <w:rPr>
          <w:rFonts w:ascii="Times New Roman" w:hAnsi="Times New Roman" w:cs="Times New Roman"/>
          <w:sz w:val="26"/>
          <w:szCs w:val="26"/>
        </w:rPr>
        <w:t>Kadri, M.</w:t>
      </w:r>
      <w:r>
        <w:rPr>
          <w:rFonts w:ascii="Times New Roman" w:hAnsi="Times New Roman" w:cs="Times New Roman"/>
          <w:sz w:val="26"/>
          <w:szCs w:val="26"/>
        </w:rPr>
        <w:t xml:space="preserve"> </w:t>
      </w:r>
      <w:r w:rsidRPr="00C950E1">
        <w:rPr>
          <w:rFonts w:ascii="Times New Roman" w:hAnsi="Times New Roman" w:cs="Times New Roman"/>
          <w:sz w:val="26"/>
          <w:szCs w:val="26"/>
        </w:rPr>
        <w:t xml:space="preserve">H., Abdul Aziz, R., </w:t>
      </w:r>
      <w:r>
        <w:rPr>
          <w:rFonts w:ascii="Times New Roman" w:hAnsi="Times New Roman" w:cs="Times New Roman"/>
          <w:sz w:val="26"/>
          <w:szCs w:val="26"/>
        </w:rPr>
        <w:t xml:space="preserve">&amp; </w:t>
      </w:r>
      <w:r w:rsidRPr="00C950E1">
        <w:rPr>
          <w:rFonts w:ascii="Times New Roman" w:hAnsi="Times New Roman" w:cs="Times New Roman"/>
          <w:sz w:val="26"/>
          <w:szCs w:val="26"/>
        </w:rPr>
        <w:t xml:space="preserve">Ibrahim, M. K. (2009). Value </w:t>
      </w:r>
      <w:r w:rsidR="003D0CB6" w:rsidRPr="00C950E1">
        <w:rPr>
          <w:rFonts w:ascii="Times New Roman" w:hAnsi="Times New Roman" w:cs="Times New Roman"/>
          <w:sz w:val="26"/>
          <w:szCs w:val="26"/>
        </w:rPr>
        <w:t>relevance of book value and earnings</w:t>
      </w:r>
      <w:r w:rsidRPr="00C950E1">
        <w:rPr>
          <w:rFonts w:ascii="Times New Roman" w:hAnsi="Times New Roman" w:cs="Times New Roman"/>
          <w:sz w:val="26"/>
          <w:szCs w:val="26"/>
        </w:rPr>
        <w:t xml:space="preserve">: Evidence from </w:t>
      </w:r>
      <w:r w:rsidR="003D0CB6" w:rsidRPr="00C950E1">
        <w:rPr>
          <w:rFonts w:ascii="Times New Roman" w:hAnsi="Times New Roman" w:cs="Times New Roman"/>
          <w:sz w:val="26"/>
          <w:szCs w:val="26"/>
        </w:rPr>
        <w:t>two different financial reporting regime</w:t>
      </w:r>
      <w:r w:rsidRPr="00C950E1">
        <w:rPr>
          <w:rFonts w:ascii="Times New Roman" w:hAnsi="Times New Roman" w:cs="Times New Roman"/>
          <w:sz w:val="26"/>
          <w:szCs w:val="26"/>
        </w:rPr>
        <w:t xml:space="preserve">s. </w:t>
      </w:r>
      <w:r w:rsidRPr="00C950E1">
        <w:rPr>
          <w:rFonts w:ascii="Times New Roman" w:hAnsi="Times New Roman" w:cs="Times New Roman"/>
          <w:i/>
          <w:iCs/>
          <w:sz w:val="26"/>
          <w:szCs w:val="26"/>
        </w:rPr>
        <w:t>Journal of Financial Reporting &amp; Accounting, 7</w:t>
      </w:r>
      <w:r w:rsidRPr="003D0CB6">
        <w:rPr>
          <w:rFonts w:ascii="Times New Roman" w:hAnsi="Times New Roman" w:cs="Times New Roman"/>
          <w:iCs/>
          <w:sz w:val="26"/>
          <w:szCs w:val="26"/>
        </w:rPr>
        <w:t>(1)</w:t>
      </w:r>
      <w:r w:rsidRPr="00C950E1">
        <w:rPr>
          <w:rFonts w:ascii="Times New Roman" w:hAnsi="Times New Roman" w:cs="Times New Roman"/>
          <w:i/>
          <w:iCs/>
          <w:sz w:val="26"/>
          <w:szCs w:val="26"/>
        </w:rPr>
        <w:t>,</w:t>
      </w:r>
      <w:r w:rsidRPr="00C950E1">
        <w:rPr>
          <w:rFonts w:ascii="Times New Roman" w:hAnsi="Times New Roman" w:cs="Times New Roman"/>
          <w:sz w:val="26"/>
          <w:szCs w:val="26"/>
        </w:rPr>
        <w:t xml:space="preserve"> 1-16. </w:t>
      </w:r>
      <w:r w:rsidR="00C87DC6">
        <w:rPr>
          <w:rFonts w:ascii="Times New Roman" w:hAnsi="Times New Roman" w:cs="Times New Roman"/>
          <w:sz w:val="26"/>
          <w:szCs w:val="26"/>
        </w:rPr>
        <w:t>https://doi.org/</w:t>
      </w:r>
      <w:r w:rsidR="00C87DC6" w:rsidRPr="00C950E1">
        <w:rPr>
          <w:rFonts w:ascii="Times New Roman" w:hAnsi="Times New Roman" w:cs="Times New Roman"/>
          <w:sz w:val="26"/>
          <w:szCs w:val="26"/>
        </w:rPr>
        <w:t>10.1108/19852510980000638</w:t>
      </w:r>
    </w:p>
    <w:p w14:paraId="3A98A288" w14:textId="73A85942" w:rsidR="003C57AC" w:rsidRPr="00C950E1" w:rsidRDefault="003C57AC" w:rsidP="003C57AC">
      <w:pPr>
        <w:snapToGrid w:val="0"/>
        <w:spacing w:after="0" w:line="360" w:lineRule="exact"/>
        <w:ind w:left="630" w:hanging="630"/>
        <w:rPr>
          <w:rFonts w:ascii="Times New Roman" w:hAnsi="Times New Roman" w:cs="Times New Roman"/>
          <w:sz w:val="26"/>
          <w:szCs w:val="26"/>
        </w:rPr>
      </w:pPr>
      <w:r w:rsidRPr="00C950E1">
        <w:rPr>
          <w:rFonts w:ascii="Times New Roman" w:hAnsi="Times New Roman" w:cs="Times New Roman"/>
          <w:sz w:val="26"/>
          <w:szCs w:val="26"/>
        </w:rPr>
        <w:t xml:space="preserve">Khalil, M., </w:t>
      </w:r>
      <w:proofErr w:type="spellStart"/>
      <w:r w:rsidRPr="00C950E1">
        <w:rPr>
          <w:rFonts w:ascii="Times New Roman" w:hAnsi="Times New Roman" w:cs="Times New Roman"/>
          <w:sz w:val="26"/>
          <w:szCs w:val="26"/>
        </w:rPr>
        <w:t>Ozkanc</w:t>
      </w:r>
      <w:proofErr w:type="spellEnd"/>
      <w:r w:rsidRPr="00C950E1">
        <w:rPr>
          <w:rFonts w:ascii="Times New Roman" w:hAnsi="Times New Roman" w:cs="Times New Roman"/>
          <w:sz w:val="26"/>
          <w:szCs w:val="26"/>
        </w:rPr>
        <w:t>, A</w:t>
      </w:r>
      <w:r>
        <w:rPr>
          <w:rFonts w:ascii="Times New Roman" w:hAnsi="Times New Roman" w:cs="Times New Roman"/>
          <w:sz w:val="26"/>
          <w:szCs w:val="26"/>
        </w:rPr>
        <w:t>.,</w:t>
      </w:r>
      <w:r w:rsidRPr="00C950E1">
        <w:rPr>
          <w:rFonts w:ascii="Times New Roman" w:hAnsi="Times New Roman" w:cs="Times New Roman"/>
          <w:sz w:val="26"/>
          <w:szCs w:val="26"/>
        </w:rPr>
        <w:t xml:space="preserve"> &amp; </w:t>
      </w:r>
      <w:proofErr w:type="spellStart"/>
      <w:r w:rsidRPr="00C950E1">
        <w:rPr>
          <w:rFonts w:ascii="Times New Roman" w:hAnsi="Times New Roman" w:cs="Times New Roman"/>
          <w:sz w:val="26"/>
          <w:szCs w:val="26"/>
        </w:rPr>
        <w:t>Yildiz</w:t>
      </w:r>
      <w:proofErr w:type="spellEnd"/>
      <w:r w:rsidRPr="00C950E1">
        <w:rPr>
          <w:rFonts w:ascii="Times New Roman" w:hAnsi="Times New Roman" w:cs="Times New Roman"/>
          <w:sz w:val="26"/>
          <w:szCs w:val="26"/>
        </w:rPr>
        <w:t xml:space="preserve">, Y. (2020). Foreign institutional ownership and demand for accounting conservatism: </w:t>
      </w:r>
      <w:r w:rsidR="00B12BE9" w:rsidRPr="00C950E1">
        <w:rPr>
          <w:rFonts w:ascii="Times New Roman" w:hAnsi="Times New Roman" w:cs="Times New Roman"/>
          <w:sz w:val="26"/>
          <w:szCs w:val="26"/>
        </w:rPr>
        <w:t xml:space="preserve">Evidence </w:t>
      </w:r>
      <w:r w:rsidRPr="00C950E1">
        <w:rPr>
          <w:rFonts w:ascii="Times New Roman" w:hAnsi="Times New Roman" w:cs="Times New Roman"/>
          <w:sz w:val="26"/>
          <w:szCs w:val="26"/>
        </w:rPr>
        <w:t xml:space="preserve">from an emerging market. </w:t>
      </w:r>
      <w:r w:rsidRPr="00C950E1">
        <w:rPr>
          <w:rFonts w:ascii="Times New Roman" w:hAnsi="Times New Roman" w:cs="Times New Roman"/>
          <w:i/>
          <w:iCs/>
          <w:sz w:val="26"/>
          <w:szCs w:val="26"/>
        </w:rPr>
        <w:lastRenderedPageBreak/>
        <w:t>Review of Quantitative Finance and Accounting, 55,</w:t>
      </w:r>
      <w:r w:rsidRPr="00C950E1">
        <w:rPr>
          <w:rFonts w:ascii="Times New Roman" w:hAnsi="Times New Roman" w:cs="Times New Roman"/>
          <w:sz w:val="26"/>
          <w:szCs w:val="26"/>
        </w:rPr>
        <w:t xml:space="preserve"> 1</w:t>
      </w:r>
      <w:r w:rsidR="00C87DC6">
        <w:rPr>
          <w:rFonts w:ascii="Times New Roman" w:hAnsi="Times New Roman" w:cs="Times New Roman"/>
          <w:sz w:val="26"/>
          <w:szCs w:val="26"/>
        </w:rPr>
        <w:t>-</w:t>
      </w:r>
      <w:r w:rsidRPr="00C950E1">
        <w:rPr>
          <w:rFonts w:ascii="Times New Roman" w:hAnsi="Times New Roman" w:cs="Times New Roman"/>
          <w:sz w:val="26"/>
          <w:szCs w:val="26"/>
        </w:rPr>
        <w:t xml:space="preserve">27. </w:t>
      </w:r>
      <w:r w:rsidR="00C87DC6" w:rsidRPr="00C95423">
        <w:rPr>
          <w:rFonts w:ascii="Times New Roman" w:hAnsi="Times New Roman" w:cs="Times New Roman"/>
          <w:sz w:val="26"/>
          <w:szCs w:val="26"/>
        </w:rPr>
        <w:t xml:space="preserve">https://doi.org/ </w:t>
      </w:r>
      <w:hyperlink r:id="rId41" w:history="1">
        <w:r w:rsidR="00C87DC6" w:rsidRPr="00C95423">
          <w:rPr>
            <w:rFonts w:ascii="Times New Roman" w:hAnsi="Times New Roman" w:cs="Times New Roman"/>
            <w:sz w:val="26"/>
            <w:szCs w:val="26"/>
          </w:rPr>
          <w:t>https://doi.org/10.1007/s11156-019-00834-3</w:t>
        </w:r>
      </w:hyperlink>
    </w:p>
    <w:p w14:paraId="0CA003A4" w14:textId="5567CAC1" w:rsidR="003C57AC" w:rsidRPr="00C950E1" w:rsidRDefault="003C57AC" w:rsidP="003C57AC">
      <w:pPr>
        <w:snapToGrid w:val="0"/>
        <w:spacing w:after="0" w:line="360" w:lineRule="exact"/>
        <w:ind w:left="630" w:hanging="630"/>
        <w:rPr>
          <w:rFonts w:ascii="Times New Roman" w:hAnsi="Times New Roman" w:cs="Times New Roman"/>
          <w:sz w:val="26"/>
          <w:szCs w:val="26"/>
        </w:rPr>
      </w:pPr>
      <w:r w:rsidRPr="00C950E1">
        <w:rPr>
          <w:rFonts w:ascii="Times New Roman" w:hAnsi="Times New Roman" w:cs="Times New Roman"/>
          <w:sz w:val="26"/>
          <w:szCs w:val="26"/>
        </w:rPr>
        <w:t>Khayat, S. H. (2020). Determinants of</w:t>
      </w:r>
      <w:r w:rsidR="003D0CB6" w:rsidRPr="00C950E1">
        <w:rPr>
          <w:rFonts w:ascii="Times New Roman" w:hAnsi="Times New Roman" w:cs="Times New Roman"/>
          <w:sz w:val="26"/>
          <w:szCs w:val="26"/>
        </w:rPr>
        <w:t xml:space="preserve"> international foreign portfolio investment flow</w:t>
      </w:r>
      <w:r w:rsidRPr="00C950E1">
        <w:rPr>
          <w:rFonts w:ascii="Times New Roman" w:hAnsi="Times New Roman" w:cs="Times New Roman"/>
          <w:sz w:val="26"/>
          <w:szCs w:val="26"/>
        </w:rPr>
        <w:t xml:space="preserve">s to GCC </w:t>
      </w:r>
      <w:r w:rsidR="003D0CB6" w:rsidRPr="00C950E1">
        <w:rPr>
          <w:rFonts w:ascii="Times New Roman" w:hAnsi="Times New Roman" w:cs="Times New Roman"/>
          <w:sz w:val="26"/>
          <w:szCs w:val="26"/>
        </w:rPr>
        <w:t>countries</w:t>
      </w:r>
      <w:r w:rsidRPr="00C950E1">
        <w:rPr>
          <w:rFonts w:ascii="Times New Roman" w:hAnsi="Times New Roman" w:cs="Times New Roman"/>
          <w:sz w:val="26"/>
          <w:szCs w:val="26"/>
        </w:rPr>
        <w:t xml:space="preserve">: An </w:t>
      </w:r>
      <w:r w:rsidR="003D0CB6" w:rsidRPr="00C950E1">
        <w:rPr>
          <w:rFonts w:ascii="Times New Roman" w:hAnsi="Times New Roman" w:cs="Times New Roman"/>
          <w:sz w:val="26"/>
          <w:szCs w:val="26"/>
        </w:rPr>
        <w:t>emp</w:t>
      </w:r>
      <w:r w:rsidR="003D0CB6" w:rsidRPr="00C95423">
        <w:rPr>
          <w:rFonts w:ascii="Times New Roman" w:hAnsi="Times New Roman" w:cs="Times New Roman"/>
          <w:sz w:val="26"/>
          <w:szCs w:val="26"/>
        </w:rPr>
        <w:t>irical evidence</w:t>
      </w:r>
      <w:r w:rsidRPr="00C95423">
        <w:rPr>
          <w:rFonts w:ascii="Times New Roman" w:hAnsi="Times New Roman" w:cs="Times New Roman"/>
          <w:sz w:val="26"/>
          <w:szCs w:val="26"/>
        </w:rPr>
        <w:t xml:space="preserve">. </w:t>
      </w:r>
      <w:r w:rsidRPr="00C95423">
        <w:rPr>
          <w:rFonts w:ascii="Times New Roman" w:hAnsi="Times New Roman" w:cs="Times New Roman"/>
          <w:i/>
          <w:iCs/>
          <w:sz w:val="26"/>
          <w:szCs w:val="26"/>
        </w:rPr>
        <w:t>International Journal of Business and Management, 15</w:t>
      </w:r>
      <w:r w:rsidRPr="00C95423">
        <w:rPr>
          <w:rFonts w:ascii="Times New Roman" w:hAnsi="Times New Roman" w:cs="Times New Roman"/>
          <w:iCs/>
          <w:sz w:val="26"/>
          <w:szCs w:val="26"/>
        </w:rPr>
        <w:t>(10)</w:t>
      </w:r>
      <w:r w:rsidRPr="00C95423">
        <w:rPr>
          <w:rFonts w:ascii="Times New Roman" w:hAnsi="Times New Roman" w:cs="Times New Roman"/>
          <w:i/>
          <w:iCs/>
          <w:sz w:val="26"/>
          <w:szCs w:val="26"/>
        </w:rPr>
        <w:t>,</w:t>
      </w:r>
      <w:r w:rsidRPr="00C95423">
        <w:rPr>
          <w:rFonts w:ascii="Times New Roman" w:hAnsi="Times New Roman" w:cs="Times New Roman"/>
          <w:sz w:val="26"/>
          <w:szCs w:val="26"/>
        </w:rPr>
        <w:t xml:space="preserve"> 51-59. </w:t>
      </w:r>
      <w:r w:rsidR="00C87DC6" w:rsidRPr="00C95423">
        <w:rPr>
          <w:rFonts w:ascii="Times New Roman" w:hAnsi="Times New Roman" w:cs="Times New Roman"/>
          <w:sz w:val="26"/>
          <w:szCs w:val="26"/>
        </w:rPr>
        <w:t>https://doi.org/10.5539/ijbm.v15n10p51</w:t>
      </w:r>
    </w:p>
    <w:p w14:paraId="71B861F3" w14:textId="122FE253" w:rsidR="003C57AC" w:rsidRPr="00C950E1" w:rsidRDefault="003C57AC" w:rsidP="003C57AC">
      <w:pPr>
        <w:snapToGrid w:val="0"/>
        <w:spacing w:after="0" w:line="360" w:lineRule="exact"/>
        <w:ind w:left="630" w:hanging="630"/>
        <w:rPr>
          <w:rFonts w:ascii="Times New Roman" w:hAnsi="Times New Roman" w:cs="Times New Roman"/>
          <w:sz w:val="26"/>
          <w:szCs w:val="26"/>
        </w:rPr>
      </w:pPr>
      <w:r w:rsidRPr="00C950E1">
        <w:rPr>
          <w:rFonts w:ascii="Times New Roman" w:hAnsi="Times New Roman" w:cs="Times New Roman"/>
          <w:sz w:val="26"/>
          <w:szCs w:val="26"/>
        </w:rPr>
        <w:t>Kim, Y., Li, S., Pan, C.</w:t>
      </w:r>
      <w:r w:rsidR="00013DE7">
        <w:rPr>
          <w:rFonts w:ascii="Times New Roman" w:hAnsi="Times New Roman" w:cs="Times New Roman"/>
          <w:sz w:val="26"/>
          <w:szCs w:val="26"/>
        </w:rPr>
        <w:t xml:space="preserve"> H.</w:t>
      </w:r>
      <w:r w:rsidRPr="00C950E1">
        <w:rPr>
          <w:rFonts w:ascii="Times New Roman" w:hAnsi="Times New Roman" w:cs="Times New Roman"/>
          <w:sz w:val="26"/>
          <w:szCs w:val="26"/>
        </w:rPr>
        <w:t xml:space="preserve">, &amp; </w:t>
      </w:r>
      <w:proofErr w:type="spellStart"/>
      <w:r w:rsidRPr="00C950E1">
        <w:rPr>
          <w:rFonts w:ascii="Times New Roman" w:hAnsi="Times New Roman" w:cs="Times New Roman"/>
          <w:sz w:val="26"/>
          <w:szCs w:val="26"/>
        </w:rPr>
        <w:t>Zuo</w:t>
      </w:r>
      <w:proofErr w:type="spellEnd"/>
      <w:r w:rsidRPr="00C950E1">
        <w:rPr>
          <w:rFonts w:ascii="Times New Roman" w:hAnsi="Times New Roman" w:cs="Times New Roman"/>
          <w:sz w:val="26"/>
          <w:szCs w:val="26"/>
        </w:rPr>
        <w:t xml:space="preserve">, L. (2013).  The role of accounting conservatism in the equity market: </w:t>
      </w:r>
      <w:r w:rsidR="003D0CB6" w:rsidRPr="00C950E1">
        <w:rPr>
          <w:rFonts w:ascii="Times New Roman" w:hAnsi="Times New Roman" w:cs="Times New Roman"/>
          <w:sz w:val="26"/>
          <w:szCs w:val="26"/>
        </w:rPr>
        <w:t xml:space="preserve">Evidence </w:t>
      </w:r>
      <w:r w:rsidRPr="00C950E1">
        <w:rPr>
          <w:rFonts w:ascii="Times New Roman" w:hAnsi="Times New Roman" w:cs="Times New Roman"/>
          <w:sz w:val="26"/>
          <w:szCs w:val="26"/>
        </w:rPr>
        <w:t xml:space="preserve">from seasoned equity offerings. </w:t>
      </w:r>
      <w:r w:rsidRPr="00C950E1">
        <w:rPr>
          <w:rFonts w:ascii="Times New Roman" w:hAnsi="Times New Roman" w:cs="Times New Roman"/>
          <w:i/>
          <w:iCs/>
          <w:sz w:val="26"/>
          <w:szCs w:val="26"/>
        </w:rPr>
        <w:t>The Accounting Review, 88</w:t>
      </w:r>
      <w:r w:rsidRPr="003D0CB6">
        <w:rPr>
          <w:rFonts w:ascii="Times New Roman" w:hAnsi="Times New Roman" w:cs="Times New Roman"/>
          <w:iCs/>
          <w:sz w:val="26"/>
          <w:szCs w:val="26"/>
        </w:rPr>
        <w:t>(2)</w:t>
      </w:r>
      <w:r w:rsidRPr="00C950E1">
        <w:rPr>
          <w:rFonts w:ascii="Times New Roman" w:hAnsi="Times New Roman" w:cs="Times New Roman"/>
          <w:i/>
          <w:iCs/>
          <w:sz w:val="26"/>
          <w:szCs w:val="26"/>
        </w:rPr>
        <w:t>,</w:t>
      </w:r>
      <w:r w:rsidRPr="00C950E1">
        <w:rPr>
          <w:rFonts w:ascii="Times New Roman" w:hAnsi="Times New Roman" w:cs="Times New Roman"/>
          <w:sz w:val="26"/>
          <w:szCs w:val="26"/>
        </w:rPr>
        <w:t xml:space="preserve"> 1327</w:t>
      </w:r>
      <w:r w:rsidR="00C87DC6">
        <w:rPr>
          <w:rFonts w:ascii="Times New Roman" w:hAnsi="Times New Roman" w:cs="Times New Roman"/>
          <w:sz w:val="26"/>
          <w:szCs w:val="26"/>
        </w:rPr>
        <w:t>-</w:t>
      </w:r>
      <w:r w:rsidRPr="00C950E1">
        <w:rPr>
          <w:rFonts w:ascii="Times New Roman" w:hAnsi="Times New Roman" w:cs="Times New Roman"/>
          <w:sz w:val="26"/>
          <w:szCs w:val="26"/>
        </w:rPr>
        <w:t>13</w:t>
      </w:r>
      <w:r w:rsidRPr="00C95423">
        <w:rPr>
          <w:rFonts w:ascii="Times New Roman" w:hAnsi="Times New Roman" w:cs="Times New Roman"/>
          <w:sz w:val="26"/>
          <w:szCs w:val="26"/>
        </w:rPr>
        <w:t xml:space="preserve">56. </w:t>
      </w:r>
      <w:r w:rsidR="00C87DC6" w:rsidRPr="00C95423">
        <w:rPr>
          <w:rFonts w:ascii="Times New Roman" w:hAnsi="Times New Roman" w:cs="Times New Roman"/>
          <w:sz w:val="26"/>
          <w:szCs w:val="26"/>
        </w:rPr>
        <w:t>https://d</w:t>
      </w:r>
      <w:r w:rsidR="00013DE7" w:rsidRPr="00C95423">
        <w:rPr>
          <w:rFonts w:ascii="Times New Roman" w:hAnsi="Times New Roman" w:cs="Times New Roman"/>
          <w:sz w:val="26"/>
          <w:szCs w:val="26"/>
        </w:rPr>
        <w:t>x.doi</w:t>
      </w:r>
      <w:r w:rsidR="00C87DC6" w:rsidRPr="00C95423">
        <w:rPr>
          <w:rFonts w:ascii="Times New Roman" w:hAnsi="Times New Roman" w:cs="Times New Roman"/>
          <w:sz w:val="26"/>
          <w:szCs w:val="26"/>
        </w:rPr>
        <w:t>.org/10.2139/ssrn.2170179</w:t>
      </w:r>
    </w:p>
    <w:p w14:paraId="49928A08" w14:textId="3C7D61D4" w:rsidR="003C57AC" w:rsidRPr="00C950E1" w:rsidRDefault="003C57AC" w:rsidP="003C57AC">
      <w:pPr>
        <w:snapToGrid w:val="0"/>
        <w:spacing w:after="0" w:line="360" w:lineRule="exact"/>
        <w:ind w:left="630" w:hanging="630"/>
        <w:rPr>
          <w:rFonts w:ascii="Times New Roman" w:hAnsi="Times New Roman" w:cs="Times New Roman"/>
          <w:sz w:val="26"/>
          <w:szCs w:val="26"/>
        </w:rPr>
      </w:pPr>
      <w:r w:rsidRPr="00C950E1">
        <w:rPr>
          <w:rFonts w:ascii="Times New Roman" w:hAnsi="Times New Roman" w:cs="Times New Roman"/>
          <w:sz w:val="26"/>
          <w:szCs w:val="26"/>
        </w:rPr>
        <w:t xml:space="preserve">Kumar, A., </w:t>
      </w:r>
      <w:r>
        <w:rPr>
          <w:rFonts w:ascii="Times New Roman" w:hAnsi="Times New Roman" w:cs="Times New Roman"/>
          <w:sz w:val="26"/>
          <w:szCs w:val="26"/>
        </w:rPr>
        <w:t xml:space="preserve">&amp; </w:t>
      </w:r>
      <w:r w:rsidRPr="00C950E1">
        <w:rPr>
          <w:rFonts w:ascii="Times New Roman" w:hAnsi="Times New Roman" w:cs="Times New Roman"/>
          <w:sz w:val="26"/>
          <w:szCs w:val="26"/>
        </w:rPr>
        <w:t xml:space="preserve">Singh, D. (2013). Testing </w:t>
      </w:r>
      <w:r w:rsidR="003D0CB6" w:rsidRPr="00C950E1">
        <w:rPr>
          <w:rFonts w:ascii="Times New Roman" w:hAnsi="Times New Roman" w:cs="Times New Roman"/>
          <w:sz w:val="26"/>
          <w:szCs w:val="26"/>
        </w:rPr>
        <w:t>weak from stock market efficiency o</w:t>
      </w:r>
      <w:r w:rsidRPr="00C950E1">
        <w:rPr>
          <w:rFonts w:ascii="Times New Roman" w:hAnsi="Times New Roman" w:cs="Times New Roman"/>
          <w:sz w:val="26"/>
          <w:szCs w:val="26"/>
        </w:rPr>
        <w:t xml:space="preserve">n Muscat Securities market: Oman. </w:t>
      </w:r>
      <w:r w:rsidRPr="00C950E1">
        <w:rPr>
          <w:rFonts w:ascii="Times New Roman" w:hAnsi="Times New Roman" w:cs="Times New Roman"/>
          <w:i/>
          <w:iCs/>
          <w:sz w:val="26"/>
          <w:szCs w:val="26"/>
        </w:rPr>
        <w:t xml:space="preserve">Skyline Business Journal, </w:t>
      </w:r>
      <w:proofErr w:type="gramStart"/>
      <w:r w:rsidRPr="00C950E1">
        <w:rPr>
          <w:rFonts w:ascii="Times New Roman" w:hAnsi="Times New Roman" w:cs="Times New Roman"/>
          <w:i/>
          <w:iCs/>
          <w:sz w:val="26"/>
          <w:szCs w:val="26"/>
        </w:rPr>
        <w:t>IX</w:t>
      </w:r>
      <w:r w:rsidRPr="003D0CB6">
        <w:rPr>
          <w:rFonts w:ascii="Times New Roman" w:hAnsi="Times New Roman" w:cs="Times New Roman"/>
          <w:iCs/>
          <w:sz w:val="26"/>
          <w:szCs w:val="26"/>
        </w:rPr>
        <w:t>(</w:t>
      </w:r>
      <w:proofErr w:type="gramEnd"/>
      <w:r w:rsidRPr="003D0CB6">
        <w:rPr>
          <w:rFonts w:ascii="Times New Roman" w:hAnsi="Times New Roman" w:cs="Times New Roman"/>
          <w:iCs/>
          <w:sz w:val="26"/>
          <w:szCs w:val="26"/>
        </w:rPr>
        <w:t>1)</w:t>
      </w:r>
      <w:r w:rsidRPr="00C950E1">
        <w:rPr>
          <w:rFonts w:ascii="Times New Roman" w:hAnsi="Times New Roman" w:cs="Times New Roman"/>
          <w:i/>
          <w:iCs/>
          <w:sz w:val="26"/>
          <w:szCs w:val="26"/>
        </w:rPr>
        <w:t>,</w:t>
      </w:r>
      <w:r w:rsidRPr="00C950E1">
        <w:rPr>
          <w:rFonts w:ascii="Times New Roman" w:hAnsi="Times New Roman" w:cs="Times New Roman"/>
          <w:sz w:val="26"/>
          <w:szCs w:val="26"/>
        </w:rPr>
        <w:t xml:space="preserve"> 9-13. </w:t>
      </w:r>
    </w:p>
    <w:p w14:paraId="15C63E55" w14:textId="76A5B2F8" w:rsidR="003C57AC" w:rsidRPr="00C950E1" w:rsidRDefault="003C57AC" w:rsidP="003C57AC">
      <w:pPr>
        <w:snapToGrid w:val="0"/>
        <w:spacing w:after="0" w:line="360" w:lineRule="exact"/>
        <w:ind w:left="630" w:hanging="630"/>
        <w:rPr>
          <w:rFonts w:ascii="Times New Roman" w:hAnsi="Times New Roman" w:cs="Times New Roman"/>
          <w:sz w:val="26"/>
          <w:szCs w:val="26"/>
        </w:rPr>
      </w:pPr>
      <w:r>
        <w:rPr>
          <w:rFonts w:ascii="Times New Roman" w:hAnsi="Times New Roman" w:cs="Times New Roman"/>
          <w:sz w:val="26"/>
          <w:szCs w:val="26"/>
        </w:rPr>
        <w:t>Leal, L. T. Y.</w:t>
      </w:r>
      <w:r w:rsidRPr="00C950E1">
        <w:rPr>
          <w:rFonts w:ascii="Times New Roman" w:hAnsi="Times New Roman" w:cs="Times New Roman"/>
          <w:sz w:val="26"/>
          <w:szCs w:val="26"/>
        </w:rPr>
        <w:t xml:space="preserve">, </w:t>
      </w:r>
      <w:proofErr w:type="spellStart"/>
      <w:r w:rsidRPr="00C950E1">
        <w:rPr>
          <w:rFonts w:ascii="Times New Roman" w:hAnsi="Times New Roman" w:cs="Times New Roman"/>
          <w:sz w:val="26"/>
          <w:szCs w:val="26"/>
        </w:rPr>
        <w:t>Girão</w:t>
      </w:r>
      <w:proofErr w:type="spellEnd"/>
      <w:r w:rsidRPr="00C950E1">
        <w:rPr>
          <w:rFonts w:ascii="Times New Roman" w:hAnsi="Times New Roman" w:cs="Times New Roman"/>
          <w:sz w:val="26"/>
          <w:szCs w:val="26"/>
        </w:rPr>
        <w:t xml:space="preserve">, L. F. </w:t>
      </w:r>
      <w:r>
        <w:rPr>
          <w:rFonts w:ascii="Times New Roman" w:hAnsi="Times New Roman" w:cs="Times New Roman"/>
          <w:sz w:val="26"/>
          <w:szCs w:val="26"/>
        </w:rPr>
        <w:t>D</w:t>
      </w:r>
      <w:r w:rsidRPr="00C950E1">
        <w:rPr>
          <w:rFonts w:ascii="Times New Roman" w:hAnsi="Times New Roman" w:cs="Times New Roman"/>
          <w:sz w:val="26"/>
          <w:szCs w:val="26"/>
        </w:rPr>
        <w:t xml:space="preserve">. P., </w:t>
      </w:r>
      <w:proofErr w:type="spellStart"/>
      <w:r w:rsidRPr="00C950E1">
        <w:rPr>
          <w:rFonts w:ascii="Times New Roman" w:hAnsi="Times New Roman" w:cs="Times New Roman"/>
          <w:sz w:val="26"/>
          <w:szCs w:val="26"/>
        </w:rPr>
        <w:t>Lucena</w:t>
      </w:r>
      <w:proofErr w:type="spellEnd"/>
      <w:r w:rsidRPr="00C950E1">
        <w:rPr>
          <w:rFonts w:ascii="Times New Roman" w:hAnsi="Times New Roman" w:cs="Times New Roman"/>
          <w:sz w:val="26"/>
          <w:szCs w:val="26"/>
        </w:rPr>
        <w:t>, W. G. L.</w:t>
      </w:r>
      <w:r>
        <w:rPr>
          <w:rFonts w:ascii="Times New Roman" w:hAnsi="Times New Roman" w:cs="Times New Roman"/>
          <w:sz w:val="26"/>
          <w:szCs w:val="26"/>
        </w:rPr>
        <w:t>,</w:t>
      </w:r>
      <w:r w:rsidRPr="00C950E1">
        <w:rPr>
          <w:rFonts w:ascii="Times New Roman" w:hAnsi="Times New Roman" w:cs="Times New Roman"/>
          <w:sz w:val="26"/>
          <w:szCs w:val="26"/>
        </w:rPr>
        <w:t xml:space="preserve"> </w:t>
      </w:r>
      <w:r>
        <w:rPr>
          <w:rFonts w:ascii="Times New Roman" w:hAnsi="Times New Roman" w:cs="Times New Roman"/>
          <w:sz w:val="26"/>
          <w:szCs w:val="26"/>
        </w:rPr>
        <w:t>&amp;</w:t>
      </w:r>
      <w:r w:rsidRPr="00C950E1">
        <w:rPr>
          <w:rFonts w:ascii="Times New Roman" w:hAnsi="Times New Roman" w:cs="Times New Roman"/>
          <w:sz w:val="26"/>
          <w:szCs w:val="26"/>
        </w:rPr>
        <w:t xml:space="preserve"> Martins, V. G. (2017). </w:t>
      </w:r>
      <w:r w:rsidR="003D0CB6" w:rsidRPr="003D0CB6">
        <w:rPr>
          <w:rFonts w:ascii="Times New Roman" w:hAnsi="Times New Roman" w:cs="Times New Roman"/>
          <w:sz w:val="26"/>
          <w:szCs w:val="26"/>
        </w:rPr>
        <w:t>Persistence, value relevance, and accruals quality in extreme earnings and cash flow situations</w:t>
      </w:r>
      <w:r w:rsidR="003D0CB6">
        <w:rPr>
          <w:rFonts w:ascii="Times New Roman" w:hAnsi="Times New Roman" w:cs="Times New Roman"/>
          <w:sz w:val="26"/>
          <w:szCs w:val="26"/>
        </w:rPr>
        <w:t xml:space="preserve">. </w:t>
      </w:r>
      <w:r w:rsidRPr="00C950E1">
        <w:rPr>
          <w:rFonts w:ascii="Times New Roman" w:hAnsi="Times New Roman" w:cs="Times New Roman"/>
          <w:i/>
          <w:iCs/>
          <w:sz w:val="26"/>
          <w:szCs w:val="26"/>
        </w:rPr>
        <w:t>Mackenzie Management Review, 18(3),</w:t>
      </w:r>
      <w:r w:rsidRPr="00C950E1">
        <w:rPr>
          <w:rFonts w:ascii="Times New Roman" w:hAnsi="Times New Roman" w:cs="Times New Roman"/>
          <w:sz w:val="26"/>
          <w:szCs w:val="26"/>
        </w:rPr>
        <w:t xml:space="preserve"> 203-231 </w:t>
      </w:r>
      <w:hyperlink r:id="rId42" w:history="1">
        <w:r w:rsidRPr="00C950E1">
          <w:rPr>
            <w:rFonts w:ascii="Times New Roman" w:hAnsi="Times New Roman" w:cs="Times New Roman"/>
            <w:sz w:val="26"/>
            <w:szCs w:val="26"/>
          </w:rPr>
          <w:t>http://dx.doi.org/10.1590/1678-69712017/administracao.v18n3p203-231</w:t>
        </w:r>
      </w:hyperlink>
    </w:p>
    <w:p w14:paraId="71520C28" w14:textId="7D699B43" w:rsidR="003C57AC" w:rsidRPr="00B12BE9" w:rsidRDefault="003C57AC" w:rsidP="003C57AC">
      <w:pPr>
        <w:snapToGrid w:val="0"/>
        <w:spacing w:after="0" w:line="360" w:lineRule="exact"/>
        <w:ind w:left="630" w:hanging="630"/>
        <w:rPr>
          <w:rFonts w:ascii="Times New Roman" w:hAnsi="Times New Roman" w:cs="Times New Roman"/>
          <w:color w:val="FF0000"/>
          <w:sz w:val="26"/>
          <w:szCs w:val="26"/>
        </w:rPr>
      </w:pPr>
      <w:r w:rsidRPr="00C95423">
        <w:rPr>
          <w:rFonts w:ascii="Times New Roman" w:hAnsi="Times New Roman" w:cs="Times New Roman"/>
          <w:sz w:val="26"/>
          <w:szCs w:val="26"/>
        </w:rPr>
        <w:t xml:space="preserve">Lee, J., &amp; Kim, E. (2019). Foreign </w:t>
      </w:r>
      <w:r w:rsidR="003D0CB6" w:rsidRPr="00C95423">
        <w:rPr>
          <w:rFonts w:ascii="Times New Roman" w:hAnsi="Times New Roman" w:cs="Times New Roman"/>
          <w:sz w:val="26"/>
          <w:szCs w:val="26"/>
        </w:rPr>
        <w:t>monitoring and predictability of future cash flow</w:t>
      </w:r>
      <w:r w:rsidRPr="00C95423">
        <w:rPr>
          <w:rFonts w:ascii="Times New Roman" w:hAnsi="Times New Roman" w:cs="Times New Roman"/>
          <w:sz w:val="26"/>
          <w:szCs w:val="26"/>
        </w:rPr>
        <w:t xml:space="preserve">. </w:t>
      </w:r>
      <w:r w:rsidRPr="00C95423">
        <w:rPr>
          <w:rFonts w:ascii="Times New Roman" w:hAnsi="Times New Roman" w:cs="Times New Roman"/>
          <w:i/>
          <w:iCs/>
          <w:sz w:val="26"/>
          <w:szCs w:val="26"/>
        </w:rPr>
        <w:t>Sustainability, 2019, 11, 4832</w:t>
      </w:r>
      <w:r w:rsidRPr="00C95423">
        <w:rPr>
          <w:rFonts w:ascii="Times New Roman" w:hAnsi="Times New Roman" w:cs="Times New Roman"/>
          <w:sz w:val="26"/>
          <w:szCs w:val="26"/>
        </w:rPr>
        <w:t>, 1-22</w:t>
      </w:r>
      <w:r w:rsidR="00013DE7" w:rsidRPr="00C95423">
        <w:rPr>
          <w:rFonts w:ascii="Times New Roman" w:hAnsi="Times New Roman" w:cs="Times New Roman"/>
          <w:sz w:val="26"/>
          <w:szCs w:val="26"/>
        </w:rPr>
        <w:t xml:space="preserve">. </w:t>
      </w:r>
      <w:r w:rsidR="00D46413" w:rsidRPr="00C95423">
        <w:rPr>
          <w:rFonts w:ascii="Times New Roman" w:hAnsi="Times New Roman" w:cs="Times New Roman"/>
          <w:sz w:val="26"/>
          <w:szCs w:val="26"/>
        </w:rPr>
        <w:t>https://doi.org/</w:t>
      </w:r>
      <w:r w:rsidRPr="00C95423">
        <w:rPr>
          <w:rFonts w:ascii="Times New Roman" w:hAnsi="Times New Roman" w:cs="Times New Roman"/>
          <w:sz w:val="26"/>
          <w:szCs w:val="26"/>
        </w:rPr>
        <w:t>10.3390/su11184832</w:t>
      </w:r>
    </w:p>
    <w:p w14:paraId="73A94D18" w14:textId="77777777" w:rsidR="003C57AC" w:rsidRPr="00C95423" w:rsidRDefault="003C57AC" w:rsidP="003C57AC">
      <w:pPr>
        <w:snapToGrid w:val="0"/>
        <w:spacing w:after="0" w:line="360" w:lineRule="exact"/>
        <w:ind w:left="630" w:hanging="630"/>
        <w:rPr>
          <w:rFonts w:ascii="Times New Roman" w:hAnsi="Times New Roman" w:cs="Times New Roman"/>
          <w:sz w:val="26"/>
          <w:szCs w:val="26"/>
        </w:rPr>
      </w:pPr>
      <w:proofErr w:type="spellStart"/>
      <w:r w:rsidRPr="00C950E1">
        <w:rPr>
          <w:rFonts w:ascii="Times New Roman" w:hAnsi="Times New Roman" w:cs="Times New Roman"/>
          <w:sz w:val="26"/>
          <w:szCs w:val="26"/>
        </w:rPr>
        <w:t>Leuz</w:t>
      </w:r>
      <w:proofErr w:type="spellEnd"/>
      <w:r w:rsidRPr="00C950E1">
        <w:rPr>
          <w:rFonts w:ascii="Times New Roman" w:hAnsi="Times New Roman" w:cs="Times New Roman"/>
          <w:sz w:val="26"/>
          <w:szCs w:val="26"/>
        </w:rPr>
        <w:t>, C</w:t>
      </w:r>
      <w:r>
        <w:rPr>
          <w:rFonts w:ascii="Times New Roman" w:hAnsi="Times New Roman" w:cs="Times New Roman"/>
          <w:sz w:val="26"/>
          <w:szCs w:val="26"/>
        </w:rPr>
        <w:t>.</w:t>
      </w:r>
      <w:r w:rsidRPr="00C950E1">
        <w:rPr>
          <w:rFonts w:ascii="Times New Roman" w:hAnsi="Times New Roman" w:cs="Times New Roman"/>
          <w:sz w:val="26"/>
          <w:szCs w:val="26"/>
        </w:rPr>
        <w:t xml:space="preserve"> D</w:t>
      </w:r>
      <w:r>
        <w:rPr>
          <w:rFonts w:ascii="Times New Roman" w:hAnsi="Times New Roman" w:cs="Times New Roman"/>
          <w:sz w:val="26"/>
          <w:szCs w:val="26"/>
        </w:rPr>
        <w:t>.</w:t>
      </w:r>
      <w:r w:rsidRPr="00C950E1">
        <w:rPr>
          <w:rFonts w:ascii="Times New Roman" w:hAnsi="Times New Roman" w:cs="Times New Roman"/>
          <w:sz w:val="26"/>
          <w:szCs w:val="26"/>
        </w:rPr>
        <w:t>, Nanda, D</w:t>
      </w:r>
      <w:r>
        <w:rPr>
          <w:rFonts w:ascii="Times New Roman" w:hAnsi="Times New Roman" w:cs="Times New Roman"/>
          <w:sz w:val="26"/>
          <w:szCs w:val="26"/>
        </w:rPr>
        <w:t>.,</w:t>
      </w:r>
      <w:r w:rsidRPr="00C950E1">
        <w:rPr>
          <w:rFonts w:ascii="Times New Roman" w:hAnsi="Times New Roman" w:cs="Times New Roman"/>
          <w:sz w:val="26"/>
          <w:szCs w:val="26"/>
        </w:rPr>
        <w:t xml:space="preserve"> &amp; Wysocki, P. (2003)</w:t>
      </w:r>
      <w:r>
        <w:rPr>
          <w:rFonts w:ascii="Times New Roman" w:hAnsi="Times New Roman" w:cs="Times New Roman"/>
          <w:sz w:val="26"/>
          <w:szCs w:val="26"/>
        </w:rPr>
        <w:t>.</w:t>
      </w:r>
      <w:r w:rsidRPr="00C950E1">
        <w:rPr>
          <w:rFonts w:ascii="Times New Roman" w:hAnsi="Times New Roman" w:cs="Times New Roman"/>
          <w:sz w:val="26"/>
          <w:szCs w:val="26"/>
        </w:rPr>
        <w:t xml:space="preserve"> Earnings management and investor protection: An international comparison. </w:t>
      </w:r>
      <w:r w:rsidRPr="00C950E1">
        <w:rPr>
          <w:rFonts w:ascii="Times New Roman" w:hAnsi="Times New Roman" w:cs="Times New Roman"/>
          <w:i/>
          <w:iCs/>
          <w:sz w:val="26"/>
          <w:szCs w:val="26"/>
        </w:rPr>
        <w:t>Journal of Financial economics, 69</w:t>
      </w:r>
      <w:r w:rsidRPr="003D0CB6">
        <w:rPr>
          <w:rFonts w:ascii="Times New Roman" w:hAnsi="Times New Roman" w:cs="Times New Roman"/>
          <w:iCs/>
          <w:sz w:val="26"/>
          <w:szCs w:val="26"/>
        </w:rPr>
        <w:t>(3),</w:t>
      </w:r>
      <w:r w:rsidRPr="00C950E1">
        <w:rPr>
          <w:rFonts w:ascii="Times New Roman" w:hAnsi="Times New Roman" w:cs="Times New Roman"/>
          <w:i/>
          <w:iCs/>
          <w:sz w:val="26"/>
          <w:szCs w:val="26"/>
        </w:rPr>
        <w:t xml:space="preserve"> </w:t>
      </w:r>
      <w:r w:rsidRPr="00C95423">
        <w:rPr>
          <w:rFonts w:ascii="Times New Roman" w:hAnsi="Times New Roman" w:cs="Times New Roman"/>
          <w:sz w:val="26"/>
          <w:szCs w:val="26"/>
        </w:rPr>
        <w:t>505-527. https://doi.org/10.1016/S0304-405X(03)00121-1.</w:t>
      </w:r>
    </w:p>
    <w:p w14:paraId="40FF8795" w14:textId="50F2C4DE" w:rsidR="003C57AC" w:rsidRPr="00C950E1" w:rsidRDefault="003C57AC" w:rsidP="003C57AC">
      <w:pPr>
        <w:snapToGrid w:val="0"/>
        <w:spacing w:after="0" w:line="360" w:lineRule="exact"/>
        <w:ind w:left="630" w:hanging="630"/>
        <w:rPr>
          <w:rFonts w:ascii="Times New Roman" w:hAnsi="Times New Roman" w:cs="Times New Roman"/>
          <w:sz w:val="26"/>
          <w:szCs w:val="26"/>
        </w:rPr>
      </w:pPr>
      <w:proofErr w:type="spellStart"/>
      <w:r w:rsidRPr="00C95423">
        <w:rPr>
          <w:rFonts w:ascii="Times New Roman" w:hAnsi="Times New Roman" w:cs="Times New Roman"/>
          <w:sz w:val="26"/>
          <w:szCs w:val="26"/>
        </w:rPr>
        <w:t>Licerán</w:t>
      </w:r>
      <w:proofErr w:type="spellEnd"/>
      <w:r w:rsidRPr="00C95423">
        <w:rPr>
          <w:rFonts w:ascii="Times New Roman" w:hAnsi="Times New Roman" w:cs="Times New Roman"/>
          <w:sz w:val="26"/>
          <w:szCs w:val="26"/>
        </w:rPr>
        <w:t xml:space="preserve">-Gutiérrez, A., &amp; Cano-Rodríguez, M. (2020). Using partial least squares in archival accounting research: </w:t>
      </w:r>
      <w:r w:rsidR="003D0CB6" w:rsidRPr="00C95423">
        <w:rPr>
          <w:rFonts w:ascii="Times New Roman" w:hAnsi="Times New Roman" w:cs="Times New Roman"/>
          <w:sz w:val="26"/>
          <w:szCs w:val="26"/>
        </w:rPr>
        <w:t>A</w:t>
      </w:r>
      <w:r w:rsidRPr="00C95423">
        <w:rPr>
          <w:rFonts w:ascii="Times New Roman" w:hAnsi="Times New Roman" w:cs="Times New Roman"/>
          <w:sz w:val="26"/>
          <w:szCs w:val="26"/>
        </w:rPr>
        <w:t>n application to earnings quality measuring.</w:t>
      </w:r>
      <w:r w:rsidR="003D0CB6" w:rsidRPr="00C95423">
        <w:rPr>
          <w:rFonts w:ascii="Times New Roman" w:hAnsi="Times New Roman" w:cs="Times New Roman"/>
          <w:sz w:val="26"/>
          <w:szCs w:val="26"/>
        </w:rPr>
        <w:t xml:space="preserve"> </w:t>
      </w:r>
      <w:r w:rsidRPr="00C95423">
        <w:rPr>
          <w:rFonts w:ascii="Times New Roman" w:hAnsi="Times New Roman" w:cs="Times New Roman"/>
          <w:i/>
          <w:iCs/>
          <w:sz w:val="26"/>
          <w:szCs w:val="26"/>
        </w:rPr>
        <w:t>Spanish Journal of Finance and Accounting/</w:t>
      </w:r>
      <w:proofErr w:type="spellStart"/>
      <w:r w:rsidRPr="00C95423">
        <w:rPr>
          <w:rFonts w:ascii="Times New Roman" w:hAnsi="Times New Roman" w:cs="Times New Roman"/>
          <w:i/>
          <w:iCs/>
          <w:sz w:val="26"/>
          <w:szCs w:val="26"/>
        </w:rPr>
        <w:t>Revista</w:t>
      </w:r>
      <w:proofErr w:type="spellEnd"/>
      <w:r w:rsidRPr="00C95423">
        <w:rPr>
          <w:rFonts w:ascii="Times New Roman" w:hAnsi="Times New Roman" w:cs="Times New Roman"/>
          <w:i/>
          <w:iCs/>
          <w:sz w:val="26"/>
          <w:szCs w:val="26"/>
        </w:rPr>
        <w:t xml:space="preserve"> Española de </w:t>
      </w:r>
      <w:proofErr w:type="spellStart"/>
      <w:r w:rsidRPr="00C95423">
        <w:rPr>
          <w:rFonts w:ascii="Times New Roman" w:hAnsi="Times New Roman" w:cs="Times New Roman"/>
          <w:i/>
          <w:iCs/>
          <w:sz w:val="26"/>
          <w:szCs w:val="26"/>
        </w:rPr>
        <w:t>Financiación</w:t>
      </w:r>
      <w:proofErr w:type="spellEnd"/>
      <w:r w:rsidRPr="00C95423">
        <w:rPr>
          <w:rFonts w:ascii="Times New Roman" w:hAnsi="Times New Roman" w:cs="Times New Roman"/>
          <w:i/>
          <w:iCs/>
          <w:sz w:val="26"/>
          <w:szCs w:val="26"/>
        </w:rPr>
        <w:t xml:space="preserve"> y </w:t>
      </w:r>
      <w:proofErr w:type="spellStart"/>
      <w:r w:rsidRPr="00C95423">
        <w:rPr>
          <w:rFonts w:ascii="Times New Roman" w:hAnsi="Times New Roman" w:cs="Times New Roman"/>
          <w:i/>
          <w:iCs/>
          <w:sz w:val="26"/>
          <w:szCs w:val="26"/>
        </w:rPr>
        <w:t>Contabilidad</w:t>
      </w:r>
      <w:proofErr w:type="spellEnd"/>
      <w:r w:rsidRPr="00C95423">
        <w:rPr>
          <w:rFonts w:ascii="Times New Roman" w:hAnsi="Times New Roman" w:cs="Times New Roman"/>
          <w:i/>
          <w:iCs/>
          <w:sz w:val="26"/>
          <w:szCs w:val="26"/>
        </w:rPr>
        <w:t>,</w:t>
      </w:r>
      <w:r w:rsidR="003D0CB6" w:rsidRPr="00C95423">
        <w:rPr>
          <w:rFonts w:ascii="Times New Roman" w:hAnsi="Times New Roman" w:cs="Times New Roman"/>
          <w:i/>
          <w:iCs/>
          <w:sz w:val="26"/>
          <w:szCs w:val="26"/>
        </w:rPr>
        <w:t xml:space="preserve"> </w:t>
      </w:r>
      <w:r w:rsidRPr="00C95423">
        <w:rPr>
          <w:rFonts w:ascii="Times New Roman" w:hAnsi="Times New Roman" w:cs="Times New Roman"/>
          <w:i/>
          <w:iCs/>
          <w:sz w:val="26"/>
          <w:szCs w:val="26"/>
        </w:rPr>
        <w:t>49</w:t>
      </w:r>
      <w:r w:rsidRPr="00C95423">
        <w:rPr>
          <w:rFonts w:ascii="Times New Roman" w:hAnsi="Times New Roman" w:cs="Times New Roman"/>
          <w:iCs/>
          <w:sz w:val="26"/>
          <w:szCs w:val="26"/>
        </w:rPr>
        <w:t>(2)</w:t>
      </w:r>
      <w:r w:rsidRPr="00C95423">
        <w:rPr>
          <w:rFonts w:ascii="Times New Roman" w:hAnsi="Times New Roman" w:cs="Times New Roman"/>
          <w:i/>
          <w:iCs/>
          <w:sz w:val="26"/>
          <w:szCs w:val="26"/>
        </w:rPr>
        <w:t>,</w:t>
      </w:r>
      <w:r w:rsidRPr="00C95423">
        <w:rPr>
          <w:rFonts w:ascii="Times New Roman" w:hAnsi="Times New Roman" w:cs="Times New Roman"/>
          <w:sz w:val="26"/>
          <w:szCs w:val="26"/>
        </w:rPr>
        <w:t xml:space="preserve"> 143-170.</w:t>
      </w:r>
      <w:r w:rsidRPr="00C950E1">
        <w:rPr>
          <w:rFonts w:ascii="Times New Roman" w:hAnsi="Times New Roman" w:cs="Times New Roman"/>
          <w:sz w:val="26"/>
          <w:szCs w:val="26"/>
        </w:rPr>
        <w:t xml:space="preserve"> https://doi.org/10.1080/02102412.2019.1608705</w:t>
      </w:r>
    </w:p>
    <w:p w14:paraId="26012E54" w14:textId="52981ADF" w:rsidR="003C57AC" w:rsidRPr="00C950E1" w:rsidRDefault="003C57AC" w:rsidP="003C57AC">
      <w:pPr>
        <w:snapToGrid w:val="0"/>
        <w:spacing w:after="0" w:line="360" w:lineRule="exact"/>
        <w:ind w:left="630" w:hanging="630"/>
        <w:rPr>
          <w:rFonts w:ascii="Times New Roman" w:hAnsi="Times New Roman" w:cs="Times New Roman"/>
          <w:sz w:val="26"/>
          <w:szCs w:val="26"/>
        </w:rPr>
      </w:pPr>
      <w:proofErr w:type="spellStart"/>
      <w:r w:rsidRPr="00C950E1">
        <w:rPr>
          <w:rFonts w:ascii="Times New Roman" w:hAnsi="Times New Roman" w:cs="Times New Roman"/>
          <w:sz w:val="26"/>
          <w:szCs w:val="26"/>
        </w:rPr>
        <w:t>Lyimo</w:t>
      </w:r>
      <w:proofErr w:type="spellEnd"/>
      <w:r w:rsidRPr="00C950E1">
        <w:rPr>
          <w:rFonts w:ascii="Times New Roman" w:hAnsi="Times New Roman" w:cs="Times New Roman"/>
          <w:sz w:val="26"/>
          <w:szCs w:val="26"/>
        </w:rPr>
        <w:t xml:space="preserve">, G. D. (2014). Assessing </w:t>
      </w:r>
      <w:r w:rsidR="003D0CB6" w:rsidRPr="00C950E1">
        <w:rPr>
          <w:rFonts w:ascii="Times New Roman" w:hAnsi="Times New Roman" w:cs="Times New Roman"/>
          <w:sz w:val="26"/>
          <w:szCs w:val="26"/>
        </w:rPr>
        <w:t>the measures of quality of earnings from</w:t>
      </w:r>
      <w:r w:rsidRPr="00C950E1">
        <w:rPr>
          <w:rFonts w:ascii="Times New Roman" w:hAnsi="Times New Roman" w:cs="Times New Roman"/>
          <w:sz w:val="26"/>
          <w:szCs w:val="26"/>
        </w:rPr>
        <w:t xml:space="preserve"> India.  </w:t>
      </w:r>
      <w:r w:rsidRPr="00C950E1">
        <w:rPr>
          <w:rFonts w:ascii="Times New Roman" w:hAnsi="Times New Roman" w:cs="Times New Roman"/>
          <w:i/>
          <w:iCs/>
          <w:sz w:val="26"/>
          <w:szCs w:val="26"/>
        </w:rPr>
        <w:t>European Journal of Accounting Auditing and Finance Research</w:t>
      </w:r>
      <w:r w:rsidR="003D0CB6">
        <w:rPr>
          <w:rFonts w:ascii="Times New Roman" w:hAnsi="Times New Roman" w:cs="Times New Roman"/>
          <w:i/>
          <w:iCs/>
          <w:sz w:val="26"/>
          <w:szCs w:val="26"/>
        </w:rPr>
        <w:t>,</w:t>
      </w:r>
      <w:r w:rsidRPr="00C950E1">
        <w:rPr>
          <w:rFonts w:ascii="Times New Roman" w:hAnsi="Times New Roman" w:cs="Times New Roman"/>
          <w:i/>
          <w:iCs/>
          <w:sz w:val="26"/>
          <w:szCs w:val="26"/>
        </w:rPr>
        <w:t xml:space="preserve"> 2</w:t>
      </w:r>
      <w:r w:rsidRPr="003D0CB6">
        <w:rPr>
          <w:rFonts w:ascii="Times New Roman" w:hAnsi="Times New Roman" w:cs="Times New Roman"/>
          <w:iCs/>
          <w:sz w:val="26"/>
          <w:szCs w:val="26"/>
        </w:rPr>
        <w:t>(6)</w:t>
      </w:r>
      <w:r w:rsidRPr="00C950E1">
        <w:rPr>
          <w:rFonts w:ascii="Times New Roman" w:hAnsi="Times New Roman" w:cs="Times New Roman"/>
          <w:i/>
          <w:iCs/>
          <w:sz w:val="26"/>
          <w:szCs w:val="26"/>
        </w:rPr>
        <w:t>,</w:t>
      </w:r>
      <w:r w:rsidRPr="00C950E1">
        <w:rPr>
          <w:rFonts w:ascii="Times New Roman" w:hAnsi="Times New Roman" w:cs="Times New Roman"/>
          <w:sz w:val="26"/>
          <w:szCs w:val="26"/>
        </w:rPr>
        <w:t xml:space="preserve"> 17-28.</w:t>
      </w:r>
    </w:p>
    <w:p w14:paraId="165B2622" w14:textId="723EFC46" w:rsidR="003C57AC" w:rsidRPr="00C950E1" w:rsidRDefault="003C57AC" w:rsidP="003C57AC">
      <w:pPr>
        <w:snapToGrid w:val="0"/>
        <w:spacing w:after="0" w:line="360" w:lineRule="exact"/>
        <w:ind w:left="630" w:hanging="630"/>
        <w:rPr>
          <w:rFonts w:ascii="Times New Roman" w:hAnsi="Times New Roman" w:cs="Times New Roman"/>
          <w:sz w:val="26"/>
          <w:szCs w:val="26"/>
        </w:rPr>
      </w:pPr>
      <w:proofErr w:type="spellStart"/>
      <w:r w:rsidRPr="00C950E1">
        <w:rPr>
          <w:rFonts w:ascii="Times New Roman" w:hAnsi="Times New Roman" w:cs="Times New Roman"/>
          <w:sz w:val="26"/>
          <w:szCs w:val="26"/>
        </w:rPr>
        <w:t>Maditinos</w:t>
      </w:r>
      <w:proofErr w:type="spellEnd"/>
      <w:r w:rsidRPr="00C950E1">
        <w:rPr>
          <w:rFonts w:ascii="Times New Roman" w:hAnsi="Times New Roman" w:cs="Times New Roman"/>
          <w:sz w:val="26"/>
          <w:szCs w:val="26"/>
        </w:rPr>
        <w:t xml:space="preserve">, D. I., </w:t>
      </w:r>
      <w:proofErr w:type="spellStart"/>
      <w:r w:rsidRPr="00C950E1">
        <w:rPr>
          <w:rFonts w:ascii="Times New Roman" w:hAnsi="Times New Roman" w:cs="Times New Roman"/>
          <w:sz w:val="26"/>
          <w:szCs w:val="26"/>
        </w:rPr>
        <w:t>Šević</w:t>
      </w:r>
      <w:proofErr w:type="spellEnd"/>
      <w:r w:rsidRPr="00C950E1">
        <w:rPr>
          <w:rFonts w:ascii="Times New Roman" w:hAnsi="Times New Roman" w:cs="Times New Roman"/>
          <w:sz w:val="26"/>
          <w:szCs w:val="26"/>
        </w:rPr>
        <w:t xml:space="preserve">, Ž., </w:t>
      </w:r>
      <w:proofErr w:type="spellStart"/>
      <w:r w:rsidRPr="00C950E1">
        <w:rPr>
          <w:rFonts w:ascii="Times New Roman" w:hAnsi="Times New Roman" w:cs="Times New Roman"/>
          <w:sz w:val="26"/>
          <w:szCs w:val="26"/>
        </w:rPr>
        <w:t>Stankevičienė</w:t>
      </w:r>
      <w:proofErr w:type="spellEnd"/>
      <w:r w:rsidRPr="00C950E1">
        <w:rPr>
          <w:rFonts w:ascii="Times New Roman" w:hAnsi="Times New Roman" w:cs="Times New Roman"/>
          <w:sz w:val="26"/>
          <w:szCs w:val="26"/>
        </w:rPr>
        <w:t>, J</w:t>
      </w:r>
      <w:r>
        <w:rPr>
          <w:rFonts w:ascii="Times New Roman" w:hAnsi="Times New Roman" w:cs="Times New Roman"/>
          <w:sz w:val="26"/>
          <w:szCs w:val="26"/>
        </w:rPr>
        <w:t>.,</w:t>
      </w:r>
      <w:r w:rsidRPr="00C950E1">
        <w:rPr>
          <w:rFonts w:ascii="Times New Roman" w:hAnsi="Times New Roman" w:cs="Times New Roman"/>
          <w:sz w:val="26"/>
          <w:szCs w:val="26"/>
        </w:rPr>
        <w:t xml:space="preserve"> &amp; </w:t>
      </w:r>
      <w:proofErr w:type="spellStart"/>
      <w:r w:rsidRPr="00C950E1">
        <w:rPr>
          <w:rFonts w:ascii="Times New Roman" w:hAnsi="Times New Roman" w:cs="Times New Roman"/>
          <w:sz w:val="26"/>
          <w:szCs w:val="26"/>
        </w:rPr>
        <w:t>Karakoltsidis</w:t>
      </w:r>
      <w:proofErr w:type="spellEnd"/>
      <w:r w:rsidRPr="00C950E1">
        <w:rPr>
          <w:rFonts w:ascii="Times New Roman" w:hAnsi="Times New Roman" w:cs="Times New Roman"/>
          <w:sz w:val="26"/>
          <w:szCs w:val="26"/>
        </w:rPr>
        <w:t xml:space="preserve">, N. (2013). Earnings </w:t>
      </w:r>
      <w:r w:rsidR="003D0CB6" w:rsidRPr="00C950E1">
        <w:rPr>
          <w:rFonts w:ascii="Times New Roman" w:hAnsi="Times New Roman" w:cs="Times New Roman"/>
          <w:sz w:val="26"/>
          <w:szCs w:val="26"/>
        </w:rPr>
        <w:t xml:space="preserve">response coefficients in the </w:t>
      </w:r>
      <w:r w:rsidRPr="00C950E1">
        <w:rPr>
          <w:rFonts w:ascii="Times New Roman" w:hAnsi="Times New Roman" w:cs="Times New Roman"/>
          <w:sz w:val="26"/>
          <w:szCs w:val="26"/>
        </w:rPr>
        <w:t xml:space="preserve">Greek </w:t>
      </w:r>
      <w:r w:rsidR="003D0CB6" w:rsidRPr="00C950E1">
        <w:rPr>
          <w:rFonts w:ascii="Times New Roman" w:hAnsi="Times New Roman" w:cs="Times New Roman"/>
          <w:sz w:val="26"/>
          <w:szCs w:val="26"/>
        </w:rPr>
        <w:t>m</w:t>
      </w:r>
      <w:r w:rsidRPr="00C950E1">
        <w:rPr>
          <w:rFonts w:ascii="Times New Roman" w:hAnsi="Times New Roman" w:cs="Times New Roman"/>
          <w:sz w:val="26"/>
          <w:szCs w:val="26"/>
        </w:rPr>
        <w:t xml:space="preserve">arket. </w:t>
      </w:r>
      <w:r w:rsidRPr="00C950E1">
        <w:rPr>
          <w:rFonts w:ascii="Times New Roman" w:hAnsi="Times New Roman" w:cs="Times New Roman"/>
          <w:i/>
          <w:iCs/>
          <w:sz w:val="26"/>
          <w:szCs w:val="26"/>
        </w:rPr>
        <w:t>Journal of Business Economics and Management, 14</w:t>
      </w:r>
      <w:r w:rsidRPr="003D0CB6">
        <w:rPr>
          <w:rFonts w:ascii="Times New Roman" w:hAnsi="Times New Roman" w:cs="Times New Roman"/>
          <w:iCs/>
          <w:sz w:val="26"/>
          <w:szCs w:val="26"/>
        </w:rPr>
        <w:t>(2)</w:t>
      </w:r>
      <w:r w:rsidRPr="00C950E1">
        <w:rPr>
          <w:rFonts w:ascii="Times New Roman" w:hAnsi="Times New Roman" w:cs="Times New Roman"/>
          <w:i/>
          <w:iCs/>
          <w:sz w:val="26"/>
          <w:szCs w:val="26"/>
        </w:rPr>
        <w:t>,</w:t>
      </w:r>
      <w:r w:rsidRPr="00C950E1">
        <w:rPr>
          <w:rFonts w:ascii="Times New Roman" w:hAnsi="Times New Roman" w:cs="Times New Roman"/>
          <w:sz w:val="26"/>
          <w:szCs w:val="26"/>
        </w:rPr>
        <w:t xml:space="preserve"> 414</w:t>
      </w:r>
      <w:r w:rsidR="00C87DC6">
        <w:rPr>
          <w:rFonts w:ascii="Times New Roman" w:hAnsi="Times New Roman" w:cs="Times New Roman"/>
          <w:sz w:val="26"/>
          <w:szCs w:val="26"/>
        </w:rPr>
        <w:t>-</w:t>
      </w:r>
      <w:r w:rsidRPr="00C950E1">
        <w:rPr>
          <w:rFonts w:ascii="Times New Roman" w:hAnsi="Times New Roman" w:cs="Times New Roman"/>
          <w:sz w:val="26"/>
          <w:szCs w:val="26"/>
        </w:rPr>
        <w:t xml:space="preserve">431. </w:t>
      </w:r>
      <w:r w:rsidR="00D46413">
        <w:rPr>
          <w:rFonts w:ascii="Times New Roman" w:hAnsi="Times New Roman" w:cs="Times New Roman"/>
          <w:sz w:val="26"/>
          <w:szCs w:val="26"/>
        </w:rPr>
        <w:t>https://doi.org/</w:t>
      </w:r>
      <w:r w:rsidRPr="00C950E1">
        <w:rPr>
          <w:rFonts w:ascii="Times New Roman" w:hAnsi="Times New Roman" w:cs="Times New Roman"/>
          <w:sz w:val="26"/>
          <w:szCs w:val="26"/>
        </w:rPr>
        <w:t xml:space="preserve">10.3846/16111699.2012.758168. </w:t>
      </w:r>
    </w:p>
    <w:p w14:paraId="41D2A31E" w14:textId="14405F9B" w:rsidR="003C57AC" w:rsidRPr="00C950E1" w:rsidRDefault="003C57AC" w:rsidP="003C57AC">
      <w:pPr>
        <w:snapToGrid w:val="0"/>
        <w:spacing w:after="0" w:line="360" w:lineRule="exact"/>
        <w:ind w:left="630" w:hanging="630"/>
        <w:rPr>
          <w:rFonts w:ascii="Times New Roman" w:hAnsi="Times New Roman" w:cs="Times New Roman"/>
          <w:sz w:val="26"/>
          <w:szCs w:val="26"/>
        </w:rPr>
      </w:pPr>
      <w:proofErr w:type="spellStart"/>
      <w:r w:rsidRPr="00C950E1">
        <w:rPr>
          <w:rFonts w:ascii="Times New Roman" w:hAnsi="Times New Roman" w:cs="Times New Roman"/>
          <w:sz w:val="26"/>
          <w:szCs w:val="26"/>
        </w:rPr>
        <w:t>Marashdeh</w:t>
      </w:r>
      <w:proofErr w:type="spellEnd"/>
      <w:r w:rsidRPr="00C950E1">
        <w:rPr>
          <w:rFonts w:ascii="Times New Roman" w:hAnsi="Times New Roman" w:cs="Times New Roman"/>
          <w:sz w:val="26"/>
          <w:szCs w:val="26"/>
        </w:rPr>
        <w:t>, H</w:t>
      </w:r>
      <w:r>
        <w:rPr>
          <w:rFonts w:ascii="Times New Roman" w:hAnsi="Times New Roman" w:cs="Times New Roman"/>
          <w:sz w:val="26"/>
          <w:szCs w:val="26"/>
        </w:rPr>
        <w:t>.,</w:t>
      </w:r>
      <w:r w:rsidRPr="00C950E1">
        <w:rPr>
          <w:rFonts w:ascii="Times New Roman" w:hAnsi="Times New Roman" w:cs="Times New Roman"/>
          <w:sz w:val="26"/>
          <w:szCs w:val="26"/>
        </w:rPr>
        <w:t xml:space="preserve"> &amp; Shrestha, M. B. (2008). Efficiency in </w:t>
      </w:r>
      <w:r w:rsidR="003D0CB6" w:rsidRPr="00C950E1">
        <w:rPr>
          <w:rFonts w:ascii="Times New Roman" w:hAnsi="Times New Roman" w:cs="Times New Roman"/>
          <w:sz w:val="26"/>
          <w:szCs w:val="26"/>
        </w:rPr>
        <w:t>emerging marke</w:t>
      </w:r>
      <w:r w:rsidRPr="00C950E1">
        <w:rPr>
          <w:rFonts w:ascii="Times New Roman" w:hAnsi="Times New Roman" w:cs="Times New Roman"/>
          <w:sz w:val="26"/>
          <w:szCs w:val="26"/>
        </w:rPr>
        <w:t xml:space="preserve">ts - Evidence from the Emirates </w:t>
      </w:r>
      <w:r w:rsidR="003D0CB6" w:rsidRPr="00C950E1">
        <w:rPr>
          <w:rFonts w:ascii="Times New Roman" w:hAnsi="Times New Roman" w:cs="Times New Roman"/>
          <w:sz w:val="26"/>
          <w:szCs w:val="26"/>
        </w:rPr>
        <w:t>securities market</w:t>
      </w:r>
      <w:r w:rsidRPr="00C950E1">
        <w:rPr>
          <w:rFonts w:ascii="Times New Roman" w:hAnsi="Times New Roman" w:cs="Times New Roman"/>
          <w:sz w:val="26"/>
          <w:szCs w:val="26"/>
        </w:rPr>
        <w:t xml:space="preserve">. </w:t>
      </w:r>
      <w:r w:rsidRPr="00C950E1">
        <w:rPr>
          <w:rFonts w:ascii="Times New Roman" w:hAnsi="Times New Roman" w:cs="Times New Roman"/>
          <w:i/>
          <w:iCs/>
          <w:sz w:val="26"/>
          <w:szCs w:val="26"/>
        </w:rPr>
        <w:t xml:space="preserve">European Journal of Economics, Finance and Administrative Sciences, 12, </w:t>
      </w:r>
      <w:r w:rsidRPr="00C950E1">
        <w:rPr>
          <w:rFonts w:ascii="Times New Roman" w:hAnsi="Times New Roman" w:cs="Times New Roman"/>
          <w:sz w:val="26"/>
          <w:szCs w:val="26"/>
        </w:rPr>
        <w:t xml:space="preserve">143-150. </w:t>
      </w:r>
    </w:p>
    <w:p w14:paraId="48C89BA7" w14:textId="75610AC1" w:rsidR="003C57AC" w:rsidRPr="00C950E1" w:rsidRDefault="003C57AC" w:rsidP="003C57AC">
      <w:pPr>
        <w:snapToGrid w:val="0"/>
        <w:spacing w:after="0" w:line="360" w:lineRule="exact"/>
        <w:ind w:left="630" w:hanging="630"/>
        <w:rPr>
          <w:rFonts w:ascii="Times New Roman" w:hAnsi="Times New Roman" w:cs="Times New Roman"/>
          <w:sz w:val="26"/>
          <w:szCs w:val="26"/>
        </w:rPr>
      </w:pPr>
      <w:r w:rsidRPr="00C950E1">
        <w:rPr>
          <w:rFonts w:ascii="Times New Roman" w:hAnsi="Times New Roman" w:cs="Times New Roman"/>
          <w:sz w:val="26"/>
          <w:szCs w:val="26"/>
        </w:rPr>
        <w:t xml:space="preserve">Matsumoto, D. A. (2002). Management's </w:t>
      </w:r>
      <w:r w:rsidR="003D0CB6" w:rsidRPr="00C950E1">
        <w:rPr>
          <w:rFonts w:ascii="Times New Roman" w:hAnsi="Times New Roman" w:cs="Times New Roman"/>
          <w:sz w:val="26"/>
          <w:szCs w:val="26"/>
        </w:rPr>
        <w:t xml:space="preserve">incentives </w:t>
      </w:r>
      <w:r w:rsidRPr="00C950E1">
        <w:rPr>
          <w:rFonts w:ascii="Times New Roman" w:hAnsi="Times New Roman" w:cs="Times New Roman"/>
          <w:sz w:val="26"/>
          <w:szCs w:val="26"/>
        </w:rPr>
        <w:t xml:space="preserve">to </w:t>
      </w:r>
      <w:r w:rsidR="003D0CB6" w:rsidRPr="00C950E1">
        <w:rPr>
          <w:rFonts w:ascii="Times New Roman" w:hAnsi="Times New Roman" w:cs="Times New Roman"/>
          <w:sz w:val="26"/>
          <w:szCs w:val="26"/>
        </w:rPr>
        <w:t>avoid negative earnings surprises</w:t>
      </w:r>
      <w:r w:rsidRPr="00C950E1">
        <w:rPr>
          <w:rFonts w:ascii="Times New Roman" w:hAnsi="Times New Roman" w:cs="Times New Roman"/>
          <w:sz w:val="26"/>
          <w:szCs w:val="26"/>
        </w:rPr>
        <w:t xml:space="preserve">. </w:t>
      </w:r>
      <w:r w:rsidRPr="00C950E1">
        <w:rPr>
          <w:rFonts w:ascii="Times New Roman" w:hAnsi="Times New Roman" w:cs="Times New Roman"/>
          <w:i/>
          <w:iCs/>
          <w:sz w:val="26"/>
          <w:szCs w:val="26"/>
        </w:rPr>
        <w:t>The Accounting Review, 77</w:t>
      </w:r>
      <w:r w:rsidRPr="003D0CB6">
        <w:rPr>
          <w:rFonts w:ascii="Times New Roman" w:hAnsi="Times New Roman" w:cs="Times New Roman"/>
          <w:iCs/>
          <w:sz w:val="26"/>
          <w:szCs w:val="26"/>
        </w:rPr>
        <w:t>(3)</w:t>
      </w:r>
      <w:r w:rsidRPr="00C950E1">
        <w:rPr>
          <w:rFonts w:ascii="Times New Roman" w:hAnsi="Times New Roman" w:cs="Times New Roman"/>
          <w:i/>
          <w:iCs/>
          <w:sz w:val="26"/>
          <w:szCs w:val="26"/>
        </w:rPr>
        <w:t>,</w:t>
      </w:r>
      <w:r w:rsidRPr="00C950E1">
        <w:rPr>
          <w:rFonts w:ascii="Times New Roman" w:hAnsi="Times New Roman" w:cs="Times New Roman"/>
          <w:sz w:val="26"/>
          <w:szCs w:val="26"/>
        </w:rPr>
        <w:t xml:space="preserve"> 483-514. </w:t>
      </w:r>
      <w:r w:rsidR="00013DE7">
        <w:rPr>
          <w:rFonts w:ascii="Times New Roman" w:hAnsi="Times New Roman" w:cs="Times New Roman"/>
          <w:sz w:val="26"/>
          <w:szCs w:val="26"/>
        </w:rPr>
        <w:t>https://doi.org/</w:t>
      </w:r>
      <w:r w:rsidR="00013DE7" w:rsidRPr="00C950E1">
        <w:rPr>
          <w:rFonts w:ascii="Times New Roman" w:hAnsi="Times New Roman" w:cs="Times New Roman"/>
          <w:sz w:val="26"/>
          <w:szCs w:val="26"/>
        </w:rPr>
        <w:t>10.2308/accr.2002.77.3.483</w:t>
      </w:r>
    </w:p>
    <w:p w14:paraId="530822C5" w14:textId="7825323D" w:rsidR="003C57AC" w:rsidRPr="00C950E1" w:rsidRDefault="003C57AC" w:rsidP="003C57AC">
      <w:pPr>
        <w:snapToGrid w:val="0"/>
        <w:spacing w:after="0" w:line="360" w:lineRule="exact"/>
        <w:ind w:left="630" w:hanging="630"/>
        <w:rPr>
          <w:rFonts w:ascii="Times New Roman" w:hAnsi="Times New Roman" w:cs="Times New Roman"/>
          <w:sz w:val="26"/>
          <w:szCs w:val="26"/>
        </w:rPr>
      </w:pPr>
      <w:proofErr w:type="spellStart"/>
      <w:r w:rsidRPr="00C95423">
        <w:rPr>
          <w:rFonts w:ascii="Times New Roman" w:hAnsi="Times New Roman" w:cs="Times New Roman"/>
          <w:sz w:val="26"/>
          <w:szCs w:val="26"/>
        </w:rPr>
        <w:t>Menicucci</w:t>
      </w:r>
      <w:proofErr w:type="spellEnd"/>
      <w:r w:rsidRPr="00C95423">
        <w:rPr>
          <w:rFonts w:ascii="Times New Roman" w:hAnsi="Times New Roman" w:cs="Times New Roman"/>
          <w:sz w:val="26"/>
          <w:szCs w:val="26"/>
        </w:rPr>
        <w:t xml:space="preserve">, E. (2020). Earnings </w:t>
      </w:r>
      <w:r w:rsidR="00013DE7" w:rsidRPr="00C95423">
        <w:rPr>
          <w:rFonts w:ascii="Times New Roman" w:hAnsi="Times New Roman" w:cs="Times New Roman"/>
          <w:sz w:val="26"/>
          <w:szCs w:val="26"/>
        </w:rPr>
        <w:t>quality</w:t>
      </w:r>
      <w:r w:rsidR="00013DE7" w:rsidRPr="00C95423">
        <w:rPr>
          <w:rFonts w:ascii="Times New Roman" w:eastAsia="新細明體" w:hAnsi="Times New Roman" w:cs="Times New Roman" w:hint="eastAsia"/>
          <w:sz w:val="26"/>
          <w:szCs w:val="26"/>
          <w:lang w:eastAsia="zh-TW"/>
        </w:rPr>
        <w:t>:</w:t>
      </w:r>
      <w:r w:rsidRPr="00C95423">
        <w:rPr>
          <w:rFonts w:ascii="Times New Roman" w:hAnsi="Times New Roman" w:cs="Times New Roman"/>
          <w:sz w:val="26"/>
          <w:szCs w:val="26"/>
        </w:rPr>
        <w:t xml:space="preserve"> De</w:t>
      </w:r>
      <w:r w:rsidR="00013DE7" w:rsidRPr="00C95423">
        <w:rPr>
          <w:rFonts w:ascii="Times New Roman" w:hAnsi="Times New Roman" w:cs="Times New Roman"/>
          <w:sz w:val="26"/>
          <w:szCs w:val="26"/>
        </w:rPr>
        <w:t>finitions, measures, and financial reporting.</w:t>
      </w:r>
      <w:r w:rsidRPr="00C95423">
        <w:rPr>
          <w:rFonts w:ascii="Times New Roman" w:hAnsi="Times New Roman" w:cs="Times New Roman"/>
          <w:sz w:val="26"/>
          <w:szCs w:val="26"/>
        </w:rPr>
        <w:t xml:space="preserve"> Palgrave Pivot publisher.</w:t>
      </w:r>
      <w:r w:rsidRPr="00C950E1">
        <w:rPr>
          <w:rFonts w:ascii="Times New Roman" w:hAnsi="Times New Roman" w:cs="Times New Roman"/>
          <w:sz w:val="26"/>
          <w:szCs w:val="26"/>
        </w:rPr>
        <w:t xml:space="preserve">  </w:t>
      </w:r>
    </w:p>
    <w:p w14:paraId="7A2AB5E1" w14:textId="7E275345" w:rsidR="003C57AC" w:rsidRPr="00C95423" w:rsidRDefault="003C57AC" w:rsidP="003C57AC">
      <w:pPr>
        <w:snapToGrid w:val="0"/>
        <w:spacing w:after="0" w:line="360" w:lineRule="exact"/>
        <w:ind w:left="630" w:hanging="630"/>
        <w:rPr>
          <w:rFonts w:ascii="Times New Roman" w:hAnsi="Times New Roman" w:cs="Times New Roman"/>
          <w:sz w:val="26"/>
          <w:szCs w:val="26"/>
        </w:rPr>
      </w:pPr>
      <w:r w:rsidRPr="00C950E1">
        <w:rPr>
          <w:rFonts w:ascii="Times New Roman" w:hAnsi="Times New Roman" w:cs="Times New Roman"/>
          <w:sz w:val="26"/>
          <w:szCs w:val="26"/>
        </w:rPr>
        <w:lastRenderedPageBreak/>
        <w:t>Mirza, A., Malek, M</w:t>
      </w:r>
      <w:r>
        <w:rPr>
          <w:rFonts w:ascii="Times New Roman" w:hAnsi="Times New Roman" w:cs="Times New Roman"/>
          <w:sz w:val="26"/>
          <w:szCs w:val="26"/>
        </w:rPr>
        <w:t>.,</w:t>
      </w:r>
      <w:r w:rsidRPr="00C950E1">
        <w:rPr>
          <w:rFonts w:ascii="Times New Roman" w:hAnsi="Times New Roman" w:cs="Times New Roman"/>
          <w:sz w:val="26"/>
          <w:szCs w:val="26"/>
        </w:rPr>
        <w:t xml:space="preserve"> &amp; Abdul-Hamid, M. A. (2019). Value relevance of financial reporting: Evidence from Malaysia.  </w:t>
      </w:r>
      <w:r w:rsidRPr="00C950E1">
        <w:rPr>
          <w:rFonts w:ascii="Times New Roman" w:hAnsi="Times New Roman" w:cs="Times New Roman"/>
          <w:i/>
          <w:iCs/>
          <w:sz w:val="26"/>
          <w:szCs w:val="26"/>
        </w:rPr>
        <w:t>Cogent Economics &amp; Finance, 7</w:t>
      </w:r>
      <w:r w:rsidRPr="003D0CB6">
        <w:rPr>
          <w:rFonts w:ascii="Times New Roman" w:hAnsi="Times New Roman" w:cs="Times New Roman"/>
          <w:iCs/>
          <w:sz w:val="26"/>
          <w:szCs w:val="26"/>
        </w:rPr>
        <w:t>(1)</w:t>
      </w:r>
      <w:r w:rsidRPr="00C950E1">
        <w:rPr>
          <w:rFonts w:ascii="Times New Roman" w:hAnsi="Times New Roman" w:cs="Times New Roman"/>
          <w:i/>
          <w:iCs/>
          <w:sz w:val="26"/>
          <w:szCs w:val="26"/>
        </w:rPr>
        <w:t>,</w:t>
      </w:r>
      <w:r w:rsidRPr="00C950E1">
        <w:rPr>
          <w:rFonts w:ascii="Times New Roman" w:hAnsi="Times New Roman" w:cs="Times New Roman"/>
          <w:sz w:val="26"/>
          <w:szCs w:val="26"/>
        </w:rPr>
        <w:t xml:space="preserve"> </w:t>
      </w:r>
      <w:r w:rsidRPr="00C95423">
        <w:rPr>
          <w:rFonts w:ascii="Times New Roman" w:hAnsi="Times New Roman" w:cs="Times New Roman"/>
          <w:sz w:val="26"/>
          <w:szCs w:val="26"/>
        </w:rPr>
        <w:t>1651623, 1-19</w:t>
      </w:r>
      <w:r w:rsidR="003D0CB6" w:rsidRPr="00C95423">
        <w:rPr>
          <w:rFonts w:ascii="Times New Roman" w:hAnsi="Times New Roman" w:cs="Times New Roman"/>
          <w:sz w:val="26"/>
          <w:szCs w:val="26"/>
        </w:rPr>
        <w:t>.</w:t>
      </w:r>
      <w:r w:rsidRPr="00C95423">
        <w:rPr>
          <w:rFonts w:ascii="Times New Roman" w:hAnsi="Times New Roman" w:cs="Times New Roman"/>
          <w:sz w:val="26"/>
          <w:szCs w:val="26"/>
        </w:rPr>
        <w:t xml:space="preserve"> </w:t>
      </w:r>
      <w:hyperlink r:id="rId43" w:history="1">
        <w:r w:rsidRPr="00C95423">
          <w:rPr>
            <w:rFonts w:ascii="Times New Roman" w:hAnsi="Times New Roman" w:cs="Times New Roman"/>
            <w:sz w:val="26"/>
            <w:szCs w:val="26"/>
          </w:rPr>
          <w:t>https://doi.org/10.1080/23322039.2019.1651623</w:t>
        </w:r>
      </w:hyperlink>
    </w:p>
    <w:p w14:paraId="53908288" w14:textId="519F79EF" w:rsidR="003C57AC" w:rsidRPr="00C95423" w:rsidRDefault="003C57AC" w:rsidP="003C57AC">
      <w:pPr>
        <w:snapToGrid w:val="0"/>
        <w:spacing w:after="0" w:line="360" w:lineRule="exact"/>
        <w:ind w:left="630" w:hanging="630"/>
        <w:rPr>
          <w:rFonts w:ascii="Times New Roman" w:hAnsi="Times New Roman" w:cs="Times New Roman"/>
          <w:sz w:val="26"/>
          <w:szCs w:val="26"/>
        </w:rPr>
      </w:pPr>
      <w:proofErr w:type="spellStart"/>
      <w:r w:rsidRPr="00C950E1">
        <w:rPr>
          <w:rFonts w:ascii="Times New Roman" w:hAnsi="Times New Roman" w:cs="Times New Roman"/>
          <w:sz w:val="26"/>
          <w:szCs w:val="26"/>
        </w:rPr>
        <w:t>Naif</w:t>
      </w:r>
      <w:proofErr w:type="spellEnd"/>
      <w:r w:rsidRPr="00C950E1">
        <w:rPr>
          <w:rFonts w:ascii="Times New Roman" w:hAnsi="Times New Roman" w:cs="Times New Roman"/>
          <w:sz w:val="26"/>
          <w:szCs w:val="26"/>
        </w:rPr>
        <w:t>, A. T</w:t>
      </w:r>
      <w:r>
        <w:rPr>
          <w:rFonts w:ascii="Times New Roman" w:hAnsi="Times New Roman" w:cs="Times New Roman"/>
          <w:sz w:val="26"/>
          <w:szCs w:val="26"/>
        </w:rPr>
        <w:t>.,</w:t>
      </w:r>
      <w:r w:rsidRPr="00C950E1">
        <w:rPr>
          <w:rFonts w:ascii="Times New Roman" w:hAnsi="Times New Roman" w:cs="Times New Roman"/>
          <w:sz w:val="26"/>
          <w:szCs w:val="26"/>
        </w:rPr>
        <w:t xml:space="preserve"> &amp; Ali, H. M. (2019). Saudi Arabia </w:t>
      </w:r>
      <w:r w:rsidR="003D0CB6" w:rsidRPr="00C950E1">
        <w:rPr>
          <w:rFonts w:ascii="Times New Roman" w:hAnsi="Times New Roman" w:cs="Times New Roman"/>
          <w:sz w:val="26"/>
          <w:szCs w:val="26"/>
        </w:rPr>
        <w:t>regulations on corporate governance</w:t>
      </w:r>
      <w:r w:rsidRPr="00C950E1">
        <w:rPr>
          <w:rFonts w:ascii="Times New Roman" w:hAnsi="Times New Roman" w:cs="Times New Roman"/>
          <w:sz w:val="26"/>
          <w:szCs w:val="26"/>
        </w:rPr>
        <w:t xml:space="preserve">. </w:t>
      </w:r>
      <w:r w:rsidRPr="00C95423">
        <w:rPr>
          <w:rFonts w:ascii="Times New Roman" w:hAnsi="Times New Roman" w:cs="Times New Roman"/>
          <w:i/>
          <w:sz w:val="26"/>
          <w:szCs w:val="26"/>
        </w:rPr>
        <w:t xml:space="preserve">International </w:t>
      </w:r>
      <w:r w:rsidRPr="00C95423">
        <w:rPr>
          <w:rFonts w:ascii="Times New Roman" w:hAnsi="Times New Roman" w:cs="Times New Roman"/>
          <w:i/>
          <w:iCs/>
          <w:sz w:val="26"/>
          <w:szCs w:val="26"/>
        </w:rPr>
        <w:t>Journal of Asian Social Science, 9</w:t>
      </w:r>
      <w:r w:rsidRPr="00C95423">
        <w:rPr>
          <w:rFonts w:ascii="Times New Roman" w:hAnsi="Times New Roman" w:cs="Times New Roman"/>
          <w:iCs/>
          <w:sz w:val="26"/>
          <w:szCs w:val="26"/>
        </w:rPr>
        <w:t>(2)</w:t>
      </w:r>
      <w:r w:rsidRPr="00C95423">
        <w:rPr>
          <w:rFonts w:ascii="Times New Roman" w:hAnsi="Times New Roman" w:cs="Times New Roman"/>
          <w:i/>
          <w:iCs/>
          <w:sz w:val="26"/>
          <w:szCs w:val="26"/>
        </w:rPr>
        <w:t>,</w:t>
      </w:r>
      <w:r w:rsidRPr="00C95423">
        <w:rPr>
          <w:rFonts w:ascii="Times New Roman" w:hAnsi="Times New Roman" w:cs="Times New Roman"/>
          <w:sz w:val="26"/>
          <w:szCs w:val="26"/>
        </w:rPr>
        <w:t xml:space="preserve"> 229-239. </w:t>
      </w:r>
      <w:r w:rsidR="00013DE7" w:rsidRPr="00C95423">
        <w:rPr>
          <w:rFonts w:ascii="Times New Roman" w:hAnsi="Times New Roman" w:cs="Times New Roman"/>
          <w:sz w:val="26"/>
          <w:szCs w:val="26"/>
        </w:rPr>
        <w:t xml:space="preserve">https://doi.org/10.18488/journal.1.2019.92.229.239 </w:t>
      </w:r>
    </w:p>
    <w:p w14:paraId="69EC76BE" w14:textId="4D227F5F" w:rsidR="003C57AC" w:rsidRPr="00C95423" w:rsidRDefault="003C57AC" w:rsidP="003C57AC">
      <w:pPr>
        <w:snapToGrid w:val="0"/>
        <w:spacing w:after="0" w:line="360" w:lineRule="exact"/>
        <w:ind w:left="630" w:hanging="630"/>
        <w:rPr>
          <w:rFonts w:ascii="Times New Roman" w:hAnsi="Times New Roman" w:cs="Times New Roman"/>
          <w:sz w:val="26"/>
          <w:szCs w:val="26"/>
        </w:rPr>
      </w:pPr>
      <w:proofErr w:type="spellStart"/>
      <w:r w:rsidRPr="00C95423">
        <w:rPr>
          <w:rFonts w:ascii="Times New Roman" w:hAnsi="Times New Roman" w:cs="Times New Roman"/>
          <w:sz w:val="26"/>
          <w:szCs w:val="26"/>
        </w:rPr>
        <w:t>Nezlobin</w:t>
      </w:r>
      <w:proofErr w:type="spellEnd"/>
      <w:r w:rsidRPr="00C95423">
        <w:rPr>
          <w:rFonts w:ascii="Times New Roman" w:hAnsi="Times New Roman" w:cs="Times New Roman"/>
          <w:sz w:val="26"/>
          <w:szCs w:val="26"/>
        </w:rPr>
        <w:t xml:space="preserve">, A., Sloan, R., &amp; </w:t>
      </w:r>
      <w:proofErr w:type="spellStart"/>
      <w:r w:rsidRPr="00C95423">
        <w:rPr>
          <w:rFonts w:ascii="Times New Roman" w:hAnsi="Times New Roman" w:cs="Times New Roman"/>
          <w:sz w:val="26"/>
          <w:szCs w:val="26"/>
        </w:rPr>
        <w:t>Giedt</w:t>
      </w:r>
      <w:proofErr w:type="spellEnd"/>
      <w:r w:rsidRPr="00C95423">
        <w:rPr>
          <w:rFonts w:ascii="Times New Roman" w:hAnsi="Times New Roman" w:cs="Times New Roman"/>
          <w:sz w:val="26"/>
          <w:szCs w:val="26"/>
        </w:rPr>
        <w:t>, J. Z. (2019). Measuring</w:t>
      </w:r>
      <w:r w:rsidR="003D0CB6" w:rsidRPr="00C95423">
        <w:rPr>
          <w:rFonts w:ascii="Times New Roman" w:hAnsi="Times New Roman" w:cs="Times New Roman"/>
          <w:sz w:val="26"/>
          <w:szCs w:val="26"/>
        </w:rPr>
        <w:t xml:space="preserve"> accruals quality</w:t>
      </w:r>
      <w:r w:rsidRPr="00C95423">
        <w:rPr>
          <w:rFonts w:ascii="Times New Roman" w:hAnsi="Times New Roman" w:cs="Times New Roman"/>
          <w:sz w:val="26"/>
          <w:szCs w:val="26"/>
        </w:rPr>
        <w:t xml:space="preserve">: A </w:t>
      </w:r>
      <w:r w:rsidR="003D0CB6" w:rsidRPr="00C95423">
        <w:rPr>
          <w:rFonts w:ascii="Times New Roman" w:hAnsi="Times New Roman" w:cs="Times New Roman"/>
          <w:sz w:val="26"/>
          <w:szCs w:val="26"/>
        </w:rPr>
        <w:t>theoretical and empirical evaluation</w:t>
      </w:r>
      <w:r w:rsidRPr="00C95423">
        <w:rPr>
          <w:rFonts w:ascii="Times New Roman" w:hAnsi="Times New Roman" w:cs="Times New Roman"/>
          <w:sz w:val="26"/>
          <w:szCs w:val="26"/>
        </w:rPr>
        <w:t xml:space="preserve">. </w:t>
      </w:r>
      <w:hyperlink r:id="rId44" w:history="1">
        <w:r w:rsidRPr="00C95423">
          <w:rPr>
            <w:rFonts w:ascii="Times New Roman" w:hAnsi="Times New Roman" w:cs="Times New Roman"/>
            <w:sz w:val="26"/>
            <w:szCs w:val="26"/>
          </w:rPr>
          <w:t>https://ssrn.com/abstract=3301083</w:t>
        </w:r>
      </w:hyperlink>
    </w:p>
    <w:p w14:paraId="2F9440F9" w14:textId="77714309" w:rsidR="003C57AC" w:rsidRPr="00C95423" w:rsidRDefault="003C57AC" w:rsidP="003C57AC">
      <w:pPr>
        <w:snapToGrid w:val="0"/>
        <w:spacing w:after="0" w:line="360" w:lineRule="exact"/>
        <w:ind w:left="630" w:hanging="630"/>
        <w:rPr>
          <w:rFonts w:ascii="Times New Roman" w:hAnsi="Times New Roman" w:cs="Times New Roman"/>
          <w:sz w:val="26"/>
          <w:szCs w:val="26"/>
        </w:rPr>
      </w:pPr>
      <w:proofErr w:type="spellStart"/>
      <w:r w:rsidRPr="00C95423">
        <w:rPr>
          <w:rFonts w:ascii="Times New Roman" w:hAnsi="Times New Roman" w:cs="Times New Roman"/>
          <w:sz w:val="26"/>
          <w:szCs w:val="26"/>
        </w:rPr>
        <w:t>Nuruzzaman</w:t>
      </w:r>
      <w:proofErr w:type="spellEnd"/>
      <w:r w:rsidRPr="00C95423">
        <w:rPr>
          <w:rFonts w:ascii="Times New Roman" w:hAnsi="Times New Roman" w:cs="Times New Roman"/>
          <w:sz w:val="26"/>
          <w:szCs w:val="26"/>
        </w:rPr>
        <w:t xml:space="preserve">, M. (2013). Political, </w:t>
      </w:r>
      <w:r w:rsidR="003D0CB6" w:rsidRPr="00C95423">
        <w:rPr>
          <w:rFonts w:ascii="Times New Roman" w:hAnsi="Times New Roman" w:cs="Times New Roman"/>
          <w:sz w:val="26"/>
          <w:szCs w:val="26"/>
        </w:rPr>
        <w:t>economics an</w:t>
      </w:r>
      <w:r w:rsidRPr="00C95423">
        <w:rPr>
          <w:rFonts w:ascii="Times New Roman" w:hAnsi="Times New Roman" w:cs="Times New Roman"/>
          <w:sz w:val="26"/>
          <w:szCs w:val="26"/>
        </w:rPr>
        <w:t xml:space="preserve">d Saudi </w:t>
      </w:r>
      <w:r w:rsidR="003D0CB6" w:rsidRPr="00C95423">
        <w:rPr>
          <w:rFonts w:ascii="Times New Roman" w:hAnsi="Times New Roman" w:cs="Times New Roman"/>
          <w:sz w:val="26"/>
          <w:szCs w:val="26"/>
        </w:rPr>
        <w:t>milita</w:t>
      </w:r>
      <w:r w:rsidR="00942E8A" w:rsidRPr="00C95423">
        <w:rPr>
          <w:rFonts w:ascii="Times New Roman" w:hAnsi="Times New Roman" w:cs="Times New Roman"/>
          <w:sz w:val="26"/>
          <w:szCs w:val="26"/>
        </w:rPr>
        <w:t>r</w:t>
      </w:r>
      <w:r w:rsidR="003D0CB6" w:rsidRPr="00C95423">
        <w:rPr>
          <w:rFonts w:ascii="Times New Roman" w:hAnsi="Times New Roman" w:cs="Times New Roman"/>
          <w:sz w:val="26"/>
          <w:szCs w:val="26"/>
        </w:rPr>
        <w:t>y intervention</w:t>
      </w:r>
      <w:r w:rsidRPr="00C95423">
        <w:rPr>
          <w:rFonts w:ascii="Times New Roman" w:hAnsi="Times New Roman" w:cs="Times New Roman"/>
          <w:sz w:val="26"/>
          <w:szCs w:val="26"/>
        </w:rPr>
        <w:t xml:space="preserve"> in Bahrain. </w:t>
      </w:r>
      <w:r w:rsidRPr="00C95423">
        <w:rPr>
          <w:rFonts w:ascii="Times New Roman" w:hAnsi="Times New Roman" w:cs="Times New Roman"/>
          <w:i/>
          <w:iCs/>
          <w:sz w:val="26"/>
          <w:szCs w:val="26"/>
        </w:rPr>
        <w:t>Journal of Contemporary Asia</w:t>
      </w:r>
      <w:r w:rsidRPr="00C95423">
        <w:rPr>
          <w:rFonts w:ascii="Times New Roman" w:hAnsi="Times New Roman" w:cs="Times New Roman"/>
          <w:sz w:val="26"/>
          <w:szCs w:val="26"/>
        </w:rPr>
        <w:t xml:space="preserve">, 43(2), 363-378. </w:t>
      </w:r>
      <w:r w:rsidR="00013DE7" w:rsidRPr="00C95423">
        <w:rPr>
          <w:rFonts w:ascii="Times New Roman" w:hAnsi="Times New Roman" w:cs="Times New Roman"/>
          <w:sz w:val="26"/>
          <w:szCs w:val="26"/>
        </w:rPr>
        <w:t>https://doi.org/10.1080/00472336.2012.759406</w:t>
      </w:r>
    </w:p>
    <w:p w14:paraId="658D6426" w14:textId="73B28562" w:rsidR="003C57AC" w:rsidRPr="00C95423" w:rsidRDefault="003C57AC" w:rsidP="003C57AC">
      <w:pPr>
        <w:snapToGrid w:val="0"/>
        <w:spacing w:after="0" w:line="360" w:lineRule="exact"/>
        <w:ind w:left="630" w:hanging="630"/>
        <w:rPr>
          <w:rFonts w:ascii="Times New Roman" w:hAnsi="Times New Roman" w:cs="Times New Roman"/>
          <w:sz w:val="26"/>
          <w:szCs w:val="26"/>
        </w:rPr>
      </w:pPr>
      <w:r w:rsidRPr="00C95423">
        <w:rPr>
          <w:rFonts w:ascii="Times New Roman" w:hAnsi="Times New Roman" w:cs="Times New Roman"/>
          <w:sz w:val="26"/>
          <w:szCs w:val="26"/>
        </w:rPr>
        <w:t xml:space="preserve">Okoro, E. C., &amp; </w:t>
      </w:r>
      <w:proofErr w:type="spellStart"/>
      <w:r w:rsidRPr="00C95423">
        <w:rPr>
          <w:rFonts w:ascii="Times New Roman" w:hAnsi="Times New Roman" w:cs="Times New Roman"/>
          <w:sz w:val="26"/>
          <w:szCs w:val="26"/>
        </w:rPr>
        <w:t>Ofor</w:t>
      </w:r>
      <w:proofErr w:type="spellEnd"/>
      <w:r w:rsidRPr="00C95423">
        <w:rPr>
          <w:rFonts w:ascii="Times New Roman" w:hAnsi="Times New Roman" w:cs="Times New Roman"/>
          <w:sz w:val="26"/>
          <w:szCs w:val="26"/>
        </w:rPr>
        <w:t xml:space="preserve">, T. N. (2019). Determinants of </w:t>
      </w:r>
      <w:r w:rsidR="003D0CB6" w:rsidRPr="00C95423">
        <w:rPr>
          <w:rFonts w:ascii="Times New Roman" w:hAnsi="Times New Roman" w:cs="Times New Roman"/>
          <w:sz w:val="26"/>
          <w:szCs w:val="26"/>
        </w:rPr>
        <w:t>accounting earnings surprises in an emerging economy</w:t>
      </w:r>
      <w:r w:rsidRPr="00C95423">
        <w:rPr>
          <w:rFonts w:ascii="Times New Roman" w:hAnsi="Times New Roman" w:cs="Times New Roman"/>
          <w:i/>
          <w:iCs/>
          <w:sz w:val="26"/>
          <w:szCs w:val="26"/>
        </w:rPr>
        <w:t>. International Journal of Innovative Finance and Economics Research, 7</w:t>
      </w:r>
      <w:r w:rsidRPr="00C95423">
        <w:rPr>
          <w:rFonts w:ascii="Times New Roman" w:hAnsi="Times New Roman" w:cs="Times New Roman"/>
          <w:iCs/>
          <w:sz w:val="26"/>
          <w:szCs w:val="26"/>
        </w:rPr>
        <w:t>(4)</w:t>
      </w:r>
      <w:r w:rsidRPr="00C95423">
        <w:rPr>
          <w:rFonts w:ascii="Times New Roman" w:hAnsi="Times New Roman" w:cs="Times New Roman"/>
          <w:sz w:val="26"/>
          <w:szCs w:val="26"/>
        </w:rPr>
        <w:t>,</w:t>
      </w:r>
      <w:r w:rsidR="003D0CB6" w:rsidRPr="00C95423">
        <w:rPr>
          <w:rFonts w:ascii="Times New Roman" w:hAnsi="Times New Roman" w:cs="Times New Roman"/>
          <w:sz w:val="26"/>
          <w:szCs w:val="26"/>
        </w:rPr>
        <w:t xml:space="preserve"> </w:t>
      </w:r>
      <w:r w:rsidRPr="00C95423">
        <w:rPr>
          <w:rFonts w:ascii="Times New Roman" w:hAnsi="Times New Roman" w:cs="Times New Roman"/>
          <w:sz w:val="26"/>
          <w:szCs w:val="26"/>
        </w:rPr>
        <w:t xml:space="preserve">29-44. </w:t>
      </w:r>
    </w:p>
    <w:p w14:paraId="7C4801E2" w14:textId="24C9644B" w:rsidR="003C57AC" w:rsidRPr="00C95423" w:rsidRDefault="003C57AC" w:rsidP="003C57AC">
      <w:pPr>
        <w:snapToGrid w:val="0"/>
        <w:spacing w:after="0" w:line="360" w:lineRule="exact"/>
        <w:ind w:left="630" w:hanging="630"/>
        <w:rPr>
          <w:rFonts w:ascii="Times New Roman" w:hAnsi="Times New Roman" w:cs="Times New Roman"/>
          <w:sz w:val="26"/>
          <w:szCs w:val="26"/>
        </w:rPr>
      </w:pPr>
      <w:proofErr w:type="spellStart"/>
      <w:r w:rsidRPr="00C95423">
        <w:rPr>
          <w:rFonts w:ascii="Times New Roman" w:hAnsi="Times New Roman" w:cs="Times New Roman"/>
          <w:sz w:val="26"/>
          <w:szCs w:val="26"/>
        </w:rPr>
        <w:t>Pauceanu</w:t>
      </w:r>
      <w:proofErr w:type="spellEnd"/>
      <w:r w:rsidRPr="00C95423">
        <w:rPr>
          <w:rFonts w:ascii="Times New Roman" w:hAnsi="Times New Roman" w:cs="Times New Roman"/>
          <w:sz w:val="26"/>
          <w:szCs w:val="26"/>
        </w:rPr>
        <w:t xml:space="preserve">, A. M. (2016). Foreign </w:t>
      </w:r>
      <w:r w:rsidR="003D0CB6" w:rsidRPr="00C95423">
        <w:rPr>
          <w:rFonts w:ascii="Times New Roman" w:hAnsi="Times New Roman" w:cs="Times New Roman"/>
          <w:sz w:val="26"/>
          <w:szCs w:val="26"/>
        </w:rPr>
        <w:t>investment promotion analysi</w:t>
      </w:r>
      <w:r w:rsidRPr="00C95423">
        <w:rPr>
          <w:rFonts w:ascii="Times New Roman" w:hAnsi="Times New Roman" w:cs="Times New Roman"/>
          <w:sz w:val="26"/>
          <w:szCs w:val="26"/>
        </w:rPr>
        <w:t xml:space="preserve">s in Sultanate of Oman: The </w:t>
      </w:r>
      <w:r w:rsidR="003D0CB6" w:rsidRPr="00C95423">
        <w:rPr>
          <w:rFonts w:ascii="Times New Roman" w:hAnsi="Times New Roman" w:cs="Times New Roman"/>
          <w:sz w:val="26"/>
          <w:szCs w:val="26"/>
        </w:rPr>
        <w:t>cas</w:t>
      </w:r>
      <w:r w:rsidRPr="00C95423">
        <w:rPr>
          <w:rFonts w:ascii="Times New Roman" w:hAnsi="Times New Roman" w:cs="Times New Roman"/>
          <w:sz w:val="26"/>
          <w:szCs w:val="26"/>
        </w:rPr>
        <w:t xml:space="preserve">e of Dhofar </w:t>
      </w:r>
      <w:r w:rsidR="003D0CB6" w:rsidRPr="00C95423">
        <w:rPr>
          <w:rFonts w:ascii="Times New Roman" w:hAnsi="Times New Roman" w:cs="Times New Roman"/>
          <w:sz w:val="26"/>
          <w:szCs w:val="26"/>
        </w:rPr>
        <w:t>governorate</w:t>
      </w:r>
      <w:r w:rsidRPr="00C95423">
        <w:rPr>
          <w:rFonts w:ascii="Times New Roman" w:hAnsi="Times New Roman" w:cs="Times New Roman"/>
          <w:sz w:val="26"/>
          <w:szCs w:val="26"/>
        </w:rPr>
        <w:t xml:space="preserve">. </w:t>
      </w:r>
      <w:r w:rsidRPr="00C95423">
        <w:rPr>
          <w:rFonts w:ascii="Times New Roman" w:hAnsi="Times New Roman" w:cs="Times New Roman"/>
          <w:i/>
          <w:iCs/>
          <w:sz w:val="26"/>
          <w:szCs w:val="26"/>
        </w:rPr>
        <w:t>International Journal of Economics and Financial Issues, 6</w:t>
      </w:r>
      <w:r w:rsidRPr="00C95423">
        <w:rPr>
          <w:rFonts w:ascii="Times New Roman" w:hAnsi="Times New Roman" w:cs="Times New Roman"/>
          <w:iCs/>
          <w:sz w:val="26"/>
          <w:szCs w:val="26"/>
        </w:rPr>
        <w:t>(2)</w:t>
      </w:r>
      <w:r w:rsidRPr="00C95423">
        <w:rPr>
          <w:rFonts w:ascii="Times New Roman" w:hAnsi="Times New Roman" w:cs="Times New Roman"/>
          <w:sz w:val="26"/>
          <w:szCs w:val="26"/>
        </w:rPr>
        <w:t xml:space="preserve">, 392-401. </w:t>
      </w:r>
    </w:p>
    <w:p w14:paraId="717D3382" w14:textId="1DDBD949" w:rsidR="003C57AC" w:rsidRPr="00C95423" w:rsidRDefault="003C57AC" w:rsidP="003C57AC">
      <w:pPr>
        <w:snapToGrid w:val="0"/>
        <w:spacing w:after="0" w:line="360" w:lineRule="exact"/>
        <w:ind w:left="630" w:hanging="630"/>
        <w:rPr>
          <w:rFonts w:ascii="Times New Roman" w:hAnsi="Times New Roman" w:cs="Times New Roman"/>
          <w:sz w:val="26"/>
          <w:szCs w:val="26"/>
        </w:rPr>
      </w:pPr>
      <w:r w:rsidRPr="00C95423">
        <w:rPr>
          <w:rFonts w:ascii="Times New Roman" w:hAnsi="Times New Roman" w:cs="Times New Roman"/>
          <w:sz w:val="26"/>
          <w:szCs w:val="26"/>
        </w:rPr>
        <w:t xml:space="preserve">Penman, S., &amp; Zhang, X. J. (2002). Accounting conservatism, the quality of earnings and stock returns.  </w:t>
      </w:r>
      <w:r w:rsidRPr="00C95423">
        <w:rPr>
          <w:rFonts w:ascii="Times New Roman" w:hAnsi="Times New Roman" w:cs="Times New Roman"/>
          <w:i/>
          <w:iCs/>
          <w:sz w:val="26"/>
          <w:szCs w:val="26"/>
        </w:rPr>
        <w:t>The Accounting Review, 77</w:t>
      </w:r>
      <w:r w:rsidRPr="00C95423">
        <w:rPr>
          <w:rFonts w:ascii="Times New Roman" w:hAnsi="Times New Roman" w:cs="Times New Roman"/>
          <w:iCs/>
          <w:sz w:val="26"/>
          <w:szCs w:val="26"/>
        </w:rPr>
        <w:t>(2)</w:t>
      </w:r>
      <w:r w:rsidRPr="00C95423">
        <w:rPr>
          <w:rFonts w:ascii="Times New Roman" w:hAnsi="Times New Roman" w:cs="Times New Roman"/>
          <w:i/>
          <w:iCs/>
          <w:sz w:val="26"/>
          <w:szCs w:val="26"/>
        </w:rPr>
        <w:t>,</w:t>
      </w:r>
      <w:r w:rsidRPr="00C95423">
        <w:rPr>
          <w:rFonts w:ascii="Times New Roman" w:hAnsi="Times New Roman" w:cs="Times New Roman"/>
          <w:sz w:val="26"/>
          <w:szCs w:val="26"/>
        </w:rPr>
        <w:t xml:space="preserve"> 237-264. https://www.jstor.org/stable/3068897</w:t>
      </w:r>
    </w:p>
    <w:p w14:paraId="6B2DFE88" w14:textId="4F25B0D9" w:rsidR="003C57AC" w:rsidRPr="00C95423" w:rsidRDefault="003C57AC" w:rsidP="003C57AC">
      <w:pPr>
        <w:snapToGrid w:val="0"/>
        <w:spacing w:after="0" w:line="360" w:lineRule="exact"/>
        <w:ind w:left="630" w:hanging="630"/>
        <w:rPr>
          <w:rFonts w:ascii="Times New Roman" w:hAnsi="Times New Roman" w:cs="Times New Roman"/>
          <w:sz w:val="26"/>
          <w:szCs w:val="26"/>
        </w:rPr>
      </w:pPr>
      <w:proofErr w:type="spellStart"/>
      <w:r w:rsidRPr="00C95423">
        <w:rPr>
          <w:rFonts w:ascii="Times New Roman" w:hAnsi="Times New Roman" w:cs="Times New Roman"/>
          <w:sz w:val="26"/>
          <w:szCs w:val="26"/>
        </w:rPr>
        <w:t>Perotti</w:t>
      </w:r>
      <w:proofErr w:type="spellEnd"/>
      <w:r w:rsidRPr="00C95423">
        <w:rPr>
          <w:rFonts w:ascii="Times New Roman" w:hAnsi="Times New Roman" w:cs="Times New Roman"/>
          <w:sz w:val="26"/>
          <w:szCs w:val="26"/>
        </w:rPr>
        <w:t xml:space="preserve">, P., &amp; </w:t>
      </w:r>
      <w:proofErr w:type="spellStart"/>
      <w:r w:rsidRPr="00C95423">
        <w:rPr>
          <w:rFonts w:ascii="Times New Roman" w:hAnsi="Times New Roman" w:cs="Times New Roman"/>
          <w:sz w:val="26"/>
          <w:szCs w:val="26"/>
        </w:rPr>
        <w:t>Wagenhofer</w:t>
      </w:r>
      <w:proofErr w:type="spellEnd"/>
      <w:r w:rsidRPr="00C95423">
        <w:rPr>
          <w:rFonts w:ascii="Times New Roman" w:hAnsi="Times New Roman" w:cs="Times New Roman"/>
          <w:sz w:val="26"/>
          <w:szCs w:val="26"/>
        </w:rPr>
        <w:t>, A. (2014). Earnings</w:t>
      </w:r>
      <w:r w:rsidR="00B2426A" w:rsidRPr="00C95423">
        <w:rPr>
          <w:rFonts w:ascii="Times New Roman" w:hAnsi="Times New Roman" w:cs="Times New Roman"/>
          <w:sz w:val="26"/>
          <w:szCs w:val="26"/>
        </w:rPr>
        <w:t xml:space="preserve"> quality measures and excess returns</w:t>
      </w:r>
      <w:r w:rsidRPr="00C95423">
        <w:rPr>
          <w:rFonts w:ascii="Times New Roman" w:hAnsi="Times New Roman" w:cs="Times New Roman"/>
          <w:sz w:val="26"/>
          <w:szCs w:val="26"/>
        </w:rPr>
        <w:t xml:space="preserve">. </w:t>
      </w:r>
      <w:r w:rsidRPr="00C95423">
        <w:rPr>
          <w:rFonts w:ascii="Times New Roman" w:hAnsi="Times New Roman" w:cs="Times New Roman"/>
          <w:i/>
          <w:iCs/>
          <w:sz w:val="26"/>
          <w:szCs w:val="26"/>
        </w:rPr>
        <w:t>Journal of Business Finance &amp; Accounting, 41</w:t>
      </w:r>
      <w:r w:rsidRPr="00C95423">
        <w:rPr>
          <w:rFonts w:ascii="Times New Roman" w:hAnsi="Times New Roman" w:cs="Times New Roman"/>
          <w:iCs/>
          <w:sz w:val="26"/>
          <w:szCs w:val="26"/>
        </w:rPr>
        <w:t>(5) &amp; (6)</w:t>
      </w:r>
      <w:r w:rsidRPr="00C95423">
        <w:rPr>
          <w:rFonts w:ascii="Times New Roman" w:hAnsi="Times New Roman" w:cs="Times New Roman"/>
          <w:i/>
          <w:iCs/>
          <w:sz w:val="26"/>
          <w:szCs w:val="26"/>
        </w:rPr>
        <w:t>,</w:t>
      </w:r>
      <w:r w:rsidRPr="00C95423">
        <w:rPr>
          <w:rFonts w:ascii="Times New Roman" w:hAnsi="Times New Roman" w:cs="Times New Roman"/>
          <w:sz w:val="26"/>
          <w:szCs w:val="26"/>
        </w:rPr>
        <w:t xml:space="preserve"> 545</w:t>
      </w:r>
      <w:r w:rsidR="00C87DC6" w:rsidRPr="00C95423">
        <w:rPr>
          <w:rFonts w:ascii="Times New Roman" w:hAnsi="Times New Roman" w:cs="Times New Roman"/>
          <w:sz w:val="26"/>
          <w:szCs w:val="26"/>
        </w:rPr>
        <w:t>-</w:t>
      </w:r>
      <w:r w:rsidRPr="00C95423">
        <w:rPr>
          <w:rFonts w:ascii="Times New Roman" w:hAnsi="Times New Roman" w:cs="Times New Roman"/>
          <w:sz w:val="26"/>
          <w:szCs w:val="26"/>
        </w:rPr>
        <w:t xml:space="preserve">571. </w:t>
      </w:r>
      <w:hyperlink r:id="rId45" w:history="1">
        <w:r w:rsidRPr="00C95423">
          <w:rPr>
            <w:rFonts w:ascii="Times New Roman" w:hAnsi="Times New Roman" w:cs="Times New Roman"/>
            <w:sz w:val="26"/>
            <w:szCs w:val="26"/>
          </w:rPr>
          <w:t>https://doi.org/10.1111/jbfa.12071</w:t>
        </w:r>
      </w:hyperlink>
      <w:r w:rsidRPr="00C95423">
        <w:rPr>
          <w:rFonts w:ascii="Times New Roman" w:hAnsi="Times New Roman" w:cs="Times New Roman"/>
          <w:sz w:val="26"/>
          <w:szCs w:val="26"/>
        </w:rPr>
        <w:t xml:space="preserve">.   </w:t>
      </w:r>
    </w:p>
    <w:p w14:paraId="5E8A8E6E" w14:textId="7C614C51" w:rsidR="003C57AC" w:rsidRPr="00C95423" w:rsidRDefault="003C57AC" w:rsidP="003C57AC">
      <w:pPr>
        <w:snapToGrid w:val="0"/>
        <w:spacing w:after="0" w:line="360" w:lineRule="exact"/>
        <w:ind w:left="630" w:hanging="630"/>
        <w:rPr>
          <w:rFonts w:ascii="Times New Roman" w:hAnsi="Times New Roman" w:cs="Times New Roman"/>
          <w:sz w:val="26"/>
          <w:szCs w:val="26"/>
        </w:rPr>
      </w:pPr>
      <w:r w:rsidRPr="00C95423">
        <w:rPr>
          <w:rFonts w:ascii="Times New Roman" w:hAnsi="Times New Roman" w:cs="Times New Roman"/>
          <w:sz w:val="26"/>
          <w:szCs w:val="26"/>
        </w:rPr>
        <w:t xml:space="preserve">Pradhan, P. K. (2017). Qatar </w:t>
      </w:r>
      <w:r w:rsidR="00B2426A" w:rsidRPr="00C95423">
        <w:rPr>
          <w:rFonts w:ascii="Times New Roman" w:hAnsi="Times New Roman" w:cs="Times New Roman"/>
          <w:sz w:val="26"/>
          <w:szCs w:val="26"/>
        </w:rPr>
        <w:t>crisis and challenges</w:t>
      </w:r>
      <w:r w:rsidRPr="00C95423">
        <w:rPr>
          <w:rFonts w:ascii="Times New Roman" w:hAnsi="Times New Roman" w:cs="Times New Roman"/>
          <w:sz w:val="26"/>
          <w:szCs w:val="26"/>
        </w:rPr>
        <w:t xml:space="preserve"> to GCC </w:t>
      </w:r>
      <w:r w:rsidR="00B2426A" w:rsidRPr="00C95423">
        <w:rPr>
          <w:rFonts w:ascii="Times New Roman" w:hAnsi="Times New Roman" w:cs="Times New Roman"/>
          <w:sz w:val="26"/>
          <w:szCs w:val="26"/>
        </w:rPr>
        <w:t>unity</w:t>
      </w:r>
      <w:r w:rsidRPr="00C95423">
        <w:rPr>
          <w:rFonts w:ascii="Times New Roman" w:hAnsi="Times New Roman" w:cs="Times New Roman"/>
          <w:sz w:val="26"/>
          <w:szCs w:val="26"/>
        </w:rPr>
        <w:t xml:space="preserve">. </w:t>
      </w:r>
      <w:r w:rsidRPr="00C95423">
        <w:rPr>
          <w:rFonts w:ascii="Times New Roman" w:hAnsi="Times New Roman" w:cs="Times New Roman"/>
          <w:i/>
          <w:iCs/>
          <w:sz w:val="26"/>
          <w:szCs w:val="26"/>
        </w:rPr>
        <w:t>Liberal Studies</w:t>
      </w:r>
      <w:r w:rsidRPr="00C95423">
        <w:rPr>
          <w:rFonts w:ascii="Times New Roman" w:hAnsi="Times New Roman" w:cs="Times New Roman"/>
          <w:i/>
          <w:sz w:val="26"/>
          <w:szCs w:val="26"/>
        </w:rPr>
        <w:t>, 2</w:t>
      </w:r>
      <w:r w:rsidRPr="00C95423">
        <w:rPr>
          <w:rFonts w:ascii="Times New Roman" w:hAnsi="Times New Roman" w:cs="Times New Roman"/>
          <w:sz w:val="26"/>
          <w:szCs w:val="26"/>
        </w:rPr>
        <w:t xml:space="preserve">(2), 241-254. </w:t>
      </w:r>
    </w:p>
    <w:p w14:paraId="048708E0" w14:textId="7C5C8254" w:rsidR="003C57AC" w:rsidRPr="00C95423" w:rsidRDefault="003C57AC" w:rsidP="003C57AC">
      <w:pPr>
        <w:snapToGrid w:val="0"/>
        <w:spacing w:after="0" w:line="360" w:lineRule="exact"/>
        <w:ind w:left="630" w:hanging="630"/>
        <w:rPr>
          <w:rFonts w:ascii="Times New Roman" w:hAnsi="Times New Roman" w:cs="Times New Roman"/>
          <w:sz w:val="26"/>
          <w:szCs w:val="26"/>
        </w:rPr>
      </w:pPr>
      <w:proofErr w:type="spellStart"/>
      <w:r w:rsidRPr="00C95423">
        <w:rPr>
          <w:rFonts w:ascii="Times New Roman" w:hAnsi="Times New Roman" w:cs="Times New Roman"/>
          <w:sz w:val="26"/>
          <w:szCs w:val="26"/>
        </w:rPr>
        <w:t>Radzi</w:t>
      </w:r>
      <w:proofErr w:type="spellEnd"/>
      <w:r w:rsidRPr="00C95423">
        <w:rPr>
          <w:rFonts w:ascii="Times New Roman" w:hAnsi="Times New Roman" w:cs="Times New Roman"/>
          <w:sz w:val="26"/>
          <w:szCs w:val="26"/>
        </w:rPr>
        <w:t xml:space="preserve">, S. N., </w:t>
      </w:r>
      <w:proofErr w:type="spellStart"/>
      <w:r w:rsidRPr="00C95423">
        <w:rPr>
          <w:rFonts w:ascii="Times New Roman" w:hAnsi="Times New Roman" w:cs="Times New Roman"/>
          <w:sz w:val="26"/>
          <w:szCs w:val="26"/>
        </w:rPr>
        <w:t>Mohd</w:t>
      </w:r>
      <w:proofErr w:type="spellEnd"/>
      <w:r w:rsidRPr="00C95423">
        <w:rPr>
          <w:rFonts w:ascii="Times New Roman" w:hAnsi="Times New Roman" w:cs="Times New Roman"/>
          <w:sz w:val="26"/>
          <w:szCs w:val="26"/>
        </w:rPr>
        <w:t xml:space="preserve">, J., Islam, M. A., &amp; Ibrahim, S. (2011). Earning </w:t>
      </w:r>
      <w:r w:rsidR="00B2426A" w:rsidRPr="00C95423">
        <w:rPr>
          <w:rFonts w:ascii="Times New Roman" w:hAnsi="Times New Roman" w:cs="Times New Roman"/>
          <w:sz w:val="26"/>
          <w:szCs w:val="26"/>
        </w:rPr>
        <w:t>quality in public listed companies</w:t>
      </w:r>
      <w:r w:rsidRPr="00C95423">
        <w:rPr>
          <w:rFonts w:ascii="Times New Roman" w:hAnsi="Times New Roman" w:cs="Times New Roman"/>
          <w:sz w:val="26"/>
          <w:szCs w:val="26"/>
        </w:rPr>
        <w:t xml:space="preserve">: A </w:t>
      </w:r>
      <w:r w:rsidR="00B2426A" w:rsidRPr="00C95423">
        <w:rPr>
          <w:rFonts w:ascii="Times New Roman" w:hAnsi="Times New Roman" w:cs="Times New Roman"/>
          <w:sz w:val="26"/>
          <w:szCs w:val="26"/>
        </w:rPr>
        <w:t>study o</w:t>
      </w:r>
      <w:r w:rsidRPr="00C95423">
        <w:rPr>
          <w:rFonts w:ascii="Times New Roman" w:hAnsi="Times New Roman" w:cs="Times New Roman"/>
          <w:sz w:val="26"/>
          <w:szCs w:val="26"/>
        </w:rPr>
        <w:t>n Malaysia</w:t>
      </w:r>
      <w:r w:rsidR="00B2426A" w:rsidRPr="00C95423">
        <w:rPr>
          <w:rFonts w:ascii="Times New Roman" w:hAnsi="Times New Roman" w:cs="Times New Roman"/>
          <w:sz w:val="26"/>
          <w:szCs w:val="26"/>
        </w:rPr>
        <w:t xml:space="preserve"> exchange for securities dealing and automated quotatio</w:t>
      </w:r>
      <w:r w:rsidRPr="00C95423">
        <w:rPr>
          <w:rFonts w:ascii="Times New Roman" w:hAnsi="Times New Roman" w:cs="Times New Roman"/>
          <w:sz w:val="26"/>
          <w:szCs w:val="26"/>
        </w:rPr>
        <w:t xml:space="preserve">n. </w:t>
      </w:r>
      <w:r w:rsidRPr="00C95423">
        <w:rPr>
          <w:rFonts w:ascii="Times New Roman" w:hAnsi="Times New Roman" w:cs="Times New Roman"/>
          <w:i/>
          <w:iCs/>
          <w:sz w:val="26"/>
          <w:szCs w:val="26"/>
        </w:rPr>
        <w:t>International Journal of Economics and Finance, 3</w:t>
      </w:r>
      <w:r w:rsidRPr="00C95423">
        <w:rPr>
          <w:rFonts w:ascii="Times New Roman" w:hAnsi="Times New Roman" w:cs="Times New Roman"/>
          <w:iCs/>
          <w:sz w:val="26"/>
          <w:szCs w:val="26"/>
        </w:rPr>
        <w:t>(2),</w:t>
      </w:r>
      <w:r w:rsidRPr="00C95423">
        <w:rPr>
          <w:rFonts w:ascii="Times New Roman" w:hAnsi="Times New Roman" w:cs="Times New Roman"/>
          <w:sz w:val="26"/>
          <w:szCs w:val="26"/>
        </w:rPr>
        <w:t xml:space="preserve"> 23</w:t>
      </w:r>
      <w:r w:rsidR="00942E8A" w:rsidRPr="00C95423">
        <w:rPr>
          <w:rFonts w:ascii="Times New Roman" w:hAnsi="Times New Roman" w:cs="Times New Roman"/>
          <w:sz w:val="26"/>
          <w:szCs w:val="26"/>
        </w:rPr>
        <w:t>3</w:t>
      </w:r>
      <w:r w:rsidRPr="00C95423">
        <w:rPr>
          <w:rFonts w:ascii="Times New Roman" w:hAnsi="Times New Roman" w:cs="Times New Roman"/>
          <w:sz w:val="26"/>
          <w:szCs w:val="26"/>
        </w:rPr>
        <w:t xml:space="preserve">-244. </w:t>
      </w:r>
      <w:r w:rsidR="00942E8A" w:rsidRPr="00C95423">
        <w:rPr>
          <w:rFonts w:ascii="Times New Roman" w:hAnsi="Times New Roman" w:cs="Times New Roman"/>
          <w:sz w:val="26"/>
          <w:szCs w:val="26"/>
        </w:rPr>
        <w:t>https://doi.org/10.5539/ijef.v3n2p233</w:t>
      </w:r>
    </w:p>
    <w:p w14:paraId="4B6C36F7" w14:textId="63DCE6B6" w:rsidR="003C57AC" w:rsidRPr="00C95423" w:rsidRDefault="00842071" w:rsidP="003C57AC">
      <w:pPr>
        <w:snapToGrid w:val="0"/>
        <w:spacing w:after="0" w:line="360" w:lineRule="exact"/>
        <w:ind w:left="630" w:hanging="630"/>
        <w:rPr>
          <w:rFonts w:ascii="Times New Roman" w:hAnsi="Times New Roman" w:cs="Times New Roman"/>
          <w:sz w:val="26"/>
          <w:szCs w:val="26"/>
        </w:rPr>
      </w:pPr>
      <w:hyperlink r:id="rId46" w:tooltip="Aiman A. Ragab" w:history="1">
        <w:r w:rsidR="003C57AC" w:rsidRPr="00C95423">
          <w:rPr>
            <w:rFonts w:ascii="Times New Roman" w:hAnsi="Times New Roman" w:cs="Times New Roman"/>
            <w:sz w:val="26"/>
            <w:szCs w:val="26"/>
          </w:rPr>
          <w:t>Ragab, A. A.</w:t>
        </w:r>
      </w:hyperlink>
      <w:r w:rsidR="003C57AC" w:rsidRPr="00C95423">
        <w:rPr>
          <w:rFonts w:ascii="Times New Roman" w:hAnsi="Times New Roman" w:cs="Times New Roman"/>
          <w:sz w:val="26"/>
          <w:szCs w:val="26"/>
        </w:rPr>
        <w:t xml:space="preserve">, &amp; </w:t>
      </w:r>
      <w:hyperlink r:id="rId47" w:tooltip="Mohammad M. Omran" w:history="1">
        <w:r w:rsidR="003C57AC" w:rsidRPr="00C95423">
          <w:rPr>
            <w:rFonts w:ascii="Times New Roman" w:hAnsi="Times New Roman" w:cs="Times New Roman"/>
            <w:sz w:val="26"/>
            <w:szCs w:val="26"/>
          </w:rPr>
          <w:t>Omran, M. M.</w:t>
        </w:r>
      </w:hyperlink>
      <w:r w:rsidR="003C57AC" w:rsidRPr="00C95423">
        <w:rPr>
          <w:rFonts w:ascii="Times New Roman" w:hAnsi="Times New Roman" w:cs="Times New Roman"/>
          <w:sz w:val="26"/>
          <w:szCs w:val="26"/>
        </w:rPr>
        <w:t xml:space="preserve"> (2006). Accounting information, value relevance, and investors’ </w:t>
      </w:r>
      <w:proofErr w:type="spellStart"/>
      <w:r w:rsidR="003C57AC" w:rsidRPr="00C95423">
        <w:rPr>
          <w:rFonts w:ascii="Times New Roman" w:hAnsi="Times New Roman" w:cs="Times New Roman"/>
          <w:sz w:val="26"/>
          <w:szCs w:val="26"/>
        </w:rPr>
        <w:t>behavior</w:t>
      </w:r>
      <w:proofErr w:type="spellEnd"/>
      <w:r w:rsidR="003C57AC" w:rsidRPr="00C95423">
        <w:rPr>
          <w:rFonts w:ascii="Times New Roman" w:hAnsi="Times New Roman" w:cs="Times New Roman"/>
          <w:sz w:val="26"/>
          <w:szCs w:val="26"/>
        </w:rPr>
        <w:t xml:space="preserve"> in the Egyptian equity market.</w:t>
      </w:r>
      <w:r w:rsidR="00B2426A" w:rsidRPr="00C95423">
        <w:rPr>
          <w:rFonts w:ascii="Times New Roman" w:hAnsi="Times New Roman" w:cs="Times New Roman"/>
          <w:sz w:val="26"/>
          <w:szCs w:val="26"/>
        </w:rPr>
        <w:t xml:space="preserve"> </w:t>
      </w:r>
      <w:hyperlink r:id="rId48" w:history="1">
        <w:r w:rsidR="003C57AC" w:rsidRPr="00C95423">
          <w:rPr>
            <w:rFonts w:ascii="Times New Roman" w:hAnsi="Times New Roman" w:cs="Times New Roman"/>
            <w:i/>
            <w:iCs/>
            <w:sz w:val="26"/>
            <w:szCs w:val="26"/>
          </w:rPr>
          <w:t>Review of Accounting and Finance</w:t>
        </w:r>
      </w:hyperlink>
      <w:r w:rsidR="003C57AC" w:rsidRPr="00C95423">
        <w:rPr>
          <w:rFonts w:ascii="Times New Roman" w:hAnsi="Times New Roman" w:cs="Times New Roman"/>
          <w:i/>
          <w:iCs/>
          <w:sz w:val="26"/>
          <w:szCs w:val="26"/>
        </w:rPr>
        <w:t>, 5</w:t>
      </w:r>
      <w:r w:rsidR="003C57AC" w:rsidRPr="00C95423">
        <w:rPr>
          <w:rFonts w:ascii="Times New Roman" w:hAnsi="Times New Roman" w:cs="Times New Roman"/>
          <w:iCs/>
          <w:sz w:val="26"/>
          <w:szCs w:val="26"/>
        </w:rPr>
        <w:t>(3)</w:t>
      </w:r>
      <w:r w:rsidR="003C57AC" w:rsidRPr="00C95423">
        <w:rPr>
          <w:rFonts w:ascii="Times New Roman" w:hAnsi="Times New Roman" w:cs="Times New Roman"/>
          <w:sz w:val="26"/>
          <w:szCs w:val="26"/>
        </w:rPr>
        <w:t>, 279-297.</w:t>
      </w:r>
      <w:r w:rsidR="00B2426A" w:rsidRPr="00C95423">
        <w:rPr>
          <w:rFonts w:ascii="Times New Roman" w:hAnsi="Times New Roman" w:cs="Times New Roman"/>
          <w:sz w:val="26"/>
          <w:szCs w:val="26"/>
        </w:rPr>
        <w:t xml:space="preserve"> </w:t>
      </w:r>
      <w:hyperlink r:id="rId49" w:history="1">
        <w:r w:rsidR="00B2426A" w:rsidRPr="00C95423">
          <w:rPr>
            <w:rStyle w:val="ac"/>
            <w:rFonts w:ascii="Times New Roman" w:hAnsi="Times New Roman" w:cs="Times New Roman"/>
            <w:sz w:val="26"/>
            <w:szCs w:val="26"/>
          </w:rPr>
          <w:t>https:/</w:t>
        </w:r>
        <w:r w:rsidR="00B2426A" w:rsidRPr="00C95423">
          <w:rPr>
            <w:rStyle w:val="ac"/>
            <w:rFonts w:ascii="Times New Roman" w:hAnsi="Times New Roman" w:cs="Times New Roman"/>
            <w:sz w:val="26"/>
            <w:szCs w:val="26"/>
          </w:rPr>
          <w:t>/</w:t>
        </w:r>
        <w:r w:rsidR="00B2426A" w:rsidRPr="00C95423">
          <w:rPr>
            <w:rStyle w:val="ac"/>
            <w:rFonts w:ascii="Times New Roman" w:hAnsi="Times New Roman" w:cs="Times New Roman"/>
            <w:sz w:val="26"/>
            <w:szCs w:val="26"/>
          </w:rPr>
          <w:t>doi.org/10.1108/14757700610686444</w:t>
        </w:r>
      </w:hyperlink>
    </w:p>
    <w:p w14:paraId="11858769" w14:textId="2C8BB4DA" w:rsidR="003C57AC" w:rsidRPr="00C95423" w:rsidRDefault="003C57AC" w:rsidP="003C57AC">
      <w:pPr>
        <w:snapToGrid w:val="0"/>
        <w:spacing w:after="0" w:line="360" w:lineRule="exact"/>
        <w:ind w:left="630" w:hanging="630"/>
        <w:rPr>
          <w:rFonts w:ascii="Times New Roman" w:hAnsi="Times New Roman" w:cs="Times New Roman"/>
          <w:sz w:val="26"/>
          <w:szCs w:val="26"/>
        </w:rPr>
      </w:pPr>
      <w:r w:rsidRPr="00C95423">
        <w:rPr>
          <w:rFonts w:ascii="Times New Roman" w:hAnsi="Times New Roman" w:cs="Times New Roman"/>
          <w:sz w:val="26"/>
          <w:szCs w:val="26"/>
        </w:rPr>
        <w:t>Rountree, B.,</w:t>
      </w:r>
      <w:r w:rsidRPr="00C95423">
        <w:rPr>
          <w:rFonts w:ascii="Times New Roman" w:eastAsia="新細明體" w:hAnsi="Times New Roman" w:cs="Times New Roman"/>
          <w:sz w:val="26"/>
          <w:szCs w:val="26"/>
          <w:lang w:eastAsia="zh-TW"/>
        </w:rPr>
        <w:t xml:space="preserve"> </w:t>
      </w:r>
      <w:r w:rsidRPr="00C95423">
        <w:rPr>
          <w:rFonts w:ascii="Times New Roman" w:hAnsi="Times New Roman" w:cs="Times New Roman"/>
          <w:sz w:val="26"/>
          <w:szCs w:val="26"/>
        </w:rPr>
        <w:t>Weston, J. P.,</w:t>
      </w:r>
      <w:r w:rsidRPr="00C95423">
        <w:rPr>
          <w:rFonts w:ascii="Times New Roman" w:eastAsia="新細明體" w:hAnsi="Times New Roman" w:cs="Times New Roman"/>
          <w:sz w:val="26"/>
          <w:szCs w:val="26"/>
          <w:lang w:eastAsia="zh-TW"/>
        </w:rPr>
        <w:t xml:space="preserve"> </w:t>
      </w:r>
      <w:r w:rsidRPr="00C95423">
        <w:rPr>
          <w:rFonts w:ascii="Times New Roman" w:hAnsi="Times New Roman" w:cs="Times New Roman"/>
          <w:sz w:val="26"/>
          <w:szCs w:val="26"/>
        </w:rPr>
        <w:t xml:space="preserve">&amp; </w:t>
      </w:r>
      <w:proofErr w:type="spellStart"/>
      <w:r w:rsidRPr="00C95423">
        <w:rPr>
          <w:rFonts w:ascii="Times New Roman" w:hAnsi="Times New Roman" w:cs="Times New Roman"/>
          <w:sz w:val="26"/>
          <w:szCs w:val="26"/>
        </w:rPr>
        <w:t>Allayannis</w:t>
      </w:r>
      <w:proofErr w:type="spellEnd"/>
      <w:r w:rsidRPr="00C95423">
        <w:rPr>
          <w:rFonts w:ascii="Times New Roman" w:hAnsi="Times New Roman" w:cs="Times New Roman"/>
          <w:sz w:val="26"/>
          <w:szCs w:val="26"/>
        </w:rPr>
        <w:t xml:space="preserve">, G. (2008). Do investors value smooth performance? </w:t>
      </w:r>
      <w:hyperlink r:id="rId50" w:history="1">
        <w:r w:rsidRPr="00C95423">
          <w:rPr>
            <w:rFonts w:ascii="Times New Roman" w:hAnsi="Times New Roman" w:cs="Times New Roman"/>
            <w:i/>
            <w:iCs/>
            <w:sz w:val="26"/>
            <w:szCs w:val="26"/>
          </w:rPr>
          <w:t>Journal of Financial Economics</w:t>
        </w:r>
      </w:hyperlink>
      <w:r w:rsidRPr="00C95423">
        <w:rPr>
          <w:rFonts w:ascii="Times New Roman" w:hAnsi="Times New Roman" w:cs="Times New Roman"/>
          <w:i/>
          <w:iCs/>
          <w:sz w:val="26"/>
          <w:szCs w:val="26"/>
        </w:rPr>
        <w:t>, 90</w:t>
      </w:r>
      <w:r w:rsidRPr="00C95423">
        <w:rPr>
          <w:rFonts w:ascii="Times New Roman" w:hAnsi="Times New Roman" w:cs="Times New Roman"/>
          <w:iCs/>
          <w:sz w:val="26"/>
          <w:szCs w:val="26"/>
        </w:rPr>
        <w:t>(3)</w:t>
      </w:r>
      <w:r w:rsidRPr="00C95423">
        <w:rPr>
          <w:rFonts w:ascii="Times New Roman" w:hAnsi="Times New Roman" w:cs="Times New Roman"/>
          <w:i/>
          <w:iCs/>
          <w:sz w:val="26"/>
          <w:szCs w:val="26"/>
        </w:rPr>
        <w:t>,</w:t>
      </w:r>
      <w:r w:rsidRPr="00C95423">
        <w:rPr>
          <w:rFonts w:ascii="Times New Roman" w:hAnsi="Times New Roman" w:cs="Times New Roman"/>
          <w:sz w:val="26"/>
          <w:szCs w:val="26"/>
        </w:rPr>
        <w:t xml:space="preserve"> 237-251. </w:t>
      </w:r>
      <w:hyperlink r:id="rId51" w:history="1">
        <w:r w:rsidRPr="00C95423">
          <w:rPr>
            <w:rStyle w:val="ac"/>
            <w:rFonts w:ascii="Times New Roman" w:hAnsi="Times New Roman" w:cs="Times New Roman"/>
            <w:sz w:val="26"/>
            <w:szCs w:val="26"/>
          </w:rPr>
          <w:t>https://doi.org/10.1016/j.jfineco.20</w:t>
        </w:r>
        <w:r w:rsidRPr="00C95423">
          <w:rPr>
            <w:rStyle w:val="ac"/>
            <w:rFonts w:ascii="Times New Roman" w:hAnsi="Times New Roman" w:cs="Times New Roman"/>
            <w:sz w:val="26"/>
            <w:szCs w:val="26"/>
          </w:rPr>
          <w:t>0</w:t>
        </w:r>
        <w:r w:rsidRPr="00C95423">
          <w:rPr>
            <w:rStyle w:val="ac"/>
            <w:rFonts w:ascii="Times New Roman" w:hAnsi="Times New Roman" w:cs="Times New Roman"/>
            <w:sz w:val="26"/>
            <w:szCs w:val="26"/>
          </w:rPr>
          <w:t>8.02.002</w:t>
        </w:r>
      </w:hyperlink>
    </w:p>
    <w:p w14:paraId="4AA88D47" w14:textId="4D36326E" w:rsidR="003C57AC" w:rsidRPr="00C95423" w:rsidRDefault="003C57AC" w:rsidP="003C57AC">
      <w:pPr>
        <w:snapToGrid w:val="0"/>
        <w:spacing w:after="0" w:line="360" w:lineRule="exact"/>
        <w:ind w:left="630" w:hanging="630"/>
        <w:rPr>
          <w:rFonts w:ascii="Times New Roman" w:hAnsi="Times New Roman" w:cs="Times New Roman"/>
          <w:sz w:val="26"/>
          <w:szCs w:val="26"/>
        </w:rPr>
      </w:pPr>
      <w:r w:rsidRPr="00C95423">
        <w:rPr>
          <w:rFonts w:ascii="Times New Roman" w:hAnsi="Times New Roman" w:cs="Times New Roman"/>
          <w:sz w:val="26"/>
          <w:szCs w:val="26"/>
        </w:rPr>
        <w:t xml:space="preserve">Salman, M. H. A., &amp; </w:t>
      </w:r>
      <w:proofErr w:type="spellStart"/>
      <w:r w:rsidRPr="00C95423">
        <w:rPr>
          <w:rFonts w:ascii="Times New Roman" w:hAnsi="Times New Roman" w:cs="Times New Roman"/>
          <w:sz w:val="26"/>
          <w:szCs w:val="26"/>
        </w:rPr>
        <w:t>Nobanee</w:t>
      </w:r>
      <w:proofErr w:type="spellEnd"/>
      <w:r w:rsidRPr="00C95423">
        <w:rPr>
          <w:rFonts w:ascii="Times New Roman" w:hAnsi="Times New Roman" w:cs="Times New Roman"/>
          <w:sz w:val="26"/>
          <w:szCs w:val="26"/>
        </w:rPr>
        <w:t xml:space="preserve">, H. (2019). Recent </w:t>
      </w:r>
      <w:r w:rsidR="00B2426A" w:rsidRPr="00C95423">
        <w:rPr>
          <w:rFonts w:ascii="Times New Roman" w:hAnsi="Times New Roman" w:cs="Times New Roman"/>
          <w:sz w:val="26"/>
          <w:szCs w:val="26"/>
        </w:rPr>
        <w:t xml:space="preserve">developments in corporate governance codes </w:t>
      </w:r>
      <w:r w:rsidRPr="00C95423">
        <w:rPr>
          <w:rFonts w:ascii="Times New Roman" w:hAnsi="Times New Roman" w:cs="Times New Roman"/>
          <w:sz w:val="26"/>
          <w:szCs w:val="26"/>
        </w:rPr>
        <w:t xml:space="preserve">in the GCC </w:t>
      </w:r>
      <w:r w:rsidR="00B2426A" w:rsidRPr="00C95423">
        <w:rPr>
          <w:rFonts w:ascii="Times New Roman" w:hAnsi="Times New Roman" w:cs="Times New Roman"/>
          <w:sz w:val="26"/>
          <w:szCs w:val="26"/>
        </w:rPr>
        <w:t>region</w:t>
      </w:r>
      <w:r w:rsidRPr="00C95423">
        <w:rPr>
          <w:rFonts w:ascii="Times New Roman" w:hAnsi="Times New Roman" w:cs="Times New Roman"/>
          <w:sz w:val="26"/>
          <w:szCs w:val="26"/>
        </w:rPr>
        <w:t xml:space="preserve">. </w:t>
      </w:r>
      <w:r w:rsidRPr="00C95423">
        <w:rPr>
          <w:rFonts w:ascii="Times New Roman" w:hAnsi="Times New Roman" w:cs="Times New Roman"/>
          <w:i/>
          <w:iCs/>
          <w:sz w:val="26"/>
          <w:szCs w:val="26"/>
        </w:rPr>
        <w:t>Research in World Economy</w:t>
      </w:r>
      <w:r w:rsidRPr="00C95423">
        <w:rPr>
          <w:rFonts w:ascii="Times New Roman" w:hAnsi="Times New Roman" w:cs="Times New Roman"/>
          <w:sz w:val="26"/>
          <w:szCs w:val="26"/>
        </w:rPr>
        <w:t>,</w:t>
      </w:r>
      <w:r w:rsidRPr="00C95423">
        <w:rPr>
          <w:rFonts w:ascii="Times New Roman" w:hAnsi="Times New Roman" w:cs="Times New Roman"/>
          <w:i/>
          <w:sz w:val="26"/>
          <w:szCs w:val="26"/>
        </w:rPr>
        <w:t xml:space="preserve"> 10</w:t>
      </w:r>
      <w:r w:rsidRPr="00C95423">
        <w:rPr>
          <w:rFonts w:ascii="Times New Roman" w:hAnsi="Times New Roman" w:cs="Times New Roman"/>
          <w:sz w:val="26"/>
          <w:szCs w:val="26"/>
        </w:rPr>
        <w:t>(30), 108-126. https://doi.org/10.5430/rwe.v10n3p108</w:t>
      </w:r>
    </w:p>
    <w:p w14:paraId="3F40B73B" w14:textId="333978E8" w:rsidR="003C57AC" w:rsidRPr="00C95423" w:rsidRDefault="003C57AC" w:rsidP="003C57AC">
      <w:pPr>
        <w:snapToGrid w:val="0"/>
        <w:spacing w:after="0" w:line="360" w:lineRule="exact"/>
        <w:ind w:left="630" w:hanging="630"/>
        <w:rPr>
          <w:rFonts w:ascii="Times New Roman" w:hAnsi="Times New Roman" w:cs="Times New Roman"/>
          <w:sz w:val="26"/>
          <w:szCs w:val="26"/>
        </w:rPr>
      </w:pPr>
      <w:r w:rsidRPr="00C95423">
        <w:rPr>
          <w:rFonts w:ascii="Times New Roman" w:hAnsi="Times New Roman" w:cs="Times New Roman"/>
          <w:sz w:val="26"/>
          <w:szCs w:val="26"/>
        </w:rPr>
        <w:lastRenderedPageBreak/>
        <w:t xml:space="preserve">Sari, E., &amp; </w:t>
      </w:r>
      <w:proofErr w:type="spellStart"/>
      <w:r w:rsidRPr="00C95423">
        <w:rPr>
          <w:rFonts w:ascii="Times New Roman" w:hAnsi="Times New Roman" w:cs="Times New Roman"/>
          <w:sz w:val="26"/>
          <w:szCs w:val="26"/>
        </w:rPr>
        <w:t>Sarumpaet</w:t>
      </w:r>
      <w:proofErr w:type="spellEnd"/>
      <w:r w:rsidRPr="00C95423">
        <w:rPr>
          <w:rFonts w:ascii="Times New Roman" w:hAnsi="Times New Roman" w:cs="Times New Roman"/>
          <w:sz w:val="26"/>
          <w:szCs w:val="26"/>
        </w:rPr>
        <w:t xml:space="preserve">, S. (2019). Conservatism under IFRS In Indonesia. </w:t>
      </w:r>
      <w:r w:rsidRPr="00C95423">
        <w:rPr>
          <w:rFonts w:ascii="Times New Roman" w:hAnsi="Times New Roman" w:cs="Times New Roman"/>
          <w:i/>
          <w:sz w:val="26"/>
          <w:szCs w:val="26"/>
        </w:rPr>
        <w:t xml:space="preserve">International </w:t>
      </w:r>
      <w:r w:rsidRPr="00C95423">
        <w:rPr>
          <w:rFonts w:ascii="Times New Roman" w:hAnsi="Times New Roman" w:cs="Times New Roman"/>
          <w:i/>
          <w:iCs/>
          <w:sz w:val="26"/>
          <w:szCs w:val="26"/>
        </w:rPr>
        <w:t>Journal of Scientific &amp; Technology Research, 8</w:t>
      </w:r>
      <w:r w:rsidRPr="00C95423">
        <w:rPr>
          <w:rFonts w:ascii="Times New Roman" w:hAnsi="Times New Roman" w:cs="Times New Roman"/>
          <w:iCs/>
          <w:sz w:val="26"/>
          <w:szCs w:val="26"/>
        </w:rPr>
        <w:t>(6)</w:t>
      </w:r>
      <w:r w:rsidRPr="00C95423">
        <w:rPr>
          <w:rFonts w:ascii="Times New Roman" w:hAnsi="Times New Roman" w:cs="Times New Roman"/>
          <w:i/>
          <w:iCs/>
          <w:sz w:val="26"/>
          <w:szCs w:val="26"/>
        </w:rPr>
        <w:t>,</w:t>
      </w:r>
      <w:r w:rsidRPr="00C95423">
        <w:rPr>
          <w:rFonts w:ascii="Times New Roman" w:hAnsi="Times New Roman" w:cs="Times New Roman"/>
          <w:sz w:val="26"/>
          <w:szCs w:val="26"/>
        </w:rPr>
        <w:t xml:space="preserve"> 16-21.</w:t>
      </w:r>
    </w:p>
    <w:p w14:paraId="30C2357D" w14:textId="3AF92FE4" w:rsidR="003C57AC" w:rsidRPr="00C95423" w:rsidRDefault="003C57AC" w:rsidP="003C57AC">
      <w:pPr>
        <w:snapToGrid w:val="0"/>
        <w:spacing w:after="0" w:line="360" w:lineRule="exact"/>
        <w:ind w:left="630" w:hanging="630"/>
        <w:rPr>
          <w:rFonts w:ascii="Times New Roman" w:hAnsi="Times New Roman" w:cs="Times New Roman"/>
          <w:sz w:val="26"/>
          <w:szCs w:val="26"/>
        </w:rPr>
      </w:pPr>
      <w:r w:rsidRPr="00C95423">
        <w:rPr>
          <w:rFonts w:ascii="Times New Roman" w:hAnsi="Times New Roman" w:cs="Times New Roman"/>
          <w:sz w:val="26"/>
          <w:szCs w:val="26"/>
        </w:rPr>
        <w:t xml:space="preserve">Sen, </w:t>
      </w:r>
      <w:hyperlink r:id="rId52" w:anchor="!" w:history="1">
        <w:r w:rsidRPr="00C95423">
          <w:rPr>
            <w:rFonts w:ascii="Times New Roman" w:hAnsi="Times New Roman" w:cs="Times New Roman"/>
            <w:sz w:val="26"/>
            <w:szCs w:val="26"/>
          </w:rPr>
          <w:t>K.</w:t>
        </w:r>
      </w:hyperlink>
      <w:r w:rsidRPr="00C95423">
        <w:rPr>
          <w:rFonts w:ascii="Times New Roman" w:hAnsi="Times New Roman" w:cs="Times New Roman"/>
          <w:sz w:val="26"/>
          <w:szCs w:val="26"/>
        </w:rPr>
        <w:t xml:space="preserve"> (2009). Earnings surprise and sophisticated investor preferences in India. </w:t>
      </w:r>
      <w:hyperlink r:id="rId53" w:tooltip="Go to Journal of Contemporary Accounting &amp; Economics on ScienceDirect" w:history="1">
        <w:r w:rsidRPr="00C95423">
          <w:rPr>
            <w:rFonts w:ascii="Times New Roman" w:hAnsi="Times New Roman" w:cs="Times New Roman"/>
            <w:i/>
            <w:iCs/>
            <w:sz w:val="26"/>
            <w:szCs w:val="26"/>
          </w:rPr>
          <w:t>Journal of Contemporary Accounting &amp; Economics</w:t>
        </w:r>
      </w:hyperlink>
      <w:r w:rsidRPr="00C95423">
        <w:rPr>
          <w:rFonts w:ascii="Times New Roman" w:hAnsi="Times New Roman" w:cs="Times New Roman"/>
          <w:i/>
          <w:iCs/>
          <w:sz w:val="26"/>
          <w:szCs w:val="26"/>
        </w:rPr>
        <w:t xml:space="preserve">, </w:t>
      </w:r>
      <w:hyperlink r:id="rId54" w:history="1">
        <w:r w:rsidRPr="00C95423">
          <w:rPr>
            <w:rFonts w:ascii="Times New Roman" w:hAnsi="Times New Roman" w:cs="Times New Roman"/>
            <w:i/>
            <w:iCs/>
            <w:sz w:val="26"/>
            <w:szCs w:val="26"/>
          </w:rPr>
          <w:t>5(1</w:t>
        </w:r>
      </w:hyperlink>
      <w:r w:rsidRPr="00C95423">
        <w:rPr>
          <w:rFonts w:ascii="Times New Roman" w:hAnsi="Times New Roman" w:cs="Times New Roman"/>
          <w:i/>
          <w:iCs/>
          <w:sz w:val="26"/>
          <w:szCs w:val="26"/>
        </w:rPr>
        <w:t>),</w:t>
      </w:r>
      <w:r w:rsidR="00B2426A" w:rsidRPr="00C95423">
        <w:rPr>
          <w:rFonts w:ascii="新細明體" w:eastAsia="新細明體" w:hAnsi="新細明體" w:cs="Times New Roman" w:hint="eastAsia"/>
          <w:i/>
          <w:iCs/>
          <w:sz w:val="26"/>
          <w:szCs w:val="26"/>
          <w:lang w:eastAsia="zh-TW"/>
        </w:rPr>
        <w:t xml:space="preserve"> </w:t>
      </w:r>
      <w:r w:rsidRPr="00C95423">
        <w:rPr>
          <w:rFonts w:ascii="Times New Roman" w:hAnsi="Times New Roman" w:cs="Times New Roman"/>
          <w:sz w:val="26"/>
          <w:szCs w:val="26"/>
        </w:rPr>
        <w:t xml:space="preserve">1-19. </w:t>
      </w:r>
      <w:hyperlink r:id="rId55" w:tgtFrame="_blank" w:tooltip="Persistent link using digital object identifier" w:history="1">
        <w:r w:rsidRPr="00C95423">
          <w:rPr>
            <w:rFonts w:ascii="Times New Roman" w:hAnsi="Times New Roman" w:cs="Times New Roman"/>
            <w:sz w:val="26"/>
            <w:szCs w:val="26"/>
          </w:rPr>
          <w:t>https://doi.org/10.1016/j.jcae.2008.11.001</w:t>
        </w:r>
      </w:hyperlink>
    </w:p>
    <w:p w14:paraId="258ADB32" w14:textId="2CE40525" w:rsidR="003C57AC" w:rsidRPr="00C95423" w:rsidRDefault="003C57AC" w:rsidP="003C57AC">
      <w:pPr>
        <w:snapToGrid w:val="0"/>
        <w:spacing w:after="0" w:line="360" w:lineRule="exact"/>
        <w:ind w:left="630" w:hanging="630"/>
        <w:rPr>
          <w:rFonts w:ascii="Times New Roman" w:hAnsi="Times New Roman" w:cs="Times New Roman"/>
          <w:sz w:val="26"/>
          <w:szCs w:val="26"/>
        </w:rPr>
      </w:pPr>
      <w:r w:rsidRPr="00C95423">
        <w:rPr>
          <w:rFonts w:ascii="Times New Roman" w:hAnsi="Times New Roman" w:cs="Times New Roman"/>
          <w:sz w:val="26"/>
          <w:szCs w:val="26"/>
        </w:rPr>
        <w:t xml:space="preserve">Shehata, N. F. (2015). Development of corporate governance codes in the GCC: An overview. </w:t>
      </w:r>
      <w:r w:rsidRPr="00C95423">
        <w:rPr>
          <w:rFonts w:ascii="Times New Roman" w:hAnsi="Times New Roman" w:cs="Times New Roman"/>
          <w:i/>
          <w:iCs/>
          <w:sz w:val="26"/>
          <w:szCs w:val="26"/>
        </w:rPr>
        <w:t>Corporate Governance, 15(3),</w:t>
      </w:r>
      <w:r w:rsidRPr="00C95423">
        <w:rPr>
          <w:rFonts w:ascii="Times New Roman" w:hAnsi="Times New Roman" w:cs="Times New Roman"/>
          <w:sz w:val="26"/>
          <w:szCs w:val="26"/>
        </w:rPr>
        <w:t xml:space="preserve"> 315</w:t>
      </w:r>
      <w:r w:rsidR="00C87DC6" w:rsidRPr="00C95423">
        <w:rPr>
          <w:rFonts w:ascii="Times New Roman" w:hAnsi="Times New Roman" w:cs="Times New Roman"/>
          <w:sz w:val="26"/>
          <w:szCs w:val="26"/>
        </w:rPr>
        <w:t>-</w:t>
      </w:r>
      <w:r w:rsidRPr="00C95423">
        <w:rPr>
          <w:rFonts w:ascii="Times New Roman" w:hAnsi="Times New Roman" w:cs="Times New Roman"/>
          <w:sz w:val="26"/>
          <w:szCs w:val="26"/>
        </w:rPr>
        <w:t>338</w:t>
      </w:r>
      <w:r w:rsidR="00B2426A" w:rsidRPr="00C95423">
        <w:rPr>
          <w:rFonts w:ascii="Times New Roman" w:eastAsia="新細明體" w:hAnsi="Times New Roman" w:cs="Times New Roman" w:hint="eastAsia"/>
          <w:sz w:val="26"/>
          <w:szCs w:val="26"/>
          <w:lang w:eastAsia="zh-TW"/>
        </w:rPr>
        <w:t>.</w:t>
      </w:r>
      <w:r w:rsidRPr="00C95423">
        <w:rPr>
          <w:rFonts w:ascii="Times New Roman" w:hAnsi="Times New Roman" w:cs="Times New Roman"/>
          <w:sz w:val="26"/>
          <w:szCs w:val="26"/>
        </w:rPr>
        <w:t xml:space="preserve"> </w:t>
      </w:r>
      <w:r w:rsidR="00942E8A" w:rsidRPr="00C95423">
        <w:rPr>
          <w:rFonts w:ascii="Times New Roman" w:hAnsi="Times New Roman" w:cs="Times New Roman"/>
          <w:sz w:val="26"/>
          <w:szCs w:val="26"/>
        </w:rPr>
        <w:t xml:space="preserve">https://doi.org/10.1108/cg-11-2013-0124 </w:t>
      </w:r>
    </w:p>
    <w:p w14:paraId="5B07DE63" w14:textId="7D075F21" w:rsidR="003C57AC" w:rsidRPr="00C95423" w:rsidRDefault="003C57AC" w:rsidP="003C57AC">
      <w:pPr>
        <w:snapToGrid w:val="0"/>
        <w:spacing w:after="0" w:line="360" w:lineRule="exact"/>
        <w:ind w:left="630" w:hanging="630"/>
        <w:rPr>
          <w:rFonts w:ascii="Times New Roman" w:hAnsi="Times New Roman" w:cs="Times New Roman"/>
          <w:sz w:val="26"/>
          <w:szCs w:val="26"/>
        </w:rPr>
      </w:pPr>
      <w:r w:rsidRPr="00C95423">
        <w:rPr>
          <w:rFonts w:ascii="Times New Roman" w:hAnsi="Times New Roman" w:cs="Times New Roman"/>
          <w:sz w:val="26"/>
          <w:szCs w:val="26"/>
        </w:rPr>
        <w:t>Shin, H., &amp; Oh, H.  (2017). The</w:t>
      </w:r>
      <w:r w:rsidR="00B2426A" w:rsidRPr="00C95423">
        <w:rPr>
          <w:rFonts w:ascii="Times New Roman" w:hAnsi="Times New Roman" w:cs="Times New Roman"/>
          <w:sz w:val="26"/>
          <w:szCs w:val="26"/>
        </w:rPr>
        <w:t xml:space="preserve"> effect of accruals quality on the association between voluntary disclosure and information asymmetry in</w:t>
      </w:r>
      <w:r w:rsidRPr="00C95423">
        <w:rPr>
          <w:rFonts w:ascii="Times New Roman" w:hAnsi="Times New Roman" w:cs="Times New Roman"/>
          <w:sz w:val="26"/>
          <w:szCs w:val="26"/>
        </w:rPr>
        <w:t xml:space="preserve"> Korea. </w:t>
      </w:r>
      <w:r w:rsidRPr="00C95423">
        <w:rPr>
          <w:rFonts w:ascii="Times New Roman" w:hAnsi="Times New Roman" w:cs="Times New Roman"/>
          <w:i/>
          <w:sz w:val="26"/>
          <w:szCs w:val="26"/>
        </w:rPr>
        <w:t xml:space="preserve">The </w:t>
      </w:r>
      <w:r w:rsidRPr="00C95423">
        <w:rPr>
          <w:rFonts w:ascii="Times New Roman" w:hAnsi="Times New Roman" w:cs="Times New Roman"/>
          <w:i/>
          <w:iCs/>
          <w:sz w:val="26"/>
          <w:szCs w:val="26"/>
        </w:rPr>
        <w:t>Journal of Applied Business Research, 33</w:t>
      </w:r>
      <w:r w:rsidRPr="00C95423">
        <w:rPr>
          <w:rFonts w:ascii="Times New Roman" w:hAnsi="Times New Roman" w:cs="Times New Roman"/>
          <w:iCs/>
          <w:sz w:val="26"/>
          <w:szCs w:val="26"/>
        </w:rPr>
        <w:t>(1)</w:t>
      </w:r>
      <w:r w:rsidRPr="00C95423">
        <w:rPr>
          <w:rFonts w:ascii="Times New Roman" w:hAnsi="Times New Roman" w:cs="Times New Roman"/>
          <w:i/>
          <w:iCs/>
          <w:sz w:val="26"/>
          <w:szCs w:val="26"/>
        </w:rPr>
        <w:t>,</w:t>
      </w:r>
      <w:r w:rsidRPr="00C95423">
        <w:rPr>
          <w:rFonts w:ascii="Times New Roman" w:hAnsi="Times New Roman" w:cs="Times New Roman"/>
          <w:sz w:val="26"/>
          <w:szCs w:val="26"/>
        </w:rPr>
        <w:t xml:space="preserve"> 223-236. </w:t>
      </w:r>
      <w:r w:rsidR="00942E8A" w:rsidRPr="00C95423">
        <w:rPr>
          <w:rFonts w:ascii="Times New Roman" w:hAnsi="Times New Roman" w:cs="Times New Roman"/>
          <w:sz w:val="26"/>
          <w:szCs w:val="26"/>
        </w:rPr>
        <w:t>https://doi.org/10.19030/jabr.v33i1.9892</w:t>
      </w:r>
    </w:p>
    <w:p w14:paraId="57EB51E8" w14:textId="13F3B2B2" w:rsidR="003C57AC" w:rsidRPr="00C95423" w:rsidRDefault="003C57AC" w:rsidP="003C57AC">
      <w:pPr>
        <w:snapToGrid w:val="0"/>
        <w:spacing w:after="0" w:line="360" w:lineRule="exact"/>
        <w:ind w:left="630" w:hanging="630"/>
        <w:rPr>
          <w:rFonts w:ascii="Times New Roman" w:hAnsi="Times New Roman" w:cs="Times New Roman"/>
          <w:sz w:val="26"/>
          <w:szCs w:val="26"/>
        </w:rPr>
      </w:pPr>
      <w:proofErr w:type="spellStart"/>
      <w:r w:rsidRPr="00C95423">
        <w:rPr>
          <w:rFonts w:ascii="Times New Roman" w:hAnsi="Times New Roman" w:cs="Times New Roman"/>
          <w:sz w:val="26"/>
          <w:szCs w:val="26"/>
        </w:rPr>
        <w:t>Shubita</w:t>
      </w:r>
      <w:proofErr w:type="spellEnd"/>
      <w:r w:rsidRPr="00C95423">
        <w:rPr>
          <w:rFonts w:ascii="Times New Roman" w:hAnsi="Times New Roman" w:cs="Times New Roman"/>
          <w:sz w:val="26"/>
          <w:szCs w:val="26"/>
        </w:rPr>
        <w:t xml:space="preserve">, M. </w:t>
      </w:r>
      <w:r w:rsidR="00942E8A" w:rsidRPr="00C95423">
        <w:rPr>
          <w:rFonts w:ascii="Times New Roman" w:hAnsi="Times New Roman" w:cs="Times New Roman"/>
          <w:sz w:val="26"/>
          <w:szCs w:val="26"/>
        </w:rPr>
        <w:t xml:space="preserve">F. </w:t>
      </w:r>
      <w:r w:rsidRPr="00C95423">
        <w:rPr>
          <w:rFonts w:ascii="Times New Roman" w:hAnsi="Times New Roman" w:cs="Times New Roman"/>
          <w:sz w:val="26"/>
          <w:szCs w:val="26"/>
        </w:rPr>
        <w:t xml:space="preserve">(2015). The impact of income smoothing on earnings quality in emerging markets: Evidence from GCC markets. </w:t>
      </w:r>
      <w:r w:rsidRPr="00C95423">
        <w:rPr>
          <w:rFonts w:ascii="Times New Roman" w:hAnsi="Times New Roman" w:cs="Times New Roman"/>
          <w:i/>
          <w:iCs/>
          <w:sz w:val="26"/>
          <w:szCs w:val="26"/>
        </w:rPr>
        <w:t>Journal of Accounting in Emerging Economies, 5</w:t>
      </w:r>
      <w:r w:rsidRPr="00C95423">
        <w:rPr>
          <w:rFonts w:ascii="Times New Roman" w:hAnsi="Times New Roman" w:cs="Times New Roman"/>
          <w:iCs/>
          <w:sz w:val="26"/>
          <w:szCs w:val="26"/>
        </w:rPr>
        <w:t>(3)</w:t>
      </w:r>
      <w:r w:rsidRPr="00C95423">
        <w:rPr>
          <w:rFonts w:ascii="Times New Roman" w:hAnsi="Times New Roman" w:cs="Times New Roman"/>
          <w:i/>
          <w:iCs/>
          <w:sz w:val="26"/>
          <w:szCs w:val="26"/>
        </w:rPr>
        <w:t>,</w:t>
      </w:r>
      <w:r w:rsidR="00B12BE9" w:rsidRPr="00C95423">
        <w:rPr>
          <w:rFonts w:ascii="Times New Roman" w:hAnsi="Times New Roman" w:cs="Times New Roman"/>
          <w:i/>
          <w:iCs/>
          <w:sz w:val="26"/>
          <w:szCs w:val="26"/>
        </w:rPr>
        <w:t xml:space="preserve"> </w:t>
      </w:r>
      <w:r w:rsidR="00942E8A" w:rsidRPr="00C95423">
        <w:rPr>
          <w:rFonts w:ascii="Times New Roman" w:hAnsi="Times New Roman" w:cs="Times New Roman"/>
          <w:iCs/>
          <w:sz w:val="26"/>
          <w:szCs w:val="26"/>
        </w:rPr>
        <w:t>2</w:t>
      </w:r>
      <w:r w:rsidRPr="00C95423">
        <w:rPr>
          <w:rFonts w:ascii="Times New Roman" w:hAnsi="Times New Roman" w:cs="Times New Roman"/>
          <w:sz w:val="26"/>
          <w:szCs w:val="26"/>
        </w:rPr>
        <w:t xml:space="preserve">99-324. </w:t>
      </w:r>
      <w:hyperlink r:id="rId56" w:history="1">
        <w:r w:rsidR="00942E8A" w:rsidRPr="00C95423">
          <w:rPr>
            <w:rStyle w:val="ac"/>
            <w:rFonts w:ascii="Times New Roman" w:hAnsi="Times New Roman" w:cs="Times New Roman"/>
            <w:sz w:val="26"/>
            <w:szCs w:val="26"/>
          </w:rPr>
          <w:t>https://doi.org/10.1108/jaee-04-2011-0011</w:t>
        </w:r>
      </w:hyperlink>
    </w:p>
    <w:p w14:paraId="79B2183B" w14:textId="771D1896" w:rsidR="003C57AC" w:rsidRPr="00C95423" w:rsidRDefault="003C57AC" w:rsidP="003C57AC">
      <w:pPr>
        <w:snapToGrid w:val="0"/>
        <w:spacing w:after="0" w:line="360" w:lineRule="exact"/>
        <w:ind w:left="630" w:hanging="630"/>
        <w:rPr>
          <w:rFonts w:ascii="Times New Roman" w:hAnsi="Times New Roman" w:cs="Times New Roman"/>
          <w:sz w:val="26"/>
          <w:szCs w:val="26"/>
        </w:rPr>
      </w:pPr>
      <w:proofErr w:type="spellStart"/>
      <w:r w:rsidRPr="00C95423">
        <w:rPr>
          <w:rFonts w:ascii="Times New Roman" w:hAnsi="Times New Roman" w:cs="Times New Roman"/>
          <w:sz w:val="26"/>
          <w:szCs w:val="26"/>
        </w:rPr>
        <w:t>Vanlalhriati</w:t>
      </w:r>
      <w:proofErr w:type="spellEnd"/>
      <w:r w:rsidRPr="00C95423">
        <w:rPr>
          <w:rFonts w:ascii="Times New Roman" w:hAnsi="Times New Roman" w:cs="Times New Roman"/>
          <w:sz w:val="26"/>
          <w:szCs w:val="26"/>
        </w:rPr>
        <w:t xml:space="preserve">, C., &amp; Singh, E. N. (2015). Descriptive </w:t>
      </w:r>
      <w:r w:rsidR="00B2426A" w:rsidRPr="00C95423">
        <w:rPr>
          <w:rFonts w:ascii="Times New Roman" w:hAnsi="Times New Roman" w:cs="Times New Roman"/>
          <w:sz w:val="26"/>
          <w:szCs w:val="26"/>
        </w:rPr>
        <w:t>statistics in business research</w:t>
      </w:r>
      <w:r w:rsidRPr="00C95423">
        <w:rPr>
          <w:rFonts w:ascii="Times New Roman" w:hAnsi="Times New Roman" w:cs="Times New Roman"/>
          <w:sz w:val="26"/>
          <w:szCs w:val="26"/>
        </w:rPr>
        <w:t xml:space="preserve">. </w:t>
      </w:r>
      <w:r w:rsidRPr="00C95423">
        <w:rPr>
          <w:rFonts w:ascii="Times New Roman" w:hAnsi="Times New Roman" w:cs="Times New Roman"/>
          <w:i/>
          <w:iCs/>
          <w:sz w:val="26"/>
          <w:szCs w:val="26"/>
        </w:rPr>
        <w:t>International Journal of Advanced Research, 3</w:t>
      </w:r>
      <w:r w:rsidRPr="00C95423">
        <w:rPr>
          <w:rFonts w:ascii="Times New Roman" w:hAnsi="Times New Roman" w:cs="Times New Roman"/>
          <w:iCs/>
          <w:sz w:val="26"/>
          <w:szCs w:val="26"/>
        </w:rPr>
        <w:t>(6)</w:t>
      </w:r>
      <w:r w:rsidRPr="00C95423">
        <w:rPr>
          <w:rFonts w:ascii="Times New Roman" w:hAnsi="Times New Roman" w:cs="Times New Roman"/>
          <w:i/>
          <w:iCs/>
          <w:sz w:val="26"/>
          <w:szCs w:val="26"/>
        </w:rPr>
        <w:t>,</w:t>
      </w:r>
      <w:r w:rsidRPr="00C95423">
        <w:rPr>
          <w:rFonts w:ascii="Times New Roman" w:hAnsi="Times New Roman" w:cs="Times New Roman"/>
          <w:sz w:val="26"/>
          <w:szCs w:val="26"/>
        </w:rPr>
        <w:t xml:space="preserve"> 1409-1415 </w:t>
      </w:r>
    </w:p>
    <w:p w14:paraId="40587F4D" w14:textId="77777777" w:rsidR="003C57AC" w:rsidRPr="00C95423" w:rsidRDefault="003C57AC" w:rsidP="003C57AC">
      <w:pPr>
        <w:snapToGrid w:val="0"/>
        <w:spacing w:after="0" w:line="360" w:lineRule="exact"/>
        <w:ind w:left="630" w:hanging="630"/>
        <w:rPr>
          <w:rFonts w:ascii="Times New Roman" w:hAnsi="Times New Roman" w:cs="Times New Roman"/>
          <w:sz w:val="26"/>
          <w:szCs w:val="26"/>
        </w:rPr>
      </w:pPr>
      <w:r w:rsidRPr="00C95423">
        <w:rPr>
          <w:rFonts w:ascii="Times New Roman" w:hAnsi="Times New Roman" w:cs="Times New Roman"/>
          <w:sz w:val="26"/>
          <w:szCs w:val="26"/>
        </w:rPr>
        <w:t xml:space="preserve">Vo, X. V., &amp; Chu, T. K. H. (2019). Do foreign shareholders improve corporate earnings quality in emerging markets? Evidence from Vietnam. </w:t>
      </w:r>
      <w:r w:rsidRPr="00C95423">
        <w:rPr>
          <w:rFonts w:ascii="Times New Roman" w:hAnsi="Times New Roman" w:cs="Times New Roman"/>
          <w:i/>
          <w:iCs/>
          <w:sz w:val="26"/>
          <w:szCs w:val="26"/>
        </w:rPr>
        <w:t xml:space="preserve">Cogent Economics &amp; Finance, Economics &amp; Finance, 7: </w:t>
      </w:r>
      <w:r w:rsidRPr="00C95423">
        <w:rPr>
          <w:rFonts w:ascii="Times New Roman" w:hAnsi="Times New Roman" w:cs="Times New Roman"/>
          <w:iCs/>
          <w:sz w:val="26"/>
          <w:szCs w:val="26"/>
        </w:rPr>
        <w:t>1698940</w:t>
      </w:r>
      <w:r w:rsidRPr="00C95423">
        <w:rPr>
          <w:rFonts w:ascii="Times New Roman" w:hAnsi="Times New Roman" w:cs="Times New Roman"/>
          <w:sz w:val="26"/>
          <w:szCs w:val="26"/>
        </w:rPr>
        <w:t xml:space="preserve">. </w:t>
      </w:r>
      <w:hyperlink r:id="rId57" w:history="1">
        <w:r w:rsidRPr="00C95423">
          <w:rPr>
            <w:rFonts w:ascii="Times New Roman" w:hAnsi="Times New Roman" w:cs="Times New Roman"/>
            <w:sz w:val="26"/>
            <w:szCs w:val="26"/>
          </w:rPr>
          <w:t>https://doi.org/10.1080/23322039.2019.1698940</w:t>
        </w:r>
      </w:hyperlink>
    </w:p>
    <w:p w14:paraId="1E188E28" w14:textId="071B195B" w:rsidR="003C57AC" w:rsidRPr="00C95423" w:rsidRDefault="003C57AC" w:rsidP="003C57AC">
      <w:pPr>
        <w:snapToGrid w:val="0"/>
        <w:spacing w:after="0" w:line="360" w:lineRule="exact"/>
        <w:ind w:left="630" w:hanging="630"/>
        <w:rPr>
          <w:rFonts w:ascii="Times New Roman" w:hAnsi="Times New Roman" w:cs="Times New Roman"/>
          <w:sz w:val="26"/>
          <w:szCs w:val="26"/>
        </w:rPr>
      </w:pPr>
      <w:r w:rsidRPr="00C95423">
        <w:rPr>
          <w:rFonts w:ascii="Times New Roman" w:hAnsi="Times New Roman" w:cs="Times New Roman"/>
          <w:sz w:val="26"/>
          <w:szCs w:val="26"/>
        </w:rPr>
        <w:t xml:space="preserve">Wang, Z. (2014). Measuring investors’ assessment of earnings persistence: </w:t>
      </w:r>
      <w:r w:rsidR="00B2426A" w:rsidRPr="00C95423">
        <w:rPr>
          <w:rFonts w:ascii="Times New Roman" w:hAnsi="Times New Roman" w:cs="Times New Roman"/>
          <w:sz w:val="26"/>
          <w:szCs w:val="26"/>
        </w:rPr>
        <w:t>D</w:t>
      </w:r>
      <w:r w:rsidRPr="00C95423">
        <w:rPr>
          <w:rFonts w:ascii="Times New Roman" w:hAnsi="Times New Roman" w:cs="Times New Roman"/>
          <w:sz w:val="26"/>
          <w:szCs w:val="26"/>
        </w:rPr>
        <w:t xml:space="preserve">o investors see through smoothed earnings? </w:t>
      </w:r>
      <w:hyperlink r:id="rId58" w:history="1">
        <w:r w:rsidRPr="00C95423">
          <w:rPr>
            <w:rFonts w:ascii="Times New Roman" w:hAnsi="Times New Roman" w:cs="Times New Roman"/>
            <w:i/>
            <w:iCs/>
            <w:sz w:val="26"/>
            <w:szCs w:val="26"/>
          </w:rPr>
          <w:t>Review of Quantitative Finance and Accounting</w:t>
        </w:r>
      </w:hyperlink>
      <w:r w:rsidRPr="00C95423">
        <w:rPr>
          <w:rFonts w:ascii="Times New Roman" w:hAnsi="Times New Roman" w:cs="Times New Roman"/>
          <w:i/>
          <w:iCs/>
          <w:sz w:val="26"/>
          <w:szCs w:val="26"/>
        </w:rPr>
        <w:t>, 42</w:t>
      </w:r>
      <w:r w:rsidRPr="00C95423">
        <w:rPr>
          <w:rFonts w:ascii="Times New Roman" w:hAnsi="Times New Roman" w:cs="Times New Roman"/>
          <w:iCs/>
          <w:sz w:val="26"/>
          <w:szCs w:val="26"/>
        </w:rPr>
        <w:t>(4)</w:t>
      </w:r>
      <w:r w:rsidRPr="00C95423">
        <w:rPr>
          <w:rFonts w:ascii="Times New Roman" w:hAnsi="Times New Roman" w:cs="Times New Roman"/>
          <w:i/>
          <w:iCs/>
          <w:sz w:val="26"/>
          <w:szCs w:val="26"/>
        </w:rPr>
        <w:t>,</w:t>
      </w:r>
      <w:r w:rsidRPr="00C95423">
        <w:rPr>
          <w:rFonts w:ascii="Times New Roman" w:hAnsi="Times New Roman" w:cs="Times New Roman"/>
          <w:sz w:val="26"/>
          <w:szCs w:val="26"/>
        </w:rPr>
        <w:t xml:space="preserve"> 691</w:t>
      </w:r>
      <w:r w:rsidR="00C87DC6" w:rsidRPr="00C95423">
        <w:rPr>
          <w:rFonts w:ascii="Times New Roman" w:hAnsi="Times New Roman" w:cs="Times New Roman"/>
          <w:sz w:val="26"/>
          <w:szCs w:val="26"/>
        </w:rPr>
        <w:t>-</w:t>
      </w:r>
      <w:r w:rsidRPr="00C95423">
        <w:rPr>
          <w:rFonts w:ascii="Times New Roman" w:hAnsi="Times New Roman" w:cs="Times New Roman"/>
          <w:sz w:val="26"/>
          <w:szCs w:val="26"/>
        </w:rPr>
        <w:t>708. https://doi.org/10.1007/s11156-013-0358-8</w:t>
      </w:r>
    </w:p>
    <w:p w14:paraId="2F125E90" w14:textId="35A85E7F" w:rsidR="003C57AC" w:rsidRPr="00C95423" w:rsidRDefault="003C57AC" w:rsidP="003C57AC">
      <w:pPr>
        <w:snapToGrid w:val="0"/>
        <w:spacing w:after="0" w:line="360" w:lineRule="exact"/>
        <w:ind w:left="630" w:hanging="630"/>
        <w:rPr>
          <w:rFonts w:ascii="Times New Roman" w:hAnsi="Times New Roman" w:cs="Times New Roman"/>
          <w:sz w:val="26"/>
          <w:szCs w:val="26"/>
        </w:rPr>
      </w:pPr>
      <w:r w:rsidRPr="00C95423">
        <w:rPr>
          <w:rFonts w:ascii="Times New Roman" w:hAnsi="Times New Roman" w:cs="Times New Roman"/>
          <w:sz w:val="26"/>
          <w:szCs w:val="26"/>
        </w:rPr>
        <w:t xml:space="preserve">Watts, R. L. (2003a). Conservatism in accounting part I: Explanations and implications. </w:t>
      </w:r>
      <w:r w:rsidRPr="00C95423">
        <w:rPr>
          <w:rFonts w:ascii="Times New Roman" w:hAnsi="Times New Roman" w:cs="Times New Roman"/>
          <w:i/>
          <w:iCs/>
          <w:sz w:val="26"/>
          <w:szCs w:val="26"/>
        </w:rPr>
        <w:t>Accounting Horizons, 17</w:t>
      </w:r>
      <w:r w:rsidR="00B2426A" w:rsidRPr="00C95423">
        <w:rPr>
          <w:rFonts w:ascii="Times New Roman" w:hAnsi="Times New Roman" w:cs="Times New Roman"/>
          <w:i/>
          <w:iCs/>
          <w:sz w:val="26"/>
          <w:szCs w:val="26"/>
        </w:rPr>
        <w:t>(3)</w:t>
      </w:r>
      <w:r w:rsidRPr="00C95423">
        <w:rPr>
          <w:rFonts w:ascii="Times New Roman" w:hAnsi="Times New Roman" w:cs="Times New Roman"/>
          <w:i/>
          <w:iCs/>
          <w:sz w:val="26"/>
          <w:szCs w:val="26"/>
        </w:rPr>
        <w:t>,</w:t>
      </w:r>
      <w:r w:rsidRPr="00C95423">
        <w:rPr>
          <w:rFonts w:ascii="Times New Roman" w:hAnsi="Times New Roman" w:cs="Times New Roman"/>
          <w:sz w:val="26"/>
          <w:szCs w:val="26"/>
        </w:rPr>
        <w:t xml:space="preserve"> 207-221. </w:t>
      </w:r>
      <w:r w:rsidR="00942E8A" w:rsidRPr="00C95423">
        <w:rPr>
          <w:rFonts w:ascii="Times New Roman" w:hAnsi="Times New Roman" w:cs="Times New Roman"/>
          <w:sz w:val="26"/>
          <w:szCs w:val="26"/>
        </w:rPr>
        <w:t>https://doi.org/10.2139/ssrn.414522</w:t>
      </w:r>
    </w:p>
    <w:p w14:paraId="6EC27F78" w14:textId="210A1A0B" w:rsidR="003C57AC" w:rsidRPr="00C950E1" w:rsidRDefault="003C57AC" w:rsidP="003C57AC">
      <w:pPr>
        <w:snapToGrid w:val="0"/>
        <w:spacing w:after="0" w:line="360" w:lineRule="exact"/>
        <w:ind w:left="630" w:hanging="630"/>
        <w:rPr>
          <w:rFonts w:ascii="Times New Roman" w:hAnsi="Times New Roman" w:cs="Times New Roman"/>
          <w:sz w:val="26"/>
          <w:szCs w:val="26"/>
        </w:rPr>
      </w:pPr>
      <w:r w:rsidRPr="00C95423">
        <w:rPr>
          <w:rFonts w:ascii="Times New Roman" w:hAnsi="Times New Roman" w:cs="Times New Roman"/>
          <w:sz w:val="26"/>
          <w:szCs w:val="26"/>
        </w:rPr>
        <w:t xml:space="preserve">Zhong, </w:t>
      </w:r>
      <w:hyperlink r:id="rId59" w:history="1">
        <w:r w:rsidRPr="00C95423">
          <w:rPr>
            <w:rFonts w:ascii="Times New Roman" w:hAnsi="Times New Roman" w:cs="Times New Roman"/>
            <w:sz w:val="26"/>
            <w:szCs w:val="26"/>
          </w:rPr>
          <w:t xml:space="preserve">Y., </w:t>
        </w:r>
      </w:hyperlink>
      <w:r w:rsidRPr="00C95423">
        <w:rPr>
          <w:rFonts w:ascii="Times New Roman" w:hAnsi="Times New Roman" w:cs="Times New Roman"/>
          <w:sz w:val="26"/>
          <w:szCs w:val="26"/>
        </w:rPr>
        <w:t xml:space="preserve">&amp; Li, W. (2017). Accounting </w:t>
      </w:r>
      <w:r w:rsidR="00B2426A" w:rsidRPr="00C95423">
        <w:rPr>
          <w:rFonts w:ascii="Times New Roman" w:hAnsi="Times New Roman" w:cs="Times New Roman"/>
          <w:sz w:val="26"/>
          <w:szCs w:val="26"/>
        </w:rPr>
        <w:t>conservatism</w:t>
      </w:r>
      <w:r w:rsidRPr="00C95423">
        <w:rPr>
          <w:rFonts w:ascii="Times New Roman" w:hAnsi="Times New Roman" w:cs="Times New Roman"/>
          <w:sz w:val="26"/>
          <w:szCs w:val="26"/>
        </w:rPr>
        <w:t>: A</w:t>
      </w:r>
      <w:r w:rsidR="00B2426A" w:rsidRPr="00C95423">
        <w:rPr>
          <w:rFonts w:ascii="Times New Roman" w:hAnsi="Times New Roman" w:cs="Times New Roman"/>
          <w:sz w:val="26"/>
          <w:szCs w:val="26"/>
        </w:rPr>
        <w:t xml:space="preserve"> literature review</w:t>
      </w:r>
      <w:r w:rsidRPr="00C95423">
        <w:rPr>
          <w:rFonts w:ascii="Times New Roman" w:hAnsi="Times New Roman" w:cs="Times New Roman"/>
          <w:sz w:val="26"/>
          <w:szCs w:val="26"/>
        </w:rPr>
        <w:t xml:space="preserve">. </w:t>
      </w:r>
      <w:r w:rsidRPr="00C95423">
        <w:rPr>
          <w:rFonts w:ascii="Times New Roman" w:hAnsi="Times New Roman" w:cs="Times New Roman"/>
          <w:i/>
          <w:iCs/>
          <w:sz w:val="26"/>
          <w:szCs w:val="26"/>
        </w:rPr>
        <w:t>Australian Accounting Review</w:t>
      </w:r>
      <w:r w:rsidR="00B2426A" w:rsidRPr="00C95423">
        <w:rPr>
          <w:rFonts w:ascii="Times New Roman" w:hAnsi="Times New Roman" w:cs="Times New Roman"/>
          <w:i/>
          <w:iCs/>
          <w:sz w:val="26"/>
          <w:szCs w:val="26"/>
        </w:rPr>
        <w:t>,</w:t>
      </w:r>
      <w:r w:rsidRPr="00C95423">
        <w:rPr>
          <w:rFonts w:ascii="Times New Roman" w:hAnsi="Times New Roman" w:cs="Times New Roman"/>
          <w:i/>
          <w:iCs/>
          <w:sz w:val="26"/>
          <w:szCs w:val="26"/>
        </w:rPr>
        <w:t xml:space="preserve"> </w:t>
      </w:r>
      <w:hyperlink r:id="rId60" w:history="1">
        <w:r w:rsidRPr="00C95423">
          <w:rPr>
            <w:rFonts w:ascii="Times New Roman" w:hAnsi="Times New Roman" w:cs="Times New Roman"/>
            <w:i/>
            <w:iCs/>
            <w:sz w:val="26"/>
            <w:szCs w:val="26"/>
          </w:rPr>
          <w:t>27</w:t>
        </w:r>
        <w:r w:rsidRPr="00C95423">
          <w:rPr>
            <w:rFonts w:ascii="Times New Roman" w:hAnsi="Times New Roman" w:cs="Times New Roman"/>
            <w:iCs/>
            <w:sz w:val="26"/>
            <w:szCs w:val="26"/>
          </w:rPr>
          <w:t>(2</w:t>
        </w:r>
      </w:hyperlink>
      <w:r w:rsidRPr="00C95423">
        <w:rPr>
          <w:rFonts w:ascii="Times New Roman" w:hAnsi="Times New Roman" w:cs="Times New Roman"/>
          <w:iCs/>
          <w:sz w:val="26"/>
          <w:szCs w:val="26"/>
        </w:rPr>
        <w:t>)</w:t>
      </w:r>
      <w:r w:rsidRPr="00C95423">
        <w:rPr>
          <w:rFonts w:ascii="Times New Roman" w:hAnsi="Times New Roman" w:cs="Times New Roman"/>
          <w:i/>
          <w:iCs/>
          <w:sz w:val="26"/>
          <w:szCs w:val="26"/>
        </w:rPr>
        <w:t>,</w:t>
      </w:r>
      <w:r w:rsidRPr="00C95423">
        <w:rPr>
          <w:rFonts w:ascii="Times New Roman" w:hAnsi="Times New Roman" w:cs="Times New Roman"/>
          <w:sz w:val="26"/>
          <w:szCs w:val="26"/>
        </w:rPr>
        <w:t xml:space="preserve"> 195-213. </w:t>
      </w:r>
      <w:hyperlink r:id="rId61" w:history="1">
        <w:r w:rsidRPr="00C95423">
          <w:rPr>
            <w:rFonts w:ascii="Times New Roman" w:hAnsi="Times New Roman" w:cs="Times New Roman"/>
            <w:sz w:val="26"/>
            <w:szCs w:val="26"/>
          </w:rPr>
          <w:t>https://doi.org/10.1111/auar.12107</w:t>
        </w:r>
      </w:hyperlink>
    </w:p>
    <w:p w14:paraId="5DC84528" w14:textId="77777777" w:rsidR="00D01137" w:rsidRPr="007F15D8" w:rsidRDefault="00D01137" w:rsidP="000D6980">
      <w:pPr>
        <w:tabs>
          <w:tab w:val="left" w:pos="4536"/>
        </w:tabs>
        <w:autoSpaceDE w:val="0"/>
        <w:autoSpaceDN w:val="0"/>
        <w:adjustRightInd w:val="0"/>
        <w:spacing w:after="0" w:line="240" w:lineRule="auto"/>
        <w:jc w:val="both"/>
        <w:rPr>
          <w:rFonts w:ascii="Times New Roman" w:hAnsi="Times New Roman" w:cs="Times New Roman"/>
          <w:sz w:val="24"/>
          <w:szCs w:val="24"/>
        </w:rPr>
      </w:pPr>
    </w:p>
    <w:p w14:paraId="6B15CC20" w14:textId="7AA21E15" w:rsidR="00BB369A" w:rsidRPr="003F7FC0" w:rsidRDefault="003F7FC0" w:rsidP="000D6980">
      <w:pPr>
        <w:spacing w:line="320" w:lineRule="atLeast"/>
        <w:jc w:val="both"/>
        <w:rPr>
          <w:rFonts w:ascii="Times New Roman" w:hAnsi="Times New Roman" w:cs="Times New Roman"/>
          <w:sz w:val="24"/>
          <w:szCs w:val="24"/>
        </w:rPr>
      </w:pPr>
      <w:proofErr w:type="spellStart"/>
      <w:r w:rsidRPr="003F7FC0">
        <w:rPr>
          <w:rFonts w:ascii="Times New Roman" w:hAnsi="Times New Roman" w:cs="Times New Roman"/>
          <w:b/>
          <w:sz w:val="24"/>
          <w:szCs w:val="24"/>
        </w:rPr>
        <w:t>Dr.</w:t>
      </w:r>
      <w:proofErr w:type="spellEnd"/>
      <w:r w:rsidRPr="003F7FC0">
        <w:rPr>
          <w:rFonts w:ascii="Times New Roman" w:hAnsi="Times New Roman" w:cs="Times New Roman"/>
          <w:b/>
          <w:sz w:val="24"/>
          <w:szCs w:val="24"/>
        </w:rPr>
        <w:t xml:space="preserve"> </w:t>
      </w:r>
      <w:proofErr w:type="spellStart"/>
      <w:r w:rsidRPr="003F7FC0">
        <w:rPr>
          <w:rFonts w:ascii="Times New Roman" w:hAnsi="Times New Roman" w:cs="Times New Roman"/>
          <w:b/>
          <w:sz w:val="24"/>
          <w:szCs w:val="24"/>
        </w:rPr>
        <w:t>Mawih</w:t>
      </w:r>
      <w:proofErr w:type="spellEnd"/>
      <w:r w:rsidRPr="003F7FC0">
        <w:rPr>
          <w:rFonts w:ascii="Times New Roman" w:hAnsi="Times New Roman" w:cs="Times New Roman"/>
          <w:b/>
          <w:sz w:val="24"/>
          <w:szCs w:val="24"/>
        </w:rPr>
        <w:t xml:space="preserve"> Kareem Al Ani</w:t>
      </w:r>
      <w:r w:rsidRPr="003F7FC0">
        <w:rPr>
          <w:rFonts w:ascii="Times New Roman" w:hAnsi="Times New Roman" w:cs="Times New Roman"/>
          <w:sz w:val="24"/>
          <w:szCs w:val="24"/>
        </w:rPr>
        <w:t xml:space="preserve"> is currently </w:t>
      </w:r>
      <w:r w:rsidR="005B0E8C">
        <w:rPr>
          <w:rFonts w:ascii="Times New Roman" w:hAnsi="Times New Roman" w:cs="Times New Roman"/>
          <w:sz w:val="24"/>
          <w:szCs w:val="24"/>
        </w:rPr>
        <w:t xml:space="preserve">an </w:t>
      </w:r>
      <w:r w:rsidRPr="003F7FC0">
        <w:rPr>
          <w:rFonts w:ascii="Times New Roman" w:hAnsi="Times New Roman" w:cs="Times New Roman"/>
          <w:sz w:val="24"/>
          <w:szCs w:val="24"/>
        </w:rPr>
        <w:t xml:space="preserve">associate professor of accounting at the College of Commerce and Business Administration in Dhofar University in Oman. His research interests focus on earnings quality, conservatism and audit quality. He has published articles in international journals, such as </w:t>
      </w:r>
      <w:proofErr w:type="spellStart"/>
      <w:r w:rsidRPr="003F7FC0">
        <w:rPr>
          <w:rFonts w:ascii="Times New Roman" w:hAnsi="Times New Roman" w:cs="Times New Roman"/>
          <w:sz w:val="24"/>
          <w:szCs w:val="24"/>
        </w:rPr>
        <w:t>Borsa</w:t>
      </w:r>
      <w:proofErr w:type="spellEnd"/>
      <w:r w:rsidRPr="003F7FC0">
        <w:rPr>
          <w:rFonts w:ascii="Times New Roman" w:hAnsi="Times New Roman" w:cs="Times New Roman"/>
          <w:sz w:val="24"/>
          <w:szCs w:val="24"/>
        </w:rPr>
        <w:t xml:space="preserve"> Istanbul Review, International Journal of Economic, Management and Accounting, Business: Theory and Practice, Future Business Journal and many other indexed journals.</w:t>
      </w:r>
    </w:p>
    <w:sectPr w:rsidR="00BB369A" w:rsidRPr="003F7FC0" w:rsidSect="00BB6825">
      <w:headerReference w:type="even" r:id="rId62"/>
      <w:headerReference w:type="default" r:id="rId63"/>
      <w:footerReference w:type="default" r:id="rId64"/>
      <w:headerReference w:type="first" r:id="rId65"/>
      <w:pgSz w:w="11907" w:h="16840" w:code="9"/>
      <w:pgMar w:top="1440" w:right="1440" w:bottom="1440" w:left="1440" w:header="720" w:footer="720" w:gutter="0"/>
      <w:lnNumType w:countBy="1"/>
      <w:pgNumType w:start="223"/>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46282" w16cex:dateUtc="2021-04-28T18:38:00Z"/>
  <w16cex:commentExtensible w16cex:durableId="243465C8" w16cex:dateUtc="2021-04-28T18:52:00Z"/>
  <w16cex:commentExtensible w16cex:durableId="243466D3" w16cex:dateUtc="2021-04-28T18:57:00Z"/>
  <w16cex:commentExtensible w16cex:durableId="24346782" w16cex:dateUtc="2021-04-28T19:00:00Z"/>
  <w16cex:commentExtensible w16cex:durableId="243468FD" w16cex:dateUtc="2021-04-28T19:06:00Z"/>
  <w16cex:commentExtensible w16cex:durableId="243469A0" w16cex:dateUtc="2021-04-28T19: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21501" w14:textId="77777777" w:rsidR="00832929" w:rsidRDefault="00832929" w:rsidP="007C75D5">
      <w:pPr>
        <w:spacing w:after="0" w:line="240" w:lineRule="auto"/>
      </w:pPr>
      <w:r>
        <w:separator/>
      </w:r>
    </w:p>
  </w:endnote>
  <w:endnote w:type="continuationSeparator" w:id="0">
    <w:p w14:paraId="6B4005D9" w14:textId="77777777" w:rsidR="00832929" w:rsidRDefault="00832929" w:rsidP="007C75D5">
      <w:pPr>
        <w:spacing w:after="0" w:line="240" w:lineRule="auto"/>
      </w:pPr>
      <w:r>
        <w:continuationSeparator/>
      </w:r>
    </w:p>
  </w:endnote>
  <w:endnote w:type="continuationNotice" w:id="1">
    <w:p w14:paraId="6BA73E80" w14:textId="77777777" w:rsidR="00832929" w:rsidRDefault="008329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41D0E" w14:textId="3CD6BD9C" w:rsidR="00842071" w:rsidRDefault="00842071">
    <w:pPr>
      <w:pStyle w:val="af"/>
      <w:jc w:val="center"/>
    </w:pPr>
  </w:p>
  <w:p w14:paraId="396B77E1" w14:textId="77777777" w:rsidR="00842071" w:rsidRDefault="0084207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21758" w14:textId="77777777" w:rsidR="00832929" w:rsidRDefault="00832929" w:rsidP="007C75D5">
      <w:pPr>
        <w:spacing w:after="0" w:line="240" w:lineRule="auto"/>
      </w:pPr>
      <w:r>
        <w:separator/>
      </w:r>
    </w:p>
  </w:footnote>
  <w:footnote w:type="continuationSeparator" w:id="0">
    <w:p w14:paraId="29F03F9F" w14:textId="77777777" w:rsidR="00832929" w:rsidRDefault="00832929" w:rsidP="007C75D5">
      <w:pPr>
        <w:spacing w:after="0" w:line="240" w:lineRule="auto"/>
      </w:pPr>
      <w:r>
        <w:continuationSeparator/>
      </w:r>
    </w:p>
  </w:footnote>
  <w:footnote w:type="continuationNotice" w:id="1">
    <w:p w14:paraId="343B2D49" w14:textId="77777777" w:rsidR="00832929" w:rsidRDefault="008329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A0A59" w14:textId="77777777" w:rsidR="00842071" w:rsidRDefault="00842071" w:rsidP="00DA372C">
    <w:pPr>
      <w:pStyle w:val="ad"/>
    </w:pPr>
  </w:p>
  <w:p w14:paraId="35452687" w14:textId="4B3C9851" w:rsidR="00842071" w:rsidRDefault="00842071">
    <w:pPr>
      <w:pStyle w:val="ad"/>
    </w:pPr>
    <w:r>
      <w:fldChar w:fldCharType="begin"/>
    </w:r>
    <w:r>
      <w:instrText>PAGE   \* MERGEFORMAT</w:instrText>
    </w:r>
    <w:r>
      <w:fldChar w:fldCharType="separate"/>
    </w:r>
    <w:r>
      <w:t>190</w:t>
    </w:r>
    <w:r>
      <w:fldChar w:fldCharType="end"/>
    </w:r>
    <w:r>
      <w:rPr>
        <w:noProof/>
      </w:rPr>
      <mc:AlternateContent>
        <mc:Choice Requires="wps">
          <w:drawing>
            <wp:anchor distT="0" distB="0" distL="114300" distR="114300" simplePos="0" relativeHeight="251659264" behindDoc="0" locked="0" layoutInCell="1" allowOverlap="1" wp14:anchorId="5788AE6F" wp14:editId="3198BAA2">
              <wp:simplePos x="0" y="0"/>
              <wp:positionH relativeFrom="column">
                <wp:posOffset>0</wp:posOffset>
              </wp:positionH>
              <wp:positionV relativeFrom="paragraph">
                <wp:posOffset>146050</wp:posOffset>
              </wp:positionV>
              <wp:extent cx="5943600" cy="0"/>
              <wp:effectExtent l="0" t="0" r="0" b="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4CC32" id="直線接點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"/>
          </w:pict>
        </mc:Fallback>
      </mc:AlternateContent>
    </w:r>
    <w:r>
      <w:t xml:space="preserve"> Contemporary Management Research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BA6C0" w14:textId="77777777" w:rsidR="00842071" w:rsidRDefault="00842071" w:rsidP="00DA372C">
    <w:pPr>
      <w:pStyle w:val="ad"/>
      <w:overflowPunct w:val="0"/>
      <w:autoSpaceDE w:val="0"/>
      <w:autoSpaceDN w:val="0"/>
      <w:adjustRightInd w:val="0"/>
      <w:jc w:val="right"/>
      <w:textAlignment w:val="baseline"/>
    </w:pPr>
  </w:p>
  <w:p w14:paraId="6D67F750" w14:textId="79E90EA1" w:rsidR="00842071" w:rsidRPr="00DA372C" w:rsidRDefault="00842071" w:rsidP="00DA372C">
    <w:pPr>
      <w:pStyle w:val="ad"/>
      <w:overflowPunct w:val="0"/>
      <w:autoSpaceDE w:val="0"/>
      <w:autoSpaceDN w:val="0"/>
      <w:adjustRightInd w:val="0"/>
      <w:jc w:val="right"/>
      <w:textAlignment w:val="baseline"/>
      <w:rPr>
        <w:lang w:val="en-AU"/>
      </w:rPr>
    </w:pPr>
    <w:r>
      <w:rPr>
        <w:noProof/>
      </w:rPr>
      <mc:AlternateContent>
        <mc:Choice Requires="wps">
          <w:drawing>
            <wp:anchor distT="0" distB="0" distL="114300" distR="114300" simplePos="0" relativeHeight="251661312" behindDoc="0" locked="0" layoutInCell="1" allowOverlap="1" wp14:anchorId="42FE7754" wp14:editId="3734A403">
              <wp:simplePos x="0" y="0"/>
              <wp:positionH relativeFrom="column">
                <wp:posOffset>0</wp:posOffset>
              </wp:positionH>
              <wp:positionV relativeFrom="paragraph">
                <wp:posOffset>146050</wp:posOffset>
              </wp:positionV>
              <wp:extent cx="5943600" cy="0"/>
              <wp:effectExtent l="0" t="0" r="0" b="0"/>
              <wp:wrapNone/>
              <wp:docPr id="37" name="直線接點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4DBD0" id="直線接點 3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"/>
          </w:pict>
        </mc:Fallback>
      </mc:AlternateContent>
    </w:r>
    <w:r>
      <w:t xml:space="preserve"> </w:t>
    </w:r>
    <w:r>
      <w:rPr>
        <w:noProof/>
      </w:rPr>
      <w:t>Contemporary Management Research</w:t>
    </w:r>
    <w:r>
      <w:rPr>
        <w:lang w:val="en-AU"/>
      </w:rPr>
      <w:t xml:space="preserve"> </w:t>
    </w:r>
    <w:r>
      <w:rPr>
        <w:lang w:val="en-AU" w:eastAsia="zh-TW"/>
      </w:rPr>
      <w:t xml:space="preserve"> </w:t>
    </w:r>
    <w:r>
      <w:rPr>
        <w:lang w:val="en-AU"/>
      </w:rPr>
      <w:fldChar w:fldCharType="begin"/>
    </w:r>
    <w:r>
      <w:rPr>
        <w:lang w:val="en-AU"/>
      </w:rPr>
      <w:instrText>PAGE   \* MERGEFORMAT</w:instrText>
    </w:r>
    <w:r>
      <w:rPr>
        <w:lang w:val="en-AU"/>
      </w:rPr>
      <w:fldChar w:fldCharType="separate"/>
    </w:r>
    <w:r>
      <w:rPr>
        <w:lang w:val="en-AU"/>
      </w:rPr>
      <w:t>191</w:t>
    </w:r>
    <w:r>
      <w:rPr>
        <w:lang w:val="en-AU"/>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686" w:type="dxa"/>
      <w:jc w:val="right"/>
      <w:tblBorders>
        <w:top w:val="thinThickSmallGap" w:sz="24" w:space="0" w:color="auto"/>
        <w:bottom w:val="thickThinSmallGap" w:sz="24" w:space="0" w:color="auto"/>
      </w:tblBorders>
      <w:tblLook w:val="04A0" w:firstRow="1" w:lastRow="0" w:firstColumn="1" w:lastColumn="0" w:noHBand="0" w:noVBand="1"/>
    </w:tblPr>
    <w:tblGrid>
      <w:gridCol w:w="3686"/>
    </w:tblGrid>
    <w:tr w:rsidR="00842071" w14:paraId="171CF0BD" w14:textId="77777777" w:rsidTr="003C26FA">
      <w:trPr>
        <w:trHeight w:val="454"/>
        <w:jc w:val="right"/>
      </w:trPr>
      <w:tc>
        <w:tcPr>
          <w:tcW w:w="3686" w:type="dxa"/>
          <w:vAlign w:val="bottom"/>
        </w:tcPr>
        <w:p w14:paraId="39A3CAE1" w14:textId="77777777" w:rsidR="00842071" w:rsidRPr="005F5168" w:rsidRDefault="00842071" w:rsidP="00441478">
          <w:pPr>
            <w:snapToGrid w:val="0"/>
            <w:spacing w:after="0" w:line="240" w:lineRule="auto"/>
            <w:rPr>
              <w:rFonts w:eastAsia="Cambria"/>
            </w:rPr>
          </w:pPr>
          <w:r w:rsidRPr="005F5168">
            <w:rPr>
              <w:rFonts w:eastAsia="Cambria"/>
            </w:rPr>
            <w:t>Contemporary Management Research</w:t>
          </w:r>
        </w:p>
        <w:p w14:paraId="5BAADBD3" w14:textId="0360DDA8" w:rsidR="00842071" w:rsidRPr="005F5168" w:rsidRDefault="00842071" w:rsidP="00441478">
          <w:pPr>
            <w:snapToGrid w:val="0"/>
            <w:spacing w:after="0" w:line="240" w:lineRule="auto"/>
            <w:rPr>
              <w:rFonts w:eastAsia="Cambria"/>
              <w:color w:val="0D0D0D"/>
              <w:sz w:val="20"/>
              <w:szCs w:val="20"/>
            </w:rPr>
          </w:pPr>
          <w:r w:rsidRPr="005F5168">
            <w:rPr>
              <w:rFonts w:eastAsia="Cambria"/>
              <w:color w:val="0D0D0D"/>
              <w:sz w:val="20"/>
              <w:szCs w:val="20"/>
            </w:rPr>
            <w:t>Pages</w:t>
          </w:r>
          <w:r w:rsidRPr="00556007">
            <w:rPr>
              <w:color w:val="0D0D0D"/>
              <w:sz w:val="20"/>
              <w:szCs w:val="20"/>
            </w:rPr>
            <w:t xml:space="preserve"> </w:t>
          </w:r>
          <w:r>
            <w:rPr>
              <w:color w:val="0D0D0D"/>
              <w:sz w:val="20"/>
              <w:szCs w:val="20"/>
            </w:rPr>
            <w:t>223</w:t>
          </w:r>
          <w:r w:rsidRPr="006E38E7">
            <w:rPr>
              <w:rFonts w:eastAsia="Cambria"/>
              <w:sz w:val="20"/>
              <w:szCs w:val="20"/>
            </w:rPr>
            <w:t>-</w:t>
          </w:r>
          <w:r>
            <w:rPr>
              <w:rFonts w:eastAsia="Cambria"/>
              <w:sz w:val="20"/>
              <w:szCs w:val="20"/>
            </w:rPr>
            <w:t>2</w:t>
          </w:r>
          <w:r w:rsidR="005408A2">
            <w:rPr>
              <w:rFonts w:eastAsia="Cambria"/>
              <w:sz w:val="20"/>
              <w:szCs w:val="20"/>
            </w:rPr>
            <w:t>70</w:t>
          </w:r>
          <w:r w:rsidRPr="00556007">
            <w:rPr>
              <w:rFonts w:eastAsia="Cambria"/>
              <w:sz w:val="20"/>
              <w:szCs w:val="20"/>
            </w:rPr>
            <w:t>,</w:t>
          </w:r>
          <w:r w:rsidRPr="005F5168">
            <w:rPr>
              <w:rFonts w:eastAsia="Cambria"/>
              <w:sz w:val="20"/>
              <w:szCs w:val="20"/>
            </w:rPr>
            <w:t xml:space="preserve"> V</w:t>
          </w:r>
          <w:r w:rsidRPr="005F5168">
            <w:rPr>
              <w:rFonts w:eastAsia="Cambria"/>
              <w:color w:val="0D0D0D"/>
              <w:sz w:val="20"/>
              <w:szCs w:val="20"/>
            </w:rPr>
            <w:t xml:space="preserve">ol. </w:t>
          </w:r>
          <w:r w:rsidRPr="005F5168">
            <w:rPr>
              <w:color w:val="0D0D0D"/>
              <w:sz w:val="20"/>
              <w:szCs w:val="20"/>
            </w:rPr>
            <w:t>1</w:t>
          </w:r>
          <w:r>
            <w:rPr>
              <w:color w:val="0D0D0D"/>
              <w:sz w:val="20"/>
              <w:szCs w:val="20"/>
            </w:rPr>
            <w:t>7</w:t>
          </w:r>
          <w:r w:rsidRPr="005F5168">
            <w:rPr>
              <w:color w:val="0D0D0D"/>
              <w:sz w:val="20"/>
              <w:szCs w:val="20"/>
            </w:rPr>
            <w:t xml:space="preserve">, </w:t>
          </w:r>
          <w:r w:rsidRPr="005F5168">
            <w:rPr>
              <w:rFonts w:eastAsia="Cambria"/>
              <w:color w:val="0D0D0D"/>
              <w:sz w:val="20"/>
              <w:szCs w:val="20"/>
            </w:rPr>
            <w:t xml:space="preserve">No. </w:t>
          </w:r>
          <w:r w:rsidR="005408A2">
            <w:rPr>
              <w:rFonts w:eastAsia="Cambria"/>
              <w:color w:val="0D0D0D"/>
              <w:sz w:val="20"/>
              <w:szCs w:val="20"/>
            </w:rPr>
            <w:t>3</w:t>
          </w:r>
          <w:r w:rsidRPr="005F5168">
            <w:rPr>
              <w:rFonts w:eastAsia="Microsoft JhengHei UI"/>
              <w:color w:val="0D0D0D"/>
              <w:sz w:val="20"/>
              <w:szCs w:val="20"/>
            </w:rPr>
            <w:t>, 202</w:t>
          </w:r>
          <w:r>
            <w:rPr>
              <w:rFonts w:eastAsia="Microsoft JhengHei UI"/>
              <w:color w:val="0D0D0D"/>
              <w:sz w:val="20"/>
              <w:szCs w:val="20"/>
            </w:rPr>
            <w:t>1</w:t>
          </w:r>
        </w:p>
        <w:p w14:paraId="44C00F6F" w14:textId="7887C510" w:rsidR="00842071" w:rsidRDefault="00842071" w:rsidP="00441478">
          <w:pPr>
            <w:snapToGrid w:val="0"/>
            <w:spacing w:after="0" w:line="240" w:lineRule="auto"/>
          </w:pPr>
          <w:r w:rsidRPr="005F5168">
            <w:rPr>
              <w:rFonts w:eastAsia="Cambria"/>
              <w:sz w:val="20"/>
              <w:szCs w:val="20"/>
            </w:rPr>
            <w:t>doi:</w:t>
          </w:r>
          <w:r w:rsidRPr="005F5168">
            <w:rPr>
              <w:sz w:val="20"/>
              <w:szCs w:val="20"/>
            </w:rPr>
            <w:t>10.7903/cmr.20</w:t>
          </w:r>
          <w:r>
            <w:rPr>
              <w:sz w:val="20"/>
              <w:szCs w:val="20"/>
            </w:rPr>
            <w:t>575</w:t>
          </w:r>
        </w:p>
      </w:tc>
    </w:tr>
  </w:tbl>
  <w:p w14:paraId="43C465B1" w14:textId="77777777" w:rsidR="00842071" w:rsidRDefault="00842071">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7ED9"/>
    <w:multiLevelType w:val="hybridMultilevel"/>
    <w:tmpl w:val="7AA22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153A5"/>
    <w:multiLevelType w:val="hybridMultilevel"/>
    <w:tmpl w:val="89DA1734"/>
    <w:lvl w:ilvl="0" w:tplc="8DA0AF3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BA48B4"/>
    <w:multiLevelType w:val="hybridMultilevel"/>
    <w:tmpl w:val="7AA22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00306D"/>
    <w:multiLevelType w:val="hybridMultilevel"/>
    <w:tmpl w:val="8264BF74"/>
    <w:lvl w:ilvl="0" w:tplc="6F1A9F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3000FB"/>
    <w:multiLevelType w:val="hybridMultilevel"/>
    <w:tmpl w:val="7AA22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B0429D"/>
    <w:multiLevelType w:val="hybridMultilevel"/>
    <w:tmpl w:val="F780858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D84AF8"/>
    <w:multiLevelType w:val="hybridMultilevel"/>
    <w:tmpl w:val="A6884864"/>
    <w:lvl w:ilvl="0" w:tplc="B838AEB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0"/>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bordersDoNotSurroundHeader/>
  <w:bordersDoNotSurroundFooter/>
  <w:hideSpellingErrors/>
  <w:hideGrammaticalErrors/>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3NDc1M7IwsjA2NDNS0lEKTi0uzszPAykwrwUAGYIQOiwAAAA="/>
  </w:docVars>
  <w:rsids>
    <w:rsidRoot w:val="00C8494D"/>
    <w:rsid w:val="000056EA"/>
    <w:rsid w:val="00007050"/>
    <w:rsid w:val="000114A1"/>
    <w:rsid w:val="00012233"/>
    <w:rsid w:val="00013DE7"/>
    <w:rsid w:val="0001556B"/>
    <w:rsid w:val="000206F6"/>
    <w:rsid w:val="00021001"/>
    <w:rsid w:val="00021620"/>
    <w:rsid w:val="000222A0"/>
    <w:rsid w:val="000235EE"/>
    <w:rsid w:val="000243B0"/>
    <w:rsid w:val="000246A4"/>
    <w:rsid w:val="0002566F"/>
    <w:rsid w:val="000273D8"/>
    <w:rsid w:val="00031367"/>
    <w:rsid w:val="00033283"/>
    <w:rsid w:val="00033BF7"/>
    <w:rsid w:val="000362EF"/>
    <w:rsid w:val="00040851"/>
    <w:rsid w:val="000409E6"/>
    <w:rsid w:val="00047E07"/>
    <w:rsid w:val="00050C7C"/>
    <w:rsid w:val="00050EB7"/>
    <w:rsid w:val="00051CB6"/>
    <w:rsid w:val="000536DB"/>
    <w:rsid w:val="000573EE"/>
    <w:rsid w:val="00060790"/>
    <w:rsid w:val="00061D28"/>
    <w:rsid w:val="00063AD8"/>
    <w:rsid w:val="00065F1F"/>
    <w:rsid w:val="00067230"/>
    <w:rsid w:val="0006759E"/>
    <w:rsid w:val="000704E8"/>
    <w:rsid w:val="00071FAE"/>
    <w:rsid w:val="0007456E"/>
    <w:rsid w:val="0007591F"/>
    <w:rsid w:val="00077B43"/>
    <w:rsid w:val="00082977"/>
    <w:rsid w:val="00083E14"/>
    <w:rsid w:val="000858BC"/>
    <w:rsid w:val="000870A7"/>
    <w:rsid w:val="000873DF"/>
    <w:rsid w:val="00087483"/>
    <w:rsid w:val="00093DC3"/>
    <w:rsid w:val="00094D36"/>
    <w:rsid w:val="000954B5"/>
    <w:rsid w:val="00095634"/>
    <w:rsid w:val="00096489"/>
    <w:rsid w:val="00096A3A"/>
    <w:rsid w:val="00097A0E"/>
    <w:rsid w:val="000A45AE"/>
    <w:rsid w:val="000B3231"/>
    <w:rsid w:val="000B4580"/>
    <w:rsid w:val="000B49E1"/>
    <w:rsid w:val="000B60E6"/>
    <w:rsid w:val="000B7741"/>
    <w:rsid w:val="000C3E47"/>
    <w:rsid w:val="000C7FE3"/>
    <w:rsid w:val="000D0296"/>
    <w:rsid w:val="000D50EE"/>
    <w:rsid w:val="000D610D"/>
    <w:rsid w:val="000D6564"/>
    <w:rsid w:val="000D6980"/>
    <w:rsid w:val="000E0277"/>
    <w:rsid w:val="000E25BF"/>
    <w:rsid w:val="000E4287"/>
    <w:rsid w:val="000E68F6"/>
    <w:rsid w:val="000E6C2D"/>
    <w:rsid w:val="000E74B5"/>
    <w:rsid w:val="000F1278"/>
    <w:rsid w:val="00103E47"/>
    <w:rsid w:val="00106699"/>
    <w:rsid w:val="00111843"/>
    <w:rsid w:val="0011243D"/>
    <w:rsid w:val="00112BC7"/>
    <w:rsid w:val="00112E69"/>
    <w:rsid w:val="00114020"/>
    <w:rsid w:val="001147A9"/>
    <w:rsid w:val="0011610E"/>
    <w:rsid w:val="00120729"/>
    <w:rsid w:val="001221F1"/>
    <w:rsid w:val="00126AF1"/>
    <w:rsid w:val="00127D95"/>
    <w:rsid w:val="001303CD"/>
    <w:rsid w:val="0013140C"/>
    <w:rsid w:val="00133183"/>
    <w:rsid w:val="00133AF8"/>
    <w:rsid w:val="00134BA6"/>
    <w:rsid w:val="001361AB"/>
    <w:rsid w:val="00136468"/>
    <w:rsid w:val="00137EC6"/>
    <w:rsid w:val="00143AA7"/>
    <w:rsid w:val="001529A7"/>
    <w:rsid w:val="001531E4"/>
    <w:rsid w:val="00155567"/>
    <w:rsid w:val="001602EF"/>
    <w:rsid w:val="00163D54"/>
    <w:rsid w:val="0016500C"/>
    <w:rsid w:val="00172AFD"/>
    <w:rsid w:val="00172DBA"/>
    <w:rsid w:val="00173149"/>
    <w:rsid w:val="00173FE4"/>
    <w:rsid w:val="00175139"/>
    <w:rsid w:val="001804A6"/>
    <w:rsid w:val="00183267"/>
    <w:rsid w:val="00186046"/>
    <w:rsid w:val="001938B9"/>
    <w:rsid w:val="0019515F"/>
    <w:rsid w:val="001970BD"/>
    <w:rsid w:val="001A193B"/>
    <w:rsid w:val="001B0B2B"/>
    <w:rsid w:val="001B6859"/>
    <w:rsid w:val="001B6CD4"/>
    <w:rsid w:val="001B6F25"/>
    <w:rsid w:val="001C3C9D"/>
    <w:rsid w:val="001C5787"/>
    <w:rsid w:val="001C79FD"/>
    <w:rsid w:val="001D1CFF"/>
    <w:rsid w:val="001E04D4"/>
    <w:rsid w:val="001E0D58"/>
    <w:rsid w:val="001E3C70"/>
    <w:rsid w:val="001E610F"/>
    <w:rsid w:val="001E7C7C"/>
    <w:rsid w:val="001F48F8"/>
    <w:rsid w:val="002007F6"/>
    <w:rsid w:val="00204AD3"/>
    <w:rsid w:val="00215E9A"/>
    <w:rsid w:val="002257A5"/>
    <w:rsid w:val="002265FB"/>
    <w:rsid w:val="0023144D"/>
    <w:rsid w:val="00232A2F"/>
    <w:rsid w:val="00233BD6"/>
    <w:rsid w:val="00235141"/>
    <w:rsid w:val="00244774"/>
    <w:rsid w:val="00250EAE"/>
    <w:rsid w:val="0025485E"/>
    <w:rsid w:val="00255491"/>
    <w:rsid w:val="002612A0"/>
    <w:rsid w:val="00262C81"/>
    <w:rsid w:val="00263AF0"/>
    <w:rsid w:val="0026569D"/>
    <w:rsid w:val="0026687D"/>
    <w:rsid w:val="00270CD8"/>
    <w:rsid w:val="00275904"/>
    <w:rsid w:val="00276D3C"/>
    <w:rsid w:val="00281431"/>
    <w:rsid w:val="00281A99"/>
    <w:rsid w:val="00282A39"/>
    <w:rsid w:val="00285C6A"/>
    <w:rsid w:val="00286BCD"/>
    <w:rsid w:val="00292DCB"/>
    <w:rsid w:val="002A1F4C"/>
    <w:rsid w:val="002A2457"/>
    <w:rsid w:val="002A4982"/>
    <w:rsid w:val="002A56BB"/>
    <w:rsid w:val="002A5D03"/>
    <w:rsid w:val="002B04C7"/>
    <w:rsid w:val="002B0B23"/>
    <w:rsid w:val="002B6310"/>
    <w:rsid w:val="002B7F07"/>
    <w:rsid w:val="002C7835"/>
    <w:rsid w:val="002D0866"/>
    <w:rsid w:val="002D349B"/>
    <w:rsid w:val="002D4C6A"/>
    <w:rsid w:val="002E007F"/>
    <w:rsid w:val="002E1705"/>
    <w:rsid w:val="002E2D36"/>
    <w:rsid w:val="002E2F45"/>
    <w:rsid w:val="002E30AB"/>
    <w:rsid w:val="002E34C0"/>
    <w:rsid w:val="002E5DF7"/>
    <w:rsid w:val="002E664B"/>
    <w:rsid w:val="002E6F92"/>
    <w:rsid w:val="002E7CAC"/>
    <w:rsid w:val="002F1D22"/>
    <w:rsid w:val="002F31B0"/>
    <w:rsid w:val="002F6E67"/>
    <w:rsid w:val="00302DD0"/>
    <w:rsid w:val="00306580"/>
    <w:rsid w:val="003072C5"/>
    <w:rsid w:val="00307A07"/>
    <w:rsid w:val="00314638"/>
    <w:rsid w:val="00314A1C"/>
    <w:rsid w:val="00315C96"/>
    <w:rsid w:val="003172D9"/>
    <w:rsid w:val="003208ED"/>
    <w:rsid w:val="00320F28"/>
    <w:rsid w:val="00321100"/>
    <w:rsid w:val="003214CA"/>
    <w:rsid w:val="003222EA"/>
    <w:rsid w:val="0032357E"/>
    <w:rsid w:val="00324314"/>
    <w:rsid w:val="003244F5"/>
    <w:rsid w:val="00325179"/>
    <w:rsid w:val="00333759"/>
    <w:rsid w:val="00333BC0"/>
    <w:rsid w:val="00335A4D"/>
    <w:rsid w:val="003375D6"/>
    <w:rsid w:val="00337B39"/>
    <w:rsid w:val="00337B66"/>
    <w:rsid w:val="00341B1C"/>
    <w:rsid w:val="00341EBA"/>
    <w:rsid w:val="003422B7"/>
    <w:rsid w:val="00343C4C"/>
    <w:rsid w:val="00345071"/>
    <w:rsid w:val="0034553E"/>
    <w:rsid w:val="0034743F"/>
    <w:rsid w:val="00347B13"/>
    <w:rsid w:val="003521EA"/>
    <w:rsid w:val="00354525"/>
    <w:rsid w:val="0035550B"/>
    <w:rsid w:val="00357606"/>
    <w:rsid w:val="00365BFF"/>
    <w:rsid w:val="003711D2"/>
    <w:rsid w:val="00371C80"/>
    <w:rsid w:val="00374ACA"/>
    <w:rsid w:val="00381067"/>
    <w:rsid w:val="00382F19"/>
    <w:rsid w:val="003831C2"/>
    <w:rsid w:val="0038538F"/>
    <w:rsid w:val="00385CAE"/>
    <w:rsid w:val="00385CD4"/>
    <w:rsid w:val="00386616"/>
    <w:rsid w:val="00387F04"/>
    <w:rsid w:val="003919EC"/>
    <w:rsid w:val="003936DD"/>
    <w:rsid w:val="00393C5D"/>
    <w:rsid w:val="00394D17"/>
    <w:rsid w:val="003960CB"/>
    <w:rsid w:val="0039629E"/>
    <w:rsid w:val="003971F3"/>
    <w:rsid w:val="003A122F"/>
    <w:rsid w:val="003A2367"/>
    <w:rsid w:val="003A2A39"/>
    <w:rsid w:val="003A4421"/>
    <w:rsid w:val="003A49E9"/>
    <w:rsid w:val="003A5F19"/>
    <w:rsid w:val="003B04B1"/>
    <w:rsid w:val="003B6818"/>
    <w:rsid w:val="003B7DC7"/>
    <w:rsid w:val="003C0EC4"/>
    <w:rsid w:val="003C26FA"/>
    <w:rsid w:val="003C4AB2"/>
    <w:rsid w:val="003C57AC"/>
    <w:rsid w:val="003D0960"/>
    <w:rsid w:val="003D0AB8"/>
    <w:rsid w:val="003D0CB6"/>
    <w:rsid w:val="003D1DE8"/>
    <w:rsid w:val="003D2EAE"/>
    <w:rsid w:val="003D478B"/>
    <w:rsid w:val="003D5371"/>
    <w:rsid w:val="003D6E0C"/>
    <w:rsid w:val="003D7038"/>
    <w:rsid w:val="003E0836"/>
    <w:rsid w:val="003E244E"/>
    <w:rsid w:val="003E249B"/>
    <w:rsid w:val="003E42B4"/>
    <w:rsid w:val="003E491F"/>
    <w:rsid w:val="003E4F7E"/>
    <w:rsid w:val="003E6B5C"/>
    <w:rsid w:val="003F0460"/>
    <w:rsid w:val="003F4CB3"/>
    <w:rsid w:val="003F56CD"/>
    <w:rsid w:val="003F62B1"/>
    <w:rsid w:val="003F7FC0"/>
    <w:rsid w:val="00400584"/>
    <w:rsid w:val="00407BA3"/>
    <w:rsid w:val="00407D7D"/>
    <w:rsid w:val="004112AD"/>
    <w:rsid w:val="004151DD"/>
    <w:rsid w:val="00415992"/>
    <w:rsid w:val="00415E8C"/>
    <w:rsid w:val="004175B6"/>
    <w:rsid w:val="004175BD"/>
    <w:rsid w:val="00417CAC"/>
    <w:rsid w:val="004211ED"/>
    <w:rsid w:val="004223AC"/>
    <w:rsid w:val="0042485E"/>
    <w:rsid w:val="004264B9"/>
    <w:rsid w:val="0043345C"/>
    <w:rsid w:val="00440FEC"/>
    <w:rsid w:val="00441478"/>
    <w:rsid w:val="00441F82"/>
    <w:rsid w:val="0044297B"/>
    <w:rsid w:val="00443018"/>
    <w:rsid w:val="00443808"/>
    <w:rsid w:val="00443E76"/>
    <w:rsid w:val="004449F8"/>
    <w:rsid w:val="00444E16"/>
    <w:rsid w:val="0044559B"/>
    <w:rsid w:val="00446058"/>
    <w:rsid w:val="004465BD"/>
    <w:rsid w:val="00450B83"/>
    <w:rsid w:val="00455A70"/>
    <w:rsid w:val="00456E49"/>
    <w:rsid w:val="00457C4F"/>
    <w:rsid w:val="0046067A"/>
    <w:rsid w:val="00460C22"/>
    <w:rsid w:val="00461F71"/>
    <w:rsid w:val="0046330E"/>
    <w:rsid w:val="00463D7C"/>
    <w:rsid w:val="0046479E"/>
    <w:rsid w:val="00465B97"/>
    <w:rsid w:val="00465D69"/>
    <w:rsid w:val="004673C6"/>
    <w:rsid w:val="004705F2"/>
    <w:rsid w:val="00471BFC"/>
    <w:rsid w:val="0047282B"/>
    <w:rsid w:val="00472BC5"/>
    <w:rsid w:val="00473001"/>
    <w:rsid w:val="0047416A"/>
    <w:rsid w:val="004778DA"/>
    <w:rsid w:val="00483C94"/>
    <w:rsid w:val="00484419"/>
    <w:rsid w:val="00486491"/>
    <w:rsid w:val="00487DEE"/>
    <w:rsid w:val="00490295"/>
    <w:rsid w:val="004931B4"/>
    <w:rsid w:val="00493F85"/>
    <w:rsid w:val="004959F4"/>
    <w:rsid w:val="00496C9E"/>
    <w:rsid w:val="004971D4"/>
    <w:rsid w:val="004A3073"/>
    <w:rsid w:val="004A40EC"/>
    <w:rsid w:val="004A48E7"/>
    <w:rsid w:val="004A6FE4"/>
    <w:rsid w:val="004B1FFF"/>
    <w:rsid w:val="004B2212"/>
    <w:rsid w:val="004B228B"/>
    <w:rsid w:val="004B2D87"/>
    <w:rsid w:val="004B30DB"/>
    <w:rsid w:val="004B36ED"/>
    <w:rsid w:val="004B3832"/>
    <w:rsid w:val="004B3A24"/>
    <w:rsid w:val="004B6049"/>
    <w:rsid w:val="004C210E"/>
    <w:rsid w:val="004C2820"/>
    <w:rsid w:val="004C3C9A"/>
    <w:rsid w:val="004D0177"/>
    <w:rsid w:val="004D6639"/>
    <w:rsid w:val="004D79C7"/>
    <w:rsid w:val="004D7AC1"/>
    <w:rsid w:val="004E1CC3"/>
    <w:rsid w:val="004E5550"/>
    <w:rsid w:val="004E5D2E"/>
    <w:rsid w:val="004E5E41"/>
    <w:rsid w:val="004F21AB"/>
    <w:rsid w:val="004F3CBE"/>
    <w:rsid w:val="004F4899"/>
    <w:rsid w:val="004F5591"/>
    <w:rsid w:val="004F5D71"/>
    <w:rsid w:val="004F78CF"/>
    <w:rsid w:val="004F7B05"/>
    <w:rsid w:val="0050194D"/>
    <w:rsid w:val="00501BE1"/>
    <w:rsid w:val="00501C83"/>
    <w:rsid w:val="00503470"/>
    <w:rsid w:val="00503655"/>
    <w:rsid w:val="005045DB"/>
    <w:rsid w:val="00504F1A"/>
    <w:rsid w:val="005073B1"/>
    <w:rsid w:val="00507EC1"/>
    <w:rsid w:val="00512E3B"/>
    <w:rsid w:val="00514151"/>
    <w:rsid w:val="00515086"/>
    <w:rsid w:val="00515F5F"/>
    <w:rsid w:val="0052148C"/>
    <w:rsid w:val="00522234"/>
    <w:rsid w:val="00523653"/>
    <w:rsid w:val="00530CC6"/>
    <w:rsid w:val="00530E44"/>
    <w:rsid w:val="00532D66"/>
    <w:rsid w:val="00532FA4"/>
    <w:rsid w:val="00537052"/>
    <w:rsid w:val="005408A2"/>
    <w:rsid w:val="00541754"/>
    <w:rsid w:val="0054501B"/>
    <w:rsid w:val="005470EC"/>
    <w:rsid w:val="005476C0"/>
    <w:rsid w:val="005506C1"/>
    <w:rsid w:val="005556A4"/>
    <w:rsid w:val="005560F4"/>
    <w:rsid w:val="00556D23"/>
    <w:rsid w:val="0055798A"/>
    <w:rsid w:val="0056124E"/>
    <w:rsid w:val="005645B4"/>
    <w:rsid w:val="00565D07"/>
    <w:rsid w:val="00567F52"/>
    <w:rsid w:val="005742BC"/>
    <w:rsid w:val="00575C43"/>
    <w:rsid w:val="00575F6B"/>
    <w:rsid w:val="005763A5"/>
    <w:rsid w:val="00577146"/>
    <w:rsid w:val="00577EAC"/>
    <w:rsid w:val="0058447F"/>
    <w:rsid w:val="00587893"/>
    <w:rsid w:val="00593150"/>
    <w:rsid w:val="00596181"/>
    <w:rsid w:val="005A02AE"/>
    <w:rsid w:val="005A2C4C"/>
    <w:rsid w:val="005A3A16"/>
    <w:rsid w:val="005A594D"/>
    <w:rsid w:val="005B010F"/>
    <w:rsid w:val="005B0E8C"/>
    <w:rsid w:val="005B257E"/>
    <w:rsid w:val="005B2C5B"/>
    <w:rsid w:val="005B768A"/>
    <w:rsid w:val="005B7E23"/>
    <w:rsid w:val="005C0337"/>
    <w:rsid w:val="005C11B1"/>
    <w:rsid w:val="005C15AC"/>
    <w:rsid w:val="005C1820"/>
    <w:rsid w:val="005C40DC"/>
    <w:rsid w:val="005D0C18"/>
    <w:rsid w:val="005D4D6C"/>
    <w:rsid w:val="005D5CE4"/>
    <w:rsid w:val="005D64FE"/>
    <w:rsid w:val="005D6FDD"/>
    <w:rsid w:val="005E26DE"/>
    <w:rsid w:val="005E2D80"/>
    <w:rsid w:val="005E6A6C"/>
    <w:rsid w:val="005F091D"/>
    <w:rsid w:val="005F10AD"/>
    <w:rsid w:val="005F710F"/>
    <w:rsid w:val="005F7E66"/>
    <w:rsid w:val="00601473"/>
    <w:rsid w:val="00601BCB"/>
    <w:rsid w:val="006027E7"/>
    <w:rsid w:val="00603DB8"/>
    <w:rsid w:val="00605E44"/>
    <w:rsid w:val="00607491"/>
    <w:rsid w:val="00610725"/>
    <w:rsid w:val="006129C2"/>
    <w:rsid w:val="0062368F"/>
    <w:rsid w:val="00627DDA"/>
    <w:rsid w:val="006311F8"/>
    <w:rsid w:val="00632EC0"/>
    <w:rsid w:val="006330B7"/>
    <w:rsid w:val="00634217"/>
    <w:rsid w:val="00634D87"/>
    <w:rsid w:val="00635118"/>
    <w:rsid w:val="006358B5"/>
    <w:rsid w:val="006376E4"/>
    <w:rsid w:val="0064079A"/>
    <w:rsid w:val="00643AF6"/>
    <w:rsid w:val="00644F5B"/>
    <w:rsid w:val="00645D53"/>
    <w:rsid w:val="006460A7"/>
    <w:rsid w:val="006535B1"/>
    <w:rsid w:val="00660428"/>
    <w:rsid w:val="0066455A"/>
    <w:rsid w:val="00664F3A"/>
    <w:rsid w:val="0066647C"/>
    <w:rsid w:val="00680767"/>
    <w:rsid w:val="00682718"/>
    <w:rsid w:val="00682C4C"/>
    <w:rsid w:val="00684443"/>
    <w:rsid w:val="0068653E"/>
    <w:rsid w:val="00687FD3"/>
    <w:rsid w:val="00690A69"/>
    <w:rsid w:val="00690C1E"/>
    <w:rsid w:val="006925A1"/>
    <w:rsid w:val="006979B0"/>
    <w:rsid w:val="006A31C3"/>
    <w:rsid w:val="006B0896"/>
    <w:rsid w:val="006B1C85"/>
    <w:rsid w:val="006C14B9"/>
    <w:rsid w:val="006C49F0"/>
    <w:rsid w:val="006D1C09"/>
    <w:rsid w:val="006D2E96"/>
    <w:rsid w:val="006D42CE"/>
    <w:rsid w:val="006D4540"/>
    <w:rsid w:val="006D5105"/>
    <w:rsid w:val="006E17DF"/>
    <w:rsid w:val="006F07C0"/>
    <w:rsid w:val="006F15D5"/>
    <w:rsid w:val="006F1DE6"/>
    <w:rsid w:val="006F229C"/>
    <w:rsid w:val="006F23ED"/>
    <w:rsid w:val="006F6AB1"/>
    <w:rsid w:val="006F7869"/>
    <w:rsid w:val="006F7985"/>
    <w:rsid w:val="007003EF"/>
    <w:rsid w:val="007008E2"/>
    <w:rsid w:val="00701C32"/>
    <w:rsid w:val="00703B43"/>
    <w:rsid w:val="007061FF"/>
    <w:rsid w:val="007108BA"/>
    <w:rsid w:val="00710AD4"/>
    <w:rsid w:val="0071515F"/>
    <w:rsid w:val="007162A2"/>
    <w:rsid w:val="00716B91"/>
    <w:rsid w:val="0071726D"/>
    <w:rsid w:val="00717CD7"/>
    <w:rsid w:val="00717FBB"/>
    <w:rsid w:val="00720DA7"/>
    <w:rsid w:val="00721BC3"/>
    <w:rsid w:val="007244AE"/>
    <w:rsid w:val="0072708B"/>
    <w:rsid w:val="00730711"/>
    <w:rsid w:val="007319EF"/>
    <w:rsid w:val="00733708"/>
    <w:rsid w:val="0073539C"/>
    <w:rsid w:val="00735EAC"/>
    <w:rsid w:val="00736F66"/>
    <w:rsid w:val="00737024"/>
    <w:rsid w:val="00737CAE"/>
    <w:rsid w:val="00737F5C"/>
    <w:rsid w:val="00741DB4"/>
    <w:rsid w:val="00741FB9"/>
    <w:rsid w:val="007424FA"/>
    <w:rsid w:val="00744572"/>
    <w:rsid w:val="00745739"/>
    <w:rsid w:val="0075209E"/>
    <w:rsid w:val="00752814"/>
    <w:rsid w:val="007546F7"/>
    <w:rsid w:val="00755142"/>
    <w:rsid w:val="007558A6"/>
    <w:rsid w:val="007565F4"/>
    <w:rsid w:val="007601BE"/>
    <w:rsid w:val="00761D15"/>
    <w:rsid w:val="00763FA0"/>
    <w:rsid w:val="00764D2C"/>
    <w:rsid w:val="00766B59"/>
    <w:rsid w:val="00770104"/>
    <w:rsid w:val="00771982"/>
    <w:rsid w:val="007819A5"/>
    <w:rsid w:val="007829C5"/>
    <w:rsid w:val="00782EAB"/>
    <w:rsid w:val="00784B4C"/>
    <w:rsid w:val="00787534"/>
    <w:rsid w:val="007875AD"/>
    <w:rsid w:val="007910BA"/>
    <w:rsid w:val="0079374A"/>
    <w:rsid w:val="00794BC7"/>
    <w:rsid w:val="007968BB"/>
    <w:rsid w:val="00796E31"/>
    <w:rsid w:val="007A21C2"/>
    <w:rsid w:val="007A4D9B"/>
    <w:rsid w:val="007A664F"/>
    <w:rsid w:val="007A7F50"/>
    <w:rsid w:val="007B0817"/>
    <w:rsid w:val="007B105E"/>
    <w:rsid w:val="007B380A"/>
    <w:rsid w:val="007B3CC0"/>
    <w:rsid w:val="007B6024"/>
    <w:rsid w:val="007B7066"/>
    <w:rsid w:val="007C5BAA"/>
    <w:rsid w:val="007C5EB5"/>
    <w:rsid w:val="007C66A6"/>
    <w:rsid w:val="007C75D5"/>
    <w:rsid w:val="007C7EE2"/>
    <w:rsid w:val="007D05F1"/>
    <w:rsid w:val="007D26C6"/>
    <w:rsid w:val="007D276A"/>
    <w:rsid w:val="007D3C6D"/>
    <w:rsid w:val="007E1F5A"/>
    <w:rsid w:val="007E2357"/>
    <w:rsid w:val="007E308B"/>
    <w:rsid w:val="007E3368"/>
    <w:rsid w:val="007E3B03"/>
    <w:rsid w:val="007F088E"/>
    <w:rsid w:val="007F15D8"/>
    <w:rsid w:val="007F41BB"/>
    <w:rsid w:val="007F628E"/>
    <w:rsid w:val="007F79C1"/>
    <w:rsid w:val="00801F09"/>
    <w:rsid w:val="00805E2E"/>
    <w:rsid w:val="00814E4B"/>
    <w:rsid w:val="0081500A"/>
    <w:rsid w:val="00816348"/>
    <w:rsid w:val="00823B71"/>
    <w:rsid w:val="008246AA"/>
    <w:rsid w:val="00824B10"/>
    <w:rsid w:val="008278D2"/>
    <w:rsid w:val="00830030"/>
    <w:rsid w:val="00832929"/>
    <w:rsid w:val="00835D30"/>
    <w:rsid w:val="0083721D"/>
    <w:rsid w:val="00842071"/>
    <w:rsid w:val="00842F4F"/>
    <w:rsid w:val="008438A3"/>
    <w:rsid w:val="00843AD2"/>
    <w:rsid w:val="00844E36"/>
    <w:rsid w:val="00847242"/>
    <w:rsid w:val="008513DC"/>
    <w:rsid w:val="008572A5"/>
    <w:rsid w:val="00857982"/>
    <w:rsid w:val="008649FD"/>
    <w:rsid w:val="0086660D"/>
    <w:rsid w:val="00871222"/>
    <w:rsid w:val="00872068"/>
    <w:rsid w:val="00872DD2"/>
    <w:rsid w:val="0087368A"/>
    <w:rsid w:val="00880392"/>
    <w:rsid w:val="008815AC"/>
    <w:rsid w:val="0088209F"/>
    <w:rsid w:val="008844BD"/>
    <w:rsid w:val="008848E6"/>
    <w:rsid w:val="008901B0"/>
    <w:rsid w:val="00890240"/>
    <w:rsid w:val="00891FF3"/>
    <w:rsid w:val="00893012"/>
    <w:rsid w:val="0089342B"/>
    <w:rsid w:val="00897AE1"/>
    <w:rsid w:val="008A11D5"/>
    <w:rsid w:val="008A13A3"/>
    <w:rsid w:val="008A4B26"/>
    <w:rsid w:val="008B12CB"/>
    <w:rsid w:val="008B33A3"/>
    <w:rsid w:val="008B5252"/>
    <w:rsid w:val="008C2EEC"/>
    <w:rsid w:val="008C5393"/>
    <w:rsid w:val="008D0501"/>
    <w:rsid w:val="008D2178"/>
    <w:rsid w:val="008D2E93"/>
    <w:rsid w:val="008D3063"/>
    <w:rsid w:val="008D4B31"/>
    <w:rsid w:val="008E1552"/>
    <w:rsid w:val="008E261D"/>
    <w:rsid w:val="008E286E"/>
    <w:rsid w:val="008E2DDF"/>
    <w:rsid w:val="008E51A8"/>
    <w:rsid w:val="008E7D8F"/>
    <w:rsid w:val="008F0D8F"/>
    <w:rsid w:val="008F134C"/>
    <w:rsid w:val="008F5260"/>
    <w:rsid w:val="008F558D"/>
    <w:rsid w:val="008F585F"/>
    <w:rsid w:val="008F6109"/>
    <w:rsid w:val="008F6813"/>
    <w:rsid w:val="008F70AF"/>
    <w:rsid w:val="0090203F"/>
    <w:rsid w:val="009028E0"/>
    <w:rsid w:val="00903C79"/>
    <w:rsid w:val="0090505D"/>
    <w:rsid w:val="00907462"/>
    <w:rsid w:val="009076E0"/>
    <w:rsid w:val="009136C9"/>
    <w:rsid w:val="00913873"/>
    <w:rsid w:val="00916767"/>
    <w:rsid w:val="0092346F"/>
    <w:rsid w:val="00924418"/>
    <w:rsid w:val="00930675"/>
    <w:rsid w:val="0093070B"/>
    <w:rsid w:val="009325C2"/>
    <w:rsid w:val="00940F40"/>
    <w:rsid w:val="00942E8A"/>
    <w:rsid w:val="00942EAC"/>
    <w:rsid w:val="00944F99"/>
    <w:rsid w:val="00944FAA"/>
    <w:rsid w:val="009520F3"/>
    <w:rsid w:val="00952DC1"/>
    <w:rsid w:val="00954EC9"/>
    <w:rsid w:val="00960DD6"/>
    <w:rsid w:val="00961CD4"/>
    <w:rsid w:val="009668EE"/>
    <w:rsid w:val="009747AD"/>
    <w:rsid w:val="00976AE8"/>
    <w:rsid w:val="00977818"/>
    <w:rsid w:val="009866C2"/>
    <w:rsid w:val="00987D24"/>
    <w:rsid w:val="0099136C"/>
    <w:rsid w:val="009915A3"/>
    <w:rsid w:val="00991884"/>
    <w:rsid w:val="00991894"/>
    <w:rsid w:val="00993493"/>
    <w:rsid w:val="009935EE"/>
    <w:rsid w:val="00994B06"/>
    <w:rsid w:val="00994DFE"/>
    <w:rsid w:val="00994F8E"/>
    <w:rsid w:val="0099670F"/>
    <w:rsid w:val="009A1E7F"/>
    <w:rsid w:val="009A36C0"/>
    <w:rsid w:val="009A4680"/>
    <w:rsid w:val="009A5CAB"/>
    <w:rsid w:val="009A6198"/>
    <w:rsid w:val="009A7E17"/>
    <w:rsid w:val="009B1173"/>
    <w:rsid w:val="009B35EB"/>
    <w:rsid w:val="009C2DC4"/>
    <w:rsid w:val="009C59F2"/>
    <w:rsid w:val="009D06FA"/>
    <w:rsid w:val="009D0A96"/>
    <w:rsid w:val="009D1EEA"/>
    <w:rsid w:val="009D2092"/>
    <w:rsid w:val="009D4A7F"/>
    <w:rsid w:val="009D69CE"/>
    <w:rsid w:val="009D7050"/>
    <w:rsid w:val="009E5933"/>
    <w:rsid w:val="009F1512"/>
    <w:rsid w:val="009F1B4B"/>
    <w:rsid w:val="009F449A"/>
    <w:rsid w:val="009F5CFA"/>
    <w:rsid w:val="009F6F7D"/>
    <w:rsid w:val="009F7ADB"/>
    <w:rsid w:val="009F7F82"/>
    <w:rsid w:val="00A003B1"/>
    <w:rsid w:val="00A0101D"/>
    <w:rsid w:val="00A01F5D"/>
    <w:rsid w:val="00A06752"/>
    <w:rsid w:val="00A10171"/>
    <w:rsid w:val="00A10CC8"/>
    <w:rsid w:val="00A110C7"/>
    <w:rsid w:val="00A14320"/>
    <w:rsid w:val="00A14C62"/>
    <w:rsid w:val="00A152B0"/>
    <w:rsid w:val="00A15A31"/>
    <w:rsid w:val="00A15B17"/>
    <w:rsid w:val="00A15E39"/>
    <w:rsid w:val="00A20B1E"/>
    <w:rsid w:val="00A218EE"/>
    <w:rsid w:val="00A27D70"/>
    <w:rsid w:val="00A309C9"/>
    <w:rsid w:val="00A311F7"/>
    <w:rsid w:val="00A41BCF"/>
    <w:rsid w:val="00A42803"/>
    <w:rsid w:val="00A44F4C"/>
    <w:rsid w:val="00A4684D"/>
    <w:rsid w:val="00A5198B"/>
    <w:rsid w:val="00A52CAA"/>
    <w:rsid w:val="00A53281"/>
    <w:rsid w:val="00A54B08"/>
    <w:rsid w:val="00A56971"/>
    <w:rsid w:val="00A57C27"/>
    <w:rsid w:val="00A60691"/>
    <w:rsid w:val="00A62D42"/>
    <w:rsid w:val="00A63169"/>
    <w:rsid w:val="00A63AD2"/>
    <w:rsid w:val="00A643BD"/>
    <w:rsid w:val="00A657D7"/>
    <w:rsid w:val="00A670A3"/>
    <w:rsid w:val="00A704D7"/>
    <w:rsid w:val="00A76B2B"/>
    <w:rsid w:val="00A76FEF"/>
    <w:rsid w:val="00A77212"/>
    <w:rsid w:val="00A9124D"/>
    <w:rsid w:val="00A912E2"/>
    <w:rsid w:val="00A93237"/>
    <w:rsid w:val="00A93A04"/>
    <w:rsid w:val="00A953D7"/>
    <w:rsid w:val="00A95D9A"/>
    <w:rsid w:val="00A95E4E"/>
    <w:rsid w:val="00A962D9"/>
    <w:rsid w:val="00A9638E"/>
    <w:rsid w:val="00A976CE"/>
    <w:rsid w:val="00AA156B"/>
    <w:rsid w:val="00AA2134"/>
    <w:rsid w:val="00AA30B8"/>
    <w:rsid w:val="00AA33A9"/>
    <w:rsid w:val="00AA4A7C"/>
    <w:rsid w:val="00AB0CF5"/>
    <w:rsid w:val="00AB199A"/>
    <w:rsid w:val="00AB1DE6"/>
    <w:rsid w:val="00AB3D06"/>
    <w:rsid w:val="00AB4E1B"/>
    <w:rsid w:val="00AB7A97"/>
    <w:rsid w:val="00AC0723"/>
    <w:rsid w:val="00AC0907"/>
    <w:rsid w:val="00AC18B8"/>
    <w:rsid w:val="00AC2711"/>
    <w:rsid w:val="00AC2C48"/>
    <w:rsid w:val="00AC560B"/>
    <w:rsid w:val="00AD0331"/>
    <w:rsid w:val="00AD2C42"/>
    <w:rsid w:val="00AD3C92"/>
    <w:rsid w:val="00AD4EF4"/>
    <w:rsid w:val="00AD5BC1"/>
    <w:rsid w:val="00AE0E10"/>
    <w:rsid w:val="00AE24C6"/>
    <w:rsid w:val="00AE468C"/>
    <w:rsid w:val="00AE69E4"/>
    <w:rsid w:val="00AE7443"/>
    <w:rsid w:val="00AE76A2"/>
    <w:rsid w:val="00AE7885"/>
    <w:rsid w:val="00AF11E0"/>
    <w:rsid w:val="00AF1A5C"/>
    <w:rsid w:val="00AF2EA0"/>
    <w:rsid w:val="00AF724C"/>
    <w:rsid w:val="00B01317"/>
    <w:rsid w:val="00B024A4"/>
    <w:rsid w:val="00B0379B"/>
    <w:rsid w:val="00B0497C"/>
    <w:rsid w:val="00B05C8C"/>
    <w:rsid w:val="00B07B5C"/>
    <w:rsid w:val="00B1045B"/>
    <w:rsid w:val="00B107DB"/>
    <w:rsid w:val="00B10A45"/>
    <w:rsid w:val="00B12BE9"/>
    <w:rsid w:val="00B1339E"/>
    <w:rsid w:val="00B13545"/>
    <w:rsid w:val="00B16BBC"/>
    <w:rsid w:val="00B22A39"/>
    <w:rsid w:val="00B2341F"/>
    <w:rsid w:val="00B23CE5"/>
    <w:rsid w:val="00B2426A"/>
    <w:rsid w:val="00B26BF1"/>
    <w:rsid w:val="00B30EEF"/>
    <w:rsid w:val="00B311D9"/>
    <w:rsid w:val="00B31609"/>
    <w:rsid w:val="00B3176B"/>
    <w:rsid w:val="00B32701"/>
    <w:rsid w:val="00B37C84"/>
    <w:rsid w:val="00B434A3"/>
    <w:rsid w:val="00B46DCB"/>
    <w:rsid w:val="00B47B68"/>
    <w:rsid w:val="00B5333E"/>
    <w:rsid w:val="00B61F18"/>
    <w:rsid w:val="00B63A49"/>
    <w:rsid w:val="00B672A9"/>
    <w:rsid w:val="00B714B0"/>
    <w:rsid w:val="00B71A71"/>
    <w:rsid w:val="00B725B6"/>
    <w:rsid w:val="00B72F21"/>
    <w:rsid w:val="00B730DC"/>
    <w:rsid w:val="00B75ADC"/>
    <w:rsid w:val="00B75B6E"/>
    <w:rsid w:val="00B76525"/>
    <w:rsid w:val="00B76C77"/>
    <w:rsid w:val="00B8076D"/>
    <w:rsid w:val="00B80EEA"/>
    <w:rsid w:val="00B824FD"/>
    <w:rsid w:val="00B86602"/>
    <w:rsid w:val="00B92006"/>
    <w:rsid w:val="00B92849"/>
    <w:rsid w:val="00B932EA"/>
    <w:rsid w:val="00B94A88"/>
    <w:rsid w:val="00B9677C"/>
    <w:rsid w:val="00B97428"/>
    <w:rsid w:val="00BA0AC5"/>
    <w:rsid w:val="00BA0FE8"/>
    <w:rsid w:val="00BA1FCC"/>
    <w:rsid w:val="00BA2D29"/>
    <w:rsid w:val="00BA62A2"/>
    <w:rsid w:val="00BB074E"/>
    <w:rsid w:val="00BB25BE"/>
    <w:rsid w:val="00BB369A"/>
    <w:rsid w:val="00BB6825"/>
    <w:rsid w:val="00BB7217"/>
    <w:rsid w:val="00BB7237"/>
    <w:rsid w:val="00BC1A2C"/>
    <w:rsid w:val="00BC2331"/>
    <w:rsid w:val="00BC2613"/>
    <w:rsid w:val="00BC4673"/>
    <w:rsid w:val="00BD01D5"/>
    <w:rsid w:val="00BD0A33"/>
    <w:rsid w:val="00BD4150"/>
    <w:rsid w:val="00BE2CFC"/>
    <w:rsid w:val="00BE6B70"/>
    <w:rsid w:val="00BE6D4E"/>
    <w:rsid w:val="00BE7FF5"/>
    <w:rsid w:val="00BF3588"/>
    <w:rsid w:val="00BF54E4"/>
    <w:rsid w:val="00C000DC"/>
    <w:rsid w:val="00C022FB"/>
    <w:rsid w:val="00C03935"/>
    <w:rsid w:val="00C05F7C"/>
    <w:rsid w:val="00C0627F"/>
    <w:rsid w:val="00C06657"/>
    <w:rsid w:val="00C06F96"/>
    <w:rsid w:val="00C11B06"/>
    <w:rsid w:val="00C12A9A"/>
    <w:rsid w:val="00C175B2"/>
    <w:rsid w:val="00C20823"/>
    <w:rsid w:val="00C22B1D"/>
    <w:rsid w:val="00C30381"/>
    <w:rsid w:val="00C32B8B"/>
    <w:rsid w:val="00C40465"/>
    <w:rsid w:val="00C4083E"/>
    <w:rsid w:val="00C42399"/>
    <w:rsid w:val="00C44EF6"/>
    <w:rsid w:val="00C47670"/>
    <w:rsid w:val="00C47FC5"/>
    <w:rsid w:val="00C50DB0"/>
    <w:rsid w:val="00C526E6"/>
    <w:rsid w:val="00C55D5C"/>
    <w:rsid w:val="00C622FD"/>
    <w:rsid w:val="00C6332D"/>
    <w:rsid w:val="00C64021"/>
    <w:rsid w:val="00C671D4"/>
    <w:rsid w:val="00C708B7"/>
    <w:rsid w:val="00C752A7"/>
    <w:rsid w:val="00C75691"/>
    <w:rsid w:val="00C75CB6"/>
    <w:rsid w:val="00C80074"/>
    <w:rsid w:val="00C80A1B"/>
    <w:rsid w:val="00C811D2"/>
    <w:rsid w:val="00C8366C"/>
    <w:rsid w:val="00C8494D"/>
    <w:rsid w:val="00C875BA"/>
    <w:rsid w:val="00C87DC6"/>
    <w:rsid w:val="00C87FA8"/>
    <w:rsid w:val="00C932DB"/>
    <w:rsid w:val="00C939D4"/>
    <w:rsid w:val="00C94562"/>
    <w:rsid w:val="00C950E1"/>
    <w:rsid w:val="00C95423"/>
    <w:rsid w:val="00C95783"/>
    <w:rsid w:val="00C97436"/>
    <w:rsid w:val="00C97839"/>
    <w:rsid w:val="00CA1B3C"/>
    <w:rsid w:val="00CA3B14"/>
    <w:rsid w:val="00CB11BE"/>
    <w:rsid w:val="00CB1BC9"/>
    <w:rsid w:val="00CB3B1A"/>
    <w:rsid w:val="00CB3F4C"/>
    <w:rsid w:val="00CB6BCD"/>
    <w:rsid w:val="00CB7872"/>
    <w:rsid w:val="00CC5D1C"/>
    <w:rsid w:val="00CC60FC"/>
    <w:rsid w:val="00CD2F5D"/>
    <w:rsid w:val="00CD4B19"/>
    <w:rsid w:val="00CD5361"/>
    <w:rsid w:val="00CD71ED"/>
    <w:rsid w:val="00CE1401"/>
    <w:rsid w:val="00CE2858"/>
    <w:rsid w:val="00CE536A"/>
    <w:rsid w:val="00CE550C"/>
    <w:rsid w:val="00CE7882"/>
    <w:rsid w:val="00CE7A48"/>
    <w:rsid w:val="00CF306A"/>
    <w:rsid w:val="00CF44C0"/>
    <w:rsid w:val="00D01137"/>
    <w:rsid w:val="00D0138D"/>
    <w:rsid w:val="00D01D88"/>
    <w:rsid w:val="00D052F7"/>
    <w:rsid w:val="00D053BF"/>
    <w:rsid w:val="00D06765"/>
    <w:rsid w:val="00D1353F"/>
    <w:rsid w:val="00D16A82"/>
    <w:rsid w:val="00D2447C"/>
    <w:rsid w:val="00D267EF"/>
    <w:rsid w:val="00D26FCE"/>
    <w:rsid w:val="00D27141"/>
    <w:rsid w:val="00D27709"/>
    <w:rsid w:val="00D313F6"/>
    <w:rsid w:val="00D3374D"/>
    <w:rsid w:val="00D36752"/>
    <w:rsid w:val="00D46413"/>
    <w:rsid w:val="00D47717"/>
    <w:rsid w:val="00D47E81"/>
    <w:rsid w:val="00D51804"/>
    <w:rsid w:val="00D521BF"/>
    <w:rsid w:val="00D52C14"/>
    <w:rsid w:val="00D5410E"/>
    <w:rsid w:val="00D54C9B"/>
    <w:rsid w:val="00D55B8C"/>
    <w:rsid w:val="00D5790E"/>
    <w:rsid w:val="00D57B34"/>
    <w:rsid w:val="00D60048"/>
    <w:rsid w:val="00D6200A"/>
    <w:rsid w:val="00D62D4E"/>
    <w:rsid w:val="00D6304E"/>
    <w:rsid w:val="00D702D6"/>
    <w:rsid w:val="00D70DB4"/>
    <w:rsid w:val="00D717B9"/>
    <w:rsid w:val="00D748F7"/>
    <w:rsid w:val="00D758D8"/>
    <w:rsid w:val="00D76942"/>
    <w:rsid w:val="00D80F75"/>
    <w:rsid w:val="00D834EE"/>
    <w:rsid w:val="00D85262"/>
    <w:rsid w:val="00D85530"/>
    <w:rsid w:val="00D86EC7"/>
    <w:rsid w:val="00D87FAA"/>
    <w:rsid w:val="00DA0BEA"/>
    <w:rsid w:val="00DA0C8A"/>
    <w:rsid w:val="00DA1890"/>
    <w:rsid w:val="00DA372C"/>
    <w:rsid w:val="00DA60D0"/>
    <w:rsid w:val="00DA74CD"/>
    <w:rsid w:val="00DA7715"/>
    <w:rsid w:val="00DA7AF6"/>
    <w:rsid w:val="00DB2A03"/>
    <w:rsid w:val="00DB423D"/>
    <w:rsid w:val="00DB5E72"/>
    <w:rsid w:val="00DB6304"/>
    <w:rsid w:val="00DC04EC"/>
    <w:rsid w:val="00DC053A"/>
    <w:rsid w:val="00DC3A56"/>
    <w:rsid w:val="00DC3EB3"/>
    <w:rsid w:val="00DC4178"/>
    <w:rsid w:val="00DC6EB5"/>
    <w:rsid w:val="00DC76CC"/>
    <w:rsid w:val="00DD1847"/>
    <w:rsid w:val="00DD22F2"/>
    <w:rsid w:val="00DD362E"/>
    <w:rsid w:val="00DD790D"/>
    <w:rsid w:val="00DD7E5E"/>
    <w:rsid w:val="00DE1D18"/>
    <w:rsid w:val="00DF04F4"/>
    <w:rsid w:val="00DF507D"/>
    <w:rsid w:val="00DF60DD"/>
    <w:rsid w:val="00E045B6"/>
    <w:rsid w:val="00E07A4D"/>
    <w:rsid w:val="00E202F0"/>
    <w:rsid w:val="00E21685"/>
    <w:rsid w:val="00E21754"/>
    <w:rsid w:val="00E221EB"/>
    <w:rsid w:val="00E23838"/>
    <w:rsid w:val="00E25CA5"/>
    <w:rsid w:val="00E400CE"/>
    <w:rsid w:val="00E40A40"/>
    <w:rsid w:val="00E424AB"/>
    <w:rsid w:val="00E47BC7"/>
    <w:rsid w:val="00E50A6F"/>
    <w:rsid w:val="00E524DE"/>
    <w:rsid w:val="00E52DCB"/>
    <w:rsid w:val="00E543CF"/>
    <w:rsid w:val="00E56E4E"/>
    <w:rsid w:val="00E62AA3"/>
    <w:rsid w:val="00E62EB3"/>
    <w:rsid w:val="00E65965"/>
    <w:rsid w:val="00E66950"/>
    <w:rsid w:val="00E67A4B"/>
    <w:rsid w:val="00E73AC1"/>
    <w:rsid w:val="00E74F4E"/>
    <w:rsid w:val="00E75690"/>
    <w:rsid w:val="00E75D57"/>
    <w:rsid w:val="00E777CA"/>
    <w:rsid w:val="00E77EBC"/>
    <w:rsid w:val="00E85DDB"/>
    <w:rsid w:val="00E863E0"/>
    <w:rsid w:val="00E9278B"/>
    <w:rsid w:val="00E9305F"/>
    <w:rsid w:val="00E93F4A"/>
    <w:rsid w:val="00E96B20"/>
    <w:rsid w:val="00EA03ED"/>
    <w:rsid w:val="00EA058F"/>
    <w:rsid w:val="00EA1CCF"/>
    <w:rsid w:val="00EA1FBC"/>
    <w:rsid w:val="00EA265C"/>
    <w:rsid w:val="00EA2D2D"/>
    <w:rsid w:val="00EA4651"/>
    <w:rsid w:val="00EA6849"/>
    <w:rsid w:val="00EA7093"/>
    <w:rsid w:val="00EA76AA"/>
    <w:rsid w:val="00EB06F6"/>
    <w:rsid w:val="00EB1392"/>
    <w:rsid w:val="00EB179B"/>
    <w:rsid w:val="00EB21ED"/>
    <w:rsid w:val="00EB3506"/>
    <w:rsid w:val="00EB6C65"/>
    <w:rsid w:val="00EB7BD7"/>
    <w:rsid w:val="00EB7C77"/>
    <w:rsid w:val="00EC38AF"/>
    <w:rsid w:val="00EC7E4C"/>
    <w:rsid w:val="00ED0745"/>
    <w:rsid w:val="00ED5B65"/>
    <w:rsid w:val="00ED6143"/>
    <w:rsid w:val="00ED7065"/>
    <w:rsid w:val="00ED733A"/>
    <w:rsid w:val="00EE03AD"/>
    <w:rsid w:val="00EE591E"/>
    <w:rsid w:val="00EE6726"/>
    <w:rsid w:val="00EF10B0"/>
    <w:rsid w:val="00EF1375"/>
    <w:rsid w:val="00F01CAB"/>
    <w:rsid w:val="00F03770"/>
    <w:rsid w:val="00F04D84"/>
    <w:rsid w:val="00F0579C"/>
    <w:rsid w:val="00F1174D"/>
    <w:rsid w:val="00F146F5"/>
    <w:rsid w:val="00F163DD"/>
    <w:rsid w:val="00F166A3"/>
    <w:rsid w:val="00F22CBB"/>
    <w:rsid w:val="00F22E7B"/>
    <w:rsid w:val="00F23BA9"/>
    <w:rsid w:val="00F2548E"/>
    <w:rsid w:val="00F268B2"/>
    <w:rsid w:val="00F27685"/>
    <w:rsid w:val="00F309AE"/>
    <w:rsid w:val="00F313AF"/>
    <w:rsid w:val="00F35ACC"/>
    <w:rsid w:val="00F35D72"/>
    <w:rsid w:val="00F37D87"/>
    <w:rsid w:val="00F4018D"/>
    <w:rsid w:val="00F55724"/>
    <w:rsid w:val="00F563CB"/>
    <w:rsid w:val="00F57490"/>
    <w:rsid w:val="00F603A9"/>
    <w:rsid w:val="00F6072B"/>
    <w:rsid w:val="00F655FA"/>
    <w:rsid w:val="00F72273"/>
    <w:rsid w:val="00F73280"/>
    <w:rsid w:val="00F73E15"/>
    <w:rsid w:val="00F74AA2"/>
    <w:rsid w:val="00F7656D"/>
    <w:rsid w:val="00F81077"/>
    <w:rsid w:val="00F82D55"/>
    <w:rsid w:val="00F84494"/>
    <w:rsid w:val="00F844FA"/>
    <w:rsid w:val="00F84DA3"/>
    <w:rsid w:val="00F85260"/>
    <w:rsid w:val="00F8618E"/>
    <w:rsid w:val="00F871D5"/>
    <w:rsid w:val="00F90346"/>
    <w:rsid w:val="00F92EAE"/>
    <w:rsid w:val="00F941E3"/>
    <w:rsid w:val="00F957A6"/>
    <w:rsid w:val="00F9702C"/>
    <w:rsid w:val="00FA3651"/>
    <w:rsid w:val="00FA4DBD"/>
    <w:rsid w:val="00FB0828"/>
    <w:rsid w:val="00FB1430"/>
    <w:rsid w:val="00FB2448"/>
    <w:rsid w:val="00FB25FA"/>
    <w:rsid w:val="00FB458F"/>
    <w:rsid w:val="00FB704E"/>
    <w:rsid w:val="00FC13DF"/>
    <w:rsid w:val="00FC1E15"/>
    <w:rsid w:val="00FC2CCA"/>
    <w:rsid w:val="00FC3976"/>
    <w:rsid w:val="00FC6196"/>
    <w:rsid w:val="00FC790E"/>
    <w:rsid w:val="00FC7C7C"/>
    <w:rsid w:val="00FD2FAD"/>
    <w:rsid w:val="00FD4287"/>
    <w:rsid w:val="00FD480C"/>
    <w:rsid w:val="00FD4DB0"/>
    <w:rsid w:val="00FD6495"/>
    <w:rsid w:val="00FD70E0"/>
    <w:rsid w:val="00FE14CB"/>
    <w:rsid w:val="00FE19B6"/>
    <w:rsid w:val="00FE4F7E"/>
    <w:rsid w:val="00FE5D8E"/>
    <w:rsid w:val="00FE6B23"/>
    <w:rsid w:val="00FF01DF"/>
    <w:rsid w:val="00FF5C4F"/>
    <w:rsid w:val="00FF72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64823"/>
  <w15:docId w15:val="{D6F4DA43-1B1D-475E-BE3D-1DB94A522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GB"/>
    </w:rPr>
  </w:style>
  <w:style w:type="paragraph" w:styleId="1">
    <w:name w:val="heading 1"/>
    <w:basedOn w:val="a"/>
    <w:link w:val="10"/>
    <w:uiPriority w:val="9"/>
    <w:qFormat/>
    <w:rsid w:val="00D717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C55D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62D9"/>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8494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ord">
    <w:name w:val="word"/>
    <w:basedOn w:val="a0"/>
    <w:rsid w:val="00F82D55"/>
  </w:style>
  <w:style w:type="paragraph" w:styleId="a3">
    <w:name w:val="Balloon Text"/>
    <w:basedOn w:val="a"/>
    <w:link w:val="a4"/>
    <w:uiPriority w:val="99"/>
    <w:semiHidden/>
    <w:unhideWhenUsed/>
    <w:rsid w:val="00C47670"/>
    <w:pPr>
      <w:spacing w:after="0" w:line="240" w:lineRule="auto"/>
    </w:pPr>
    <w:rPr>
      <w:rFonts w:ascii="Tahoma" w:hAnsi="Tahoma" w:cs="Tahoma"/>
      <w:sz w:val="16"/>
      <w:szCs w:val="16"/>
    </w:rPr>
  </w:style>
  <w:style w:type="character" w:customStyle="1" w:styleId="a4">
    <w:name w:val="註解方塊文字 字元"/>
    <w:basedOn w:val="a0"/>
    <w:link w:val="a3"/>
    <w:uiPriority w:val="99"/>
    <w:semiHidden/>
    <w:rsid w:val="00C47670"/>
    <w:rPr>
      <w:rFonts w:ascii="Tahoma" w:hAnsi="Tahoma" w:cs="Tahoma"/>
      <w:sz w:val="16"/>
      <w:szCs w:val="16"/>
    </w:rPr>
  </w:style>
  <w:style w:type="character" w:customStyle="1" w:styleId="A7">
    <w:name w:val="A7"/>
    <w:uiPriority w:val="99"/>
    <w:rsid w:val="00C47670"/>
    <w:rPr>
      <w:color w:val="000000"/>
      <w:sz w:val="11"/>
      <w:szCs w:val="11"/>
    </w:rPr>
  </w:style>
  <w:style w:type="paragraph" w:customStyle="1" w:styleId="Pa10">
    <w:name w:val="Pa10"/>
    <w:basedOn w:val="Default"/>
    <w:next w:val="Default"/>
    <w:uiPriority w:val="99"/>
    <w:rsid w:val="00B07B5C"/>
    <w:pPr>
      <w:spacing w:line="201" w:lineRule="atLeast"/>
    </w:pPr>
    <w:rPr>
      <w:color w:val="auto"/>
    </w:rPr>
  </w:style>
  <w:style w:type="character" w:customStyle="1" w:styleId="A8">
    <w:name w:val="A8"/>
    <w:uiPriority w:val="99"/>
    <w:rsid w:val="00B07B5C"/>
    <w:rPr>
      <w:color w:val="000000"/>
      <w:sz w:val="11"/>
      <w:szCs w:val="11"/>
    </w:rPr>
  </w:style>
  <w:style w:type="character" w:styleId="a5">
    <w:name w:val="Placeholder Text"/>
    <w:basedOn w:val="a0"/>
    <w:uiPriority w:val="99"/>
    <w:semiHidden/>
    <w:rsid w:val="00AA33A9"/>
    <w:rPr>
      <w:color w:val="808080"/>
    </w:rPr>
  </w:style>
  <w:style w:type="paragraph" w:styleId="a6">
    <w:name w:val="List Paragraph"/>
    <w:basedOn w:val="a"/>
    <w:uiPriority w:val="34"/>
    <w:qFormat/>
    <w:rsid w:val="00354525"/>
    <w:pPr>
      <w:ind w:left="720"/>
      <w:contextualSpacing/>
    </w:pPr>
  </w:style>
  <w:style w:type="table" w:styleId="a9">
    <w:name w:val="Table Grid"/>
    <w:basedOn w:val="a1"/>
    <w:uiPriority w:val="59"/>
    <w:rsid w:val="00490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961CD4"/>
    <w:rPr>
      <w:b/>
      <w:bCs/>
    </w:rPr>
  </w:style>
  <w:style w:type="table" w:styleId="ab">
    <w:name w:val="Light List"/>
    <w:basedOn w:val="a1"/>
    <w:uiPriority w:val="61"/>
    <w:rsid w:val="0075281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c">
    <w:name w:val="Hyperlink"/>
    <w:basedOn w:val="a0"/>
    <w:uiPriority w:val="99"/>
    <w:unhideWhenUsed/>
    <w:rsid w:val="00CE7A48"/>
    <w:rPr>
      <w:color w:val="0000FF" w:themeColor="hyperlink"/>
      <w:u w:val="single"/>
    </w:rPr>
  </w:style>
  <w:style w:type="character" w:customStyle="1" w:styleId="10">
    <w:name w:val="標題 1 字元"/>
    <w:basedOn w:val="a0"/>
    <w:link w:val="1"/>
    <w:uiPriority w:val="9"/>
    <w:rsid w:val="00D717B9"/>
    <w:rPr>
      <w:rFonts w:ascii="Times New Roman" w:eastAsia="Times New Roman" w:hAnsi="Times New Roman" w:cs="Times New Roman"/>
      <w:b/>
      <w:bCs/>
      <w:kern w:val="36"/>
      <w:sz w:val="48"/>
      <w:szCs w:val="48"/>
    </w:rPr>
  </w:style>
  <w:style w:type="character" w:customStyle="1" w:styleId="article-clienttype">
    <w:name w:val="article-client_type"/>
    <w:basedOn w:val="a0"/>
    <w:rsid w:val="00D717B9"/>
  </w:style>
  <w:style w:type="character" w:customStyle="1" w:styleId="pipe">
    <w:name w:val="pipe"/>
    <w:basedOn w:val="a0"/>
    <w:rsid w:val="00D717B9"/>
  </w:style>
  <w:style w:type="character" w:customStyle="1" w:styleId="article-date">
    <w:name w:val="article-date"/>
    <w:basedOn w:val="a0"/>
    <w:rsid w:val="00D717B9"/>
  </w:style>
  <w:style w:type="character" w:customStyle="1" w:styleId="20">
    <w:name w:val="標題 2 字元"/>
    <w:basedOn w:val="a0"/>
    <w:link w:val="2"/>
    <w:uiPriority w:val="9"/>
    <w:semiHidden/>
    <w:rsid w:val="00C55D5C"/>
    <w:rPr>
      <w:rFonts w:asciiTheme="majorHAnsi" w:eastAsiaTheme="majorEastAsia" w:hAnsiTheme="majorHAnsi" w:cstheme="majorBidi"/>
      <w:b/>
      <w:bCs/>
      <w:color w:val="4F81BD" w:themeColor="accent1"/>
      <w:sz w:val="26"/>
      <w:szCs w:val="26"/>
    </w:rPr>
  </w:style>
  <w:style w:type="paragraph" w:styleId="ad">
    <w:name w:val="header"/>
    <w:basedOn w:val="a"/>
    <w:link w:val="ae"/>
    <w:unhideWhenUsed/>
    <w:rsid w:val="007C75D5"/>
    <w:pPr>
      <w:tabs>
        <w:tab w:val="center" w:pos="4680"/>
        <w:tab w:val="right" w:pos="9360"/>
      </w:tabs>
      <w:spacing w:after="0" w:line="240" w:lineRule="auto"/>
    </w:pPr>
  </w:style>
  <w:style w:type="character" w:customStyle="1" w:styleId="ae">
    <w:name w:val="頁首 字元"/>
    <w:basedOn w:val="a0"/>
    <w:link w:val="ad"/>
    <w:rsid w:val="007C75D5"/>
  </w:style>
  <w:style w:type="paragraph" w:styleId="af">
    <w:name w:val="footer"/>
    <w:basedOn w:val="a"/>
    <w:link w:val="af0"/>
    <w:uiPriority w:val="99"/>
    <w:unhideWhenUsed/>
    <w:rsid w:val="007C75D5"/>
    <w:pPr>
      <w:tabs>
        <w:tab w:val="center" w:pos="4680"/>
        <w:tab w:val="right" w:pos="9360"/>
      </w:tabs>
      <w:spacing w:after="0" w:line="240" w:lineRule="auto"/>
    </w:pPr>
  </w:style>
  <w:style w:type="character" w:customStyle="1" w:styleId="af0">
    <w:name w:val="頁尾 字元"/>
    <w:basedOn w:val="a0"/>
    <w:link w:val="af"/>
    <w:uiPriority w:val="99"/>
    <w:rsid w:val="007C75D5"/>
  </w:style>
  <w:style w:type="character" w:styleId="af1">
    <w:name w:val="annotation reference"/>
    <w:basedOn w:val="a0"/>
    <w:uiPriority w:val="99"/>
    <w:semiHidden/>
    <w:unhideWhenUsed/>
    <w:rsid w:val="00A27D70"/>
    <w:rPr>
      <w:sz w:val="16"/>
      <w:szCs w:val="16"/>
    </w:rPr>
  </w:style>
  <w:style w:type="paragraph" w:styleId="af2">
    <w:name w:val="annotation text"/>
    <w:basedOn w:val="a"/>
    <w:link w:val="af3"/>
    <w:uiPriority w:val="99"/>
    <w:semiHidden/>
    <w:unhideWhenUsed/>
    <w:rsid w:val="00A27D70"/>
    <w:pPr>
      <w:spacing w:line="240" w:lineRule="auto"/>
    </w:pPr>
    <w:rPr>
      <w:sz w:val="20"/>
      <w:szCs w:val="20"/>
    </w:rPr>
  </w:style>
  <w:style w:type="character" w:customStyle="1" w:styleId="af3">
    <w:name w:val="註解文字 字元"/>
    <w:basedOn w:val="a0"/>
    <w:link w:val="af2"/>
    <w:uiPriority w:val="99"/>
    <w:semiHidden/>
    <w:rsid w:val="00A27D70"/>
    <w:rPr>
      <w:sz w:val="20"/>
      <w:szCs w:val="20"/>
      <w:lang w:val="en-GB"/>
    </w:rPr>
  </w:style>
  <w:style w:type="paragraph" w:styleId="af4">
    <w:name w:val="annotation subject"/>
    <w:basedOn w:val="af2"/>
    <w:next w:val="af2"/>
    <w:link w:val="af5"/>
    <w:uiPriority w:val="99"/>
    <w:semiHidden/>
    <w:unhideWhenUsed/>
    <w:rsid w:val="00A27D70"/>
    <w:rPr>
      <w:b/>
      <w:bCs/>
    </w:rPr>
  </w:style>
  <w:style w:type="character" w:customStyle="1" w:styleId="af5">
    <w:name w:val="註解主旨 字元"/>
    <w:basedOn w:val="af3"/>
    <w:link w:val="af4"/>
    <w:uiPriority w:val="99"/>
    <w:semiHidden/>
    <w:rsid w:val="00A27D70"/>
    <w:rPr>
      <w:b/>
      <w:bCs/>
      <w:sz w:val="20"/>
      <w:szCs w:val="20"/>
      <w:lang w:val="en-GB"/>
    </w:rPr>
  </w:style>
  <w:style w:type="character" w:customStyle="1" w:styleId="A20">
    <w:name w:val="A2"/>
    <w:uiPriority w:val="99"/>
    <w:rsid w:val="00BE7FF5"/>
    <w:rPr>
      <w:b/>
      <w:bCs/>
      <w:color w:val="000000"/>
      <w:sz w:val="18"/>
      <w:szCs w:val="18"/>
    </w:rPr>
  </w:style>
  <w:style w:type="character" w:customStyle="1" w:styleId="title-text">
    <w:name w:val="title-text"/>
    <w:basedOn w:val="a0"/>
    <w:rsid w:val="00BE7FF5"/>
  </w:style>
  <w:style w:type="character" w:customStyle="1" w:styleId="text">
    <w:name w:val="text"/>
    <w:basedOn w:val="a0"/>
    <w:rsid w:val="00BE7FF5"/>
  </w:style>
  <w:style w:type="character" w:customStyle="1" w:styleId="val">
    <w:name w:val="val"/>
    <w:basedOn w:val="a0"/>
    <w:rsid w:val="00BE7FF5"/>
  </w:style>
  <w:style w:type="character" w:customStyle="1" w:styleId="al-author-delim">
    <w:name w:val="al-author-delim"/>
    <w:basedOn w:val="a0"/>
    <w:rsid w:val="00BE7FF5"/>
  </w:style>
  <w:style w:type="character" w:styleId="af6">
    <w:name w:val="Emphasis"/>
    <w:basedOn w:val="a0"/>
    <w:uiPriority w:val="20"/>
    <w:qFormat/>
    <w:rsid w:val="00BE7FF5"/>
    <w:rPr>
      <w:i/>
      <w:iCs/>
    </w:rPr>
  </w:style>
  <w:style w:type="paragraph" w:customStyle="1" w:styleId="Pa13">
    <w:name w:val="Pa13"/>
    <w:basedOn w:val="a"/>
    <w:next w:val="a"/>
    <w:uiPriority w:val="99"/>
    <w:rsid w:val="00E524DE"/>
    <w:pPr>
      <w:autoSpaceDE w:val="0"/>
      <w:autoSpaceDN w:val="0"/>
      <w:adjustRightInd w:val="0"/>
      <w:spacing w:after="0" w:line="201" w:lineRule="atLeast"/>
    </w:pPr>
    <w:rPr>
      <w:rFonts w:ascii="Times New Roman" w:hAnsi="Times New Roman" w:cs="Times New Roman"/>
      <w:sz w:val="24"/>
      <w:szCs w:val="24"/>
      <w:lang w:val="en-US"/>
    </w:rPr>
  </w:style>
  <w:style w:type="paragraph" w:styleId="af7">
    <w:name w:val="No Spacing"/>
    <w:uiPriority w:val="1"/>
    <w:qFormat/>
    <w:rsid w:val="00E96B20"/>
    <w:pPr>
      <w:spacing w:after="0" w:line="240" w:lineRule="auto"/>
    </w:pPr>
    <w:rPr>
      <w:lang w:val="en-GB"/>
    </w:rPr>
  </w:style>
  <w:style w:type="paragraph" w:styleId="af8">
    <w:name w:val="Revision"/>
    <w:hidden/>
    <w:uiPriority w:val="99"/>
    <w:semiHidden/>
    <w:rsid w:val="00C950E1"/>
    <w:pPr>
      <w:spacing w:after="0" w:line="240" w:lineRule="auto"/>
    </w:pPr>
    <w:rPr>
      <w:lang w:val="en-GB"/>
    </w:rPr>
  </w:style>
  <w:style w:type="character" w:customStyle="1" w:styleId="30">
    <w:name w:val="標題 3 字元"/>
    <w:basedOn w:val="a0"/>
    <w:link w:val="3"/>
    <w:uiPriority w:val="9"/>
    <w:semiHidden/>
    <w:rsid w:val="00A962D9"/>
    <w:rPr>
      <w:rFonts w:asciiTheme="majorHAnsi" w:eastAsiaTheme="majorEastAsia" w:hAnsiTheme="majorHAnsi" w:cstheme="majorBidi"/>
      <w:b/>
      <w:bCs/>
      <w:sz w:val="36"/>
      <w:szCs w:val="36"/>
      <w:lang w:val="en-GB"/>
    </w:rPr>
  </w:style>
  <w:style w:type="character" w:styleId="af9">
    <w:name w:val="Unresolved Mention"/>
    <w:basedOn w:val="a0"/>
    <w:uiPriority w:val="99"/>
    <w:semiHidden/>
    <w:unhideWhenUsed/>
    <w:rsid w:val="00B2426A"/>
    <w:rPr>
      <w:color w:val="605E5C"/>
      <w:shd w:val="clear" w:color="auto" w:fill="E1DFDD"/>
    </w:rPr>
  </w:style>
  <w:style w:type="character" w:styleId="afa">
    <w:name w:val="FollowedHyperlink"/>
    <w:basedOn w:val="a0"/>
    <w:uiPriority w:val="99"/>
    <w:semiHidden/>
    <w:unhideWhenUsed/>
    <w:rsid w:val="00A218EE"/>
    <w:rPr>
      <w:color w:val="800080" w:themeColor="followedHyperlink"/>
      <w:u w:val="single"/>
    </w:rPr>
  </w:style>
  <w:style w:type="character" w:styleId="afb">
    <w:name w:val="line number"/>
    <w:basedOn w:val="a0"/>
    <w:uiPriority w:val="99"/>
    <w:semiHidden/>
    <w:unhideWhenUsed/>
    <w:rsid w:val="00540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5745">
      <w:bodyDiv w:val="1"/>
      <w:marLeft w:val="0"/>
      <w:marRight w:val="0"/>
      <w:marTop w:val="0"/>
      <w:marBottom w:val="0"/>
      <w:divBdr>
        <w:top w:val="none" w:sz="0" w:space="0" w:color="auto"/>
        <w:left w:val="none" w:sz="0" w:space="0" w:color="auto"/>
        <w:bottom w:val="none" w:sz="0" w:space="0" w:color="auto"/>
        <w:right w:val="none" w:sz="0" w:space="0" w:color="auto"/>
      </w:divBdr>
    </w:div>
    <w:div w:id="89394413">
      <w:bodyDiv w:val="1"/>
      <w:marLeft w:val="0"/>
      <w:marRight w:val="0"/>
      <w:marTop w:val="0"/>
      <w:marBottom w:val="0"/>
      <w:divBdr>
        <w:top w:val="none" w:sz="0" w:space="0" w:color="auto"/>
        <w:left w:val="none" w:sz="0" w:space="0" w:color="auto"/>
        <w:bottom w:val="none" w:sz="0" w:space="0" w:color="auto"/>
        <w:right w:val="none" w:sz="0" w:space="0" w:color="auto"/>
      </w:divBdr>
    </w:div>
    <w:div w:id="110366028">
      <w:bodyDiv w:val="1"/>
      <w:marLeft w:val="0"/>
      <w:marRight w:val="0"/>
      <w:marTop w:val="0"/>
      <w:marBottom w:val="0"/>
      <w:divBdr>
        <w:top w:val="none" w:sz="0" w:space="0" w:color="auto"/>
        <w:left w:val="none" w:sz="0" w:space="0" w:color="auto"/>
        <w:bottom w:val="none" w:sz="0" w:space="0" w:color="auto"/>
        <w:right w:val="none" w:sz="0" w:space="0" w:color="auto"/>
      </w:divBdr>
    </w:div>
    <w:div w:id="278270140">
      <w:bodyDiv w:val="1"/>
      <w:marLeft w:val="0"/>
      <w:marRight w:val="0"/>
      <w:marTop w:val="0"/>
      <w:marBottom w:val="0"/>
      <w:divBdr>
        <w:top w:val="none" w:sz="0" w:space="0" w:color="auto"/>
        <w:left w:val="none" w:sz="0" w:space="0" w:color="auto"/>
        <w:bottom w:val="none" w:sz="0" w:space="0" w:color="auto"/>
        <w:right w:val="none" w:sz="0" w:space="0" w:color="auto"/>
      </w:divBdr>
    </w:div>
    <w:div w:id="290986887">
      <w:bodyDiv w:val="1"/>
      <w:marLeft w:val="0"/>
      <w:marRight w:val="0"/>
      <w:marTop w:val="0"/>
      <w:marBottom w:val="0"/>
      <w:divBdr>
        <w:top w:val="none" w:sz="0" w:space="0" w:color="auto"/>
        <w:left w:val="none" w:sz="0" w:space="0" w:color="auto"/>
        <w:bottom w:val="none" w:sz="0" w:space="0" w:color="auto"/>
        <w:right w:val="none" w:sz="0" w:space="0" w:color="auto"/>
      </w:divBdr>
    </w:div>
    <w:div w:id="356154200">
      <w:bodyDiv w:val="1"/>
      <w:marLeft w:val="0"/>
      <w:marRight w:val="0"/>
      <w:marTop w:val="0"/>
      <w:marBottom w:val="0"/>
      <w:divBdr>
        <w:top w:val="none" w:sz="0" w:space="0" w:color="auto"/>
        <w:left w:val="none" w:sz="0" w:space="0" w:color="auto"/>
        <w:bottom w:val="none" w:sz="0" w:space="0" w:color="auto"/>
        <w:right w:val="none" w:sz="0" w:space="0" w:color="auto"/>
      </w:divBdr>
    </w:div>
    <w:div w:id="376664909">
      <w:bodyDiv w:val="1"/>
      <w:marLeft w:val="0"/>
      <w:marRight w:val="0"/>
      <w:marTop w:val="0"/>
      <w:marBottom w:val="0"/>
      <w:divBdr>
        <w:top w:val="none" w:sz="0" w:space="0" w:color="auto"/>
        <w:left w:val="none" w:sz="0" w:space="0" w:color="auto"/>
        <w:bottom w:val="none" w:sz="0" w:space="0" w:color="auto"/>
        <w:right w:val="none" w:sz="0" w:space="0" w:color="auto"/>
      </w:divBdr>
    </w:div>
    <w:div w:id="387384718">
      <w:bodyDiv w:val="1"/>
      <w:marLeft w:val="0"/>
      <w:marRight w:val="0"/>
      <w:marTop w:val="0"/>
      <w:marBottom w:val="0"/>
      <w:divBdr>
        <w:top w:val="none" w:sz="0" w:space="0" w:color="auto"/>
        <w:left w:val="none" w:sz="0" w:space="0" w:color="auto"/>
        <w:bottom w:val="none" w:sz="0" w:space="0" w:color="auto"/>
        <w:right w:val="none" w:sz="0" w:space="0" w:color="auto"/>
      </w:divBdr>
    </w:div>
    <w:div w:id="397630905">
      <w:bodyDiv w:val="1"/>
      <w:marLeft w:val="0"/>
      <w:marRight w:val="0"/>
      <w:marTop w:val="0"/>
      <w:marBottom w:val="0"/>
      <w:divBdr>
        <w:top w:val="none" w:sz="0" w:space="0" w:color="auto"/>
        <w:left w:val="none" w:sz="0" w:space="0" w:color="auto"/>
        <w:bottom w:val="none" w:sz="0" w:space="0" w:color="auto"/>
        <w:right w:val="none" w:sz="0" w:space="0" w:color="auto"/>
      </w:divBdr>
    </w:div>
    <w:div w:id="461075259">
      <w:bodyDiv w:val="1"/>
      <w:marLeft w:val="0"/>
      <w:marRight w:val="0"/>
      <w:marTop w:val="0"/>
      <w:marBottom w:val="0"/>
      <w:divBdr>
        <w:top w:val="none" w:sz="0" w:space="0" w:color="auto"/>
        <w:left w:val="none" w:sz="0" w:space="0" w:color="auto"/>
        <w:bottom w:val="none" w:sz="0" w:space="0" w:color="auto"/>
        <w:right w:val="none" w:sz="0" w:space="0" w:color="auto"/>
      </w:divBdr>
    </w:div>
    <w:div w:id="471866578">
      <w:bodyDiv w:val="1"/>
      <w:marLeft w:val="0"/>
      <w:marRight w:val="0"/>
      <w:marTop w:val="0"/>
      <w:marBottom w:val="0"/>
      <w:divBdr>
        <w:top w:val="none" w:sz="0" w:space="0" w:color="auto"/>
        <w:left w:val="none" w:sz="0" w:space="0" w:color="auto"/>
        <w:bottom w:val="none" w:sz="0" w:space="0" w:color="auto"/>
        <w:right w:val="none" w:sz="0" w:space="0" w:color="auto"/>
      </w:divBdr>
    </w:div>
    <w:div w:id="487600566">
      <w:bodyDiv w:val="1"/>
      <w:marLeft w:val="0"/>
      <w:marRight w:val="0"/>
      <w:marTop w:val="0"/>
      <w:marBottom w:val="0"/>
      <w:divBdr>
        <w:top w:val="none" w:sz="0" w:space="0" w:color="auto"/>
        <w:left w:val="none" w:sz="0" w:space="0" w:color="auto"/>
        <w:bottom w:val="none" w:sz="0" w:space="0" w:color="auto"/>
        <w:right w:val="none" w:sz="0" w:space="0" w:color="auto"/>
      </w:divBdr>
    </w:div>
    <w:div w:id="550533774">
      <w:bodyDiv w:val="1"/>
      <w:marLeft w:val="0"/>
      <w:marRight w:val="0"/>
      <w:marTop w:val="0"/>
      <w:marBottom w:val="0"/>
      <w:divBdr>
        <w:top w:val="none" w:sz="0" w:space="0" w:color="auto"/>
        <w:left w:val="none" w:sz="0" w:space="0" w:color="auto"/>
        <w:bottom w:val="none" w:sz="0" w:space="0" w:color="auto"/>
        <w:right w:val="none" w:sz="0" w:space="0" w:color="auto"/>
      </w:divBdr>
    </w:div>
    <w:div w:id="562567043">
      <w:bodyDiv w:val="1"/>
      <w:marLeft w:val="0"/>
      <w:marRight w:val="0"/>
      <w:marTop w:val="0"/>
      <w:marBottom w:val="0"/>
      <w:divBdr>
        <w:top w:val="none" w:sz="0" w:space="0" w:color="auto"/>
        <w:left w:val="none" w:sz="0" w:space="0" w:color="auto"/>
        <w:bottom w:val="none" w:sz="0" w:space="0" w:color="auto"/>
        <w:right w:val="none" w:sz="0" w:space="0" w:color="auto"/>
      </w:divBdr>
    </w:div>
    <w:div w:id="667631900">
      <w:bodyDiv w:val="1"/>
      <w:marLeft w:val="0"/>
      <w:marRight w:val="0"/>
      <w:marTop w:val="0"/>
      <w:marBottom w:val="0"/>
      <w:divBdr>
        <w:top w:val="none" w:sz="0" w:space="0" w:color="auto"/>
        <w:left w:val="none" w:sz="0" w:space="0" w:color="auto"/>
        <w:bottom w:val="none" w:sz="0" w:space="0" w:color="auto"/>
        <w:right w:val="none" w:sz="0" w:space="0" w:color="auto"/>
      </w:divBdr>
    </w:div>
    <w:div w:id="687685523">
      <w:bodyDiv w:val="1"/>
      <w:marLeft w:val="0"/>
      <w:marRight w:val="0"/>
      <w:marTop w:val="0"/>
      <w:marBottom w:val="0"/>
      <w:divBdr>
        <w:top w:val="none" w:sz="0" w:space="0" w:color="auto"/>
        <w:left w:val="none" w:sz="0" w:space="0" w:color="auto"/>
        <w:bottom w:val="none" w:sz="0" w:space="0" w:color="auto"/>
        <w:right w:val="none" w:sz="0" w:space="0" w:color="auto"/>
      </w:divBdr>
    </w:div>
    <w:div w:id="739793487">
      <w:bodyDiv w:val="1"/>
      <w:marLeft w:val="0"/>
      <w:marRight w:val="0"/>
      <w:marTop w:val="0"/>
      <w:marBottom w:val="0"/>
      <w:divBdr>
        <w:top w:val="none" w:sz="0" w:space="0" w:color="auto"/>
        <w:left w:val="none" w:sz="0" w:space="0" w:color="auto"/>
        <w:bottom w:val="none" w:sz="0" w:space="0" w:color="auto"/>
        <w:right w:val="none" w:sz="0" w:space="0" w:color="auto"/>
      </w:divBdr>
    </w:div>
    <w:div w:id="769159841">
      <w:bodyDiv w:val="1"/>
      <w:marLeft w:val="0"/>
      <w:marRight w:val="0"/>
      <w:marTop w:val="0"/>
      <w:marBottom w:val="0"/>
      <w:divBdr>
        <w:top w:val="none" w:sz="0" w:space="0" w:color="auto"/>
        <w:left w:val="none" w:sz="0" w:space="0" w:color="auto"/>
        <w:bottom w:val="none" w:sz="0" w:space="0" w:color="auto"/>
        <w:right w:val="none" w:sz="0" w:space="0" w:color="auto"/>
      </w:divBdr>
    </w:div>
    <w:div w:id="772671183">
      <w:bodyDiv w:val="1"/>
      <w:marLeft w:val="0"/>
      <w:marRight w:val="0"/>
      <w:marTop w:val="0"/>
      <w:marBottom w:val="0"/>
      <w:divBdr>
        <w:top w:val="none" w:sz="0" w:space="0" w:color="auto"/>
        <w:left w:val="none" w:sz="0" w:space="0" w:color="auto"/>
        <w:bottom w:val="none" w:sz="0" w:space="0" w:color="auto"/>
        <w:right w:val="none" w:sz="0" w:space="0" w:color="auto"/>
      </w:divBdr>
    </w:div>
    <w:div w:id="826097354">
      <w:bodyDiv w:val="1"/>
      <w:marLeft w:val="0"/>
      <w:marRight w:val="0"/>
      <w:marTop w:val="0"/>
      <w:marBottom w:val="0"/>
      <w:divBdr>
        <w:top w:val="none" w:sz="0" w:space="0" w:color="auto"/>
        <w:left w:val="none" w:sz="0" w:space="0" w:color="auto"/>
        <w:bottom w:val="none" w:sz="0" w:space="0" w:color="auto"/>
        <w:right w:val="none" w:sz="0" w:space="0" w:color="auto"/>
      </w:divBdr>
      <w:divsChild>
        <w:div w:id="1282763869">
          <w:marLeft w:val="0"/>
          <w:marRight w:val="0"/>
          <w:marTop w:val="0"/>
          <w:marBottom w:val="0"/>
          <w:divBdr>
            <w:top w:val="none" w:sz="0" w:space="0" w:color="auto"/>
            <w:left w:val="none" w:sz="0" w:space="0" w:color="auto"/>
            <w:bottom w:val="none" w:sz="0" w:space="0" w:color="auto"/>
            <w:right w:val="none" w:sz="0" w:space="0" w:color="auto"/>
          </w:divBdr>
        </w:div>
        <w:div w:id="1821539151">
          <w:marLeft w:val="0"/>
          <w:marRight w:val="0"/>
          <w:marTop w:val="0"/>
          <w:marBottom w:val="0"/>
          <w:divBdr>
            <w:top w:val="none" w:sz="0" w:space="0" w:color="auto"/>
            <w:left w:val="none" w:sz="0" w:space="0" w:color="auto"/>
            <w:bottom w:val="none" w:sz="0" w:space="0" w:color="auto"/>
            <w:right w:val="none" w:sz="0" w:space="0" w:color="auto"/>
          </w:divBdr>
          <w:divsChild>
            <w:div w:id="2025284221">
              <w:marLeft w:val="0"/>
              <w:marRight w:val="0"/>
              <w:marTop w:val="0"/>
              <w:marBottom w:val="0"/>
              <w:divBdr>
                <w:top w:val="none" w:sz="0" w:space="0" w:color="auto"/>
                <w:left w:val="none" w:sz="0" w:space="0" w:color="auto"/>
                <w:bottom w:val="none" w:sz="0" w:space="0" w:color="auto"/>
                <w:right w:val="none" w:sz="0" w:space="0" w:color="auto"/>
              </w:divBdr>
              <w:divsChild>
                <w:div w:id="1356928331">
                  <w:marLeft w:val="0"/>
                  <w:marRight w:val="0"/>
                  <w:marTop w:val="0"/>
                  <w:marBottom w:val="0"/>
                  <w:divBdr>
                    <w:top w:val="none" w:sz="0" w:space="0" w:color="auto"/>
                    <w:left w:val="none" w:sz="0" w:space="0" w:color="auto"/>
                    <w:bottom w:val="none" w:sz="0" w:space="0" w:color="auto"/>
                    <w:right w:val="none" w:sz="0" w:space="0" w:color="auto"/>
                  </w:divBdr>
                  <w:divsChild>
                    <w:div w:id="117672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039794">
      <w:bodyDiv w:val="1"/>
      <w:marLeft w:val="0"/>
      <w:marRight w:val="0"/>
      <w:marTop w:val="0"/>
      <w:marBottom w:val="0"/>
      <w:divBdr>
        <w:top w:val="none" w:sz="0" w:space="0" w:color="auto"/>
        <w:left w:val="none" w:sz="0" w:space="0" w:color="auto"/>
        <w:bottom w:val="none" w:sz="0" w:space="0" w:color="auto"/>
        <w:right w:val="none" w:sz="0" w:space="0" w:color="auto"/>
      </w:divBdr>
    </w:div>
    <w:div w:id="898369644">
      <w:bodyDiv w:val="1"/>
      <w:marLeft w:val="0"/>
      <w:marRight w:val="0"/>
      <w:marTop w:val="0"/>
      <w:marBottom w:val="0"/>
      <w:divBdr>
        <w:top w:val="none" w:sz="0" w:space="0" w:color="auto"/>
        <w:left w:val="none" w:sz="0" w:space="0" w:color="auto"/>
        <w:bottom w:val="none" w:sz="0" w:space="0" w:color="auto"/>
        <w:right w:val="none" w:sz="0" w:space="0" w:color="auto"/>
      </w:divBdr>
      <w:divsChild>
        <w:div w:id="1674603934">
          <w:marLeft w:val="0"/>
          <w:marRight w:val="0"/>
          <w:marTop w:val="0"/>
          <w:marBottom w:val="120"/>
          <w:divBdr>
            <w:top w:val="none" w:sz="0" w:space="0" w:color="auto"/>
            <w:left w:val="none" w:sz="0" w:space="0" w:color="auto"/>
            <w:bottom w:val="single" w:sz="12" w:space="9" w:color="EBEBEB"/>
            <w:right w:val="none" w:sz="0" w:space="0" w:color="auto"/>
          </w:divBdr>
          <w:divsChild>
            <w:div w:id="1811482727">
              <w:marLeft w:val="0"/>
              <w:marRight w:val="0"/>
              <w:marTop w:val="100"/>
              <w:marBottom w:val="100"/>
              <w:divBdr>
                <w:top w:val="none" w:sz="0" w:space="0" w:color="auto"/>
                <w:left w:val="none" w:sz="0" w:space="0" w:color="auto"/>
                <w:bottom w:val="none" w:sz="0" w:space="0" w:color="auto"/>
                <w:right w:val="none" w:sz="0" w:space="0" w:color="auto"/>
              </w:divBdr>
              <w:divsChild>
                <w:div w:id="200979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4321">
          <w:marLeft w:val="0"/>
          <w:marRight w:val="0"/>
          <w:marTop w:val="0"/>
          <w:marBottom w:val="120"/>
          <w:divBdr>
            <w:top w:val="none" w:sz="0" w:space="0" w:color="auto"/>
            <w:left w:val="none" w:sz="0" w:space="0" w:color="auto"/>
            <w:bottom w:val="none" w:sz="0" w:space="0" w:color="auto"/>
            <w:right w:val="none" w:sz="0" w:space="0" w:color="auto"/>
          </w:divBdr>
          <w:divsChild>
            <w:div w:id="691805557">
              <w:marLeft w:val="0"/>
              <w:marRight w:val="0"/>
              <w:marTop w:val="0"/>
              <w:marBottom w:val="0"/>
              <w:divBdr>
                <w:top w:val="none" w:sz="0" w:space="0" w:color="auto"/>
                <w:left w:val="none" w:sz="0" w:space="0" w:color="auto"/>
                <w:bottom w:val="none" w:sz="0" w:space="0" w:color="auto"/>
                <w:right w:val="none" w:sz="0" w:space="0" w:color="auto"/>
              </w:divBdr>
              <w:divsChild>
                <w:div w:id="175461319">
                  <w:marLeft w:val="0"/>
                  <w:marRight w:val="0"/>
                  <w:marTop w:val="0"/>
                  <w:marBottom w:val="0"/>
                  <w:divBdr>
                    <w:top w:val="none" w:sz="0" w:space="0" w:color="auto"/>
                    <w:left w:val="none" w:sz="0" w:space="0" w:color="auto"/>
                    <w:bottom w:val="none" w:sz="0" w:space="0" w:color="auto"/>
                    <w:right w:val="none" w:sz="0" w:space="0" w:color="auto"/>
                  </w:divBdr>
                  <w:divsChild>
                    <w:div w:id="15625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032845">
          <w:marLeft w:val="0"/>
          <w:marRight w:val="0"/>
          <w:marTop w:val="0"/>
          <w:marBottom w:val="0"/>
          <w:divBdr>
            <w:top w:val="none" w:sz="0" w:space="0" w:color="auto"/>
            <w:left w:val="none" w:sz="0" w:space="0" w:color="auto"/>
            <w:bottom w:val="none" w:sz="0" w:space="0" w:color="auto"/>
            <w:right w:val="none" w:sz="0" w:space="0" w:color="auto"/>
          </w:divBdr>
        </w:div>
        <w:div w:id="357121707">
          <w:marLeft w:val="0"/>
          <w:marRight w:val="0"/>
          <w:marTop w:val="0"/>
          <w:marBottom w:val="0"/>
          <w:divBdr>
            <w:top w:val="none" w:sz="0" w:space="0" w:color="auto"/>
            <w:left w:val="none" w:sz="0" w:space="0" w:color="auto"/>
            <w:bottom w:val="none" w:sz="0" w:space="0" w:color="auto"/>
            <w:right w:val="none" w:sz="0" w:space="0" w:color="auto"/>
          </w:divBdr>
          <w:divsChild>
            <w:div w:id="504058436">
              <w:marLeft w:val="0"/>
              <w:marRight w:val="0"/>
              <w:marTop w:val="0"/>
              <w:marBottom w:val="120"/>
              <w:divBdr>
                <w:top w:val="none" w:sz="0" w:space="0" w:color="auto"/>
                <w:left w:val="none" w:sz="0" w:space="0" w:color="auto"/>
                <w:bottom w:val="none" w:sz="0" w:space="0" w:color="auto"/>
                <w:right w:val="none" w:sz="0" w:space="0" w:color="auto"/>
              </w:divBdr>
              <w:divsChild>
                <w:div w:id="8627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79906">
          <w:marLeft w:val="0"/>
          <w:marRight w:val="0"/>
          <w:marTop w:val="0"/>
          <w:marBottom w:val="480"/>
          <w:divBdr>
            <w:top w:val="none" w:sz="0" w:space="0" w:color="auto"/>
            <w:left w:val="none" w:sz="0" w:space="0" w:color="auto"/>
            <w:bottom w:val="single" w:sz="12" w:space="24" w:color="EBEBEB"/>
            <w:right w:val="none" w:sz="0" w:space="0" w:color="auto"/>
          </w:divBdr>
          <w:divsChild>
            <w:div w:id="1000308703">
              <w:marLeft w:val="0"/>
              <w:marRight w:val="0"/>
              <w:marTop w:val="0"/>
              <w:marBottom w:val="0"/>
              <w:divBdr>
                <w:top w:val="none" w:sz="0" w:space="0" w:color="auto"/>
                <w:left w:val="none" w:sz="0" w:space="0" w:color="auto"/>
                <w:bottom w:val="none" w:sz="0" w:space="0" w:color="auto"/>
                <w:right w:val="none" w:sz="0" w:space="0" w:color="auto"/>
              </w:divBdr>
              <w:divsChild>
                <w:div w:id="327711893">
                  <w:marLeft w:val="0"/>
                  <w:marRight w:val="0"/>
                  <w:marTop w:val="0"/>
                  <w:marBottom w:val="0"/>
                  <w:divBdr>
                    <w:top w:val="none" w:sz="0" w:space="0" w:color="auto"/>
                    <w:left w:val="none" w:sz="0" w:space="0" w:color="auto"/>
                    <w:bottom w:val="none" w:sz="0" w:space="0" w:color="auto"/>
                    <w:right w:val="none" w:sz="0" w:space="0" w:color="auto"/>
                  </w:divBdr>
                </w:div>
                <w:div w:id="135224484">
                  <w:marLeft w:val="0"/>
                  <w:marRight w:val="0"/>
                  <w:marTop w:val="0"/>
                  <w:marBottom w:val="0"/>
                  <w:divBdr>
                    <w:top w:val="none" w:sz="0" w:space="0" w:color="auto"/>
                    <w:left w:val="none" w:sz="0" w:space="0" w:color="auto"/>
                    <w:bottom w:val="none" w:sz="0" w:space="0" w:color="auto"/>
                    <w:right w:val="none" w:sz="0" w:space="0" w:color="auto"/>
                  </w:divBdr>
                </w:div>
                <w:div w:id="900559004">
                  <w:marLeft w:val="0"/>
                  <w:marRight w:val="0"/>
                  <w:marTop w:val="0"/>
                  <w:marBottom w:val="0"/>
                  <w:divBdr>
                    <w:top w:val="none" w:sz="0" w:space="0" w:color="auto"/>
                    <w:left w:val="none" w:sz="0" w:space="0" w:color="auto"/>
                    <w:bottom w:val="none" w:sz="0" w:space="0" w:color="auto"/>
                    <w:right w:val="none" w:sz="0" w:space="0" w:color="auto"/>
                  </w:divBdr>
                </w:div>
                <w:div w:id="11580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86703">
      <w:bodyDiv w:val="1"/>
      <w:marLeft w:val="0"/>
      <w:marRight w:val="0"/>
      <w:marTop w:val="0"/>
      <w:marBottom w:val="0"/>
      <w:divBdr>
        <w:top w:val="none" w:sz="0" w:space="0" w:color="auto"/>
        <w:left w:val="none" w:sz="0" w:space="0" w:color="auto"/>
        <w:bottom w:val="none" w:sz="0" w:space="0" w:color="auto"/>
        <w:right w:val="none" w:sz="0" w:space="0" w:color="auto"/>
      </w:divBdr>
    </w:div>
    <w:div w:id="934022470">
      <w:bodyDiv w:val="1"/>
      <w:marLeft w:val="0"/>
      <w:marRight w:val="0"/>
      <w:marTop w:val="0"/>
      <w:marBottom w:val="0"/>
      <w:divBdr>
        <w:top w:val="none" w:sz="0" w:space="0" w:color="auto"/>
        <w:left w:val="none" w:sz="0" w:space="0" w:color="auto"/>
        <w:bottom w:val="none" w:sz="0" w:space="0" w:color="auto"/>
        <w:right w:val="none" w:sz="0" w:space="0" w:color="auto"/>
      </w:divBdr>
    </w:div>
    <w:div w:id="936790760">
      <w:bodyDiv w:val="1"/>
      <w:marLeft w:val="0"/>
      <w:marRight w:val="0"/>
      <w:marTop w:val="0"/>
      <w:marBottom w:val="0"/>
      <w:divBdr>
        <w:top w:val="none" w:sz="0" w:space="0" w:color="auto"/>
        <w:left w:val="none" w:sz="0" w:space="0" w:color="auto"/>
        <w:bottom w:val="none" w:sz="0" w:space="0" w:color="auto"/>
        <w:right w:val="none" w:sz="0" w:space="0" w:color="auto"/>
      </w:divBdr>
    </w:div>
    <w:div w:id="951977511">
      <w:bodyDiv w:val="1"/>
      <w:marLeft w:val="0"/>
      <w:marRight w:val="0"/>
      <w:marTop w:val="0"/>
      <w:marBottom w:val="0"/>
      <w:divBdr>
        <w:top w:val="none" w:sz="0" w:space="0" w:color="auto"/>
        <w:left w:val="none" w:sz="0" w:space="0" w:color="auto"/>
        <w:bottom w:val="none" w:sz="0" w:space="0" w:color="auto"/>
        <w:right w:val="none" w:sz="0" w:space="0" w:color="auto"/>
      </w:divBdr>
    </w:div>
    <w:div w:id="960644906">
      <w:bodyDiv w:val="1"/>
      <w:marLeft w:val="0"/>
      <w:marRight w:val="0"/>
      <w:marTop w:val="0"/>
      <w:marBottom w:val="0"/>
      <w:divBdr>
        <w:top w:val="none" w:sz="0" w:space="0" w:color="auto"/>
        <w:left w:val="none" w:sz="0" w:space="0" w:color="auto"/>
        <w:bottom w:val="none" w:sz="0" w:space="0" w:color="auto"/>
        <w:right w:val="none" w:sz="0" w:space="0" w:color="auto"/>
      </w:divBdr>
    </w:div>
    <w:div w:id="964585614">
      <w:bodyDiv w:val="1"/>
      <w:marLeft w:val="0"/>
      <w:marRight w:val="0"/>
      <w:marTop w:val="0"/>
      <w:marBottom w:val="0"/>
      <w:divBdr>
        <w:top w:val="none" w:sz="0" w:space="0" w:color="auto"/>
        <w:left w:val="none" w:sz="0" w:space="0" w:color="auto"/>
        <w:bottom w:val="none" w:sz="0" w:space="0" w:color="auto"/>
        <w:right w:val="none" w:sz="0" w:space="0" w:color="auto"/>
      </w:divBdr>
    </w:div>
    <w:div w:id="992217926">
      <w:bodyDiv w:val="1"/>
      <w:marLeft w:val="0"/>
      <w:marRight w:val="0"/>
      <w:marTop w:val="0"/>
      <w:marBottom w:val="0"/>
      <w:divBdr>
        <w:top w:val="none" w:sz="0" w:space="0" w:color="auto"/>
        <w:left w:val="none" w:sz="0" w:space="0" w:color="auto"/>
        <w:bottom w:val="none" w:sz="0" w:space="0" w:color="auto"/>
        <w:right w:val="none" w:sz="0" w:space="0" w:color="auto"/>
      </w:divBdr>
    </w:div>
    <w:div w:id="1054550181">
      <w:bodyDiv w:val="1"/>
      <w:marLeft w:val="0"/>
      <w:marRight w:val="0"/>
      <w:marTop w:val="0"/>
      <w:marBottom w:val="0"/>
      <w:divBdr>
        <w:top w:val="none" w:sz="0" w:space="0" w:color="auto"/>
        <w:left w:val="none" w:sz="0" w:space="0" w:color="auto"/>
        <w:bottom w:val="none" w:sz="0" w:space="0" w:color="auto"/>
        <w:right w:val="none" w:sz="0" w:space="0" w:color="auto"/>
      </w:divBdr>
    </w:div>
    <w:div w:id="1066412553">
      <w:bodyDiv w:val="1"/>
      <w:marLeft w:val="0"/>
      <w:marRight w:val="0"/>
      <w:marTop w:val="0"/>
      <w:marBottom w:val="0"/>
      <w:divBdr>
        <w:top w:val="none" w:sz="0" w:space="0" w:color="auto"/>
        <w:left w:val="none" w:sz="0" w:space="0" w:color="auto"/>
        <w:bottom w:val="none" w:sz="0" w:space="0" w:color="auto"/>
        <w:right w:val="none" w:sz="0" w:space="0" w:color="auto"/>
      </w:divBdr>
    </w:div>
    <w:div w:id="1112743454">
      <w:bodyDiv w:val="1"/>
      <w:marLeft w:val="0"/>
      <w:marRight w:val="0"/>
      <w:marTop w:val="0"/>
      <w:marBottom w:val="0"/>
      <w:divBdr>
        <w:top w:val="none" w:sz="0" w:space="0" w:color="auto"/>
        <w:left w:val="none" w:sz="0" w:space="0" w:color="auto"/>
        <w:bottom w:val="none" w:sz="0" w:space="0" w:color="auto"/>
        <w:right w:val="none" w:sz="0" w:space="0" w:color="auto"/>
      </w:divBdr>
    </w:div>
    <w:div w:id="1136531799">
      <w:bodyDiv w:val="1"/>
      <w:marLeft w:val="0"/>
      <w:marRight w:val="0"/>
      <w:marTop w:val="0"/>
      <w:marBottom w:val="0"/>
      <w:divBdr>
        <w:top w:val="none" w:sz="0" w:space="0" w:color="auto"/>
        <w:left w:val="none" w:sz="0" w:space="0" w:color="auto"/>
        <w:bottom w:val="none" w:sz="0" w:space="0" w:color="auto"/>
        <w:right w:val="none" w:sz="0" w:space="0" w:color="auto"/>
      </w:divBdr>
    </w:div>
    <w:div w:id="1144618560">
      <w:bodyDiv w:val="1"/>
      <w:marLeft w:val="0"/>
      <w:marRight w:val="0"/>
      <w:marTop w:val="0"/>
      <w:marBottom w:val="0"/>
      <w:divBdr>
        <w:top w:val="none" w:sz="0" w:space="0" w:color="auto"/>
        <w:left w:val="none" w:sz="0" w:space="0" w:color="auto"/>
        <w:bottom w:val="none" w:sz="0" w:space="0" w:color="auto"/>
        <w:right w:val="none" w:sz="0" w:space="0" w:color="auto"/>
      </w:divBdr>
    </w:div>
    <w:div w:id="1179268641">
      <w:bodyDiv w:val="1"/>
      <w:marLeft w:val="0"/>
      <w:marRight w:val="0"/>
      <w:marTop w:val="0"/>
      <w:marBottom w:val="0"/>
      <w:divBdr>
        <w:top w:val="none" w:sz="0" w:space="0" w:color="auto"/>
        <w:left w:val="none" w:sz="0" w:space="0" w:color="auto"/>
        <w:bottom w:val="none" w:sz="0" w:space="0" w:color="auto"/>
        <w:right w:val="none" w:sz="0" w:space="0" w:color="auto"/>
      </w:divBdr>
    </w:div>
    <w:div w:id="1179811228">
      <w:bodyDiv w:val="1"/>
      <w:marLeft w:val="0"/>
      <w:marRight w:val="0"/>
      <w:marTop w:val="0"/>
      <w:marBottom w:val="0"/>
      <w:divBdr>
        <w:top w:val="none" w:sz="0" w:space="0" w:color="auto"/>
        <w:left w:val="none" w:sz="0" w:space="0" w:color="auto"/>
        <w:bottom w:val="none" w:sz="0" w:space="0" w:color="auto"/>
        <w:right w:val="none" w:sz="0" w:space="0" w:color="auto"/>
      </w:divBdr>
    </w:div>
    <w:div w:id="1199123982">
      <w:bodyDiv w:val="1"/>
      <w:marLeft w:val="0"/>
      <w:marRight w:val="0"/>
      <w:marTop w:val="0"/>
      <w:marBottom w:val="0"/>
      <w:divBdr>
        <w:top w:val="none" w:sz="0" w:space="0" w:color="auto"/>
        <w:left w:val="none" w:sz="0" w:space="0" w:color="auto"/>
        <w:bottom w:val="none" w:sz="0" w:space="0" w:color="auto"/>
        <w:right w:val="none" w:sz="0" w:space="0" w:color="auto"/>
      </w:divBdr>
    </w:div>
    <w:div w:id="1200780662">
      <w:bodyDiv w:val="1"/>
      <w:marLeft w:val="0"/>
      <w:marRight w:val="0"/>
      <w:marTop w:val="0"/>
      <w:marBottom w:val="0"/>
      <w:divBdr>
        <w:top w:val="none" w:sz="0" w:space="0" w:color="auto"/>
        <w:left w:val="none" w:sz="0" w:space="0" w:color="auto"/>
        <w:bottom w:val="none" w:sz="0" w:space="0" w:color="auto"/>
        <w:right w:val="none" w:sz="0" w:space="0" w:color="auto"/>
      </w:divBdr>
    </w:div>
    <w:div w:id="1245604312">
      <w:bodyDiv w:val="1"/>
      <w:marLeft w:val="0"/>
      <w:marRight w:val="0"/>
      <w:marTop w:val="0"/>
      <w:marBottom w:val="0"/>
      <w:divBdr>
        <w:top w:val="none" w:sz="0" w:space="0" w:color="auto"/>
        <w:left w:val="none" w:sz="0" w:space="0" w:color="auto"/>
        <w:bottom w:val="none" w:sz="0" w:space="0" w:color="auto"/>
        <w:right w:val="none" w:sz="0" w:space="0" w:color="auto"/>
      </w:divBdr>
    </w:div>
    <w:div w:id="1249388965">
      <w:bodyDiv w:val="1"/>
      <w:marLeft w:val="0"/>
      <w:marRight w:val="0"/>
      <w:marTop w:val="0"/>
      <w:marBottom w:val="0"/>
      <w:divBdr>
        <w:top w:val="none" w:sz="0" w:space="0" w:color="auto"/>
        <w:left w:val="none" w:sz="0" w:space="0" w:color="auto"/>
        <w:bottom w:val="none" w:sz="0" w:space="0" w:color="auto"/>
        <w:right w:val="none" w:sz="0" w:space="0" w:color="auto"/>
      </w:divBdr>
    </w:div>
    <w:div w:id="1272276383">
      <w:bodyDiv w:val="1"/>
      <w:marLeft w:val="0"/>
      <w:marRight w:val="0"/>
      <w:marTop w:val="0"/>
      <w:marBottom w:val="0"/>
      <w:divBdr>
        <w:top w:val="none" w:sz="0" w:space="0" w:color="auto"/>
        <w:left w:val="none" w:sz="0" w:space="0" w:color="auto"/>
        <w:bottom w:val="none" w:sz="0" w:space="0" w:color="auto"/>
        <w:right w:val="none" w:sz="0" w:space="0" w:color="auto"/>
      </w:divBdr>
    </w:div>
    <w:div w:id="1279532473">
      <w:bodyDiv w:val="1"/>
      <w:marLeft w:val="0"/>
      <w:marRight w:val="0"/>
      <w:marTop w:val="0"/>
      <w:marBottom w:val="0"/>
      <w:divBdr>
        <w:top w:val="none" w:sz="0" w:space="0" w:color="auto"/>
        <w:left w:val="none" w:sz="0" w:space="0" w:color="auto"/>
        <w:bottom w:val="none" w:sz="0" w:space="0" w:color="auto"/>
        <w:right w:val="none" w:sz="0" w:space="0" w:color="auto"/>
      </w:divBdr>
    </w:div>
    <w:div w:id="1296719461">
      <w:bodyDiv w:val="1"/>
      <w:marLeft w:val="0"/>
      <w:marRight w:val="0"/>
      <w:marTop w:val="0"/>
      <w:marBottom w:val="0"/>
      <w:divBdr>
        <w:top w:val="none" w:sz="0" w:space="0" w:color="auto"/>
        <w:left w:val="none" w:sz="0" w:space="0" w:color="auto"/>
        <w:bottom w:val="none" w:sz="0" w:space="0" w:color="auto"/>
        <w:right w:val="none" w:sz="0" w:space="0" w:color="auto"/>
      </w:divBdr>
    </w:div>
    <w:div w:id="1299796590">
      <w:bodyDiv w:val="1"/>
      <w:marLeft w:val="0"/>
      <w:marRight w:val="0"/>
      <w:marTop w:val="0"/>
      <w:marBottom w:val="0"/>
      <w:divBdr>
        <w:top w:val="none" w:sz="0" w:space="0" w:color="auto"/>
        <w:left w:val="none" w:sz="0" w:space="0" w:color="auto"/>
        <w:bottom w:val="none" w:sz="0" w:space="0" w:color="auto"/>
        <w:right w:val="none" w:sz="0" w:space="0" w:color="auto"/>
      </w:divBdr>
    </w:div>
    <w:div w:id="1308703137">
      <w:bodyDiv w:val="1"/>
      <w:marLeft w:val="0"/>
      <w:marRight w:val="0"/>
      <w:marTop w:val="0"/>
      <w:marBottom w:val="0"/>
      <w:divBdr>
        <w:top w:val="none" w:sz="0" w:space="0" w:color="auto"/>
        <w:left w:val="none" w:sz="0" w:space="0" w:color="auto"/>
        <w:bottom w:val="none" w:sz="0" w:space="0" w:color="auto"/>
        <w:right w:val="none" w:sz="0" w:space="0" w:color="auto"/>
      </w:divBdr>
    </w:div>
    <w:div w:id="1327593910">
      <w:bodyDiv w:val="1"/>
      <w:marLeft w:val="0"/>
      <w:marRight w:val="0"/>
      <w:marTop w:val="0"/>
      <w:marBottom w:val="0"/>
      <w:divBdr>
        <w:top w:val="none" w:sz="0" w:space="0" w:color="auto"/>
        <w:left w:val="none" w:sz="0" w:space="0" w:color="auto"/>
        <w:bottom w:val="none" w:sz="0" w:space="0" w:color="auto"/>
        <w:right w:val="none" w:sz="0" w:space="0" w:color="auto"/>
      </w:divBdr>
    </w:div>
    <w:div w:id="1429883682">
      <w:bodyDiv w:val="1"/>
      <w:marLeft w:val="0"/>
      <w:marRight w:val="0"/>
      <w:marTop w:val="0"/>
      <w:marBottom w:val="0"/>
      <w:divBdr>
        <w:top w:val="none" w:sz="0" w:space="0" w:color="auto"/>
        <w:left w:val="none" w:sz="0" w:space="0" w:color="auto"/>
        <w:bottom w:val="none" w:sz="0" w:space="0" w:color="auto"/>
        <w:right w:val="none" w:sz="0" w:space="0" w:color="auto"/>
      </w:divBdr>
    </w:div>
    <w:div w:id="1434089388">
      <w:bodyDiv w:val="1"/>
      <w:marLeft w:val="0"/>
      <w:marRight w:val="0"/>
      <w:marTop w:val="0"/>
      <w:marBottom w:val="0"/>
      <w:divBdr>
        <w:top w:val="none" w:sz="0" w:space="0" w:color="auto"/>
        <w:left w:val="none" w:sz="0" w:space="0" w:color="auto"/>
        <w:bottom w:val="none" w:sz="0" w:space="0" w:color="auto"/>
        <w:right w:val="none" w:sz="0" w:space="0" w:color="auto"/>
      </w:divBdr>
    </w:div>
    <w:div w:id="1436706473">
      <w:bodyDiv w:val="1"/>
      <w:marLeft w:val="0"/>
      <w:marRight w:val="0"/>
      <w:marTop w:val="0"/>
      <w:marBottom w:val="0"/>
      <w:divBdr>
        <w:top w:val="none" w:sz="0" w:space="0" w:color="auto"/>
        <w:left w:val="none" w:sz="0" w:space="0" w:color="auto"/>
        <w:bottom w:val="none" w:sz="0" w:space="0" w:color="auto"/>
        <w:right w:val="none" w:sz="0" w:space="0" w:color="auto"/>
      </w:divBdr>
    </w:div>
    <w:div w:id="1440369972">
      <w:bodyDiv w:val="1"/>
      <w:marLeft w:val="0"/>
      <w:marRight w:val="0"/>
      <w:marTop w:val="0"/>
      <w:marBottom w:val="0"/>
      <w:divBdr>
        <w:top w:val="none" w:sz="0" w:space="0" w:color="auto"/>
        <w:left w:val="none" w:sz="0" w:space="0" w:color="auto"/>
        <w:bottom w:val="none" w:sz="0" w:space="0" w:color="auto"/>
        <w:right w:val="none" w:sz="0" w:space="0" w:color="auto"/>
      </w:divBdr>
    </w:div>
    <w:div w:id="1486169202">
      <w:bodyDiv w:val="1"/>
      <w:marLeft w:val="0"/>
      <w:marRight w:val="0"/>
      <w:marTop w:val="0"/>
      <w:marBottom w:val="0"/>
      <w:divBdr>
        <w:top w:val="none" w:sz="0" w:space="0" w:color="auto"/>
        <w:left w:val="none" w:sz="0" w:space="0" w:color="auto"/>
        <w:bottom w:val="none" w:sz="0" w:space="0" w:color="auto"/>
        <w:right w:val="none" w:sz="0" w:space="0" w:color="auto"/>
      </w:divBdr>
    </w:div>
    <w:div w:id="1494642789">
      <w:bodyDiv w:val="1"/>
      <w:marLeft w:val="0"/>
      <w:marRight w:val="0"/>
      <w:marTop w:val="0"/>
      <w:marBottom w:val="0"/>
      <w:divBdr>
        <w:top w:val="none" w:sz="0" w:space="0" w:color="auto"/>
        <w:left w:val="none" w:sz="0" w:space="0" w:color="auto"/>
        <w:bottom w:val="none" w:sz="0" w:space="0" w:color="auto"/>
        <w:right w:val="none" w:sz="0" w:space="0" w:color="auto"/>
      </w:divBdr>
    </w:div>
    <w:div w:id="1501657731">
      <w:bodyDiv w:val="1"/>
      <w:marLeft w:val="0"/>
      <w:marRight w:val="0"/>
      <w:marTop w:val="0"/>
      <w:marBottom w:val="0"/>
      <w:divBdr>
        <w:top w:val="none" w:sz="0" w:space="0" w:color="auto"/>
        <w:left w:val="none" w:sz="0" w:space="0" w:color="auto"/>
        <w:bottom w:val="none" w:sz="0" w:space="0" w:color="auto"/>
        <w:right w:val="none" w:sz="0" w:space="0" w:color="auto"/>
      </w:divBdr>
    </w:div>
    <w:div w:id="1507162073">
      <w:bodyDiv w:val="1"/>
      <w:marLeft w:val="0"/>
      <w:marRight w:val="0"/>
      <w:marTop w:val="0"/>
      <w:marBottom w:val="0"/>
      <w:divBdr>
        <w:top w:val="none" w:sz="0" w:space="0" w:color="auto"/>
        <w:left w:val="none" w:sz="0" w:space="0" w:color="auto"/>
        <w:bottom w:val="none" w:sz="0" w:space="0" w:color="auto"/>
        <w:right w:val="none" w:sz="0" w:space="0" w:color="auto"/>
      </w:divBdr>
    </w:div>
    <w:div w:id="1515655858">
      <w:bodyDiv w:val="1"/>
      <w:marLeft w:val="0"/>
      <w:marRight w:val="0"/>
      <w:marTop w:val="0"/>
      <w:marBottom w:val="0"/>
      <w:divBdr>
        <w:top w:val="none" w:sz="0" w:space="0" w:color="auto"/>
        <w:left w:val="none" w:sz="0" w:space="0" w:color="auto"/>
        <w:bottom w:val="none" w:sz="0" w:space="0" w:color="auto"/>
        <w:right w:val="none" w:sz="0" w:space="0" w:color="auto"/>
      </w:divBdr>
    </w:div>
    <w:div w:id="1572929540">
      <w:bodyDiv w:val="1"/>
      <w:marLeft w:val="0"/>
      <w:marRight w:val="0"/>
      <w:marTop w:val="0"/>
      <w:marBottom w:val="0"/>
      <w:divBdr>
        <w:top w:val="none" w:sz="0" w:space="0" w:color="auto"/>
        <w:left w:val="none" w:sz="0" w:space="0" w:color="auto"/>
        <w:bottom w:val="none" w:sz="0" w:space="0" w:color="auto"/>
        <w:right w:val="none" w:sz="0" w:space="0" w:color="auto"/>
      </w:divBdr>
    </w:div>
    <w:div w:id="1574899985">
      <w:bodyDiv w:val="1"/>
      <w:marLeft w:val="0"/>
      <w:marRight w:val="0"/>
      <w:marTop w:val="0"/>
      <w:marBottom w:val="0"/>
      <w:divBdr>
        <w:top w:val="none" w:sz="0" w:space="0" w:color="auto"/>
        <w:left w:val="none" w:sz="0" w:space="0" w:color="auto"/>
        <w:bottom w:val="none" w:sz="0" w:space="0" w:color="auto"/>
        <w:right w:val="none" w:sz="0" w:space="0" w:color="auto"/>
      </w:divBdr>
    </w:div>
    <w:div w:id="1589458786">
      <w:bodyDiv w:val="1"/>
      <w:marLeft w:val="0"/>
      <w:marRight w:val="0"/>
      <w:marTop w:val="0"/>
      <w:marBottom w:val="0"/>
      <w:divBdr>
        <w:top w:val="none" w:sz="0" w:space="0" w:color="auto"/>
        <w:left w:val="none" w:sz="0" w:space="0" w:color="auto"/>
        <w:bottom w:val="none" w:sz="0" w:space="0" w:color="auto"/>
        <w:right w:val="none" w:sz="0" w:space="0" w:color="auto"/>
      </w:divBdr>
    </w:div>
    <w:div w:id="1611280508">
      <w:bodyDiv w:val="1"/>
      <w:marLeft w:val="0"/>
      <w:marRight w:val="0"/>
      <w:marTop w:val="0"/>
      <w:marBottom w:val="0"/>
      <w:divBdr>
        <w:top w:val="none" w:sz="0" w:space="0" w:color="auto"/>
        <w:left w:val="none" w:sz="0" w:space="0" w:color="auto"/>
        <w:bottom w:val="none" w:sz="0" w:space="0" w:color="auto"/>
        <w:right w:val="none" w:sz="0" w:space="0" w:color="auto"/>
      </w:divBdr>
    </w:div>
    <w:div w:id="1618373519">
      <w:bodyDiv w:val="1"/>
      <w:marLeft w:val="0"/>
      <w:marRight w:val="0"/>
      <w:marTop w:val="0"/>
      <w:marBottom w:val="0"/>
      <w:divBdr>
        <w:top w:val="none" w:sz="0" w:space="0" w:color="auto"/>
        <w:left w:val="none" w:sz="0" w:space="0" w:color="auto"/>
        <w:bottom w:val="none" w:sz="0" w:space="0" w:color="auto"/>
        <w:right w:val="none" w:sz="0" w:space="0" w:color="auto"/>
      </w:divBdr>
    </w:div>
    <w:div w:id="1675382106">
      <w:bodyDiv w:val="1"/>
      <w:marLeft w:val="0"/>
      <w:marRight w:val="0"/>
      <w:marTop w:val="0"/>
      <w:marBottom w:val="0"/>
      <w:divBdr>
        <w:top w:val="none" w:sz="0" w:space="0" w:color="auto"/>
        <w:left w:val="none" w:sz="0" w:space="0" w:color="auto"/>
        <w:bottom w:val="none" w:sz="0" w:space="0" w:color="auto"/>
        <w:right w:val="none" w:sz="0" w:space="0" w:color="auto"/>
      </w:divBdr>
    </w:div>
    <w:div w:id="1733848025">
      <w:bodyDiv w:val="1"/>
      <w:marLeft w:val="0"/>
      <w:marRight w:val="0"/>
      <w:marTop w:val="0"/>
      <w:marBottom w:val="0"/>
      <w:divBdr>
        <w:top w:val="none" w:sz="0" w:space="0" w:color="auto"/>
        <w:left w:val="none" w:sz="0" w:space="0" w:color="auto"/>
        <w:bottom w:val="none" w:sz="0" w:space="0" w:color="auto"/>
        <w:right w:val="none" w:sz="0" w:space="0" w:color="auto"/>
      </w:divBdr>
    </w:div>
    <w:div w:id="1737582059">
      <w:bodyDiv w:val="1"/>
      <w:marLeft w:val="0"/>
      <w:marRight w:val="0"/>
      <w:marTop w:val="0"/>
      <w:marBottom w:val="0"/>
      <w:divBdr>
        <w:top w:val="none" w:sz="0" w:space="0" w:color="auto"/>
        <w:left w:val="none" w:sz="0" w:space="0" w:color="auto"/>
        <w:bottom w:val="none" w:sz="0" w:space="0" w:color="auto"/>
        <w:right w:val="none" w:sz="0" w:space="0" w:color="auto"/>
      </w:divBdr>
    </w:div>
    <w:div w:id="1745295680">
      <w:bodyDiv w:val="1"/>
      <w:marLeft w:val="0"/>
      <w:marRight w:val="0"/>
      <w:marTop w:val="0"/>
      <w:marBottom w:val="0"/>
      <w:divBdr>
        <w:top w:val="none" w:sz="0" w:space="0" w:color="auto"/>
        <w:left w:val="none" w:sz="0" w:space="0" w:color="auto"/>
        <w:bottom w:val="none" w:sz="0" w:space="0" w:color="auto"/>
        <w:right w:val="none" w:sz="0" w:space="0" w:color="auto"/>
      </w:divBdr>
    </w:div>
    <w:div w:id="1753158254">
      <w:bodyDiv w:val="1"/>
      <w:marLeft w:val="0"/>
      <w:marRight w:val="0"/>
      <w:marTop w:val="0"/>
      <w:marBottom w:val="0"/>
      <w:divBdr>
        <w:top w:val="none" w:sz="0" w:space="0" w:color="auto"/>
        <w:left w:val="none" w:sz="0" w:space="0" w:color="auto"/>
        <w:bottom w:val="none" w:sz="0" w:space="0" w:color="auto"/>
        <w:right w:val="none" w:sz="0" w:space="0" w:color="auto"/>
      </w:divBdr>
    </w:div>
    <w:div w:id="1764960235">
      <w:bodyDiv w:val="1"/>
      <w:marLeft w:val="0"/>
      <w:marRight w:val="0"/>
      <w:marTop w:val="0"/>
      <w:marBottom w:val="0"/>
      <w:divBdr>
        <w:top w:val="none" w:sz="0" w:space="0" w:color="auto"/>
        <w:left w:val="none" w:sz="0" w:space="0" w:color="auto"/>
        <w:bottom w:val="none" w:sz="0" w:space="0" w:color="auto"/>
        <w:right w:val="none" w:sz="0" w:space="0" w:color="auto"/>
      </w:divBdr>
    </w:div>
    <w:div w:id="1786457260">
      <w:bodyDiv w:val="1"/>
      <w:marLeft w:val="0"/>
      <w:marRight w:val="0"/>
      <w:marTop w:val="0"/>
      <w:marBottom w:val="0"/>
      <w:divBdr>
        <w:top w:val="none" w:sz="0" w:space="0" w:color="auto"/>
        <w:left w:val="none" w:sz="0" w:space="0" w:color="auto"/>
        <w:bottom w:val="none" w:sz="0" w:space="0" w:color="auto"/>
        <w:right w:val="none" w:sz="0" w:space="0" w:color="auto"/>
      </w:divBdr>
    </w:div>
    <w:div w:id="1803379804">
      <w:bodyDiv w:val="1"/>
      <w:marLeft w:val="0"/>
      <w:marRight w:val="0"/>
      <w:marTop w:val="0"/>
      <w:marBottom w:val="0"/>
      <w:divBdr>
        <w:top w:val="none" w:sz="0" w:space="0" w:color="auto"/>
        <w:left w:val="none" w:sz="0" w:space="0" w:color="auto"/>
        <w:bottom w:val="none" w:sz="0" w:space="0" w:color="auto"/>
        <w:right w:val="none" w:sz="0" w:space="0" w:color="auto"/>
      </w:divBdr>
      <w:divsChild>
        <w:div w:id="1646541636">
          <w:marLeft w:val="0"/>
          <w:marRight w:val="0"/>
          <w:marTop w:val="0"/>
          <w:marBottom w:val="0"/>
          <w:divBdr>
            <w:top w:val="none" w:sz="0" w:space="0" w:color="auto"/>
            <w:left w:val="none" w:sz="0" w:space="0" w:color="auto"/>
            <w:bottom w:val="none" w:sz="0" w:space="0" w:color="auto"/>
            <w:right w:val="none" w:sz="0" w:space="0" w:color="auto"/>
          </w:divBdr>
          <w:divsChild>
            <w:div w:id="1829320433">
              <w:marLeft w:val="0"/>
              <w:marRight w:val="0"/>
              <w:marTop w:val="0"/>
              <w:marBottom w:val="75"/>
              <w:divBdr>
                <w:top w:val="none" w:sz="0" w:space="0" w:color="auto"/>
                <w:left w:val="none" w:sz="0" w:space="0" w:color="auto"/>
                <w:bottom w:val="none" w:sz="0" w:space="0" w:color="auto"/>
                <w:right w:val="none" w:sz="0" w:space="0" w:color="auto"/>
              </w:divBdr>
            </w:div>
          </w:divsChild>
        </w:div>
        <w:div w:id="1167090238">
          <w:marLeft w:val="0"/>
          <w:marRight w:val="0"/>
          <w:marTop w:val="150"/>
          <w:marBottom w:val="150"/>
          <w:divBdr>
            <w:top w:val="none" w:sz="0" w:space="0" w:color="auto"/>
            <w:left w:val="none" w:sz="0" w:space="0" w:color="auto"/>
            <w:bottom w:val="none" w:sz="0" w:space="0" w:color="auto"/>
            <w:right w:val="none" w:sz="0" w:space="0" w:color="auto"/>
          </w:divBdr>
        </w:div>
        <w:div w:id="49814717">
          <w:marLeft w:val="-150"/>
          <w:marRight w:val="-150"/>
          <w:marTop w:val="0"/>
          <w:marBottom w:val="150"/>
          <w:divBdr>
            <w:top w:val="none" w:sz="0" w:space="0" w:color="auto"/>
            <w:left w:val="none" w:sz="0" w:space="0" w:color="auto"/>
            <w:bottom w:val="none" w:sz="0" w:space="0" w:color="auto"/>
            <w:right w:val="none" w:sz="0" w:space="0" w:color="auto"/>
          </w:divBdr>
          <w:divsChild>
            <w:div w:id="1012951346">
              <w:marLeft w:val="0"/>
              <w:marRight w:val="0"/>
              <w:marTop w:val="0"/>
              <w:marBottom w:val="0"/>
              <w:divBdr>
                <w:top w:val="none" w:sz="0" w:space="0" w:color="auto"/>
                <w:left w:val="none" w:sz="0" w:space="0" w:color="auto"/>
                <w:bottom w:val="none" w:sz="0" w:space="0" w:color="auto"/>
                <w:right w:val="none" w:sz="0" w:space="0" w:color="auto"/>
              </w:divBdr>
              <w:divsChild>
                <w:div w:id="324745628">
                  <w:marLeft w:val="0"/>
                  <w:marRight w:val="0"/>
                  <w:marTop w:val="0"/>
                  <w:marBottom w:val="0"/>
                  <w:divBdr>
                    <w:top w:val="none" w:sz="0" w:space="0" w:color="auto"/>
                    <w:left w:val="none" w:sz="0" w:space="0" w:color="auto"/>
                    <w:bottom w:val="none" w:sz="0" w:space="0" w:color="auto"/>
                    <w:right w:val="none" w:sz="0" w:space="0" w:color="auto"/>
                  </w:divBdr>
                  <w:divsChild>
                    <w:div w:id="999888364">
                      <w:marLeft w:val="0"/>
                      <w:marRight w:val="0"/>
                      <w:marTop w:val="0"/>
                      <w:marBottom w:val="0"/>
                      <w:divBdr>
                        <w:top w:val="none" w:sz="0" w:space="0" w:color="auto"/>
                        <w:left w:val="none" w:sz="0" w:space="0" w:color="auto"/>
                        <w:bottom w:val="none" w:sz="0" w:space="0" w:color="auto"/>
                        <w:right w:val="none" w:sz="0" w:space="0" w:color="auto"/>
                      </w:divBdr>
                      <w:divsChild>
                        <w:div w:id="639850557">
                          <w:marLeft w:val="-75"/>
                          <w:marRight w:val="-75"/>
                          <w:marTop w:val="0"/>
                          <w:marBottom w:val="0"/>
                          <w:divBdr>
                            <w:top w:val="none" w:sz="0" w:space="0" w:color="auto"/>
                            <w:left w:val="none" w:sz="0" w:space="0" w:color="auto"/>
                            <w:bottom w:val="none" w:sz="0" w:space="0" w:color="auto"/>
                            <w:right w:val="none" w:sz="0" w:space="0" w:color="auto"/>
                          </w:divBdr>
                          <w:divsChild>
                            <w:div w:id="481626155">
                              <w:marLeft w:val="0"/>
                              <w:marRight w:val="0"/>
                              <w:marTop w:val="0"/>
                              <w:marBottom w:val="0"/>
                              <w:divBdr>
                                <w:top w:val="none" w:sz="0" w:space="0" w:color="auto"/>
                                <w:left w:val="none" w:sz="0" w:space="0" w:color="auto"/>
                                <w:bottom w:val="none" w:sz="0" w:space="0" w:color="auto"/>
                                <w:right w:val="none" w:sz="0" w:space="0" w:color="auto"/>
                              </w:divBdr>
                            </w:div>
                            <w:div w:id="724178653">
                              <w:marLeft w:val="0"/>
                              <w:marRight w:val="0"/>
                              <w:marTop w:val="0"/>
                              <w:marBottom w:val="0"/>
                              <w:divBdr>
                                <w:top w:val="none" w:sz="0" w:space="0" w:color="auto"/>
                                <w:left w:val="none" w:sz="0" w:space="0" w:color="auto"/>
                                <w:bottom w:val="none" w:sz="0" w:space="0" w:color="auto"/>
                                <w:right w:val="none" w:sz="0" w:space="0" w:color="auto"/>
                              </w:divBdr>
                              <w:divsChild>
                                <w:div w:id="2035182597">
                                  <w:marLeft w:val="0"/>
                                  <w:marRight w:val="0"/>
                                  <w:marTop w:val="0"/>
                                  <w:marBottom w:val="0"/>
                                  <w:divBdr>
                                    <w:top w:val="none" w:sz="0" w:space="0" w:color="auto"/>
                                    <w:left w:val="none" w:sz="0" w:space="0" w:color="auto"/>
                                    <w:bottom w:val="none" w:sz="0" w:space="0" w:color="auto"/>
                                    <w:right w:val="none" w:sz="0" w:space="0" w:color="auto"/>
                                  </w:divBdr>
                                  <w:divsChild>
                                    <w:div w:id="916743739">
                                      <w:marLeft w:val="0"/>
                                      <w:marRight w:val="0"/>
                                      <w:marTop w:val="0"/>
                                      <w:marBottom w:val="0"/>
                                      <w:divBdr>
                                        <w:top w:val="none" w:sz="0" w:space="0" w:color="auto"/>
                                        <w:left w:val="none" w:sz="0" w:space="0" w:color="auto"/>
                                        <w:bottom w:val="none" w:sz="0" w:space="0" w:color="auto"/>
                                        <w:right w:val="none" w:sz="0" w:space="0" w:color="auto"/>
                                      </w:divBdr>
                                      <w:divsChild>
                                        <w:div w:id="310714425">
                                          <w:marLeft w:val="0"/>
                                          <w:marRight w:val="0"/>
                                          <w:marTop w:val="0"/>
                                          <w:marBottom w:val="0"/>
                                          <w:divBdr>
                                            <w:top w:val="none" w:sz="0" w:space="0" w:color="auto"/>
                                            <w:left w:val="none" w:sz="0" w:space="0" w:color="auto"/>
                                            <w:bottom w:val="none" w:sz="0" w:space="0" w:color="auto"/>
                                            <w:right w:val="none" w:sz="0" w:space="0" w:color="auto"/>
                                          </w:divBdr>
                                          <w:divsChild>
                                            <w:div w:id="1877229499">
                                              <w:marLeft w:val="0"/>
                                              <w:marRight w:val="0"/>
                                              <w:marTop w:val="0"/>
                                              <w:marBottom w:val="0"/>
                                              <w:divBdr>
                                                <w:top w:val="none" w:sz="0" w:space="0" w:color="auto"/>
                                                <w:left w:val="none" w:sz="0" w:space="0" w:color="auto"/>
                                                <w:bottom w:val="none" w:sz="0" w:space="0" w:color="auto"/>
                                                <w:right w:val="none" w:sz="0" w:space="0" w:color="auto"/>
                                              </w:divBdr>
                                              <w:divsChild>
                                                <w:div w:id="188582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1432459">
              <w:marLeft w:val="0"/>
              <w:marRight w:val="0"/>
              <w:marTop w:val="0"/>
              <w:marBottom w:val="0"/>
              <w:divBdr>
                <w:top w:val="none" w:sz="0" w:space="0" w:color="auto"/>
                <w:left w:val="none" w:sz="0" w:space="0" w:color="auto"/>
                <w:bottom w:val="none" w:sz="0" w:space="0" w:color="auto"/>
                <w:right w:val="none" w:sz="0" w:space="0" w:color="auto"/>
              </w:divBdr>
              <w:divsChild>
                <w:div w:id="1968661165">
                  <w:marLeft w:val="0"/>
                  <w:marRight w:val="0"/>
                  <w:marTop w:val="0"/>
                  <w:marBottom w:val="0"/>
                  <w:divBdr>
                    <w:top w:val="none" w:sz="0" w:space="0" w:color="auto"/>
                    <w:left w:val="none" w:sz="0" w:space="0" w:color="auto"/>
                    <w:bottom w:val="none" w:sz="0" w:space="0" w:color="auto"/>
                    <w:right w:val="none" w:sz="0" w:space="0" w:color="auto"/>
                  </w:divBdr>
                  <w:divsChild>
                    <w:div w:id="982005934">
                      <w:marLeft w:val="-75"/>
                      <w:marRight w:val="-75"/>
                      <w:marTop w:val="0"/>
                      <w:marBottom w:val="0"/>
                      <w:divBdr>
                        <w:top w:val="none" w:sz="0" w:space="0" w:color="auto"/>
                        <w:left w:val="none" w:sz="0" w:space="0" w:color="auto"/>
                        <w:bottom w:val="none" w:sz="0" w:space="0" w:color="auto"/>
                        <w:right w:val="none" w:sz="0" w:space="0" w:color="auto"/>
                      </w:divBdr>
                      <w:divsChild>
                        <w:div w:id="1003238475">
                          <w:marLeft w:val="0"/>
                          <w:marRight w:val="0"/>
                          <w:marTop w:val="0"/>
                          <w:marBottom w:val="0"/>
                          <w:divBdr>
                            <w:top w:val="none" w:sz="0" w:space="0" w:color="auto"/>
                            <w:left w:val="none" w:sz="0" w:space="0" w:color="auto"/>
                            <w:bottom w:val="none" w:sz="0" w:space="0" w:color="auto"/>
                            <w:right w:val="none" w:sz="0" w:space="0" w:color="auto"/>
                          </w:divBdr>
                        </w:div>
                        <w:div w:id="466314959">
                          <w:marLeft w:val="0"/>
                          <w:marRight w:val="0"/>
                          <w:marTop w:val="0"/>
                          <w:marBottom w:val="0"/>
                          <w:divBdr>
                            <w:top w:val="none" w:sz="0" w:space="0" w:color="auto"/>
                            <w:left w:val="none" w:sz="0" w:space="0" w:color="auto"/>
                            <w:bottom w:val="none" w:sz="0" w:space="0" w:color="auto"/>
                            <w:right w:val="none" w:sz="0" w:space="0" w:color="auto"/>
                          </w:divBdr>
                          <w:divsChild>
                            <w:div w:id="610355476">
                              <w:marLeft w:val="0"/>
                              <w:marRight w:val="0"/>
                              <w:marTop w:val="0"/>
                              <w:marBottom w:val="0"/>
                              <w:divBdr>
                                <w:top w:val="none" w:sz="0" w:space="0" w:color="auto"/>
                                <w:left w:val="none" w:sz="0" w:space="0" w:color="auto"/>
                                <w:bottom w:val="none" w:sz="0" w:space="0" w:color="auto"/>
                                <w:right w:val="none" w:sz="0" w:space="0" w:color="auto"/>
                              </w:divBdr>
                              <w:divsChild>
                                <w:div w:id="326174775">
                                  <w:marLeft w:val="0"/>
                                  <w:marRight w:val="0"/>
                                  <w:marTop w:val="0"/>
                                  <w:marBottom w:val="0"/>
                                  <w:divBdr>
                                    <w:top w:val="none" w:sz="0" w:space="0" w:color="auto"/>
                                    <w:left w:val="none" w:sz="0" w:space="0" w:color="auto"/>
                                    <w:bottom w:val="none" w:sz="0" w:space="0" w:color="auto"/>
                                    <w:right w:val="none" w:sz="0" w:space="0" w:color="auto"/>
                                  </w:divBdr>
                                  <w:divsChild>
                                    <w:div w:id="353579515">
                                      <w:marLeft w:val="0"/>
                                      <w:marRight w:val="0"/>
                                      <w:marTop w:val="0"/>
                                      <w:marBottom w:val="0"/>
                                      <w:divBdr>
                                        <w:top w:val="none" w:sz="0" w:space="0" w:color="auto"/>
                                        <w:left w:val="none" w:sz="0" w:space="0" w:color="auto"/>
                                        <w:bottom w:val="none" w:sz="0" w:space="0" w:color="auto"/>
                                        <w:right w:val="none" w:sz="0" w:space="0" w:color="auto"/>
                                      </w:divBdr>
                                      <w:divsChild>
                                        <w:div w:id="895313327">
                                          <w:marLeft w:val="0"/>
                                          <w:marRight w:val="0"/>
                                          <w:marTop w:val="0"/>
                                          <w:marBottom w:val="0"/>
                                          <w:divBdr>
                                            <w:top w:val="none" w:sz="0" w:space="0" w:color="auto"/>
                                            <w:left w:val="none" w:sz="0" w:space="0" w:color="auto"/>
                                            <w:bottom w:val="none" w:sz="0" w:space="0" w:color="auto"/>
                                            <w:right w:val="none" w:sz="0" w:space="0" w:color="auto"/>
                                          </w:divBdr>
                                          <w:divsChild>
                                            <w:div w:id="103942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4589815">
          <w:marLeft w:val="0"/>
          <w:marRight w:val="0"/>
          <w:marTop w:val="0"/>
          <w:marBottom w:val="0"/>
          <w:divBdr>
            <w:top w:val="single" w:sz="6" w:space="0" w:color="DDDDDD"/>
            <w:left w:val="single" w:sz="6" w:space="0" w:color="DDDDDD"/>
            <w:bottom w:val="single" w:sz="6" w:space="0" w:color="DDDDDD"/>
            <w:right w:val="single" w:sz="6" w:space="0" w:color="DDDDDD"/>
          </w:divBdr>
          <w:divsChild>
            <w:div w:id="2027364145">
              <w:marLeft w:val="0"/>
              <w:marRight w:val="0"/>
              <w:marTop w:val="0"/>
              <w:marBottom w:val="0"/>
              <w:divBdr>
                <w:top w:val="none" w:sz="0" w:space="0" w:color="auto"/>
                <w:left w:val="none" w:sz="0" w:space="0" w:color="auto"/>
                <w:bottom w:val="none" w:sz="0" w:space="0" w:color="auto"/>
                <w:right w:val="none" w:sz="0" w:space="0" w:color="auto"/>
              </w:divBdr>
              <w:divsChild>
                <w:div w:id="13849485">
                  <w:marLeft w:val="0"/>
                  <w:marRight w:val="0"/>
                  <w:marTop w:val="0"/>
                  <w:marBottom w:val="0"/>
                  <w:divBdr>
                    <w:top w:val="none" w:sz="0" w:space="0" w:color="auto"/>
                    <w:left w:val="none" w:sz="0" w:space="0" w:color="auto"/>
                    <w:bottom w:val="none" w:sz="0" w:space="0" w:color="auto"/>
                    <w:right w:val="none" w:sz="0" w:space="0" w:color="auto"/>
                  </w:divBdr>
                  <w:divsChild>
                    <w:div w:id="23947293">
                      <w:marLeft w:val="0"/>
                      <w:marRight w:val="0"/>
                      <w:marTop w:val="0"/>
                      <w:marBottom w:val="0"/>
                      <w:divBdr>
                        <w:top w:val="none" w:sz="0" w:space="0" w:color="auto"/>
                        <w:left w:val="none" w:sz="0" w:space="0" w:color="auto"/>
                        <w:bottom w:val="none" w:sz="0" w:space="0" w:color="auto"/>
                        <w:right w:val="none" w:sz="0" w:space="0" w:color="auto"/>
                      </w:divBdr>
                    </w:div>
                    <w:div w:id="579485677">
                      <w:marLeft w:val="0"/>
                      <w:marRight w:val="0"/>
                      <w:marTop w:val="0"/>
                      <w:marBottom w:val="0"/>
                      <w:divBdr>
                        <w:top w:val="none" w:sz="0" w:space="0" w:color="auto"/>
                        <w:left w:val="none" w:sz="0" w:space="0" w:color="auto"/>
                        <w:bottom w:val="none" w:sz="0" w:space="0" w:color="auto"/>
                        <w:right w:val="none" w:sz="0" w:space="0" w:color="auto"/>
                      </w:divBdr>
                      <w:divsChild>
                        <w:div w:id="11765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605617">
      <w:bodyDiv w:val="1"/>
      <w:marLeft w:val="0"/>
      <w:marRight w:val="0"/>
      <w:marTop w:val="0"/>
      <w:marBottom w:val="0"/>
      <w:divBdr>
        <w:top w:val="none" w:sz="0" w:space="0" w:color="auto"/>
        <w:left w:val="none" w:sz="0" w:space="0" w:color="auto"/>
        <w:bottom w:val="none" w:sz="0" w:space="0" w:color="auto"/>
        <w:right w:val="none" w:sz="0" w:space="0" w:color="auto"/>
      </w:divBdr>
    </w:div>
    <w:div w:id="1889874419">
      <w:bodyDiv w:val="1"/>
      <w:marLeft w:val="0"/>
      <w:marRight w:val="0"/>
      <w:marTop w:val="0"/>
      <w:marBottom w:val="0"/>
      <w:divBdr>
        <w:top w:val="none" w:sz="0" w:space="0" w:color="auto"/>
        <w:left w:val="none" w:sz="0" w:space="0" w:color="auto"/>
        <w:bottom w:val="none" w:sz="0" w:space="0" w:color="auto"/>
        <w:right w:val="none" w:sz="0" w:space="0" w:color="auto"/>
      </w:divBdr>
    </w:div>
    <w:div w:id="1899589215">
      <w:bodyDiv w:val="1"/>
      <w:marLeft w:val="0"/>
      <w:marRight w:val="0"/>
      <w:marTop w:val="0"/>
      <w:marBottom w:val="0"/>
      <w:divBdr>
        <w:top w:val="none" w:sz="0" w:space="0" w:color="auto"/>
        <w:left w:val="none" w:sz="0" w:space="0" w:color="auto"/>
        <w:bottom w:val="none" w:sz="0" w:space="0" w:color="auto"/>
        <w:right w:val="none" w:sz="0" w:space="0" w:color="auto"/>
      </w:divBdr>
    </w:div>
    <w:div w:id="1942102438">
      <w:bodyDiv w:val="1"/>
      <w:marLeft w:val="0"/>
      <w:marRight w:val="0"/>
      <w:marTop w:val="0"/>
      <w:marBottom w:val="0"/>
      <w:divBdr>
        <w:top w:val="none" w:sz="0" w:space="0" w:color="auto"/>
        <w:left w:val="none" w:sz="0" w:space="0" w:color="auto"/>
        <w:bottom w:val="none" w:sz="0" w:space="0" w:color="auto"/>
        <w:right w:val="none" w:sz="0" w:space="0" w:color="auto"/>
      </w:divBdr>
    </w:div>
    <w:div w:id="2019693644">
      <w:bodyDiv w:val="1"/>
      <w:marLeft w:val="0"/>
      <w:marRight w:val="0"/>
      <w:marTop w:val="0"/>
      <w:marBottom w:val="0"/>
      <w:divBdr>
        <w:top w:val="none" w:sz="0" w:space="0" w:color="auto"/>
        <w:left w:val="none" w:sz="0" w:space="0" w:color="auto"/>
        <w:bottom w:val="none" w:sz="0" w:space="0" w:color="auto"/>
        <w:right w:val="none" w:sz="0" w:space="0" w:color="auto"/>
      </w:divBdr>
      <w:divsChild>
        <w:div w:id="690569830">
          <w:marLeft w:val="0"/>
          <w:marRight w:val="0"/>
          <w:marTop w:val="0"/>
          <w:marBottom w:val="0"/>
          <w:divBdr>
            <w:top w:val="none" w:sz="0" w:space="0" w:color="auto"/>
            <w:left w:val="none" w:sz="0" w:space="0" w:color="auto"/>
            <w:bottom w:val="none" w:sz="0" w:space="0" w:color="auto"/>
            <w:right w:val="none" w:sz="0" w:space="0" w:color="auto"/>
          </w:divBdr>
        </w:div>
        <w:div w:id="1598557156">
          <w:marLeft w:val="0"/>
          <w:marRight w:val="0"/>
          <w:marTop w:val="0"/>
          <w:marBottom w:val="0"/>
          <w:divBdr>
            <w:top w:val="none" w:sz="0" w:space="0" w:color="auto"/>
            <w:left w:val="none" w:sz="0" w:space="0" w:color="auto"/>
            <w:bottom w:val="none" w:sz="0" w:space="0" w:color="auto"/>
            <w:right w:val="none" w:sz="0" w:space="0" w:color="auto"/>
          </w:divBdr>
        </w:div>
        <w:div w:id="1144541720">
          <w:marLeft w:val="0"/>
          <w:marRight w:val="0"/>
          <w:marTop w:val="0"/>
          <w:marBottom w:val="0"/>
          <w:divBdr>
            <w:top w:val="none" w:sz="0" w:space="0" w:color="auto"/>
            <w:left w:val="none" w:sz="0" w:space="0" w:color="auto"/>
            <w:bottom w:val="none" w:sz="0" w:space="0" w:color="auto"/>
            <w:right w:val="none" w:sz="0" w:space="0" w:color="auto"/>
          </w:divBdr>
        </w:div>
        <w:div w:id="75132406">
          <w:marLeft w:val="0"/>
          <w:marRight w:val="0"/>
          <w:marTop w:val="0"/>
          <w:marBottom w:val="0"/>
          <w:divBdr>
            <w:top w:val="none" w:sz="0" w:space="0" w:color="auto"/>
            <w:left w:val="none" w:sz="0" w:space="0" w:color="auto"/>
            <w:bottom w:val="none" w:sz="0" w:space="0" w:color="auto"/>
            <w:right w:val="none" w:sz="0" w:space="0" w:color="auto"/>
          </w:divBdr>
        </w:div>
        <w:div w:id="332492490">
          <w:marLeft w:val="0"/>
          <w:marRight w:val="0"/>
          <w:marTop w:val="0"/>
          <w:marBottom w:val="0"/>
          <w:divBdr>
            <w:top w:val="none" w:sz="0" w:space="0" w:color="auto"/>
            <w:left w:val="none" w:sz="0" w:space="0" w:color="auto"/>
            <w:bottom w:val="none" w:sz="0" w:space="0" w:color="auto"/>
            <w:right w:val="none" w:sz="0" w:space="0" w:color="auto"/>
          </w:divBdr>
        </w:div>
        <w:div w:id="1704743192">
          <w:marLeft w:val="0"/>
          <w:marRight w:val="0"/>
          <w:marTop w:val="0"/>
          <w:marBottom w:val="0"/>
          <w:divBdr>
            <w:top w:val="none" w:sz="0" w:space="0" w:color="auto"/>
            <w:left w:val="none" w:sz="0" w:space="0" w:color="auto"/>
            <w:bottom w:val="none" w:sz="0" w:space="0" w:color="auto"/>
            <w:right w:val="none" w:sz="0" w:space="0" w:color="auto"/>
          </w:divBdr>
        </w:div>
        <w:div w:id="781194575">
          <w:marLeft w:val="0"/>
          <w:marRight w:val="0"/>
          <w:marTop w:val="0"/>
          <w:marBottom w:val="0"/>
          <w:divBdr>
            <w:top w:val="none" w:sz="0" w:space="0" w:color="auto"/>
            <w:left w:val="none" w:sz="0" w:space="0" w:color="auto"/>
            <w:bottom w:val="none" w:sz="0" w:space="0" w:color="auto"/>
            <w:right w:val="none" w:sz="0" w:space="0" w:color="auto"/>
          </w:divBdr>
        </w:div>
        <w:div w:id="51581616">
          <w:marLeft w:val="0"/>
          <w:marRight w:val="0"/>
          <w:marTop w:val="0"/>
          <w:marBottom w:val="0"/>
          <w:divBdr>
            <w:top w:val="none" w:sz="0" w:space="0" w:color="auto"/>
            <w:left w:val="none" w:sz="0" w:space="0" w:color="auto"/>
            <w:bottom w:val="none" w:sz="0" w:space="0" w:color="auto"/>
            <w:right w:val="none" w:sz="0" w:space="0" w:color="auto"/>
          </w:divBdr>
        </w:div>
        <w:div w:id="121731170">
          <w:marLeft w:val="0"/>
          <w:marRight w:val="0"/>
          <w:marTop w:val="0"/>
          <w:marBottom w:val="0"/>
          <w:divBdr>
            <w:top w:val="none" w:sz="0" w:space="0" w:color="auto"/>
            <w:left w:val="none" w:sz="0" w:space="0" w:color="auto"/>
            <w:bottom w:val="none" w:sz="0" w:space="0" w:color="auto"/>
            <w:right w:val="none" w:sz="0" w:space="0" w:color="auto"/>
          </w:divBdr>
        </w:div>
        <w:div w:id="34235365">
          <w:marLeft w:val="0"/>
          <w:marRight w:val="0"/>
          <w:marTop w:val="0"/>
          <w:marBottom w:val="0"/>
          <w:divBdr>
            <w:top w:val="none" w:sz="0" w:space="0" w:color="auto"/>
            <w:left w:val="none" w:sz="0" w:space="0" w:color="auto"/>
            <w:bottom w:val="none" w:sz="0" w:space="0" w:color="auto"/>
            <w:right w:val="none" w:sz="0" w:space="0" w:color="auto"/>
          </w:divBdr>
        </w:div>
        <w:div w:id="2023043689">
          <w:marLeft w:val="0"/>
          <w:marRight w:val="0"/>
          <w:marTop w:val="0"/>
          <w:marBottom w:val="0"/>
          <w:divBdr>
            <w:top w:val="none" w:sz="0" w:space="0" w:color="auto"/>
            <w:left w:val="none" w:sz="0" w:space="0" w:color="auto"/>
            <w:bottom w:val="none" w:sz="0" w:space="0" w:color="auto"/>
            <w:right w:val="none" w:sz="0" w:space="0" w:color="auto"/>
          </w:divBdr>
        </w:div>
      </w:divsChild>
    </w:div>
    <w:div w:id="203583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x.doi.org/10.2139/ssrn.2495610" TargetMode="External"/><Relationship Id="rId21" Type="http://schemas.openxmlformats.org/officeDocument/2006/relationships/hyperlink" Target="https://www.sciencedirect.com/science/article/abs/pii/S0165410101000192" TargetMode="External"/><Relationship Id="rId34" Type="http://schemas.openxmlformats.org/officeDocument/2006/relationships/hyperlink" Target="https://onlinelibrary.wiley.com/action/doSearch?ContribAuthorStored=Jiang%2C+Li" TargetMode="External"/><Relationship Id="rId42" Type="http://schemas.openxmlformats.org/officeDocument/2006/relationships/hyperlink" Target="http://dx.doi.org/10.1590/1678-69712017/administracao.v18n3p203-231" TargetMode="External"/><Relationship Id="rId47" Type="http://schemas.openxmlformats.org/officeDocument/2006/relationships/hyperlink" Target="https://www.emerald.com/insight/search?q=Mohammad%20M.%20Omran" TargetMode="External"/><Relationship Id="rId50" Type="http://schemas.openxmlformats.org/officeDocument/2006/relationships/hyperlink" Target="https://econpapers.repec.org/article/eeejfinec/" TargetMode="External"/><Relationship Id="rId55" Type="http://schemas.openxmlformats.org/officeDocument/2006/relationships/hyperlink" Target="https://doi.org/10.1016/j.jcae.2008.11.001" TargetMode="External"/><Relationship Id="rId63" Type="http://schemas.openxmlformats.org/officeDocument/2006/relationships/header" Target="header2.xml"/><Relationship Id="rId7" Type="http://schemas.openxmlformats.org/officeDocument/2006/relationships/endnotes" Target="endnotes.xml"/><Relationship Id="rId71"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www.tandfonline.com/author/Aziz%2C+Omar+G" TargetMode="External"/><Relationship Id="rId29" Type="http://schemas.openxmlformats.org/officeDocument/2006/relationships/hyperlink" Target="http://dx.doi.org/10.2308/iace.2003.18.1.79" TargetMode="External"/><Relationship Id="rId11" Type="http://schemas.openxmlformats.org/officeDocument/2006/relationships/hyperlink" Target="javascript:;" TargetMode="External"/><Relationship Id="rId24" Type="http://schemas.openxmlformats.org/officeDocument/2006/relationships/hyperlink" Target="https://www.sciencedirect.com/science/journal/01654101" TargetMode="External"/><Relationship Id="rId32" Type="http://schemas.openxmlformats.org/officeDocument/2006/relationships/hyperlink" Target="file:///C:\Users\user\Downloads\European%20Accounting%20Review,%2015(3),%20325-349.&#160;" TargetMode="External"/><Relationship Id="rId37" Type="http://schemas.openxmlformats.org/officeDocument/2006/relationships/hyperlink" Target="javascript:;" TargetMode="External"/><Relationship Id="rId40" Type="http://schemas.openxmlformats.org/officeDocument/2006/relationships/hyperlink" Target="https://doi.org/10.2308/jiar-19-514" TargetMode="External"/><Relationship Id="rId45" Type="http://schemas.openxmlformats.org/officeDocument/2006/relationships/hyperlink" Target="https://doi.org/10.1111/jbfa.12071" TargetMode="External"/><Relationship Id="rId53" Type="http://schemas.openxmlformats.org/officeDocument/2006/relationships/hyperlink" Target="https://www.sciencedirect.com/science/journal/18155669" TargetMode="External"/><Relationship Id="rId58" Type="http://schemas.openxmlformats.org/officeDocument/2006/relationships/hyperlink" Target="https://link.springer.com/journal/11156"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doi.org/10.1111/auar.12107" TargetMode="External"/><Relationship Id="rId19" Type="http://schemas.openxmlformats.org/officeDocument/2006/relationships/hyperlink" Target="https://doi.org/10.1016/j.jacceco.2004.04.001" TargetMode="External"/><Relationship Id="rId14" Type="http://schemas.openxmlformats.org/officeDocument/2006/relationships/hyperlink" Target="https://ssrn.com/abstract=1572461" TargetMode="External"/><Relationship Id="rId22" Type="http://schemas.openxmlformats.org/officeDocument/2006/relationships/hyperlink" Target="https://www.sciencedirect.com/science/article/abs/pii/S0165410101000192" TargetMode="External"/><Relationship Id="rId27" Type="http://schemas.openxmlformats.org/officeDocument/2006/relationships/hyperlink" Target="https://doi.org/10.2308/accr.2002.77.s-1.35" TargetMode="External"/><Relationship Id="rId30" Type="http://schemas.openxmlformats.org/officeDocument/2006/relationships/hyperlink" Target="https://doi.org/10.2308/accr.2004.79.4.967" TargetMode="External"/><Relationship Id="rId35" Type="http://schemas.openxmlformats.org/officeDocument/2006/relationships/hyperlink" Target="https://onlinelibrary.wiley.com/action/doSearch?ContribAuthorStored=Kim%2C+Jeong-Bon" TargetMode="External"/><Relationship Id="rId43" Type="http://schemas.openxmlformats.org/officeDocument/2006/relationships/hyperlink" Target="https://doi.org/10.1080/23322039.2019.1651623" TargetMode="External"/><Relationship Id="rId48" Type="http://schemas.openxmlformats.org/officeDocument/2006/relationships/hyperlink" Target="https://www.emerald.com/insight/publication/issn/1475-7702" TargetMode="External"/><Relationship Id="rId56" Type="http://schemas.openxmlformats.org/officeDocument/2006/relationships/hyperlink" Target="https://doi.org/10.1108/jaee-04-2011-0011" TargetMode="External"/><Relationship Id="rId64" Type="http://schemas.openxmlformats.org/officeDocument/2006/relationships/footer" Target="footer1.xml"/><Relationship Id="rId8" Type="http://schemas.openxmlformats.org/officeDocument/2006/relationships/hyperlink" Target="mailto:mawih@du.edu.om" TargetMode="External"/><Relationship Id="rId51" Type="http://schemas.openxmlformats.org/officeDocument/2006/relationships/hyperlink" Target="https://doi.org/10.1016/j.jfineco.2008.02.002" TargetMode="External"/><Relationship Id="rId3" Type="http://schemas.openxmlformats.org/officeDocument/2006/relationships/styles" Target="styles.xml"/><Relationship Id="rId12" Type="http://schemas.openxmlformats.org/officeDocument/2006/relationships/hyperlink" Target="https://doi.org/10.1108/JAAR-11-2014-0124" TargetMode="External"/><Relationship Id="rId17" Type="http://schemas.openxmlformats.org/officeDocument/2006/relationships/hyperlink" Target="https://www.tandfonline.com/author/Mishra%2C+Anil+V" TargetMode="External"/><Relationship Id="rId25" Type="http://schemas.openxmlformats.org/officeDocument/2006/relationships/hyperlink" Target="https://link.springer.com/journal/11135" TargetMode="External"/><Relationship Id="rId33" Type="http://schemas.openxmlformats.org/officeDocument/2006/relationships/hyperlink" Target="https://doi.org/10.1080/09638180600916242" TargetMode="External"/><Relationship Id="rId38" Type="http://schemas.openxmlformats.org/officeDocument/2006/relationships/hyperlink" Target="javascript:;" TargetMode="External"/><Relationship Id="rId46" Type="http://schemas.openxmlformats.org/officeDocument/2006/relationships/hyperlink" Target="https://www.emerald.com/insight/search?q=Aiman%20A.%20Ragab" TargetMode="External"/><Relationship Id="rId59" Type="http://schemas.openxmlformats.org/officeDocument/2006/relationships/hyperlink" Target="https://onlinelibrary.wiley.com/action/doSearch?ContribAuthorStored=Zhong%2C+Yuxiang" TargetMode="External"/><Relationship Id="rId67" Type="http://schemas.openxmlformats.org/officeDocument/2006/relationships/theme" Target="theme/theme1.xml"/><Relationship Id="rId20" Type="http://schemas.openxmlformats.org/officeDocument/2006/relationships/hyperlink" Target="https://doi.org/10.1016/j.jacceco.2003.10.003" TargetMode="External"/><Relationship Id="rId41" Type="http://schemas.openxmlformats.org/officeDocument/2006/relationships/hyperlink" Target="https://doi.org/10.1007/s11156-019-00834-3" TargetMode="External"/><Relationship Id="rId54" Type="http://schemas.openxmlformats.org/officeDocument/2006/relationships/hyperlink" Target="file:///C:\Users\Toshiba\Downloads\5(1"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x.doi.org/10.2139/ssrn.1572461" TargetMode="External"/><Relationship Id="rId23" Type="http://schemas.openxmlformats.org/officeDocument/2006/relationships/hyperlink" Target="https://www.sciencedirect.com/science/article/abs/pii/S0165410101000192" TargetMode="External"/><Relationship Id="rId28" Type="http://schemas.openxmlformats.org/officeDocument/2006/relationships/hyperlink" Target="https://www.researchgate.net/journal/1380-6653_Review_of_Accounting_Studies" TargetMode="External"/><Relationship Id="rId36" Type="http://schemas.openxmlformats.org/officeDocument/2006/relationships/hyperlink" Target="https://doi.org/10.1111/j.1467-646X.2004.00107.x" TargetMode="External"/><Relationship Id="rId49" Type="http://schemas.openxmlformats.org/officeDocument/2006/relationships/hyperlink" Target="https://doi.org/10.1108/14757700610686444" TargetMode="External"/><Relationship Id="rId57" Type="http://schemas.openxmlformats.org/officeDocument/2006/relationships/hyperlink" Target="https://doi.org/10.1080/23322039.2019.1698940" TargetMode="External"/><Relationship Id="rId10" Type="http://schemas.openxmlformats.org/officeDocument/2006/relationships/hyperlink" Target="https://www.emerald.com/insight/search?q=Mohammad%20M.%20Omran" TargetMode="External"/><Relationship Id="rId31" Type="http://schemas.openxmlformats.org/officeDocument/2006/relationships/hyperlink" Target="https://www.tandfonline.com/author/Hellstr%C3%B6m%2C+Katerina" TargetMode="External"/><Relationship Id="rId44" Type="http://schemas.openxmlformats.org/officeDocument/2006/relationships/hyperlink" Target="https://ssrn.com/abstract=3301083" TargetMode="External"/><Relationship Id="rId52" Type="http://schemas.openxmlformats.org/officeDocument/2006/relationships/hyperlink" Target="https://www.sciencedirect.com/science/article/abs/pii/S1815566909000034" TargetMode="External"/><Relationship Id="rId60" Type="http://schemas.openxmlformats.org/officeDocument/2006/relationships/hyperlink" Target="file:///C:\Users\Toshiba\Downloads\27(2" TargetMode="External"/><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emerald.com/insight/search?q=Aiman%20A.%20Ragab" TargetMode="External"/><Relationship Id="rId13" Type="http://schemas.openxmlformats.org/officeDocument/2006/relationships/hyperlink" Target="https://doi.org/10.2307/2672920" TargetMode="External"/><Relationship Id="rId18" Type="http://schemas.openxmlformats.org/officeDocument/2006/relationships/hyperlink" Target="https://doi.org/10.1080/09638199.2015.1057610" TargetMode="External"/><Relationship Id="rId39"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B55B6-4B75-439F-A250-E4E378848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48</Pages>
  <Words>18724</Words>
  <Characters>106729</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5</cp:revision>
  <cp:lastPrinted>2021-08-18T18:21:00Z</cp:lastPrinted>
  <dcterms:created xsi:type="dcterms:W3CDTF">2021-08-18T18:11:00Z</dcterms:created>
  <dcterms:modified xsi:type="dcterms:W3CDTF">2021-08-18T18:27:00Z</dcterms:modified>
</cp:coreProperties>
</file>