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AE8FD9" w14:textId="0CDBB7D3" w:rsidR="005B7147" w:rsidRPr="007A6659" w:rsidRDefault="007A6659" w:rsidP="001E7398">
      <w:pPr>
        <w:spacing w:beforeLines="150" w:before="360" w:after="0" w:line="520" w:lineRule="exact"/>
        <w:jc w:val="center"/>
        <w:rPr>
          <w:b/>
          <w:sz w:val="32"/>
          <w:szCs w:val="32"/>
        </w:rPr>
      </w:pPr>
      <w:bookmarkStart w:id="0" w:name="_GoBack"/>
      <w:bookmarkEnd w:id="0"/>
      <w:r>
        <w:rPr>
          <w:b/>
          <w:sz w:val="32"/>
          <w:szCs w:val="32"/>
        </w:rPr>
        <w:t>H</w:t>
      </w:r>
      <w:r w:rsidR="005B7147" w:rsidRPr="007A6659">
        <w:rPr>
          <w:b/>
          <w:sz w:val="32"/>
          <w:szCs w:val="32"/>
        </w:rPr>
        <w:t xml:space="preserve">ow </w:t>
      </w:r>
      <w:r w:rsidR="00924825">
        <w:rPr>
          <w:b/>
          <w:sz w:val="32"/>
          <w:szCs w:val="32"/>
        </w:rPr>
        <w:t xml:space="preserve">Formal </w:t>
      </w:r>
      <w:r w:rsidR="001E7398">
        <w:rPr>
          <w:rFonts w:hint="eastAsia"/>
          <w:b/>
          <w:sz w:val="32"/>
          <w:szCs w:val="32"/>
          <w:lang w:eastAsia="zh-TW"/>
        </w:rPr>
        <w:t>a</w:t>
      </w:r>
      <w:r w:rsidR="001E7398">
        <w:rPr>
          <w:b/>
          <w:sz w:val="32"/>
          <w:szCs w:val="32"/>
        </w:rPr>
        <w:t xml:space="preserve">nd </w:t>
      </w:r>
      <w:r w:rsidR="00924825">
        <w:rPr>
          <w:b/>
          <w:sz w:val="32"/>
          <w:szCs w:val="32"/>
        </w:rPr>
        <w:t>Informal Institutional Environments</w:t>
      </w:r>
      <w:r w:rsidRPr="007A6659">
        <w:rPr>
          <w:b/>
          <w:sz w:val="32"/>
          <w:szCs w:val="32"/>
        </w:rPr>
        <w:t xml:space="preserve"> Affect </w:t>
      </w:r>
      <w:r w:rsidR="00F13EB5">
        <w:rPr>
          <w:rFonts w:hint="eastAsia"/>
          <w:b/>
          <w:sz w:val="32"/>
          <w:szCs w:val="32"/>
          <w:lang w:eastAsia="zh-TW"/>
        </w:rPr>
        <w:t>t</w:t>
      </w:r>
      <w:r w:rsidR="001E7398" w:rsidRPr="007A6659">
        <w:rPr>
          <w:b/>
          <w:sz w:val="32"/>
          <w:szCs w:val="32"/>
        </w:rPr>
        <w:t xml:space="preserve">he </w:t>
      </w:r>
      <w:r w:rsidRPr="007A6659">
        <w:rPr>
          <w:b/>
          <w:sz w:val="32"/>
          <w:szCs w:val="32"/>
        </w:rPr>
        <w:t xml:space="preserve">Way </w:t>
      </w:r>
      <w:r w:rsidR="005B7147" w:rsidRPr="007A6659">
        <w:rPr>
          <w:b/>
          <w:sz w:val="32"/>
          <w:szCs w:val="32"/>
        </w:rPr>
        <w:t xml:space="preserve">Greenpeace </w:t>
      </w:r>
      <w:r w:rsidRPr="007A6659">
        <w:rPr>
          <w:b/>
          <w:sz w:val="32"/>
          <w:szCs w:val="32"/>
        </w:rPr>
        <w:t>Fights Genetically</w:t>
      </w:r>
      <w:r w:rsidR="001E7398" w:rsidRPr="007A6659">
        <w:rPr>
          <w:b/>
          <w:sz w:val="32"/>
          <w:szCs w:val="32"/>
        </w:rPr>
        <w:t>-</w:t>
      </w:r>
      <w:r w:rsidRPr="007A6659">
        <w:rPr>
          <w:b/>
          <w:sz w:val="32"/>
          <w:szCs w:val="32"/>
        </w:rPr>
        <w:t xml:space="preserve">Modified Organisms </w:t>
      </w:r>
      <w:r w:rsidR="001E7398">
        <w:rPr>
          <w:rFonts w:hint="eastAsia"/>
          <w:b/>
          <w:sz w:val="32"/>
          <w:szCs w:val="32"/>
          <w:lang w:eastAsia="zh-TW"/>
        </w:rPr>
        <w:t>i</w:t>
      </w:r>
      <w:r w:rsidR="001E7398" w:rsidRPr="007A6659">
        <w:rPr>
          <w:b/>
          <w:sz w:val="32"/>
          <w:szCs w:val="32"/>
        </w:rPr>
        <w:t xml:space="preserve">n </w:t>
      </w:r>
      <w:r w:rsidR="005B7147" w:rsidRPr="007A6659">
        <w:rPr>
          <w:b/>
          <w:sz w:val="32"/>
          <w:szCs w:val="32"/>
        </w:rPr>
        <w:t xml:space="preserve">Europe </w:t>
      </w:r>
      <w:r w:rsidR="001E7398">
        <w:rPr>
          <w:rFonts w:hint="eastAsia"/>
          <w:b/>
          <w:sz w:val="32"/>
          <w:szCs w:val="32"/>
          <w:lang w:eastAsia="zh-TW"/>
        </w:rPr>
        <w:t>a</w:t>
      </w:r>
      <w:r w:rsidR="001E7398" w:rsidRPr="007A6659">
        <w:rPr>
          <w:b/>
          <w:sz w:val="32"/>
          <w:szCs w:val="32"/>
        </w:rPr>
        <w:t xml:space="preserve">nd </w:t>
      </w:r>
      <w:r w:rsidR="00F13EB5">
        <w:rPr>
          <w:b/>
          <w:sz w:val="32"/>
          <w:szCs w:val="32"/>
        </w:rPr>
        <w:t>t</w:t>
      </w:r>
      <w:r w:rsidR="001E7398" w:rsidRPr="007A6659">
        <w:rPr>
          <w:b/>
          <w:sz w:val="32"/>
          <w:szCs w:val="32"/>
        </w:rPr>
        <w:t xml:space="preserve">he </w:t>
      </w:r>
      <w:r w:rsidR="005B7147" w:rsidRPr="007A6659">
        <w:rPr>
          <w:b/>
          <w:sz w:val="32"/>
          <w:szCs w:val="32"/>
        </w:rPr>
        <w:t>United States</w:t>
      </w:r>
    </w:p>
    <w:p w14:paraId="173AC67B" w14:textId="0D0267A6" w:rsidR="00CD1DE3" w:rsidRDefault="00CD1DE3" w:rsidP="00CD1DE3">
      <w:pPr>
        <w:spacing w:after="0" w:line="360" w:lineRule="exact"/>
        <w:jc w:val="center"/>
        <w:rPr>
          <w:b/>
          <w:sz w:val="32"/>
          <w:szCs w:val="32"/>
          <w:lang w:eastAsia="zh-TW"/>
        </w:rPr>
      </w:pPr>
    </w:p>
    <w:p w14:paraId="44DD2BF5" w14:textId="77777777" w:rsidR="00CD1DE3" w:rsidRPr="00095301" w:rsidRDefault="00CD1DE3" w:rsidP="00CD1DE3">
      <w:pPr>
        <w:widowControl w:val="0"/>
        <w:spacing w:after="0" w:line="240" w:lineRule="auto"/>
        <w:jc w:val="center"/>
        <w:rPr>
          <w:rFonts w:eastAsia="新細明體"/>
          <w:kern w:val="2"/>
          <w:sz w:val="28"/>
          <w:szCs w:val="22"/>
          <w:lang w:eastAsia="zh-TW"/>
        </w:rPr>
      </w:pPr>
      <w:r w:rsidRPr="00095301">
        <w:rPr>
          <w:rFonts w:eastAsia="新細明體"/>
          <w:kern w:val="2"/>
          <w:sz w:val="28"/>
          <w:szCs w:val="22"/>
          <w:lang w:eastAsia="zh-TW"/>
        </w:rPr>
        <w:t>Stephen R. Luxmore</w:t>
      </w:r>
    </w:p>
    <w:p w14:paraId="73EC3695" w14:textId="77777777" w:rsidR="00CD1DE3" w:rsidRPr="00095301" w:rsidRDefault="00CD1DE3" w:rsidP="00CD1DE3">
      <w:pPr>
        <w:widowControl w:val="0"/>
        <w:spacing w:after="0" w:line="240" w:lineRule="auto"/>
        <w:jc w:val="center"/>
        <w:rPr>
          <w:rFonts w:eastAsia="新細明體"/>
          <w:kern w:val="2"/>
          <w:sz w:val="28"/>
          <w:szCs w:val="22"/>
          <w:lang w:eastAsia="zh-TW"/>
        </w:rPr>
      </w:pPr>
      <w:r w:rsidRPr="00095301">
        <w:rPr>
          <w:rFonts w:eastAsia="新細明體"/>
          <w:kern w:val="2"/>
          <w:sz w:val="28"/>
          <w:szCs w:val="22"/>
          <w:lang w:eastAsia="zh-TW"/>
        </w:rPr>
        <w:t>Saunders College of Business, Rochester Institute of Technology</w:t>
      </w:r>
    </w:p>
    <w:p w14:paraId="47F6F780" w14:textId="77777777" w:rsidR="00CD1DE3" w:rsidRPr="00095301" w:rsidRDefault="00CD1DE3" w:rsidP="00CD1DE3">
      <w:pPr>
        <w:widowControl w:val="0"/>
        <w:spacing w:after="0" w:line="240" w:lineRule="auto"/>
        <w:jc w:val="center"/>
        <w:rPr>
          <w:rFonts w:eastAsia="新細明體"/>
          <w:kern w:val="2"/>
          <w:sz w:val="28"/>
          <w:szCs w:val="22"/>
          <w:lang w:eastAsia="zh-TW"/>
        </w:rPr>
      </w:pPr>
      <w:r w:rsidRPr="00095301">
        <w:rPr>
          <w:rFonts w:eastAsia="新細明體"/>
          <w:kern w:val="2"/>
          <w:sz w:val="28"/>
          <w:szCs w:val="22"/>
          <w:lang w:eastAsia="zh-TW"/>
        </w:rPr>
        <w:t xml:space="preserve">E-Mail: </w:t>
      </w:r>
      <w:r w:rsidRPr="00095301">
        <w:rPr>
          <w:rFonts w:eastAsia="新細明體"/>
          <w:color w:val="000000" w:themeColor="text1"/>
          <w:kern w:val="2"/>
          <w:sz w:val="28"/>
          <w:szCs w:val="22"/>
          <w:lang w:eastAsia="zh-TW"/>
        </w:rPr>
        <w:t>sluxmore@saunders.rit.edu</w:t>
      </w:r>
    </w:p>
    <w:p w14:paraId="6881CFA0" w14:textId="77777777" w:rsidR="00CD1DE3" w:rsidRPr="00095301" w:rsidRDefault="00CD1DE3" w:rsidP="00CD1DE3">
      <w:pPr>
        <w:widowControl w:val="0"/>
        <w:spacing w:after="0" w:line="240" w:lineRule="auto"/>
        <w:jc w:val="center"/>
        <w:rPr>
          <w:rFonts w:eastAsia="新細明體"/>
          <w:kern w:val="2"/>
          <w:sz w:val="28"/>
          <w:szCs w:val="22"/>
          <w:lang w:eastAsia="zh-TW"/>
        </w:rPr>
      </w:pPr>
    </w:p>
    <w:p w14:paraId="57071D11" w14:textId="4792AF68" w:rsidR="00CD1DE3" w:rsidRPr="00095301" w:rsidRDefault="00CD1DE3" w:rsidP="00CD1DE3">
      <w:pPr>
        <w:widowControl w:val="0"/>
        <w:spacing w:after="0" w:line="240" w:lineRule="auto"/>
        <w:jc w:val="center"/>
        <w:rPr>
          <w:rFonts w:eastAsia="新細明體"/>
          <w:kern w:val="2"/>
          <w:sz w:val="28"/>
          <w:szCs w:val="22"/>
          <w:lang w:eastAsia="zh-TW"/>
        </w:rPr>
      </w:pPr>
      <w:r w:rsidRPr="00095301">
        <w:rPr>
          <w:rFonts w:eastAsia="新細明體"/>
          <w:kern w:val="2"/>
          <w:sz w:val="28"/>
          <w:szCs w:val="22"/>
          <w:lang w:eastAsia="zh-TW"/>
        </w:rPr>
        <w:t>Clyde Eir</w:t>
      </w:r>
      <w:r w:rsidR="00331503">
        <w:rPr>
          <w:rFonts w:eastAsia="新細明體"/>
          <w:kern w:val="2"/>
          <w:sz w:val="28"/>
          <w:szCs w:val="22"/>
          <w:lang w:eastAsia="zh-TW"/>
        </w:rPr>
        <w:t>í</w:t>
      </w:r>
      <w:r w:rsidRPr="00095301">
        <w:rPr>
          <w:rFonts w:eastAsia="新細明體"/>
          <w:kern w:val="2"/>
          <w:sz w:val="28"/>
          <w:szCs w:val="22"/>
          <w:lang w:eastAsia="zh-TW"/>
        </w:rPr>
        <w:t>kur Hull</w:t>
      </w:r>
    </w:p>
    <w:p w14:paraId="46F2FD40" w14:textId="77777777" w:rsidR="00CD1DE3" w:rsidRPr="00095301" w:rsidRDefault="00CD1DE3" w:rsidP="00CD1DE3">
      <w:pPr>
        <w:widowControl w:val="0"/>
        <w:spacing w:after="0" w:line="240" w:lineRule="auto"/>
        <w:jc w:val="center"/>
        <w:rPr>
          <w:rFonts w:eastAsia="新細明體"/>
          <w:kern w:val="2"/>
          <w:sz w:val="28"/>
          <w:szCs w:val="22"/>
          <w:lang w:eastAsia="zh-TW"/>
        </w:rPr>
      </w:pPr>
      <w:r w:rsidRPr="00095301">
        <w:rPr>
          <w:rFonts w:eastAsia="新細明體"/>
          <w:kern w:val="2"/>
          <w:sz w:val="28"/>
          <w:szCs w:val="22"/>
          <w:lang w:eastAsia="zh-TW"/>
        </w:rPr>
        <w:t>Saunders College of Business, Rochester Institute of Technology</w:t>
      </w:r>
    </w:p>
    <w:p w14:paraId="72EA658D" w14:textId="77777777" w:rsidR="00CD1DE3" w:rsidRPr="00095301" w:rsidRDefault="00CD1DE3" w:rsidP="00CD1DE3">
      <w:pPr>
        <w:widowControl w:val="0"/>
        <w:spacing w:after="0" w:line="240" w:lineRule="auto"/>
        <w:jc w:val="center"/>
        <w:rPr>
          <w:rFonts w:eastAsia="新細明體"/>
          <w:kern w:val="2"/>
          <w:sz w:val="28"/>
          <w:szCs w:val="22"/>
          <w:lang w:eastAsia="zh-TW"/>
        </w:rPr>
      </w:pPr>
      <w:r w:rsidRPr="00095301">
        <w:rPr>
          <w:rFonts w:eastAsia="新細明體"/>
          <w:kern w:val="2"/>
          <w:sz w:val="28"/>
          <w:szCs w:val="22"/>
          <w:lang w:eastAsia="zh-TW"/>
        </w:rPr>
        <w:t>E-Mail: chull@saunders.rit.edu</w:t>
      </w:r>
    </w:p>
    <w:p w14:paraId="2546C23E" w14:textId="4440740B" w:rsidR="00CD1DE3" w:rsidRDefault="00CD1DE3" w:rsidP="00CD1DE3">
      <w:pPr>
        <w:spacing w:after="0" w:line="360" w:lineRule="exact"/>
        <w:jc w:val="center"/>
        <w:rPr>
          <w:b/>
          <w:sz w:val="32"/>
          <w:szCs w:val="32"/>
        </w:rPr>
      </w:pPr>
    </w:p>
    <w:p w14:paraId="77B0AE9F" w14:textId="77777777" w:rsidR="00CD1DE3" w:rsidRPr="007A6659" w:rsidRDefault="00CD1DE3" w:rsidP="00CD1DE3">
      <w:pPr>
        <w:spacing w:after="0" w:line="360" w:lineRule="exact"/>
        <w:jc w:val="center"/>
        <w:rPr>
          <w:b/>
          <w:sz w:val="32"/>
          <w:szCs w:val="32"/>
        </w:rPr>
      </w:pPr>
    </w:p>
    <w:p w14:paraId="4730EE65" w14:textId="7259B36A" w:rsidR="005B7147" w:rsidRPr="007A6659" w:rsidRDefault="00736938" w:rsidP="001E7398">
      <w:pPr>
        <w:spacing w:after="0" w:line="240" w:lineRule="auto"/>
        <w:jc w:val="center"/>
        <w:outlineLvl w:val="0"/>
        <w:rPr>
          <w:b/>
          <w:sz w:val="26"/>
          <w:szCs w:val="26"/>
        </w:rPr>
      </w:pPr>
      <w:r w:rsidRPr="007A6659">
        <w:rPr>
          <w:b/>
          <w:sz w:val="26"/>
          <w:szCs w:val="26"/>
        </w:rPr>
        <w:t>ABSTRACT</w:t>
      </w:r>
    </w:p>
    <w:p w14:paraId="3B3675AE" w14:textId="3AFB2350" w:rsidR="005B7147" w:rsidRPr="007A6659" w:rsidRDefault="005B7147" w:rsidP="0068168C">
      <w:pPr>
        <w:spacing w:after="0" w:line="360" w:lineRule="exact"/>
        <w:ind w:firstLineChars="200" w:firstLine="520"/>
        <w:jc w:val="both"/>
        <w:rPr>
          <w:sz w:val="26"/>
          <w:szCs w:val="26"/>
        </w:rPr>
      </w:pPr>
      <w:r w:rsidRPr="007A6659">
        <w:rPr>
          <w:sz w:val="26"/>
          <w:szCs w:val="26"/>
        </w:rPr>
        <w:t>We appl</w:t>
      </w:r>
      <w:r w:rsidR="00B3464E">
        <w:rPr>
          <w:sz w:val="26"/>
          <w:szCs w:val="26"/>
        </w:rPr>
        <w:t>ied</w:t>
      </w:r>
      <w:r w:rsidRPr="007A6659">
        <w:rPr>
          <w:sz w:val="26"/>
          <w:szCs w:val="26"/>
        </w:rPr>
        <w:t xml:space="preserve"> institutional theory to examine the effect of </w:t>
      </w:r>
      <w:r w:rsidR="0011414E" w:rsidRPr="007A6659">
        <w:rPr>
          <w:sz w:val="26"/>
          <w:szCs w:val="26"/>
        </w:rPr>
        <w:t xml:space="preserve">differences in </w:t>
      </w:r>
      <w:r w:rsidRPr="007A6659">
        <w:rPr>
          <w:sz w:val="26"/>
          <w:szCs w:val="26"/>
        </w:rPr>
        <w:t xml:space="preserve">institutional </w:t>
      </w:r>
      <w:r w:rsidR="0011414E" w:rsidRPr="007A6659">
        <w:rPr>
          <w:sz w:val="26"/>
          <w:szCs w:val="26"/>
        </w:rPr>
        <w:t xml:space="preserve">pressures </w:t>
      </w:r>
      <w:r w:rsidRPr="007A6659">
        <w:rPr>
          <w:sz w:val="26"/>
          <w:szCs w:val="26"/>
        </w:rPr>
        <w:t xml:space="preserve">on strategic decisions of </w:t>
      </w:r>
      <w:r w:rsidR="00DF74D4" w:rsidRPr="007A6659">
        <w:rPr>
          <w:sz w:val="26"/>
          <w:szCs w:val="26"/>
        </w:rPr>
        <w:t xml:space="preserve">a non-profit non-governmental organization, </w:t>
      </w:r>
      <w:r w:rsidRPr="007A6659">
        <w:rPr>
          <w:sz w:val="26"/>
          <w:szCs w:val="26"/>
        </w:rPr>
        <w:t>Greenpeace</w:t>
      </w:r>
      <w:r w:rsidR="00DF74D4" w:rsidRPr="007A6659">
        <w:rPr>
          <w:sz w:val="26"/>
          <w:szCs w:val="26"/>
        </w:rPr>
        <w:t>,</w:t>
      </w:r>
      <w:r w:rsidRPr="007A6659">
        <w:rPr>
          <w:sz w:val="26"/>
          <w:szCs w:val="26"/>
        </w:rPr>
        <w:t xml:space="preserve"> in its fight to stop the use of genetically-modified organisms.  The effects of </w:t>
      </w:r>
      <w:r w:rsidR="0011414E" w:rsidRPr="007A6659">
        <w:rPr>
          <w:sz w:val="26"/>
          <w:szCs w:val="26"/>
        </w:rPr>
        <w:t xml:space="preserve">differences in institutional pressures </w:t>
      </w:r>
      <w:r w:rsidR="00DF61E9">
        <w:rPr>
          <w:sz w:val="26"/>
          <w:szCs w:val="26"/>
        </w:rPr>
        <w:t>were</w:t>
      </w:r>
      <w:r w:rsidR="00DF61E9" w:rsidRPr="007A6659">
        <w:rPr>
          <w:sz w:val="26"/>
          <w:szCs w:val="26"/>
        </w:rPr>
        <w:t xml:space="preserve"> </w:t>
      </w:r>
      <w:r w:rsidRPr="007A6659">
        <w:rPr>
          <w:sz w:val="26"/>
          <w:szCs w:val="26"/>
        </w:rPr>
        <w:t xml:space="preserve">examined through </w:t>
      </w:r>
      <w:r w:rsidR="00DF61E9">
        <w:rPr>
          <w:sz w:val="26"/>
          <w:szCs w:val="26"/>
        </w:rPr>
        <w:t xml:space="preserve">examining </w:t>
      </w:r>
      <w:r w:rsidRPr="007A6659">
        <w:rPr>
          <w:sz w:val="26"/>
          <w:szCs w:val="26"/>
        </w:rPr>
        <w:t xml:space="preserve">differences </w:t>
      </w:r>
      <w:r w:rsidR="00DF61E9">
        <w:rPr>
          <w:sz w:val="26"/>
          <w:szCs w:val="26"/>
        </w:rPr>
        <w:t>between</w:t>
      </w:r>
      <w:r w:rsidR="00DF61E9" w:rsidRPr="007A6659">
        <w:rPr>
          <w:sz w:val="26"/>
          <w:szCs w:val="26"/>
        </w:rPr>
        <w:t xml:space="preserve"> </w:t>
      </w:r>
      <w:r w:rsidRPr="007A6659">
        <w:rPr>
          <w:sz w:val="26"/>
          <w:szCs w:val="26"/>
        </w:rPr>
        <w:t>the United States a</w:t>
      </w:r>
      <w:r w:rsidR="0011414E" w:rsidRPr="007A6659">
        <w:rPr>
          <w:sz w:val="26"/>
          <w:szCs w:val="26"/>
        </w:rPr>
        <w:t xml:space="preserve">nd the European Union </w:t>
      </w:r>
      <w:r w:rsidR="00DF61E9">
        <w:rPr>
          <w:sz w:val="26"/>
          <w:szCs w:val="26"/>
        </w:rPr>
        <w:t>as well as</w:t>
      </w:r>
      <w:r w:rsidRPr="007A6659">
        <w:rPr>
          <w:sz w:val="26"/>
          <w:szCs w:val="26"/>
        </w:rPr>
        <w:t xml:space="preserve"> between two European nations, France and Spain</w:t>
      </w:r>
      <w:r w:rsidR="00DF61E9">
        <w:rPr>
          <w:sz w:val="26"/>
          <w:szCs w:val="26"/>
        </w:rPr>
        <w:t>,</w:t>
      </w:r>
      <w:r w:rsidR="00DF61E9" w:rsidRPr="00DF61E9">
        <w:rPr>
          <w:sz w:val="26"/>
          <w:szCs w:val="26"/>
        </w:rPr>
        <w:t xml:space="preserve"> </w:t>
      </w:r>
      <w:r w:rsidR="00DF61E9" w:rsidRPr="007A6659">
        <w:rPr>
          <w:sz w:val="26"/>
          <w:szCs w:val="26"/>
        </w:rPr>
        <w:t>in Greenpeace’s strategy</w:t>
      </w:r>
      <w:r w:rsidRPr="007A6659">
        <w:rPr>
          <w:sz w:val="26"/>
          <w:szCs w:val="26"/>
        </w:rPr>
        <w:t xml:space="preserve">. We </w:t>
      </w:r>
      <w:r w:rsidR="002B27A4">
        <w:rPr>
          <w:sz w:val="26"/>
          <w:szCs w:val="26"/>
        </w:rPr>
        <w:t>suggest</w:t>
      </w:r>
      <w:r w:rsidR="00DF61E9">
        <w:rPr>
          <w:sz w:val="26"/>
          <w:szCs w:val="26"/>
        </w:rPr>
        <w:t>ed</w:t>
      </w:r>
      <w:r w:rsidRPr="007A6659">
        <w:rPr>
          <w:sz w:val="26"/>
          <w:szCs w:val="26"/>
        </w:rPr>
        <w:t xml:space="preserve"> that formal and informal institutional </w:t>
      </w:r>
      <w:r w:rsidR="0011414E" w:rsidRPr="007A6659">
        <w:rPr>
          <w:sz w:val="26"/>
          <w:szCs w:val="26"/>
        </w:rPr>
        <w:t>pressures</w:t>
      </w:r>
      <w:r w:rsidRPr="007A6659">
        <w:rPr>
          <w:sz w:val="26"/>
          <w:szCs w:val="26"/>
        </w:rPr>
        <w:t xml:space="preserve"> influence strategic decision-making in Greenpeace’s independent national units</w:t>
      </w:r>
      <w:r w:rsidR="00DF61E9">
        <w:rPr>
          <w:sz w:val="26"/>
          <w:szCs w:val="26"/>
        </w:rPr>
        <w:t>.</w:t>
      </w:r>
      <w:r w:rsidRPr="007A6659">
        <w:rPr>
          <w:sz w:val="26"/>
          <w:szCs w:val="26"/>
        </w:rPr>
        <w:t xml:space="preserve">  </w:t>
      </w:r>
      <w:r w:rsidR="00DF61E9">
        <w:rPr>
          <w:sz w:val="26"/>
          <w:szCs w:val="26"/>
        </w:rPr>
        <w:t>We proposed that the</w:t>
      </w:r>
      <w:r w:rsidR="00DF61E9" w:rsidRPr="007A6659">
        <w:rPr>
          <w:sz w:val="26"/>
          <w:szCs w:val="26"/>
        </w:rPr>
        <w:t xml:space="preserve"> </w:t>
      </w:r>
      <w:r w:rsidRPr="007A6659">
        <w:rPr>
          <w:sz w:val="26"/>
          <w:szCs w:val="26"/>
        </w:rPr>
        <w:t>US differs from the EU in both formal and informal institutional environments, Spain and</w:t>
      </w:r>
      <w:r w:rsidR="00D6141E">
        <w:rPr>
          <w:sz w:val="26"/>
          <w:szCs w:val="26"/>
        </w:rPr>
        <w:t xml:space="preserve"> France differ in the informal </w:t>
      </w:r>
      <w:r w:rsidR="002B27A4">
        <w:rPr>
          <w:sz w:val="26"/>
          <w:szCs w:val="26"/>
        </w:rPr>
        <w:t>dime</w:t>
      </w:r>
      <w:r w:rsidRPr="007A6659">
        <w:rPr>
          <w:sz w:val="26"/>
          <w:szCs w:val="26"/>
        </w:rPr>
        <w:t xml:space="preserve">nsion, and these differences are reflected in Greenpeace’s strategies.  We also </w:t>
      </w:r>
      <w:r w:rsidR="00D6141E">
        <w:rPr>
          <w:sz w:val="26"/>
          <w:szCs w:val="26"/>
        </w:rPr>
        <w:t>argue</w:t>
      </w:r>
      <w:r w:rsidR="00DF61E9">
        <w:rPr>
          <w:sz w:val="26"/>
          <w:szCs w:val="26"/>
        </w:rPr>
        <w:t>d</w:t>
      </w:r>
      <w:r w:rsidRPr="007A6659">
        <w:rPr>
          <w:sz w:val="26"/>
          <w:szCs w:val="26"/>
        </w:rPr>
        <w:t xml:space="preserve"> that Greenpeace </w:t>
      </w:r>
      <w:r w:rsidR="00DF61E9">
        <w:rPr>
          <w:sz w:val="26"/>
          <w:szCs w:val="26"/>
        </w:rPr>
        <w:t>exemplifies</w:t>
      </w:r>
      <w:r w:rsidRPr="007A6659">
        <w:rPr>
          <w:sz w:val="26"/>
          <w:szCs w:val="26"/>
        </w:rPr>
        <w:t xml:space="preserve"> the successful </w:t>
      </w:r>
      <w:r w:rsidR="001621E2" w:rsidRPr="007A6659">
        <w:rPr>
          <w:sz w:val="26"/>
          <w:szCs w:val="26"/>
        </w:rPr>
        <w:t>use of a transnational strategy and discuss</w:t>
      </w:r>
      <w:r w:rsidR="00DF61E9">
        <w:rPr>
          <w:sz w:val="26"/>
          <w:szCs w:val="26"/>
        </w:rPr>
        <w:t>ed</w:t>
      </w:r>
      <w:r w:rsidR="001621E2" w:rsidRPr="007A6659">
        <w:rPr>
          <w:sz w:val="26"/>
          <w:szCs w:val="26"/>
        </w:rPr>
        <w:t xml:space="preserve"> </w:t>
      </w:r>
      <w:r w:rsidR="003E3721">
        <w:rPr>
          <w:sz w:val="26"/>
          <w:szCs w:val="26"/>
        </w:rPr>
        <w:t>whether</w:t>
      </w:r>
      <w:r w:rsidR="00DF61E9" w:rsidRPr="007A6659">
        <w:rPr>
          <w:sz w:val="26"/>
          <w:szCs w:val="26"/>
        </w:rPr>
        <w:t xml:space="preserve"> </w:t>
      </w:r>
      <w:r w:rsidR="001621E2" w:rsidRPr="007A6659">
        <w:rPr>
          <w:sz w:val="26"/>
          <w:szCs w:val="26"/>
        </w:rPr>
        <w:t xml:space="preserve">non-profits may be better able to adopt a transnational strategy than </w:t>
      </w:r>
      <w:r w:rsidR="003E3721">
        <w:rPr>
          <w:sz w:val="26"/>
          <w:szCs w:val="26"/>
        </w:rPr>
        <w:t xml:space="preserve">are </w:t>
      </w:r>
      <w:r w:rsidR="001621E2" w:rsidRPr="007A6659">
        <w:rPr>
          <w:sz w:val="26"/>
          <w:szCs w:val="26"/>
        </w:rPr>
        <w:t>for-profits.</w:t>
      </w:r>
    </w:p>
    <w:p w14:paraId="334D57A6" w14:textId="77777777" w:rsidR="005B7147" w:rsidRPr="007A6659" w:rsidRDefault="005B7147" w:rsidP="00294F29">
      <w:pPr>
        <w:spacing w:after="0" w:line="240" w:lineRule="auto"/>
        <w:rPr>
          <w:b/>
          <w:sz w:val="26"/>
          <w:szCs w:val="26"/>
        </w:rPr>
      </w:pPr>
    </w:p>
    <w:p w14:paraId="39284110" w14:textId="403F7B13" w:rsidR="005B7147" w:rsidRPr="007A6659" w:rsidRDefault="005B7147" w:rsidP="0068168C">
      <w:pPr>
        <w:spacing w:after="0" w:line="240" w:lineRule="auto"/>
        <w:ind w:left="1275" w:hangingChars="490" w:hanging="1275"/>
        <w:rPr>
          <w:i/>
          <w:sz w:val="26"/>
          <w:szCs w:val="26"/>
        </w:rPr>
      </w:pPr>
      <w:r w:rsidRPr="007A6659">
        <w:rPr>
          <w:b/>
          <w:sz w:val="26"/>
          <w:szCs w:val="26"/>
        </w:rPr>
        <w:t xml:space="preserve">Keywords: </w:t>
      </w:r>
      <w:r w:rsidRPr="007A6659">
        <w:rPr>
          <w:sz w:val="26"/>
          <w:szCs w:val="26"/>
        </w:rPr>
        <w:t xml:space="preserve">Institutional theory, European Union, United States, </w:t>
      </w:r>
      <w:r w:rsidR="0068168C">
        <w:rPr>
          <w:rFonts w:hint="eastAsia"/>
          <w:sz w:val="26"/>
          <w:szCs w:val="26"/>
          <w:lang w:eastAsia="zh-TW"/>
        </w:rPr>
        <w:t>N</w:t>
      </w:r>
      <w:r w:rsidRPr="007A6659">
        <w:rPr>
          <w:sz w:val="26"/>
          <w:szCs w:val="26"/>
        </w:rPr>
        <w:t>on-governmental organization, Greenpeace</w:t>
      </w:r>
    </w:p>
    <w:p w14:paraId="5854E0C5" w14:textId="524CCBE5" w:rsidR="005B7147" w:rsidRDefault="005B7147" w:rsidP="00294F29">
      <w:pPr>
        <w:spacing w:after="0" w:line="240" w:lineRule="auto"/>
        <w:rPr>
          <w:sz w:val="26"/>
          <w:szCs w:val="26"/>
        </w:rPr>
      </w:pPr>
    </w:p>
    <w:p w14:paraId="4B3FDD3A" w14:textId="77777777" w:rsidR="005B7147" w:rsidRPr="007A6659" w:rsidRDefault="00255029" w:rsidP="00C2487B">
      <w:pPr>
        <w:spacing w:after="0" w:line="240" w:lineRule="auto"/>
        <w:jc w:val="center"/>
        <w:outlineLvl w:val="0"/>
        <w:rPr>
          <w:b/>
          <w:caps/>
          <w:sz w:val="26"/>
          <w:szCs w:val="26"/>
        </w:rPr>
      </w:pPr>
      <w:r>
        <w:rPr>
          <w:b/>
          <w:sz w:val="26"/>
          <w:szCs w:val="26"/>
        </w:rPr>
        <w:t>INTRODUCTION</w:t>
      </w:r>
    </w:p>
    <w:p w14:paraId="6C16D6FB" w14:textId="054B2E71" w:rsidR="005E39D6" w:rsidRPr="007A6659" w:rsidRDefault="00612DE1" w:rsidP="00373FDB">
      <w:pPr>
        <w:spacing w:after="0" w:line="360" w:lineRule="exact"/>
        <w:ind w:firstLineChars="200" w:firstLine="520"/>
        <w:jc w:val="both"/>
        <w:rPr>
          <w:sz w:val="26"/>
          <w:szCs w:val="26"/>
        </w:rPr>
      </w:pPr>
      <w:r w:rsidRPr="007A6659">
        <w:rPr>
          <w:sz w:val="26"/>
          <w:szCs w:val="26"/>
        </w:rPr>
        <w:t>S</w:t>
      </w:r>
      <w:r w:rsidR="005E39D6" w:rsidRPr="007A6659">
        <w:rPr>
          <w:sz w:val="26"/>
          <w:szCs w:val="26"/>
        </w:rPr>
        <w:t xml:space="preserve">ocial enterprises </w:t>
      </w:r>
      <w:r w:rsidR="00DF61E9">
        <w:rPr>
          <w:sz w:val="26"/>
          <w:szCs w:val="26"/>
        </w:rPr>
        <w:t>are becoming increasingly important</w:t>
      </w:r>
      <w:r w:rsidR="005E39D6" w:rsidRPr="007A6659">
        <w:rPr>
          <w:sz w:val="26"/>
          <w:szCs w:val="26"/>
        </w:rPr>
        <w:t xml:space="preserve"> and continue to erase the boundary between non-profit and for-profit</w:t>
      </w:r>
      <w:r w:rsidR="00DD3BEC" w:rsidRPr="007A6659">
        <w:rPr>
          <w:sz w:val="26"/>
          <w:szCs w:val="26"/>
        </w:rPr>
        <w:t xml:space="preserve"> </w:t>
      </w:r>
      <w:r w:rsidRPr="007A6659">
        <w:rPr>
          <w:sz w:val="26"/>
          <w:szCs w:val="26"/>
        </w:rPr>
        <w:t>(Carraher, Welsh</w:t>
      </w:r>
      <w:r w:rsidR="00DF61E9">
        <w:rPr>
          <w:sz w:val="26"/>
          <w:szCs w:val="26"/>
        </w:rPr>
        <w:t>,</w:t>
      </w:r>
      <w:r w:rsidRPr="007A6659">
        <w:rPr>
          <w:sz w:val="26"/>
          <w:szCs w:val="26"/>
        </w:rPr>
        <w:t xml:space="preserve"> &amp; Svilokos, 2016).  Technology facilitates the blurring of these boundaries and the rise of social enterprise </w:t>
      </w:r>
      <w:r w:rsidRPr="007A6659">
        <w:rPr>
          <w:sz w:val="26"/>
          <w:szCs w:val="26"/>
        </w:rPr>
        <w:lastRenderedPageBreak/>
        <w:t xml:space="preserve">by enabling crowdfunding, which can range from highly profit-oriented funding to donation-based crowdfunding appropriate for non-profits (Kshetri, 2015).  As non-profits and for-profits find themselves in competition more frequently, </w:t>
      </w:r>
      <w:r w:rsidR="00DD3BEC" w:rsidRPr="007A6659">
        <w:rPr>
          <w:sz w:val="26"/>
          <w:szCs w:val="26"/>
        </w:rPr>
        <w:t>i</w:t>
      </w:r>
      <w:r w:rsidRPr="007A6659">
        <w:rPr>
          <w:sz w:val="26"/>
          <w:szCs w:val="26"/>
        </w:rPr>
        <w:t xml:space="preserve">t is </w:t>
      </w:r>
      <w:r w:rsidR="005E39D6" w:rsidRPr="007A6659">
        <w:rPr>
          <w:sz w:val="26"/>
          <w:szCs w:val="26"/>
        </w:rPr>
        <w:t>increasingly important for businesses to understand the drivers of non-profit behavior</w:t>
      </w:r>
      <w:r w:rsidR="007162B2">
        <w:rPr>
          <w:sz w:val="26"/>
          <w:szCs w:val="26"/>
        </w:rPr>
        <w:t xml:space="preserve"> (</w:t>
      </w:r>
      <w:r w:rsidR="00837794" w:rsidRPr="00837794">
        <w:rPr>
          <w:sz w:val="26"/>
          <w:szCs w:val="26"/>
        </w:rPr>
        <w:t xml:space="preserve">Eesley, Decelles, </w:t>
      </w:r>
      <w:r w:rsidR="00837794">
        <w:rPr>
          <w:sz w:val="26"/>
          <w:szCs w:val="26"/>
        </w:rPr>
        <w:t xml:space="preserve">&amp; Lenox, </w:t>
      </w:r>
      <w:r w:rsidR="00837794" w:rsidRPr="00837794">
        <w:rPr>
          <w:sz w:val="26"/>
          <w:szCs w:val="26"/>
        </w:rPr>
        <w:t>2016)</w:t>
      </w:r>
      <w:r w:rsidR="005E39D6" w:rsidRPr="007A6659">
        <w:rPr>
          <w:sz w:val="26"/>
          <w:szCs w:val="26"/>
        </w:rPr>
        <w:t xml:space="preserve">.  Some </w:t>
      </w:r>
      <w:r w:rsidR="00DF61E9">
        <w:rPr>
          <w:sz w:val="26"/>
          <w:szCs w:val="26"/>
        </w:rPr>
        <w:t>researchers have paid attention</w:t>
      </w:r>
      <w:r w:rsidR="005E39D6" w:rsidRPr="007A6659">
        <w:rPr>
          <w:sz w:val="26"/>
          <w:szCs w:val="26"/>
        </w:rPr>
        <w:t xml:space="preserve"> to </w:t>
      </w:r>
      <w:r w:rsidR="00DF61E9">
        <w:rPr>
          <w:sz w:val="26"/>
          <w:szCs w:val="26"/>
        </w:rPr>
        <w:t>differences between</w:t>
      </w:r>
      <w:r w:rsidR="00DF61E9" w:rsidRPr="007A6659">
        <w:rPr>
          <w:sz w:val="26"/>
          <w:szCs w:val="26"/>
        </w:rPr>
        <w:t xml:space="preserve"> </w:t>
      </w:r>
      <w:r w:rsidR="005E39D6" w:rsidRPr="007A6659">
        <w:rPr>
          <w:sz w:val="26"/>
          <w:szCs w:val="26"/>
        </w:rPr>
        <w:t xml:space="preserve">non-profits and for-profits in strategic decision-making (e.g., </w:t>
      </w:r>
      <w:r w:rsidR="00640FA7">
        <w:rPr>
          <w:sz w:val="26"/>
          <w:szCs w:val="26"/>
        </w:rPr>
        <w:t>Hull &amp; Lio, 2006</w:t>
      </w:r>
      <w:r w:rsidR="005E39D6" w:rsidRPr="007A6659">
        <w:rPr>
          <w:sz w:val="26"/>
          <w:szCs w:val="26"/>
        </w:rPr>
        <w:t>; Nugroho, 2011</w:t>
      </w:r>
      <w:r w:rsidR="00DF61E9">
        <w:rPr>
          <w:sz w:val="26"/>
          <w:szCs w:val="26"/>
        </w:rPr>
        <w:t xml:space="preserve"> while other have focused on</w:t>
      </w:r>
      <w:r w:rsidR="001F6B12" w:rsidRPr="007A6659">
        <w:rPr>
          <w:sz w:val="26"/>
          <w:szCs w:val="26"/>
        </w:rPr>
        <w:t xml:space="preserve"> multinational non-profits in the international management context (Rost &amp; </w:t>
      </w:r>
      <w:r w:rsidR="008F0F60">
        <w:rPr>
          <w:sz w:val="26"/>
          <w:szCs w:val="26"/>
        </w:rPr>
        <w:t>Graetzer</w:t>
      </w:r>
      <w:r w:rsidR="001F6B12" w:rsidRPr="007A6659">
        <w:rPr>
          <w:sz w:val="26"/>
          <w:szCs w:val="26"/>
        </w:rPr>
        <w:t xml:space="preserve">, 2014). </w:t>
      </w:r>
      <w:r w:rsidR="00DF61E9">
        <w:rPr>
          <w:sz w:val="26"/>
          <w:szCs w:val="26"/>
        </w:rPr>
        <w:t>However,</w:t>
      </w:r>
      <w:r w:rsidR="00DF61E9" w:rsidRPr="007A6659">
        <w:rPr>
          <w:sz w:val="26"/>
          <w:szCs w:val="26"/>
        </w:rPr>
        <w:t xml:space="preserve"> </w:t>
      </w:r>
      <w:r w:rsidR="00D6141E">
        <w:rPr>
          <w:sz w:val="26"/>
          <w:szCs w:val="26"/>
        </w:rPr>
        <w:t xml:space="preserve">too little attention has been paid to </w:t>
      </w:r>
      <w:r w:rsidR="005E39D6" w:rsidRPr="007A6659">
        <w:rPr>
          <w:sz w:val="26"/>
          <w:szCs w:val="26"/>
        </w:rPr>
        <w:t>how institutions</w:t>
      </w:r>
      <w:r w:rsidR="00B33584" w:rsidRPr="007A6659">
        <w:rPr>
          <w:sz w:val="26"/>
          <w:szCs w:val="26"/>
        </w:rPr>
        <w:t xml:space="preserve">, particularly government (formal </w:t>
      </w:r>
      <w:r w:rsidR="00D6141E" w:rsidRPr="007A6659">
        <w:rPr>
          <w:sz w:val="26"/>
          <w:szCs w:val="26"/>
        </w:rPr>
        <w:t>institutions</w:t>
      </w:r>
      <w:r w:rsidR="00B33584" w:rsidRPr="007A6659">
        <w:rPr>
          <w:sz w:val="26"/>
          <w:szCs w:val="26"/>
        </w:rPr>
        <w:t>),</w:t>
      </w:r>
      <w:r w:rsidR="005E39D6" w:rsidRPr="007A6659">
        <w:rPr>
          <w:sz w:val="26"/>
          <w:szCs w:val="26"/>
        </w:rPr>
        <w:t xml:space="preserve"> </w:t>
      </w:r>
      <w:r w:rsidR="00B33584" w:rsidRPr="007A6659">
        <w:rPr>
          <w:sz w:val="26"/>
          <w:szCs w:val="26"/>
        </w:rPr>
        <w:t xml:space="preserve">affect non-profit </w:t>
      </w:r>
      <w:r w:rsidR="00D6141E">
        <w:rPr>
          <w:sz w:val="26"/>
          <w:szCs w:val="26"/>
        </w:rPr>
        <w:t>use of strategies commonly studied in the business context</w:t>
      </w:r>
      <w:r w:rsidR="005E39D6" w:rsidRPr="007A6659">
        <w:rPr>
          <w:sz w:val="26"/>
          <w:szCs w:val="26"/>
        </w:rPr>
        <w:t xml:space="preserve"> (</w:t>
      </w:r>
      <w:r w:rsidR="00837794" w:rsidRPr="007A6659">
        <w:rPr>
          <w:sz w:val="26"/>
          <w:szCs w:val="26"/>
        </w:rPr>
        <w:t>Bloodgood, Tremblay-Boire</w:t>
      </w:r>
      <w:r w:rsidR="00DF61E9">
        <w:rPr>
          <w:sz w:val="26"/>
          <w:szCs w:val="26"/>
        </w:rPr>
        <w:t>,</w:t>
      </w:r>
      <w:r w:rsidR="00837794" w:rsidRPr="007A6659">
        <w:rPr>
          <w:sz w:val="26"/>
          <w:szCs w:val="26"/>
        </w:rPr>
        <w:t xml:space="preserve"> </w:t>
      </w:r>
      <w:r w:rsidR="00DF61E9">
        <w:rPr>
          <w:sz w:val="26"/>
          <w:szCs w:val="26"/>
        </w:rPr>
        <w:t>&amp;</w:t>
      </w:r>
      <w:r w:rsidR="00DF61E9" w:rsidRPr="007A6659">
        <w:rPr>
          <w:sz w:val="26"/>
          <w:szCs w:val="26"/>
        </w:rPr>
        <w:t xml:space="preserve"> </w:t>
      </w:r>
      <w:r w:rsidR="00837794" w:rsidRPr="007A6659">
        <w:rPr>
          <w:sz w:val="26"/>
          <w:szCs w:val="26"/>
        </w:rPr>
        <w:t>Pra</w:t>
      </w:r>
      <w:r w:rsidR="00837794">
        <w:rPr>
          <w:sz w:val="26"/>
          <w:szCs w:val="26"/>
        </w:rPr>
        <w:t xml:space="preserve">kash, 2013; </w:t>
      </w:r>
      <w:r w:rsidR="005E39D6" w:rsidRPr="007A6659">
        <w:rPr>
          <w:sz w:val="26"/>
          <w:szCs w:val="26"/>
        </w:rPr>
        <w:t xml:space="preserve">Frumkin &amp; Andre-Clark, 2000). We address this </w:t>
      </w:r>
      <w:r w:rsidR="00DF61E9">
        <w:rPr>
          <w:sz w:val="26"/>
          <w:szCs w:val="26"/>
        </w:rPr>
        <w:t>gap</w:t>
      </w:r>
      <w:r w:rsidR="005E39D6" w:rsidRPr="007A6659">
        <w:rPr>
          <w:sz w:val="26"/>
          <w:szCs w:val="26"/>
        </w:rPr>
        <w:t xml:space="preserve"> </w:t>
      </w:r>
      <w:r w:rsidR="00DF61E9">
        <w:rPr>
          <w:sz w:val="26"/>
          <w:szCs w:val="26"/>
        </w:rPr>
        <w:t>as well as</w:t>
      </w:r>
      <w:r w:rsidR="005E39D6" w:rsidRPr="007A6659">
        <w:rPr>
          <w:sz w:val="26"/>
          <w:szCs w:val="26"/>
        </w:rPr>
        <w:t xml:space="preserve"> the premise that informal institutions </w:t>
      </w:r>
      <w:r w:rsidR="00D6141E">
        <w:rPr>
          <w:sz w:val="26"/>
          <w:szCs w:val="26"/>
        </w:rPr>
        <w:t>interact with the formal ones to affect</w:t>
      </w:r>
      <w:r w:rsidR="005E39D6" w:rsidRPr="007A6659">
        <w:rPr>
          <w:sz w:val="26"/>
          <w:szCs w:val="26"/>
        </w:rPr>
        <w:t xml:space="preserve"> non-profit strategies.  </w:t>
      </w:r>
      <w:r w:rsidR="00B33584" w:rsidRPr="007A6659">
        <w:rPr>
          <w:sz w:val="26"/>
          <w:szCs w:val="26"/>
        </w:rPr>
        <w:t xml:space="preserve">Finally, </w:t>
      </w:r>
      <w:r w:rsidR="00D6141E">
        <w:rPr>
          <w:sz w:val="26"/>
          <w:szCs w:val="26"/>
        </w:rPr>
        <w:t xml:space="preserve">using the example of Greenpeace, </w:t>
      </w:r>
      <w:r w:rsidR="00B33584" w:rsidRPr="007A6659">
        <w:rPr>
          <w:sz w:val="26"/>
          <w:szCs w:val="26"/>
        </w:rPr>
        <w:t xml:space="preserve">we </w:t>
      </w:r>
      <w:r w:rsidR="00D6141E">
        <w:rPr>
          <w:sz w:val="26"/>
          <w:szCs w:val="26"/>
        </w:rPr>
        <w:t>consider</w:t>
      </w:r>
      <w:r w:rsidR="00B33584" w:rsidRPr="007A6659">
        <w:rPr>
          <w:sz w:val="26"/>
          <w:szCs w:val="26"/>
        </w:rPr>
        <w:t xml:space="preserve"> how well a multinational non-profit can respond to varied local institutional pressures</w:t>
      </w:r>
      <w:r w:rsidR="00D0396A">
        <w:rPr>
          <w:sz w:val="26"/>
          <w:szCs w:val="26"/>
        </w:rPr>
        <w:t>, that is,</w:t>
      </w:r>
      <w:r w:rsidR="00B33584" w:rsidRPr="007A6659">
        <w:rPr>
          <w:sz w:val="26"/>
          <w:szCs w:val="26"/>
        </w:rPr>
        <w:t xml:space="preserve"> how well, in effect, it can pursue a transnational strategy.</w:t>
      </w:r>
    </w:p>
    <w:p w14:paraId="43423E04" w14:textId="574B1FC6" w:rsidR="005B7147" w:rsidRPr="007A6659" w:rsidRDefault="006B47EC" w:rsidP="00373FDB">
      <w:pPr>
        <w:spacing w:after="0" w:line="360" w:lineRule="exact"/>
        <w:ind w:firstLineChars="200" w:firstLine="520"/>
        <w:jc w:val="both"/>
        <w:rPr>
          <w:sz w:val="26"/>
          <w:szCs w:val="26"/>
        </w:rPr>
      </w:pPr>
      <w:r w:rsidRPr="007A6659">
        <w:rPr>
          <w:sz w:val="26"/>
          <w:szCs w:val="26"/>
        </w:rPr>
        <w:t>Institutional theory considers how societal norms, rules, and practices form institutional pressures</w:t>
      </w:r>
      <w:r w:rsidR="00D0396A">
        <w:rPr>
          <w:sz w:val="26"/>
          <w:szCs w:val="26"/>
        </w:rPr>
        <w:t xml:space="preserve"> and place </w:t>
      </w:r>
      <w:r w:rsidRPr="007A6659">
        <w:rPr>
          <w:sz w:val="26"/>
          <w:szCs w:val="26"/>
        </w:rPr>
        <w:t>pressure on organizations</w:t>
      </w:r>
      <w:r w:rsidR="00D0396A">
        <w:rPr>
          <w:sz w:val="26"/>
          <w:szCs w:val="26"/>
        </w:rPr>
        <w:t xml:space="preserve">, shaping </w:t>
      </w:r>
      <w:r w:rsidRPr="007A6659">
        <w:rPr>
          <w:sz w:val="26"/>
          <w:szCs w:val="26"/>
        </w:rPr>
        <w:t>the way they operate within these societies</w:t>
      </w:r>
      <w:r w:rsidR="00D0396A">
        <w:rPr>
          <w:sz w:val="26"/>
          <w:szCs w:val="26"/>
        </w:rPr>
        <w:t xml:space="preserve"> along with</w:t>
      </w:r>
      <w:r w:rsidRPr="007A6659">
        <w:rPr>
          <w:sz w:val="26"/>
          <w:szCs w:val="26"/>
        </w:rPr>
        <w:t xml:space="preserve"> the strategic options </w:t>
      </w:r>
      <w:r w:rsidR="00D0396A">
        <w:rPr>
          <w:sz w:val="26"/>
          <w:szCs w:val="26"/>
        </w:rPr>
        <w:t>that are</w:t>
      </w:r>
      <w:r w:rsidRPr="007A6659">
        <w:rPr>
          <w:sz w:val="26"/>
          <w:szCs w:val="26"/>
        </w:rPr>
        <w:t xml:space="preserve"> available to them</w:t>
      </w:r>
      <w:r w:rsidR="005B7147" w:rsidRPr="007A6659">
        <w:rPr>
          <w:sz w:val="26"/>
          <w:szCs w:val="26"/>
        </w:rPr>
        <w:t xml:space="preserve"> (</w:t>
      </w:r>
      <w:r w:rsidR="00072DA6" w:rsidRPr="007A6659">
        <w:rPr>
          <w:sz w:val="26"/>
          <w:szCs w:val="26"/>
        </w:rPr>
        <w:t xml:space="preserve">Almadi, 2016; </w:t>
      </w:r>
      <w:r w:rsidR="005B7147" w:rsidRPr="007A6659">
        <w:rPr>
          <w:sz w:val="26"/>
          <w:szCs w:val="26"/>
        </w:rPr>
        <w:t>Hitt, Ahlstrom, Dacin, Levitas, &amp; Svobodina, 2004; Lu, Xu, &amp; Liu, 2009; Meyer, Estrin, Bhaumik, &amp; Peng, 2009</w:t>
      </w:r>
      <w:r w:rsidR="00011596" w:rsidRPr="007A6659">
        <w:rPr>
          <w:sz w:val="26"/>
          <w:szCs w:val="26"/>
        </w:rPr>
        <w:t xml:space="preserve">; </w:t>
      </w:r>
      <w:r w:rsidR="00287FF3" w:rsidRPr="007A6659">
        <w:rPr>
          <w:sz w:val="26"/>
          <w:szCs w:val="26"/>
        </w:rPr>
        <w:t>Ren &amp; Jack, 2014</w:t>
      </w:r>
      <w:r w:rsidR="005B7147" w:rsidRPr="007A6659">
        <w:rPr>
          <w:sz w:val="26"/>
          <w:szCs w:val="26"/>
        </w:rPr>
        <w:t xml:space="preserve">). </w:t>
      </w:r>
      <w:r w:rsidRPr="007A6659">
        <w:rPr>
          <w:sz w:val="26"/>
          <w:szCs w:val="26"/>
        </w:rPr>
        <w:t xml:space="preserve">These pressures can be divided into formal and informal:  the formal </w:t>
      </w:r>
      <w:r w:rsidR="00B33584" w:rsidRPr="007A6659">
        <w:rPr>
          <w:sz w:val="26"/>
          <w:szCs w:val="26"/>
        </w:rPr>
        <w:t xml:space="preserve">government </w:t>
      </w:r>
      <w:r w:rsidRPr="007A6659">
        <w:rPr>
          <w:sz w:val="26"/>
          <w:szCs w:val="26"/>
        </w:rPr>
        <w:t xml:space="preserve">regulatory context and the more informal aspect of culture and norms. </w:t>
      </w:r>
      <w:r w:rsidR="005B7147" w:rsidRPr="007A6659">
        <w:rPr>
          <w:sz w:val="26"/>
          <w:szCs w:val="26"/>
        </w:rPr>
        <w:t xml:space="preserve">While much of the extant literature </w:t>
      </w:r>
      <w:r w:rsidR="00D0396A">
        <w:rPr>
          <w:sz w:val="26"/>
          <w:szCs w:val="26"/>
        </w:rPr>
        <w:t xml:space="preserve">has </w:t>
      </w:r>
      <w:r w:rsidR="00D0396A" w:rsidRPr="007A6659">
        <w:rPr>
          <w:sz w:val="26"/>
          <w:szCs w:val="26"/>
        </w:rPr>
        <w:t>investigate</w:t>
      </w:r>
      <w:r w:rsidR="00D0396A">
        <w:rPr>
          <w:sz w:val="26"/>
          <w:szCs w:val="26"/>
        </w:rPr>
        <w:t>d</w:t>
      </w:r>
      <w:r w:rsidR="00D0396A" w:rsidRPr="007A6659">
        <w:rPr>
          <w:sz w:val="26"/>
          <w:szCs w:val="26"/>
        </w:rPr>
        <w:t xml:space="preserve"> </w:t>
      </w:r>
      <w:r w:rsidR="005B7147" w:rsidRPr="007A6659">
        <w:rPr>
          <w:sz w:val="26"/>
          <w:szCs w:val="26"/>
        </w:rPr>
        <w:t>institutional influences in the context of transitional economies</w:t>
      </w:r>
      <w:r w:rsidRPr="007A6659">
        <w:rPr>
          <w:sz w:val="26"/>
          <w:szCs w:val="26"/>
        </w:rPr>
        <w:t xml:space="preserve"> where institutions are in transition</w:t>
      </w:r>
      <w:r w:rsidR="00C566D7" w:rsidRPr="007A6659">
        <w:rPr>
          <w:sz w:val="26"/>
          <w:szCs w:val="26"/>
        </w:rPr>
        <w:t>, yielding more dynamic results</w:t>
      </w:r>
      <w:r w:rsidRPr="007A6659">
        <w:rPr>
          <w:sz w:val="26"/>
          <w:szCs w:val="26"/>
        </w:rPr>
        <w:t xml:space="preserve">, </w:t>
      </w:r>
      <w:r w:rsidR="005B7147" w:rsidRPr="007A6659">
        <w:rPr>
          <w:sz w:val="26"/>
          <w:szCs w:val="26"/>
        </w:rPr>
        <w:t xml:space="preserve">institutional </w:t>
      </w:r>
      <w:r w:rsidRPr="007A6659">
        <w:rPr>
          <w:sz w:val="26"/>
          <w:szCs w:val="26"/>
        </w:rPr>
        <w:t>theory</w:t>
      </w:r>
      <w:r w:rsidR="005B7147" w:rsidRPr="007A6659">
        <w:rPr>
          <w:sz w:val="26"/>
          <w:szCs w:val="26"/>
        </w:rPr>
        <w:t xml:space="preserve"> should also </w:t>
      </w:r>
      <w:r w:rsidR="00B33584" w:rsidRPr="007A6659">
        <w:rPr>
          <w:sz w:val="26"/>
          <w:szCs w:val="26"/>
        </w:rPr>
        <w:t>apply</w:t>
      </w:r>
      <w:r w:rsidR="005B7147" w:rsidRPr="007A6659">
        <w:rPr>
          <w:sz w:val="26"/>
          <w:szCs w:val="26"/>
        </w:rPr>
        <w:t xml:space="preserve"> </w:t>
      </w:r>
      <w:r w:rsidR="00AD012D">
        <w:rPr>
          <w:sz w:val="26"/>
          <w:szCs w:val="26"/>
        </w:rPr>
        <w:t>to</w:t>
      </w:r>
      <w:r w:rsidR="00AD012D" w:rsidRPr="007A6659">
        <w:rPr>
          <w:sz w:val="26"/>
          <w:szCs w:val="26"/>
        </w:rPr>
        <w:t xml:space="preserve"> </w:t>
      </w:r>
      <w:r w:rsidR="005B7147" w:rsidRPr="007A6659">
        <w:rPr>
          <w:sz w:val="26"/>
          <w:szCs w:val="26"/>
        </w:rPr>
        <w:t xml:space="preserve">developed </w:t>
      </w:r>
      <w:r w:rsidR="00C566D7" w:rsidRPr="007A6659">
        <w:rPr>
          <w:sz w:val="26"/>
          <w:szCs w:val="26"/>
        </w:rPr>
        <w:t>nations</w:t>
      </w:r>
      <w:r w:rsidRPr="007A6659">
        <w:rPr>
          <w:sz w:val="26"/>
          <w:szCs w:val="26"/>
        </w:rPr>
        <w:t xml:space="preserve"> (Peng, Sun, Pinkham, </w:t>
      </w:r>
      <w:r w:rsidR="00AD012D">
        <w:rPr>
          <w:sz w:val="26"/>
          <w:szCs w:val="26"/>
        </w:rPr>
        <w:t>&amp;</w:t>
      </w:r>
      <w:r w:rsidR="00AD012D" w:rsidRPr="007A6659">
        <w:rPr>
          <w:sz w:val="26"/>
          <w:szCs w:val="26"/>
        </w:rPr>
        <w:t xml:space="preserve"> </w:t>
      </w:r>
      <w:r w:rsidRPr="007A6659">
        <w:rPr>
          <w:sz w:val="26"/>
          <w:szCs w:val="26"/>
        </w:rPr>
        <w:t xml:space="preserve">Chen, 2009).  As the recent election in the United States illustrates, institutional pressures can shift dramatically in developed </w:t>
      </w:r>
      <w:r w:rsidR="00C566D7" w:rsidRPr="007A6659">
        <w:rPr>
          <w:sz w:val="26"/>
          <w:szCs w:val="26"/>
        </w:rPr>
        <w:t>nations</w:t>
      </w:r>
      <w:r w:rsidR="009C29D7" w:rsidRPr="007A6659">
        <w:rPr>
          <w:sz w:val="26"/>
          <w:szCs w:val="26"/>
        </w:rPr>
        <w:t xml:space="preserve"> as well.  </w:t>
      </w:r>
      <w:r w:rsidR="00AD012D">
        <w:rPr>
          <w:sz w:val="26"/>
          <w:szCs w:val="26"/>
        </w:rPr>
        <w:t>S</w:t>
      </w:r>
      <w:r w:rsidR="00AD012D" w:rsidRPr="007A6659">
        <w:rPr>
          <w:sz w:val="26"/>
          <w:szCs w:val="26"/>
        </w:rPr>
        <w:t xml:space="preserve">ome empirical support </w:t>
      </w:r>
      <w:r w:rsidR="00AD012D">
        <w:rPr>
          <w:sz w:val="26"/>
          <w:szCs w:val="26"/>
        </w:rPr>
        <w:t>has been found to suggest that a</w:t>
      </w:r>
      <w:r w:rsidR="009C29D7" w:rsidRPr="007A6659">
        <w:rPr>
          <w:sz w:val="26"/>
          <w:szCs w:val="26"/>
        </w:rPr>
        <w:t xml:space="preserve">n effectively-managed non-profit should be ready to reallocate resources in response to these pressures, </w:t>
      </w:r>
      <w:r w:rsidR="00AD012D">
        <w:rPr>
          <w:sz w:val="26"/>
          <w:szCs w:val="26"/>
        </w:rPr>
        <w:t>although</w:t>
      </w:r>
      <w:r w:rsidR="00AD012D" w:rsidRPr="007A6659">
        <w:rPr>
          <w:sz w:val="26"/>
          <w:szCs w:val="26"/>
        </w:rPr>
        <w:t xml:space="preserve"> </w:t>
      </w:r>
      <w:r w:rsidR="009C29D7" w:rsidRPr="007A6659">
        <w:rPr>
          <w:sz w:val="26"/>
          <w:szCs w:val="26"/>
        </w:rPr>
        <w:t xml:space="preserve">non-profits have been argued to </w:t>
      </w:r>
      <w:r w:rsidR="00114AC6" w:rsidRPr="007A6659">
        <w:rPr>
          <w:sz w:val="26"/>
          <w:szCs w:val="26"/>
        </w:rPr>
        <w:t xml:space="preserve">be more constrained </w:t>
      </w:r>
      <w:r w:rsidR="00AD012D">
        <w:rPr>
          <w:sz w:val="26"/>
          <w:szCs w:val="26"/>
        </w:rPr>
        <w:t>compared to</w:t>
      </w:r>
      <w:r w:rsidR="00AD012D" w:rsidRPr="007A6659">
        <w:rPr>
          <w:sz w:val="26"/>
          <w:szCs w:val="26"/>
        </w:rPr>
        <w:t xml:space="preserve"> </w:t>
      </w:r>
      <w:r w:rsidR="00114AC6" w:rsidRPr="007A6659">
        <w:rPr>
          <w:sz w:val="26"/>
          <w:szCs w:val="26"/>
        </w:rPr>
        <w:t>for-profits in their strategic decision-making</w:t>
      </w:r>
      <w:r w:rsidR="00B33584" w:rsidRPr="007A6659">
        <w:rPr>
          <w:sz w:val="26"/>
          <w:szCs w:val="26"/>
        </w:rPr>
        <w:t xml:space="preserve"> </w:t>
      </w:r>
      <w:r w:rsidR="00114AC6" w:rsidRPr="007A6659">
        <w:rPr>
          <w:sz w:val="26"/>
          <w:szCs w:val="26"/>
        </w:rPr>
        <w:t>(</w:t>
      </w:r>
      <w:r w:rsidR="00640FA7">
        <w:rPr>
          <w:sz w:val="26"/>
          <w:szCs w:val="26"/>
        </w:rPr>
        <w:t>Hull &amp; Lio, 2006</w:t>
      </w:r>
      <w:r w:rsidR="00AD012D">
        <w:rPr>
          <w:sz w:val="26"/>
          <w:szCs w:val="26"/>
        </w:rPr>
        <w:t xml:space="preserve">; </w:t>
      </w:r>
      <w:r w:rsidR="00114AC6" w:rsidRPr="007A6659">
        <w:rPr>
          <w:sz w:val="26"/>
          <w:szCs w:val="26"/>
        </w:rPr>
        <w:t>Hinz &amp; Ingerfurth, 2013).</w:t>
      </w:r>
      <w:r w:rsidR="00EB4186" w:rsidRPr="007A6659">
        <w:rPr>
          <w:sz w:val="26"/>
          <w:szCs w:val="26"/>
        </w:rPr>
        <w:t xml:space="preserve">  </w:t>
      </w:r>
      <w:r w:rsidR="00B33584" w:rsidRPr="007A6659">
        <w:rPr>
          <w:sz w:val="26"/>
          <w:szCs w:val="26"/>
        </w:rPr>
        <w:t>Ownership structure matters</w:t>
      </w:r>
      <w:r w:rsidR="00AD012D">
        <w:rPr>
          <w:sz w:val="26"/>
          <w:szCs w:val="26"/>
        </w:rPr>
        <w:t>, as</w:t>
      </w:r>
      <w:r w:rsidR="00AD012D" w:rsidRPr="007A6659">
        <w:rPr>
          <w:sz w:val="26"/>
          <w:szCs w:val="26"/>
        </w:rPr>
        <w:t xml:space="preserve"> </w:t>
      </w:r>
      <w:r w:rsidR="00B33584" w:rsidRPr="007A6659">
        <w:rPr>
          <w:sz w:val="26"/>
          <w:szCs w:val="26"/>
        </w:rPr>
        <w:t>i</w:t>
      </w:r>
      <w:r w:rsidR="00397B42" w:rsidRPr="007A6659">
        <w:rPr>
          <w:sz w:val="26"/>
          <w:szCs w:val="26"/>
        </w:rPr>
        <w:t>nstitutional pressures affect state-owned and non-state-owned enterprises</w:t>
      </w:r>
      <w:r w:rsidR="00B33584" w:rsidRPr="007A6659">
        <w:rPr>
          <w:sz w:val="26"/>
          <w:szCs w:val="26"/>
        </w:rPr>
        <w:t xml:space="preserve"> differently (Ren &amp; Jack, 2014)</w:t>
      </w:r>
      <w:r w:rsidR="00EB4186" w:rsidRPr="007A6659">
        <w:rPr>
          <w:sz w:val="26"/>
          <w:szCs w:val="26"/>
        </w:rPr>
        <w:t>.</w:t>
      </w:r>
    </w:p>
    <w:p w14:paraId="5F51E968" w14:textId="25F307B5" w:rsidR="005B7147" w:rsidRPr="007A6659" w:rsidRDefault="00C566D7" w:rsidP="00373FDB">
      <w:pPr>
        <w:spacing w:after="0" w:line="360" w:lineRule="exact"/>
        <w:ind w:firstLineChars="200" w:firstLine="520"/>
        <w:jc w:val="both"/>
        <w:rPr>
          <w:sz w:val="26"/>
          <w:szCs w:val="26"/>
        </w:rPr>
      </w:pPr>
      <w:r w:rsidRPr="007A6659">
        <w:rPr>
          <w:sz w:val="26"/>
          <w:szCs w:val="26"/>
        </w:rPr>
        <w:t>Thus, in this study</w:t>
      </w:r>
      <w:r w:rsidR="00A10E1D">
        <w:rPr>
          <w:sz w:val="26"/>
          <w:szCs w:val="26"/>
        </w:rPr>
        <w:t>,</w:t>
      </w:r>
      <w:r w:rsidRPr="007A6659">
        <w:rPr>
          <w:sz w:val="26"/>
          <w:szCs w:val="26"/>
        </w:rPr>
        <w:t xml:space="preserve"> we </w:t>
      </w:r>
      <w:r w:rsidR="00A10E1D" w:rsidRPr="007A6659">
        <w:rPr>
          <w:sz w:val="26"/>
          <w:szCs w:val="26"/>
        </w:rPr>
        <w:t>appl</w:t>
      </w:r>
      <w:r w:rsidR="00A10E1D">
        <w:rPr>
          <w:sz w:val="26"/>
          <w:szCs w:val="26"/>
        </w:rPr>
        <w:t>ied</w:t>
      </w:r>
      <w:r w:rsidR="00A10E1D" w:rsidRPr="007A6659">
        <w:rPr>
          <w:sz w:val="26"/>
          <w:szCs w:val="26"/>
        </w:rPr>
        <w:t xml:space="preserve"> </w:t>
      </w:r>
      <w:r w:rsidR="005B7147" w:rsidRPr="007A6659">
        <w:rPr>
          <w:sz w:val="26"/>
          <w:szCs w:val="26"/>
        </w:rPr>
        <w:t>institutional</w:t>
      </w:r>
      <w:r w:rsidR="002D63CC">
        <w:rPr>
          <w:sz w:val="26"/>
          <w:szCs w:val="26"/>
        </w:rPr>
        <w:t xml:space="preserve"> theory to non-profit strategy </w:t>
      </w:r>
      <w:r w:rsidR="002D63CC" w:rsidRPr="007A6659">
        <w:rPr>
          <w:sz w:val="26"/>
          <w:szCs w:val="26"/>
        </w:rPr>
        <w:t>in industrialized nations</w:t>
      </w:r>
      <w:r w:rsidR="005D7738" w:rsidRPr="007A6659">
        <w:rPr>
          <w:sz w:val="26"/>
          <w:szCs w:val="26"/>
        </w:rPr>
        <w:t xml:space="preserve"> </w:t>
      </w:r>
      <w:r w:rsidR="002D63CC">
        <w:rPr>
          <w:sz w:val="26"/>
          <w:szCs w:val="26"/>
        </w:rPr>
        <w:t xml:space="preserve">using the example of </w:t>
      </w:r>
      <w:r w:rsidR="005B7147" w:rsidRPr="007A6659">
        <w:rPr>
          <w:sz w:val="26"/>
          <w:szCs w:val="26"/>
        </w:rPr>
        <w:t>Greenpeace, a non-</w:t>
      </w:r>
      <w:r w:rsidR="00DB0E76" w:rsidRPr="007A6659">
        <w:rPr>
          <w:sz w:val="26"/>
          <w:szCs w:val="26"/>
        </w:rPr>
        <w:t>profit</w:t>
      </w:r>
      <w:r w:rsidR="002D63CC">
        <w:rPr>
          <w:sz w:val="26"/>
          <w:szCs w:val="26"/>
        </w:rPr>
        <w:t xml:space="preserve"> organization</w:t>
      </w:r>
      <w:r w:rsidR="005B7147" w:rsidRPr="007A6659">
        <w:rPr>
          <w:sz w:val="26"/>
          <w:szCs w:val="26"/>
        </w:rPr>
        <w:t xml:space="preserve">. </w:t>
      </w:r>
      <w:r w:rsidR="001F7E10" w:rsidRPr="007A6659">
        <w:rPr>
          <w:sz w:val="26"/>
          <w:szCs w:val="26"/>
        </w:rPr>
        <w:t>Non-profit</w:t>
      </w:r>
      <w:r w:rsidR="005B7147" w:rsidRPr="007A6659">
        <w:rPr>
          <w:sz w:val="26"/>
          <w:szCs w:val="26"/>
        </w:rPr>
        <w:t xml:space="preserve"> </w:t>
      </w:r>
      <w:r w:rsidR="007A3C23" w:rsidRPr="007A6659">
        <w:rPr>
          <w:sz w:val="26"/>
          <w:szCs w:val="26"/>
        </w:rPr>
        <w:t>behavior</w:t>
      </w:r>
      <w:r w:rsidR="005B7147" w:rsidRPr="007A6659">
        <w:rPr>
          <w:sz w:val="26"/>
          <w:szCs w:val="26"/>
        </w:rPr>
        <w:t xml:space="preserve"> and strategy are significant issues in business</w:t>
      </w:r>
      <w:r w:rsidR="002D63CC">
        <w:rPr>
          <w:sz w:val="26"/>
          <w:szCs w:val="26"/>
        </w:rPr>
        <w:t xml:space="preserve">, </w:t>
      </w:r>
      <w:r w:rsidR="00A10E1D">
        <w:rPr>
          <w:sz w:val="26"/>
          <w:szCs w:val="26"/>
        </w:rPr>
        <w:t xml:space="preserve">regardless of </w:t>
      </w:r>
      <w:r w:rsidR="002D63CC">
        <w:rPr>
          <w:sz w:val="26"/>
          <w:szCs w:val="26"/>
        </w:rPr>
        <w:t xml:space="preserve">whether the non-profits are competing with for-profits </w:t>
      </w:r>
      <w:r w:rsidR="00A10E1D">
        <w:rPr>
          <w:sz w:val="26"/>
          <w:szCs w:val="26"/>
        </w:rPr>
        <w:t xml:space="preserve">directly </w:t>
      </w:r>
      <w:r w:rsidR="002D63CC">
        <w:rPr>
          <w:sz w:val="26"/>
          <w:szCs w:val="26"/>
        </w:rPr>
        <w:t>or trying to constrain their behavior in other ways</w:t>
      </w:r>
      <w:r w:rsidR="005B7147" w:rsidRPr="007A6659">
        <w:rPr>
          <w:sz w:val="26"/>
          <w:szCs w:val="26"/>
        </w:rPr>
        <w:t xml:space="preserve"> (Doh &amp; Guay, 2006; </w:t>
      </w:r>
      <w:r w:rsidR="00A10E1D" w:rsidRPr="007A6659">
        <w:rPr>
          <w:sz w:val="26"/>
          <w:szCs w:val="26"/>
        </w:rPr>
        <w:t xml:space="preserve">Kourala, 2010; </w:t>
      </w:r>
      <w:r w:rsidR="005B7147" w:rsidRPr="007A6659">
        <w:rPr>
          <w:sz w:val="26"/>
          <w:szCs w:val="26"/>
        </w:rPr>
        <w:t xml:space="preserve">Kourula &amp; Laasonen, 2010; </w:t>
      </w:r>
      <w:r w:rsidR="00640FA7">
        <w:rPr>
          <w:sz w:val="26"/>
          <w:szCs w:val="26"/>
        </w:rPr>
        <w:t>Luxmore &amp; Hull, 2011</w:t>
      </w:r>
      <w:r w:rsidR="005B7147" w:rsidRPr="007A6659">
        <w:rPr>
          <w:sz w:val="26"/>
          <w:szCs w:val="26"/>
        </w:rPr>
        <w:t xml:space="preserve">; Taysir &amp; Taysir, 2012; Teegen, Doh, &amp; Vachani, 2004; Vachani, Doh, </w:t>
      </w:r>
      <w:r w:rsidR="005B7147" w:rsidRPr="007A6659">
        <w:rPr>
          <w:sz w:val="26"/>
          <w:szCs w:val="26"/>
        </w:rPr>
        <w:lastRenderedPageBreak/>
        <w:t>&amp; Teegen, 2009)</w:t>
      </w:r>
      <w:r w:rsidR="00E122DD">
        <w:rPr>
          <w:sz w:val="26"/>
          <w:szCs w:val="26"/>
        </w:rPr>
        <w:t>,</w:t>
      </w:r>
      <w:r w:rsidR="005B7147" w:rsidRPr="007A6659">
        <w:rPr>
          <w:sz w:val="26"/>
          <w:szCs w:val="26"/>
        </w:rPr>
        <w:t xml:space="preserve"> as </w:t>
      </w:r>
      <w:r w:rsidR="001F7E10" w:rsidRPr="007A6659">
        <w:rPr>
          <w:sz w:val="26"/>
          <w:szCs w:val="26"/>
        </w:rPr>
        <w:t>non-profit</w:t>
      </w:r>
      <w:r w:rsidR="005B7147" w:rsidRPr="007A6659">
        <w:rPr>
          <w:sz w:val="26"/>
          <w:szCs w:val="26"/>
        </w:rPr>
        <w:t xml:space="preserve">s are important players in global markets (Kourala, 2010). Differences between the constraints on non-profits and those on for-profits may </w:t>
      </w:r>
      <w:r w:rsidR="00B860BA">
        <w:rPr>
          <w:sz w:val="26"/>
          <w:szCs w:val="26"/>
        </w:rPr>
        <w:t>affect</w:t>
      </w:r>
      <w:r w:rsidR="005B7147" w:rsidRPr="007A6659">
        <w:rPr>
          <w:sz w:val="26"/>
          <w:szCs w:val="26"/>
        </w:rPr>
        <w:t xml:space="preserve"> responses to similar pressures (e.g., </w:t>
      </w:r>
      <w:r w:rsidR="00640FA7">
        <w:rPr>
          <w:sz w:val="26"/>
          <w:szCs w:val="26"/>
        </w:rPr>
        <w:t>Hull &amp; Lio, 2006</w:t>
      </w:r>
      <w:r w:rsidR="00B860BA">
        <w:rPr>
          <w:sz w:val="26"/>
          <w:szCs w:val="26"/>
        </w:rPr>
        <w:t xml:space="preserve">; </w:t>
      </w:r>
      <w:r w:rsidR="005B7147" w:rsidRPr="007A6659">
        <w:rPr>
          <w:sz w:val="26"/>
          <w:szCs w:val="26"/>
        </w:rPr>
        <w:t xml:space="preserve">Davis, </w:t>
      </w:r>
      <w:r w:rsidR="005B7147" w:rsidRPr="007A6659">
        <w:rPr>
          <w:rFonts w:eastAsia="Times New Roman"/>
          <w:sz w:val="26"/>
          <w:szCs w:val="26"/>
        </w:rPr>
        <w:t xml:space="preserve">Marino, Aaron, &amp; Tolbert, </w:t>
      </w:r>
      <w:r w:rsidR="005B7147" w:rsidRPr="007A6659">
        <w:rPr>
          <w:sz w:val="26"/>
          <w:szCs w:val="26"/>
        </w:rPr>
        <w:t>2009)</w:t>
      </w:r>
      <w:r w:rsidR="002D63CC">
        <w:rPr>
          <w:sz w:val="26"/>
          <w:szCs w:val="26"/>
        </w:rPr>
        <w:t xml:space="preserve">.  </w:t>
      </w:r>
      <w:r w:rsidR="009C29D7" w:rsidRPr="007A6659">
        <w:rPr>
          <w:sz w:val="26"/>
          <w:szCs w:val="26"/>
        </w:rPr>
        <w:t>In assessing the effects of formal and informal institutional pressure on Greenpeace, we intend</w:t>
      </w:r>
      <w:r w:rsidR="00B860BA">
        <w:rPr>
          <w:sz w:val="26"/>
          <w:szCs w:val="26"/>
        </w:rPr>
        <w:t>ed</w:t>
      </w:r>
      <w:r w:rsidR="009C29D7" w:rsidRPr="007A6659">
        <w:rPr>
          <w:sz w:val="26"/>
          <w:szCs w:val="26"/>
        </w:rPr>
        <w:t xml:space="preserve"> to address this confusion.  </w:t>
      </w:r>
    </w:p>
    <w:p w14:paraId="64741F55" w14:textId="0168BF47" w:rsidR="005B7147" w:rsidRDefault="002D63CC" w:rsidP="00373FDB">
      <w:pPr>
        <w:spacing w:after="0" w:line="360" w:lineRule="exact"/>
        <w:ind w:firstLineChars="200" w:firstLine="520"/>
        <w:jc w:val="both"/>
        <w:rPr>
          <w:sz w:val="26"/>
          <w:szCs w:val="26"/>
        </w:rPr>
      </w:pPr>
      <w:r>
        <w:rPr>
          <w:sz w:val="26"/>
          <w:szCs w:val="26"/>
        </w:rPr>
        <w:t>We look</w:t>
      </w:r>
      <w:r w:rsidR="00B860BA">
        <w:rPr>
          <w:sz w:val="26"/>
          <w:szCs w:val="26"/>
        </w:rPr>
        <w:t>ed</w:t>
      </w:r>
      <w:r>
        <w:rPr>
          <w:sz w:val="26"/>
          <w:szCs w:val="26"/>
        </w:rPr>
        <w:t xml:space="preserve"> specifically at</w:t>
      </w:r>
      <w:r w:rsidR="005B7147" w:rsidRPr="007A6659">
        <w:rPr>
          <w:sz w:val="26"/>
          <w:szCs w:val="26"/>
        </w:rPr>
        <w:t xml:space="preserve"> Greenpeace’s opposition to genetically modified (GM) crops and food. Research on the GM controversy has emphasized the strategies of </w:t>
      </w:r>
      <w:r w:rsidR="00321780" w:rsidRPr="007A6659">
        <w:rPr>
          <w:sz w:val="26"/>
          <w:szCs w:val="26"/>
        </w:rPr>
        <w:t>GM-producing firms</w:t>
      </w:r>
      <w:r w:rsidR="00B860BA">
        <w:rPr>
          <w:sz w:val="26"/>
          <w:szCs w:val="26"/>
        </w:rPr>
        <w:t>,</w:t>
      </w:r>
      <w:r w:rsidR="005B7147" w:rsidRPr="007A6659">
        <w:rPr>
          <w:sz w:val="26"/>
          <w:szCs w:val="26"/>
        </w:rPr>
        <w:t xml:space="preserve"> such as Monsanto, and </w:t>
      </w:r>
      <w:r w:rsidR="00B860BA">
        <w:rPr>
          <w:sz w:val="26"/>
          <w:szCs w:val="26"/>
        </w:rPr>
        <w:t>has addressed</w:t>
      </w:r>
      <w:r w:rsidR="00B860BA" w:rsidRPr="007A6659">
        <w:rPr>
          <w:sz w:val="26"/>
          <w:szCs w:val="26"/>
        </w:rPr>
        <w:t xml:space="preserve"> </w:t>
      </w:r>
      <w:r w:rsidR="005B7147" w:rsidRPr="007A6659">
        <w:rPr>
          <w:sz w:val="26"/>
          <w:szCs w:val="26"/>
        </w:rPr>
        <w:t xml:space="preserve">the </w:t>
      </w:r>
      <w:r w:rsidR="00B860BA">
        <w:rPr>
          <w:sz w:val="26"/>
          <w:szCs w:val="26"/>
        </w:rPr>
        <w:t xml:space="preserve">effect of </w:t>
      </w:r>
      <w:r w:rsidR="005B7147" w:rsidRPr="007A6659">
        <w:rPr>
          <w:sz w:val="26"/>
          <w:szCs w:val="26"/>
        </w:rPr>
        <w:t>regulatory and civil society</w:t>
      </w:r>
      <w:r w:rsidR="00B860BA">
        <w:rPr>
          <w:sz w:val="26"/>
          <w:szCs w:val="26"/>
        </w:rPr>
        <w:t xml:space="preserve"> </w:t>
      </w:r>
      <w:r w:rsidR="005B7147" w:rsidRPr="007A6659">
        <w:rPr>
          <w:sz w:val="26"/>
          <w:szCs w:val="26"/>
        </w:rPr>
        <w:t xml:space="preserve">on firm strategy (c.f., </w:t>
      </w:r>
      <w:r w:rsidR="00640FA7">
        <w:rPr>
          <w:sz w:val="26"/>
          <w:szCs w:val="26"/>
        </w:rPr>
        <w:t>Luxmore &amp; Hull, 2010</w:t>
      </w:r>
      <w:r w:rsidR="005B7147" w:rsidRPr="007A6659">
        <w:rPr>
          <w:sz w:val="26"/>
          <w:szCs w:val="26"/>
        </w:rPr>
        <w:t xml:space="preserve">; </w:t>
      </w:r>
      <w:r w:rsidR="00635E9B" w:rsidRPr="00635E9B">
        <w:rPr>
          <w:sz w:val="26"/>
          <w:szCs w:val="26"/>
        </w:rPr>
        <w:t>Schrempf-Stirling, Palazzo, &amp; Phillips</w:t>
      </w:r>
      <w:r w:rsidR="00635E9B">
        <w:rPr>
          <w:sz w:val="26"/>
          <w:szCs w:val="26"/>
        </w:rPr>
        <w:t xml:space="preserve">, 2016; </w:t>
      </w:r>
      <w:r w:rsidR="005B7147" w:rsidRPr="007A6659">
        <w:rPr>
          <w:sz w:val="26"/>
          <w:szCs w:val="26"/>
        </w:rPr>
        <w:t xml:space="preserve">Soule, 2003). </w:t>
      </w:r>
      <w:r w:rsidR="00321780" w:rsidRPr="007A6659">
        <w:rPr>
          <w:sz w:val="26"/>
          <w:szCs w:val="26"/>
        </w:rPr>
        <w:t>B</w:t>
      </w:r>
      <w:r w:rsidR="008C7CD2" w:rsidRPr="007A6659">
        <w:rPr>
          <w:sz w:val="26"/>
          <w:szCs w:val="26"/>
        </w:rPr>
        <w:t>y studying Greenpeace</w:t>
      </w:r>
      <w:r w:rsidR="00321780" w:rsidRPr="007A6659">
        <w:rPr>
          <w:sz w:val="26"/>
          <w:szCs w:val="26"/>
        </w:rPr>
        <w:t>, which encourages all forms of environmental responsibility across multiple national boundaries,</w:t>
      </w:r>
      <w:r w:rsidR="008C7CD2" w:rsidRPr="007A6659">
        <w:rPr>
          <w:sz w:val="26"/>
          <w:szCs w:val="26"/>
        </w:rPr>
        <w:t xml:space="preserve"> we are contributing to the corporate environmental responsibility literature</w:t>
      </w:r>
      <w:r w:rsidR="00B860BA">
        <w:rPr>
          <w:sz w:val="26"/>
          <w:szCs w:val="26"/>
        </w:rPr>
        <w:t xml:space="preserve"> that has called for</w:t>
      </w:r>
      <w:r w:rsidR="008C7CD2" w:rsidRPr="007A6659">
        <w:rPr>
          <w:sz w:val="26"/>
          <w:szCs w:val="26"/>
        </w:rPr>
        <w:t xml:space="preserve"> more research that transcends national borders</w:t>
      </w:r>
      <w:r w:rsidR="00321780" w:rsidRPr="007A6659">
        <w:rPr>
          <w:sz w:val="26"/>
          <w:szCs w:val="26"/>
        </w:rPr>
        <w:t xml:space="preserve"> </w:t>
      </w:r>
      <w:r w:rsidR="008C7CD2" w:rsidRPr="007A6659">
        <w:rPr>
          <w:sz w:val="26"/>
          <w:szCs w:val="26"/>
        </w:rPr>
        <w:t xml:space="preserve">(Holtbrügge &amp; Dögl, 2012).  </w:t>
      </w:r>
      <w:r w:rsidR="005B7147" w:rsidRPr="007A6659">
        <w:rPr>
          <w:sz w:val="26"/>
          <w:szCs w:val="26"/>
        </w:rPr>
        <w:t xml:space="preserve">This paper examines how differences in institutional settings, both within Europe and between Europe and the US, affect </w:t>
      </w:r>
      <w:r w:rsidR="00EB4186" w:rsidRPr="007A6659">
        <w:rPr>
          <w:sz w:val="26"/>
          <w:szCs w:val="26"/>
        </w:rPr>
        <w:t>Greenpeace’s</w:t>
      </w:r>
      <w:r w:rsidR="005B7147" w:rsidRPr="007A6659">
        <w:rPr>
          <w:sz w:val="26"/>
          <w:szCs w:val="26"/>
        </w:rPr>
        <w:t xml:space="preserve"> strategies</w:t>
      </w:r>
      <w:r w:rsidR="00B860BA">
        <w:rPr>
          <w:sz w:val="26"/>
          <w:szCs w:val="26"/>
        </w:rPr>
        <w:t>,</w:t>
      </w:r>
      <w:r w:rsidR="005B7147" w:rsidRPr="007A6659">
        <w:rPr>
          <w:sz w:val="26"/>
          <w:szCs w:val="26"/>
        </w:rPr>
        <w:t xml:space="preserve"> </w:t>
      </w:r>
      <w:r w:rsidR="00EB4186" w:rsidRPr="007A6659">
        <w:rPr>
          <w:sz w:val="26"/>
          <w:szCs w:val="26"/>
        </w:rPr>
        <w:t>as reflected in its resource allocations</w:t>
      </w:r>
      <w:r w:rsidR="005B7147" w:rsidRPr="007A6659">
        <w:rPr>
          <w:sz w:val="26"/>
          <w:szCs w:val="26"/>
        </w:rPr>
        <w:t xml:space="preserve">. Our study rests upon the premise that institutional theory applies to developed economies and to non-profit organizations. </w:t>
      </w:r>
      <w:r w:rsidR="00474E36">
        <w:rPr>
          <w:sz w:val="26"/>
          <w:szCs w:val="26"/>
        </w:rPr>
        <w:t>Thus, we developed the following</w:t>
      </w:r>
      <w:r w:rsidR="00474E36" w:rsidRPr="007A6659">
        <w:rPr>
          <w:sz w:val="26"/>
          <w:szCs w:val="26"/>
        </w:rPr>
        <w:t xml:space="preserve"> </w:t>
      </w:r>
      <w:r w:rsidR="005B7147" w:rsidRPr="007A6659">
        <w:rPr>
          <w:sz w:val="26"/>
          <w:szCs w:val="26"/>
        </w:rPr>
        <w:t xml:space="preserve">research questions: </w:t>
      </w:r>
    </w:p>
    <w:p w14:paraId="2A7EAFA1" w14:textId="77777777" w:rsidR="00CB7B07" w:rsidRPr="007A6659" w:rsidRDefault="00CB7B07" w:rsidP="00373FDB">
      <w:pPr>
        <w:spacing w:after="0" w:line="360" w:lineRule="exact"/>
        <w:ind w:firstLineChars="200" w:firstLine="520"/>
        <w:jc w:val="both"/>
        <w:rPr>
          <w:sz w:val="26"/>
          <w:szCs w:val="26"/>
        </w:rPr>
      </w:pPr>
    </w:p>
    <w:p w14:paraId="55E2F6F0" w14:textId="77777777" w:rsidR="005B7147" w:rsidRPr="007A6659" w:rsidRDefault="005B7147" w:rsidP="00E41F01">
      <w:pPr>
        <w:spacing w:after="0" w:line="360" w:lineRule="exact"/>
        <w:ind w:left="390" w:right="-45" w:hangingChars="150" w:hanging="390"/>
        <w:jc w:val="both"/>
        <w:rPr>
          <w:i/>
          <w:sz w:val="26"/>
          <w:szCs w:val="26"/>
        </w:rPr>
      </w:pPr>
      <w:r w:rsidRPr="007A6659">
        <w:rPr>
          <w:i/>
          <w:sz w:val="26"/>
          <w:szCs w:val="26"/>
        </w:rPr>
        <w:t xml:space="preserve">(1) How do formal and informal institutional differences affect </w:t>
      </w:r>
      <w:r w:rsidR="001F7E10" w:rsidRPr="007A6659">
        <w:rPr>
          <w:i/>
          <w:sz w:val="26"/>
          <w:szCs w:val="26"/>
        </w:rPr>
        <w:t>non-profit</w:t>
      </w:r>
      <w:r w:rsidRPr="007A6659">
        <w:rPr>
          <w:i/>
          <w:sz w:val="26"/>
          <w:szCs w:val="26"/>
        </w:rPr>
        <w:t xml:space="preserve"> </w:t>
      </w:r>
      <w:r w:rsidR="00EB4186" w:rsidRPr="007A6659">
        <w:rPr>
          <w:i/>
          <w:sz w:val="26"/>
          <w:szCs w:val="26"/>
        </w:rPr>
        <w:t>resource allocation</w:t>
      </w:r>
      <w:r w:rsidRPr="007A6659">
        <w:rPr>
          <w:i/>
          <w:sz w:val="26"/>
          <w:szCs w:val="26"/>
        </w:rPr>
        <w:t xml:space="preserve"> in different countries?</w:t>
      </w:r>
    </w:p>
    <w:p w14:paraId="7F284713" w14:textId="255CCC12" w:rsidR="005B7147" w:rsidRDefault="005B7147" w:rsidP="00E41F01">
      <w:pPr>
        <w:spacing w:after="0" w:line="360" w:lineRule="exact"/>
        <w:ind w:left="390" w:right="-45" w:hangingChars="150" w:hanging="390"/>
        <w:jc w:val="both"/>
        <w:rPr>
          <w:i/>
          <w:sz w:val="26"/>
          <w:szCs w:val="26"/>
        </w:rPr>
      </w:pPr>
      <w:r w:rsidRPr="007A6659">
        <w:rPr>
          <w:i/>
          <w:sz w:val="26"/>
          <w:szCs w:val="26"/>
        </w:rPr>
        <w:t>(2) Does Greenpeace</w:t>
      </w:r>
      <w:r w:rsidR="007161A0">
        <w:rPr>
          <w:i/>
          <w:sz w:val="26"/>
          <w:szCs w:val="26"/>
        </w:rPr>
        <w:t xml:space="preserve">, in its crusade again GMOs, </w:t>
      </w:r>
      <w:r w:rsidR="00321780" w:rsidRPr="007A6659">
        <w:rPr>
          <w:i/>
          <w:sz w:val="26"/>
          <w:szCs w:val="26"/>
        </w:rPr>
        <w:t>present a good model for other organizations</w:t>
      </w:r>
      <w:r w:rsidRPr="007A6659">
        <w:rPr>
          <w:i/>
          <w:sz w:val="26"/>
          <w:szCs w:val="26"/>
        </w:rPr>
        <w:t xml:space="preserve"> to follow?</w:t>
      </w:r>
      <w:r w:rsidRPr="00E41F01">
        <w:rPr>
          <w:i/>
          <w:sz w:val="26"/>
          <w:szCs w:val="26"/>
        </w:rPr>
        <w:tab/>
      </w:r>
    </w:p>
    <w:p w14:paraId="740D8B88" w14:textId="77777777" w:rsidR="00CB7B07" w:rsidRPr="00E41F01" w:rsidRDefault="00CB7B07" w:rsidP="00E41F01">
      <w:pPr>
        <w:spacing w:after="0" w:line="360" w:lineRule="exact"/>
        <w:ind w:left="390" w:right="-45" w:hangingChars="150" w:hanging="390"/>
        <w:jc w:val="both"/>
        <w:rPr>
          <w:i/>
          <w:sz w:val="26"/>
          <w:szCs w:val="26"/>
        </w:rPr>
      </w:pPr>
    </w:p>
    <w:p w14:paraId="473BA7B3" w14:textId="70BA582A" w:rsidR="005B7147" w:rsidRPr="007A6659" w:rsidRDefault="00474E36" w:rsidP="00373FDB">
      <w:pPr>
        <w:spacing w:after="0" w:line="360" w:lineRule="exact"/>
        <w:ind w:firstLineChars="200" w:firstLine="520"/>
        <w:jc w:val="both"/>
        <w:rPr>
          <w:sz w:val="26"/>
          <w:szCs w:val="26"/>
        </w:rPr>
      </w:pPr>
      <w:r>
        <w:rPr>
          <w:sz w:val="26"/>
          <w:szCs w:val="26"/>
        </w:rPr>
        <w:t>We expected that the d</w:t>
      </w:r>
      <w:r w:rsidR="005B7147" w:rsidRPr="007A6659">
        <w:rPr>
          <w:sz w:val="26"/>
          <w:szCs w:val="26"/>
        </w:rPr>
        <w:t>ifferences in institutional environments not only betw</w:t>
      </w:r>
      <w:r w:rsidR="00321780" w:rsidRPr="007A6659">
        <w:rPr>
          <w:sz w:val="26"/>
          <w:szCs w:val="26"/>
        </w:rPr>
        <w:t>een the US and the EU but also</w:t>
      </w:r>
      <w:r w:rsidR="00F777FE" w:rsidRPr="007A6659">
        <w:rPr>
          <w:sz w:val="26"/>
          <w:szCs w:val="26"/>
        </w:rPr>
        <w:t xml:space="preserve"> between two neighbo</w:t>
      </w:r>
      <w:r w:rsidR="005B7147" w:rsidRPr="007A6659">
        <w:rPr>
          <w:sz w:val="26"/>
          <w:szCs w:val="26"/>
        </w:rPr>
        <w:t>ring EU member nations</w:t>
      </w:r>
      <w:r>
        <w:rPr>
          <w:sz w:val="26"/>
          <w:szCs w:val="26"/>
        </w:rPr>
        <w:t xml:space="preserve"> </w:t>
      </w:r>
      <w:r w:rsidR="003E3721">
        <w:rPr>
          <w:sz w:val="26"/>
          <w:szCs w:val="26"/>
        </w:rPr>
        <w:t>would</w:t>
      </w:r>
      <w:r>
        <w:rPr>
          <w:sz w:val="26"/>
          <w:szCs w:val="26"/>
        </w:rPr>
        <w:t xml:space="preserve"> generate</w:t>
      </w:r>
      <w:r w:rsidRPr="007A6659">
        <w:rPr>
          <w:sz w:val="26"/>
          <w:szCs w:val="26"/>
        </w:rPr>
        <w:t xml:space="preserve"> </w:t>
      </w:r>
      <w:r w:rsidR="005B7147" w:rsidRPr="007A6659">
        <w:rPr>
          <w:sz w:val="26"/>
          <w:szCs w:val="26"/>
        </w:rPr>
        <w:t xml:space="preserve">predictable and significantly different organizational </w:t>
      </w:r>
      <w:r w:rsidR="007A3C23" w:rsidRPr="007A6659">
        <w:rPr>
          <w:sz w:val="26"/>
          <w:szCs w:val="26"/>
        </w:rPr>
        <w:t>behavior</w:t>
      </w:r>
      <w:r w:rsidR="005B7147" w:rsidRPr="007A6659">
        <w:rPr>
          <w:sz w:val="26"/>
          <w:szCs w:val="26"/>
        </w:rPr>
        <w:t xml:space="preserve"> in each of t</w:t>
      </w:r>
      <w:r w:rsidR="00321780" w:rsidRPr="007A6659">
        <w:rPr>
          <w:sz w:val="26"/>
          <w:szCs w:val="26"/>
        </w:rPr>
        <w:t>hese industrialized economies. These d</w:t>
      </w:r>
      <w:r w:rsidR="005B7147" w:rsidRPr="007A6659">
        <w:rPr>
          <w:sz w:val="26"/>
          <w:szCs w:val="26"/>
        </w:rPr>
        <w:t xml:space="preserve">ifferences in </w:t>
      </w:r>
      <w:r>
        <w:rPr>
          <w:sz w:val="26"/>
          <w:szCs w:val="26"/>
        </w:rPr>
        <w:t xml:space="preserve">the </w:t>
      </w:r>
      <w:r w:rsidRPr="007A6659">
        <w:rPr>
          <w:sz w:val="26"/>
          <w:szCs w:val="26"/>
        </w:rPr>
        <w:t xml:space="preserve">implementation </w:t>
      </w:r>
      <w:r w:rsidR="005B7147" w:rsidRPr="007A6659">
        <w:rPr>
          <w:sz w:val="26"/>
          <w:szCs w:val="26"/>
        </w:rPr>
        <w:t>of the Greenpeace campaign against GM crops and food</w:t>
      </w:r>
      <w:r w:rsidR="00321780" w:rsidRPr="007A6659">
        <w:rPr>
          <w:sz w:val="26"/>
          <w:szCs w:val="26"/>
        </w:rPr>
        <w:t xml:space="preserve"> </w:t>
      </w:r>
      <w:r w:rsidR="005E7420">
        <w:rPr>
          <w:sz w:val="26"/>
          <w:szCs w:val="26"/>
        </w:rPr>
        <w:t xml:space="preserve">by different national units or branches </w:t>
      </w:r>
      <w:r w:rsidR="00321780" w:rsidRPr="007A6659">
        <w:rPr>
          <w:sz w:val="26"/>
          <w:szCs w:val="26"/>
        </w:rPr>
        <w:t>may then serve as a model for other multi-national organizations</w:t>
      </w:r>
      <w:r w:rsidR="005B7147" w:rsidRPr="007A6659">
        <w:rPr>
          <w:sz w:val="26"/>
          <w:szCs w:val="26"/>
        </w:rPr>
        <w:t>.</w:t>
      </w:r>
    </w:p>
    <w:p w14:paraId="569D6B59" w14:textId="74DCF21E" w:rsidR="005B7147" w:rsidRPr="00FF5068" w:rsidRDefault="005B7147" w:rsidP="00373FDB">
      <w:pPr>
        <w:spacing w:after="0" w:line="360" w:lineRule="exact"/>
        <w:ind w:firstLineChars="200" w:firstLine="520"/>
        <w:jc w:val="both"/>
        <w:rPr>
          <w:sz w:val="26"/>
          <w:szCs w:val="26"/>
        </w:rPr>
      </w:pPr>
      <w:r w:rsidRPr="007A6659">
        <w:rPr>
          <w:sz w:val="26"/>
          <w:szCs w:val="26"/>
        </w:rPr>
        <w:t xml:space="preserve">One dimension of the institutional setting is the formal regulatory environment, which </w:t>
      </w:r>
      <w:r w:rsidR="00474E36">
        <w:rPr>
          <w:sz w:val="26"/>
          <w:szCs w:val="26"/>
        </w:rPr>
        <w:t>is different in</w:t>
      </w:r>
      <w:r w:rsidR="00474E36" w:rsidRPr="007A6659">
        <w:rPr>
          <w:sz w:val="26"/>
          <w:szCs w:val="26"/>
        </w:rPr>
        <w:t xml:space="preserve"> </w:t>
      </w:r>
      <w:r w:rsidRPr="007A6659">
        <w:rPr>
          <w:sz w:val="26"/>
          <w:szCs w:val="26"/>
        </w:rPr>
        <w:t xml:space="preserve">the United States and the European Union </w:t>
      </w:r>
      <w:r w:rsidR="00474E36">
        <w:rPr>
          <w:sz w:val="26"/>
          <w:szCs w:val="26"/>
        </w:rPr>
        <w:t>in terms of</w:t>
      </w:r>
      <w:r w:rsidR="00474E36" w:rsidRPr="007A6659">
        <w:rPr>
          <w:sz w:val="26"/>
          <w:szCs w:val="26"/>
        </w:rPr>
        <w:t xml:space="preserve"> the decision-making processes and outcomes </w:t>
      </w:r>
      <w:r w:rsidRPr="007A6659">
        <w:rPr>
          <w:sz w:val="26"/>
          <w:szCs w:val="26"/>
        </w:rPr>
        <w:t>regarding the planting, harvesting</w:t>
      </w:r>
      <w:r w:rsidR="00474E36">
        <w:rPr>
          <w:sz w:val="26"/>
          <w:szCs w:val="26"/>
        </w:rPr>
        <w:t>,</w:t>
      </w:r>
      <w:r w:rsidRPr="007A6659">
        <w:rPr>
          <w:sz w:val="26"/>
          <w:szCs w:val="26"/>
        </w:rPr>
        <w:t xml:space="preserve"> and consumption of GM crops (Doh &amp; Guay, 2006). The other institutional </w:t>
      </w:r>
      <w:r w:rsidR="007D4652" w:rsidRPr="007A6659">
        <w:rPr>
          <w:sz w:val="26"/>
          <w:szCs w:val="26"/>
        </w:rPr>
        <w:t>dimension</w:t>
      </w:r>
      <w:r w:rsidRPr="007A6659">
        <w:rPr>
          <w:sz w:val="26"/>
          <w:szCs w:val="26"/>
        </w:rPr>
        <w:t xml:space="preserve"> is the informal </w:t>
      </w:r>
      <w:r w:rsidR="007D4652" w:rsidRPr="007A6659">
        <w:rPr>
          <w:sz w:val="26"/>
          <w:szCs w:val="26"/>
        </w:rPr>
        <w:t>one</w:t>
      </w:r>
      <w:r w:rsidR="00474E36">
        <w:rPr>
          <w:sz w:val="26"/>
          <w:szCs w:val="26"/>
        </w:rPr>
        <w:t>, concerning</w:t>
      </w:r>
      <w:r w:rsidRPr="007A6659">
        <w:rPr>
          <w:sz w:val="26"/>
          <w:szCs w:val="26"/>
        </w:rPr>
        <w:t xml:space="preserve"> culture and normative beliefs. US attitudes regarding the safety of technology-derived GM crops and attitudes toward GM food products and food in general differ from those in Europe (Isaac, Perdikis, &amp; Kerr,</w:t>
      </w:r>
      <w:r w:rsidRPr="007A6659" w:rsidDel="00B05C34">
        <w:rPr>
          <w:sz w:val="26"/>
          <w:szCs w:val="26"/>
        </w:rPr>
        <w:t xml:space="preserve"> </w:t>
      </w:r>
      <w:r w:rsidRPr="007A6659">
        <w:rPr>
          <w:sz w:val="26"/>
          <w:szCs w:val="26"/>
        </w:rPr>
        <w:t>2004). They may also differ between the two EU nations in this study, France and Spain</w:t>
      </w:r>
      <w:r w:rsidR="005E7420">
        <w:rPr>
          <w:sz w:val="26"/>
          <w:szCs w:val="26"/>
        </w:rPr>
        <w:t>,</w:t>
      </w:r>
      <w:r w:rsidR="00B9775B">
        <w:rPr>
          <w:rFonts w:hint="eastAsia"/>
          <w:sz w:val="26"/>
          <w:szCs w:val="26"/>
          <w:lang w:eastAsia="zh-TW"/>
        </w:rPr>
        <w:t xml:space="preserve"> </w:t>
      </w:r>
      <w:r w:rsidR="005E7420">
        <w:rPr>
          <w:sz w:val="26"/>
          <w:szCs w:val="26"/>
        </w:rPr>
        <w:t>which are similar in many respects, but different in informal institutional pressure</w:t>
      </w:r>
      <w:r w:rsidRPr="007A6659">
        <w:rPr>
          <w:sz w:val="26"/>
          <w:szCs w:val="26"/>
        </w:rPr>
        <w:t>. We use</w:t>
      </w:r>
      <w:r w:rsidR="00E34353">
        <w:rPr>
          <w:sz w:val="26"/>
          <w:szCs w:val="26"/>
        </w:rPr>
        <w:t>d</w:t>
      </w:r>
      <w:r w:rsidRPr="007A6659">
        <w:rPr>
          <w:sz w:val="26"/>
          <w:szCs w:val="26"/>
        </w:rPr>
        <w:t xml:space="preserve"> institutional theory to develop </w:t>
      </w:r>
      <w:r w:rsidR="004145A5" w:rsidRPr="007A6659">
        <w:rPr>
          <w:sz w:val="26"/>
          <w:szCs w:val="26"/>
        </w:rPr>
        <w:t>and examine predictions</w:t>
      </w:r>
      <w:r w:rsidRPr="007A6659">
        <w:rPr>
          <w:sz w:val="26"/>
          <w:szCs w:val="26"/>
        </w:rPr>
        <w:t xml:space="preserve"> concerning the effects of institutional differences in these three settings</w:t>
      </w:r>
      <w:r w:rsidR="004145A5" w:rsidRPr="007A6659">
        <w:rPr>
          <w:sz w:val="26"/>
          <w:szCs w:val="26"/>
        </w:rPr>
        <w:t xml:space="preserve"> </w:t>
      </w:r>
      <w:r w:rsidR="00E34353">
        <w:rPr>
          <w:sz w:val="26"/>
          <w:szCs w:val="26"/>
        </w:rPr>
        <w:t>on</w:t>
      </w:r>
      <w:r w:rsidR="00E34353" w:rsidRPr="007A6659">
        <w:rPr>
          <w:sz w:val="26"/>
          <w:szCs w:val="26"/>
        </w:rPr>
        <w:t xml:space="preserve"> </w:t>
      </w:r>
      <w:r w:rsidR="004145A5" w:rsidRPr="007A6659">
        <w:rPr>
          <w:sz w:val="26"/>
          <w:szCs w:val="26"/>
        </w:rPr>
        <w:t xml:space="preserve">Greenpeace’s strategic behavior.  </w:t>
      </w:r>
    </w:p>
    <w:p w14:paraId="702C0FB1" w14:textId="16E6D59C" w:rsidR="005B7147" w:rsidRPr="007A6659" w:rsidRDefault="005B7147" w:rsidP="00FF5068">
      <w:pPr>
        <w:spacing w:after="0" w:line="360" w:lineRule="exact"/>
        <w:ind w:firstLineChars="200" w:firstLine="520"/>
        <w:jc w:val="both"/>
        <w:rPr>
          <w:sz w:val="26"/>
          <w:szCs w:val="26"/>
        </w:rPr>
      </w:pPr>
      <w:r w:rsidRPr="007A6659">
        <w:rPr>
          <w:sz w:val="26"/>
          <w:szCs w:val="26"/>
        </w:rPr>
        <w:t xml:space="preserve">We briefly review institutional theory </w:t>
      </w:r>
      <w:r w:rsidR="002D63CC">
        <w:rPr>
          <w:sz w:val="26"/>
          <w:szCs w:val="26"/>
        </w:rPr>
        <w:t>in the context of nonprofit organizations</w:t>
      </w:r>
      <w:r w:rsidR="00E34353">
        <w:rPr>
          <w:sz w:val="26"/>
          <w:szCs w:val="26"/>
        </w:rPr>
        <w:t xml:space="preserve"> and subsequently</w:t>
      </w:r>
      <w:r w:rsidR="00E34353" w:rsidRPr="007A6659">
        <w:rPr>
          <w:sz w:val="26"/>
          <w:szCs w:val="26"/>
        </w:rPr>
        <w:t xml:space="preserve"> </w:t>
      </w:r>
      <w:r w:rsidRPr="007A6659">
        <w:rPr>
          <w:sz w:val="26"/>
          <w:szCs w:val="26"/>
        </w:rPr>
        <w:t xml:space="preserve">provide an overview of the Greenpeace organization. Next, we discuss institutional environments in the EU and the US and </w:t>
      </w:r>
      <w:r w:rsidR="00E34353">
        <w:rPr>
          <w:sz w:val="26"/>
          <w:szCs w:val="26"/>
        </w:rPr>
        <w:t>their application to</w:t>
      </w:r>
      <w:r w:rsidR="002D63CC">
        <w:rPr>
          <w:sz w:val="26"/>
          <w:szCs w:val="26"/>
        </w:rPr>
        <w:t xml:space="preserve"> the case of Greenpeace’s anti-GMO campaign</w:t>
      </w:r>
      <w:r w:rsidRPr="007A6659">
        <w:rPr>
          <w:sz w:val="26"/>
          <w:szCs w:val="26"/>
        </w:rPr>
        <w:t xml:space="preserve">. </w:t>
      </w:r>
      <w:r w:rsidR="004F47A8">
        <w:rPr>
          <w:sz w:val="26"/>
          <w:szCs w:val="26"/>
        </w:rPr>
        <w:t>Finally, we present the m</w:t>
      </w:r>
      <w:r w:rsidRPr="007A6659">
        <w:rPr>
          <w:sz w:val="26"/>
          <w:szCs w:val="26"/>
        </w:rPr>
        <w:t>ethodology, analysis</w:t>
      </w:r>
      <w:r w:rsidR="00E34353">
        <w:rPr>
          <w:sz w:val="26"/>
          <w:szCs w:val="26"/>
        </w:rPr>
        <w:t>,</w:t>
      </w:r>
      <w:r w:rsidRPr="007A6659">
        <w:rPr>
          <w:sz w:val="26"/>
          <w:szCs w:val="26"/>
        </w:rPr>
        <w:t xml:space="preserve"> and results</w:t>
      </w:r>
      <w:r w:rsidR="004F47A8">
        <w:rPr>
          <w:sz w:val="26"/>
          <w:szCs w:val="26"/>
        </w:rPr>
        <w:t xml:space="preserve">, followed by </w:t>
      </w:r>
      <w:r w:rsidRPr="007A6659">
        <w:rPr>
          <w:sz w:val="26"/>
          <w:szCs w:val="26"/>
        </w:rPr>
        <w:t>our discussion and conclusions.</w:t>
      </w:r>
    </w:p>
    <w:p w14:paraId="6562FBC0" w14:textId="77777777" w:rsidR="005B7147" w:rsidRPr="007A6659" w:rsidRDefault="005B7147" w:rsidP="00294F29">
      <w:pPr>
        <w:spacing w:after="0" w:line="240" w:lineRule="auto"/>
        <w:rPr>
          <w:sz w:val="26"/>
          <w:szCs w:val="26"/>
        </w:rPr>
      </w:pPr>
    </w:p>
    <w:p w14:paraId="2160D7BC" w14:textId="6D08CE3C" w:rsidR="005B7147" w:rsidRPr="007A6659" w:rsidRDefault="00FF5068" w:rsidP="00FF5068">
      <w:pPr>
        <w:tabs>
          <w:tab w:val="left" w:pos="3315"/>
        </w:tabs>
        <w:spacing w:after="0" w:line="240" w:lineRule="auto"/>
        <w:outlineLvl w:val="1"/>
        <w:rPr>
          <w:b/>
          <w:caps/>
          <w:sz w:val="26"/>
          <w:szCs w:val="26"/>
        </w:rPr>
      </w:pPr>
      <w:r w:rsidRPr="007A6659">
        <w:rPr>
          <w:b/>
          <w:sz w:val="26"/>
          <w:szCs w:val="26"/>
        </w:rPr>
        <w:t xml:space="preserve">Institutional </w:t>
      </w:r>
      <w:r w:rsidR="00094545" w:rsidRPr="007A6659">
        <w:rPr>
          <w:b/>
          <w:sz w:val="26"/>
          <w:szCs w:val="26"/>
        </w:rPr>
        <w:t xml:space="preserve">Theory </w:t>
      </w:r>
      <w:r w:rsidRPr="007A6659">
        <w:rPr>
          <w:b/>
          <w:sz w:val="26"/>
          <w:szCs w:val="26"/>
        </w:rPr>
        <w:t xml:space="preserve">and </w:t>
      </w:r>
      <w:r w:rsidR="00094545" w:rsidRPr="007A6659">
        <w:rPr>
          <w:b/>
          <w:sz w:val="26"/>
          <w:szCs w:val="26"/>
        </w:rPr>
        <w:t>Nonprofits</w:t>
      </w:r>
    </w:p>
    <w:p w14:paraId="1B40F8C1" w14:textId="7EE2190D" w:rsidR="005B7147" w:rsidRPr="007A6659" w:rsidRDefault="005B7147" w:rsidP="00FF5068">
      <w:pPr>
        <w:spacing w:after="0" w:line="360" w:lineRule="exact"/>
        <w:ind w:firstLineChars="200" w:firstLine="520"/>
        <w:jc w:val="both"/>
        <w:rPr>
          <w:sz w:val="26"/>
          <w:szCs w:val="26"/>
        </w:rPr>
      </w:pPr>
      <w:r w:rsidRPr="007A6659">
        <w:rPr>
          <w:sz w:val="26"/>
          <w:szCs w:val="26"/>
        </w:rPr>
        <w:t>Institutional theory, or the institution-based view of strategic management (Lu et al., 2009; Peng et al., 2009), focuses on how environmental contexts</w:t>
      </w:r>
      <w:r w:rsidR="0062479E" w:rsidRPr="007A6659">
        <w:rPr>
          <w:sz w:val="26"/>
          <w:szCs w:val="26"/>
        </w:rPr>
        <w:t xml:space="preserve"> in which organizations operate, such as government regulation and popular perception,</w:t>
      </w:r>
      <w:r w:rsidRPr="007A6659">
        <w:rPr>
          <w:sz w:val="26"/>
          <w:szCs w:val="26"/>
        </w:rPr>
        <w:t xml:space="preserve"> affect their strategic options and </w:t>
      </w:r>
      <w:r w:rsidR="007A3C23" w:rsidRPr="007A6659">
        <w:rPr>
          <w:sz w:val="26"/>
          <w:szCs w:val="26"/>
        </w:rPr>
        <w:t>behavior</w:t>
      </w:r>
      <w:r w:rsidRPr="007A6659">
        <w:rPr>
          <w:sz w:val="26"/>
          <w:szCs w:val="26"/>
        </w:rPr>
        <w:t xml:space="preserve"> (Al-Shammari, 2012; Finegold, Klossek, Nippa, &amp; Winkler, 2010; Peng, 2002, </w:t>
      </w:r>
      <w:r w:rsidR="00143A42" w:rsidRPr="007A6659">
        <w:rPr>
          <w:sz w:val="26"/>
          <w:szCs w:val="26"/>
        </w:rPr>
        <w:t>2014</w:t>
      </w:r>
      <w:r w:rsidRPr="007A6659">
        <w:rPr>
          <w:sz w:val="26"/>
          <w:szCs w:val="26"/>
        </w:rPr>
        <w:t xml:space="preserve">). </w:t>
      </w:r>
      <w:r w:rsidR="0062479E" w:rsidRPr="007A6659">
        <w:rPr>
          <w:sz w:val="26"/>
          <w:szCs w:val="26"/>
        </w:rPr>
        <w:t>In this context, the term “institution” can be understood to mean highly resilient social structures (Scott</w:t>
      </w:r>
      <w:r w:rsidR="00365026" w:rsidRPr="007A6659">
        <w:rPr>
          <w:sz w:val="26"/>
          <w:szCs w:val="26"/>
        </w:rPr>
        <w:t>, 2008)</w:t>
      </w:r>
      <w:r w:rsidR="0062479E" w:rsidRPr="007A6659">
        <w:rPr>
          <w:sz w:val="26"/>
          <w:szCs w:val="26"/>
        </w:rPr>
        <w:t>,</w:t>
      </w:r>
      <w:r w:rsidR="00365026" w:rsidRPr="007A6659">
        <w:rPr>
          <w:sz w:val="26"/>
          <w:szCs w:val="26"/>
        </w:rPr>
        <w:t xml:space="preserve"> such as the “blogosphere” and other informal means of information dispersal</w:t>
      </w:r>
      <w:r w:rsidR="004F47A8">
        <w:rPr>
          <w:sz w:val="26"/>
          <w:szCs w:val="26"/>
        </w:rPr>
        <w:t>,</w:t>
      </w:r>
      <w:r w:rsidR="00365026" w:rsidRPr="007A6659">
        <w:rPr>
          <w:sz w:val="26"/>
          <w:szCs w:val="26"/>
        </w:rPr>
        <w:t xml:space="preserve"> which have evolved into significant institutions. </w:t>
      </w:r>
      <w:r w:rsidR="005D7387" w:rsidRPr="007A6659">
        <w:rPr>
          <w:sz w:val="26"/>
          <w:szCs w:val="26"/>
        </w:rPr>
        <w:t xml:space="preserve">How the EPA regulates pollution, for example, would be a formal institutional pressure in the United States. </w:t>
      </w:r>
      <w:r w:rsidRPr="007A6659">
        <w:rPr>
          <w:sz w:val="26"/>
          <w:szCs w:val="26"/>
        </w:rPr>
        <w:t>Understanding the interactions among organizations</w:t>
      </w:r>
      <w:r w:rsidR="007B60C0" w:rsidRPr="007A6659">
        <w:rPr>
          <w:sz w:val="26"/>
          <w:szCs w:val="26"/>
        </w:rPr>
        <w:t>, non-profit and otherwise,</w:t>
      </w:r>
      <w:r w:rsidRPr="007A6659">
        <w:rPr>
          <w:sz w:val="26"/>
          <w:szCs w:val="26"/>
        </w:rPr>
        <w:t xml:space="preserve"> is essential </w:t>
      </w:r>
      <w:r w:rsidR="004F47A8">
        <w:rPr>
          <w:sz w:val="26"/>
          <w:szCs w:val="26"/>
        </w:rPr>
        <w:t>for</w:t>
      </w:r>
      <w:r w:rsidR="004F47A8" w:rsidRPr="007A6659">
        <w:rPr>
          <w:sz w:val="26"/>
          <w:szCs w:val="26"/>
        </w:rPr>
        <w:t xml:space="preserve"> </w:t>
      </w:r>
      <w:r w:rsidRPr="007A6659">
        <w:rPr>
          <w:sz w:val="26"/>
          <w:szCs w:val="26"/>
        </w:rPr>
        <w:t xml:space="preserve">understanding strategic choice (Peng, 2003, </w:t>
      </w:r>
      <w:r w:rsidR="00143A42" w:rsidRPr="007A6659">
        <w:rPr>
          <w:sz w:val="26"/>
          <w:szCs w:val="26"/>
        </w:rPr>
        <w:t>2014</w:t>
      </w:r>
      <w:r w:rsidR="007B60C0" w:rsidRPr="007A6659">
        <w:rPr>
          <w:sz w:val="26"/>
          <w:szCs w:val="26"/>
        </w:rPr>
        <w:t xml:space="preserve">).  Institutional theory has been </w:t>
      </w:r>
      <w:r w:rsidR="00415583" w:rsidRPr="007A6659">
        <w:rPr>
          <w:sz w:val="26"/>
          <w:szCs w:val="26"/>
        </w:rPr>
        <w:t>shown to explain the choices of non-profits in at least some settings (</w:t>
      </w:r>
      <w:r w:rsidR="00195CF0" w:rsidRPr="007A6659">
        <w:rPr>
          <w:sz w:val="26"/>
          <w:szCs w:val="26"/>
        </w:rPr>
        <w:t xml:space="preserve">Berrone, Gelabert, Massa-Saluzzo, &amp; Rousseau, </w:t>
      </w:r>
      <w:r w:rsidR="00F00F77">
        <w:rPr>
          <w:sz w:val="26"/>
          <w:szCs w:val="26"/>
        </w:rPr>
        <w:t>2016</w:t>
      </w:r>
      <w:r w:rsidR="00195CF0" w:rsidRPr="007A6659">
        <w:rPr>
          <w:sz w:val="26"/>
          <w:szCs w:val="26"/>
        </w:rPr>
        <w:t xml:space="preserve">; </w:t>
      </w:r>
      <w:r w:rsidR="00415583" w:rsidRPr="007A6659">
        <w:rPr>
          <w:sz w:val="26"/>
          <w:szCs w:val="26"/>
        </w:rPr>
        <w:t>Garrow &amp; Hasenfeld, 2014).</w:t>
      </w:r>
      <w:r w:rsidR="002D63CC">
        <w:rPr>
          <w:sz w:val="26"/>
          <w:szCs w:val="26"/>
        </w:rPr>
        <w:t xml:space="preserve"> Institutional pressures could also serve to explain unexpected results of studies of non-profit behavior in a specific industry in a geographically confined region</w:t>
      </w:r>
      <w:r w:rsidR="00F00F77">
        <w:rPr>
          <w:sz w:val="26"/>
          <w:szCs w:val="26"/>
        </w:rPr>
        <w:t xml:space="preserve">, such as that of </w:t>
      </w:r>
      <w:r w:rsidR="002D63CC">
        <w:rPr>
          <w:sz w:val="26"/>
          <w:szCs w:val="26"/>
        </w:rPr>
        <w:t>Davis et al.</w:t>
      </w:r>
      <w:r w:rsidR="00F00F77">
        <w:rPr>
          <w:sz w:val="26"/>
          <w:szCs w:val="26"/>
        </w:rPr>
        <w:t xml:space="preserve"> (</w:t>
      </w:r>
      <w:r w:rsidR="002D63CC">
        <w:rPr>
          <w:sz w:val="26"/>
          <w:szCs w:val="26"/>
        </w:rPr>
        <w:t>2009)</w:t>
      </w:r>
      <w:r w:rsidR="00F00F77">
        <w:rPr>
          <w:sz w:val="26"/>
          <w:szCs w:val="26"/>
        </w:rPr>
        <w:t xml:space="preserve"> in which non-profit nursing homes in Florida were found to be more strategically competitive than their for-profit competition</w:t>
      </w:r>
      <w:r w:rsidR="002D63CC">
        <w:rPr>
          <w:sz w:val="26"/>
          <w:szCs w:val="26"/>
        </w:rPr>
        <w:t>.</w:t>
      </w:r>
    </w:p>
    <w:p w14:paraId="2693B318" w14:textId="2E84E5FF" w:rsidR="005B7147" w:rsidRPr="007A6659" w:rsidRDefault="005B7147" w:rsidP="00E22579">
      <w:pPr>
        <w:spacing w:after="0" w:line="360" w:lineRule="exact"/>
        <w:ind w:firstLineChars="200" w:firstLine="520"/>
        <w:jc w:val="both"/>
        <w:rPr>
          <w:sz w:val="26"/>
          <w:szCs w:val="26"/>
        </w:rPr>
      </w:pPr>
      <w:r w:rsidRPr="007A6659">
        <w:rPr>
          <w:sz w:val="26"/>
          <w:szCs w:val="26"/>
        </w:rPr>
        <w:t>North (1990) and Scott (</w:t>
      </w:r>
      <w:r w:rsidR="00365026" w:rsidRPr="007A6659">
        <w:rPr>
          <w:sz w:val="26"/>
          <w:szCs w:val="26"/>
        </w:rPr>
        <w:t>2008</w:t>
      </w:r>
      <w:r w:rsidRPr="007A6659">
        <w:rPr>
          <w:sz w:val="26"/>
          <w:szCs w:val="26"/>
        </w:rPr>
        <w:t>) frame</w:t>
      </w:r>
      <w:r w:rsidR="004F47A8">
        <w:rPr>
          <w:sz w:val="26"/>
          <w:szCs w:val="26"/>
        </w:rPr>
        <w:t>d</w:t>
      </w:r>
      <w:r w:rsidRPr="007A6659">
        <w:rPr>
          <w:sz w:val="26"/>
          <w:szCs w:val="26"/>
        </w:rPr>
        <w:t xml:space="preserve"> the institution-based view along formal and informal dimensions that set the context for organizations. The context is a ‘set of fundamental political, social</w:t>
      </w:r>
      <w:r w:rsidR="004F47A8">
        <w:rPr>
          <w:sz w:val="26"/>
          <w:szCs w:val="26"/>
        </w:rPr>
        <w:t>,</w:t>
      </w:r>
      <w:r w:rsidRPr="007A6659">
        <w:rPr>
          <w:sz w:val="26"/>
          <w:szCs w:val="26"/>
        </w:rPr>
        <w:t xml:space="preserve"> and legal ground rules that establishes the basis for production, exchange</w:t>
      </w:r>
      <w:r w:rsidR="004F47A8">
        <w:rPr>
          <w:sz w:val="26"/>
          <w:szCs w:val="26"/>
        </w:rPr>
        <w:t>,</w:t>
      </w:r>
      <w:r w:rsidRPr="007A6659">
        <w:rPr>
          <w:sz w:val="26"/>
          <w:szCs w:val="26"/>
        </w:rPr>
        <w:t xml:space="preserve"> and distribution’ (Davis &amp; North</w:t>
      </w:r>
      <w:r w:rsidR="004F47A8">
        <w:rPr>
          <w:sz w:val="26"/>
          <w:szCs w:val="26"/>
        </w:rPr>
        <w:t xml:space="preserve">, </w:t>
      </w:r>
      <w:r w:rsidRPr="007A6659">
        <w:rPr>
          <w:sz w:val="26"/>
          <w:szCs w:val="26"/>
        </w:rPr>
        <w:t>1971</w:t>
      </w:r>
      <w:r w:rsidR="004F47A8">
        <w:rPr>
          <w:sz w:val="26"/>
          <w:szCs w:val="26"/>
        </w:rPr>
        <w:t>,</w:t>
      </w:r>
      <w:r w:rsidRPr="007A6659">
        <w:rPr>
          <w:sz w:val="26"/>
          <w:szCs w:val="26"/>
        </w:rPr>
        <w:t xml:space="preserve"> </w:t>
      </w:r>
      <w:r w:rsidR="004F47A8">
        <w:rPr>
          <w:sz w:val="26"/>
          <w:szCs w:val="26"/>
        </w:rPr>
        <w:t xml:space="preserve">as </w:t>
      </w:r>
      <w:r w:rsidRPr="007A6659">
        <w:rPr>
          <w:sz w:val="26"/>
          <w:szCs w:val="26"/>
        </w:rPr>
        <w:t>c</w:t>
      </w:r>
      <w:r w:rsidR="00C566D7" w:rsidRPr="007A6659">
        <w:rPr>
          <w:sz w:val="26"/>
          <w:szCs w:val="26"/>
        </w:rPr>
        <w:t>ited in Parkhe, 2003, p. 307). The f</w:t>
      </w:r>
      <w:r w:rsidRPr="007A6659">
        <w:rPr>
          <w:sz w:val="26"/>
          <w:szCs w:val="26"/>
        </w:rPr>
        <w:t xml:space="preserve">ormal institutional </w:t>
      </w:r>
      <w:r w:rsidR="00C566D7" w:rsidRPr="007A6659">
        <w:rPr>
          <w:sz w:val="26"/>
          <w:szCs w:val="26"/>
        </w:rPr>
        <w:t>dimension</w:t>
      </w:r>
      <w:r w:rsidRPr="007A6659">
        <w:rPr>
          <w:sz w:val="26"/>
          <w:szCs w:val="26"/>
        </w:rPr>
        <w:t xml:space="preserve"> include</w:t>
      </w:r>
      <w:r w:rsidR="00C566D7" w:rsidRPr="007A6659">
        <w:rPr>
          <w:sz w:val="26"/>
          <w:szCs w:val="26"/>
        </w:rPr>
        <w:t>s</w:t>
      </w:r>
      <w:r w:rsidRPr="007A6659">
        <w:rPr>
          <w:sz w:val="26"/>
          <w:szCs w:val="26"/>
        </w:rPr>
        <w:t xml:space="preserve"> the political process from which the rules and regulations originate (Hillman </w:t>
      </w:r>
      <w:r w:rsidR="004F47A8">
        <w:rPr>
          <w:sz w:val="26"/>
          <w:szCs w:val="26"/>
        </w:rPr>
        <w:t>&amp;</w:t>
      </w:r>
      <w:r w:rsidR="004F47A8" w:rsidRPr="007A6659">
        <w:rPr>
          <w:sz w:val="26"/>
          <w:szCs w:val="26"/>
        </w:rPr>
        <w:t xml:space="preserve"> </w:t>
      </w:r>
      <w:r w:rsidRPr="007A6659">
        <w:rPr>
          <w:sz w:val="26"/>
          <w:szCs w:val="26"/>
        </w:rPr>
        <w:t xml:space="preserve">Keim, 1995) and the enforcement of the rules (Meyer et al., 2009). </w:t>
      </w:r>
      <w:r w:rsidR="00C566D7" w:rsidRPr="007A6659">
        <w:rPr>
          <w:sz w:val="26"/>
          <w:szCs w:val="26"/>
        </w:rPr>
        <w:t xml:space="preserve">The </w:t>
      </w:r>
      <w:r w:rsidRPr="007A6659">
        <w:rPr>
          <w:sz w:val="26"/>
          <w:szCs w:val="26"/>
        </w:rPr>
        <w:t xml:space="preserve">informal institutional </w:t>
      </w:r>
      <w:r w:rsidR="00C566D7" w:rsidRPr="007A6659">
        <w:rPr>
          <w:sz w:val="26"/>
          <w:szCs w:val="26"/>
        </w:rPr>
        <w:t xml:space="preserve">dimension </w:t>
      </w:r>
      <w:r w:rsidRPr="007A6659">
        <w:rPr>
          <w:sz w:val="26"/>
          <w:szCs w:val="26"/>
        </w:rPr>
        <w:t>include</w:t>
      </w:r>
      <w:r w:rsidR="00C566D7" w:rsidRPr="007A6659">
        <w:rPr>
          <w:sz w:val="26"/>
          <w:szCs w:val="26"/>
        </w:rPr>
        <w:t>s</w:t>
      </w:r>
      <w:r w:rsidRPr="007A6659">
        <w:rPr>
          <w:sz w:val="26"/>
          <w:szCs w:val="26"/>
        </w:rPr>
        <w:t xml:space="preserve"> acceptable </w:t>
      </w:r>
      <w:r w:rsidR="0080515F" w:rsidRPr="007A6659">
        <w:rPr>
          <w:sz w:val="26"/>
          <w:szCs w:val="26"/>
        </w:rPr>
        <w:t>behaviors</w:t>
      </w:r>
      <w:r w:rsidRPr="007A6659">
        <w:rPr>
          <w:sz w:val="26"/>
          <w:szCs w:val="26"/>
        </w:rPr>
        <w:t>, customs</w:t>
      </w:r>
      <w:r w:rsidR="004F47A8">
        <w:rPr>
          <w:sz w:val="26"/>
          <w:szCs w:val="26"/>
        </w:rPr>
        <w:t>,</w:t>
      </w:r>
      <w:r w:rsidRPr="007A6659">
        <w:rPr>
          <w:sz w:val="26"/>
          <w:szCs w:val="26"/>
        </w:rPr>
        <w:t xml:space="preserve"> and interna</w:t>
      </w:r>
      <w:r w:rsidR="00C566D7" w:rsidRPr="007A6659">
        <w:rPr>
          <w:sz w:val="26"/>
          <w:szCs w:val="26"/>
        </w:rPr>
        <w:t>lized beliefs of social actors, and both formal and informal institutional pressure</w:t>
      </w:r>
      <w:r w:rsidR="004F47A8">
        <w:rPr>
          <w:sz w:val="26"/>
          <w:szCs w:val="26"/>
        </w:rPr>
        <w:t>s</w:t>
      </w:r>
      <w:r w:rsidR="00C566D7" w:rsidRPr="007A6659">
        <w:rPr>
          <w:sz w:val="26"/>
          <w:szCs w:val="26"/>
        </w:rPr>
        <w:t xml:space="preserve"> </w:t>
      </w:r>
      <w:r w:rsidRPr="007A6659">
        <w:rPr>
          <w:sz w:val="26"/>
          <w:szCs w:val="26"/>
        </w:rPr>
        <w:t xml:space="preserve">may constrain strategic choice and </w:t>
      </w:r>
      <w:r w:rsidR="007A3C23" w:rsidRPr="007A6659">
        <w:rPr>
          <w:sz w:val="26"/>
          <w:szCs w:val="26"/>
        </w:rPr>
        <w:t>behavior</w:t>
      </w:r>
      <w:r w:rsidRPr="007A6659">
        <w:rPr>
          <w:sz w:val="26"/>
          <w:szCs w:val="26"/>
        </w:rPr>
        <w:t xml:space="preserve"> (</w:t>
      </w:r>
      <w:r w:rsidR="007F2641" w:rsidRPr="007A6659">
        <w:rPr>
          <w:sz w:val="26"/>
          <w:szCs w:val="26"/>
        </w:rPr>
        <w:t xml:space="preserve">Almadi, 2016; </w:t>
      </w:r>
      <w:r w:rsidR="00494AD6">
        <w:rPr>
          <w:sz w:val="26"/>
          <w:szCs w:val="26"/>
        </w:rPr>
        <w:t xml:space="preserve">Hiatt </w:t>
      </w:r>
      <w:r w:rsidR="004F47A8">
        <w:rPr>
          <w:sz w:val="26"/>
          <w:szCs w:val="26"/>
        </w:rPr>
        <w:t xml:space="preserve">&amp; </w:t>
      </w:r>
      <w:r w:rsidR="00494AD6">
        <w:rPr>
          <w:sz w:val="26"/>
          <w:szCs w:val="26"/>
        </w:rPr>
        <w:t xml:space="preserve">Park, 2013; </w:t>
      </w:r>
      <w:r w:rsidRPr="007A6659">
        <w:rPr>
          <w:sz w:val="26"/>
          <w:szCs w:val="26"/>
        </w:rPr>
        <w:t xml:space="preserve">Peng 2002, 2003, </w:t>
      </w:r>
      <w:r w:rsidR="00143A42" w:rsidRPr="007A6659">
        <w:rPr>
          <w:sz w:val="26"/>
          <w:szCs w:val="26"/>
        </w:rPr>
        <w:t>2014</w:t>
      </w:r>
      <w:r w:rsidRPr="007A6659">
        <w:rPr>
          <w:sz w:val="26"/>
          <w:szCs w:val="26"/>
        </w:rPr>
        <w:t xml:space="preserve">). </w:t>
      </w:r>
    </w:p>
    <w:p w14:paraId="0B4A754A" w14:textId="528FB759" w:rsidR="005B7147" w:rsidRPr="007A6659" w:rsidRDefault="005B7147" w:rsidP="00E22579">
      <w:pPr>
        <w:spacing w:after="0" w:line="360" w:lineRule="exact"/>
        <w:ind w:firstLineChars="200" w:firstLine="520"/>
        <w:jc w:val="both"/>
        <w:rPr>
          <w:sz w:val="26"/>
          <w:szCs w:val="26"/>
        </w:rPr>
      </w:pPr>
      <w:r w:rsidRPr="007A6659">
        <w:rPr>
          <w:sz w:val="26"/>
          <w:szCs w:val="26"/>
        </w:rPr>
        <w:t xml:space="preserve">Institutional theory has traditionally focused on emerging </w:t>
      </w:r>
      <w:r w:rsidR="00365026" w:rsidRPr="007A6659">
        <w:rPr>
          <w:sz w:val="26"/>
          <w:szCs w:val="26"/>
        </w:rPr>
        <w:t>nations</w:t>
      </w:r>
      <w:r w:rsidR="005D7738" w:rsidRPr="007A6659">
        <w:rPr>
          <w:sz w:val="26"/>
          <w:szCs w:val="26"/>
        </w:rPr>
        <w:t xml:space="preserve"> (c.f., Wu &amp; Ying, 2016)</w:t>
      </w:r>
      <w:r w:rsidRPr="007A6659">
        <w:rPr>
          <w:sz w:val="26"/>
          <w:szCs w:val="26"/>
        </w:rPr>
        <w:t xml:space="preserve">, arguing that formal </w:t>
      </w:r>
      <w:r w:rsidR="00365026" w:rsidRPr="007A6659">
        <w:rPr>
          <w:sz w:val="26"/>
          <w:szCs w:val="26"/>
        </w:rPr>
        <w:t>institutions</w:t>
      </w:r>
      <w:r w:rsidRPr="007A6659">
        <w:rPr>
          <w:sz w:val="26"/>
          <w:szCs w:val="26"/>
        </w:rPr>
        <w:t xml:space="preserve"> operate predictably in developed </w:t>
      </w:r>
      <w:r w:rsidR="00365026" w:rsidRPr="007A6659">
        <w:rPr>
          <w:sz w:val="26"/>
          <w:szCs w:val="26"/>
        </w:rPr>
        <w:t>nations</w:t>
      </w:r>
      <w:r w:rsidRPr="007A6659">
        <w:rPr>
          <w:sz w:val="26"/>
          <w:szCs w:val="26"/>
        </w:rPr>
        <w:t>, reducing institut</w:t>
      </w:r>
      <w:r w:rsidR="00365026" w:rsidRPr="007A6659">
        <w:rPr>
          <w:sz w:val="26"/>
          <w:szCs w:val="26"/>
        </w:rPr>
        <w:t xml:space="preserve">ions to a nearly invisible role. </w:t>
      </w:r>
      <w:r w:rsidR="004F47A8">
        <w:rPr>
          <w:sz w:val="26"/>
          <w:szCs w:val="26"/>
        </w:rPr>
        <w:t>However,</w:t>
      </w:r>
      <w:r w:rsidR="004F47A8" w:rsidRPr="007A6659">
        <w:rPr>
          <w:sz w:val="26"/>
          <w:szCs w:val="26"/>
        </w:rPr>
        <w:t xml:space="preserve"> </w:t>
      </w:r>
      <w:r w:rsidR="00A045FF" w:rsidRPr="007A6659">
        <w:rPr>
          <w:sz w:val="26"/>
          <w:szCs w:val="26"/>
        </w:rPr>
        <w:t xml:space="preserve">institutional differences between developed and </w:t>
      </w:r>
      <w:r w:rsidR="004F47A8">
        <w:rPr>
          <w:sz w:val="26"/>
          <w:szCs w:val="26"/>
        </w:rPr>
        <w:t>d</w:t>
      </w:r>
      <w:r w:rsidR="00A045FF" w:rsidRPr="007A6659">
        <w:rPr>
          <w:sz w:val="26"/>
          <w:szCs w:val="26"/>
        </w:rPr>
        <w:t xml:space="preserve">eveloping nations may be smaller than predicted (Tantawi, O’Shaughnessy, Gad, &amp; Ragheb, 2009).  Differences </w:t>
      </w:r>
      <w:r w:rsidR="004F47A8">
        <w:rPr>
          <w:sz w:val="26"/>
          <w:szCs w:val="26"/>
        </w:rPr>
        <w:t>between</w:t>
      </w:r>
      <w:r w:rsidR="004F47A8" w:rsidRPr="007A6659">
        <w:rPr>
          <w:sz w:val="26"/>
          <w:szCs w:val="26"/>
        </w:rPr>
        <w:t xml:space="preserve"> </w:t>
      </w:r>
      <w:r w:rsidR="00A045FF" w:rsidRPr="007A6659">
        <w:rPr>
          <w:sz w:val="26"/>
          <w:szCs w:val="26"/>
        </w:rPr>
        <w:t>developed nations may be significant</w:t>
      </w:r>
      <w:r w:rsidR="004F47A8">
        <w:rPr>
          <w:sz w:val="26"/>
          <w:szCs w:val="26"/>
        </w:rPr>
        <w:t>, and</w:t>
      </w:r>
      <w:r w:rsidR="004F47A8" w:rsidRPr="007A6659">
        <w:rPr>
          <w:sz w:val="26"/>
          <w:szCs w:val="26"/>
        </w:rPr>
        <w:t xml:space="preserve"> </w:t>
      </w:r>
      <w:r w:rsidRPr="007A6659">
        <w:rPr>
          <w:sz w:val="26"/>
          <w:szCs w:val="26"/>
        </w:rPr>
        <w:t>formal and informal institutions in developed economies can still work differently and should be studied (Peng et al., 2009). Bloodgood et al. (2013) demonstrate</w:t>
      </w:r>
      <w:r w:rsidR="004F47A8">
        <w:rPr>
          <w:sz w:val="26"/>
          <w:szCs w:val="26"/>
        </w:rPr>
        <w:t>d that</w:t>
      </w:r>
      <w:r w:rsidRPr="007A6659">
        <w:rPr>
          <w:sz w:val="26"/>
          <w:szCs w:val="26"/>
        </w:rPr>
        <w:t xml:space="preserve"> formal institutions </w:t>
      </w:r>
      <w:r w:rsidR="00F6763F">
        <w:rPr>
          <w:sz w:val="26"/>
          <w:szCs w:val="26"/>
        </w:rPr>
        <w:t>regulate</w:t>
      </w:r>
      <w:r w:rsidR="00F6763F" w:rsidRPr="007A6659">
        <w:rPr>
          <w:sz w:val="26"/>
          <w:szCs w:val="26"/>
        </w:rPr>
        <w:t xml:space="preserve"> </w:t>
      </w:r>
      <w:r w:rsidR="001F7E10" w:rsidRPr="007A6659">
        <w:rPr>
          <w:sz w:val="26"/>
          <w:szCs w:val="26"/>
        </w:rPr>
        <w:t>non-profit</w:t>
      </w:r>
      <w:r w:rsidRPr="007A6659">
        <w:rPr>
          <w:sz w:val="26"/>
          <w:szCs w:val="26"/>
        </w:rPr>
        <w:t>s differ</w:t>
      </w:r>
      <w:r w:rsidR="00F6763F">
        <w:rPr>
          <w:sz w:val="26"/>
          <w:szCs w:val="26"/>
        </w:rPr>
        <w:t>ently</w:t>
      </w:r>
      <w:r w:rsidRPr="007A6659">
        <w:rPr>
          <w:sz w:val="26"/>
          <w:szCs w:val="26"/>
        </w:rPr>
        <w:t xml:space="preserve"> across developed economies</w:t>
      </w:r>
      <w:r w:rsidR="00D81DAC" w:rsidRPr="007A6659">
        <w:rPr>
          <w:sz w:val="26"/>
          <w:szCs w:val="26"/>
        </w:rPr>
        <w:t>, and Frumkin and Andre-Clark (2000) show</w:t>
      </w:r>
      <w:r w:rsidR="00F6763F">
        <w:rPr>
          <w:sz w:val="26"/>
          <w:szCs w:val="26"/>
        </w:rPr>
        <w:t>ed</w:t>
      </w:r>
      <w:r w:rsidR="00D81DAC" w:rsidRPr="007A6659">
        <w:rPr>
          <w:sz w:val="26"/>
          <w:szCs w:val="26"/>
        </w:rPr>
        <w:t xml:space="preserve"> </w:t>
      </w:r>
      <w:r w:rsidR="00F6763F">
        <w:rPr>
          <w:sz w:val="26"/>
          <w:szCs w:val="26"/>
        </w:rPr>
        <w:t>a significant effect of</w:t>
      </w:r>
      <w:r w:rsidR="00F6763F" w:rsidRPr="007A6659">
        <w:rPr>
          <w:sz w:val="26"/>
          <w:szCs w:val="26"/>
        </w:rPr>
        <w:t xml:space="preserve"> </w:t>
      </w:r>
      <w:r w:rsidR="00D81DAC" w:rsidRPr="007A6659">
        <w:rPr>
          <w:sz w:val="26"/>
          <w:szCs w:val="26"/>
        </w:rPr>
        <w:t>a change in formal regulations on non-profit behavior</w:t>
      </w:r>
      <w:r w:rsidRPr="007A6659">
        <w:rPr>
          <w:sz w:val="26"/>
          <w:szCs w:val="26"/>
        </w:rPr>
        <w:t>. Our study expands upon their findings by examining informal institutions as well.</w:t>
      </w:r>
    </w:p>
    <w:p w14:paraId="42825BFE" w14:textId="42E7FB56" w:rsidR="00365026" w:rsidRPr="007A6659" w:rsidRDefault="005B7147" w:rsidP="00E22579">
      <w:pPr>
        <w:spacing w:after="0" w:line="360" w:lineRule="exact"/>
        <w:ind w:firstLineChars="200" w:firstLine="520"/>
        <w:jc w:val="both"/>
        <w:rPr>
          <w:sz w:val="26"/>
          <w:szCs w:val="26"/>
        </w:rPr>
      </w:pPr>
      <w:r w:rsidRPr="007A6659">
        <w:rPr>
          <w:sz w:val="26"/>
          <w:szCs w:val="26"/>
        </w:rPr>
        <w:t xml:space="preserve">The institution-based approach </w:t>
      </w:r>
      <w:r w:rsidR="007F2641" w:rsidRPr="007A6659">
        <w:rPr>
          <w:sz w:val="26"/>
          <w:szCs w:val="26"/>
        </w:rPr>
        <w:t>suggests</w:t>
      </w:r>
      <w:r w:rsidR="00365026" w:rsidRPr="007A6659">
        <w:rPr>
          <w:sz w:val="26"/>
          <w:szCs w:val="26"/>
        </w:rPr>
        <w:t xml:space="preserve"> that institutions reward and punish different </w:t>
      </w:r>
      <w:r w:rsidR="007A3C23" w:rsidRPr="007A6659">
        <w:rPr>
          <w:sz w:val="26"/>
          <w:szCs w:val="26"/>
        </w:rPr>
        <w:t>behavior</w:t>
      </w:r>
      <w:r w:rsidR="00365026" w:rsidRPr="007A6659">
        <w:rPr>
          <w:sz w:val="26"/>
          <w:szCs w:val="26"/>
        </w:rPr>
        <w:t xml:space="preserve"> differently and </w:t>
      </w:r>
      <w:r w:rsidRPr="007A6659">
        <w:rPr>
          <w:sz w:val="26"/>
          <w:szCs w:val="26"/>
        </w:rPr>
        <w:t xml:space="preserve">that </w:t>
      </w:r>
      <w:r w:rsidR="00365026" w:rsidRPr="007A6659">
        <w:rPr>
          <w:sz w:val="26"/>
          <w:szCs w:val="26"/>
        </w:rPr>
        <w:t>participants</w:t>
      </w:r>
      <w:r w:rsidRPr="007A6659">
        <w:rPr>
          <w:sz w:val="26"/>
          <w:szCs w:val="26"/>
        </w:rPr>
        <w:t xml:space="preserve"> behave rationally</w:t>
      </w:r>
      <w:r w:rsidR="001937BB">
        <w:rPr>
          <w:sz w:val="26"/>
          <w:szCs w:val="26"/>
        </w:rPr>
        <w:t xml:space="preserve"> in response, seeking to avoid the punishments and earn the rewards</w:t>
      </w:r>
      <w:r w:rsidRPr="007A6659">
        <w:rPr>
          <w:sz w:val="26"/>
          <w:szCs w:val="26"/>
        </w:rPr>
        <w:t xml:space="preserve"> (Peng et al</w:t>
      </w:r>
      <w:r w:rsidR="00F6763F">
        <w:rPr>
          <w:sz w:val="26"/>
          <w:szCs w:val="26"/>
        </w:rPr>
        <w:t>.</w:t>
      </w:r>
      <w:r w:rsidRPr="007A6659">
        <w:rPr>
          <w:sz w:val="26"/>
          <w:szCs w:val="26"/>
        </w:rPr>
        <w:t>, 2009). Although humans cannot be perfectly rational (</w:t>
      </w:r>
      <w:r w:rsidR="008E6AEE">
        <w:rPr>
          <w:sz w:val="26"/>
          <w:szCs w:val="26"/>
        </w:rPr>
        <w:t xml:space="preserve">Cheng </w:t>
      </w:r>
      <w:r w:rsidR="00F6763F">
        <w:rPr>
          <w:sz w:val="26"/>
          <w:szCs w:val="26"/>
        </w:rPr>
        <w:t xml:space="preserve">&amp; </w:t>
      </w:r>
      <w:r w:rsidR="008E6AEE">
        <w:rPr>
          <w:sz w:val="26"/>
          <w:szCs w:val="26"/>
        </w:rPr>
        <w:t xml:space="preserve">Liao, 2017; </w:t>
      </w:r>
      <w:r w:rsidRPr="007A6659">
        <w:rPr>
          <w:sz w:val="26"/>
          <w:szCs w:val="26"/>
        </w:rPr>
        <w:t xml:space="preserve">Simon, </w:t>
      </w:r>
      <w:r w:rsidR="001937BB">
        <w:rPr>
          <w:sz w:val="26"/>
          <w:szCs w:val="26"/>
        </w:rPr>
        <w:t>2013</w:t>
      </w:r>
      <w:r w:rsidRPr="007A6659">
        <w:rPr>
          <w:sz w:val="26"/>
          <w:szCs w:val="26"/>
        </w:rPr>
        <w:t>), players merely need to be relatively rational</w:t>
      </w:r>
      <w:r w:rsidR="00F6763F">
        <w:rPr>
          <w:sz w:val="26"/>
          <w:szCs w:val="26"/>
        </w:rPr>
        <w:t>,</w:t>
      </w:r>
      <w:r w:rsidRPr="007A6659">
        <w:rPr>
          <w:sz w:val="26"/>
          <w:szCs w:val="26"/>
        </w:rPr>
        <w:t xml:space="preserve"> given t</w:t>
      </w:r>
      <w:r w:rsidR="00365026" w:rsidRPr="007A6659">
        <w:rPr>
          <w:sz w:val="26"/>
          <w:szCs w:val="26"/>
        </w:rPr>
        <w:t>he bounds on their rationality.  Institutions, in other words, focus national attention in certain directions</w:t>
      </w:r>
      <w:r w:rsidR="00F6763F">
        <w:rPr>
          <w:sz w:val="26"/>
          <w:szCs w:val="26"/>
        </w:rPr>
        <w:t>, and what</w:t>
      </w:r>
      <w:r w:rsidR="00365026" w:rsidRPr="007A6659">
        <w:rPr>
          <w:sz w:val="26"/>
          <w:szCs w:val="26"/>
        </w:rPr>
        <w:t xml:space="preserve"> is important under one set of institutional norms is unimportant under another.  </w:t>
      </w:r>
    </w:p>
    <w:p w14:paraId="1E0FFD63" w14:textId="587D2132" w:rsidR="005B7147" w:rsidRPr="007A6659" w:rsidRDefault="00365026" w:rsidP="00E22579">
      <w:pPr>
        <w:spacing w:after="0" w:line="360" w:lineRule="exact"/>
        <w:ind w:firstLineChars="200" w:firstLine="520"/>
        <w:jc w:val="both"/>
        <w:rPr>
          <w:sz w:val="26"/>
          <w:szCs w:val="26"/>
        </w:rPr>
      </w:pPr>
      <w:r w:rsidRPr="007A6659">
        <w:rPr>
          <w:sz w:val="26"/>
          <w:szCs w:val="26"/>
        </w:rPr>
        <w:t xml:space="preserve">This focusing of attention on certain topics with certain attitudes is </w:t>
      </w:r>
      <w:r w:rsidR="00BA42AA">
        <w:rPr>
          <w:sz w:val="26"/>
          <w:szCs w:val="26"/>
        </w:rPr>
        <w:t>called</w:t>
      </w:r>
      <w:r w:rsidRPr="007A6659">
        <w:rPr>
          <w:sz w:val="26"/>
          <w:szCs w:val="26"/>
        </w:rPr>
        <w:t xml:space="preserve"> </w:t>
      </w:r>
      <w:r w:rsidR="00BA42AA" w:rsidRPr="007A6659">
        <w:rPr>
          <w:sz w:val="26"/>
          <w:szCs w:val="26"/>
        </w:rPr>
        <w:t xml:space="preserve">cognitive bias </w:t>
      </w:r>
      <w:r w:rsidRPr="007A6659">
        <w:rPr>
          <w:sz w:val="26"/>
          <w:szCs w:val="26"/>
        </w:rPr>
        <w:t>(</w:t>
      </w:r>
      <w:r w:rsidR="00BA42AA">
        <w:rPr>
          <w:sz w:val="26"/>
          <w:szCs w:val="26"/>
        </w:rPr>
        <w:t xml:space="preserve">Cheng </w:t>
      </w:r>
      <w:r w:rsidR="00F6763F">
        <w:rPr>
          <w:sz w:val="26"/>
          <w:szCs w:val="26"/>
        </w:rPr>
        <w:t xml:space="preserve">&amp; </w:t>
      </w:r>
      <w:r w:rsidR="00BA42AA">
        <w:rPr>
          <w:sz w:val="26"/>
          <w:szCs w:val="26"/>
        </w:rPr>
        <w:t xml:space="preserve">Liao, 2017; Simon, </w:t>
      </w:r>
      <w:r w:rsidR="001937BB">
        <w:rPr>
          <w:sz w:val="26"/>
          <w:szCs w:val="26"/>
        </w:rPr>
        <w:t>2013</w:t>
      </w:r>
      <w:r w:rsidRPr="007A6659">
        <w:rPr>
          <w:sz w:val="26"/>
          <w:szCs w:val="26"/>
        </w:rPr>
        <w:t xml:space="preserve">). </w:t>
      </w:r>
      <w:r w:rsidR="005B7147" w:rsidRPr="007A6659">
        <w:rPr>
          <w:sz w:val="26"/>
          <w:szCs w:val="26"/>
        </w:rPr>
        <w:t>Because</w:t>
      </w:r>
      <w:r w:rsidRPr="007A6659">
        <w:rPr>
          <w:sz w:val="26"/>
          <w:szCs w:val="26"/>
        </w:rPr>
        <w:t xml:space="preserve"> national</w:t>
      </w:r>
      <w:r w:rsidR="005B7147" w:rsidRPr="007A6659">
        <w:rPr>
          <w:sz w:val="26"/>
          <w:szCs w:val="26"/>
        </w:rPr>
        <w:t xml:space="preserve"> institutions, by definition, influence national cognitive biases, </w:t>
      </w:r>
      <w:r w:rsidR="00BA42AA">
        <w:rPr>
          <w:sz w:val="26"/>
          <w:szCs w:val="26"/>
        </w:rPr>
        <w:t>the</w:t>
      </w:r>
      <w:r w:rsidR="005B7147" w:rsidRPr="007A6659">
        <w:rPr>
          <w:sz w:val="26"/>
          <w:szCs w:val="26"/>
        </w:rPr>
        <w:t xml:space="preserve"> bounded rationality </w:t>
      </w:r>
      <w:r w:rsidR="00BA42AA">
        <w:rPr>
          <w:sz w:val="26"/>
          <w:szCs w:val="26"/>
        </w:rPr>
        <w:t xml:space="preserve">perspective (Cheng </w:t>
      </w:r>
      <w:r w:rsidR="00F6763F">
        <w:rPr>
          <w:sz w:val="26"/>
          <w:szCs w:val="26"/>
        </w:rPr>
        <w:t xml:space="preserve">&amp; </w:t>
      </w:r>
      <w:r w:rsidR="00BA42AA">
        <w:rPr>
          <w:sz w:val="26"/>
          <w:szCs w:val="26"/>
        </w:rPr>
        <w:t xml:space="preserve">Liao, 2017; Simon, </w:t>
      </w:r>
      <w:r w:rsidR="001937BB">
        <w:rPr>
          <w:sz w:val="26"/>
          <w:szCs w:val="26"/>
        </w:rPr>
        <w:t>2013</w:t>
      </w:r>
      <w:r w:rsidR="00BA42AA">
        <w:rPr>
          <w:sz w:val="26"/>
          <w:szCs w:val="26"/>
        </w:rPr>
        <w:t xml:space="preserve">) </w:t>
      </w:r>
      <w:r w:rsidR="005B7147" w:rsidRPr="007A6659">
        <w:rPr>
          <w:sz w:val="26"/>
          <w:szCs w:val="26"/>
        </w:rPr>
        <w:t xml:space="preserve">supports Peng et al.’s (2009) </w:t>
      </w:r>
      <w:r w:rsidR="005D7387" w:rsidRPr="007A6659">
        <w:rPr>
          <w:sz w:val="26"/>
          <w:szCs w:val="26"/>
        </w:rPr>
        <w:t>proposition</w:t>
      </w:r>
      <w:r w:rsidR="005B7147" w:rsidRPr="007A6659">
        <w:rPr>
          <w:sz w:val="26"/>
          <w:szCs w:val="26"/>
        </w:rPr>
        <w:t xml:space="preserve"> that formal and informal institutions, as structures</w:t>
      </w:r>
      <w:r w:rsidRPr="007A6659">
        <w:rPr>
          <w:sz w:val="26"/>
          <w:szCs w:val="26"/>
        </w:rPr>
        <w:t xml:space="preserve"> that reward and punish different behavior</w:t>
      </w:r>
      <w:r w:rsidR="005B7147" w:rsidRPr="007A6659">
        <w:rPr>
          <w:sz w:val="26"/>
          <w:szCs w:val="26"/>
        </w:rPr>
        <w:t xml:space="preserve">, influence strategic decision-making in developed nations. The rules of thumb that managers apply are likely to match the formal and informal institutional pressures, </w:t>
      </w:r>
      <w:r w:rsidR="00F6763F">
        <w:rPr>
          <w:sz w:val="26"/>
          <w:szCs w:val="26"/>
        </w:rPr>
        <w:t xml:space="preserve">regardless of </w:t>
      </w:r>
      <w:r w:rsidR="005B7147" w:rsidRPr="007A6659">
        <w:rPr>
          <w:sz w:val="26"/>
          <w:szCs w:val="26"/>
        </w:rPr>
        <w:t xml:space="preserve">whether the managers are aware of these institutional pressures, as they will have absorbed their frames of reference both from other managers who have been successful in dealing with these institutional pressures and from the culture that developed the informal and informal pressures. Peng et al. (2009) </w:t>
      </w:r>
      <w:r w:rsidR="007F2641" w:rsidRPr="007A6659">
        <w:rPr>
          <w:sz w:val="26"/>
          <w:szCs w:val="26"/>
        </w:rPr>
        <w:t>call</w:t>
      </w:r>
      <w:r w:rsidR="00F6763F">
        <w:rPr>
          <w:sz w:val="26"/>
          <w:szCs w:val="26"/>
        </w:rPr>
        <w:t>ed</w:t>
      </w:r>
      <w:r w:rsidR="005B7147" w:rsidRPr="007A6659">
        <w:rPr>
          <w:sz w:val="26"/>
          <w:szCs w:val="26"/>
        </w:rPr>
        <w:t xml:space="preserve"> </w:t>
      </w:r>
      <w:r w:rsidR="007F2641" w:rsidRPr="007A6659">
        <w:rPr>
          <w:sz w:val="26"/>
          <w:szCs w:val="26"/>
        </w:rPr>
        <w:t>for institution-based research to address public policy issues and</w:t>
      </w:r>
      <w:r w:rsidR="005B7147" w:rsidRPr="007A6659">
        <w:rPr>
          <w:sz w:val="26"/>
          <w:szCs w:val="26"/>
        </w:rPr>
        <w:t xml:space="preserve"> firm adaptation to institutional changes. </w:t>
      </w:r>
      <w:r w:rsidR="003671A9" w:rsidRPr="007A6659">
        <w:rPr>
          <w:sz w:val="26"/>
          <w:szCs w:val="26"/>
        </w:rPr>
        <w:t>C</w:t>
      </w:r>
      <w:r w:rsidR="005B7147" w:rsidRPr="007A6659">
        <w:rPr>
          <w:sz w:val="26"/>
          <w:szCs w:val="26"/>
        </w:rPr>
        <w:t>onsistent with their call</w:t>
      </w:r>
      <w:r w:rsidR="003671A9" w:rsidRPr="007A6659">
        <w:rPr>
          <w:sz w:val="26"/>
          <w:szCs w:val="26"/>
        </w:rPr>
        <w:t xml:space="preserve">, </w:t>
      </w:r>
      <w:r w:rsidR="003B0D23" w:rsidRPr="007A6659">
        <w:rPr>
          <w:sz w:val="26"/>
          <w:szCs w:val="26"/>
        </w:rPr>
        <w:t>we</w:t>
      </w:r>
      <w:r w:rsidR="003671A9" w:rsidRPr="007A6659">
        <w:rPr>
          <w:sz w:val="26"/>
          <w:szCs w:val="26"/>
        </w:rPr>
        <w:t xml:space="preserve"> </w:t>
      </w:r>
      <w:r w:rsidR="003B0D23" w:rsidRPr="007A6659">
        <w:rPr>
          <w:sz w:val="26"/>
          <w:szCs w:val="26"/>
        </w:rPr>
        <w:t>consider</w:t>
      </w:r>
      <w:r w:rsidR="005B7147" w:rsidRPr="007A6659">
        <w:rPr>
          <w:sz w:val="26"/>
          <w:szCs w:val="26"/>
        </w:rPr>
        <w:t xml:space="preserve"> public policy decisions regarding the GM crops and food and </w:t>
      </w:r>
      <w:r w:rsidR="00F6763F">
        <w:rPr>
          <w:sz w:val="26"/>
          <w:szCs w:val="26"/>
        </w:rPr>
        <w:t>the ways in which</w:t>
      </w:r>
      <w:r w:rsidR="00F6763F" w:rsidRPr="007A6659">
        <w:rPr>
          <w:sz w:val="26"/>
          <w:szCs w:val="26"/>
        </w:rPr>
        <w:t xml:space="preserve"> </w:t>
      </w:r>
      <w:r w:rsidR="005B7147" w:rsidRPr="007A6659">
        <w:rPr>
          <w:sz w:val="26"/>
          <w:szCs w:val="26"/>
        </w:rPr>
        <w:t>those decisions affect institutional environments</w:t>
      </w:r>
      <w:r w:rsidR="00F6763F">
        <w:rPr>
          <w:sz w:val="26"/>
          <w:szCs w:val="26"/>
        </w:rPr>
        <w:t xml:space="preserve"> </w:t>
      </w:r>
      <w:r w:rsidR="003671A9" w:rsidRPr="007A6659">
        <w:rPr>
          <w:i/>
          <w:sz w:val="26"/>
          <w:szCs w:val="26"/>
        </w:rPr>
        <w:t>and</w:t>
      </w:r>
      <w:r w:rsidR="003671A9" w:rsidRPr="007A6659">
        <w:rPr>
          <w:sz w:val="26"/>
          <w:szCs w:val="26"/>
        </w:rPr>
        <w:t xml:space="preserve"> </w:t>
      </w:r>
      <w:r w:rsidR="003B0D23" w:rsidRPr="007A6659">
        <w:rPr>
          <w:sz w:val="26"/>
          <w:szCs w:val="26"/>
        </w:rPr>
        <w:t>examine</w:t>
      </w:r>
      <w:r w:rsidR="005B7147" w:rsidRPr="007A6659">
        <w:rPr>
          <w:sz w:val="26"/>
          <w:szCs w:val="26"/>
        </w:rPr>
        <w:t xml:space="preserve"> changes to organizational decision-making as adaptations to changes in institutional environments</w:t>
      </w:r>
      <w:r w:rsidR="003671A9" w:rsidRPr="007A6659">
        <w:rPr>
          <w:sz w:val="26"/>
          <w:szCs w:val="26"/>
        </w:rPr>
        <w:t>.</w:t>
      </w:r>
      <w:r w:rsidR="0077552B" w:rsidRPr="007A6659">
        <w:rPr>
          <w:sz w:val="26"/>
          <w:szCs w:val="26"/>
        </w:rPr>
        <w:tab/>
      </w:r>
    </w:p>
    <w:p w14:paraId="667877D5" w14:textId="1D491B88" w:rsidR="005B7147" w:rsidRPr="007A6659" w:rsidRDefault="005B7147" w:rsidP="00FF5068">
      <w:pPr>
        <w:spacing w:after="0" w:line="360" w:lineRule="exact"/>
        <w:ind w:firstLineChars="200" w:firstLine="520"/>
        <w:jc w:val="both"/>
        <w:rPr>
          <w:sz w:val="26"/>
          <w:szCs w:val="26"/>
        </w:rPr>
      </w:pPr>
      <w:r w:rsidRPr="007A6659">
        <w:rPr>
          <w:sz w:val="26"/>
          <w:szCs w:val="26"/>
        </w:rPr>
        <w:t xml:space="preserve">Formal and informal institutional environments </w:t>
      </w:r>
      <w:r w:rsidR="00F6763F">
        <w:rPr>
          <w:sz w:val="26"/>
          <w:szCs w:val="26"/>
        </w:rPr>
        <w:t>depend</w:t>
      </w:r>
      <w:r w:rsidR="00E95676" w:rsidRPr="007A6659">
        <w:rPr>
          <w:sz w:val="26"/>
          <w:szCs w:val="26"/>
        </w:rPr>
        <w:t xml:space="preserve"> on</w:t>
      </w:r>
      <w:r w:rsidRPr="007A6659">
        <w:rPr>
          <w:sz w:val="26"/>
          <w:szCs w:val="26"/>
        </w:rPr>
        <w:t xml:space="preserve"> e</w:t>
      </w:r>
      <w:r w:rsidR="00B04731" w:rsidRPr="007A6659">
        <w:rPr>
          <w:sz w:val="26"/>
          <w:szCs w:val="26"/>
        </w:rPr>
        <w:t xml:space="preserve">ach other, </w:t>
      </w:r>
      <w:r w:rsidR="005D7387" w:rsidRPr="007A6659">
        <w:rPr>
          <w:sz w:val="26"/>
          <w:szCs w:val="26"/>
        </w:rPr>
        <w:t xml:space="preserve">as laws affect </w:t>
      </w:r>
      <w:r w:rsidR="00AE10D3" w:rsidRPr="007A6659">
        <w:rPr>
          <w:sz w:val="26"/>
          <w:szCs w:val="26"/>
        </w:rPr>
        <w:t>behavior, behavior</w:t>
      </w:r>
      <w:r w:rsidR="005D7387" w:rsidRPr="007A6659">
        <w:rPr>
          <w:sz w:val="26"/>
          <w:szCs w:val="26"/>
        </w:rPr>
        <w:t xml:space="preserve"> affects culture, and culture shapes laws and </w:t>
      </w:r>
      <w:r w:rsidR="00F6763F">
        <w:rPr>
          <w:sz w:val="26"/>
          <w:szCs w:val="26"/>
        </w:rPr>
        <w:t>their enforcement</w:t>
      </w:r>
      <w:r w:rsidR="00C2022B" w:rsidRPr="007A6659">
        <w:rPr>
          <w:sz w:val="26"/>
          <w:szCs w:val="26"/>
        </w:rPr>
        <w:t>. F</w:t>
      </w:r>
      <w:r w:rsidRPr="007A6659">
        <w:rPr>
          <w:sz w:val="26"/>
          <w:szCs w:val="26"/>
        </w:rPr>
        <w:t>orms of government, the type and operation of government agencies, and corporate and nongovernmental organizations’ methods used to affect policy differ as a result of informal institutional variation (Hillman &amp; Keim, 1995; Kourala, 2010). Thus</w:t>
      </w:r>
      <w:r w:rsidR="00C2022B" w:rsidRPr="007A6659">
        <w:rPr>
          <w:sz w:val="26"/>
          <w:szCs w:val="26"/>
        </w:rPr>
        <w:t>,</w:t>
      </w:r>
      <w:r w:rsidRPr="007A6659">
        <w:rPr>
          <w:sz w:val="26"/>
          <w:szCs w:val="26"/>
        </w:rPr>
        <w:t xml:space="preserve"> policy and regulatory changes shape the formal institutional environment, and </w:t>
      </w:r>
      <w:r w:rsidR="000F0A6F">
        <w:rPr>
          <w:sz w:val="26"/>
          <w:szCs w:val="26"/>
        </w:rPr>
        <w:t xml:space="preserve">they </w:t>
      </w:r>
      <w:r w:rsidRPr="007A6659">
        <w:rPr>
          <w:sz w:val="26"/>
          <w:szCs w:val="26"/>
        </w:rPr>
        <w:t xml:space="preserve">are affected by </w:t>
      </w:r>
      <w:r w:rsidR="000F0A6F">
        <w:rPr>
          <w:sz w:val="26"/>
          <w:szCs w:val="26"/>
        </w:rPr>
        <w:t xml:space="preserve">the </w:t>
      </w:r>
      <w:r w:rsidRPr="007A6659">
        <w:rPr>
          <w:sz w:val="26"/>
          <w:szCs w:val="26"/>
        </w:rPr>
        <w:t xml:space="preserve">existing political constructs and informal institutional settings. Greenpeace’s ability to alter formal and informal institutional contexts may be different in the United States and the EU due to contextual </w:t>
      </w:r>
      <w:r w:rsidR="00C566D7" w:rsidRPr="007A6659">
        <w:rPr>
          <w:sz w:val="26"/>
          <w:szCs w:val="26"/>
        </w:rPr>
        <w:t>issues</w:t>
      </w:r>
      <w:r w:rsidRPr="007A6659">
        <w:rPr>
          <w:sz w:val="26"/>
          <w:szCs w:val="26"/>
        </w:rPr>
        <w:t xml:space="preserve">, again suggesting that the strategies of the national units differ. </w:t>
      </w:r>
      <w:r w:rsidR="00304A8E">
        <w:rPr>
          <w:sz w:val="26"/>
          <w:szCs w:val="26"/>
        </w:rPr>
        <w:t xml:space="preserve">The following section discusses </w:t>
      </w:r>
      <w:r w:rsidRPr="007A6659">
        <w:rPr>
          <w:sz w:val="26"/>
          <w:szCs w:val="26"/>
        </w:rPr>
        <w:t>Greenpeace, and the specific formal and informal frameworks are discussed in the subsequent section.</w:t>
      </w:r>
    </w:p>
    <w:p w14:paraId="369A2169" w14:textId="77777777" w:rsidR="005B7147" w:rsidRPr="007A6659" w:rsidRDefault="005B7147" w:rsidP="00294F29">
      <w:pPr>
        <w:spacing w:after="0" w:line="240" w:lineRule="auto"/>
        <w:rPr>
          <w:b/>
          <w:sz w:val="26"/>
          <w:szCs w:val="26"/>
        </w:rPr>
      </w:pPr>
    </w:p>
    <w:p w14:paraId="52009CB9" w14:textId="64B1C54D" w:rsidR="005B7147" w:rsidRPr="007A6659" w:rsidRDefault="00FF5068" w:rsidP="00FF5068">
      <w:pPr>
        <w:spacing w:after="0" w:line="240" w:lineRule="auto"/>
        <w:outlineLvl w:val="1"/>
        <w:rPr>
          <w:b/>
          <w:caps/>
          <w:sz w:val="26"/>
          <w:szCs w:val="26"/>
        </w:rPr>
      </w:pPr>
      <w:r w:rsidRPr="007A6659">
        <w:rPr>
          <w:b/>
          <w:sz w:val="26"/>
          <w:szCs w:val="26"/>
        </w:rPr>
        <w:t>Greenpeace</w:t>
      </w:r>
    </w:p>
    <w:p w14:paraId="7C894E67" w14:textId="46155B96" w:rsidR="005B7147" w:rsidRPr="007A6659" w:rsidRDefault="005B7147" w:rsidP="00FF5068">
      <w:pPr>
        <w:spacing w:after="0" w:line="360" w:lineRule="exact"/>
        <w:ind w:firstLineChars="200" w:firstLine="520"/>
        <w:jc w:val="both"/>
        <w:rPr>
          <w:sz w:val="26"/>
          <w:szCs w:val="26"/>
        </w:rPr>
      </w:pPr>
      <w:r w:rsidRPr="007A6659">
        <w:rPr>
          <w:sz w:val="26"/>
          <w:szCs w:val="26"/>
        </w:rPr>
        <w:t xml:space="preserve">Greenpeace is an international </w:t>
      </w:r>
      <w:r w:rsidR="001F7E10" w:rsidRPr="007A6659">
        <w:rPr>
          <w:sz w:val="26"/>
          <w:szCs w:val="26"/>
        </w:rPr>
        <w:t>non-profit</w:t>
      </w:r>
      <w:r w:rsidR="00304A8E">
        <w:rPr>
          <w:sz w:val="26"/>
          <w:szCs w:val="26"/>
        </w:rPr>
        <w:t xml:space="preserve"> organization</w:t>
      </w:r>
      <w:r w:rsidRPr="007A6659">
        <w:rPr>
          <w:sz w:val="26"/>
          <w:szCs w:val="26"/>
        </w:rPr>
        <w:t xml:space="preserve"> consisting of a coordinating body, Greenpeace International (registered as Stichting Greenpeace Council) in the Netherlands, and a network of over 30 national and regional Greenpeace organizations, the majority of them </w:t>
      </w:r>
      <w:r w:rsidR="00304A8E">
        <w:rPr>
          <w:sz w:val="26"/>
          <w:szCs w:val="26"/>
        </w:rPr>
        <w:t xml:space="preserve">residing </w:t>
      </w:r>
      <w:r w:rsidRPr="007A6659">
        <w:rPr>
          <w:sz w:val="26"/>
          <w:szCs w:val="26"/>
        </w:rPr>
        <w:t xml:space="preserve">in Europe. </w:t>
      </w:r>
      <w:r w:rsidR="00AE10D3" w:rsidRPr="007A6659">
        <w:rPr>
          <w:sz w:val="26"/>
          <w:szCs w:val="26"/>
        </w:rPr>
        <w:t xml:space="preserve">These local groups have considerable </w:t>
      </w:r>
      <w:r w:rsidR="00C021BE" w:rsidRPr="007A6659">
        <w:rPr>
          <w:sz w:val="26"/>
          <w:szCs w:val="26"/>
        </w:rPr>
        <w:t>latitude</w:t>
      </w:r>
      <w:r w:rsidR="00AE10D3" w:rsidRPr="007A6659">
        <w:rPr>
          <w:sz w:val="26"/>
          <w:szCs w:val="26"/>
        </w:rPr>
        <w:t xml:space="preserve"> in setting their own agendas. </w:t>
      </w:r>
      <w:r w:rsidRPr="007A6659">
        <w:rPr>
          <w:sz w:val="26"/>
          <w:szCs w:val="26"/>
        </w:rPr>
        <w:t>Greenpeace International coordinates global policy and strategy toward the goal of conserving nature and ensuring ‘the ability of the earth to nurture life in all its diversity’ (Greenpeace Int</w:t>
      </w:r>
      <w:r w:rsidR="002D63CC">
        <w:rPr>
          <w:sz w:val="26"/>
          <w:szCs w:val="26"/>
        </w:rPr>
        <w:t>ernational, 2018</w:t>
      </w:r>
      <w:r w:rsidRPr="007A6659">
        <w:rPr>
          <w:sz w:val="26"/>
          <w:szCs w:val="26"/>
        </w:rPr>
        <w:t>).</w:t>
      </w:r>
      <w:r w:rsidR="00CD1F33" w:rsidRPr="007A6659">
        <w:rPr>
          <w:sz w:val="26"/>
          <w:szCs w:val="26"/>
        </w:rPr>
        <w:t xml:space="preserve"> As such, it allocates resources to international goals under the guidance of representatives of various national chapters. Greenpeace’s efforts can thus be observed at the national level, at the international level (Greenpeace International), and </w:t>
      </w:r>
      <w:r w:rsidR="00304A8E">
        <w:rPr>
          <w:sz w:val="26"/>
          <w:szCs w:val="26"/>
        </w:rPr>
        <w:t>global level</w:t>
      </w:r>
      <w:r w:rsidR="00304A8E" w:rsidRPr="007A6659">
        <w:rPr>
          <w:sz w:val="26"/>
          <w:szCs w:val="26"/>
        </w:rPr>
        <w:t xml:space="preserve"> </w:t>
      </w:r>
      <w:r w:rsidR="00CD1F33" w:rsidRPr="007A6659">
        <w:rPr>
          <w:sz w:val="26"/>
          <w:szCs w:val="26"/>
        </w:rPr>
        <w:t xml:space="preserve">(the combined efforts of the national branches and the international body). </w:t>
      </w:r>
      <w:r w:rsidRPr="007A6659">
        <w:rPr>
          <w:sz w:val="26"/>
          <w:szCs w:val="26"/>
        </w:rPr>
        <w:t xml:space="preserve">Greenpeace's global governance structure ‘reflects fundamental respect for global democratic principles and </w:t>
      </w:r>
      <w:r w:rsidR="00ED7611">
        <w:rPr>
          <w:sz w:val="26"/>
          <w:szCs w:val="26"/>
        </w:rPr>
        <w:t>the</w:t>
      </w:r>
      <w:r w:rsidR="00ED7611" w:rsidRPr="007A6659">
        <w:rPr>
          <w:sz w:val="26"/>
          <w:szCs w:val="26"/>
        </w:rPr>
        <w:t xml:space="preserve"> </w:t>
      </w:r>
      <w:r w:rsidRPr="007A6659">
        <w:rPr>
          <w:sz w:val="26"/>
          <w:szCs w:val="26"/>
        </w:rPr>
        <w:t>need to maintain a high level of internationalism and coordination’ (</w:t>
      </w:r>
      <w:r w:rsidR="002D63CC" w:rsidRPr="007A6659">
        <w:rPr>
          <w:sz w:val="26"/>
          <w:szCs w:val="26"/>
        </w:rPr>
        <w:t>Greenpeace Int</w:t>
      </w:r>
      <w:r w:rsidR="002D63CC">
        <w:rPr>
          <w:sz w:val="26"/>
          <w:szCs w:val="26"/>
        </w:rPr>
        <w:t>ernational, 2018</w:t>
      </w:r>
      <w:r w:rsidRPr="007A6659">
        <w:rPr>
          <w:sz w:val="26"/>
          <w:szCs w:val="26"/>
        </w:rPr>
        <w:t xml:space="preserve">). The International organization monitors financial and strategic performance globally, facilitates planning and decision-making processes, and coordinates and implements global campaigns. </w:t>
      </w:r>
      <w:r w:rsidR="00A771B9" w:rsidRPr="007A6659">
        <w:rPr>
          <w:sz w:val="26"/>
          <w:szCs w:val="26"/>
        </w:rPr>
        <w:t xml:space="preserve">These campaigns can be considered marketing campaigns in the sense that they are coordinated efforts to persuade a target audience to change its </w:t>
      </w:r>
      <w:r w:rsidR="007A3C23" w:rsidRPr="007A6659">
        <w:rPr>
          <w:sz w:val="26"/>
          <w:szCs w:val="26"/>
        </w:rPr>
        <w:t>behavior</w:t>
      </w:r>
      <w:r w:rsidR="00A771B9" w:rsidRPr="007A6659">
        <w:rPr>
          <w:sz w:val="26"/>
          <w:szCs w:val="26"/>
        </w:rPr>
        <w:t xml:space="preserve">, though </w:t>
      </w:r>
      <w:r w:rsidR="00051F63" w:rsidRPr="007A6659">
        <w:rPr>
          <w:sz w:val="26"/>
          <w:szCs w:val="26"/>
        </w:rPr>
        <w:t xml:space="preserve">both academics and practitioners </w:t>
      </w:r>
      <w:r w:rsidR="00051F63">
        <w:rPr>
          <w:sz w:val="26"/>
          <w:szCs w:val="26"/>
        </w:rPr>
        <w:t xml:space="preserve">have generally a poor understanding of </w:t>
      </w:r>
      <w:r w:rsidR="00A771B9" w:rsidRPr="007A6659">
        <w:rPr>
          <w:sz w:val="26"/>
          <w:szCs w:val="26"/>
        </w:rPr>
        <w:t xml:space="preserve">marketing in non-profits (Pope, Isely, &amp; Asamoa-Tutu, 2009).  </w:t>
      </w:r>
      <w:r w:rsidRPr="007A6659">
        <w:rPr>
          <w:sz w:val="26"/>
          <w:szCs w:val="26"/>
        </w:rPr>
        <w:t xml:space="preserve">Representatives from each office attend the Greenpeace International Annual General Meeting to discuss strategic issues and elect members of the board of directors. Additional meetings are held to discuss campaign priorities and policies and operating relationships among units. </w:t>
      </w:r>
      <w:r w:rsidR="009C0C0A">
        <w:rPr>
          <w:sz w:val="26"/>
          <w:szCs w:val="26"/>
        </w:rPr>
        <w:t>Additionally</w:t>
      </w:r>
      <w:r w:rsidRPr="007A6659">
        <w:rPr>
          <w:sz w:val="26"/>
          <w:szCs w:val="26"/>
        </w:rPr>
        <w:t>, the international campaign director meets with national and regional counterparts (</w:t>
      </w:r>
      <w:r w:rsidR="002D63CC" w:rsidRPr="007A6659">
        <w:rPr>
          <w:sz w:val="26"/>
          <w:szCs w:val="26"/>
        </w:rPr>
        <w:t>Greenpeace Int</w:t>
      </w:r>
      <w:r w:rsidR="002D63CC">
        <w:rPr>
          <w:sz w:val="26"/>
          <w:szCs w:val="26"/>
        </w:rPr>
        <w:t>ernational, 2018</w:t>
      </w:r>
      <w:r w:rsidRPr="007A6659">
        <w:rPr>
          <w:sz w:val="26"/>
          <w:szCs w:val="26"/>
        </w:rPr>
        <w:t xml:space="preserve">). </w:t>
      </w:r>
    </w:p>
    <w:p w14:paraId="3A91C685" w14:textId="781D7325" w:rsidR="005B7147" w:rsidRPr="007A6659" w:rsidRDefault="005B7147" w:rsidP="00FF5068">
      <w:pPr>
        <w:spacing w:after="0" w:line="360" w:lineRule="exact"/>
        <w:ind w:firstLineChars="200" w:firstLine="520"/>
        <w:jc w:val="both"/>
        <w:rPr>
          <w:sz w:val="26"/>
          <w:szCs w:val="26"/>
        </w:rPr>
      </w:pPr>
      <w:r w:rsidRPr="007A6659">
        <w:rPr>
          <w:sz w:val="26"/>
          <w:szCs w:val="26"/>
        </w:rPr>
        <w:t xml:space="preserve">Despite this coordination and integration, each national or regional office is expected to have its own autonomous </w:t>
      </w:r>
      <w:r w:rsidR="00504266" w:rsidRPr="007A6659">
        <w:rPr>
          <w:sz w:val="26"/>
          <w:szCs w:val="26"/>
        </w:rPr>
        <w:t xml:space="preserve">localized </w:t>
      </w:r>
      <w:r w:rsidRPr="007A6659">
        <w:rPr>
          <w:sz w:val="26"/>
          <w:szCs w:val="26"/>
        </w:rPr>
        <w:t>governance structure representing its nation or region. National and regional units work with the International Council to prioritize global campaigns, and each unit is required to ‘actively carry out at least two different campaigns in two different campaign areas (as defined by Greenpeace International) unless</w:t>
      </w:r>
      <w:r w:rsidR="003B0D23" w:rsidRPr="007A6659">
        <w:rPr>
          <w:sz w:val="26"/>
          <w:szCs w:val="26"/>
        </w:rPr>
        <w:t xml:space="preserve"> otherwise agreed in the organiz</w:t>
      </w:r>
      <w:r w:rsidRPr="007A6659">
        <w:rPr>
          <w:sz w:val="26"/>
          <w:szCs w:val="26"/>
        </w:rPr>
        <w:t>ational development plan’</w:t>
      </w:r>
      <w:r w:rsidR="002D63CC">
        <w:rPr>
          <w:sz w:val="26"/>
          <w:szCs w:val="26"/>
        </w:rPr>
        <w:t xml:space="preserve"> (Greenpeace International, 2018</w:t>
      </w:r>
      <w:r w:rsidRPr="007A6659">
        <w:rPr>
          <w:sz w:val="26"/>
          <w:szCs w:val="26"/>
        </w:rPr>
        <w:t xml:space="preserve">). The national and regional offices have discretionary authority over which campaigns to fund. Thus, </w:t>
      </w:r>
      <w:r w:rsidR="009D3E76">
        <w:rPr>
          <w:sz w:val="26"/>
          <w:szCs w:val="26"/>
        </w:rPr>
        <w:t xml:space="preserve">they determine </w:t>
      </w:r>
      <w:r w:rsidR="002F42E2">
        <w:rPr>
          <w:sz w:val="26"/>
          <w:szCs w:val="26"/>
        </w:rPr>
        <w:t>the amount</w:t>
      </w:r>
      <w:r w:rsidRPr="007A6659">
        <w:rPr>
          <w:sz w:val="26"/>
          <w:szCs w:val="26"/>
        </w:rPr>
        <w:t xml:space="preserve"> </w:t>
      </w:r>
      <w:r w:rsidR="002F42E2">
        <w:rPr>
          <w:sz w:val="26"/>
          <w:szCs w:val="26"/>
        </w:rPr>
        <w:t xml:space="preserve">of </w:t>
      </w:r>
      <w:r w:rsidRPr="007A6659">
        <w:rPr>
          <w:sz w:val="26"/>
          <w:szCs w:val="26"/>
        </w:rPr>
        <w:t xml:space="preserve">resource allocation to </w:t>
      </w:r>
      <w:r w:rsidR="00365026" w:rsidRPr="007A6659">
        <w:rPr>
          <w:sz w:val="26"/>
          <w:szCs w:val="26"/>
        </w:rPr>
        <w:t xml:space="preserve">a given campaign </w:t>
      </w:r>
      <w:r w:rsidR="002F42E2">
        <w:rPr>
          <w:sz w:val="26"/>
          <w:szCs w:val="26"/>
        </w:rPr>
        <w:t xml:space="preserve">that </w:t>
      </w:r>
      <w:r w:rsidR="00365026" w:rsidRPr="007A6659">
        <w:rPr>
          <w:sz w:val="26"/>
          <w:szCs w:val="26"/>
        </w:rPr>
        <w:t xml:space="preserve">can be used </w:t>
      </w:r>
      <w:r w:rsidRPr="007A6659">
        <w:rPr>
          <w:sz w:val="26"/>
          <w:szCs w:val="26"/>
        </w:rPr>
        <w:t xml:space="preserve">to indicate a national unit’s strategic priorities. </w:t>
      </w:r>
    </w:p>
    <w:p w14:paraId="0579B4F6" w14:textId="610CF892" w:rsidR="005B7147" w:rsidRPr="007A6659" w:rsidRDefault="005B7147" w:rsidP="00FF5068">
      <w:pPr>
        <w:spacing w:after="0" w:line="360" w:lineRule="exact"/>
        <w:ind w:firstLineChars="200" w:firstLine="520"/>
        <w:jc w:val="both"/>
        <w:rPr>
          <w:sz w:val="26"/>
          <w:szCs w:val="26"/>
        </w:rPr>
      </w:pPr>
      <w:r w:rsidRPr="007A6659">
        <w:rPr>
          <w:sz w:val="26"/>
          <w:szCs w:val="26"/>
        </w:rPr>
        <w:t>Greenpeace has six global campaigns</w:t>
      </w:r>
      <w:r w:rsidR="00EE5501" w:rsidRPr="007A6659">
        <w:rPr>
          <w:sz w:val="26"/>
          <w:szCs w:val="26"/>
        </w:rPr>
        <w:t xml:space="preserve"> (note: the names and composition of each campaign may </w:t>
      </w:r>
      <w:r w:rsidR="002F42E2">
        <w:rPr>
          <w:sz w:val="26"/>
          <w:szCs w:val="26"/>
        </w:rPr>
        <w:t>change</w:t>
      </w:r>
      <w:r w:rsidR="002F42E2" w:rsidRPr="007A6659">
        <w:rPr>
          <w:sz w:val="26"/>
          <w:szCs w:val="26"/>
        </w:rPr>
        <w:t xml:space="preserve"> </w:t>
      </w:r>
      <w:r w:rsidR="00EE5501" w:rsidRPr="007A6659">
        <w:rPr>
          <w:sz w:val="26"/>
          <w:szCs w:val="26"/>
        </w:rPr>
        <w:t>across years)</w:t>
      </w:r>
      <w:r w:rsidRPr="007A6659">
        <w:rPr>
          <w:sz w:val="26"/>
          <w:szCs w:val="26"/>
        </w:rPr>
        <w:t>: (1) climate change, (2) forests, (3) oceans, (4) agriculture, (5) toxic pollution, and (6) nuclear.</w:t>
      </w:r>
      <w:r w:rsidR="00EE5501" w:rsidRPr="007A6659">
        <w:rPr>
          <w:sz w:val="26"/>
          <w:szCs w:val="26"/>
        </w:rPr>
        <w:t xml:space="preserve"> I</w:t>
      </w:r>
      <w:r w:rsidR="00B0560E" w:rsidRPr="007A6659">
        <w:rPr>
          <w:sz w:val="26"/>
          <w:szCs w:val="26"/>
        </w:rPr>
        <w:t>n</w:t>
      </w:r>
      <w:r w:rsidR="00EE5501" w:rsidRPr="007A6659">
        <w:rPr>
          <w:sz w:val="26"/>
          <w:szCs w:val="26"/>
        </w:rPr>
        <w:t xml:space="preserve"> their aggregated financial statements (Greenpeace Worldwide), forests</w:t>
      </w:r>
      <w:r w:rsidR="00B0560E" w:rsidRPr="007A6659">
        <w:rPr>
          <w:sz w:val="26"/>
          <w:szCs w:val="26"/>
        </w:rPr>
        <w:t xml:space="preserve">, </w:t>
      </w:r>
      <w:r w:rsidR="00EE5501" w:rsidRPr="007A6659">
        <w:rPr>
          <w:sz w:val="26"/>
          <w:szCs w:val="26"/>
        </w:rPr>
        <w:t>climate change</w:t>
      </w:r>
      <w:r w:rsidR="00B0560E" w:rsidRPr="007A6659">
        <w:rPr>
          <w:sz w:val="26"/>
          <w:szCs w:val="26"/>
        </w:rPr>
        <w:t>, and nuclear and disarmament</w:t>
      </w:r>
      <w:r w:rsidR="00EE5501" w:rsidRPr="007A6659">
        <w:rPr>
          <w:sz w:val="26"/>
          <w:szCs w:val="26"/>
        </w:rPr>
        <w:t xml:space="preserve"> </w:t>
      </w:r>
      <w:r w:rsidR="00666209">
        <w:rPr>
          <w:sz w:val="26"/>
          <w:szCs w:val="26"/>
        </w:rPr>
        <w:t xml:space="preserve">campaigns </w:t>
      </w:r>
      <w:r w:rsidR="00EE5501" w:rsidRPr="007A6659">
        <w:rPr>
          <w:sz w:val="26"/>
          <w:szCs w:val="26"/>
        </w:rPr>
        <w:t xml:space="preserve">have received the highest level of funding during the timeframe that agriculture (genetic engineering) received its highest funding levels. </w:t>
      </w:r>
      <w:r w:rsidR="0092241A">
        <w:rPr>
          <w:sz w:val="26"/>
          <w:szCs w:val="26"/>
        </w:rPr>
        <w:t>This</w:t>
      </w:r>
      <w:r w:rsidRPr="007A6659">
        <w:rPr>
          <w:sz w:val="26"/>
          <w:szCs w:val="26"/>
        </w:rPr>
        <w:t xml:space="preserve"> study </w:t>
      </w:r>
      <w:r w:rsidR="0092241A">
        <w:rPr>
          <w:sz w:val="26"/>
          <w:szCs w:val="26"/>
        </w:rPr>
        <w:t>focuses on</w:t>
      </w:r>
      <w:r w:rsidR="0092241A" w:rsidRPr="007A6659">
        <w:rPr>
          <w:sz w:val="26"/>
          <w:szCs w:val="26"/>
        </w:rPr>
        <w:t xml:space="preserve"> </w:t>
      </w:r>
      <w:r w:rsidRPr="007A6659">
        <w:rPr>
          <w:sz w:val="26"/>
          <w:szCs w:val="26"/>
        </w:rPr>
        <w:t>the agriculture campaign, which includes the goal of banning GMs</w:t>
      </w:r>
      <w:r w:rsidR="00003D86" w:rsidRPr="007A6659">
        <w:rPr>
          <w:sz w:val="26"/>
          <w:szCs w:val="26"/>
        </w:rPr>
        <w:t xml:space="preserve"> (see</w:t>
      </w:r>
      <w:r w:rsidR="00003D86" w:rsidRPr="00BA061E">
        <w:rPr>
          <w:sz w:val="26"/>
          <w:szCs w:val="26"/>
        </w:rPr>
        <w:t xml:space="preserve"> Table 1 f</w:t>
      </w:r>
      <w:r w:rsidR="00003D86" w:rsidRPr="007A6659">
        <w:rPr>
          <w:sz w:val="26"/>
          <w:szCs w:val="26"/>
        </w:rPr>
        <w:t>or overview of funding</w:t>
      </w:r>
      <w:r w:rsidR="00EE5501" w:rsidRPr="007A6659">
        <w:rPr>
          <w:sz w:val="26"/>
          <w:szCs w:val="26"/>
        </w:rPr>
        <w:t xml:space="preserve"> this campaign</w:t>
      </w:r>
      <w:r w:rsidR="00003D86" w:rsidRPr="007A6659">
        <w:rPr>
          <w:sz w:val="26"/>
          <w:szCs w:val="26"/>
        </w:rPr>
        <w:t>)</w:t>
      </w:r>
      <w:r w:rsidRPr="007A6659">
        <w:rPr>
          <w:sz w:val="26"/>
          <w:szCs w:val="26"/>
        </w:rPr>
        <w:t>. This goal has remained constant since it was first addressed in the 1996 Annual Report: ‘Greenpeace is campaigning to halt the uncontrolled introduction of genetically-modi</w:t>
      </w:r>
      <w:r w:rsidR="00F505E0">
        <w:rPr>
          <w:sz w:val="26"/>
          <w:szCs w:val="26"/>
        </w:rPr>
        <w:t>fied foods into our shops’ (1997</w:t>
      </w:r>
      <w:r w:rsidRPr="007A6659">
        <w:rPr>
          <w:sz w:val="26"/>
          <w:szCs w:val="26"/>
        </w:rPr>
        <w:t xml:space="preserve">: 9). </w:t>
      </w:r>
      <w:r w:rsidR="00EE5501" w:rsidRPr="007A6659">
        <w:rPr>
          <w:sz w:val="26"/>
          <w:szCs w:val="26"/>
        </w:rPr>
        <w:t xml:space="preserve"> The anti-GMO campaign </w:t>
      </w:r>
      <w:r w:rsidR="00B0560E" w:rsidRPr="007A6659">
        <w:rPr>
          <w:sz w:val="26"/>
          <w:szCs w:val="26"/>
        </w:rPr>
        <w:t>has included lobbying and presentations at government</w:t>
      </w:r>
      <w:r w:rsidR="00E76B15">
        <w:rPr>
          <w:sz w:val="26"/>
          <w:szCs w:val="26"/>
        </w:rPr>
        <w:t xml:space="preserve"> organizations</w:t>
      </w:r>
      <w:r w:rsidR="00B0560E" w:rsidRPr="007A6659">
        <w:rPr>
          <w:sz w:val="26"/>
          <w:szCs w:val="26"/>
        </w:rPr>
        <w:t>, supranational organizations</w:t>
      </w:r>
      <w:r w:rsidR="00E76B15">
        <w:rPr>
          <w:sz w:val="26"/>
          <w:szCs w:val="26"/>
        </w:rPr>
        <w:t>,</w:t>
      </w:r>
      <w:r w:rsidR="00B0560E" w:rsidRPr="007A6659">
        <w:rPr>
          <w:sz w:val="26"/>
          <w:szCs w:val="26"/>
        </w:rPr>
        <w:t xml:space="preserve"> and conferences to protest and pressur</w:t>
      </w:r>
      <w:r w:rsidR="00E76B15">
        <w:rPr>
          <w:sz w:val="26"/>
          <w:szCs w:val="26"/>
        </w:rPr>
        <w:t>e</w:t>
      </w:r>
      <w:r w:rsidR="00B0560E" w:rsidRPr="007A6659">
        <w:rPr>
          <w:sz w:val="26"/>
          <w:szCs w:val="26"/>
        </w:rPr>
        <w:t xml:space="preserve"> farmers and companies in the food industry to cease GM use. </w:t>
      </w:r>
    </w:p>
    <w:p w14:paraId="291FF046" w14:textId="77777777" w:rsidR="005B7147" w:rsidRPr="007A6659" w:rsidRDefault="00C2022B" w:rsidP="00294F29">
      <w:pPr>
        <w:tabs>
          <w:tab w:val="left" w:pos="1817"/>
        </w:tabs>
        <w:spacing w:after="0" w:line="240" w:lineRule="auto"/>
        <w:rPr>
          <w:b/>
          <w:sz w:val="26"/>
          <w:szCs w:val="26"/>
        </w:rPr>
      </w:pPr>
      <w:r w:rsidRPr="007A6659">
        <w:rPr>
          <w:b/>
          <w:sz w:val="26"/>
          <w:szCs w:val="26"/>
        </w:rPr>
        <w:tab/>
      </w:r>
    </w:p>
    <w:p w14:paraId="49517C07" w14:textId="76B831BD" w:rsidR="005B7147" w:rsidRPr="007A6659" w:rsidRDefault="00FF5068" w:rsidP="00FF5068">
      <w:pPr>
        <w:spacing w:after="0" w:line="240" w:lineRule="auto"/>
        <w:outlineLvl w:val="1"/>
        <w:rPr>
          <w:b/>
          <w:caps/>
          <w:sz w:val="26"/>
          <w:szCs w:val="26"/>
        </w:rPr>
      </w:pPr>
      <w:r w:rsidRPr="007A6659">
        <w:rPr>
          <w:b/>
          <w:sz w:val="26"/>
          <w:szCs w:val="26"/>
        </w:rPr>
        <w:t xml:space="preserve">Institutional </w:t>
      </w:r>
      <w:r w:rsidR="00615040" w:rsidRPr="007A6659">
        <w:rPr>
          <w:b/>
          <w:sz w:val="26"/>
          <w:szCs w:val="26"/>
        </w:rPr>
        <w:t xml:space="preserve">Environments </w:t>
      </w:r>
      <w:r w:rsidRPr="007A6659">
        <w:rPr>
          <w:b/>
          <w:sz w:val="26"/>
          <w:szCs w:val="26"/>
        </w:rPr>
        <w:t xml:space="preserve">in the </w:t>
      </w:r>
      <w:r w:rsidR="00BD6527" w:rsidRPr="007A6659">
        <w:rPr>
          <w:b/>
          <w:sz w:val="26"/>
          <w:szCs w:val="26"/>
        </w:rPr>
        <w:t>EU</w:t>
      </w:r>
      <w:r w:rsidRPr="007A6659">
        <w:rPr>
          <w:b/>
          <w:sz w:val="26"/>
          <w:szCs w:val="26"/>
        </w:rPr>
        <w:t xml:space="preserve"> and </w:t>
      </w:r>
      <w:r w:rsidR="00BD6527" w:rsidRPr="007A6659">
        <w:rPr>
          <w:b/>
          <w:sz w:val="26"/>
          <w:szCs w:val="26"/>
        </w:rPr>
        <w:t>US</w:t>
      </w:r>
    </w:p>
    <w:p w14:paraId="56100723" w14:textId="50269C10" w:rsidR="00A045FF" w:rsidRPr="007A6659" w:rsidRDefault="005B7147" w:rsidP="00852DAC">
      <w:pPr>
        <w:spacing w:after="0" w:line="360" w:lineRule="exact"/>
        <w:ind w:firstLineChars="200" w:firstLine="520"/>
        <w:jc w:val="both"/>
        <w:rPr>
          <w:sz w:val="26"/>
          <w:szCs w:val="26"/>
        </w:rPr>
      </w:pPr>
      <w:r w:rsidRPr="007A6659">
        <w:rPr>
          <w:sz w:val="26"/>
          <w:szCs w:val="26"/>
        </w:rPr>
        <w:t xml:space="preserve">We </w:t>
      </w:r>
      <w:r w:rsidR="000F36B0">
        <w:rPr>
          <w:sz w:val="26"/>
          <w:szCs w:val="26"/>
        </w:rPr>
        <w:t>propose</w:t>
      </w:r>
      <w:r w:rsidR="000F36B0" w:rsidRPr="007A6659">
        <w:rPr>
          <w:sz w:val="26"/>
          <w:szCs w:val="26"/>
        </w:rPr>
        <w:t xml:space="preserve"> </w:t>
      </w:r>
      <w:r w:rsidRPr="007A6659">
        <w:rPr>
          <w:sz w:val="26"/>
          <w:szCs w:val="26"/>
        </w:rPr>
        <w:t xml:space="preserve">five </w:t>
      </w:r>
      <w:r w:rsidR="009167F8" w:rsidRPr="007A6659">
        <w:rPr>
          <w:sz w:val="26"/>
          <w:szCs w:val="26"/>
        </w:rPr>
        <w:t>predictions</w:t>
      </w:r>
      <w:r w:rsidRPr="007A6659">
        <w:rPr>
          <w:sz w:val="26"/>
          <w:szCs w:val="26"/>
        </w:rPr>
        <w:t xml:space="preserve"> </w:t>
      </w:r>
      <w:r w:rsidR="002500D7">
        <w:rPr>
          <w:sz w:val="26"/>
          <w:szCs w:val="26"/>
        </w:rPr>
        <w:t>based on</w:t>
      </w:r>
      <w:r w:rsidR="002500D7" w:rsidRPr="007A6659">
        <w:rPr>
          <w:sz w:val="26"/>
          <w:szCs w:val="26"/>
        </w:rPr>
        <w:t xml:space="preserve"> </w:t>
      </w:r>
      <w:r w:rsidRPr="007A6659">
        <w:rPr>
          <w:sz w:val="26"/>
          <w:szCs w:val="26"/>
        </w:rPr>
        <w:t xml:space="preserve">institutional theory. The </w:t>
      </w:r>
      <w:r w:rsidR="005E40A7" w:rsidRPr="007A6659">
        <w:rPr>
          <w:sz w:val="26"/>
          <w:szCs w:val="26"/>
        </w:rPr>
        <w:t>predictions</w:t>
      </w:r>
      <w:r w:rsidRPr="007A6659">
        <w:rPr>
          <w:sz w:val="26"/>
          <w:szCs w:val="26"/>
        </w:rPr>
        <w:t xml:space="preserve"> </w:t>
      </w:r>
      <w:r w:rsidR="005E40A7" w:rsidRPr="007A6659">
        <w:rPr>
          <w:sz w:val="26"/>
          <w:szCs w:val="26"/>
        </w:rPr>
        <w:t xml:space="preserve">rest on the assumption that Greenpeace, like an effective transnational, is responsive to </w:t>
      </w:r>
      <w:r w:rsidRPr="007A6659">
        <w:rPr>
          <w:sz w:val="26"/>
          <w:szCs w:val="26"/>
        </w:rPr>
        <w:t xml:space="preserve">both formal and informal institutional environments in developed nations. </w:t>
      </w:r>
      <w:r w:rsidR="005E40A7" w:rsidRPr="007A6659">
        <w:rPr>
          <w:sz w:val="26"/>
          <w:szCs w:val="26"/>
        </w:rPr>
        <w:t xml:space="preserve"> M</w:t>
      </w:r>
      <w:r w:rsidRPr="007A6659">
        <w:rPr>
          <w:sz w:val="26"/>
          <w:szCs w:val="26"/>
        </w:rPr>
        <w:t xml:space="preserve">ultinational entities (MNEs) vary their strategic direction in a manner consistent with institutional differences </w:t>
      </w:r>
      <w:r w:rsidR="00E55D39">
        <w:rPr>
          <w:sz w:val="26"/>
          <w:szCs w:val="26"/>
        </w:rPr>
        <w:t xml:space="preserve">in </w:t>
      </w:r>
      <w:r w:rsidR="00E55D39" w:rsidRPr="007A6659">
        <w:rPr>
          <w:sz w:val="26"/>
          <w:szCs w:val="26"/>
        </w:rPr>
        <w:t>local market</w:t>
      </w:r>
      <w:r w:rsidR="00E55D39">
        <w:rPr>
          <w:sz w:val="26"/>
          <w:szCs w:val="26"/>
        </w:rPr>
        <w:t>s</w:t>
      </w:r>
      <w:r w:rsidR="00E55D39" w:rsidRPr="007A6659">
        <w:rPr>
          <w:sz w:val="26"/>
          <w:szCs w:val="26"/>
        </w:rPr>
        <w:t xml:space="preserve"> </w:t>
      </w:r>
      <w:r w:rsidRPr="007A6659">
        <w:rPr>
          <w:sz w:val="26"/>
          <w:szCs w:val="26"/>
        </w:rPr>
        <w:t>(Peng, 2003).</w:t>
      </w:r>
      <w:r w:rsidR="00096B96" w:rsidRPr="007A6659">
        <w:rPr>
          <w:sz w:val="26"/>
          <w:szCs w:val="26"/>
        </w:rPr>
        <w:t xml:space="preserve"> </w:t>
      </w:r>
      <w:r w:rsidR="00640FA7">
        <w:rPr>
          <w:sz w:val="26"/>
          <w:szCs w:val="26"/>
        </w:rPr>
        <w:t>Tang and Hull</w:t>
      </w:r>
      <w:r w:rsidR="00640FA7" w:rsidRPr="007A6659">
        <w:rPr>
          <w:sz w:val="26"/>
          <w:szCs w:val="26"/>
        </w:rPr>
        <w:t xml:space="preserve"> </w:t>
      </w:r>
      <w:r w:rsidRPr="007A6659">
        <w:rPr>
          <w:sz w:val="26"/>
          <w:szCs w:val="26"/>
        </w:rPr>
        <w:t xml:space="preserve">(2012) </w:t>
      </w:r>
      <w:r w:rsidR="000D4EDC">
        <w:rPr>
          <w:sz w:val="26"/>
          <w:szCs w:val="26"/>
        </w:rPr>
        <w:t>found</w:t>
      </w:r>
      <w:r w:rsidR="000D4EDC" w:rsidRPr="007A6659">
        <w:rPr>
          <w:sz w:val="26"/>
          <w:szCs w:val="26"/>
        </w:rPr>
        <w:t xml:space="preserve"> </w:t>
      </w:r>
      <w:r w:rsidRPr="007A6659">
        <w:rPr>
          <w:sz w:val="26"/>
          <w:szCs w:val="26"/>
        </w:rPr>
        <w:t xml:space="preserve">that institutional differences between China and the US </w:t>
      </w:r>
      <w:r w:rsidR="00F6162F">
        <w:rPr>
          <w:sz w:val="26"/>
          <w:szCs w:val="26"/>
        </w:rPr>
        <w:t xml:space="preserve">caused </w:t>
      </w:r>
      <w:r w:rsidRPr="007A6659">
        <w:rPr>
          <w:sz w:val="26"/>
          <w:szCs w:val="26"/>
        </w:rPr>
        <w:t>firms with similar characteristics</w:t>
      </w:r>
      <w:r w:rsidR="00F6162F">
        <w:rPr>
          <w:sz w:val="26"/>
          <w:szCs w:val="26"/>
        </w:rPr>
        <w:t xml:space="preserve"> (e.g., degree of entrepreneurial orientation)</w:t>
      </w:r>
      <w:r w:rsidRPr="007A6659">
        <w:rPr>
          <w:sz w:val="26"/>
          <w:szCs w:val="26"/>
        </w:rPr>
        <w:t xml:space="preserve"> to select different strategies, including allocating their resources differently</w:t>
      </w:r>
      <w:r w:rsidR="002B419D">
        <w:rPr>
          <w:sz w:val="26"/>
          <w:szCs w:val="26"/>
        </w:rPr>
        <w:t>.</w:t>
      </w:r>
      <w:r w:rsidR="00F33101" w:rsidRPr="007A6659">
        <w:rPr>
          <w:sz w:val="26"/>
          <w:szCs w:val="26"/>
        </w:rPr>
        <w:t xml:space="preserve"> Wu and Ying (2016) </w:t>
      </w:r>
      <w:r w:rsidR="002B419D">
        <w:rPr>
          <w:sz w:val="26"/>
          <w:szCs w:val="26"/>
        </w:rPr>
        <w:t>found</w:t>
      </w:r>
      <w:r w:rsidR="002B419D" w:rsidRPr="007A6659">
        <w:rPr>
          <w:sz w:val="26"/>
          <w:szCs w:val="26"/>
        </w:rPr>
        <w:t xml:space="preserve"> </w:t>
      </w:r>
      <w:r w:rsidR="00F33101" w:rsidRPr="007A6659">
        <w:rPr>
          <w:sz w:val="26"/>
          <w:szCs w:val="26"/>
        </w:rPr>
        <w:t xml:space="preserve">similar results </w:t>
      </w:r>
      <w:r w:rsidR="00712B03">
        <w:rPr>
          <w:sz w:val="26"/>
          <w:szCs w:val="26"/>
        </w:rPr>
        <w:t>in a study of</w:t>
      </w:r>
      <w:r w:rsidR="00F33101" w:rsidRPr="007A6659">
        <w:rPr>
          <w:sz w:val="26"/>
          <w:szCs w:val="26"/>
        </w:rPr>
        <w:t xml:space="preserve"> auditors in China</w:t>
      </w:r>
      <w:r w:rsidR="00F6162F">
        <w:rPr>
          <w:sz w:val="26"/>
          <w:szCs w:val="26"/>
        </w:rPr>
        <w:t>,</w:t>
      </w:r>
      <w:r w:rsidR="00170946" w:rsidRPr="007A6659">
        <w:rPr>
          <w:sz w:val="26"/>
          <w:szCs w:val="26"/>
        </w:rPr>
        <w:t xml:space="preserve"> </w:t>
      </w:r>
      <w:r w:rsidR="00A71EB8" w:rsidRPr="007A6659">
        <w:rPr>
          <w:sz w:val="26"/>
          <w:szCs w:val="26"/>
        </w:rPr>
        <w:t xml:space="preserve">while Wales, </w:t>
      </w:r>
      <w:r w:rsidR="00B30981" w:rsidRPr="007A6659">
        <w:rPr>
          <w:sz w:val="26"/>
          <w:szCs w:val="26"/>
        </w:rPr>
        <w:t>Shirokova, Sokolova</w:t>
      </w:r>
      <w:r w:rsidR="00020754">
        <w:rPr>
          <w:sz w:val="26"/>
          <w:szCs w:val="26"/>
        </w:rPr>
        <w:t>,</w:t>
      </w:r>
      <w:r w:rsidR="00B30981" w:rsidRPr="007A6659">
        <w:rPr>
          <w:sz w:val="26"/>
          <w:szCs w:val="26"/>
        </w:rPr>
        <w:t xml:space="preserve"> and Stein (2016) found that institutional pressures in Russia </w:t>
      </w:r>
      <w:r w:rsidR="00712B03">
        <w:rPr>
          <w:sz w:val="26"/>
          <w:szCs w:val="26"/>
        </w:rPr>
        <w:t>affect</w:t>
      </w:r>
      <w:r w:rsidR="00712B03" w:rsidRPr="007A6659">
        <w:rPr>
          <w:sz w:val="26"/>
          <w:szCs w:val="26"/>
        </w:rPr>
        <w:t xml:space="preserve"> </w:t>
      </w:r>
      <w:r w:rsidR="00B30981" w:rsidRPr="007A6659">
        <w:rPr>
          <w:sz w:val="26"/>
          <w:szCs w:val="26"/>
        </w:rPr>
        <w:t>the same characteristics</w:t>
      </w:r>
      <w:r w:rsidR="00F6162F">
        <w:rPr>
          <w:sz w:val="26"/>
          <w:szCs w:val="26"/>
        </w:rPr>
        <w:t xml:space="preserve"> that Tang and Hull (2016) examined</w:t>
      </w:r>
      <w:r w:rsidRPr="007A6659">
        <w:rPr>
          <w:sz w:val="26"/>
          <w:szCs w:val="26"/>
        </w:rPr>
        <w:t xml:space="preserve">. Chen, </w:t>
      </w:r>
      <w:r w:rsidRPr="007A6659">
        <w:rPr>
          <w:rFonts w:eastAsia="Times New Roman"/>
          <w:sz w:val="26"/>
          <w:szCs w:val="26"/>
        </w:rPr>
        <w:t>Yang, Hsu, and Wang</w:t>
      </w:r>
      <w:r w:rsidRPr="007A6659" w:rsidDel="00EA6E49">
        <w:rPr>
          <w:sz w:val="26"/>
          <w:szCs w:val="26"/>
        </w:rPr>
        <w:t xml:space="preserve"> </w:t>
      </w:r>
      <w:r w:rsidRPr="007A6659">
        <w:rPr>
          <w:sz w:val="26"/>
          <w:szCs w:val="26"/>
        </w:rPr>
        <w:t xml:space="preserve">(2008) </w:t>
      </w:r>
      <w:r w:rsidR="00AE6319">
        <w:rPr>
          <w:sz w:val="26"/>
          <w:szCs w:val="26"/>
        </w:rPr>
        <w:t>found</w:t>
      </w:r>
      <w:r w:rsidR="00AE6319" w:rsidRPr="007A6659">
        <w:rPr>
          <w:sz w:val="26"/>
          <w:szCs w:val="26"/>
        </w:rPr>
        <w:t xml:space="preserve"> </w:t>
      </w:r>
      <w:r w:rsidRPr="007A6659">
        <w:rPr>
          <w:sz w:val="26"/>
          <w:szCs w:val="26"/>
        </w:rPr>
        <w:t xml:space="preserve">formal and informal institutions to be the most pervasive factors in entry-mode choice into the China market. Other studies </w:t>
      </w:r>
      <w:r w:rsidR="00EC0F41">
        <w:rPr>
          <w:sz w:val="26"/>
          <w:szCs w:val="26"/>
        </w:rPr>
        <w:t>reported</w:t>
      </w:r>
      <w:r w:rsidR="00EC0F41" w:rsidRPr="007A6659">
        <w:rPr>
          <w:sz w:val="26"/>
          <w:szCs w:val="26"/>
        </w:rPr>
        <w:t xml:space="preserve"> </w:t>
      </w:r>
      <w:r w:rsidRPr="007A6659">
        <w:rPr>
          <w:sz w:val="26"/>
          <w:szCs w:val="26"/>
        </w:rPr>
        <w:t>similar results for entry-mode choice</w:t>
      </w:r>
      <w:r w:rsidR="00CC1AC5" w:rsidRPr="007A6659">
        <w:rPr>
          <w:sz w:val="26"/>
          <w:szCs w:val="26"/>
        </w:rPr>
        <w:t xml:space="preserve"> and market access </w:t>
      </w:r>
      <w:r w:rsidRPr="007A6659">
        <w:rPr>
          <w:sz w:val="26"/>
          <w:szCs w:val="26"/>
        </w:rPr>
        <w:t>(Meyer et al., 2009), strategic alliance partner</w:t>
      </w:r>
      <w:r w:rsidR="004D0FA5" w:rsidRPr="007A6659">
        <w:rPr>
          <w:sz w:val="26"/>
          <w:szCs w:val="26"/>
        </w:rPr>
        <w:t xml:space="preserve"> selection (Hitt et al., 2004),</w:t>
      </w:r>
      <w:r w:rsidRPr="007A6659">
        <w:rPr>
          <w:sz w:val="26"/>
          <w:szCs w:val="26"/>
        </w:rPr>
        <w:t xml:space="preserve"> and transaction choice (Zhou &amp; Peng, 2010). Kourala (2010) found that both institutional differences and </w:t>
      </w:r>
      <w:r w:rsidR="001F7E10" w:rsidRPr="007A6659">
        <w:rPr>
          <w:sz w:val="26"/>
          <w:szCs w:val="26"/>
        </w:rPr>
        <w:t>non-profit</w:t>
      </w:r>
      <w:r w:rsidRPr="007A6659">
        <w:rPr>
          <w:sz w:val="26"/>
          <w:szCs w:val="26"/>
        </w:rPr>
        <w:t xml:space="preserve"> </w:t>
      </w:r>
      <w:r w:rsidR="007A3C23" w:rsidRPr="007A6659">
        <w:rPr>
          <w:sz w:val="26"/>
          <w:szCs w:val="26"/>
        </w:rPr>
        <w:t>behavior</w:t>
      </w:r>
      <w:r w:rsidRPr="007A6659">
        <w:rPr>
          <w:sz w:val="26"/>
          <w:szCs w:val="26"/>
        </w:rPr>
        <w:t xml:space="preserve"> influence MNE </w:t>
      </w:r>
      <w:r w:rsidR="007A3C23" w:rsidRPr="007A6659">
        <w:rPr>
          <w:sz w:val="26"/>
          <w:szCs w:val="26"/>
        </w:rPr>
        <w:t>behavior</w:t>
      </w:r>
      <w:r w:rsidRPr="007A6659">
        <w:rPr>
          <w:sz w:val="26"/>
          <w:szCs w:val="26"/>
        </w:rPr>
        <w:t xml:space="preserve">. </w:t>
      </w:r>
      <w:r w:rsidR="00A045FF" w:rsidRPr="007A6659">
        <w:rPr>
          <w:sz w:val="26"/>
          <w:szCs w:val="26"/>
        </w:rPr>
        <w:t xml:space="preserve">Tantawi et al. (2009) found striking institutional similarities with respect to environmental issues between Egypt and developed nations, suggesting again that factors </w:t>
      </w:r>
      <w:r w:rsidR="00EC0F41" w:rsidRPr="007A6659">
        <w:rPr>
          <w:sz w:val="26"/>
          <w:szCs w:val="26"/>
        </w:rPr>
        <w:t xml:space="preserve">other </w:t>
      </w:r>
      <w:r w:rsidR="00A045FF" w:rsidRPr="007A6659">
        <w:rPr>
          <w:sz w:val="26"/>
          <w:szCs w:val="26"/>
        </w:rPr>
        <w:t xml:space="preserve">than </w:t>
      </w:r>
      <w:r w:rsidR="00EC0F41">
        <w:rPr>
          <w:sz w:val="26"/>
          <w:szCs w:val="26"/>
        </w:rPr>
        <w:t>‘</w:t>
      </w:r>
      <w:r w:rsidR="00A045FF" w:rsidRPr="007A6659">
        <w:rPr>
          <w:sz w:val="26"/>
          <w:szCs w:val="26"/>
        </w:rPr>
        <w:t>developedness</w:t>
      </w:r>
      <w:r w:rsidR="00EC0F41">
        <w:rPr>
          <w:sz w:val="26"/>
          <w:szCs w:val="26"/>
        </w:rPr>
        <w:t>’</w:t>
      </w:r>
      <w:r w:rsidR="00A045FF" w:rsidRPr="007A6659">
        <w:rPr>
          <w:sz w:val="26"/>
          <w:szCs w:val="26"/>
        </w:rPr>
        <w:t xml:space="preserve"> drive the applicability of institutional theory.</w:t>
      </w:r>
    </w:p>
    <w:p w14:paraId="3FEEA773" w14:textId="4B4A6EF3" w:rsidR="005B7147" w:rsidRPr="007A6659" w:rsidRDefault="005B7147" w:rsidP="00FF5068">
      <w:pPr>
        <w:spacing w:after="0" w:line="360" w:lineRule="exact"/>
        <w:ind w:firstLineChars="200" w:firstLine="520"/>
        <w:jc w:val="both"/>
        <w:rPr>
          <w:sz w:val="26"/>
          <w:szCs w:val="26"/>
        </w:rPr>
      </w:pPr>
      <w:r w:rsidRPr="007A6659">
        <w:rPr>
          <w:sz w:val="26"/>
          <w:szCs w:val="26"/>
        </w:rPr>
        <w:t>In the non-profit sector</w:t>
      </w:r>
      <w:r w:rsidR="00293369">
        <w:rPr>
          <w:sz w:val="26"/>
          <w:szCs w:val="26"/>
        </w:rPr>
        <w:t>,</w:t>
      </w:r>
      <w:r w:rsidRPr="007A6659">
        <w:rPr>
          <w:sz w:val="26"/>
          <w:szCs w:val="26"/>
        </w:rPr>
        <w:t xml:space="preserve"> van Leeuwen and Wiepking (2012) </w:t>
      </w:r>
      <w:r w:rsidR="00293369">
        <w:rPr>
          <w:sz w:val="26"/>
          <w:szCs w:val="26"/>
        </w:rPr>
        <w:t>observed</w:t>
      </w:r>
      <w:r w:rsidR="00293369" w:rsidRPr="007A6659">
        <w:rPr>
          <w:sz w:val="26"/>
          <w:szCs w:val="26"/>
        </w:rPr>
        <w:t xml:space="preserve"> </w:t>
      </w:r>
      <w:r w:rsidRPr="007A6659">
        <w:rPr>
          <w:sz w:val="26"/>
          <w:szCs w:val="26"/>
        </w:rPr>
        <w:t>cross-national diffe</w:t>
      </w:r>
      <w:r w:rsidR="003671A9" w:rsidRPr="007A6659">
        <w:rPr>
          <w:sz w:val="26"/>
          <w:szCs w:val="26"/>
        </w:rPr>
        <w:t>rences in campaign fundraising</w:t>
      </w:r>
      <w:r w:rsidRPr="007A6659">
        <w:rPr>
          <w:sz w:val="26"/>
          <w:szCs w:val="26"/>
        </w:rPr>
        <w:t xml:space="preserve"> consistent with specific national institutional characteristics</w:t>
      </w:r>
      <w:r w:rsidR="00293369">
        <w:rPr>
          <w:sz w:val="26"/>
          <w:szCs w:val="26"/>
        </w:rPr>
        <w:t>,</w:t>
      </w:r>
      <w:r w:rsidR="008C4062" w:rsidRPr="007A6659">
        <w:rPr>
          <w:sz w:val="26"/>
          <w:szCs w:val="26"/>
        </w:rPr>
        <w:t xml:space="preserve"> such as trust, state structure</w:t>
      </w:r>
      <w:r w:rsidR="00293369">
        <w:rPr>
          <w:sz w:val="26"/>
          <w:szCs w:val="26"/>
        </w:rPr>
        <w:t>,</w:t>
      </w:r>
      <w:r w:rsidR="008C4062" w:rsidRPr="007A6659">
        <w:rPr>
          <w:sz w:val="26"/>
          <w:szCs w:val="26"/>
        </w:rPr>
        <w:t xml:space="preserve"> and fundraising regulations</w:t>
      </w:r>
      <w:r w:rsidRPr="007A6659">
        <w:rPr>
          <w:sz w:val="26"/>
          <w:szCs w:val="26"/>
        </w:rPr>
        <w:t xml:space="preserve">. Bloodgood et al. (2013) </w:t>
      </w:r>
      <w:r w:rsidR="00293369">
        <w:rPr>
          <w:sz w:val="26"/>
          <w:szCs w:val="26"/>
        </w:rPr>
        <w:t>suggested that</w:t>
      </w:r>
      <w:r w:rsidR="00293369" w:rsidRPr="007A6659">
        <w:rPr>
          <w:sz w:val="26"/>
          <w:szCs w:val="26"/>
        </w:rPr>
        <w:t xml:space="preserve"> </w:t>
      </w:r>
      <w:r w:rsidRPr="007A6659">
        <w:rPr>
          <w:sz w:val="26"/>
          <w:szCs w:val="26"/>
        </w:rPr>
        <w:t xml:space="preserve">approaches to </w:t>
      </w:r>
      <w:r w:rsidR="001F7E10" w:rsidRPr="007A6659">
        <w:rPr>
          <w:sz w:val="26"/>
          <w:szCs w:val="26"/>
        </w:rPr>
        <w:t>non-profit</w:t>
      </w:r>
      <w:r w:rsidRPr="007A6659">
        <w:rPr>
          <w:sz w:val="26"/>
          <w:szCs w:val="26"/>
        </w:rPr>
        <w:t xml:space="preserve"> regulation differ across developed economies. </w:t>
      </w:r>
      <w:r w:rsidR="00097B10" w:rsidRPr="007A6659">
        <w:rPr>
          <w:sz w:val="26"/>
          <w:szCs w:val="26"/>
        </w:rPr>
        <w:t>Non-profits might not respond to regulations the same way as MNEs do, given that MNEs want access to markets while non-profits’ motivations are different (</w:t>
      </w:r>
      <w:r w:rsidR="00640FA7">
        <w:rPr>
          <w:sz w:val="26"/>
          <w:szCs w:val="26"/>
        </w:rPr>
        <w:t>Hull &amp; Lio, 2006</w:t>
      </w:r>
      <w:r w:rsidR="00097B10" w:rsidRPr="007A6659">
        <w:rPr>
          <w:sz w:val="26"/>
          <w:szCs w:val="26"/>
        </w:rPr>
        <w:t>)</w:t>
      </w:r>
      <w:r w:rsidR="008E7C56">
        <w:rPr>
          <w:sz w:val="26"/>
          <w:szCs w:val="26"/>
        </w:rPr>
        <w:t xml:space="preserve">. To </w:t>
      </w:r>
      <w:r w:rsidR="00097B10" w:rsidRPr="007A6659">
        <w:rPr>
          <w:sz w:val="26"/>
          <w:szCs w:val="26"/>
        </w:rPr>
        <w:t xml:space="preserve">the extent that the regulations are effective, non-profits that want to operate in a nation must respect the regulations that are enforced there. </w:t>
      </w:r>
      <w:r w:rsidRPr="007A6659">
        <w:rPr>
          <w:sz w:val="26"/>
          <w:szCs w:val="26"/>
        </w:rPr>
        <w:t>With respect to informal institutions, prosocial behavior</w:t>
      </w:r>
      <w:r w:rsidR="002564F0" w:rsidRPr="007A6659">
        <w:rPr>
          <w:sz w:val="26"/>
          <w:szCs w:val="26"/>
        </w:rPr>
        <w:t xml:space="preserve"> (voluntary behavior that benefits others or society as a whole)</w:t>
      </w:r>
      <w:r w:rsidRPr="007A6659">
        <w:rPr>
          <w:sz w:val="26"/>
          <w:szCs w:val="26"/>
        </w:rPr>
        <w:t xml:space="preserve"> varies along </w:t>
      </w:r>
      <w:r w:rsidR="002564F0" w:rsidRPr="007A6659">
        <w:rPr>
          <w:sz w:val="26"/>
          <w:szCs w:val="26"/>
        </w:rPr>
        <w:t xml:space="preserve">several </w:t>
      </w:r>
      <w:r w:rsidRPr="007A6659">
        <w:rPr>
          <w:sz w:val="26"/>
          <w:szCs w:val="26"/>
        </w:rPr>
        <w:t>cultural dimens</w:t>
      </w:r>
      <w:r w:rsidR="009723A6">
        <w:rPr>
          <w:sz w:val="26"/>
          <w:szCs w:val="26"/>
        </w:rPr>
        <w:t>ions (Luria, Cnaan</w:t>
      </w:r>
      <w:r w:rsidR="00557F8A">
        <w:rPr>
          <w:sz w:val="26"/>
          <w:szCs w:val="26"/>
        </w:rPr>
        <w:t>,</w:t>
      </w:r>
      <w:r w:rsidR="009723A6">
        <w:rPr>
          <w:sz w:val="26"/>
          <w:szCs w:val="26"/>
        </w:rPr>
        <w:t xml:space="preserve"> &amp; Boehm, 2015</w:t>
      </w:r>
      <w:r w:rsidRPr="007A6659">
        <w:rPr>
          <w:sz w:val="26"/>
          <w:szCs w:val="26"/>
        </w:rPr>
        <w:t>)</w:t>
      </w:r>
      <w:r w:rsidR="00557F8A">
        <w:rPr>
          <w:sz w:val="26"/>
          <w:szCs w:val="26"/>
        </w:rPr>
        <w:t>,</w:t>
      </w:r>
      <w:r w:rsidRPr="007A6659">
        <w:rPr>
          <w:sz w:val="26"/>
          <w:szCs w:val="26"/>
        </w:rPr>
        <w:t xml:space="preserve"> which suggests</w:t>
      </w:r>
      <w:r w:rsidR="00557F8A">
        <w:rPr>
          <w:sz w:val="26"/>
          <w:szCs w:val="26"/>
        </w:rPr>
        <w:t xml:space="preserve"> that</w:t>
      </w:r>
      <w:r w:rsidRPr="007A6659">
        <w:rPr>
          <w:sz w:val="26"/>
          <w:szCs w:val="26"/>
        </w:rPr>
        <w:t xml:space="preserve"> a potentially similar result might </w:t>
      </w:r>
      <w:r w:rsidR="00557F8A">
        <w:rPr>
          <w:sz w:val="26"/>
          <w:szCs w:val="26"/>
        </w:rPr>
        <w:t>emerge</w:t>
      </w:r>
      <w:r w:rsidR="00557F8A" w:rsidRPr="007A6659">
        <w:rPr>
          <w:sz w:val="26"/>
          <w:szCs w:val="26"/>
        </w:rPr>
        <w:t xml:space="preserve"> </w:t>
      </w:r>
      <w:r w:rsidRPr="007A6659">
        <w:rPr>
          <w:sz w:val="26"/>
          <w:szCs w:val="26"/>
        </w:rPr>
        <w:t xml:space="preserve">for </w:t>
      </w:r>
      <w:r w:rsidR="001F7E10" w:rsidRPr="007A6659">
        <w:rPr>
          <w:sz w:val="26"/>
          <w:szCs w:val="26"/>
        </w:rPr>
        <w:t>non-profit</w:t>
      </w:r>
      <w:r w:rsidR="002564F0" w:rsidRPr="007A6659">
        <w:rPr>
          <w:sz w:val="26"/>
          <w:szCs w:val="26"/>
        </w:rPr>
        <w:t>s, which are</w:t>
      </w:r>
      <w:r w:rsidR="00732602">
        <w:rPr>
          <w:sz w:val="26"/>
          <w:szCs w:val="26"/>
        </w:rPr>
        <w:t>,</w:t>
      </w:r>
      <w:r w:rsidR="002564F0" w:rsidRPr="007A6659">
        <w:rPr>
          <w:sz w:val="26"/>
          <w:szCs w:val="26"/>
        </w:rPr>
        <w:t xml:space="preserve"> at least in theory</w:t>
      </w:r>
      <w:r w:rsidR="00732602">
        <w:rPr>
          <w:sz w:val="26"/>
          <w:szCs w:val="26"/>
        </w:rPr>
        <w:t>,</w:t>
      </w:r>
      <w:r w:rsidR="002564F0" w:rsidRPr="007A6659">
        <w:rPr>
          <w:sz w:val="26"/>
          <w:szCs w:val="26"/>
        </w:rPr>
        <w:t xml:space="preserve"> embodiments of prosocial behavior</w:t>
      </w:r>
      <w:r w:rsidRPr="007A6659">
        <w:rPr>
          <w:sz w:val="26"/>
          <w:szCs w:val="26"/>
        </w:rPr>
        <w:t>. Consistent with</w:t>
      </w:r>
      <w:r w:rsidR="008C4062" w:rsidRPr="007A6659">
        <w:rPr>
          <w:sz w:val="26"/>
          <w:szCs w:val="26"/>
        </w:rPr>
        <w:t xml:space="preserve"> </w:t>
      </w:r>
      <w:r w:rsidR="00640FA7">
        <w:rPr>
          <w:sz w:val="26"/>
          <w:szCs w:val="26"/>
        </w:rPr>
        <w:t xml:space="preserve">Hull and Luxmore </w:t>
      </w:r>
      <w:r w:rsidR="007E3AF8">
        <w:rPr>
          <w:sz w:val="26"/>
          <w:szCs w:val="26"/>
        </w:rPr>
        <w:t xml:space="preserve">(2007), </w:t>
      </w:r>
      <w:r w:rsidR="008C4062" w:rsidRPr="007A6659">
        <w:rPr>
          <w:sz w:val="26"/>
          <w:szCs w:val="26"/>
        </w:rPr>
        <w:t>Isaac and Kerr (2003), Peng (2002, 2003)</w:t>
      </w:r>
      <w:r w:rsidR="00732602">
        <w:rPr>
          <w:sz w:val="26"/>
          <w:szCs w:val="26"/>
        </w:rPr>
        <w:t>,</w:t>
      </w:r>
      <w:r w:rsidR="008C4062" w:rsidRPr="007A6659">
        <w:rPr>
          <w:sz w:val="26"/>
          <w:szCs w:val="26"/>
        </w:rPr>
        <w:t xml:space="preserve"> and Peng et al. (2009)</w:t>
      </w:r>
      <w:r w:rsidRPr="007A6659">
        <w:rPr>
          <w:sz w:val="26"/>
          <w:szCs w:val="26"/>
        </w:rPr>
        <w:t xml:space="preserve"> </w:t>
      </w:r>
      <w:r w:rsidR="008C4062" w:rsidRPr="007A6659">
        <w:rPr>
          <w:sz w:val="26"/>
          <w:szCs w:val="26"/>
        </w:rPr>
        <w:t xml:space="preserve">who </w:t>
      </w:r>
      <w:r w:rsidR="00732602">
        <w:rPr>
          <w:sz w:val="26"/>
          <w:szCs w:val="26"/>
        </w:rPr>
        <w:t>found that</w:t>
      </w:r>
      <w:r w:rsidR="00732602" w:rsidRPr="007A6659">
        <w:rPr>
          <w:sz w:val="26"/>
          <w:szCs w:val="26"/>
        </w:rPr>
        <w:t xml:space="preserve"> </w:t>
      </w:r>
      <w:r w:rsidRPr="007A6659">
        <w:rPr>
          <w:sz w:val="26"/>
          <w:szCs w:val="26"/>
        </w:rPr>
        <w:t>institutions affect strategic choices</w:t>
      </w:r>
      <w:r w:rsidR="00732602">
        <w:rPr>
          <w:sz w:val="26"/>
          <w:szCs w:val="26"/>
        </w:rPr>
        <w:t>,</w:t>
      </w:r>
      <w:r w:rsidRPr="007A6659">
        <w:rPr>
          <w:sz w:val="26"/>
          <w:szCs w:val="26"/>
        </w:rPr>
        <w:t xml:space="preserve"> such as resource allocation, we expect</w:t>
      </w:r>
      <w:r w:rsidR="00732602">
        <w:rPr>
          <w:sz w:val="26"/>
          <w:szCs w:val="26"/>
        </w:rPr>
        <w:t>ed</w:t>
      </w:r>
      <w:r w:rsidRPr="007A6659">
        <w:rPr>
          <w:sz w:val="26"/>
          <w:szCs w:val="26"/>
        </w:rPr>
        <w:t xml:space="preserve"> to find significant differences </w:t>
      </w:r>
      <w:r w:rsidR="008D3730" w:rsidRPr="007A6659">
        <w:rPr>
          <w:sz w:val="26"/>
          <w:szCs w:val="26"/>
        </w:rPr>
        <w:t>in resource allocation to anti-</w:t>
      </w:r>
      <w:r w:rsidR="008C4062" w:rsidRPr="007A6659">
        <w:rPr>
          <w:sz w:val="26"/>
          <w:szCs w:val="26"/>
        </w:rPr>
        <w:t xml:space="preserve">GM campaigns </w:t>
      </w:r>
      <w:r w:rsidR="008D3730" w:rsidRPr="007A6659">
        <w:rPr>
          <w:sz w:val="26"/>
          <w:szCs w:val="26"/>
        </w:rPr>
        <w:t xml:space="preserve">of </w:t>
      </w:r>
      <w:r w:rsidRPr="007A6659">
        <w:rPr>
          <w:sz w:val="26"/>
          <w:szCs w:val="26"/>
        </w:rPr>
        <w:t xml:space="preserve">the US national units and the two Greenpeace national units in the European Union. </w:t>
      </w:r>
    </w:p>
    <w:p w14:paraId="419AC988" w14:textId="507941BE" w:rsidR="005B7147" w:rsidRPr="007A6659" w:rsidRDefault="005B7147" w:rsidP="00720CF3">
      <w:pPr>
        <w:spacing w:after="0" w:line="360" w:lineRule="exact"/>
        <w:ind w:firstLineChars="200" w:firstLine="520"/>
        <w:jc w:val="both"/>
        <w:rPr>
          <w:sz w:val="26"/>
          <w:szCs w:val="26"/>
        </w:rPr>
      </w:pPr>
      <w:r w:rsidRPr="007A6659">
        <w:rPr>
          <w:sz w:val="26"/>
          <w:szCs w:val="26"/>
        </w:rPr>
        <w:t xml:space="preserve">France and Spain may, by virtue of being in the EU, share similar formal institutions. </w:t>
      </w:r>
      <w:r w:rsidR="00732602">
        <w:rPr>
          <w:sz w:val="26"/>
          <w:szCs w:val="26"/>
        </w:rPr>
        <w:t>However</w:t>
      </w:r>
      <w:r w:rsidR="006279CD" w:rsidRPr="007A6659">
        <w:rPr>
          <w:sz w:val="26"/>
          <w:szCs w:val="26"/>
        </w:rPr>
        <w:t>,</w:t>
      </w:r>
      <w:r w:rsidRPr="007A6659">
        <w:rPr>
          <w:sz w:val="26"/>
          <w:szCs w:val="26"/>
        </w:rPr>
        <w:t xml:space="preserve"> </w:t>
      </w:r>
      <w:r w:rsidR="005A3928" w:rsidRPr="007A6659">
        <w:rPr>
          <w:sz w:val="26"/>
          <w:szCs w:val="26"/>
        </w:rPr>
        <w:t xml:space="preserve">as discussed in the next section, </w:t>
      </w:r>
      <w:r w:rsidRPr="007A6659">
        <w:rPr>
          <w:sz w:val="26"/>
          <w:szCs w:val="26"/>
        </w:rPr>
        <w:t xml:space="preserve">they are culturally different, </w:t>
      </w:r>
      <w:r w:rsidR="005A3928" w:rsidRPr="007A6659">
        <w:rPr>
          <w:sz w:val="26"/>
          <w:szCs w:val="26"/>
        </w:rPr>
        <w:t xml:space="preserve">and </w:t>
      </w:r>
      <w:r w:rsidR="00732602">
        <w:rPr>
          <w:sz w:val="26"/>
          <w:szCs w:val="26"/>
        </w:rPr>
        <w:t>as such, they</w:t>
      </w:r>
      <w:r w:rsidR="00732602" w:rsidRPr="007A6659">
        <w:rPr>
          <w:sz w:val="26"/>
          <w:szCs w:val="26"/>
        </w:rPr>
        <w:t xml:space="preserve"> </w:t>
      </w:r>
      <w:r w:rsidRPr="007A6659">
        <w:rPr>
          <w:sz w:val="26"/>
          <w:szCs w:val="26"/>
        </w:rPr>
        <w:t>have different informal institutional environments</w:t>
      </w:r>
      <w:r w:rsidR="005A3928" w:rsidRPr="007A6659">
        <w:rPr>
          <w:sz w:val="26"/>
          <w:szCs w:val="26"/>
        </w:rPr>
        <w:t>, specifically</w:t>
      </w:r>
      <w:r w:rsidR="004D7944" w:rsidRPr="007A6659">
        <w:rPr>
          <w:sz w:val="26"/>
          <w:szCs w:val="26"/>
        </w:rPr>
        <w:t xml:space="preserve"> </w:t>
      </w:r>
      <w:r w:rsidR="005A3928" w:rsidRPr="007A6659">
        <w:rPr>
          <w:sz w:val="26"/>
          <w:szCs w:val="26"/>
        </w:rPr>
        <w:t>with respect to GMOs</w:t>
      </w:r>
      <w:r w:rsidRPr="007A6659">
        <w:rPr>
          <w:sz w:val="26"/>
          <w:szCs w:val="26"/>
        </w:rPr>
        <w:t>. We thus expect</w:t>
      </w:r>
      <w:r w:rsidR="00732602">
        <w:rPr>
          <w:sz w:val="26"/>
          <w:szCs w:val="26"/>
        </w:rPr>
        <w:t>ed</w:t>
      </w:r>
      <w:r w:rsidRPr="007A6659">
        <w:rPr>
          <w:sz w:val="26"/>
          <w:szCs w:val="26"/>
        </w:rPr>
        <w:t xml:space="preserve"> to find significant resource allocation differences between the national units in France and Spain. We present our specific </w:t>
      </w:r>
      <w:r w:rsidR="003A5790" w:rsidRPr="007A6659">
        <w:rPr>
          <w:sz w:val="26"/>
          <w:szCs w:val="26"/>
        </w:rPr>
        <w:t>predictions</w:t>
      </w:r>
      <w:r w:rsidRPr="007A6659">
        <w:rPr>
          <w:sz w:val="26"/>
          <w:szCs w:val="26"/>
        </w:rPr>
        <w:t xml:space="preserve"> in the context of the formal and informal institutional environments.</w:t>
      </w:r>
    </w:p>
    <w:p w14:paraId="6A324FAE" w14:textId="77777777" w:rsidR="005B7147" w:rsidRPr="007A6659" w:rsidRDefault="005B7147" w:rsidP="00294F29">
      <w:pPr>
        <w:spacing w:after="0" w:line="240" w:lineRule="auto"/>
        <w:rPr>
          <w:b/>
          <w:sz w:val="26"/>
          <w:szCs w:val="26"/>
        </w:rPr>
      </w:pPr>
    </w:p>
    <w:p w14:paraId="2727A7EB" w14:textId="79017AAB" w:rsidR="005B7147" w:rsidRPr="00255029" w:rsidRDefault="00736938" w:rsidP="00FF5068">
      <w:pPr>
        <w:spacing w:after="0" w:line="240" w:lineRule="auto"/>
        <w:outlineLvl w:val="1"/>
        <w:rPr>
          <w:b/>
          <w:sz w:val="26"/>
          <w:szCs w:val="26"/>
        </w:rPr>
      </w:pPr>
      <w:r w:rsidRPr="00255029">
        <w:rPr>
          <w:b/>
          <w:sz w:val="26"/>
          <w:szCs w:val="26"/>
        </w:rPr>
        <w:t xml:space="preserve">Formal </w:t>
      </w:r>
      <w:r w:rsidR="00846140" w:rsidRPr="00255029">
        <w:rPr>
          <w:b/>
          <w:sz w:val="26"/>
          <w:szCs w:val="26"/>
        </w:rPr>
        <w:t>Institutional Pressures</w:t>
      </w:r>
    </w:p>
    <w:p w14:paraId="3761B6D1" w14:textId="4F5E0A5E" w:rsidR="005B7147" w:rsidRPr="007A6659" w:rsidRDefault="005B7147" w:rsidP="00FF5068">
      <w:pPr>
        <w:spacing w:after="0" w:line="360" w:lineRule="exact"/>
        <w:ind w:firstLineChars="200" w:firstLine="520"/>
        <w:jc w:val="both"/>
        <w:rPr>
          <w:sz w:val="26"/>
          <w:szCs w:val="26"/>
        </w:rPr>
      </w:pPr>
      <w:r w:rsidRPr="007A6659">
        <w:rPr>
          <w:sz w:val="26"/>
          <w:szCs w:val="26"/>
        </w:rPr>
        <w:t>The risk assessment and management process is the primary formal institutional consideration for GM crops. The original approach in both the US and the EU was intended to emphasize science-based consideration in regulatory decisions concerning advanced technologically developed products and to diminish the role of non-scientific aspects of the process (Isaac &amp; Kerr, 2003). This approach aimed to decouple regulatory decisions from politics, creating a transparent and consistent decision process. Isaac and Kerr (2003) identif</w:t>
      </w:r>
      <w:r w:rsidR="00427019">
        <w:rPr>
          <w:sz w:val="26"/>
          <w:szCs w:val="26"/>
        </w:rPr>
        <w:t>ied</w:t>
      </w:r>
      <w:r w:rsidRPr="007A6659">
        <w:rPr>
          <w:sz w:val="26"/>
          <w:szCs w:val="26"/>
        </w:rPr>
        <w:t xml:space="preserve"> this approach as the scientific rationality perspective. The science behind the scientific rationality perspective has been questioned, however (Séralini et al., 2009), leading us to wonder </w:t>
      </w:r>
      <w:r w:rsidR="00427019">
        <w:rPr>
          <w:sz w:val="26"/>
          <w:szCs w:val="26"/>
        </w:rPr>
        <w:t>whether</w:t>
      </w:r>
      <w:r w:rsidR="00427019" w:rsidRPr="007A6659">
        <w:rPr>
          <w:sz w:val="26"/>
          <w:szCs w:val="26"/>
        </w:rPr>
        <w:t xml:space="preserve"> </w:t>
      </w:r>
      <w:r w:rsidRPr="007A6659">
        <w:rPr>
          <w:sz w:val="26"/>
          <w:szCs w:val="26"/>
        </w:rPr>
        <w:t xml:space="preserve">the perspective should be </w:t>
      </w:r>
      <w:r w:rsidR="00427019">
        <w:rPr>
          <w:sz w:val="26"/>
          <w:szCs w:val="26"/>
        </w:rPr>
        <w:t>labeled as</w:t>
      </w:r>
      <w:r w:rsidR="00427019" w:rsidRPr="007A6659">
        <w:rPr>
          <w:sz w:val="26"/>
          <w:szCs w:val="26"/>
        </w:rPr>
        <w:t xml:space="preserve"> </w:t>
      </w:r>
      <w:r w:rsidRPr="007A6659">
        <w:rPr>
          <w:sz w:val="26"/>
          <w:szCs w:val="26"/>
        </w:rPr>
        <w:t>the “financial rationality perspective</w:t>
      </w:r>
      <w:r w:rsidR="00427019">
        <w:rPr>
          <w:sz w:val="26"/>
          <w:szCs w:val="26"/>
        </w:rPr>
        <w:t>.</w:t>
      </w:r>
      <w:r w:rsidRPr="007A6659">
        <w:rPr>
          <w:sz w:val="26"/>
          <w:szCs w:val="26"/>
        </w:rPr>
        <w:t xml:space="preserve">” </w:t>
      </w:r>
    </w:p>
    <w:p w14:paraId="3AAF3E9A" w14:textId="6F2B3D44" w:rsidR="005B7147" w:rsidRPr="007A6659" w:rsidRDefault="005B7147" w:rsidP="00FF5068">
      <w:pPr>
        <w:spacing w:after="0" w:line="360" w:lineRule="exact"/>
        <w:ind w:firstLineChars="200" w:firstLine="520"/>
        <w:jc w:val="both"/>
        <w:rPr>
          <w:sz w:val="26"/>
          <w:szCs w:val="26"/>
        </w:rPr>
      </w:pPr>
      <w:r w:rsidRPr="007A6659">
        <w:rPr>
          <w:sz w:val="26"/>
          <w:szCs w:val="26"/>
        </w:rPr>
        <w:t>Soule’s (2003) study of the introduction of GMs in agribusiness and Kysar’s (2004) analysis of genetic engineering processes provide a comprehensive description of the formal institutional framework in the US. Three government units—the FDA, the EPA and the Department of Agriculture—are responsible for the administration of the regulatory process policy developed under the Reagan administration (Kysar, 2004; Saigo, 2000). The EPA assesses environmental risks, the FDA evaluates GMs for human consumption, and the Department of Agriculture assesses GMs in agricultural production (</w:t>
      </w:r>
      <w:r w:rsidR="001944B4">
        <w:rPr>
          <w:sz w:val="26"/>
          <w:szCs w:val="26"/>
        </w:rPr>
        <w:t xml:space="preserve">Hiatt </w:t>
      </w:r>
      <w:r w:rsidR="00BA074B">
        <w:rPr>
          <w:sz w:val="26"/>
          <w:szCs w:val="26"/>
        </w:rPr>
        <w:t xml:space="preserve">&amp; </w:t>
      </w:r>
      <w:r w:rsidR="001944B4">
        <w:rPr>
          <w:sz w:val="26"/>
          <w:szCs w:val="26"/>
        </w:rPr>
        <w:t xml:space="preserve">Park, 2012; </w:t>
      </w:r>
      <w:r w:rsidRPr="007A6659">
        <w:rPr>
          <w:sz w:val="26"/>
          <w:szCs w:val="26"/>
        </w:rPr>
        <w:t xml:space="preserve">Kysar, 2004). Soule (2003) </w:t>
      </w:r>
      <w:r w:rsidR="00BA074B" w:rsidRPr="007A6659">
        <w:rPr>
          <w:sz w:val="26"/>
          <w:szCs w:val="26"/>
        </w:rPr>
        <w:t>emphasize</w:t>
      </w:r>
      <w:r w:rsidR="00BA074B">
        <w:rPr>
          <w:sz w:val="26"/>
          <w:szCs w:val="26"/>
        </w:rPr>
        <w:t>d</w:t>
      </w:r>
      <w:r w:rsidR="00BA074B" w:rsidRPr="007A6659">
        <w:rPr>
          <w:sz w:val="26"/>
          <w:szCs w:val="26"/>
        </w:rPr>
        <w:t xml:space="preserve"> </w:t>
      </w:r>
      <w:r w:rsidRPr="007A6659">
        <w:rPr>
          <w:sz w:val="26"/>
          <w:szCs w:val="26"/>
        </w:rPr>
        <w:t>the rigor of the oversight of the framework and the analysis of environmental risk and human health concerns. However, both the administration of the standards (Kysar, 2004; Séralini et al., 2009) and scientific rationality itself (</w:t>
      </w:r>
      <w:r w:rsidR="00640FA7">
        <w:rPr>
          <w:sz w:val="26"/>
          <w:szCs w:val="26"/>
        </w:rPr>
        <w:t>Hull &amp; Luxmore, 2007</w:t>
      </w:r>
      <w:r w:rsidRPr="007A6659">
        <w:rPr>
          <w:sz w:val="26"/>
          <w:szCs w:val="26"/>
        </w:rPr>
        <w:t xml:space="preserve">) have been criticized. </w:t>
      </w:r>
    </w:p>
    <w:p w14:paraId="70016924" w14:textId="5066AAF2" w:rsidR="005B7147" w:rsidRPr="007A6659" w:rsidRDefault="005B7147" w:rsidP="00FF5068">
      <w:pPr>
        <w:spacing w:after="0" w:line="360" w:lineRule="exact"/>
        <w:ind w:firstLineChars="200" w:firstLine="520"/>
        <w:jc w:val="both"/>
        <w:rPr>
          <w:sz w:val="26"/>
          <w:szCs w:val="26"/>
        </w:rPr>
      </w:pPr>
      <w:r w:rsidRPr="007A6659">
        <w:rPr>
          <w:sz w:val="26"/>
          <w:szCs w:val="26"/>
        </w:rPr>
        <w:t>The US has used the scientific rationality approach consistently. This approach has several implications</w:t>
      </w:r>
      <w:r w:rsidR="00BA074B">
        <w:rPr>
          <w:sz w:val="26"/>
          <w:szCs w:val="26"/>
        </w:rPr>
        <w:t>,</w:t>
      </w:r>
      <w:r w:rsidRPr="007A6659">
        <w:rPr>
          <w:sz w:val="26"/>
          <w:szCs w:val="26"/>
        </w:rPr>
        <w:t xml:space="preserve"> including the primacy of technological progress; recognition of risk, including hypothetical but not speculative risk; acceptance of substantial equivalency of the product (emphasizing the outcome/product over the process or technology); </w:t>
      </w:r>
      <w:r w:rsidR="00BA074B">
        <w:rPr>
          <w:sz w:val="26"/>
          <w:szCs w:val="26"/>
        </w:rPr>
        <w:t>minimization</w:t>
      </w:r>
      <w:r w:rsidRPr="007A6659">
        <w:rPr>
          <w:sz w:val="26"/>
          <w:szCs w:val="26"/>
        </w:rPr>
        <w:t xml:space="preserve"> rather than </w:t>
      </w:r>
      <w:r w:rsidR="00BA074B" w:rsidRPr="007A6659">
        <w:rPr>
          <w:sz w:val="26"/>
          <w:szCs w:val="26"/>
        </w:rPr>
        <w:t>eliminat</w:t>
      </w:r>
      <w:r w:rsidR="00BA074B">
        <w:rPr>
          <w:sz w:val="26"/>
          <w:szCs w:val="26"/>
        </w:rPr>
        <w:t>ion of</w:t>
      </w:r>
      <w:r w:rsidR="00BA074B" w:rsidRPr="007A6659">
        <w:rPr>
          <w:sz w:val="26"/>
          <w:szCs w:val="26"/>
        </w:rPr>
        <w:t xml:space="preserve"> </w:t>
      </w:r>
      <w:r w:rsidRPr="007A6659">
        <w:rPr>
          <w:sz w:val="26"/>
          <w:szCs w:val="26"/>
        </w:rPr>
        <w:t xml:space="preserve">risk; and a scientific rather than a social interpretation of the precautionary principle (Isaac &amp; Kerr, 2003). Kysar (2004) </w:t>
      </w:r>
      <w:r w:rsidR="00BA074B" w:rsidRPr="007A6659">
        <w:rPr>
          <w:sz w:val="26"/>
          <w:szCs w:val="26"/>
        </w:rPr>
        <w:t>elaborate</w:t>
      </w:r>
      <w:r w:rsidR="00BA074B">
        <w:rPr>
          <w:sz w:val="26"/>
          <w:szCs w:val="26"/>
        </w:rPr>
        <w:t>d</w:t>
      </w:r>
      <w:r w:rsidR="00BA074B" w:rsidRPr="007A6659">
        <w:rPr>
          <w:sz w:val="26"/>
          <w:szCs w:val="26"/>
        </w:rPr>
        <w:t xml:space="preserve"> </w:t>
      </w:r>
      <w:r w:rsidR="00BA074B">
        <w:rPr>
          <w:sz w:val="26"/>
          <w:szCs w:val="26"/>
        </w:rPr>
        <w:t xml:space="preserve">on </w:t>
      </w:r>
      <w:r w:rsidRPr="007A6659">
        <w:rPr>
          <w:sz w:val="26"/>
          <w:szCs w:val="26"/>
        </w:rPr>
        <w:t>the precautionary principle and substantial equivalence</w:t>
      </w:r>
      <w:r w:rsidR="00BA074B">
        <w:rPr>
          <w:sz w:val="26"/>
          <w:szCs w:val="26"/>
        </w:rPr>
        <w:t xml:space="preserve">, claiming that the </w:t>
      </w:r>
      <w:r w:rsidRPr="007A6659">
        <w:rPr>
          <w:sz w:val="26"/>
          <w:szCs w:val="26"/>
        </w:rPr>
        <w:t xml:space="preserve">precautionary principle is invoked to consider environmental and health risk in advance of knowing the magnitude of the risk or evidence of harm done. </w:t>
      </w:r>
      <w:r w:rsidR="00BA074B">
        <w:rPr>
          <w:sz w:val="26"/>
          <w:szCs w:val="26"/>
        </w:rPr>
        <w:t>On the other hand, the</w:t>
      </w:r>
      <w:r w:rsidR="00BA074B" w:rsidRPr="007A6659">
        <w:rPr>
          <w:sz w:val="26"/>
          <w:szCs w:val="26"/>
        </w:rPr>
        <w:t xml:space="preserve"> </w:t>
      </w:r>
      <w:r w:rsidRPr="007A6659">
        <w:rPr>
          <w:sz w:val="26"/>
          <w:szCs w:val="26"/>
        </w:rPr>
        <w:t xml:space="preserve">substantial equivalence aspect of the process assesses the equivalence of the ‘composition and other tangible characteristics of the modified organism and its conventional counterparts’ without </w:t>
      </w:r>
      <w:r w:rsidR="00BA074B">
        <w:rPr>
          <w:sz w:val="26"/>
          <w:szCs w:val="26"/>
        </w:rPr>
        <w:t>considering</w:t>
      </w:r>
      <w:r w:rsidRPr="007A6659">
        <w:rPr>
          <w:sz w:val="26"/>
          <w:szCs w:val="26"/>
        </w:rPr>
        <w:t xml:space="preserve"> the genetic modification process (Kysar, 2004: 557). Isaac et al. (2004) </w:t>
      </w:r>
      <w:r w:rsidR="00BA074B" w:rsidRPr="007A6659">
        <w:rPr>
          <w:sz w:val="26"/>
          <w:szCs w:val="26"/>
        </w:rPr>
        <w:t>identif</w:t>
      </w:r>
      <w:r w:rsidR="00BA074B">
        <w:rPr>
          <w:sz w:val="26"/>
          <w:szCs w:val="26"/>
        </w:rPr>
        <w:t>ied</w:t>
      </w:r>
      <w:r w:rsidR="00BA074B" w:rsidRPr="007A6659">
        <w:rPr>
          <w:sz w:val="26"/>
          <w:szCs w:val="26"/>
        </w:rPr>
        <w:t xml:space="preserve"> </w:t>
      </w:r>
      <w:r w:rsidRPr="007A6659">
        <w:rPr>
          <w:sz w:val="26"/>
          <w:szCs w:val="26"/>
        </w:rPr>
        <w:t>human health</w:t>
      </w:r>
      <w:r w:rsidR="00BA074B">
        <w:rPr>
          <w:sz w:val="26"/>
          <w:szCs w:val="26"/>
        </w:rPr>
        <w:t xml:space="preserve">, </w:t>
      </w:r>
      <w:r w:rsidRPr="007A6659">
        <w:rPr>
          <w:sz w:val="26"/>
          <w:szCs w:val="26"/>
        </w:rPr>
        <w:t>safety</w:t>
      </w:r>
      <w:r w:rsidR="00BA074B">
        <w:rPr>
          <w:sz w:val="26"/>
          <w:szCs w:val="26"/>
        </w:rPr>
        <w:t>,</w:t>
      </w:r>
      <w:r w:rsidRPr="007A6659">
        <w:rPr>
          <w:sz w:val="26"/>
          <w:szCs w:val="26"/>
        </w:rPr>
        <w:t xml:space="preserve"> and biodiversity as the determining regulatory factors in the scientific rationality philosophy, excluding moral and economic concerns. However, Séralini et al. (2009) note</w:t>
      </w:r>
      <w:r w:rsidR="00BA074B">
        <w:rPr>
          <w:sz w:val="26"/>
          <w:szCs w:val="26"/>
        </w:rPr>
        <w:t>d</w:t>
      </w:r>
      <w:r w:rsidRPr="007A6659">
        <w:rPr>
          <w:sz w:val="26"/>
          <w:szCs w:val="26"/>
        </w:rPr>
        <w:t xml:space="preserve"> that the science </w:t>
      </w:r>
      <w:r w:rsidR="00BA074B">
        <w:rPr>
          <w:sz w:val="26"/>
          <w:szCs w:val="26"/>
        </w:rPr>
        <w:t xml:space="preserve">based </w:t>
      </w:r>
      <w:r w:rsidRPr="007A6659">
        <w:rPr>
          <w:sz w:val="26"/>
          <w:szCs w:val="26"/>
        </w:rPr>
        <w:t xml:space="preserve">on which decisions permitting GMOs to move forward </w:t>
      </w:r>
      <w:r w:rsidR="00BA074B">
        <w:rPr>
          <w:sz w:val="26"/>
          <w:szCs w:val="26"/>
        </w:rPr>
        <w:t>were made</w:t>
      </w:r>
      <w:r w:rsidRPr="007A6659">
        <w:rPr>
          <w:sz w:val="26"/>
          <w:szCs w:val="26"/>
        </w:rPr>
        <w:t xml:space="preserve"> was highly questionable</w:t>
      </w:r>
      <w:r w:rsidR="00BA074B">
        <w:rPr>
          <w:sz w:val="26"/>
          <w:szCs w:val="26"/>
        </w:rPr>
        <w:t xml:space="preserve"> and obscured</w:t>
      </w:r>
      <w:r w:rsidRPr="007A6659">
        <w:rPr>
          <w:sz w:val="26"/>
          <w:szCs w:val="26"/>
        </w:rPr>
        <w:t xml:space="preserve"> from the public until years after the decisions were made.</w:t>
      </w:r>
      <w:r w:rsidR="001F3AEE">
        <w:rPr>
          <w:sz w:val="26"/>
          <w:szCs w:val="26"/>
        </w:rPr>
        <w:t xml:space="preserve"> </w:t>
      </w:r>
      <w:r w:rsidR="00E802C8">
        <w:rPr>
          <w:sz w:val="26"/>
          <w:szCs w:val="26"/>
        </w:rPr>
        <w:t>In</w:t>
      </w:r>
      <w:r w:rsidR="001944B4">
        <w:rPr>
          <w:sz w:val="26"/>
          <w:szCs w:val="26"/>
        </w:rPr>
        <w:t xml:space="preserve"> the US, the farm industry </w:t>
      </w:r>
      <w:r w:rsidR="00BA074B">
        <w:rPr>
          <w:sz w:val="26"/>
          <w:szCs w:val="26"/>
        </w:rPr>
        <w:t xml:space="preserve">has </w:t>
      </w:r>
      <w:r w:rsidR="001944B4">
        <w:rPr>
          <w:sz w:val="26"/>
          <w:szCs w:val="26"/>
        </w:rPr>
        <w:t xml:space="preserve">considerable </w:t>
      </w:r>
      <w:r w:rsidR="00BA074B">
        <w:rPr>
          <w:sz w:val="26"/>
          <w:szCs w:val="26"/>
        </w:rPr>
        <w:t xml:space="preserve">influence </w:t>
      </w:r>
      <w:r w:rsidR="001944B4">
        <w:rPr>
          <w:sz w:val="26"/>
          <w:szCs w:val="26"/>
        </w:rPr>
        <w:t xml:space="preserve">over the approval process at the Department of Agriculture, </w:t>
      </w:r>
      <w:r w:rsidR="00E802C8">
        <w:rPr>
          <w:sz w:val="26"/>
          <w:szCs w:val="26"/>
        </w:rPr>
        <w:t>and this power increases significantly in the face of pressure from NGOs</w:t>
      </w:r>
      <w:r w:rsidR="00BA074B">
        <w:rPr>
          <w:sz w:val="26"/>
          <w:szCs w:val="26"/>
        </w:rPr>
        <w:t>,</w:t>
      </w:r>
      <w:r w:rsidR="00E802C8">
        <w:rPr>
          <w:sz w:val="26"/>
          <w:szCs w:val="26"/>
        </w:rPr>
        <w:t xml:space="preserve"> such as Gree</w:t>
      </w:r>
      <w:r w:rsidR="005F5EFB">
        <w:rPr>
          <w:sz w:val="26"/>
          <w:szCs w:val="26"/>
        </w:rPr>
        <w:t xml:space="preserve">npeace (Hiatt </w:t>
      </w:r>
      <w:r w:rsidR="00BA074B">
        <w:rPr>
          <w:sz w:val="26"/>
          <w:szCs w:val="26"/>
        </w:rPr>
        <w:t xml:space="preserve">&amp; </w:t>
      </w:r>
      <w:r w:rsidR="005F5EFB">
        <w:rPr>
          <w:sz w:val="26"/>
          <w:szCs w:val="26"/>
        </w:rPr>
        <w:t>Park, 2012).</w:t>
      </w:r>
      <w:r w:rsidR="00F505E0">
        <w:rPr>
          <w:sz w:val="26"/>
          <w:szCs w:val="26"/>
        </w:rPr>
        <w:t xml:space="preserve"> Thus, again, it could be argued that the “scientific rationality” approach is actually the rationality of entrenched business interests rationally pursuing their own financial interests, regardless of either scientific or social </w:t>
      </w:r>
      <w:r w:rsidR="00980D41">
        <w:rPr>
          <w:sz w:val="26"/>
          <w:szCs w:val="26"/>
        </w:rPr>
        <w:t>merits.</w:t>
      </w:r>
    </w:p>
    <w:p w14:paraId="012B8A0F" w14:textId="0AC3351C" w:rsidR="005B7147" w:rsidRPr="007A6659" w:rsidRDefault="005B7147" w:rsidP="00FF5068">
      <w:pPr>
        <w:spacing w:after="0" w:line="360" w:lineRule="exact"/>
        <w:ind w:firstLineChars="200" w:firstLine="520"/>
        <w:jc w:val="both"/>
        <w:rPr>
          <w:sz w:val="26"/>
          <w:szCs w:val="26"/>
        </w:rPr>
      </w:pPr>
      <w:r w:rsidRPr="007A6659">
        <w:rPr>
          <w:sz w:val="26"/>
          <w:szCs w:val="26"/>
        </w:rPr>
        <w:t xml:space="preserve">The regulatory structures in the EU </w:t>
      </w:r>
      <w:r w:rsidR="006364FC">
        <w:rPr>
          <w:sz w:val="26"/>
          <w:szCs w:val="26"/>
        </w:rPr>
        <w:t>and</w:t>
      </w:r>
      <w:r w:rsidR="006364FC" w:rsidRPr="007A6659">
        <w:rPr>
          <w:sz w:val="26"/>
          <w:szCs w:val="26"/>
        </w:rPr>
        <w:t xml:space="preserve"> </w:t>
      </w:r>
      <w:r w:rsidRPr="007A6659">
        <w:rPr>
          <w:sz w:val="26"/>
          <w:szCs w:val="26"/>
        </w:rPr>
        <w:t xml:space="preserve">the US </w:t>
      </w:r>
      <w:r w:rsidR="006364FC" w:rsidRPr="007A6659">
        <w:rPr>
          <w:sz w:val="26"/>
          <w:szCs w:val="26"/>
        </w:rPr>
        <w:t xml:space="preserve">were initially similar </w:t>
      </w:r>
      <w:r w:rsidRPr="007A6659">
        <w:rPr>
          <w:sz w:val="26"/>
          <w:szCs w:val="26"/>
        </w:rPr>
        <w:t xml:space="preserve">(Soule, 2003). Scientific expertise was considered fundamental to EU integration to keep national </w:t>
      </w:r>
      <w:r w:rsidR="00C566D7" w:rsidRPr="007A6659">
        <w:rPr>
          <w:sz w:val="26"/>
          <w:szCs w:val="26"/>
        </w:rPr>
        <w:t>regulations</w:t>
      </w:r>
      <w:r w:rsidRPr="007A6659">
        <w:rPr>
          <w:sz w:val="26"/>
          <w:szCs w:val="26"/>
        </w:rPr>
        <w:t xml:space="preserve"> from undermining pan-EU trade (Levidow, Carr</w:t>
      </w:r>
      <w:r w:rsidR="006364FC">
        <w:rPr>
          <w:sz w:val="26"/>
          <w:szCs w:val="26"/>
        </w:rPr>
        <w:t>,</w:t>
      </w:r>
      <w:r w:rsidRPr="007A6659">
        <w:rPr>
          <w:sz w:val="26"/>
          <w:szCs w:val="26"/>
        </w:rPr>
        <w:t xml:space="preserve"> &amp; Wield, 2004). The emphasis on science was believed to create an objective approach to regulatory decisions. However, in 1999</w:t>
      </w:r>
      <w:r w:rsidR="004A2571">
        <w:rPr>
          <w:sz w:val="26"/>
          <w:szCs w:val="26"/>
        </w:rPr>
        <w:t>,</w:t>
      </w:r>
      <w:r w:rsidRPr="007A6659">
        <w:rPr>
          <w:sz w:val="26"/>
          <w:szCs w:val="26"/>
        </w:rPr>
        <w:t xml:space="preserve"> some EU member nations withdrew their support of the EU scientific rationality approach, stalling the regulatory decision process (Levidow et al., 2004; Soule, 2003; van Schendelen, 2003). Precaution became the watchword (Levidow et al., 2004), and the process became </w:t>
      </w:r>
      <w:r w:rsidR="00980D41">
        <w:rPr>
          <w:sz w:val="26"/>
          <w:szCs w:val="26"/>
        </w:rPr>
        <w:t xml:space="preserve">more </w:t>
      </w:r>
      <w:r w:rsidRPr="007A6659">
        <w:rPr>
          <w:sz w:val="26"/>
          <w:szCs w:val="26"/>
        </w:rPr>
        <w:t>politicized</w:t>
      </w:r>
      <w:r w:rsidR="00980D41">
        <w:rPr>
          <w:sz w:val="26"/>
          <w:szCs w:val="26"/>
        </w:rPr>
        <w:t xml:space="preserve"> as more voices began to be heard in the process</w:t>
      </w:r>
      <w:r w:rsidRPr="007A6659">
        <w:rPr>
          <w:sz w:val="26"/>
          <w:szCs w:val="26"/>
        </w:rPr>
        <w:t>. An alternative interpretation is that the EU turned to a “social rationality” approach that put much-needed emphasis on social needs and concerns (</w:t>
      </w:r>
      <w:r w:rsidR="00640FA7">
        <w:rPr>
          <w:sz w:val="26"/>
          <w:szCs w:val="26"/>
        </w:rPr>
        <w:t>Hull &amp; Luxmore, 2007</w:t>
      </w:r>
      <w:r w:rsidRPr="007A6659">
        <w:rPr>
          <w:sz w:val="26"/>
          <w:szCs w:val="26"/>
        </w:rPr>
        <w:t>). Both interpretations agree that the new approach was much more conservative or precautionary.</w:t>
      </w:r>
    </w:p>
    <w:p w14:paraId="7E5C1E36" w14:textId="7D1373E2" w:rsidR="00980D41" w:rsidRDefault="005B7147" w:rsidP="00FF5068">
      <w:pPr>
        <w:spacing w:after="0" w:line="360" w:lineRule="exact"/>
        <w:ind w:firstLineChars="200" w:firstLine="520"/>
        <w:jc w:val="both"/>
        <w:rPr>
          <w:sz w:val="26"/>
          <w:szCs w:val="26"/>
        </w:rPr>
      </w:pPr>
      <w:r w:rsidRPr="007A6659">
        <w:rPr>
          <w:sz w:val="26"/>
          <w:szCs w:val="26"/>
        </w:rPr>
        <w:t>The EU’s new approach championed a broad interpretation of the precautionary principle while the European Comm</w:t>
      </w:r>
      <w:r w:rsidR="00CC1AC5" w:rsidRPr="007A6659">
        <w:rPr>
          <w:sz w:val="26"/>
          <w:szCs w:val="26"/>
        </w:rPr>
        <w:t>ission’s original approach favo</w:t>
      </w:r>
      <w:r w:rsidRPr="007A6659">
        <w:rPr>
          <w:sz w:val="26"/>
          <w:szCs w:val="26"/>
        </w:rPr>
        <w:t xml:space="preserve">red a narrow </w:t>
      </w:r>
      <w:r w:rsidR="004A2571">
        <w:rPr>
          <w:sz w:val="26"/>
          <w:szCs w:val="26"/>
        </w:rPr>
        <w:t>interpretation</w:t>
      </w:r>
      <w:r w:rsidR="004A2571" w:rsidRPr="007A6659">
        <w:rPr>
          <w:sz w:val="26"/>
          <w:szCs w:val="26"/>
        </w:rPr>
        <w:t xml:space="preserve"> </w:t>
      </w:r>
      <w:r w:rsidRPr="007A6659">
        <w:rPr>
          <w:sz w:val="26"/>
          <w:szCs w:val="26"/>
        </w:rPr>
        <w:t xml:space="preserve">(Levidow et al., 2004) consistent with the scientific rationality </w:t>
      </w:r>
      <w:r w:rsidR="00980D41">
        <w:rPr>
          <w:sz w:val="26"/>
          <w:szCs w:val="26"/>
        </w:rPr>
        <w:t xml:space="preserve">(or financial rationality) </w:t>
      </w:r>
      <w:r w:rsidRPr="007A6659">
        <w:rPr>
          <w:sz w:val="26"/>
          <w:szCs w:val="26"/>
        </w:rPr>
        <w:t xml:space="preserve">philosophy </w:t>
      </w:r>
      <w:r w:rsidR="004A2571">
        <w:rPr>
          <w:sz w:val="26"/>
          <w:szCs w:val="26"/>
        </w:rPr>
        <w:t>that</w:t>
      </w:r>
      <w:r w:rsidR="004A2571" w:rsidRPr="007A6659">
        <w:rPr>
          <w:sz w:val="26"/>
          <w:szCs w:val="26"/>
        </w:rPr>
        <w:t xml:space="preserve"> emphasiz</w:t>
      </w:r>
      <w:r w:rsidR="004A2571">
        <w:rPr>
          <w:sz w:val="26"/>
          <w:szCs w:val="26"/>
        </w:rPr>
        <w:t>es</w:t>
      </w:r>
      <w:r w:rsidR="004A2571" w:rsidRPr="007A6659">
        <w:rPr>
          <w:sz w:val="26"/>
          <w:szCs w:val="26"/>
        </w:rPr>
        <w:t xml:space="preserve"> </w:t>
      </w:r>
      <w:r w:rsidRPr="007A6659">
        <w:rPr>
          <w:sz w:val="26"/>
          <w:szCs w:val="26"/>
        </w:rPr>
        <w:t>caution over precaution (e.g., not accepting that tobacco causes cancer for decades after it has been proven or not accepting that GMOs carry a risk of chronic and subchronic diseases</w:t>
      </w:r>
      <w:r w:rsidR="004A2571">
        <w:rPr>
          <w:sz w:val="26"/>
          <w:szCs w:val="26"/>
        </w:rPr>
        <w:t xml:space="preserve">; </w:t>
      </w:r>
      <w:r w:rsidRPr="007A6659">
        <w:rPr>
          <w:sz w:val="26"/>
          <w:szCs w:val="26"/>
        </w:rPr>
        <w:t xml:space="preserve">Séralini, et al., 2009) and the role of science or a reasonable facsimile thereof in regulatory decisions. </w:t>
      </w:r>
    </w:p>
    <w:p w14:paraId="2F0009BC" w14:textId="0CFAAEAC" w:rsidR="005B7147" w:rsidRPr="007A6659" w:rsidRDefault="005B7147" w:rsidP="00FF5068">
      <w:pPr>
        <w:spacing w:after="0" w:line="360" w:lineRule="exact"/>
        <w:ind w:firstLineChars="200" w:firstLine="520"/>
        <w:jc w:val="both"/>
        <w:rPr>
          <w:sz w:val="26"/>
          <w:szCs w:val="26"/>
        </w:rPr>
      </w:pPr>
      <w:r w:rsidRPr="007A6659">
        <w:rPr>
          <w:sz w:val="26"/>
          <w:szCs w:val="26"/>
        </w:rPr>
        <w:t xml:space="preserve">The </w:t>
      </w:r>
      <w:r w:rsidR="00980D41">
        <w:rPr>
          <w:sz w:val="26"/>
          <w:szCs w:val="26"/>
        </w:rPr>
        <w:t xml:space="preserve">EU’s </w:t>
      </w:r>
      <w:r w:rsidRPr="007A6659">
        <w:rPr>
          <w:sz w:val="26"/>
          <w:szCs w:val="26"/>
        </w:rPr>
        <w:t xml:space="preserve">new, broad interpretation of precaution is more consistent with social rationality (Isaac &amp; Kerr, 2003; </w:t>
      </w:r>
      <w:r w:rsidR="00640FA7">
        <w:rPr>
          <w:sz w:val="26"/>
          <w:szCs w:val="26"/>
        </w:rPr>
        <w:t>Hull &amp; Luxmore, 2007</w:t>
      </w:r>
      <w:r w:rsidRPr="007A6659">
        <w:rPr>
          <w:sz w:val="26"/>
          <w:szCs w:val="26"/>
        </w:rPr>
        <w:t>)</w:t>
      </w:r>
      <w:r w:rsidR="004A2571">
        <w:rPr>
          <w:sz w:val="26"/>
          <w:szCs w:val="26"/>
        </w:rPr>
        <w:t xml:space="preserve">, </w:t>
      </w:r>
      <w:r w:rsidRPr="007A6659">
        <w:rPr>
          <w:sz w:val="26"/>
          <w:szCs w:val="26"/>
        </w:rPr>
        <w:t>requires stakeholder involvement, emphasizes precaution over caution, allows speculative risk (such as speculating that tobacco might cause cancer even though it hasn’t been officially proven), and considers social and moral issues in the regulatory process. The EU rules implemented in 2003 opened the process to public input</w:t>
      </w:r>
      <w:r w:rsidR="004A2571">
        <w:rPr>
          <w:sz w:val="26"/>
          <w:szCs w:val="26"/>
        </w:rPr>
        <w:t>,</w:t>
      </w:r>
      <w:r w:rsidRPr="007A6659">
        <w:rPr>
          <w:sz w:val="26"/>
          <w:szCs w:val="26"/>
        </w:rPr>
        <w:t xml:space="preserve"> and</w:t>
      </w:r>
      <w:r w:rsidR="004A2571">
        <w:rPr>
          <w:sz w:val="26"/>
          <w:szCs w:val="26"/>
        </w:rPr>
        <w:t xml:space="preserve"> they</w:t>
      </w:r>
      <w:r w:rsidRPr="007A6659">
        <w:rPr>
          <w:sz w:val="26"/>
          <w:szCs w:val="26"/>
        </w:rPr>
        <w:t xml:space="preserve"> are substantially different from more closed US rules </w:t>
      </w:r>
      <w:r w:rsidR="004A2571">
        <w:rPr>
          <w:sz w:val="26"/>
          <w:szCs w:val="26"/>
        </w:rPr>
        <w:t>as well as</w:t>
      </w:r>
      <w:r w:rsidR="004A2571" w:rsidRPr="007A6659">
        <w:rPr>
          <w:sz w:val="26"/>
          <w:szCs w:val="26"/>
        </w:rPr>
        <w:t xml:space="preserve"> </w:t>
      </w:r>
      <w:r w:rsidRPr="007A6659">
        <w:rPr>
          <w:sz w:val="26"/>
          <w:szCs w:val="26"/>
        </w:rPr>
        <w:t xml:space="preserve">original EU rules (Kysar, 2004). The structure and operations of the EU continue to encourage the participation of numerous stakeholders, including </w:t>
      </w:r>
      <w:r w:rsidR="001F7E10" w:rsidRPr="007A6659">
        <w:rPr>
          <w:sz w:val="26"/>
          <w:szCs w:val="26"/>
        </w:rPr>
        <w:t>non-profit</w:t>
      </w:r>
      <w:r w:rsidRPr="007A6659">
        <w:rPr>
          <w:sz w:val="26"/>
          <w:szCs w:val="26"/>
        </w:rPr>
        <w:t xml:space="preserve">s, in policy formation (Doh &amp; Guay, 2006) and in MNE </w:t>
      </w:r>
      <w:r w:rsidR="007A3C23" w:rsidRPr="007A6659">
        <w:rPr>
          <w:sz w:val="26"/>
          <w:szCs w:val="26"/>
        </w:rPr>
        <w:t>behavior</w:t>
      </w:r>
      <w:r w:rsidRPr="007A6659">
        <w:rPr>
          <w:sz w:val="26"/>
          <w:szCs w:val="26"/>
        </w:rPr>
        <w:t xml:space="preserve"> (Kourala, 2010). </w:t>
      </w:r>
    </w:p>
    <w:p w14:paraId="2F8249F0" w14:textId="61E94884" w:rsidR="005B7147" w:rsidRPr="007A6659" w:rsidRDefault="005B7147" w:rsidP="00FF5068">
      <w:pPr>
        <w:spacing w:after="0" w:line="360" w:lineRule="exact"/>
        <w:ind w:firstLineChars="200" w:firstLine="520"/>
        <w:jc w:val="both"/>
        <w:rPr>
          <w:sz w:val="26"/>
          <w:szCs w:val="26"/>
        </w:rPr>
      </w:pPr>
      <w:r w:rsidRPr="007A6659">
        <w:rPr>
          <w:sz w:val="26"/>
          <w:szCs w:val="26"/>
        </w:rPr>
        <w:t xml:space="preserve">Thus, though the formal institutional environments </w:t>
      </w:r>
      <w:r w:rsidR="004A2571" w:rsidRPr="007A6659">
        <w:rPr>
          <w:sz w:val="26"/>
          <w:szCs w:val="26"/>
        </w:rPr>
        <w:t xml:space="preserve">in developed economies </w:t>
      </w:r>
      <w:r w:rsidRPr="007A6659">
        <w:rPr>
          <w:sz w:val="26"/>
          <w:szCs w:val="26"/>
        </w:rPr>
        <w:t>of the US and the EU</w:t>
      </w:r>
      <w:r w:rsidR="004A2571">
        <w:rPr>
          <w:sz w:val="26"/>
          <w:szCs w:val="26"/>
        </w:rPr>
        <w:t xml:space="preserve"> </w:t>
      </w:r>
      <w:r w:rsidRPr="007A6659">
        <w:rPr>
          <w:sz w:val="26"/>
          <w:szCs w:val="26"/>
        </w:rPr>
        <w:t>were similar in the early stages, they have diverged and are now substantially different. The regulatory approach in the EU transitioned from a scientific rationality system in the early part of the 1990s to a de facto social rationality approach by 1999</w:t>
      </w:r>
      <w:r w:rsidR="004A2571">
        <w:rPr>
          <w:sz w:val="26"/>
          <w:szCs w:val="26"/>
        </w:rPr>
        <w:t xml:space="preserve"> and</w:t>
      </w:r>
      <w:r w:rsidRPr="007A6659">
        <w:rPr>
          <w:sz w:val="26"/>
          <w:szCs w:val="26"/>
        </w:rPr>
        <w:t xml:space="preserve"> a formalized social rationality approach in the 21</w:t>
      </w:r>
      <w:r w:rsidRPr="007A6659">
        <w:rPr>
          <w:sz w:val="26"/>
          <w:szCs w:val="26"/>
          <w:vertAlign w:val="superscript"/>
        </w:rPr>
        <w:t>st</w:t>
      </w:r>
      <w:r w:rsidRPr="007A6659">
        <w:rPr>
          <w:sz w:val="26"/>
          <w:szCs w:val="26"/>
        </w:rPr>
        <w:t xml:space="preserve"> century (Levidow, Murphy, &amp; Carr, 2007). The precautionary principle, or social rationality approach, of the EU includes the regulation of </w:t>
      </w:r>
      <w:r w:rsidR="004A2571" w:rsidRPr="007A6659">
        <w:rPr>
          <w:sz w:val="26"/>
          <w:szCs w:val="26"/>
        </w:rPr>
        <w:t xml:space="preserve">not </w:t>
      </w:r>
      <w:r w:rsidR="004A2571">
        <w:rPr>
          <w:sz w:val="26"/>
          <w:szCs w:val="26"/>
        </w:rPr>
        <w:t>only</w:t>
      </w:r>
      <w:r w:rsidR="004A2571" w:rsidRPr="007A6659">
        <w:rPr>
          <w:sz w:val="26"/>
          <w:szCs w:val="26"/>
        </w:rPr>
        <w:t xml:space="preserve"> </w:t>
      </w:r>
      <w:r w:rsidR="004A2571">
        <w:rPr>
          <w:sz w:val="26"/>
          <w:szCs w:val="26"/>
        </w:rPr>
        <w:t xml:space="preserve">the </w:t>
      </w:r>
      <w:r w:rsidR="004A2571" w:rsidRPr="007A6659">
        <w:rPr>
          <w:sz w:val="26"/>
          <w:szCs w:val="26"/>
        </w:rPr>
        <w:t>product, as in the US</w:t>
      </w:r>
      <w:r w:rsidR="004A2571">
        <w:rPr>
          <w:sz w:val="26"/>
          <w:szCs w:val="26"/>
        </w:rPr>
        <w:t>, but also the</w:t>
      </w:r>
      <w:r w:rsidR="004A2571" w:rsidRPr="007A6659">
        <w:rPr>
          <w:sz w:val="26"/>
          <w:szCs w:val="26"/>
        </w:rPr>
        <w:t xml:space="preserve"> </w:t>
      </w:r>
      <w:r w:rsidRPr="007A6659">
        <w:rPr>
          <w:sz w:val="26"/>
          <w:szCs w:val="26"/>
        </w:rPr>
        <w:t>technological process (Guehlstorf &amp; Hallstrom, 2005). Additionally, the EU</w:t>
      </w:r>
      <w:r w:rsidR="004A2571">
        <w:rPr>
          <w:sz w:val="26"/>
          <w:szCs w:val="26"/>
        </w:rPr>
        <w:t>, unlike the US,</w:t>
      </w:r>
      <w:r w:rsidRPr="007A6659">
        <w:rPr>
          <w:sz w:val="26"/>
          <w:szCs w:val="26"/>
        </w:rPr>
        <w:t xml:space="preserve"> requires GMs to be proven safe prior to </w:t>
      </w:r>
      <w:r w:rsidR="004A2571">
        <w:rPr>
          <w:sz w:val="26"/>
          <w:szCs w:val="26"/>
        </w:rPr>
        <w:t xml:space="preserve">their </w:t>
      </w:r>
      <w:r w:rsidRPr="007A6659">
        <w:rPr>
          <w:sz w:val="26"/>
          <w:szCs w:val="26"/>
        </w:rPr>
        <w:t>introduction (Doh &amp; Guay, 2006).</w:t>
      </w:r>
    </w:p>
    <w:p w14:paraId="345B5175" w14:textId="77777777" w:rsidR="005B7147" w:rsidRPr="007A6659" w:rsidRDefault="005B7147" w:rsidP="00294F29">
      <w:pPr>
        <w:spacing w:after="0" w:line="240" w:lineRule="auto"/>
        <w:rPr>
          <w:sz w:val="26"/>
          <w:szCs w:val="26"/>
        </w:rPr>
      </w:pPr>
    </w:p>
    <w:p w14:paraId="2E50C41B" w14:textId="50C92698" w:rsidR="000F4AF0" w:rsidRPr="00255029" w:rsidRDefault="00657E8A" w:rsidP="00FF5068">
      <w:pPr>
        <w:spacing w:after="0" w:line="240" w:lineRule="auto"/>
        <w:outlineLvl w:val="1"/>
        <w:rPr>
          <w:b/>
          <w:sz w:val="26"/>
          <w:szCs w:val="26"/>
        </w:rPr>
      </w:pPr>
      <w:r w:rsidRPr="00255029">
        <w:rPr>
          <w:b/>
          <w:sz w:val="26"/>
          <w:szCs w:val="26"/>
        </w:rPr>
        <w:t>Predictions</w:t>
      </w:r>
      <w:r w:rsidR="005B7147" w:rsidRPr="00255029">
        <w:rPr>
          <w:b/>
          <w:sz w:val="26"/>
          <w:szCs w:val="26"/>
        </w:rPr>
        <w:t xml:space="preserve"> </w:t>
      </w:r>
      <w:r w:rsidR="00846140" w:rsidRPr="00255029">
        <w:rPr>
          <w:b/>
          <w:sz w:val="26"/>
          <w:szCs w:val="26"/>
        </w:rPr>
        <w:t>Concerning The Formal Institutional Environment</w:t>
      </w:r>
      <w:r w:rsidR="005B7147" w:rsidRPr="00255029">
        <w:rPr>
          <w:b/>
          <w:sz w:val="26"/>
          <w:szCs w:val="26"/>
        </w:rPr>
        <w:t xml:space="preserve">. </w:t>
      </w:r>
    </w:p>
    <w:p w14:paraId="6B80080A" w14:textId="5DFA255A" w:rsidR="00657E8A" w:rsidRPr="007A6659" w:rsidRDefault="00657E8A" w:rsidP="00FF5068">
      <w:pPr>
        <w:spacing w:after="0" w:line="360" w:lineRule="exact"/>
        <w:ind w:firstLineChars="200" w:firstLine="520"/>
        <w:jc w:val="both"/>
        <w:rPr>
          <w:sz w:val="26"/>
          <w:szCs w:val="26"/>
        </w:rPr>
      </w:pPr>
      <w:r w:rsidRPr="007A6659">
        <w:rPr>
          <w:sz w:val="26"/>
          <w:szCs w:val="26"/>
        </w:rPr>
        <w:t xml:space="preserve">Because we are focusing on one multinational NGO rather than on a large number of </w:t>
      </w:r>
      <w:r w:rsidR="00980D41">
        <w:rPr>
          <w:sz w:val="26"/>
          <w:szCs w:val="26"/>
        </w:rPr>
        <w:t>NGOs</w:t>
      </w:r>
      <w:r w:rsidRPr="007A6659">
        <w:rPr>
          <w:sz w:val="26"/>
          <w:szCs w:val="26"/>
        </w:rPr>
        <w:t>, we present predi</w:t>
      </w:r>
      <w:r w:rsidR="00980D41">
        <w:rPr>
          <w:sz w:val="26"/>
          <w:szCs w:val="26"/>
        </w:rPr>
        <w:t>ctions rather than hypotheses to be tested</w:t>
      </w:r>
      <w:r w:rsidR="002F7BF2" w:rsidRPr="002F7BF2">
        <w:rPr>
          <w:sz w:val="26"/>
          <w:szCs w:val="26"/>
        </w:rPr>
        <w:t xml:space="preserve"> </w:t>
      </w:r>
      <w:r w:rsidR="002F7BF2">
        <w:rPr>
          <w:sz w:val="26"/>
          <w:szCs w:val="26"/>
        </w:rPr>
        <w:t>in the case of Greenpeace</w:t>
      </w:r>
      <w:r w:rsidR="00980D41">
        <w:rPr>
          <w:sz w:val="26"/>
          <w:szCs w:val="26"/>
        </w:rPr>
        <w:t xml:space="preserve">.  </w:t>
      </w:r>
    </w:p>
    <w:p w14:paraId="29C1455F" w14:textId="454A4C71" w:rsidR="005B7147" w:rsidRPr="007A6659" w:rsidRDefault="005B7147" w:rsidP="00FF5068">
      <w:pPr>
        <w:spacing w:after="0" w:line="360" w:lineRule="exact"/>
        <w:ind w:firstLineChars="200" w:firstLine="520"/>
        <w:jc w:val="both"/>
        <w:rPr>
          <w:i/>
          <w:sz w:val="26"/>
          <w:szCs w:val="26"/>
        </w:rPr>
      </w:pPr>
      <w:r w:rsidRPr="007A6659">
        <w:rPr>
          <w:sz w:val="26"/>
          <w:szCs w:val="26"/>
        </w:rPr>
        <w:t xml:space="preserve">The formal institutional environment was in transition in the EU during the late 1990s to the mid-2000s, while </w:t>
      </w:r>
      <w:r w:rsidR="002F7BF2">
        <w:rPr>
          <w:sz w:val="26"/>
          <w:szCs w:val="26"/>
        </w:rPr>
        <w:t xml:space="preserve">it was </w:t>
      </w:r>
      <w:r w:rsidRPr="007A6659">
        <w:rPr>
          <w:sz w:val="26"/>
          <w:szCs w:val="26"/>
        </w:rPr>
        <w:t xml:space="preserve">stable in the US. Regulation in the US is based on scientific rationality principles, limiting the scope of risk assessment and requiring </w:t>
      </w:r>
      <w:r w:rsidR="00741EE8">
        <w:rPr>
          <w:sz w:val="26"/>
          <w:szCs w:val="26"/>
        </w:rPr>
        <w:t xml:space="preserve">the </w:t>
      </w:r>
      <w:r w:rsidRPr="007A6659">
        <w:rPr>
          <w:sz w:val="26"/>
          <w:szCs w:val="26"/>
        </w:rPr>
        <w:t>participants to possess scientific expertise of GM products</w:t>
      </w:r>
      <w:r w:rsidR="00B446B6" w:rsidRPr="007A6659">
        <w:rPr>
          <w:sz w:val="26"/>
          <w:szCs w:val="26"/>
        </w:rPr>
        <w:t xml:space="preserve"> (Isaac </w:t>
      </w:r>
      <w:r w:rsidR="00741EE8">
        <w:rPr>
          <w:sz w:val="26"/>
          <w:szCs w:val="26"/>
        </w:rPr>
        <w:t>&amp;</w:t>
      </w:r>
      <w:r w:rsidR="00741EE8" w:rsidRPr="007A6659">
        <w:rPr>
          <w:sz w:val="26"/>
          <w:szCs w:val="26"/>
        </w:rPr>
        <w:t xml:space="preserve"> </w:t>
      </w:r>
      <w:r w:rsidR="00B446B6" w:rsidRPr="007A6659">
        <w:rPr>
          <w:sz w:val="26"/>
          <w:szCs w:val="26"/>
        </w:rPr>
        <w:t>Kerr, 2003</w:t>
      </w:r>
      <w:r w:rsidR="00DF321C" w:rsidRPr="007A6659">
        <w:rPr>
          <w:sz w:val="26"/>
          <w:szCs w:val="26"/>
        </w:rPr>
        <w:t xml:space="preserve">; </w:t>
      </w:r>
      <w:r w:rsidR="00640FA7">
        <w:rPr>
          <w:sz w:val="26"/>
          <w:szCs w:val="26"/>
        </w:rPr>
        <w:t>Luxmore &amp; Hull, 2010</w:t>
      </w:r>
      <w:r w:rsidR="00B446B6" w:rsidRPr="007A6659">
        <w:rPr>
          <w:sz w:val="26"/>
          <w:szCs w:val="26"/>
        </w:rPr>
        <w:t>)</w:t>
      </w:r>
      <w:r w:rsidRPr="007A6659">
        <w:rPr>
          <w:sz w:val="26"/>
          <w:szCs w:val="26"/>
        </w:rPr>
        <w:t>. In Europe</w:t>
      </w:r>
      <w:r w:rsidR="00FF4BE6" w:rsidRPr="007A6659">
        <w:rPr>
          <w:sz w:val="26"/>
          <w:szCs w:val="26"/>
        </w:rPr>
        <w:t>,</w:t>
      </w:r>
      <w:r w:rsidRPr="007A6659">
        <w:rPr>
          <w:sz w:val="26"/>
          <w:szCs w:val="26"/>
        </w:rPr>
        <w:t xml:space="preserve"> the regulatory process changed from a scientific rationality to a social rationality approach</w:t>
      </w:r>
      <w:r w:rsidR="00741EE8">
        <w:rPr>
          <w:sz w:val="26"/>
          <w:szCs w:val="26"/>
        </w:rPr>
        <w:t xml:space="preserve"> that is </w:t>
      </w:r>
      <w:r w:rsidRPr="007A6659">
        <w:rPr>
          <w:sz w:val="26"/>
          <w:szCs w:val="26"/>
        </w:rPr>
        <w:t>open to input from all stakeholders</w:t>
      </w:r>
      <w:r w:rsidR="00741EE8">
        <w:rPr>
          <w:sz w:val="26"/>
          <w:szCs w:val="26"/>
        </w:rPr>
        <w:t xml:space="preserve"> and considers a</w:t>
      </w:r>
      <w:r w:rsidRPr="007A6659">
        <w:rPr>
          <w:sz w:val="26"/>
          <w:szCs w:val="26"/>
        </w:rPr>
        <w:t xml:space="preserve"> broad scope of risk factors, including social ones</w:t>
      </w:r>
      <w:r w:rsidR="00B446B6" w:rsidRPr="007A6659">
        <w:rPr>
          <w:sz w:val="26"/>
          <w:szCs w:val="26"/>
        </w:rPr>
        <w:t xml:space="preserve"> (Isaac </w:t>
      </w:r>
      <w:r w:rsidR="00741EE8">
        <w:rPr>
          <w:sz w:val="26"/>
          <w:szCs w:val="26"/>
        </w:rPr>
        <w:t>&amp;</w:t>
      </w:r>
      <w:r w:rsidR="00741EE8" w:rsidRPr="007A6659">
        <w:rPr>
          <w:sz w:val="26"/>
          <w:szCs w:val="26"/>
        </w:rPr>
        <w:t xml:space="preserve"> </w:t>
      </w:r>
      <w:r w:rsidR="00B446B6" w:rsidRPr="007A6659">
        <w:rPr>
          <w:sz w:val="26"/>
          <w:szCs w:val="26"/>
        </w:rPr>
        <w:t>Kerr, 2003)</w:t>
      </w:r>
      <w:r w:rsidRPr="007A6659">
        <w:rPr>
          <w:sz w:val="26"/>
          <w:szCs w:val="26"/>
        </w:rPr>
        <w:t>. This transition allowed for speculative risk as well as scientific evidence to be considered. The formal institutional environ</w:t>
      </w:r>
      <w:r w:rsidR="005D5452" w:rsidRPr="007A6659">
        <w:rPr>
          <w:sz w:val="26"/>
          <w:szCs w:val="26"/>
        </w:rPr>
        <w:t>ment in the EU is now more favo</w:t>
      </w:r>
      <w:r w:rsidRPr="007A6659">
        <w:rPr>
          <w:sz w:val="26"/>
          <w:szCs w:val="26"/>
        </w:rPr>
        <w:t xml:space="preserve">rably </w:t>
      </w:r>
      <w:r w:rsidR="00B843D3">
        <w:rPr>
          <w:sz w:val="26"/>
          <w:szCs w:val="26"/>
        </w:rPr>
        <w:t>inclined</w:t>
      </w:r>
      <w:r w:rsidR="00B843D3" w:rsidRPr="007A6659">
        <w:rPr>
          <w:sz w:val="26"/>
          <w:szCs w:val="26"/>
        </w:rPr>
        <w:t xml:space="preserve"> </w:t>
      </w:r>
      <w:r w:rsidRPr="007A6659">
        <w:rPr>
          <w:sz w:val="26"/>
          <w:szCs w:val="26"/>
        </w:rPr>
        <w:t xml:space="preserve">to influence by civil society due to the structure of the EU regulatory system and the social rationality approach to regulation. </w:t>
      </w:r>
    </w:p>
    <w:p w14:paraId="768F09FA" w14:textId="4E6366C3" w:rsidR="005B7147" w:rsidRPr="007A6659" w:rsidRDefault="005B7147" w:rsidP="00FF5068">
      <w:pPr>
        <w:spacing w:after="0" w:line="360" w:lineRule="exact"/>
        <w:ind w:firstLineChars="200" w:firstLine="520"/>
        <w:jc w:val="both"/>
        <w:rPr>
          <w:sz w:val="26"/>
          <w:szCs w:val="26"/>
        </w:rPr>
      </w:pPr>
      <w:r w:rsidRPr="007A6659">
        <w:rPr>
          <w:sz w:val="26"/>
          <w:szCs w:val="26"/>
        </w:rPr>
        <w:t xml:space="preserve">The EU approach not only encourages participation by </w:t>
      </w:r>
      <w:r w:rsidR="001F7E10" w:rsidRPr="007A6659">
        <w:rPr>
          <w:sz w:val="26"/>
          <w:szCs w:val="26"/>
        </w:rPr>
        <w:t>non-profit</w:t>
      </w:r>
      <w:r w:rsidRPr="007A6659">
        <w:rPr>
          <w:sz w:val="26"/>
          <w:szCs w:val="26"/>
        </w:rPr>
        <w:t>s</w:t>
      </w:r>
      <w:r w:rsidR="00B843D3">
        <w:rPr>
          <w:sz w:val="26"/>
          <w:szCs w:val="26"/>
        </w:rPr>
        <w:t>,</w:t>
      </w:r>
      <w:r w:rsidRPr="007A6659">
        <w:rPr>
          <w:sz w:val="26"/>
          <w:szCs w:val="26"/>
        </w:rPr>
        <w:t xml:space="preserve"> such as Greenpeace, </w:t>
      </w:r>
      <w:r w:rsidR="00B843D3">
        <w:rPr>
          <w:sz w:val="26"/>
          <w:szCs w:val="26"/>
        </w:rPr>
        <w:t>but also</w:t>
      </w:r>
      <w:r w:rsidR="00B843D3" w:rsidRPr="007A6659">
        <w:rPr>
          <w:sz w:val="26"/>
          <w:szCs w:val="26"/>
        </w:rPr>
        <w:t xml:space="preserve"> </w:t>
      </w:r>
      <w:r w:rsidRPr="007A6659">
        <w:rPr>
          <w:sz w:val="26"/>
          <w:szCs w:val="26"/>
        </w:rPr>
        <w:t>lets them affect public policy decisions directly. In the United States</w:t>
      </w:r>
      <w:r w:rsidR="000F37CA" w:rsidRPr="007A6659">
        <w:rPr>
          <w:sz w:val="26"/>
          <w:szCs w:val="26"/>
        </w:rPr>
        <w:t xml:space="preserve">, </w:t>
      </w:r>
      <w:r w:rsidR="00B843D3" w:rsidRPr="007A6659">
        <w:rPr>
          <w:sz w:val="26"/>
          <w:szCs w:val="26"/>
        </w:rPr>
        <w:t>non-profits are not formally included in the regulatory decision-making process</w:t>
      </w:r>
      <w:r w:rsidR="00B843D3">
        <w:rPr>
          <w:sz w:val="26"/>
          <w:szCs w:val="26"/>
        </w:rPr>
        <w:t>,</w:t>
      </w:r>
      <w:r w:rsidR="00B843D3" w:rsidRPr="007A6659">
        <w:rPr>
          <w:sz w:val="26"/>
          <w:szCs w:val="26"/>
        </w:rPr>
        <w:t xml:space="preserve"> </w:t>
      </w:r>
      <w:r w:rsidR="00B843D3">
        <w:rPr>
          <w:sz w:val="26"/>
          <w:szCs w:val="26"/>
        </w:rPr>
        <w:t>although</w:t>
      </w:r>
      <w:r w:rsidR="00B843D3" w:rsidRPr="007A6659">
        <w:rPr>
          <w:sz w:val="26"/>
          <w:szCs w:val="26"/>
        </w:rPr>
        <w:t xml:space="preserve"> </w:t>
      </w:r>
      <w:r w:rsidR="000F37CA" w:rsidRPr="007A6659">
        <w:rPr>
          <w:sz w:val="26"/>
          <w:szCs w:val="26"/>
        </w:rPr>
        <w:t>they can, like anyone else, submit comments to such bodies as the FDA or the EPA on proposed regulations</w:t>
      </w:r>
      <w:r w:rsidRPr="007A6659">
        <w:rPr>
          <w:sz w:val="26"/>
          <w:szCs w:val="26"/>
        </w:rPr>
        <w:t xml:space="preserve"> (Doh &amp; Guay, 2006)</w:t>
      </w:r>
      <w:r w:rsidR="00B843D3">
        <w:rPr>
          <w:sz w:val="26"/>
          <w:szCs w:val="26"/>
        </w:rPr>
        <w:t xml:space="preserve">. Hence, </w:t>
      </w:r>
      <w:r w:rsidR="001F7E10" w:rsidRPr="007A6659">
        <w:rPr>
          <w:sz w:val="26"/>
          <w:szCs w:val="26"/>
        </w:rPr>
        <w:t>non-profit</w:t>
      </w:r>
      <w:r w:rsidRPr="007A6659">
        <w:rPr>
          <w:sz w:val="26"/>
          <w:szCs w:val="26"/>
        </w:rPr>
        <w:t xml:space="preserve">s </w:t>
      </w:r>
      <w:r w:rsidR="000D02AD">
        <w:rPr>
          <w:sz w:val="26"/>
          <w:szCs w:val="26"/>
        </w:rPr>
        <w:t xml:space="preserve">have limited power </w:t>
      </w:r>
      <w:r w:rsidRPr="007A6659">
        <w:rPr>
          <w:sz w:val="26"/>
          <w:szCs w:val="26"/>
        </w:rPr>
        <w:t>to affect public opinion and firms directly. We expect that these formal institution</w:t>
      </w:r>
      <w:r w:rsidR="00D611B5">
        <w:rPr>
          <w:sz w:val="26"/>
          <w:szCs w:val="26"/>
        </w:rPr>
        <w:t>al</w:t>
      </w:r>
      <w:r w:rsidRPr="007A6659">
        <w:rPr>
          <w:sz w:val="26"/>
          <w:szCs w:val="26"/>
        </w:rPr>
        <w:t xml:space="preserve"> differences will be reflected in Greenpeace’s strategic </w:t>
      </w:r>
      <w:r w:rsidR="00A000E5" w:rsidRPr="007A6659">
        <w:rPr>
          <w:sz w:val="26"/>
          <w:szCs w:val="26"/>
        </w:rPr>
        <w:t>behavior</w:t>
      </w:r>
      <w:r w:rsidRPr="007A6659">
        <w:rPr>
          <w:sz w:val="26"/>
          <w:szCs w:val="26"/>
        </w:rPr>
        <w:t xml:space="preserve">. Because most national and regional members of Greenpeace International are European, we expect that Greenpeace International and Greenpeace Worldwide will behave relatively consistently </w:t>
      </w:r>
      <w:r w:rsidR="00D611B5">
        <w:rPr>
          <w:sz w:val="26"/>
          <w:szCs w:val="26"/>
        </w:rPr>
        <w:t>in</w:t>
      </w:r>
      <w:r w:rsidR="00D611B5" w:rsidRPr="007A6659">
        <w:rPr>
          <w:sz w:val="26"/>
          <w:szCs w:val="26"/>
        </w:rPr>
        <w:t xml:space="preserve"> </w:t>
      </w:r>
      <w:r w:rsidRPr="007A6659">
        <w:rPr>
          <w:sz w:val="26"/>
          <w:szCs w:val="26"/>
        </w:rPr>
        <w:t>France and Spain</w:t>
      </w:r>
      <w:r w:rsidR="00FF4BE6" w:rsidRPr="007A6659">
        <w:rPr>
          <w:sz w:val="26"/>
          <w:szCs w:val="26"/>
        </w:rPr>
        <w:t>,</w:t>
      </w:r>
      <w:r w:rsidRPr="007A6659">
        <w:rPr>
          <w:sz w:val="26"/>
          <w:szCs w:val="26"/>
        </w:rPr>
        <w:t xml:space="preserve"> and that </w:t>
      </w:r>
      <w:r w:rsidR="00F6162F">
        <w:rPr>
          <w:sz w:val="26"/>
          <w:szCs w:val="26"/>
        </w:rPr>
        <w:t>Greenpeace’s behavior</w:t>
      </w:r>
      <w:r w:rsidR="00D611B5">
        <w:rPr>
          <w:sz w:val="26"/>
          <w:szCs w:val="26"/>
        </w:rPr>
        <w:t xml:space="preserve"> in</w:t>
      </w:r>
      <w:r w:rsidRPr="007A6659">
        <w:rPr>
          <w:sz w:val="26"/>
          <w:szCs w:val="26"/>
        </w:rPr>
        <w:t xml:space="preserve"> the US </w:t>
      </w:r>
      <w:r w:rsidR="00D611B5">
        <w:rPr>
          <w:sz w:val="26"/>
          <w:szCs w:val="26"/>
        </w:rPr>
        <w:t>will be different</w:t>
      </w:r>
      <w:r w:rsidRPr="007A6659">
        <w:rPr>
          <w:sz w:val="26"/>
          <w:szCs w:val="26"/>
        </w:rPr>
        <w:t>. In Europe</w:t>
      </w:r>
      <w:r w:rsidR="00980D41">
        <w:rPr>
          <w:sz w:val="26"/>
          <w:szCs w:val="26"/>
        </w:rPr>
        <w:t>,</w:t>
      </w:r>
      <w:r w:rsidRPr="007A6659">
        <w:rPr>
          <w:sz w:val="26"/>
          <w:szCs w:val="26"/>
        </w:rPr>
        <w:t xml:space="preserve"> formal institutional </w:t>
      </w:r>
      <w:r w:rsidR="00C566D7" w:rsidRPr="007A6659">
        <w:rPr>
          <w:sz w:val="26"/>
          <w:szCs w:val="26"/>
        </w:rPr>
        <w:t>pressure</w:t>
      </w:r>
      <w:r w:rsidRPr="007A6659">
        <w:rPr>
          <w:sz w:val="26"/>
          <w:szCs w:val="26"/>
        </w:rPr>
        <w:t xml:space="preserve">s welcome </w:t>
      </w:r>
      <w:r w:rsidR="0080515F" w:rsidRPr="007A6659">
        <w:rPr>
          <w:sz w:val="26"/>
          <w:szCs w:val="26"/>
        </w:rPr>
        <w:t xml:space="preserve">and encourage </w:t>
      </w:r>
      <w:r w:rsidRPr="007A6659">
        <w:rPr>
          <w:sz w:val="26"/>
          <w:szCs w:val="26"/>
        </w:rPr>
        <w:t xml:space="preserve">social and </w:t>
      </w:r>
      <w:r w:rsidR="001F7E10" w:rsidRPr="007A6659">
        <w:rPr>
          <w:sz w:val="26"/>
          <w:szCs w:val="26"/>
        </w:rPr>
        <w:t>non-profit</w:t>
      </w:r>
      <w:r w:rsidRPr="007A6659">
        <w:rPr>
          <w:sz w:val="26"/>
          <w:szCs w:val="26"/>
        </w:rPr>
        <w:t xml:space="preserve"> input while in the United States</w:t>
      </w:r>
      <w:r w:rsidR="003E6A44">
        <w:rPr>
          <w:sz w:val="26"/>
          <w:szCs w:val="26"/>
        </w:rPr>
        <w:t>,</w:t>
      </w:r>
      <w:r w:rsidRPr="007A6659">
        <w:rPr>
          <w:sz w:val="26"/>
          <w:szCs w:val="26"/>
        </w:rPr>
        <w:t xml:space="preserve"> they do not. </w:t>
      </w:r>
      <w:r w:rsidR="00B13762" w:rsidRPr="007A6659">
        <w:rPr>
          <w:sz w:val="26"/>
          <w:szCs w:val="26"/>
        </w:rPr>
        <w:t>In the arena of GM, unlike the arenas in which some of its other campaigns focus, the battles are largely regulatory and thus government-focused</w:t>
      </w:r>
      <w:r w:rsidR="0080515F" w:rsidRPr="007A6659">
        <w:rPr>
          <w:sz w:val="26"/>
          <w:szCs w:val="26"/>
        </w:rPr>
        <w:t xml:space="preserve">, and informal </w:t>
      </w:r>
      <w:r w:rsidR="00020754" w:rsidRPr="007A6659">
        <w:rPr>
          <w:sz w:val="26"/>
          <w:szCs w:val="26"/>
        </w:rPr>
        <w:t>institutions</w:t>
      </w:r>
      <w:r w:rsidR="0080515F" w:rsidRPr="007A6659">
        <w:rPr>
          <w:sz w:val="26"/>
          <w:szCs w:val="26"/>
        </w:rPr>
        <w:t xml:space="preserve"> that favor GMOs are relatively well-established</w:t>
      </w:r>
      <w:r w:rsidR="00B13762" w:rsidRPr="007A6659">
        <w:rPr>
          <w:sz w:val="26"/>
          <w:szCs w:val="26"/>
        </w:rPr>
        <w:t xml:space="preserve"> (</w:t>
      </w:r>
      <w:r w:rsidR="0080515F" w:rsidRPr="007A6659">
        <w:rPr>
          <w:sz w:val="26"/>
          <w:szCs w:val="26"/>
        </w:rPr>
        <w:t>Doh &amp; Guay, 2006</w:t>
      </w:r>
      <w:r w:rsidR="00B13762" w:rsidRPr="007A6659">
        <w:rPr>
          <w:sz w:val="26"/>
          <w:szCs w:val="26"/>
        </w:rPr>
        <w:t xml:space="preserve">). </w:t>
      </w:r>
      <w:r w:rsidR="0080515F" w:rsidRPr="007A6659">
        <w:rPr>
          <w:sz w:val="26"/>
          <w:szCs w:val="26"/>
        </w:rPr>
        <w:t xml:space="preserve">Gaining legitimacy </w:t>
      </w:r>
      <w:r w:rsidR="003C6126" w:rsidRPr="007A6659">
        <w:rPr>
          <w:sz w:val="26"/>
          <w:szCs w:val="26"/>
        </w:rPr>
        <w:t xml:space="preserve">for a new cause </w:t>
      </w:r>
      <w:r w:rsidR="0080515F" w:rsidRPr="007A6659">
        <w:rPr>
          <w:sz w:val="26"/>
          <w:szCs w:val="26"/>
        </w:rPr>
        <w:t xml:space="preserve">and influencing </w:t>
      </w:r>
      <w:r w:rsidR="003C6126" w:rsidRPr="007A6659">
        <w:rPr>
          <w:sz w:val="26"/>
          <w:szCs w:val="26"/>
        </w:rPr>
        <w:t xml:space="preserve">formal and </w:t>
      </w:r>
      <w:r w:rsidR="0080515F" w:rsidRPr="007A6659">
        <w:rPr>
          <w:sz w:val="26"/>
          <w:szCs w:val="26"/>
        </w:rPr>
        <w:t>informal institutions</w:t>
      </w:r>
      <w:r w:rsidR="003C6126" w:rsidRPr="007A6659">
        <w:rPr>
          <w:sz w:val="26"/>
          <w:szCs w:val="26"/>
        </w:rPr>
        <w:t xml:space="preserve"> is best done under circumstances of weak or missing institutions, not strong, well-established ones (de Lange, </w:t>
      </w:r>
      <w:r w:rsidR="002E7503">
        <w:rPr>
          <w:sz w:val="26"/>
          <w:szCs w:val="26"/>
        </w:rPr>
        <w:t>2016</w:t>
      </w:r>
      <w:r w:rsidR="003C6126" w:rsidRPr="007A6659">
        <w:rPr>
          <w:sz w:val="26"/>
          <w:szCs w:val="26"/>
        </w:rPr>
        <w:t xml:space="preserve">). </w:t>
      </w:r>
      <w:r w:rsidR="00B13762" w:rsidRPr="007A6659">
        <w:rPr>
          <w:sz w:val="26"/>
          <w:szCs w:val="26"/>
        </w:rPr>
        <w:t xml:space="preserve">Thus, we expect that Greenpeace will allocate significantly fewer funds to this campaign </w:t>
      </w:r>
      <w:r w:rsidR="00D15E78" w:rsidRPr="007A6659">
        <w:rPr>
          <w:sz w:val="26"/>
          <w:szCs w:val="26"/>
        </w:rPr>
        <w:t xml:space="preserve">in the US </w:t>
      </w:r>
      <w:r w:rsidR="00B13762" w:rsidRPr="007A6659">
        <w:rPr>
          <w:sz w:val="26"/>
          <w:szCs w:val="26"/>
        </w:rPr>
        <w:t>than outside the US</w:t>
      </w:r>
      <w:r w:rsidRPr="007A6659">
        <w:rPr>
          <w:sz w:val="26"/>
          <w:szCs w:val="26"/>
        </w:rPr>
        <w:t>:</w:t>
      </w:r>
    </w:p>
    <w:p w14:paraId="687EAC10" w14:textId="61118679" w:rsidR="005B7147" w:rsidRPr="007A6659" w:rsidRDefault="00657E8A" w:rsidP="001F3AEE">
      <w:pPr>
        <w:spacing w:after="0" w:line="360" w:lineRule="exact"/>
        <w:ind w:left="1560" w:hangingChars="600" w:hanging="1560"/>
        <w:jc w:val="both"/>
        <w:rPr>
          <w:i/>
          <w:sz w:val="26"/>
          <w:szCs w:val="26"/>
        </w:rPr>
      </w:pPr>
      <w:r w:rsidRPr="007A6659">
        <w:rPr>
          <w:i/>
          <w:sz w:val="26"/>
          <w:szCs w:val="26"/>
        </w:rPr>
        <w:t>Prediction</w:t>
      </w:r>
      <w:r w:rsidR="005B7147" w:rsidRPr="007A6659">
        <w:rPr>
          <w:i/>
          <w:sz w:val="26"/>
          <w:szCs w:val="26"/>
        </w:rPr>
        <w:t xml:space="preserve"> 1a:</w:t>
      </w:r>
      <w:r w:rsidR="005B7147" w:rsidRPr="001F3AEE">
        <w:rPr>
          <w:i/>
          <w:sz w:val="26"/>
          <w:szCs w:val="26"/>
        </w:rPr>
        <w:t xml:space="preserve"> </w:t>
      </w:r>
      <w:r w:rsidR="005B7147" w:rsidRPr="007A6659">
        <w:rPr>
          <w:i/>
          <w:sz w:val="26"/>
          <w:szCs w:val="26"/>
        </w:rPr>
        <w:t>Greenpeace France will allocate a significantly greater percentage of its resources to the anti-GM campaign than will the Greenpeace in the United States.</w:t>
      </w:r>
    </w:p>
    <w:p w14:paraId="5E9BBF8C" w14:textId="3016C081" w:rsidR="005B7147" w:rsidRPr="007A6659" w:rsidRDefault="00657E8A" w:rsidP="001F3AEE">
      <w:pPr>
        <w:spacing w:after="0" w:line="360" w:lineRule="exact"/>
        <w:ind w:left="1560" w:hangingChars="600" w:hanging="1560"/>
        <w:jc w:val="both"/>
        <w:rPr>
          <w:i/>
          <w:sz w:val="26"/>
          <w:szCs w:val="26"/>
        </w:rPr>
      </w:pPr>
      <w:r w:rsidRPr="007A6659">
        <w:rPr>
          <w:i/>
          <w:sz w:val="26"/>
          <w:szCs w:val="26"/>
        </w:rPr>
        <w:t>Prediction</w:t>
      </w:r>
      <w:r w:rsidR="005B7147" w:rsidRPr="007A6659">
        <w:rPr>
          <w:i/>
          <w:sz w:val="26"/>
          <w:szCs w:val="26"/>
        </w:rPr>
        <w:t xml:space="preserve"> 1b:</w:t>
      </w:r>
      <w:r w:rsidR="005B7147" w:rsidRPr="001F3AEE">
        <w:rPr>
          <w:i/>
          <w:sz w:val="26"/>
          <w:szCs w:val="26"/>
        </w:rPr>
        <w:t xml:space="preserve"> </w:t>
      </w:r>
      <w:r w:rsidR="005B7147" w:rsidRPr="007A6659">
        <w:rPr>
          <w:i/>
          <w:sz w:val="26"/>
          <w:szCs w:val="26"/>
        </w:rPr>
        <w:t>Greenpeace Spain will allocate a significantly greater percentage of its resources to the anti-GM campaign than will the Greenpeace in the United States.</w:t>
      </w:r>
    </w:p>
    <w:p w14:paraId="1810409E" w14:textId="73E3F332" w:rsidR="005B7147" w:rsidRPr="007A6659" w:rsidRDefault="00657E8A" w:rsidP="001F3AEE">
      <w:pPr>
        <w:spacing w:after="0" w:line="360" w:lineRule="exact"/>
        <w:ind w:left="1560" w:hangingChars="600" w:hanging="1560"/>
        <w:jc w:val="both"/>
        <w:rPr>
          <w:i/>
          <w:sz w:val="26"/>
          <w:szCs w:val="26"/>
        </w:rPr>
      </w:pPr>
      <w:r w:rsidRPr="007A6659">
        <w:rPr>
          <w:i/>
          <w:sz w:val="26"/>
          <w:szCs w:val="26"/>
        </w:rPr>
        <w:t>Prediction</w:t>
      </w:r>
      <w:r w:rsidR="005B7147" w:rsidRPr="007A6659">
        <w:rPr>
          <w:i/>
          <w:sz w:val="26"/>
          <w:szCs w:val="26"/>
        </w:rPr>
        <w:t xml:space="preserve"> 1c: The United States Greenpeace will allocate a significantly smaller percentage of their resources to the anti-GM campaign than will Greenpeace International.</w:t>
      </w:r>
    </w:p>
    <w:p w14:paraId="428BB04F" w14:textId="0AF5B94E" w:rsidR="005B7147" w:rsidRPr="007A6659" w:rsidRDefault="00657E8A" w:rsidP="001F3AEE">
      <w:pPr>
        <w:spacing w:after="0" w:line="360" w:lineRule="exact"/>
        <w:ind w:left="1560" w:hangingChars="600" w:hanging="1560"/>
        <w:jc w:val="both"/>
        <w:rPr>
          <w:i/>
          <w:sz w:val="26"/>
          <w:szCs w:val="26"/>
        </w:rPr>
      </w:pPr>
      <w:r w:rsidRPr="007A6659">
        <w:rPr>
          <w:i/>
          <w:sz w:val="26"/>
          <w:szCs w:val="26"/>
        </w:rPr>
        <w:t>Prediction</w:t>
      </w:r>
      <w:r w:rsidR="005B7147" w:rsidRPr="007A6659">
        <w:rPr>
          <w:i/>
          <w:sz w:val="26"/>
          <w:szCs w:val="26"/>
        </w:rPr>
        <w:t xml:space="preserve"> 1d: The United States Greenpeace will allocate a significantly smaller percentage of their resources to the anti-GM campaign than will Greenpeace Worldwide.</w:t>
      </w:r>
    </w:p>
    <w:p w14:paraId="03F7A869" w14:textId="77777777" w:rsidR="005B7147" w:rsidRPr="007A6659" w:rsidRDefault="000F4AF0" w:rsidP="00294F29">
      <w:pPr>
        <w:tabs>
          <w:tab w:val="left" w:pos="3060"/>
        </w:tabs>
        <w:spacing w:after="0" w:line="240" w:lineRule="auto"/>
        <w:rPr>
          <w:b/>
          <w:sz w:val="26"/>
          <w:szCs w:val="26"/>
        </w:rPr>
      </w:pPr>
      <w:r w:rsidRPr="007A6659">
        <w:rPr>
          <w:b/>
          <w:sz w:val="26"/>
          <w:szCs w:val="26"/>
        </w:rPr>
        <w:tab/>
      </w:r>
    </w:p>
    <w:p w14:paraId="4F04723A" w14:textId="44DA2636" w:rsidR="005B7147" w:rsidRPr="00255029" w:rsidRDefault="000F4AF0" w:rsidP="00FF5068">
      <w:pPr>
        <w:spacing w:after="0" w:line="240" w:lineRule="auto"/>
        <w:outlineLvl w:val="1"/>
        <w:rPr>
          <w:b/>
          <w:sz w:val="26"/>
          <w:szCs w:val="26"/>
        </w:rPr>
      </w:pPr>
      <w:r w:rsidRPr="00255029">
        <w:rPr>
          <w:b/>
          <w:sz w:val="26"/>
          <w:szCs w:val="26"/>
        </w:rPr>
        <w:t>Informal</w:t>
      </w:r>
      <w:r w:rsidR="00846140" w:rsidRPr="00255029">
        <w:rPr>
          <w:b/>
          <w:sz w:val="26"/>
          <w:szCs w:val="26"/>
        </w:rPr>
        <w:t xml:space="preserve"> Institutional Pressures</w:t>
      </w:r>
    </w:p>
    <w:p w14:paraId="789EE9BE" w14:textId="31974135" w:rsidR="005B7147" w:rsidRPr="007A6659" w:rsidRDefault="005B7147" w:rsidP="00FF5068">
      <w:pPr>
        <w:spacing w:after="0" w:line="360" w:lineRule="exact"/>
        <w:ind w:firstLineChars="200" w:firstLine="520"/>
        <w:jc w:val="both"/>
        <w:rPr>
          <w:sz w:val="26"/>
          <w:szCs w:val="26"/>
        </w:rPr>
      </w:pPr>
      <w:r w:rsidRPr="007A6659">
        <w:rPr>
          <w:sz w:val="26"/>
          <w:szCs w:val="26"/>
        </w:rPr>
        <w:t>More EU residents than US residents oppose GM</w:t>
      </w:r>
      <w:r w:rsidR="00D15E78">
        <w:rPr>
          <w:sz w:val="26"/>
          <w:szCs w:val="26"/>
        </w:rPr>
        <w:t>O</w:t>
      </w:r>
      <w:r w:rsidRPr="007A6659">
        <w:rPr>
          <w:sz w:val="26"/>
          <w:szCs w:val="26"/>
        </w:rPr>
        <w:t>s (Doh &amp; Guay, 2006; Isaac et al., 2004; Legge Jr. &amp; Durant, 2010; Soule, 2003). A review of public opinion surrounding GM</w:t>
      </w:r>
      <w:r w:rsidR="00D15E78">
        <w:rPr>
          <w:sz w:val="26"/>
          <w:szCs w:val="26"/>
        </w:rPr>
        <w:t>O</w:t>
      </w:r>
      <w:r w:rsidRPr="007A6659">
        <w:rPr>
          <w:sz w:val="26"/>
          <w:szCs w:val="26"/>
        </w:rPr>
        <w:t>s during the mid to late 1990s (Soule, 2003) indicates that:</w:t>
      </w:r>
    </w:p>
    <w:p w14:paraId="037A1397" w14:textId="77777777" w:rsidR="005B7147" w:rsidRPr="007A6659" w:rsidRDefault="005B7147" w:rsidP="00DE6E41">
      <w:pPr>
        <w:spacing w:after="0" w:line="360" w:lineRule="atLeast"/>
        <w:ind w:leftChars="100" w:left="500" w:hangingChars="100" w:hanging="260"/>
        <w:jc w:val="both"/>
        <w:rPr>
          <w:sz w:val="26"/>
          <w:szCs w:val="26"/>
        </w:rPr>
      </w:pPr>
      <w:r w:rsidRPr="007A6659">
        <w:rPr>
          <w:sz w:val="26"/>
          <w:szCs w:val="26"/>
        </w:rPr>
        <w:t>- more Europeans opposed GM foods than supported them</w:t>
      </w:r>
    </w:p>
    <w:p w14:paraId="7D4E3B2E" w14:textId="77777777" w:rsidR="005B7147" w:rsidRPr="007A6659" w:rsidRDefault="005B7147" w:rsidP="00DE6E41">
      <w:pPr>
        <w:spacing w:after="0" w:line="360" w:lineRule="atLeast"/>
        <w:ind w:leftChars="100" w:left="500" w:hangingChars="100" w:hanging="260"/>
        <w:jc w:val="both"/>
        <w:rPr>
          <w:sz w:val="26"/>
          <w:szCs w:val="26"/>
        </w:rPr>
      </w:pPr>
      <w:r w:rsidRPr="007A6659">
        <w:rPr>
          <w:sz w:val="26"/>
          <w:szCs w:val="26"/>
        </w:rPr>
        <w:t>- more US residents supported than opposed GM foods</w:t>
      </w:r>
    </w:p>
    <w:p w14:paraId="3D413DCF" w14:textId="0FD2ADCB" w:rsidR="005B7147" w:rsidRPr="007A6659" w:rsidRDefault="005B7147" w:rsidP="00DE6E41">
      <w:pPr>
        <w:spacing w:after="0" w:line="360" w:lineRule="atLeast"/>
        <w:ind w:leftChars="100" w:left="500" w:hangingChars="100" w:hanging="260"/>
        <w:jc w:val="both"/>
        <w:rPr>
          <w:sz w:val="26"/>
          <w:szCs w:val="26"/>
        </w:rPr>
      </w:pPr>
      <w:r w:rsidRPr="007A6659">
        <w:rPr>
          <w:sz w:val="26"/>
          <w:szCs w:val="26"/>
        </w:rPr>
        <w:t>- more Europeans believed that environmental organizations would provide more truthful information about GM</w:t>
      </w:r>
      <w:r w:rsidR="001C5F21">
        <w:rPr>
          <w:sz w:val="26"/>
          <w:szCs w:val="26"/>
        </w:rPr>
        <w:t>O</w:t>
      </w:r>
      <w:r w:rsidRPr="007A6659">
        <w:rPr>
          <w:sz w:val="26"/>
          <w:szCs w:val="26"/>
        </w:rPr>
        <w:t>s than would farming organizations, government</w:t>
      </w:r>
      <w:r w:rsidR="001C5F21">
        <w:rPr>
          <w:sz w:val="26"/>
          <w:szCs w:val="26"/>
        </w:rPr>
        <w:t>,</w:t>
      </w:r>
      <w:r w:rsidRPr="007A6659">
        <w:rPr>
          <w:sz w:val="26"/>
          <w:szCs w:val="26"/>
        </w:rPr>
        <w:t xml:space="preserve"> or business</w:t>
      </w:r>
    </w:p>
    <w:p w14:paraId="0AED0FD6" w14:textId="6D33E992" w:rsidR="005B7147" w:rsidRPr="007A6659" w:rsidRDefault="005B7147" w:rsidP="00DE6E41">
      <w:pPr>
        <w:spacing w:after="0" w:line="360" w:lineRule="atLeast"/>
        <w:ind w:leftChars="100" w:left="500" w:hangingChars="100" w:hanging="260"/>
        <w:jc w:val="both"/>
        <w:rPr>
          <w:sz w:val="26"/>
          <w:szCs w:val="26"/>
        </w:rPr>
      </w:pPr>
      <w:r w:rsidRPr="007A6659">
        <w:rPr>
          <w:sz w:val="26"/>
          <w:szCs w:val="26"/>
        </w:rPr>
        <w:t>- in the US</w:t>
      </w:r>
      <w:r w:rsidR="001C5F21">
        <w:rPr>
          <w:sz w:val="26"/>
          <w:szCs w:val="26"/>
        </w:rPr>
        <w:t>,</w:t>
      </w:r>
      <w:r w:rsidRPr="007A6659">
        <w:rPr>
          <w:sz w:val="26"/>
          <w:szCs w:val="26"/>
        </w:rPr>
        <w:t xml:space="preserve"> an overwhelming number of respondents </w:t>
      </w:r>
      <w:r w:rsidR="001C5F21">
        <w:rPr>
          <w:sz w:val="26"/>
          <w:szCs w:val="26"/>
        </w:rPr>
        <w:t>reported</w:t>
      </w:r>
      <w:r w:rsidR="001C5F21" w:rsidRPr="007A6659">
        <w:rPr>
          <w:sz w:val="26"/>
          <w:szCs w:val="26"/>
        </w:rPr>
        <w:t xml:space="preserve"> </w:t>
      </w:r>
      <w:r w:rsidRPr="007A6659">
        <w:rPr>
          <w:sz w:val="26"/>
          <w:szCs w:val="26"/>
        </w:rPr>
        <w:t xml:space="preserve">strong trust </w:t>
      </w:r>
      <w:r w:rsidR="001C5F21">
        <w:rPr>
          <w:sz w:val="26"/>
          <w:szCs w:val="26"/>
        </w:rPr>
        <w:t>in</w:t>
      </w:r>
      <w:r w:rsidR="001C5F21" w:rsidRPr="007A6659">
        <w:rPr>
          <w:sz w:val="26"/>
          <w:szCs w:val="26"/>
        </w:rPr>
        <w:t xml:space="preserve"> </w:t>
      </w:r>
      <w:r w:rsidRPr="007A6659">
        <w:rPr>
          <w:sz w:val="26"/>
          <w:szCs w:val="26"/>
        </w:rPr>
        <w:t xml:space="preserve">the USDA, the FDA, and business regarding biotechnology </w:t>
      </w:r>
    </w:p>
    <w:p w14:paraId="43852BDB" w14:textId="62CA72D3" w:rsidR="005B7147" w:rsidRPr="007A6659" w:rsidRDefault="005B7147" w:rsidP="00FF5068">
      <w:pPr>
        <w:spacing w:after="0" w:line="360" w:lineRule="exact"/>
        <w:ind w:firstLineChars="200" w:firstLine="520"/>
        <w:jc w:val="both"/>
        <w:rPr>
          <w:sz w:val="26"/>
          <w:szCs w:val="26"/>
        </w:rPr>
      </w:pPr>
      <w:r w:rsidRPr="007A6659">
        <w:rPr>
          <w:sz w:val="26"/>
          <w:szCs w:val="26"/>
        </w:rPr>
        <w:t xml:space="preserve">Doh and Guay (2006) </w:t>
      </w:r>
      <w:r w:rsidR="001C5F21">
        <w:rPr>
          <w:sz w:val="26"/>
          <w:szCs w:val="26"/>
        </w:rPr>
        <w:t>found</w:t>
      </w:r>
      <w:r w:rsidR="001C5F21" w:rsidRPr="007A6659">
        <w:rPr>
          <w:sz w:val="26"/>
          <w:szCs w:val="26"/>
        </w:rPr>
        <w:t xml:space="preserve"> </w:t>
      </w:r>
      <w:r w:rsidRPr="007A6659">
        <w:rPr>
          <w:sz w:val="26"/>
          <w:szCs w:val="26"/>
        </w:rPr>
        <w:t>substantially stronger support for GM cultivation and foodstuffs in the US than in Europe. Isaac et al. (2004) describe</w:t>
      </w:r>
      <w:r w:rsidR="001C5F21">
        <w:rPr>
          <w:sz w:val="26"/>
          <w:szCs w:val="26"/>
        </w:rPr>
        <w:t>d</w:t>
      </w:r>
      <w:r w:rsidRPr="007A6659">
        <w:rPr>
          <w:sz w:val="26"/>
          <w:szCs w:val="26"/>
        </w:rPr>
        <w:t xml:space="preserve"> North American consumers as indifferent to the introduction of GMs</w:t>
      </w:r>
      <w:r w:rsidR="001C5F21">
        <w:rPr>
          <w:sz w:val="26"/>
          <w:szCs w:val="26"/>
        </w:rPr>
        <w:t xml:space="preserve"> while describing</w:t>
      </w:r>
      <w:r w:rsidRPr="007A6659">
        <w:rPr>
          <w:sz w:val="26"/>
          <w:szCs w:val="26"/>
        </w:rPr>
        <w:t xml:space="preserve"> Europeans as concerned. Wootliff and Deri (2001) report</w:t>
      </w:r>
      <w:r w:rsidR="001C5F21">
        <w:rPr>
          <w:sz w:val="26"/>
          <w:szCs w:val="26"/>
        </w:rPr>
        <w:t>ed that</w:t>
      </w:r>
      <w:r w:rsidRPr="007A6659">
        <w:rPr>
          <w:sz w:val="26"/>
          <w:szCs w:val="26"/>
        </w:rPr>
        <w:t xml:space="preserve"> Europeans trust </w:t>
      </w:r>
      <w:r w:rsidR="00DB0E76" w:rsidRPr="007A6659">
        <w:rPr>
          <w:sz w:val="26"/>
          <w:szCs w:val="26"/>
        </w:rPr>
        <w:t>non-</w:t>
      </w:r>
      <w:r w:rsidR="007A3C23" w:rsidRPr="007A6659">
        <w:rPr>
          <w:sz w:val="26"/>
          <w:szCs w:val="26"/>
        </w:rPr>
        <w:t>profits</w:t>
      </w:r>
      <w:r w:rsidRPr="007A6659">
        <w:rPr>
          <w:sz w:val="26"/>
          <w:szCs w:val="26"/>
        </w:rPr>
        <w:t xml:space="preserve"> over business</w:t>
      </w:r>
      <w:r w:rsidR="001C5F21">
        <w:rPr>
          <w:sz w:val="26"/>
          <w:szCs w:val="26"/>
        </w:rPr>
        <w:t>es</w:t>
      </w:r>
      <w:r w:rsidRPr="007A6659">
        <w:rPr>
          <w:sz w:val="26"/>
          <w:szCs w:val="26"/>
        </w:rPr>
        <w:t>, government</w:t>
      </w:r>
      <w:r w:rsidR="001C5F21">
        <w:rPr>
          <w:sz w:val="26"/>
          <w:szCs w:val="26"/>
        </w:rPr>
        <w:t>,</w:t>
      </w:r>
      <w:r w:rsidRPr="007A6659">
        <w:rPr>
          <w:sz w:val="26"/>
          <w:szCs w:val="26"/>
        </w:rPr>
        <w:t xml:space="preserve"> and media while US citizens trust business</w:t>
      </w:r>
      <w:r w:rsidR="001C5F21">
        <w:rPr>
          <w:sz w:val="26"/>
          <w:szCs w:val="26"/>
        </w:rPr>
        <w:t>es</w:t>
      </w:r>
      <w:r w:rsidRPr="007A6659">
        <w:rPr>
          <w:sz w:val="26"/>
          <w:szCs w:val="26"/>
        </w:rPr>
        <w:t xml:space="preserve"> over government, </w:t>
      </w:r>
      <w:r w:rsidR="00DB0E76" w:rsidRPr="007A6659">
        <w:rPr>
          <w:sz w:val="26"/>
          <w:szCs w:val="26"/>
        </w:rPr>
        <w:t>non-profits</w:t>
      </w:r>
      <w:r w:rsidR="001C5F21">
        <w:rPr>
          <w:sz w:val="26"/>
          <w:szCs w:val="26"/>
        </w:rPr>
        <w:t>,</w:t>
      </w:r>
      <w:r w:rsidRPr="007A6659">
        <w:rPr>
          <w:sz w:val="26"/>
          <w:szCs w:val="26"/>
        </w:rPr>
        <w:t xml:space="preserve"> and media (in descending order). Europeans have less </w:t>
      </w:r>
      <w:r w:rsidR="007A3C23" w:rsidRPr="007A6659">
        <w:rPr>
          <w:sz w:val="26"/>
          <w:szCs w:val="26"/>
        </w:rPr>
        <w:t>favorable</w:t>
      </w:r>
      <w:r w:rsidRPr="007A6659">
        <w:rPr>
          <w:sz w:val="26"/>
          <w:szCs w:val="26"/>
        </w:rPr>
        <w:t xml:space="preserve"> attitudes toward </w:t>
      </w:r>
      <w:r w:rsidR="00980D41">
        <w:rPr>
          <w:sz w:val="26"/>
          <w:szCs w:val="26"/>
        </w:rPr>
        <w:t>new technology</w:t>
      </w:r>
      <w:r w:rsidRPr="007A6659">
        <w:rPr>
          <w:sz w:val="26"/>
          <w:szCs w:val="26"/>
        </w:rPr>
        <w:t xml:space="preserve"> than </w:t>
      </w:r>
      <w:r w:rsidR="00980D41">
        <w:rPr>
          <w:sz w:val="26"/>
          <w:szCs w:val="26"/>
        </w:rPr>
        <w:t xml:space="preserve">do </w:t>
      </w:r>
      <w:r w:rsidRPr="007A6659">
        <w:rPr>
          <w:sz w:val="26"/>
          <w:szCs w:val="26"/>
        </w:rPr>
        <w:t xml:space="preserve">US citizens who embrace technological advancement, and Europeans emphasize an aesthetic attitude toward food, </w:t>
      </w:r>
      <w:r w:rsidR="001C5F21">
        <w:rPr>
          <w:sz w:val="26"/>
          <w:szCs w:val="26"/>
        </w:rPr>
        <w:t>in contrast to</w:t>
      </w:r>
      <w:r w:rsidRPr="007A6659">
        <w:rPr>
          <w:sz w:val="26"/>
          <w:szCs w:val="26"/>
        </w:rPr>
        <w:t xml:space="preserve"> the more utilitarian US attitude (Runge, Bagnara, &amp; Jackson, 2001).</w:t>
      </w:r>
    </w:p>
    <w:p w14:paraId="66F0435A" w14:textId="77777777" w:rsidR="005B7147" w:rsidRPr="007A6659" w:rsidRDefault="005B7147" w:rsidP="00294F29">
      <w:pPr>
        <w:spacing w:after="0" w:line="240" w:lineRule="auto"/>
        <w:rPr>
          <w:i/>
          <w:sz w:val="26"/>
          <w:szCs w:val="26"/>
        </w:rPr>
      </w:pPr>
    </w:p>
    <w:p w14:paraId="2A54C8E3" w14:textId="1196B407" w:rsidR="000F4AF0" w:rsidRPr="00255029" w:rsidRDefault="00657E8A" w:rsidP="00FF5068">
      <w:pPr>
        <w:spacing w:after="0" w:line="240" w:lineRule="auto"/>
        <w:outlineLvl w:val="1"/>
        <w:rPr>
          <w:b/>
          <w:sz w:val="26"/>
          <w:szCs w:val="26"/>
        </w:rPr>
      </w:pPr>
      <w:r w:rsidRPr="00255029">
        <w:rPr>
          <w:b/>
          <w:sz w:val="26"/>
          <w:szCs w:val="26"/>
        </w:rPr>
        <w:t>Predictions</w:t>
      </w:r>
      <w:r w:rsidR="005B7147" w:rsidRPr="00255029">
        <w:rPr>
          <w:b/>
          <w:sz w:val="26"/>
          <w:szCs w:val="26"/>
        </w:rPr>
        <w:t xml:space="preserve"> </w:t>
      </w:r>
      <w:r w:rsidR="00846140" w:rsidRPr="00255029">
        <w:rPr>
          <w:b/>
          <w:sz w:val="26"/>
          <w:szCs w:val="26"/>
        </w:rPr>
        <w:t xml:space="preserve">Concerning </w:t>
      </w:r>
      <w:r w:rsidR="00CB7B07" w:rsidRPr="00255029">
        <w:rPr>
          <w:b/>
          <w:sz w:val="26"/>
          <w:szCs w:val="26"/>
        </w:rPr>
        <w:t xml:space="preserve">the </w:t>
      </w:r>
      <w:r w:rsidR="00846140" w:rsidRPr="00255029">
        <w:rPr>
          <w:b/>
          <w:sz w:val="26"/>
          <w:szCs w:val="26"/>
        </w:rPr>
        <w:t>Informal Institutional Environme</w:t>
      </w:r>
      <w:r w:rsidR="005B7147" w:rsidRPr="00255029">
        <w:rPr>
          <w:b/>
          <w:sz w:val="26"/>
          <w:szCs w:val="26"/>
        </w:rPr>
        <w:t xml:space="preserve">nt  </w:t>
      </w:r>
    </w:p>
    <w:p w14:paraId="11AB633E" w14:textId="17C9ED48" w:rsidR="005B7147" w:rsidRPr="007A6659" w:rsidRDefault="005B7147" w:rsidP="00FF5068">
      <w:pPr>
        <w:spacing w:after="0" w:line="360" w:lineRule="exact"/>
        <w:ind w:firstLineChars="200" w:firstLine="520"/>
        <w:jc w:val="both"/>
        <w:rPr>
          <w:i/>
          <w:sz w:val="26"/>
          <w:szCs w:val="26"/>
        </w:rPr>
      </w:pPr>
      <w:r w:rsidRPr="007A6659">
        <w:rPr>
          <w:sz w:val="26"/>
          <w:szCs w:val="26"/>
        </w:rPr>
        <w:t xml:space="preserve">Europeans demonstrate a greater distaste for and distrust of GM products than do citizens of the US. If the formal institutional environments </w:t>
      </w:r>
      <w:r w:rsidR="003D0A2A">
        <w:rPr>
          <w:sz w:val="26"/>
          <w:szCs w:val="26"/>
        </w:rPr>
        <w:t>were</w:t>
      </w:r>
      <w:r w:rsidR="003D0A2A" w:rsidRPr="007A6659">
        <w:rPr>
          <w:sz w:val="26"/>
          <w:szCs w:val="26"/>
        </w:rPr>
        <w:t xml:space="preserve"> </w:t>
      </w:r>
      <w:r w:rsidRPr="007A6659">
        <w:rPr>
          <w:sz w:val="26"/>
          <w:szCs w:val="26"/>
        </w:rPr>
        <w:t xml:space="preserve">similar, then strategic </w:t>
      </w:r>
      <w:r w:rsidR="007A3C23" w:rsidRPr="007A6659">
        <w:rPr>
          <w:sz w:val="26"/>
          <w:szCs w:val="26"/>
        </w:rPr>
        <w:t>behavior</w:t>
      </w:r>
      <w:r w:rsidRPr="007A6659">
        <w:rPr>
          <w:sz w:val="26"/>
          <w:szCs w:val="26"/>
        </w:rPr>
        <w:t xml:space="preserve"> differences could be due to informal </w:t>
      </w:r>
      <w:r w:rsidR="00C566D7" w:rsidRPr="007A6659">
        <w:rPr>
          <w:sz w:val="26"/>
          <w:szCs w:val="26"/>
        </w:rPr>
        <w:t>pressure</w:t>
      </w:r>
      <w:r w:rsidRPr="007A6659">
        <w:rPr>
          <w:sz w:val="26"/>
          <w:szCs w:val="26"/>
        </w:rPr>
        <w:t xml:space="preserve">s. Even in the presence of formal institutional differences, informal institutional </w:t>
      </w:r>
      <w:r w:rsidR="00C566D7" w:rsidRPr="007A6659">
        <w:rPr>
          <w:sz w:val="26"/>
          <w:szCs w:val="26"/>
        </w:rPr>
        <w:t>pressure</w:t>
      </w:r>
      <w:r w:rsidRPr="007A6659">
        <w:rPr>
          <w:sz w:val="26"/>
          <w:szCs w:val="26"/>
        </w:rPr>
        <w:t xml:space="preserve">s could still be influential. We expect the levels of funding for Greenpeace’s anti-GM campaign in different environments to differ based on the local attitudes toward GM crops and foodstuffs. The attitude toward GMs </w:t>
      </w:r>
      <w:r w:rsidR="003D0A2A" w:rsidRPr="007A6659">
        <w:rPr>
          <w:sz w:val="26"/>
          <w:szCs w:val="26"/>
        </w:rPr>
        <w:t xml:space="preserve">is friendlier in the US </w:t>
      </w:r>
      <w:r w:rsidRPr="007A6659">
        <w:rPr>
          <w:sz w:val="26"/>
          <w:szCs w:val="26"/>
        </w:rPr>
        <w:t xml:space="preserve">than in the EU, and the informal level of trust in </w:t>
      </w:r>
      <w:r w:rsidR="00DB0E76" w:rsidRPr="007A6659">
        <w:rPr>
          <w:sz w:val="26"/>
          <w:szCs w:val="26"/>
        </w:rPr>
        <w:t>non-profit</w:t>
      </w:r>
      <w:r w:rsidRPr="007A6659">
        <w:rPr>
          <w:sz w:val="26"/>
          <w:szCs w:val="26"/>
        </w:rPr>
        <w:t xml:space="preserve">s is higher in the EU than in the US. </w:t>
      </w:r>
      <w:r w:rsidR="00FF79BA" w:rsidRPr="007A6659">
        <w:rPr>
          <w:sz w:val="26"/>
          <w:szCs w:val="26"/>
        </w:rPr>
        <w:t xml:space="preserve"> </w:t>
      </w:r>
      <w:r w:rsidRPr="007A6659">
        <w:rPr>
          <w:sz w:val="26"/>
          <w:szCs w:val="26"/>
        </w:rPr>
        <w:t>We predict that formal and informal institutional differences between the European Union and the United States will put parallel pressure on local Greenpeace units. Those in the US will be discouraged from wasting money on the losing game of anti-GM while those in the EU will be encouraged to participate in a much more successful anti-GM campaign. To identify the differences in the effects of these pressures, if any, we turn to a situation where the formal institutional pressures are the same but the informal institutional pressures are different.</w:t>
      </w:r>
    </w:p>
    <w:p w14:paraId="770AEC87" w14:textId="4000CF1F" w:rsidR="005B7147" w:rsidRPr="007A6659" w:rsidRDefault="005B7147" w:rsidP="00FF5068">
      <w:pPr>
        <w:spacing w:after="0" w:line="360" w:lineRule="exact"/>
        <w:ind w:firstLineChars="200" w:firstLine="520"/>
        <w:jc w:val="both"/>
        <w:rPr>
          <w:sz w:val="26"/>
          <w:szCs w:val="26"/>
        </w:rPr>
      </w:pPr>
      <w:r w:rsidRPr="007A6659">
        <w:rPr>
          <w:sz w:val="26"/>
          <w:szCs w:val="26"/>
        </w:rPr>
        <w:t>France and Spain are both members of the European Union</w:t>
      </w:r>
      <w:r w:rsidR="000E524B">
        <w:rPr>
          <w:sz w:val="26"/>
          <w:szCs w:val="26"/>
        </w:rPr>
        <w:t>; thus, it can</w:t>
      </w:r>
      <w:r w:rsidRPr="007A6659">
        <w:rPr>
          <w:sz w:val="26"/>
          <w:szCs w:val="26"/>
        </w:rPr>
        <w:t xml:space="preserve"> be argued </w:t>
      </w:r>
      <w:r w:rsidR="000E524B">
        <w:rPr>
          <w:sz w:val="26"/>
          <w:szCs w:val="26"/>
        </w:rPr>
        <w:t>that they</w:t>
      </w:r>
      <w:r w:rsidR="000E524B" w:rsidRPr="007A6659">
        <w:rPr>
          <w:sz w:val="26"/>
          <w:szCs w:val="26"/>
        </w:rPr>
        <w:t xml:space="preserve"> </w:t>
      </w:r>
      <w:r w:rsidRPr="007A6659">
        <w:rPr>
          <w:sz w:val="26"/>
          <w:szCs w:val="26"/>
        </w:rPr>
        <w:t xml:space="preserve">face similar, if not identical, formal institutional environments. </w:t>
      </w:r>
      <w:r w:rsidR="000E524B">
        <w:rPr>
          <w:sz w:val="26"/>
          <w:szCs w:val="26"/>
        </w:rPr>
        <w:t>However,</w:t>
      </w:r>
      <w:r w:rsidR="000E524B" w:rsidRPr="007A6659">
        <w:rPr>
          <w:sz w:val="26"/>
          <w:szCs w:val="26"/>
        </w:rPr>
        <w:t xml:space="preserve"> </w:t>
      </w:r>
      <w:r w:rsidRPr="007A6659">
        <w:rPr>
          <w:sz w:val="26"/>
          <w:szCs w:val="26"/>
        </w:rPr>
        <w:t>their informal institutional environments are very different. According to the Hofstede Centre (</w:t>
      </w:r>
      <w:r w:rsidR="00DA42F6">
        <w:rPr>
          <w:sz w:val="26"/>
          <w:szCs w:val="26"/>
        </w:rPr>
        <w:t>2018</w:t>
      </w:r>
      <w:r w:rsidRPr="007A6659">
        <w:rPr>
          <w:sz w:val="26"/>
          <w:szCs w:val="26"/>
        </w:rPr>
        <w:t>), the French are more individualist</w:t>
      </w:r>
      <w:r w:rsidR="000E524B">
        <w:rPr>
          <w:sz w:val="26"/>
          <w:szCs w:val="26"/>
        </w:rPr>
        <w:t xml:space="preserve"> and</w:t>
      </w:r>
      <w:r w:rsidRPr="007A6659">
        <w:rPr>
          <w:sz w:val="26"/>
          <w:szCs w:val="26"/>
        </w:rPr>
        <w:t xml:space="preserve"> higher on power distance</w:t>
      </w:r>
      <w:r w:rsidR="001827F9" w:rsidRPr="007A6659">
        <w:rPr>
          <w:sz w:val="26"/>
          <w:szCs w:val="26"/>
        </w:rPr>
        <w:t xml:space="preserve"> (meaning they are more accepting of hierarchies with power focused near the top)</w:t>
      </w:r>
      <w:r w:rsidRPr="007A6659">
        <w:rPr>
          <w:sz w:val="26"/>
          <w:szCs w:val="26"/>
        </w:rPr>
        <w:t xml:space="preserve"> </w:t>
      </w:r>
      <w:r w:rsidR="000E524B">
        <w:rPr>
          <w:sz w:val="26"/>
          <w:szCs w:val="26"/>
        </w:rPr>
        <w:t>compared to</w:t>
      </w:r>
      <w:r w:rsidR="000E524B" w:rsidRPr="007A6659">
        <w:rPr>
          <w:sz w:val="26"/>
          <w:szCs w:val="26"/>
        </w:rPr>
        <w:t xml:space="preserve"> </w:t>
      </w:r>
      <w:r w:rsidRPr="007A6659">
        <w:rPr>
          <w:sz w:val="26"/>
          <w:szCs w:val="26"/>
        </w:rPr>
        <w:t>Spaniards</w:t>
      </w:r>
      <w:r w:rsidR="000E524B">
        <w:rPr>
          <w:sz w:val="26"/>
          <w:szCs w:val="26"/>
        </w:rPr>
        <w:t xml:space="preserve">, </w:t>
      </w:r>
      <w:r w:rsidRPr="007A6659">
        <w:rPr>
          <w:sz w:val="26"/>
          <w:szCs w:val="26"/>
        </w:rPr>
        <w:t xml:space="preserve">and the French are more long-term oriented than </w:t>
      </w:r>
      <w:r w:rsidR="000E524B">
        <w:rPr>
          <w:sz w:val="26"/>
          <w:szCs w:val="26"/>
        </w:rPr>
        <w:t xml:space="preserve">are </w:t>
      </w:r>
      <w:r w:rsidRPr="007A6659">
        <w:rPr>
          <w:sz w:val="26"/>
          <w:szCs w:val="26"/>
        </w:rPr>
        <w:t xml:space="preserve">Spaniards. As a reflection of this long-term orientation, France is </w:t>
      </w:r>
      <w:r w:rsidR="000E524B">
        <w:rPr>
          <w:sz w:val="26"/>
          <w:szCs w:val="26"/>
        </w:rPr>
        <w:t>known</w:t>
      </w:r>
      <w:r w:rsidR="000E524B" w:rsidRPr="007A6659">
        <w:rPr>
          <w:sz w:val="26"/>
          <w:szCs w:val="26"/>
        </w:rPr>
        <w:t xml:space="preserve"> </w:t>
      </w:r>
      <w:r w:rsidRPr="007A6659">
        <w:rPr>
          <w:sz w:val="26"/>
          <w:szCs w:val="26"/>
        </w:rPr>
        <w:t>for being one of very few nations to formally regulate its language, reflecting national pride in the purity of “France</w:t>
      </w:r>
      <w:r w:rsidR="000E524B">
        <w:rPr>
          <w:sz w:val="26"/>
          <w:szCs w:val="26"/>
        </w:rPr>
        <w:t>.</w:t>
      </w:r>
      <w:r w:rsidRPr="007A6659">
        <w:rPr>
          <w:sz w:val="26"/>
          <w:szCs w:val="26"/>
        </w:rPr>
        <w:t>” If GM crops can be portrayed as defiling that purity, a strong anti-GM response would be expected. Alternatively</w:t>
      </w:r>
      <w:r w:rsidR="004B6A2D" w:rsidRPr="007A6659">
        <w:rPr>
          <w:sz w:val="26"/>
          <w:szCs w:val="26"/>
        </w:rPr>
        <w:t>,</w:t>
      </w:r>
      <w:r w:rsidRPr="007A6659">
        <w:rPr>
          <w:sz w:val="26"/>
          <w:szCs w:val="26"/>
        </w:rPr>
        <w:t xml:space="preserve"> one might argue that the French are more likely to look at long-term consequences than are the Spanish, while both are more likely to do so than people in the United States, where individualism is high, uncertainty avoidance is low, and long-term orientation is the lowest measured trait (Hofstede Centre, </w:t>
      </w:r>
      <w:r w:rsidR="00DA42F6">
        <w:rPr>
          <w:sz w:val="26"/>
          <w:szCs w:val="26"/>
        </w:rPr>
        <w:t>2018</w:t>
      </w:r>
      <w:r w:rsidRPr="007A6659">
        <w:rPr>
          <w:sz w:val="26"/>
          <w:szCs w:val="26"/>
        </w:rPr>
        <w:t xml:space="preserve">). </w:t>
      </w:r>
      <w:r w:rsidR="000E524B">
        <w:rPr>
          <w:sz w:val="26"/>
          <w:szCs w:val="26"/>
        </w:rPr>
        <w:t>Although c</w:t>
      </w:r>
      <w:r w:rsidRPr="007A6659">
        <w:rPr>
          <w:sz w:val="26"/>
          <w:szCs w:val="26"/>
        </w:rPr>
        <w:t xml:space="preserve">itizens of Spain and the US may be no less proud of their respective nations, that pride is not necessarily </w:t>
      </w:r>
      <w:r w:rsidR="000E524B">
        <w:rPr>
          <w:sz w:val="26"/>
          <w:szCs w:val="26"/>
        </w:rPr>
        <w:t>linked to</w:t>
      </w:r>
      <w:r w:rsidRPr="007A6659">
        <w:rPr>
          <w:sz w:val="26"/>
          <w:szCs w:val="26"/>
        </w:rPr>
        <w:t xml:space="preserve"> the long term or on environmental issues related to GM crops or foods. </w:t>
      </w:r>
      <w:r w:rsidR="00F075D4" w:rsidRPr="007A6659">
        <w:rPr>
          <w:sz w:val="26"/>
          <w:szCs w:val="26"/>
        </w:rPr>
        <w:t xml:space="preserve">Furthermore, France exports more than twice as many </w:t>
      </w:r>
      <w:r w:rsidR="00AD7611" w:rsidRPr="007A6659">
        <w:rPr>
          <w:sz w:val="26"/>
          <w:szCs w:val="26"/>
        </w:rPr>
        <w:t>agricultural products as Spain (OEC 201</w:t>
      </w:r>
      <w:r w:rsidR="00DA42F6">
        <w:rPr>
          <w:sz w:val="26"/>
          <w:szCs w:val="26"/>
        </w:rPr>
        <w:t>8</w:t>
      </w:r>
      <w:r w:rsidR="00AD7611" w:rsidRPr="007A6659">
        <w:rPr>
          <w:sz w:val="26"/>
          <w:szCs w:val="26"/>
        </w:rPr>
        <w:t>a, 201</w:t>
      </w:r>
      <w:r w:rsidR="00DA42F6">
        <w:rPr>
          <w:sz w:val="26"/>
          <w:szCs w:val="26"/>
        </w:rPr>
        <w:t>8</w:t>
      </w:r>
      <w:r w:rsidR="00AD7611" w:rsidRPr="007A6659">
        <w:rPr>
          <w:sz w:val="26"/>
          <w:szCs w:val="26"/>
        </w:rPr>
        <w:t>b), so potentially</w:t>
      </w:r>
      <w:r w:rsidR="000E524B">
        <w:rPr>
          <w:sz w:val="26"/>
          <w:szCs w:val="26"/>
        </w:rPr>
        <w:t>, it</w:t>
      </w:r>
      <w:r w:rsidR="00AD7611" w:rsidRPr="007A6659">
        <w:rPr>
          <w:sz w:val="26"/>
          <w:szCs w:val="26"/>
        </w:rPr>
        <w:t xml:space="preserve"> has more reason</w:t>
      </w:r>
      <w:r w:rsidR="000E524B">
        <w:rPr>
          <w:sz w:val="26"/>
          <w:szCs w:val="26"/>
        </w:rPr>
        <w:t>s</w:t>
      </w:r>
      <w:r w:rsidR="00AD7611" w:rsidRPr="007A6659">
        <w:rPr>
          <w:sz w:val="26"/>
          <w:szCs w:val="26"/>
        </w:rPr>
        <w:t xml:space="preserve"> to care about the purity and </w:t>
      </w:r>
      <w:r w:rsidR="000E524B">
        <w:rPr>
          <w:sz w:val="26"/>
          <w:szCs w:val="26"/>
        </w:rPr>
        <w:t xml:space="preserve">its </w:t>
      </w:r>
      <w:r w:rsidR="00AD7611" w:rsidRPr="007A6659">
        <w:rPr>
          <w:sz w:val="26"/>
          <w:szCs w:val="26"/>
        </w:rPr>
        <w:t xml:space="preserve">reputation for purity of its agricultural products.  </w:t>
      </w:r>
      <w:r w:rsidRPr="007A6659">
        <w:rPr>
          <w:sz w:val="26"/>
          <w:szCs w:val="26"/>
        </w:rPr>
        <w:t>The finding (Ioannou &amp; Serafeim, 2010) that French firms average .72 on a standardized measure of environmental responsibility and Spanish ones average .64 (US ones average .37) supports the above</w:t>
      </w:r>
      <w:r w:rsidR="00CD2652">
        <w:rPr>
          <w:sz w:val="26"/>
          <w:szCs w:val="26"/>
        </w:rPr>
        <w:t>-stated</w:t>
      </w:r>
      <w:r w:rsidRPr="007A6659">
        <w:rPr>
          <w:sz w:val="26"/>
          <w:szCs w:val="26"/>
        </w:rPr>
        <w:t xml:space="preserve"> arguments. It suggests that the informal institutional environment in France is more strongly supportive of environmental matters in general than the corresponding one in Spain. The effects of the differences in informal institutional environments between the US and the EU cannot be measured in this study separate</w:t>
      </w:r>
      <w:r w:rsidR="00CD2652">
        <w:rPr>
          <w:sz w:val="26"/>
          <w:szCs w:val="26"/>
        </w:rPr>
        <w:t>ly</w:t>
      </w:r>
      <w:r w:rsidRPr="007A6659">
        <w:rPr>
          <w:sz w:val="26"/>
          <w:szCs w:val="26"/>
        </w:rPr>
        <w:t xml:space="preserve"> from the formal differences. However, we can predict differences caused by informal institutional differences between France and Spain:</w:t>
      </w:r>
    </w:p>
    <w:p w14:paraId="79210148" w14:textId="77777777" w:rsidR="005B7147" w:rsidRPr="007A6659" w:rsidRDefault="00657E8A" w:rsidP="00352B18">
      <w:pPr>
        <w:spacing w:after="0" w:line="360" w:lineRule="atLeast"/>
        <w:ind w:left="1430" w:hangingChars="550" w:hanging="1430"/>
        <w:rPr>
          <w:sz w:val="26"/>
          <w:szCs w:val="26"/>
        </w:rPr>
      </w:pPr>
      <w:r w:rsidRPr="007A6659">
        <w:rPr>
          <w:i/>
          <w:sz w:val="26"/>
          <w:szCs w:val="26"/>
        </w:rPr>
        <w:t>Prediction</w:t>
      </w:r>
      <w:r w:rsidR="005B7147" w:rsidRPr="007A6659">
        <w:rPr>
          <w:i/>
          <w:sz w:val="26"/>
          <w:szCs w:val="26"/>
        </w:rPr>
        <w:t xml:space="preserve"> 2: Greenpeace France will allocate a greater percentage of its resources to the anti-GM campaign than will Greenpeace Spain.</w:t>
      </w:r>
    </w:p>
    <w:p w14:paraId="023B2C4F" w14:textId="77777777" w:rsidR="005B7147" w:rsidRPr="007A6659" w:rsidRDefault="005B7147" w:rsidP="00FF5068">
      <w:pPr>
        <w:spacing w:after="0" w:line="360" w:lineRule="exact"/>
        <w:ind w:firstLineChars="200" w:firstLine="520"/>
        <w:jc w:val="both"/>
        <w:rPr>
          <w:sz w:val="26"/>
          <w:szCs w:val="26"/>
        </w:rPr>
      </w:pPr>
      <w:r w:rsidRPr="007A6659">
        <w:rPr>
          <w:sz w:val="26"/>
          <w:szCs w:val="26"/>
        </w:rPr>
        <w:t>Because of the similarity in formal institutional environments between the two nations, any difference found here should be attributable to differences in info</w:t>
      </w:r>
      <w:r w:rsidR="00657E8A" w:rsidRPr="007A6659">
        <w:rPr>
          <w:sz w:val="26"/>
          <w:szCs w:val="26"/>
        </w:rPr>
        <w:t>rmal environmental environments</w:t>
      </w:r>
      <w:r w:rsidRPr="007A6659">
        <w:rPr>
          <w:sz w:val="26"/>
          <w:szCs w:val="26"/>
        </w:rPr>
        <w:t>.</w:t>
      </w:r>
    </w:p>
    <w:p w14:paraId="331F7DA2" w14:textId="77777777" w:rsidR="005B7147" w:rsidRPr="007A6659" w:rsidRDefault="005B7147" w:rsidP="00294F29">
      <w:pPr>
        <w:spacing w:after="0" w:line="240" w:lineRule="auto"/>
        <w:rPr>
          <w:b/>
          <w:sz w:val="26"/>
          <w:szCs w:val="26"/>
        </w:rPr>
      </w:pPr>
    </w:p>
    <w:p w14:paraId="5A238CC4" w14:textId="72A5566A" w:rsidR="005B7147" w:rsidRPr="00255029" w:rsidRDefault="006F3F99" w:rsidP="00C2487B">
      <w:pPr>
        <w:spacing w:after="0" w:line="240" w:lineRule="auto"/>
        <w:jc w:val="center"/>
        <w:outlineLvl w:val="0"/>
        <w:rPr>
          <w:b/>
          <w:caps/>
          <w:sz w:val="26"/>
          <w:szCs w:val="26"/>
        </w:rPr>
      </w:pPr>
      <w:r>
        <w:rPr>
          <w:b/>
          <w:sz w:val="26"/>
          <w:szCs w:val="26"/>
        </w:rPr>
        <w:t>RESULTS AND DISCUSSION</w:t>
      </w:r>
    </w:p>
    <w:p w14:paraId="20DC0EAD" w14:textId="419AD8AA" w:rsidR="005B7147" w:rsidRPr="007A6659" w:rsidRDefault="005B7147" w:rsidP="00FF5068">
      <w:pPr>
        <w:spacing w:after="0" w:line="360" w:lineRule="exact"/>
        <w:ind w:firstLineChars="200" w:firstLine="520"/>
        <w:jc w:val="both"/>
        <w:rPr>
          <w:sz w:val="26"/>
          <w:szCs w:val="26"/>
        </w:rPr>
      </w:pPr>
      <w:r w:rsidRPr="007A6659">
        <w:rPr>
          <w:sz w:val="26"/>
          <w:szCs w:val="26"/>
        </w:rPr>
        <w:t xml:space="preserve">The data </w:t>
      </w:r>
      <w:r w:rsidR="00CD2652">
        <w:rPr>
          <w:sz w:val="26"/>
          <w:szCs w:val="26"/>
        </w:rPr>
        <w:t>were</w:t>
      </w:r>
      <w:r w:rsidR="00CD2652" w:rsidRPr="007A6659">
        <w:rPr>
          <w:sz w:val="26"/>
          <w:szCs w:val="26"/>
        </w:rPr>
        <w:t xml:space="preserve"> </w:t>
      </w:r>
      <w:r w:rsidRPr="007A6659">
        <w:rPr>
          <w:sz w:val="26"/>
          <w:szCs w:val="26"/>
        </w:rPr>
        <w:t xml:space="preserve">gathered from the annual reports of Greenpeace International and the respective national Greenpeace units. </w:t>
      </w:r>
      <w:r w:rsidR="00C2022B" w:rsidRPr="007A6659">
        <w:rPr>
          <w:sz w:val="26"/>
          <w:szCs w:val="26"/>
        </w:rPr>
        <w:t xml:space="preserve">Greenpeace reported expenditure on the then-categorized biodiversity campaign in its 1994 and 1995 annual reports but did not mention GM products until 1996. In 1998, the annual report changed the campaign’s name from “biodiversity” to “genetically modified organisms.” Resource allocation data </w:t>
      </w:r>
      <w:r w:rsidR="00CD2652">
        <w:rPr>
          <w:sz w:val="26"/>
          <w:szCs w:val="26"/>
        </w:rPr>
        <w:t>were</w:t>
      </w:r>
      <w:r w:rsidR="00CD2652" w:rsidRPr="007A6659">
        <w:rPr>
          <w:sz w:val="26"/>
          <w:szCs w:val="26"/>
        </w:rPr>
        <w:t xml:space="preserve"> </w:t>
      </w:r>
      <w:r w:rsidR="00C2022B" w:rsidRPr="007A6659">
        <w:rPr>
          <w:sz w:val="26"/>
          <w:szCs w:val="26"/>
        </w:rPr>
        <w:t>collected beginning with the 1998 annual reports. Financial data for Greenpeace USA, France, Spain, Greenpeace International, and Greenpeace ‘World</w:t>
      </w:r>
      <w:r w:rsidR="00CD2652">
        <w:rPr>
          <w:sz w:val="26"/>
          <w:szCs w:val="26"/>
        </w:rPr>
        <w:t>w</w:t>
      </w:r>
      <w:r w:rsidR="00C2022B" w:rsidRPr="007A6659">
        <w:rPr>
          <w:sz w:val="26"/>
          <w:szCs w:val="26"/>
        </w:rPr>
        <w:t xml:space="preserve">ide’ </w:t>
      </w:r>
      <w:r w:rsidR="00CD2652">
        <w:rPr>
          <w:sz w:val="26"/>
          <w:szCs w:val="26"/>
        </w:rPr>
        <w:t>were</w:t>
      </w:r>
      <w:r w:rsidR="00CD2652" w:rsidRPr="007A6659">
        <w:rPr>
          <w:sz w:val="26"/>
          <w:szCs w:val="26"/>
        </w:rPr>
        <w:t xml:space="preserve"> </w:t>
      </w:r>
      <w:r w:rsidR="00C2022B" w:rsidRPr="007A6659">
        <w:rPr>
          <w:sz w:val="26"/>
          <w:szCs w:val="26"/>
        </w:rPr>
        <w:t xml:space="preserve">taken from their annual reports. The Greenpeace International financial report </w:t>
      </w:r>
      <w:r w:rsidR="00CD2652">
        <w:rPr>
          <w:sz w:val="26"/>
          <w:szCs w:val="26"/>
        </w:rPr>
        <w:t>was derived</w:t>
      </w:r>
      <w:r w:rsidR="00CD2652" w:rsidRPr="007A6659">
        <w:rPr>
          <w:sz w:val="26"/>
          <w:szCs w:val="26"/>
        </w:rPr>
        <w:t xml:space="preserve"> </w:t>
      </w:r>
      <w:r w:rsidR="00C2022B" w:rsidRPr="007A6659">
        <w:rPr>
          <w:sz w:val="26"/>
          <w:szCs w:val="26"/>
        </w:rPr>
        <w:t>from</w:t>
      </w:r>
      <w:r w:rsidR="00C2022B" w:rsidRPr="007A6659">
        <w:rPr>
          <w:rFonts w:eastAsia="Times New Roman"/>
          <w:sz w:val="26"/>
          <w:szCs w:val="26"/>
        </w:rPr>
        <w:t xml:space="preserve"> the financial reports of Stichting Greenpeace Council and other affiliated Greenpeace organizations but not </w:t>
      </w:r>
      <w:r w:rsidR="00CD2652">
        <w:rPr>
          <w:rFonts w:eastAsia="Times New Roman"/>
          <w:sz w:val="26"/>
          <w:szCs w:val="26"/>
        </w:rPr>
        <w:t>from</w:t>
      </w:r>
      <w:r w:rsidR="00C2022B" w:rsidRPr="007A6659">
        <w:rPr>
          <w:rFonts w:eastAsia="Times New Roman"/>
          <w:sz w:val="26"/>
          <w:szCs w:val="26"/>
        </w:rPr>
        <w:t xml:space="preserve"> the Greenpeace national offices. </w:t>
      </w:r>
      <w:r w:rsidR="00C2022B" w:rsidRPr="007A6659">
        <w:rPr>
          <w:sz w:val="26"/>
          <w:szCs w:val="26"/>
        </w:rPr>
        <w:t>Greenpeace ‘World</w:t>
      </w:r>
      <w:r w:rsidR="00CD2652">
        <w:rPr>
          <w:sz w:val="26"/>
          <w:szCs w:val="26"/>
        </w:rPr>
        <w:t>w</w:t>
      </w:r>
      <w:r w:rsidR="00C2022B" w:rsidRPr="007A6659">
        <w:rPr>
          <w:sz w:val="26"/>
          <w:szCs w:val="26"/>
        </w:rPr>
        <w:t xml:space="preserve">ide’ financials </w:t>
      </w:r>
      <w:r w:rsidR="00CD2652">
        <w:rPr>
          <w:sz w:val="26"/>
          <w:szCs w:val="26"/>
        </w:rPr>
        <w:t>were</w:t>
      </w:r>
      <w:r w:rsidR="00CD2652" w:rsidRPr="007A6659">
        <w:rPr>
          <w:sz w:val="26"/>
          <w:szCs w:val="26"/>
        </w:rPr>
        <w:t xml:space="preserve"> </w:t>
      </w:r>
      <w:r w:rsidR="00C2022B" w:rsidRPr="007A6659">
        <w:rPr>
          <w:sz w:val="26"/>
          <w:szCs w:val="26"/>
        </w:rPr>
        <w:t>the aggregated financial data for the national/regional units</w:t>
      </w:r>
      <w:r w:rsidR="00CD2652">
        <w:rPr>
          <w:sz w:val="26"/>
          <w:szCs w:val="26"/>
        </w:rPr>
        <w:t>,</w:t>
      </w:r>
      <w:r w:rsidR="00C2022B" w:rsidRPr="007A6659">
        <w:rPr>
          <w:sz w:val="26"/>
          <w:szCs w:val="26"/>
        </w:rPr>
        <w:t xml:space="preserve"> as reported to Greenpeace International</w:t>
      </w:r>
      <w:r w:rsidR="00F505E0">
        <w:rPr>
          <w:sz w:val="26"/>
          <w:szCs w:val="26"/>
        </w:rPr>
        <w:t xml:space="preserve"> (Greenpeace International, 1997</w:t>
      </w:r>
      <w:r w:rsidR="00C2022B" w:rsidRPr="007A6659">
        <w:rPr>
          <w:sz w:val="26"/>
          <w:szCs w:val="26"/>
        </w:rPr>
        <w:t xml:space="preserve">). </w:t>
      </w:r>
      <w:r w:rsidRPr="007A6659">
        <w:rPr>
          <w:sz w:val="26"/>
          <w:szCs w:val="26"/>
        </w:rPr>
        <w:t xml:space="preserve">The expenditures on each campaign </w:t>
      </w:r>
      <w:r w:rsidR="00CD2652">
        <w:rPr>
          <w:sz w:val="26"/>
          <w:szCs w:val="26"/>
        </w:rPr>
        <w:t>were</w:t>
      </w:r>
      <w:r w:rsidR="00CD2652" w:rsidRPr="007A6659">
        <w:rPr>
          <w:sz w:val="26"/>
          <w:szCs w:val="26"/>
        </w:rPr>
        <w:t xml:space="preserve"> </w:t>
      </w:r>
      <w:r w:rsidRPr="007A6659">
        <w:rPr>
          <w:sz w:val="26"/>
          <w:szCs w:val="26"/>
        </w:rPr>
        <w:t>summed, and the percentage of expenditure on the anti-GM campaign calculated. Greenpeace International expenditures on the anti-GM campaign are available as far back as 1997</w:t>
      </w:r>
      <w:r w:rsidR="00CD2652">
        <w:rPr>
          <w:sz w:val="26"/>
          <w:szCs w:val="26"/>
        </w:rPr>
        <w:t>,</w:t>
      </w:r>
      <w:r w:rsidRPr="007A6659">
        <w:rPr>
          <w:sz w:val="26"/>
          <w:szCs w:val="26"/>
        </w:rPr>
        <w:t xml:space="preserve"> while </w:t>
      </w:r>
      <w:r w:rsidR="00CD2652">
        <w:rPr>
          <w:sz w:val="26"/>
          <w:szCs w:val="26"/>
        </w:rPr>
        <w:t xml:space="preserve">2001 was </w:t>
      </w:r>
      <w:r w:rsidRPr="007A6659">
        <w:rPr>
          <w:sz w:val="26"/>
          <w:szCs w:val="26"/>
        </w:rPr>
        <w:t xml:space="preserve">the first year for which comparable national unit data </w:t>
      </w:r>
      <w:r w:rsidR="00CD2652">
        <w:rPr>
          <w:sz w:val="26"/>
          <w:szCs w:val="26"/>
        </w:rPr>
        <w:t xml:space="preserve">are available </w:t>
      </w:r>
      <w:r w:rsidR="00230ED6">
        <w:rPr>
          <w:sz w:val="26"/>
          <w:szCs w:val="26"/>
        </w:rPr>
        <w:t xml:space="preserve">(data from Spain from </w:t>
      </w:r>
      <w:r w:rsidR="00AE745B">
        <w:rPr>
          <w:sz w:val="26"/>
          <w:szCs w:val="26"/>
        </w:rPr>
        <w:t xml:space="preserve">2001 and </w:t>
      </w:r>
      <w:r w:rsidR="00230ED6">
        <w:rPr>
          <w:sz w:val="26"/>
          <w:szCs w:val="26"/>
        </w:rPr>
        <w:t>2003</w:t>
      </w:r>
      <w:r w:rsidRPr="007A6659">
        <w:rPr>
          <w:sz w:val="26"/>
          <w:szCs w:val="26"/>
        </w:rPr>
        <w:t xml:space="preserve"> are also missing). </w:t>
      </w:r>
    </w:p>
    <w:p w14:paraId="352BC3A9" w14:textId="570609DD" w:rsidR="00097B10" w:rsidRPr="007A6659" w:rsidRDefault="005B7147" w:rsidP="00FF5068">
      <w:pPr>
        <w:spacing w:after="0" w:line="360" w:lineRule="exact"/>
        <w:ind w:firstLineChars="200" w:firstLine="520"/>
        <w:jc w:val="both"/>
        <w:rPr>
          <w:sz w:val="26"/>
          <w:szCs w:val="26"/>
        </w:rPr>
      </w:pPr>
      <w:r w:rsidRPr="007A6659">
        <w:rPr>
          <w:sz w:val="26"/>
          <w:szCs w:val="26"/>
        </w:rPr>
        <w:t xml:space="preserve">The data for Greenpeace International </w:t>
      </w:r>
      <w:r w:rsidR="00020754" w:rsidRPr="007A6659">
        <w:rPr>
          <w:sz w:val="26"/>
          <w:szCs w:val="26"/>
        </w:rPr>
        <w:t>provide</w:t>
      </w:r>
      <w:r w:rsidRPr="007A6659">
        <w:rPr>
          <w:sz w:val="26"/>
          <w:szCs w:val="26"/>
        </w:rPr>
        <w:t xml:space="preserve"> the </w:t>
      </w:r>
      <w:r w:rsidR="00DA42F6">
        <w:rPr>
          <w:sz w:val="26"/>
          <w:szCs w:val="26"/>
        </w:rPr>
        <w:t xml:space="preserve">budget </w:t>
      </w:r>
      <w:r w:rsidRPr="007A6659">
        <w:rPr>
          <w:sz w:val="26"/>
          <w:szCs w:val="26"/>
        </w:rPr>
        <w:t>allocation decision</w:t>
      </w:r>
      <w:r w:rsidR="00DA42F6">
        <w:rPr>
          <w:sz w:val="26"/>
          <w:szCs w:val="26"/>
        </w:rPr>
        <w:t>s</w:t>
      </w:r>
      <w:r w:rsidRPr="007A6659">
        <w:rPr>
          <w:sz w:val="26"/>
          <w:szCs w:val="26"/>
        </w:rPr>
        <w:t xml:space="preserve"> of the International unit and reflect the global policies and strategic direction of the Greenpeace coordinating body. Greenpeace International also reports the aggregate data for all national units by campaign and thus provides the average worldwide budget allocation. These data exclude Greenpeace International budget information. Data are also available for the national units of France, Spain</w:t>
      </w:r>
      <w:r w:rsidR="00972865">
        <w:rPr>
          <w:sz w:val="26"/>
          <w:szCs w:val="26"/>
        </w:rPr>
        <w:t>,</w:t>
      </w:r>
      <w:r w:rsidRPr="007A6659">
        <w:rPr>
          <w:sz w:val="26"/>
          <w:szCs w:val="26"/>
        </w:rPr>
        <w:t xml:space="preserve"> and the United States. The US unit reports </w:t>
      </w:r>
      <w:r w:rsidR="00972865">
        <w:rPr>
          <w:sz w:val="26"/>
          <w:szCs w:val="26"/>
        </w:rPr>
        <w:t>its</w:t>
      </w:r>
      <w:r w:rsidR="00972865" w:rsidRPr="007A6659">
        <w:rPr>
          <w:sz w:val="26"/>
          <w:szCs w:val="26"/>
        </w:rPr>
        <w:t xml:space="preserve"> </w:t>
      </w:r>
      <w:r w:rsidRPr="007A6659">
        <w:rPr>
          <w:sz w:val="26"/>
          <w:szCs w:val="26"/>
        </w:rPr>
        <w:t xml:space="preserve">budget by campaign for two purposes: direct campaign action, which is USA, Inc., and education and research efforts, which is USA Fund. Rather than choosing one to represent the US, we </w:t>
      </w:r>
      <w:r w:rsidR="00FF79BA" w:rsidRPr="007A6659">
        <w:rPr>
          <w:sz w:val="26"/>
          <w:szCs w:val="26"/>
        </w:rPr>
        <w:t>evaluate</w:t>
      </w:r>
      <w:r w:rsidR="00972865">
        <w:rPr>
          <w:sz w:val="26"/>
          <w:szCs w:val="26"/>
        </w:rPr>
        <w:t>d</w:t>
      </w:r>
      <w:r w:rsidR="00FF79BA" w:rsidRPr="007A6659">
        <w:rPr>
          <w:sz w:val="26"/>
          <w:szCs w:val="26"/>
        </w:rPr>
        <w:t xml:space="preserve"> Predictions</w:t>
      </w:r>
      <w:r w:rsidRPr="007A6659">
        <w:rPr>
          <w:sz w:val="26"/>
          <w:szCs w:val="26"/>
        </w:rPr>
        <w:t xml:space="preserve"> 1a, 1b, 1c</w:t>
      </w:r>
      <w:r w:rsidR="00972865">
        <w:rPr>
          <w:sz w:val="26"/>
          <w:szCs w:val="26"/>
        </w:rPr>
        <w:t>,</w:t>
      </w:r>
      <w:r w:rsidRPr="007A6659">
        <w:rPr>
          <w:sz w:val="26"/>
          <w:szCs w:val="26"/>
        </w:rPr>
        <w:t xml:space="preserve"> and 1d using </w:t>
      </w:r>
      <w:r w:rsidR="00972865">
        <w:rPr>
          <w:sz w:val="26"/>
          <w:szCs w:val="26"/>
        </w:rPr>
        <w:t xml:space="preserve">the </w:t>
      </w:r>
      <w:r w:rsidRPr="007A6659">
        <w:rPr>
          <w:sz w:val="26"/>
          <w:szCs w:val="26"/>
        </w:rPr>
        <w:t>data from both US units for more robust findings.</w:t>
      </w:r>
    </w:p>
    <w:p w14:paraId="6AFE08CD" w14:textId="57AD5904" w:rsidR="005B7147" w:rsidRPr="007A6659" w:rsidRDefault="005B7147" w:rsidP="00FF5068">
      <w:pPr>
        <w:spacing w:after="0" w:line="360" w:lineRule="exact"/>
        <w:ind w:firstLineChars="200" w:firstLine="520"/>
        <w:jc w:val="both"/>
        <w:rPr>
          <w:sz w:val="26"/>
          <w:szCs w:val="26"/>
        </w:rPr>
      </w:pPr>
      <w:r w:rsidRPr="007A6659">
        <w:rPr>
          <w:sz w:val="26"/>
          <w:szCs w:val="26"/>
        </w:rPr>
        <w:t>In the initial campaign year, GM received a relatively low percent</w:t>
      </w:r>
      <w:r w:rsidR="00972865">
        <w:rPr>
          <w:sz w:val="26"/>
          <w:szCs w:val="26"/>
        </w:rPr>
        <w:t>age</w:t>
      </w:r>
      <w:r w:rsidRPr="007A6659">
        <w:rPr>
          <w:sz w:val="26"/>
          <w:szCs w:val="26"/>
        </w:rPr>
        <w:t xml:space="preserve"> of the budget. Greenpeace International </w:t>
      </w:r>
      <w:r w:rsidR="00972865">
        <w:rPr>
          <w:sz w:val="26"/>
          <w:szCs w:val="26"/>
        </w:rPr>
        <w:t>allocated</w:t>
      </w:r>
      <w:r w:rsidR="00972865" w:rsidRPr="007A6659">
        <w:rPr>
          <w:sz w:val="26"/>
          <w:szCs w:val="26"/>
        </w:rPr>
        <w:t xml:space="preserve"> </w:t>
      </w:r>
      <w:r w:rsidRPr="007A6659">
        <w:rPr>
          <w:sz w:val="26"/>
          <w:szCs w:val="26"/>
        </w:rPr>
        <w:t xml:space="preserve">4.05 percent of its budget to this campaign in 1997 while worldwide, the national and regional offices allocated 2.15 percent of their combined budgets. The remaining budget allocations </w:t>
      </w:r>
      <w:r w:rsidR="00972865">
        <w:rPr>
          <w:sz w:val="26"/>
          <w:szCs w:val="26"/>
        </w:rPr>
        <w:t>are shown</w:t>
      </w:r>
      <w:r w:rsidR="00972865" w:rsidRPr="007A6659">
        <w:rPr>
          <w:sz w:val="26"/>
          <w:szCs w:val="26"/>
        </w:rPr>
        <w:t xml:space="preserve"> </w:t>
      </w:r>
      <w:r w:rsidRPr="007A6659">
        <w:rPr>
          <w:sz w:val="26"/>
          <w:szCs w:val="26"/>
        </w:rPr>
        <w:t xml:space="preserve">in Table 1. The campaign reached its peak allocation in 2004, </w:t>
      </w:r>
      <w:r w:rsidR="00972865">
        <w:rPr>
          <w:sz w:val="26"/>
          <w:szCs w:val="26"/>
        </w:rPr>
        <w:t>with</w:t>
      </w:r>
      <w:r w:rsidR="00972865" w:rsidRPr="007A6659">
        <w:rPr>
          <w:sz w:val="26"/>
          <w:szCs w:val="26"/>
        </w:rPr>
        <w:t xml:space="preserve"> </w:t>
      </w:r>
      <w:r w:rsidRPr="007A6659">
        <w:rPr>
          <w:sz w:val="26"/>
          <w:szCs w:val="26"/>
        </w:rPr>
        <w:t xml:space="preserve">16.52 and 18.68 percent </w:t>
      </w:r>
      <w:r w:rsidR="00972865">
        <w:rPr>
          <w:sz w:val="26"/>
          <w:szCs w:val="26"/>
        </w:rPr>
        <w:t xml:space="preserve">being allocated </w:t>
      </w:r>
      <w:r w:rsidRPr="007A6659">
        <w:rPr>
          <w:sz w:val="26"/>
          <w:szCs w:val="26"/>
        </w:rPr>
        <w:t>to Greenpeace International and Worldwide financials, respectively.</w:t>
      </w:r>
    </w:p>
    <w:p w14:paraId="326E22DE" w14:textId="77777777" w:rsidR="0001050B" w:rsidRDefault="0001050B" w:rsidP="006A1F72">
      <w:pPr>
        <w:spacing w:after="0" w:line="240" w:lineRule="auto"/>
        <w:jc w:val="center"/>
        <w:rPr>
          <w:b/>
          <w:sz w:val="26"/>
          <w:szCs w:val="26"/>
        </w:rPr>
      </w:pPr>
    </w:p>
    <w:p w14:paraId="26E05C27" w14:textId="3FE2C9B0" w:rsidR="006A1F72" w:rsidRPr="006A1F72" w:rsidRDefault="006A1F72" w:rsidP="007B0EC5">
      <w:pPr>
        <w:spacing w:after="0" w:line="360" w:lineRule="exact"/>
        <w:jc w:val="center"/>
        <w:rPr>
          <w:b/>
          <w:sz w:val="26"/>
          <w:szCs w:val="26"/>
        </w:rPr>
      </w:pPr>
      <w:r w:rsidRPr="006A1F72">
        <w:rPr>
          <w:b/>
          <w:sz w:val="26"/>
          <w:szCs w:val="26"/>
        </w:rPr>
        <w:t xml:space="preserve">Table 1 </w:t>
      </w:r>
      <w:r w:rsidR="0001050B">
        <w:rPr>
          <w:b/>
          <w:sz w:val="26"/>
          <w:szCs w:val="26"/>
        </w:rPr>
        <w:t xml:space="preserve"> </w:t>
      </w:r>
      <w:r w:rsidRPr="006A1F72">
        <w:rPr>
          <w:b/>
          <w:sz w:val="26"/>
          <w:szCs w:val="26"/>
        </w:rPr>
        <w:t xml:space="preserve">Resource allocation to anti-GM campaign </w:t>
      </w:r>
      <w:r w:rsidR="0001050B">
        <w:rPr>
          <w:b/>
          <w:sz w:val="26"/>
          <w:szCs w:val="26"/>
        </w:rPr>
        <w:br/>
      </w:r>
      <w:r w:rsidRPr="006A1F72">
        <w:rPr>
          <w:b/>
          <w:sz w:val="26"/>
          <w:szCs w:val="26"/>
        </w:rPr>
        <w:t>(percent of total campaign budget)</w:t>
      </w:r>
    </w:p>
    <w:tbl>
      <w:tblPr>
        <w:tblStyle w:val="6-1"/>
        <w:tblW w:w="5000" w:type="pct"/>
        <w:shd w:val="clear" w:color="auto" w:fill="FFFFFF" w:themeFill="background1"/>
        <w:tblLook w:val="04A0" w:firstRow="1" w:lastRow="0" w:firstColumn="1" w:lastColumn="0" w:noHBand="0" w:noVBand="1"/>
      </w:tblPr>
      <w:tblGrid>
        <w:gridCol w:w="1187"/>
        <w:gridCol w:w="653"/>
        <w:gridCol w:w="653"/>
        <w:gridCol w:w="653"/>
        <w:gridCol w:w="653"/>
        <w:gridCol w:w="653"/>
        <w:gridCol w:w="653"/>
        <w:gridCol w:w="653"/>
        <w:gridCol w:w="653"/>
        <w:gridCol w:w="654"/>
        <w:gridCol w:w="654"/>
        <w:gridCol w:w="654"/>
        <w:gridCol w:w="654"/>
      </w:tblGrid>
      <w:tr w:rsidR="006B15C0" w:rsidRPr="006B15C0" w14:paraId="43A7D87E" w14:textId="77777777" w:rsidTr="00CB7B07">
        <w:trPr>
          <w:cnfStyle w:val="100000000000" w:firstRow="1" w:lastRow="0" w:firstColumn="0" w:lastColumn="0" w:oddVBand="0" w:evenVBand="0" w:oddHBand="0" w:evenHBand="0" w:firstRowFirstColumn="0" w:firstRowLastColumn="0" w:lastRowFirstColumn="0" w:lastRowLastColumn="0"/>
          <w:trHeight w:val="519"/>
        </w:trPr>
        <w:tc>
          <w:tcPr>
            <w:cnfStyle w:val="001000000000" w:firstRow="0" w:lastRow="0" w:firstColumn="1" w:lastColumn="0" w:oddVBand="0" w:evenVBand="0" w:oddHBand="0" w:evenHBand="0" w:firstRowFirstColumn="0" w:firstRowLastColumn="0" w:lastRowFirstColumn="0" w:lastRowLastColumn="0"/>
            <w:tcW w:w="630" w:type="pct"/>
            <w:tcBorders>
              <w:top w:val="single" w:sz="12" w:space="0" w:color="000000" w:themeColor="text1"/>
              <w:bottom w:val="single" w:sz="6" w:space="0" w:color="000000" w:themeColor="text1"/>
            </w:tcBorders>
            <w:shd w:val="clear" w:color="auto" w:fill="FFFFFF" w:themeFill="background1"/>
          </w:tcPr>
          <w:p w14:paraId="083BFA1F" w14:textId="77777777" w:rsidR="006A1F72" w:rsidRPr="006B15C0" w:rsidRDefault="006A1F72" w:rsidP="0001050B">
            <w:pPr>
              <w:adjustRightInd w:val="0"/>
              <w:spacing w:after="0" w:line="340" w:lineRule="atLeast"/>
              <w:rPr>
                <w:rFonts w:eastAsia="Times New Roman"/>
                <w:color w:val="auto"/>
                <w:sz w:val="19"/>
                <w:szCs w:val="19"/>
              </w:rPr>
            </w:pPr>
          </w:p>
        </w:tc>
        <w:tc>
          <w:tcPr>
            <w:tcW w:w="364" w:type="pct"/>
            <w:tcBorders>
              <w:top w:val="single" w:sz="12" w:space="0" w:color="000000" w:themeColor="text1"/>
              <w:bottom w:val="single" w:sz="6" w:space="0" w:color="000000" w:themeColor="text1"/>
            </w:tcBorders>
            <w:shd w:val="clear" w:color="auto" w:fill="FFFFFF" w:themeFill="background1"/>
          </w:tcPr>
          <w:p w14:paraId="7FF72258" w14:textId="77777777" w:rsidR="006A1F72" w:rsidRPr="006B15C0" w:rsidRDefault="006A1F72" w:rsidP="0001050B">
            <w:pPr>
              <w:adjustRightInd w:val="0"/>
              <w:spacing w:after="0" w:line="340" w:lineRule="atLeast"/>
              <w:jc w:val="center"/>
              <w:cnfStyle w:val="100000000000" w:firstRow="1" w:lastRow="0" w:firstColumn="0" w:lastColumn="0" w:oddVBand="0" w:evenVBand="0" w:oddHBand="0" w:evenHBand="0" w:firstRowFirstColumn="0" w:firstRowLastColumn="0" w:lastRowFirstColumn="0" w:lastRowLastColumn="0"/>
              <w:rPr>
                <w:rFonts w:eastAsia="Times New Roman"/>
                <w:color w:val="auto"/>
                <w:sz w:val="19"/>
                <w:szCs w:val="19"/>
              </w:rPr>
            </w:pPr>
            <w:r w:rsidRPr="006B15C0">
              <w:rPr>
                <w:rFonts w:eastAsia="Times New Roman"/>
                <w:color w:val="auto"/>
                <w:sz w:val="19"/>
                <w:szCs w:val="19"/>
              </w:rPr>
              <w:t>1997</w:t>
            </w:r>
          </w:p>
        </w:tc>
        <w:tc>
          <w:tcPr>
            <w:tcW w:w="364" w:type="pct"/>
            <w:tcBorders>
              <w:top w:val="single" w:sz="12" w:space="0" w:color="000000" w:themeColor="text1"/>
              <w:bottom w:val="single" w:sz="6" w:space="0" w:color="000000" w:themeColor="text1"/>
            </w:tcBorders>
            <w:shd w:val="clear" w:color="auto" w:fill="FFFFFF" w:themeFill="background1"/>
          </w:tcPr>
          <w:p w14:paraId="46ED74D1" w14:textId="77777777" w:rsidR="006A1F72" w:rsidRPr="006B15C0" w:rsidRDefault="006A1F72" w:rsidP="0001050B">
            <w:pPr>
              <w:adjustRightInd w:val="0"/>
              <w:spacing w:after="0" w:line="340" w:lineRule="atLeast"/>
              <w:jc w:val="center"/>
              <w:cnfStyle w:val="100000000000" w:firstRow="1" w:lastRow="0" w:firstColumn="0" w:lastColumn="0" w:oddVBand="0" w:evenVBand="0" w:oddHBand="0" w:evenHBand="0" w:firstRowFirstColumn="0" w:firstRowLastColumn="0" w:lastRowFirstColumn="0" w:lastRowLastColumn="0"/>
              <w:rPr>
                <w:rFonts w:eastAsia="Times New Roman"/>
                <w:color w:val="auto"/>
                <w:sz w:val="19"/>
                <w:szCs w:val="19"/>
              </w:rPr>
            </w:pPr>
            <w:r w:rsidRPr="006B15C0">
              <w:rPr>
                <w:rFonts w:eastAsia="Times New Roman"/>
                <w:color w:val="auto"/>
                <w:sz w:val="19"/>
                <w:szCs w:val="19"/>
              </w:rPr>
              <w:t>1998</w:t>
            </w:r>
          </w:p>
        </w:tc>
        <w:tc>
          <w:tcPr>
            <w:tcW w:w="364" w:type="pct"/>
            <w:tcBorders>
              <w:top w:val="single" w:sz="12" w:space="0" w:color="000000" w:themeColor="text1"/>
              <w:bottom w:val="single" w:sz="6" w:space="0" w:color="000000" w:themeColor="text1"/>
            </w:tcBorders>
            <w:shd w:val="clear" w:color="auto" w:fill="FFFFFF" w:themeFill="background1"/>
          </w:tcPr>
          <w:p w14:paraId="1EA75084" w14:textId="77777777" w:rsidR="006A1F72" w:rsidRPr="006B15C0" w:rsidRDefault="006A1F72" w:rsidP="0001050B">
            <w:pPr>
              <w:adjustRightInd w:val="0"/>
              <w:spacing w:after="0" w:line="340" w:lineRule="atLeast"/>
              <w:jc w:val="center"/>
              <w:cnfStyle w:val="100000000000" w:firstRow="1" w:lastRow="0" w:firstColumn="0" w:lastColumn="0" w:oddVBand="0" w:evenVBand="0" w:oddHBand="0" w:evenHBand="0" w:firstRowFirstColumn="0" w:firstRowLastColumn="0" w:lastRowFirstColumn="0" w:lastRowLastColumn="0"/>
              <w:rPr>
                <w:rFonts w:eastAsia="Times New Roman"/>
                <w:color w:val="auto"/>
                <w:sz w:val="19"/>
                <w:szCs w:val="19"/>
              </w:rPr>
            </w:pPr>
            <w:r w:rsidRPr="006B15C0">
              <w:rPr>
                <w:rFonts w:eastAsia="Times New Roman"/>
                <w:color w:val="auto"/>
                <w:sz w:val="19"/>
                <w:szCs w:val="19"/>
              </w:rPr>
              <w:t>1999</w:t>
            </w:r>
          </w:p>
        </w:tc>
        <w:tc>
          <w:tcPr>
            <w:tcW w:w="364" w:type="pct"/>
            <w:tcBorders>
              <w:top w:val="single" w:sz="12" w:space="0" w:color="000000" w:themeColor="text1"/>
              <w:bottom w:val="single" w:sz="6" w:space="0" w:color="000000" w:themeColor="text1"/>
            </w:tcBorders>
            <w:shd w:val="clear" w:color="auto" w:fill="FFFFFF" w:themeFill="background1"/>
          </w:tcPr>
          <w:p w14:paraId="13C8A296" w14:textId="77777777" w:rsidR="006A1F72" w:rsidRPr="006B15C0" w:rsidRDefault="006A1F72" w:rsidP="0001050B">
            <w:pPr>
              <w:adjustRightInd w:val="0"/>
              <w:spacing w:after="0" w:line="340" w:lineRule="atLeast"/>
              <w:jc w:val="center"/>
              <w:cnfStyle w:val="100000000000" w:firstRow="1" w:lastRow="0" w:firstColumn="0" w:lastColumn="0" w:oddVBand="0" w:evenVBand="0" w:oddHBand="0" w:evenHBand="0" w:firstRowFirstColumn="0" w:firstRowLastColumn="0" w:lastRowFirstColumn="0" w:lastRowLastColumn="0"/>
              <w:rPr>
                <w:rFonts w:eastAsia="Times New Roman"/>
                <w:color w:val="auto"/>
                <w:sz w:val="19"/>
                <w:szCs w:val="19"/>
              </w:rPr>
            </w:pPr>
            <w:r w:rsidRPr="006B15C0">
              <w:rPr>
                <w:rFonts w:eastAsia="Times New Roman"/>
                <w:color w:val="auto"/>
                <w:sz w:val="19"/>
                <w:szCs w:val="19"/>
              </w:rPr>
              <w:t>2000</w:t>
            </w:r>
          </w:p>
        </w:tc>
        <w:tc>
          <w:tcPr>
            <w:tcW w:w="364" w:type="pct"/>
            <w:tcBorders>
              <w:top w:val="single" w:sz="12" w:space="0" w:color="000000" w:themeColor="text1"/>
              <w:bottom w:val="single" w:sz="6" w:space="0" w:color="000000" w:themeColor="text1"/>
            </w:tcBorders>
            <w:shd w:val="clear" w:color="auto" w:fill="FFFFFF" w:themeFill="background1"/>
          </w:tcPr>
          <w:p w14:paraId="131204AD" w14:textId="77777777" w:rsidR="006A1F72" w:rsidRPr="006B15C0" w:rsidRDefault="006A1F72" w:rsidP="0001050B">
            <w:pPr>
              <w:adjustRightInd w:val="0"/>
              <w:spacing w:after="0" w:line="340" w:lineRule="atLeast"/>
              <w:jc w:val="center"/>
              <w:cnfStyle w:val="100000000000" w:firstRow="1" w:lastRow="0" w:firstColumn="0" w:lastColumn="0" w:oddVBand="0" w:evenVBand="0" w:oddHBand="0" w:evenHBand="0" w:firstRowFirstColumn="0" w:firstRowLastColumn="0" w:lastRowFirstColumn="0" w:lastRowLastColumn="0"/>
              <w:rPr>
                <w:rFonts w:eastAsia="Times New Roman"/>
                <w:color w:val="auto"/>
                <w:sz w:val="19"/>
                <w:szCs w:val="19"/>
              </w:rPr>
            </w:pPr>
            <w:r w:rsidRPr="006B15C0">
              <w:rPr>
                <w:rFonts w:eastAsia="Times New Roman"/>
                <w:color w:val="auto"/>
                <w:sz w:val="19"/>
                <w:szCs w:val="19"/>
              </w:rPr>
              <w:t>2001</w:t>
            </w:r>
          </w:p>
        </w:tc>
        <w:tc>
          <w:tcPr>
            <w:tcW w:w="364" w:type="pct"/>
            <w:tcBorders>
              <w:top w:val="single" w:sz="12" w:space="0" w:color="000000" w:themeColor="text1"/>
              <w:bottom w:val="single" w:sz="6" w:space="0" w:color="000000" w:themeColor="text1"/>
            </w:tcBorders>
            <w:shd w:val="clear" w:color="auto" w:fill="FFFFFF" w:themeFill="background1"/>
          </w:tcPr>
          <w:p w14:paraId="354A0C75" w14:textId="77777777" w:rsidR="006A1F72" w:rsidRPr="006B15C0" w:rsidRDefault="006A1F72" w:rsidP="0001050B">
            <w:pPr>
              <w:adjustRightInd w:val="0"/>
              <w:spacing w:after="0" w:line="340" w:lineRule="atLeast"/>
              <w:jc w:val="center"/>
              <w:cnfStyle w:val="100000000000" w:firstRow="1" w:lastRow="0" w:firstColumn="0" w:lastColumn="0" w:oddVBand="0" w:evenVBand="0" w:oddHBand="0" w:evenHBand="0" w:firstRowFirstColumn="0" w:firstRowLastColumn="0" w:lastRowFirstColumn="0" w:lastRowLastColumn="0"/>
              <w:rPr>
                <w:rFonts w:eastAsia="Times New Roman"/>
                <w:color w:val="auto"/>
                <w:sz w:val="19"/>
                <w:szCs w:val="19"/>
              </w:rPr>
            </w:pPr>
            <w:r w:rsidRPr="006B15C0">
              <w:rPr>
                <w:rFonts w:eastAsia="Times New Roman"/>
                <w:color w:val="auto"/>
                <w:sz w:val="19"/>
                <w:szCs w:val="19"/>
              </w:rPr>
              <w:t>2002</w:t>
            </w:r>
          </w:p>
        </w:tc>
        <w:tc>
          <w:tcPr>
            <w:tcW w:w="364" w:type="pct"/>
            <w:tcBorders>
              <w:top w:val="single" w:sz="12" w:space="0" w:color="000000" w:themeColor="text1"/>
              <w:bottom w:val="single" w:sz="6" w:space="0" w:color="000000" w:themeColor="text1"/>
            </w:tcBorders>
            <w:shd w:val="clear" w:color="auto" w:fill="FFFFFF" w:themeFill="background1"/>
          </w:tcPr>
          <w:p w14:paraId="74CCB367" w14:textId="77777777" w:rsidR="006A1F72" w:rsidRPr="006B15C0" w:rsidRDefault="006A1F72" w:rsidP="0001050B">
            <w:pPr>
              <w:adjustRightInd w:val="0"/>
              <w:spacing w:after="0" w:line="340" w:lineRule="atLeast"/>
              <w:jc w:val="center"/>
              <w:cnfStyle w:val="100000000000" w:firstRow="1" w:lastRow="0" w:firstColumn="0" w:lastColumn="0" w:oddVBand="0" w:evenVBand="0" w:oddHBand="0" w:evenHBand="0" w:firstRowFirstColumn="0" w:firstRowLastColumn="0" w:lastRowFirstColumn="0" w:lastRowLastColumn="0"/>
              <w:rPr>
                <w:rFonts w:eastAsia="Times New Roman"/>
                <w:color w:val="auto"/>
                <w:sz w:val="19"/>
                <w:szCs w:val="19"/>
              </w:rPr>
            </w:pPr>
            <w:r w:rsidRPr="006B15C0">
              <w:rPr>
                <w:rFonts w:eastAsia="Times New Roman"/>
                <w:color w:val="auto"/>
                <w:sz w:val="19"/>
                <w:szCs w:val="19"/>
              </w:rPr>
              <w:t>2003</w:t>
            </w:r>
          </w:p>
        </w:tc>
        <w:tc>
          <w:tcPr>
            <w:tcW w:w="364" w:type="pct"/>
            <w:tcBorders>
              <w:top w:val="single" w:sz="12" w:space="0" w:color="000000" w:themeColor="text1"/>
              <w:bottom w:val="single" w:sz="6" w:space="0" w:color="000000" w:themeColor="text1"/>
            </w:tcBorders>
            <w:shd w:val="clear" w:color="auto" w:fill="FFFFFF" w:themeFill="background1"/>
          </w:tcPr>
          <w:p w14:paraId="6C0B5A85" w14:textId="77777777" w:rsidR="006A1F72" w:rsidRPr="006B15C0" w:rsidRDefault="006A1F72" w:rsidP="0001050B">
            <w:pPr>
              <w:adjustRightInd w:val="0"/>
              <w:spacing w:after="0" w:line="340" w:lineRule="atLeast"/>
              <w:jc w:val="center"/>
              <w:cnfStyle w:val="100000000000" w:firstRow="1" w:lastRow="0" w:firstColumn="0" w:lastColumn="0" w:oddVBand="0" w:evenVBand="0" w:oddHBand="0" w:evenHBand="0" w:firstRowFirstColumn="0" w:firstRowLastColumn="0" w:lastRowFirstColumn="0" w:lastRowLastColumn="0"/>
              <w:rPr>
                <w:rFonts w:eastAsia="Times New Roman"/>
                <w:color w:val="auto"/>
                <w:sz w:val="19"/>
                <w:szCs w:val="19"/>
              </w:rPr>
            </w:pPr>
            <w:r w:rsidRPr="006B15C0">
              <w:rPr>
                <w:rFonts w:eastAsia="Times New Roman"/>
                <w:color w:val="auto"/>
                <w:sz w:val="19"/>
                <w:szCs w:val="19"/>
              </w:rPr>
              <w:t>2004</w:t>
            </w:r>
          </w:p>
        </w:tc>
        <w:tc>
          <w:tcPr>
            <w:tcW w:w="364" w:type="pct"/>
            <w:tcBorders>
              <w:top w:val="single" w:sz="12" w:space="0" w:color="000000" w:themeColor="text1"/>
              <w:bottom w:val="single" w:sz="6" w:space="0" w:color="000000" w:themeColor="text1"/>
            </w:tcBorders>
            <w:shd w:val="clear" w:color="auto" w:fill="FFFFFF" w:themeFill="background1"/>
          </w:tcPr>
          <w:p w14:paraId="0A9C93EF" w14:textId="77777777" w:rsidR="006A1F72" w:rsidRPr="006B15C0" w:rsidRDefault="006A1F72" w:rsidP="0001050B">
            <w:pPr>
              <w:adjustRightInd w:val="0"/>
              <w:spacing w:after="0" w:line="340" w:lineRule="atLeast"/>
              <w:jc w:val="center"/>
              <w:cnfStyle w:val="100000000000" w:firstRow="1" w:lastRow="0" w:firstColumn="0" w:lastColumn="0" w:oddVBand="0" w:evenVBand="0" w:oddHBand="0" w:evenHBand="0" w:firstRowFirstColumn="0" w:firstRowLastColumn="0" w:lastRowFirstColumn="0" w:lastRowLastColumn="0"/>
              <w:rPr>
                <w:rFonts w:eastAsia="Times New Roman"/>
                <w:color w:val="auto"/>
                <w:sz w:val="19"/>
                <w:szCs w:val="19"/>
              </w:rPr>
            </w:pPr>
            <w:r w:rsidRPr="006B15C0">
              <w:rPr>
                <w:rFonts w:eastAsia="Times New Roman"/>
                <w:color w:val="auto"/>
                <w:sz w:val="19"/>
                <w:szCs w:val="19"/>
              </w:rPr>
              <w:t>2005</w:t>
            </w:r>
          </w:p>
        </w:tc>
        <w:tc>
          <w:tcPr>
            <w:tcW w:w="364" w:type="pct"/>
            <w:tcBorders>
              <w:top w:val="single" w:sz="12" w:space="0" w:color="000000" w:themeColor="text1"/>
              <w:bottom w:val="single" w:sz="6" w:space="0" w:color="000000" w:themeColor="text1"/>
            </w:tcBorders>
            <w:shd w:val="clear" w:color="auto" w:fill="FFFFFF" w:themeFill="background1"/>
          </w:tcPr>
          <w:p w14:paraId="33E3F5CA" w14:textId="77777777" w:rsidR="006A1F72" w:rsidRPr="006B15C0" w:rsidRDefault="006A1F72" w:rsidP="0001050B">
            <w:pPr>
              <w:adjustRightInd w:val="0"/>
              <w:spacing w:after="0" w:line="340" w:lineRule="atLeast"/>
              <w:jc w:val="center"/>
              <w:cnfStyle w:val="100000000000" w:firstRow="1" w:lastRow="0" w:firstColumn="0" w:lastColumn="0" w:oddVBand="0" w:evenVBand="0" w:oddHBand="0" w:evenHBand="0" w:firstRowFirstColumn="0" w:firstRowLastColumn="0" w:lastRowFirstColumn="0" w:lastRowLastColumn="0"/>
              <w:rPr>
                <w:rFonts w:eastAsia="Times New Roman"/>
                <w:color w:val="auto"/>
                <w:sz w:val="19"/>
                <w:szCs w:val="19"/>
              </w:rPr>
            </w:pPr>
            <w:r w:rsidRPr="006B15C0">
              <w:rPr>
                <w:rFonts w:eastAsia="Times New Roman"/>
                <w:color w:val="auto"/>
                <w:sz w:val="19"/>
                <w:szCs w:val="19"/>
              </w:rPr>
              <w:t>2006</w:t>
            </w:r>
          </w:p>
        </w:tc>
        <w:tc>
          <w:tcPr>
            <w:tcW w:w="364" w:type="pct"/>
            <w:tcBorders>
              <w:top w:val="single" w:sz="12" w:space="0" w:color="000000" w:themeColor="text1"/>
              <w:bottom w:val="single" w:sz="6" w:space="0" w:color="000000" w:themeColor="text1"/>
            </w:tcBorders>
            <w:shd w:val="clear" w:color="auto" w:fill="FFFFFF" w:themeFill="background1"/>
          </w:tcPr>
          <w:p w14:paraId="4B59288A" w14:textId="77777777" w:rsidR="006A1F72" w:rsidRPr="006B15C0" w:rsidRDefault="006A1F72" w:rsidP="0001050B">
            <w:pPr>
              <w:adjustRightInd w:val="0"/>
              <w:spacing w:after="0" w:line="340" w:lineRule="atLeast"/>
              <w:jc w:val="center"/>
              <w:cnfStyle w:val="100000000000" w:firstRow="1" w:lastRow="0" w:firstColumn="0" w:lastColumn="0" w:oddVBand="0" w:evenVBand="0" w:oddHBand="0" w:evenHBand="0" w:firstRowFirstColumn="0" w:firstRowLastColumn="0" w:lastRowFirstColumn="0" w:lastRowLastColumn="0"/>
              <w:rPr>
                <w:rFonts w:eastAsia="Times New Roman"/>
                <w:color w:val="auto"/>
                <w:sz w:val="19"/>
                <w:szCs w:val="19"/>
              </w:rPr>
            </w:pPr>
            <w:r w:rsidRPr="006B15C0">
              <w:rPr>
                <w:rFonts w:eastAsia="Times New Roman"/>
                <w:color w:val="auto"/>
                <w:sz w:val="19"/>
                <w:szCs w:val="19"/>
              </w:rPr>
              <w:t>2007</w:t>
            </w:r>
          </w:p>
        </w:tc>
        <w:tc>
          <w:tcPr>
            <w:tcW w:w="364" w:type="pct"/>
            <w:tcBorders>
              <w:top w:val="single" w:sz="12" w:space="0" w:color="000000" w:themeColor="text1"/>
              <w:bottom w:val="single" w:sz="6" w:space="0" w:color="000000" w:themeColor="text1"/>
            </w:tcBorders>
            <w:shd w:val="clear" w:color="auto" w:fill="FFFFFF" w:themeFill="background1"/>
          </w:tcPr>
          <w:p w14:paraId="36750E06" w14:textId="77777777" w:rsidR="006A1F72" w:rsidRPr="006B15C0" w:rsidRDefault="006A1F72" w:rsidP="0001050B">
            <w:pPr>
              <w:adjustRightInd w:val="0"/>
              <w:spacing w:after="0" w:line="340" w:lineRule="atLeast"/>
              <w:jc w:val="center"/>
              <w:cnfStyle w:val="100000000000" w:firstRow="1" w:lastRow="0" w:firstColumn="0" w:lastColumn="0" w:oddVBand="0" w:evenVBand="0" w:oddHBand="0" w:evenHBand="0" w:firstRowFirstColumn="0" w:firstRowLastColumn="0" w:lastRowFirstColumn="0" w:lastRowLastColumn="0"/>
              <w:rPr>
                <w:rFonts w:eastAsia="Times New Roman"/>
                <w:color w:val="auto"/>
                <w:sz w:val="19"/>
                <w:szCs w:val="19"/>
              </w:rPr>
            </w:pPr>
            <w:r w:rsidRPr="006B15C0">
              <w:rPr>
                <w:rFonts w:eastAsia="Times New Roman"/>
                <w:color w:val="auto"/>
                <w:sz w:val="19"/>
                <w:szCs w:val="19"/>
              </w:rPr>
              <w:t>2008</w:t>
            </w:r>
          </w:p>
        </w:tc>
      </w:tr>
      <w:tr w:rsidR="006B15C0" w:rsidRPr="006B15C0" w14:paraId="7E478D05" w14:textId="77777777" w:rsidTr="00CB7B07">
        <w:trPr>
          <w:cnfStyle w:val="000000100000" w:firstRow="0" w:lastRow="0" w:firstColumn="0" w:lastColumn="0" w:oddVBand="0" w:evenVBand="0" w:oddHBand="1"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630" w:type="pct"/>
            <w:tcBorders>
              <w:top w:val="single" w:sz="6" w:space="0" w:color="000000" w:themeColor="text1"/>
            </w:tcBorders>
            <w:shd w:val="clear" w:color="auto" w:fill="FFFFFF" w:themeFill="background1"/>
          </w:tcPr>
          <w:p w14:paraId="19292B39" w14:textId="77777777" w:rsidR="006A1F72" w:rsidRPr="006B15C0" w:rsidRDefault="006A1F72" w:rsidP="0001050B">
            <w:pPr>
              <w:adjustRightInd w:val="0"/>
              <w:spacing w:after="0" w:line="340" w:lineRule="atLeast"/>
              <w:rPr>
                <w:rFonts w:eastAsia="Times New Roman"/>
                <w:b w:val="0"/>
                <w:color w:val="auto"/>
                <w:sz w:val="19"/>
                <w:szCs w:val="19"/>
              </w:rPr>
            </w:pPr>
            <w:r w:rsidRPr="006B15C0">
              <w:rPr>
                <w:rFonts w:eastAsia="Times New Roman"/>
                <w:b w:val="0"/>
                <w:color w:val="auto"/>
                <w:sz w:val="19"/>
                <w:szCs w:val="19"/>
              </w:rPr>
              <w:t>International</w:t>
            </w:r>
          </w:p>
        </w:tc>
        <w:tc>
          <w:tcPr>
            <w:tcW w:w="364" w:type="pct"/>
            <w:tcBorders>
              <w:top w:val="single" w:sz="6" w:space="0" w:color="000000" w:themeColor="text1"/>
            </w:tcBorders>
            <w:shd w:val="clear" w:color="auto" w:fill="FFFFFF" w:themeFill="background1"/>
          </w:tcPr>
          <w:p w14:paraId="5B6BEE31" w14:textId="77777777" w:rsidR="006A1F72" w:rsidRPr="006B15C0" w:rsidRDefault="006A1F72" w:rsidP="0001050B">
            <w:pPr>
              <w:adjustRightInd w:val="0"/>
              <w:spacing w:after="0" w:line="340" w:lineRule="atLeast"/>
              <w:jc w:val="center"/>
              <w:cnfStyle w:val="000000100000" w:firstRow="0" w:lastRow="0" w:firstColumn="0" w:lastColumn="0" w:oddVBand="0" w:evenVBand="0" w:oddHBand="1" w:evenHBand="0" w:firstRowFirstColumn="0" w:firstRowLastColumn="0" w:lastRowFirstColumn="0" w:lastRowLastColumn="0"/>
              <w:rPr>
                <w:rFonts w:eastAsia="Times New Roman"/>
                <w:color w:val="auto"/>
                <w:sz w:val="19"/>
                <w:szCs w:val="19"/>
              </w:rPr>
            </w:pPr>
            <w:r w:rsidRPr="006B15C0">
              <w:rPr>
                <w:rFonts w:eastAsia="Times New Roman"/>
                <w:color w:val="auto"/>
                <w:sz w:val="19"/>
                <w:szCs w:val="19"/>
              </w:rPr>
              <w:t>4.05</w:t>
            </w:r>
          </w:p>
        </w:tc>
        <w:tc>
          <w:tcPr>
            <w:tcW w:w="364" w:type="pct"/>
            <w:tcBorders>
              <w:top w:val="single" w:sz="6" w:space="0" w:color="000000" w:themeColor="text1"/>
            </w:tcBorders>
            <w:shd w:val="clear" w:color="auto" w:fill="FFFFFF" w:themeFill="background1"/>
          </w:tcPr>
          <w:p w14:paraId="569DA863" w14:textId="77777777" w:rsidR="006A1F72" w:rsidRPr="006B15C0" w:rsidRDefault="006A1F72" w:rsidP="0001050B">
            <w:pPr>
              <w:adjustRightInd w:val="0"/>
              <w:spacing w:after="0" w:line="340" w:lineRule="atLeast"/>
              <w:jc w:val="center"/>
              <w:cnfStyle w:val="000000100000" w:firstRow="0" w:lastRow="0" w:firstColumn="0" w:lastColumn="0" w:oddVBand="0" w:evenVBand="0" w:oddHBand="1" w:evenHBand="0" w:firstRowFirstColumn="0" w:firstRowLastColumn="0" w:lastRowFirstColumn="0" w:lastRowLastColumn="0"/>
              <w:rPr>
                <w:rFonts w:eastAsia="Times New Roman"/>
                <w:color w:val="auto"/>
                <w:sz w:val="19"/>
                <w:szCs w:val="19"/>
              </w:rPr>
            </w:pPr>
            <w:r w:rsidRPr="006B15C0">
              <w:rPr>
                <w:rFonts w:eastAsia="Times New Roman"/>
                <w:color w:val="auto"/>
                <w:sz w:val="19"/>
                <w:szCs w:val="19"/>
              </w:rPr>
              <w:t>8.51</w:t>
            </w:r>
          </w:p>
        </w:tc>
        <w:tc>
          <w:tcPr>
            <w:tcW w:w="364" w:type="pct"/>
            <w:tcBorders>
              <w:top w:val="single" w:sz="6" w:space="0" w:color="000000" w:themeColor="text1"/>
            </w:tcBorders>
            <w:shd w:val="clear" w:color="auto" w:fill="FFFFFF" w:themeFill="background1"/>
          </w:tcPr>
          <w:p w14:paraId="7951CEF4" w14:textId="77777777" w:rsidR="006A1F72" w:rsidRPr="006B15C0" w:rsidRDefault="006A1F72" w:rsidP="0001050B">
            <w:pPr>
              <w:adjustRightInd w:val="0"/>
              <w:spacing w:after="0" w:line="340" w:lineRule="atLeast"/>
              <w:jc w:val="center"/>
              <w:cnfStyle w:val="000000100000" w:firstRow="0" w:lastRow="0" w:firstColumn="0" w:lastColumn="0" w:oddVBand="0" w:evenVBand="0" w:oddHBand="1" w:evenHBand="0" w:firstRowFirstColumn="0" w:firstRowLastColumn="0" w:lastRowFirstColumn="0" w:lastRowLastColumn="0"/>
              <w:rPr>
                <w:rFonts w:eastAsia="Times New Roman"/>
                <w:color w:val="auto"/>
                <w:sz w:val="19"/>
                <w:szCs w:val="19"/>
              </w:rPr>
            </w:pPr>
            <w:r w:rsidRPr="006B15C0">
              <w:rPr>
                <w:rFonts w:eastAsia="Times New Roman"/>
                <w:color w:val="auto"/>
                <w:sz w:val="19"/>
                <w:szCs w:val="19"/>
              </w:rPr>
              <w:t>6.78</w:t>
            </w:r>
          </w:p>
        </w:tc>
        <w:tc>
          <w:tcPr>
            <w:tcW w:w="364" w:type="pct"/>
            <w:tcBorders>
              <w:top w:val="single" w:sz="6" w:space="0" w:color="000000" w:themeColor="text1"/>
            </w:tcBorders>
            <w:shd w:val="clear" w:color="auto" w:fill="FFFFFF" w:themeFill="background1"/>
          </w:tcPr>
          <w:p w14:paraId="527D638C" w14:textId="77777777" w:rsidR="006A1F72" w:rsidRPr="006B15C0" w:rsidRDefault="006A1F72" w:rsidP="0001050B">
            <w:pPr>
              <w:adjustRightInd w:val="0"/>
              <w:spacing w:after="0" w:line="340" w:lineRule="atLeast"/>
              <w:jc w:val="center"/>
              <w:cnfStyle w:val="000000100000" w:firstRow="0" w:lastRow="0" w:firstColumn="0" w:lastColumn="0" w:oddVBand="0" w:evenVBand="0" w:oddHBand="1" w:evenHBand="0" w:firstRowFirstColumn="0" w:firstRowLastColumn="0" w:lastRowFirstColumn="0" w:lastRowLastColumn="0"/>
              <w:rPr>
                <w:rFonts w:eastAsia="Times New Roman"/>
                <w:color w:val="auto"/>
                <w:sz w:val="19"/>
                <w:szCs w:val="19"/>
              </w:rPr>
            </w:pPr>
            <w:r w:rsidRPr="006B15C0">
              <w:rPr>
                <w:rFonts w:eastAsia="Times New Roman"/>
                <w:color w:val="auto"/>
                <w:sz w:val="19"/>
                <w:szCs w:val="19"/>
              </w:rPr>
              <w:t>8.33</w:t>
            </w:r>
          </w:p>
        </w:tc>
        <w:tc>
          <w:tcPr>
            <w:tcW w:w="364" w:type="pct"/>
            <w:tcBorders>
              <w:top w:val="single" w:sz="6" w:space="0" w:color="000000" w:themeColor="text1"/>
            </w:tcBorders>
            <w:shd w:val="clear" w:color="auto" w:fill="FFFFFF" w:themeFill="background1"/>
          </w:tcPr>
          <w:p w14:paraId="2F60C3E8" w14:textId="77777777" w:rsidR="006A1F72" w:rsidRPr="006B15C0" w:rsidRDefault="006A1F72" w:rsidP="0001050B">
            <w:pPr>
              <w:adjustRightInd w:val="0"/>
              <w:spacing w:after="0" w:line="340" w:lineRule="atLeast"/>
              <w:jc w:val="center"/>
              <w:cnfStyle w:val="000000100000" w:firstRow="0" w:lastRow="0" w:firstColumn="0" w:lastColumn="0" w:oddVBand="0" w:evenVBand="0" w:oddHBand="1" w:evenHBand="0" w:firstRowFirstColumn="0" w:firstRowLastColumn="0" w:lastRowFirstColumn="0" w:lastRowLastColumn="0"/>
              <w:rPr>
                <w:rFonts w:eastAsia="Times New Roman"/>
                <w:color w:val="auto"/>
                <w:sz w:val="19"/>
                <w:szCs w:val="19"/>
              </w:rPr>
            </w:pPr>
            <w:r w:rsidRPr="006B15C0">
              <w:rPr>
                <w:rFonts w:eastAsia="Times New Roman"/>
                <w:color w:val="auto"/>
                <w:sz w:val="19"/>
                <w:szCs w:val="19"/>
              </w:rPr>
              <w:t>9.87</w:t>
            </w:r>
          </w:p>
        </w:tc>
        <w:tc>
          <w:tcPr>
            <w:tcW w:w="364" w:type="pct"/>
            <w:tcBorders>
              <w:top w:val="single" w:sz="6" w:space="0" w:color="000000" w:themeColor="text1"/>
            </w:tcBorders>
            <w:shd w:val="clear" w:color="auto" w:fill="FFFFFF" w:themeFill="background1"/>
          </w:tcPr>
          <w:p w14:paraId="2E487127" w14:textId="77777777" w:rsidR="006A1F72" w:rsidRPr="006B15C0" w:rsidRDefault="006A1F72" w:rsidP="0001050B">
            <w:pPr>
              <w:adjustRightInd w:val="0"/>
              <w:spacing w:after="0" w:line="340" w:lineRule="atLeast"/>
              <w:jc w:val="center"/>
              <w:cnfStyle w:val="000000100000" w:firstRow="0" w:lastRow="0" w:firstColumn="0" w:lastColumn="0" w:oddVBand="0" w:evenVBand="0" w:oddHBand="1" w:evenHBand="0" w:firstRowFirstColumn="0" w:firstRowLastColumn="0" w:lastRowFirstColumn="0" w:lastRowLastColumn="0"/>
              <w:rPr>
                <w:rFonts w:eastAsia="Times New Roman"/>
                <w:color w:val="auto"/>
                <w:sz w:val="19"/>
                <w:szCs w:val="19"/>
              </w:rPr>
            </w:pPr>
            <w:r w:rsidRPr="006B15C0">
              <w:rPr>
                <w:rFonts w:eastAsia="Times New Roman"/>
                <w:color w:val="auto"/>
                <w:sz w:val="19"/>
                <w:szCs w:val="19"/>
              </w:rPr>
              <w:t>10.49</w:t>
            </w:r>
          </w:p>
        </w:tc>
        <w:tc>
          <w:tcPr>
            <w:tcW w:w="364" w:type="pct"/>
            <w:tcBorders>
              <w:top w:val="single" w:sz="6" w:space="0" w:color="000000" w:themeColor="text1"/>
            </w:tcBorders>
            <w:shd w:val="clear" w:color="auto" w:fill="FFFFFF" w:themeFill="background1"/>
          </w:tcPr>
          <w:p w14:paraId="2C299ECA" w14:textId="77777777" w:rsidR="006A1F72" w:rsidRPr="006B15C0" w:rsidRDefault="006A1F72" w:rsidP="0001050B">
            <w:pPr>
              <w:adjustRightInd w:val="0"/>
              <w:spacing w:after="0" w:line="340" w:lineRule="atLeast"/>
              <w:jc w:val="center"/>
              <w:cnfStyle w:val="000000100000" w:firstRow="0" w:lastRow="0" w:firstColumn="0" w:lastColumn="0" w:oddVBand="0" w:evenVBand="0" w:oddHBand="1" w:evenHBand="0" w:firstRowFirstColumn="0" w:firstRowLastColumn="0" w:lastRowFirstColumn="0" w:lastRowLastColumn="0"/>
              <w:rPr>
                <w:rFonts w:eastAsia="Times New Roman"/>
                <w:color w:val="auto"/>
                <w:sz w:val="19"/>
                <w:szCs w:val="19"/>
              </w:rPr>
            </w:pPr>
            <w:r w:rsidRPr="006B15C0">
              <w:rPr>
                <w:rFonts w:eastAsia="Times New Roman"/>
                <w:color w:val="auto"/>
                <w:sz w:val="19"/>
                <w:szCs w:val="19"/>
              </w:rPr>
              <w:t>11.52</w:t>
            </w:r>
          </w:p>
        </w:tc>
        <w:tc>
          <w:tcPr>
            <w:tcW w:w="364" w:type="pct"/>
            <w:tcBorders>
              <w:top w:val="single" w:sz="6" w:space="0" w:color="000000" w:themeColor="text1"/>
            </w:tcBorders>
            <w:shd w:val="clear" w:color="auto" w:fill="FFFFFF" w:themeFill="background1"/>
          </w:tcPr>
          <w:p w14:paraId="53BD7902" w14:textId="77777777" w:rsidR="006A1F72" w:rsidRPr="006B15C0" w:rsidRDefault="006A1F72" w:rsidP="0001050B">
            <w:pPr>
              <w:adjustRightInd w:val="0"/>
              <w:spacing w:after="0" w:line="340" w:lineRule="atLeast"/>
              <w:jc w:val="center"/>
              <w:cnfStyle w:val="000000100000" w:firstRow="0" w:lastRow="0" w:firstColumn="0" w:lastColumn="0" w:oddVBand="0" w:evenVBand="0" w:oddHBand="1" w:evenHBand="0" w:firstRowFirstColumn="0" w:firstRowLastColumn="0" w:lastRowFirstColumn="0" w:lastRowLastColumn="0"/>
              <w:rPr>
                <w:rFonts w:eastAsia="Times New Roman"/>
                <w:color w:val="auto"/>
                <w:sz w:val="19"/>
                <w:szCs w:val="19"/>
              </w:rPr>
            </w:pPr>
            <w:r w:rsidRPr="006B15C0">
              <w:rPr>
                <w:rFonts w:eastAsia="Times New Roman"/>
                <w:color w:val="auto"/>
                <w:sz w:val="19"/>
                <w:szCs w:val="19"/>
              </w:rPr>
              <w:t>16.53</w:t>
            </w:r>
          </w:p>
        </w:tc>
        <w:tc>
          <w:tcPr>
            <w:tcW w:w="364" w:type="pct"/>
            <w:tcBorders>
              <w:top w:val="single" w:sz="6" w:space="0" w:color="000000" w:themeColor="text1"/>
            </w:tcBorders>
            <w:shd w:val="clear" w:color="auto" w:fill="FFFFFF" w:themeFill="background1"/>
          </w:tcPr>
          <w:p w14:paraId="26D82276" w14:textId="77777777" w:rsidR="006A1F72" w:rsidRPr="006B15C0" w:rsidRDefault="006A1F72" w:rsidP="0001050B">
            <w:pPr>
              <w:adjustRightInd w:val="0"/>
              <w:spacing w:after="0" w:line="340" w:lineRule="atLeast"/>
              <w:jc w:val="center"/>
              <w:cnfStyle w:val="000000100000" w:firstRow="0" w:lastRow="0" w:firstColumn="0" w:lastColumn="0" w:oddVBand="0" w:evenVBand="0" w:oddHBand="1" w:evenHBand="0" w:firstRowFirstColumn="0" w:firstRowLastColumn="0" w:lastRowFirstColumn="0" w:lastRowLastColumn="0"/>
              <w:rPr>
                <w:rFonts w:eastAsia="Times New Roman"/>
                <w:color w:val="auto"/>
                <w:sz w:val="19"/>
                <w:szCs w:val="19"/>
              </w:rPr>
            </w:pPr>
            <w:r w:rsidRPr="006B15C0">
              <w:rPr>
                <w:rFonts w:eastAsia="Times New Roman"/>
                <w:color w:val="auto"/>
                <w:sz w:val="19"/>
                <w:szCs w:val="19"/>
              </w:rPr>
              <w:t>12.78</w:t>
            </w:r>
          </w:p>
        </w:tc>
        <w:tc>
          <w:tcPr>
            <w:tcW w:w="364" w:type="pct"/>
            <w:tcBorders>
              <w:top w:val="single" w:sz="6" w:space="0" w:color="000000" w:themeColor="text1"/>
            </w:tcBorders>
            <w:shd w:val="clear" w:color="auto" w:fill="FFFFFF" w:themeFill="background1"/>
          </w:tcPr>
          <w:p w14:paraId="4CAECF73" w14:textId="77777777" w:rsidR="006A1F72" w:rsidRPr="006B15C0" w:rsidRDefault="006A1F72" w:rsidP="0001050B">
            <w:pPr>
              <w:adjustRightInd w:val="0"/>
              <w:spacing w:after="0" w:line="340" w:lineRule="atLeast"/>
              <w:jc w:val="center"/>
              <w:cnfStyle w:val="000000100000" w:firstRow="0" w:lastRow="0" w:firstColumn="0" w:lastColumn="0" w:oddVBand="0" w:evenVBand="0" w:oddHBand="1" w:evenHBand="0" w:firstRowFirstColumn="0" w:firstRowLastColumn="0" w:lastRowFirstColumn="0" w:lastRowLastColumn="0"/>
              <w:rPr>
                <w:rFonts w:eastAsia="Times New Roman"/>
                <w:color w:val="auto"/>
                <w:sz w:val="19"/>
                <w:szCs w:val="19"/>
              </w:rPr>
            </w:pPr>
            <w:r w:rsidRPr="006B15C0">
              <w:rPr>
                <w:rFonts w:eastAsia="Times New Roman"/>
                <w:color w:val="auto"/>
                <w:sz w:val="19"/>
                <w:szCs w:val="19"/>
              </w:rPr>
              <w:t>11.21</w:t>
            </w:r>
          </w:p>
        </w:tc>
        <w:tc>
          <w:tcPr>
            <w:tcW w:w="364" w:type="pct"/>
            <w:tcBorders>
              <w:top w:val="single" w:sz="6" w:space="0" w:color="000000" w:themeColor="text1"/>
            </w:tcBorders>
            <w:shd w:val="clear" w:color="auto" w:fill="FFFFFF" w:themeFill="background1"/>
          </w:tcPr>
          <w:p w14:paraId="69594CA9" w14:textId="77777777" w:rsidR="006A1F72" w:rsidRPr="006B15C0" w:rsidRDefault="006A1F72" w:rsidP="0001050B">
            <w:pPr>
              <w:adjustRightInd w:val="0"/>
              <w:spacing w:after="0" w:line="340" w:lineRule="atLeast"/>
              <w:jc w:val="center"/>
              <w:cnfStyle w:val="000000100000" w:firstRow="0" w:lastRow="0" w:firstColumn="0" w:lastColumn="0" w:oddVBand="0" w:evenVBand="0" w:oddHBand="1" w:evenHBand="0" w:firstRowFirstColumn="0" w:firstRowLastColumn="0" w:lastRowFirstColumn="0" w:lastRowLastColumn="0"/>
              <w:rPr>
                <w:rFonts w:eastAsia="Times New Roman"/>
                <w:color w:val="auto"/>
                <w:sz w:val="19"/>
                <w:szCs w:val="19"/>
              </w:rPr>
            </w:pPr>
            <w:r w:rsidRPr="006B15C0">
              <w:rPr>
                <w:rFonts w:eastAsia="Times New Roman"/>
                <w:color w:val="auto"/>
                <w:sz w:val="19"/>
                <w:szCs w:val="19"/>
              </w:rPr>
              <w:t>13.92</w:t>
            </w:r>
          </w:p>
        </w:tc>
        <w:tc>
          <w:tcPr>
            <w:tcW w:w="364" w:type="pct"/>
            <w:tcBorders>
              <w:top w:val="single" w:sz="6" w:space="0" w:color="000000" w:themeColor="text1"/>
            </w:tcBorders>
            <w:shd w:val="clear" w:color="auto" w:fill="FFFFFF" w:themeFill="background1"/>
          </w:tcPr>
          <w:p w14:paraId="21DEE017" w14:textId="77777777" w:rsidR="006A1F72" w:rsidRPr="006B15C0" w:rsidRDefault="006A1F72" w:rsidP="0001050B">
            <w:pPr>
              <w:adjustRightInd w:val="0"/>
              <w:spacing w:after="0" w:line="340" w:lineRule="atLeast"/>
              <w:jc w:val="center"/>
              <w:cnfStyle w:val="000000100000" w:firstRow="0" w:lastRow="0" w:firstColumn="0" w:lastColumn="0" w:oddVBand="0" w:evenVBand="0" w:oddHBand="1" w:evenHBand="0" w:firstRowFirstColumn="0" w:firstRowLastColumn="0" w:lastRowFirstColumn="0" w:lastRowLastColumn="0"/>
              <w:rPr>
                <w:rFonts w:eastAsia="Times New Roman"/>
                <w:color w:val="auto"/>
                <w:sz w:val="19"/>
                <w:szCs w:val="19"/>
              </w:rPr>
            </w:pPr>
            <w:r w:rsidRPr="006B15C0">
              <w:rPr>
                <w:rFonts w:eastAsia="Times New Roman"/>
                <w:color w:val="auto"/>
                <w:sz w:val="19"/>
                <w:szCs w:val="19"/>
              </w:rPr>
              <w:t>8.75</w:t>
            </w:r>
          </w:p>
        </w:tc>
      </w:tr>
      <w:tr w:rsidR="006B15C0" w:rsidRPr="006B15C0" w14:paraId="1EDCADA7" w14:textId="77777777" w:rsidTr="00CB7B07">
        <w:trPr>
          <w:trHeight w:val="440"/>
        </w:trPr>
        <w:tc>
          <w:tcPr>
            <w:cnfStyle w:val="001000000000" w:firstRow="0" w:lastRow="0" w:firstColumn="1" w:lastColumn="0" w:oddVBand="0" w:evenVBand="0" w:oddHBand="0" w:evenHBand="0" w:firstRowFirstColumn="0" w:firstRowLastColumn="0" w:lastRowFirstColumn="0" w:lastRowLastColumn="0"/>
            <w:tcW w:w="630" w:type="pct"/>
            <w:shd w:val="clear" w:color="auto" w:fill="FFFFFF" w:themeFill="background1"/>
          </w:tcPr>
          <w:p w14:paraId="19FA01A3" w14:textId="77777777" w:rsidR="006A1F72" w:rsidRPr="006B15C0" w:rsidRDefault="006A1F72" w:rsidP="0001050B">
            <w:pPr>
              <w:adjustRightInd w:val="0"/>
              <w:spacing w:after="0" w:line="340" w:lineRule="atLeast"/>
              <w:rPr>
                <w:rFonts w:eastAsia="Times New Roman"/>
                <w:b w:val="0"/>
                <w:color w:val="auto"/>
                <w:sz w:val="19"/>
                <w:szCs w:val="19"/>
              </w:rPr>
            </w:pPr>
            <w:r w:rsidRPr="006B15C0">
              <w:rPr>
                <w:rFonts w:eastAsia="Times New Roman"/>
                <w:b w:val="0"/>
                <w:color w:val="auto"/>
                <w:sz w:val="19"/>
                <w:szCs w:val="19"/>
              </w:rPr>
              <w:t>World Wide</w:t>
            </w:r>
          </w:p>
        </w:tc>
        <w:tc>
          <w:tcPr>
            <w:tcW w:w="364" w:type="pct"/>
            <w:shd w:val="clear" w:color="auto" w:fill="FFFFFF" w:themeFill="background1"/>
          </w:tcPr>
          <w:p w14:paraId="271D979E" w14:textId="77777777" w:rsidR="006A1F72" w:rsidRPr="006B15C0" w:rsidRDefault="006A1F72" w:rsidP="0001050B">
            <w:pPr>
              <w:adjustRightInd w:val="0"/>
              <w:spacing w:after="0" w:line="340" w:lineRule="atLeast"/>
              <w:jc w:val="center"/>
              <w:cnfStyle w:val="000000000000" w:firstRow="0" w:lastRow="0" w:firstColumn="0" w:lastColumn="0" w:oddVBand="0" w:evenVBand="0" w:oddHBand="0" w:evenHBand="0" w:firstRowFirstColumn="0" w:firstRowLastColumn="0" w:lastRowFirstColumn="0" w:lastRowLastColumn="0"/>
              <w:rPr>
                <w:rFonts w:eastAsia="Times New Roman"/>
                <w:color w:val="auto"/>
                <w:sz w:val="19"/>
                <w:szCs w:val="19"/>
              </w:rPr>
            </w:pPr>
            <w:r w:rsidRPr="006B15C0">
              <w:rPr>
                <w:rFonts w:eastAsia="Times New Roman"/>
                <w:color w:val="auto"/>
                <w:sz w:val="19"/>
                <w:szCs w:val="19"/>
              </w:rPr>
              <w:t>2.15</w:t>
            </w:r>
          </w:p>
        </w:tc>
        <w:tc>
          <w:tcPr>
            <w:tcW w:w="364" w:type="pct"/>
            <w:shd w:val="clear" w:color="auto" w:fill="FFFFFF" w:themeFill="background1"/>
          </w:tcPr>
          <w:p w14:paraId="354E543A" w14:textId="77777777" w:rsidR="006A1F72" w:rsidRPr="006B15C0" w:rsidRDefault="006A1F72" w:rsidP="0001050B">
            <w:pPr>
              <w:adjustRightInd w:val="0"/>
              <w:spacing w:after="0" w:line="340" w:lineRule="atLeast"/>
              <w:jc w:val="center"/>
              <w:cnfStyle w:val="000000000000" w:firstRow="0" w:lastRow="0" w:firstColumn="0" w:lastColumn="0" w:oddVBand="0" w:evenVBand="0" w:oddHBand="0" w:evenHBand="0" w:firstRowFirstColumn="0" w:firstRowLastColumn="0" w:lastRowFirstColumn="0" w:lastRowLastColumn="0"/>
              <w:rPr>
                <w:rFonts w:eastAsia="Times New Roman"/>
                <w:color w:val="auto"/>
                <w:sz w:val="19"/>
                <w:szCs w:val="19"/>
              </w:rPr>
            </w:pPr>
            <w:r w:rsidRPr="006B15C0">
              <w:rPr>
                <w:rFonts w:eastAsia="Times New Roman"/>
                <w:color w:val="auto"/>
                <w:sz w:val="19"/>
                <w:szCs w:val="19"/>
              </w:rPr>
              <w:t>7.61</w:t>
            </w:r>
          </w:p>
        </w:tc>
        <w:tc>
          <w:tcPr>
            <w:tcW w:w="364" w:type="pct"/>
            <w:shd w:val="clear" w:color="auto" w:fill="FFFFFF" w:themeFill="background1"/>
          </w:tcPr>
          <w:p w14:paraId="19020805" w14:textId="77777777" w:rsidR="006A1F72" w:rsidRPr="006B15C0" w:rsidRDefault="006A1F72" w:rsidP="0001050B">
            <w:pPr>
              <w:adjustRightInd w:val="0"/>
              <w:spacing w:after="0" w:line="340" w:lineRule="atLeast"/>
              <w:jc w:val="center"/>
              <w:cnfStyle w:val="000000000000" w:firstRow="0" w:lastRow="0" w:firstColumn="0" w:lastColumn="0" w:oddVBand="0" w:evenVBand="0" w:oddHBand="0" w:evenHBand="0" w:firstRowFirstColumn="0" w:firstRowLastColumn="0" w:lastRowFirstColumn="0" w:lastRowLastColumn="0"/>
              <w:rPr>
                <w:rFonts w:eastAsia="Times New Roman"/>
                <w:color w:val="auto"/>
                <w:sz w:val="19"/>
                <w:szCs w:val="19"/>
              </w:rPr>
            </w:pPr>
            <w:r w:rsidRPr="006B15C0">
              <w:rPr>
                <w:rFonts w:eastAsia="Times New Roman"/>
                <w:color w:val="auto"/>
                <w:sz w:val="19"/>
                <w:szCs w:val="19"/>
              </w:rPr>
              <w:t>8.99</w:t>
            </w:r>
          </w:p>
        </w:tc>
        <w:tc>
          <w:tcPr>
            <w:tcW w:w="364" w:type="pct"/>
            <w:shd w:val="clear" w:color="auto" w:fill="FFFFFF" w:themeFill="background1"/>
          </w:tcPr>
          <w:p w14:paraId="7DFA5E36" w14:textId="77777777" w:rsidR="006A1F72" w:rsidRPr="006B15C0" w:rsidRDefault="006A1F72" w:rsidP="0001050B">
            <w:pPr>
              <w:adjustRightInd w:val="0"/>
              <w:spacing w:after="0" w:line="340" w:lineRule="atLeast"/>
              <w:jc w:val="center"/>
              <w:cnfStyle w:val="000000000000" w:firstRow="0" w:lastRow="0" w:firstColumn="0" w:lastColumn="0" w:oddVBand="0" w:evenVBand="0" w:oddHBand="0" w:evenHBand="0" w:firstRowFirstColumn="0" w:firstRowLastColumn="0" w:lastRowFirstColumn="0" w:lastRowLastColumn="0"/>
              <w:rPr>
                <w:rFonts w:eastAsia="Times New Roman"/>
                <w:color w:val="auto"/>
                <w:sz w:val="19"/>
                <w:szCs w:val="19"/>
              </w:rPr>
            </w:pPr>
            <w:r w:rsidRPr="006B15C0">
              <w:rPr>
                <w:rFonts w:eastAsia="Times New Roman"/>
                <w:color w:val="auto"/>
                <w:sz w:val="19"/>
                <w:szCs w:val="19"/>
              </w:rPr>
              <w:t>14.98</w:t>
            </w:r>
          </w:p>
        </w:tc>
        <w:tc>
          <w:tcPr>
            <w:tcW w:w="364" w:type="pct"/>
            <w:shd w:val="clear" w:color="auto" w:fill="FFFFFF" w:themeFill="background1"/>
          </w:tcPr>
          <w:p w14:paraId="08FD38E1" w14:textId="77777777" w:rsidR="006A1F72" w:rsidRPr="006B15C0" w:rsidRDefault="006A1F72" w:rsidP="0001050B">
            <w:pPr>
              <w:adjustRightInd w:val="0"/>
              <w:spacing w:after="0" w:line="340" w:lineRule="atLeast"/>
              <w:jc w:val="center"/>
              <w:cnfStyle w:val="000000000000" w:firstRow="0" w:lastRow="0" w:firstColumn="0" w:lastColumn="0" w:oddVBand="0" w:evenVBand="0" w:oddHBand="0" w:evenHBand="0" w:firstRowFirstColumn="0" w:firstRowLastColumn="0" w:lastRowFirstColumn="0" w:lastRowLastColumn="0"/>
              <w:rPr>
                <w:rFonts w:eastAsia="Times New Roman"/>
                <w:color w:val="auto"/>
                <w:sz w:val="19"/>
                <w:szCs w:val="19"/>
              </w:rPr>
            </w:pPr>
            <w:r w:rsidRPr="006B15C0">
              <w:rPr>
                <w:rFonts w:eastAsia="Times New Roman"/>
                <w:color w:val="auto"/>
                <w:sz w:val="19"/>
                <w:szCs w:val="19"/>
              </w:rPr>
              <w:t>14.88</w:t>
            </w:r>
          </w:p>
        </w:tc>
        <w:tc>
          <w:tcPr>
            <w:tcW w:w="364" w:type="pct"/>
            <w:shd w:val="clear" w:color="auto" w:fill="FFFFFF" w:themeFill="background1"/>
          </w:tcPr>
          <w:p w14:paraId="757BBB92" w14:textId="77777777" w:rsidR="006A1F72" w:rsidRPr="006B15C0" w:rsidRDefault="006A1F72" w:rsidP="0001050B">
            <w:pPr>
              <w:adjustRightInd w:val="0"/>
              <w:spacing w:after="0" w:line="340" w:lineRule="atLeast"/>
              <w:jc w:val="center"/>
              <w:cnfStyle w:val="000000000000" w:firstRow="0" w:lastRow="0" w:firstColumn="0" w:lastColumn="0" w:oddVBand="0" w:evenVBand="0" w:oddHBand="0" w:evenHBand="0" w:firstRowFirstColumn="0" w:firstRowLastColumn="0" w:lastRowFirstColumn="0" w:lastRowLastColumn="0"/>
              <w:rPr>
                <w:rFonts w:eastAsia="Times New Roman"/>
                <w:color w:val="auto"/>
                <w:sz w:val="19"/>
                <w:szCs w:val="19"/>
              </w:rPr>
            </w:pPr>
            <w:r w:rsidRPr="006B15C0">
              <w:rPr>
                <w:rFonts w:eastAsia="Times New Roman"/>
                <w:color w:val="auto"/>
                <w:sz w:val="19"/>
                <w:szCs w:val="19"/>
              </w:rPr>
              <w:t>14.55</w:t>
            </w:r>
          </w:p>
        </w:tc>
        <w:tc>
          <w:tcPr>
            <w:tcW w:w="364" w:type="pct"/>
            <w:shd w:val="clear" w:color="auto" w:fill="FFFFFF" w:themeFill="background1"/>
          </w:tcPr>
          <w:p w14:paraId="26D7B3D8" w14:textId="77777777" w:rsidR="006A1F72" w:rsidRPr="006B15C0" w:rsidRDefault="006A1F72" w:rsidP="0001050B">
            <w:pPr>
              <w:adjustRightInd w:val="0"/>
              <w:spacing w:after="0" w:line="340" w:lineRule="atLeast"/>
              <w:jc w:val="center"/>
              <w:cnfStyle w:val="000000000000" w:firstRow="0" w:lastRow="0" w:firstColumn="0" w:lastColumn="0" w:oddVBand="0" w:evenVBand="0" w:oddHBand="0" w:evenHBand="0" w:firstRowFirstColumn="0" w:firstRowLastColumn="0" w:lastRowFirstColumn="0" w:lastRowLastColumn="0"/>
              <w:rPr>
                <w:rFonts w:eastAsia="Times New Roman"/>
                <w:color w:val="auto"/>
                <w:sz w:val="19"/>
                <w:szCs w:val="19"/>
              </w:rPr>
            </w:pPr>
            <w:r w:rsidRPr="006B15C0">
              <w:rPr>
                <w:rFonts w:eastAsia="Times New Roman"/>
                <w:color w:val="auto"/>
                <w:sz w:val="19"/>
                <w:szCs w:val="19"/>
              </w:rPr>
              <w:t>17.43</w:t>
            </w:r>
          </w:p>
        </w:tc>
        <w:tc>
          <w:tcPr>
            <w:tcW w:w="364" w:type="pct"/>
            <w:shd w:val="clear" w:color="auto" w:fill="FFFFFF" w:themeFill="background1"/>
          </w:tcPr>
          <w:p w14:paraId="3C1B3D36" w14:textId="77777777" w:rsidR="006A1F72" w:rsidRPr="006B15C0" w:rsidRDefault="006A1F72" w:rsidP="0001050B">
            <w:pPr>
              <w:adjustRightInd w:val="0"/>
              <w:spacing w:after="0" w:line="340" w:lineRule="atLeast"/>
              <w:jc w:val="center"/>
              <w:cnfStyle w:val="000000000000" w:firstRow="0" w:lastRow="0" w:firstColumn="0" w:lastColumn="0" w:oddVBand="0" w:evenVBand="0" w:oddHBand="0" w:evenHBand="0" w:firstRowFirstColumn="0" w:firstRowLastColumn="0" w:lastRowFirstColumn="0" w:lastRowLastColumn="0"/>
              <w:rPr>
                <w:rFonts w:eastAsia="Times New Roman"/>
                <w:color w:val="auto"/>
                <w:sz w:val="19"/>
                <w:szCs w:val="19"/>
              </w:rPr>
            </w:pPr>
            <w:r w:rsidRPr="006B15C0">
              <w:rPr>
                <w:rFonts w:eastAsia="Times New Roman"/>
                <w:color w:val="auto"/>
                <w:sz w:val="19"/>
                <w:szCs w:val="19"/>
              </w:rPr>
              <w:t>18.68</w:t>
            </w:r>
          </w:p>
        </w:tc>
        <w:tc>
          <w:tcPr>
            <w:tcW w:w="364" w:type="pct"/>
            <w:shd w:val="clear" w:color="auto" w:fill="FFFFFF" w:themeFill="background1"/>
          </w:tcPr>
          <w:p w14:paraId="7C080EFD" w14:textId="77777777" w:rsidR="006A1F72" w:rsidRPr="006B15C0" w:rsidRDefault="006A1F72" w:rsidP="0001050B">
            <w:pPr>
              <w:adjustRightInd w:val="0"/>
              <w:spacing w:after="0" w:line="340" w:lineRule="atLeast"/>
              <w:jc w:val="center"/>
              <w:cnfStyle w:val="000000000000" w:firstRow="0" w:lastRow="0" w:firstColumn="0" w:lastColumn="0" w:oddVBand="0" w:evenVBand="0" w:oddHBand="0" w:evenHBand="0" w:firstRowFirstColumn="0" w:firstRowLastColumn="0" w:lastRowFirstColumn="0" w:lastRowLastColumn="0"/>
              <w:rPr>
                <w:rFonts w:eastAsia="Times New Roman"/>
                <w:color w:val="auto"/>
                <w:sz w:val="19"/>
                <w:szCs w:val="19"/>
              </w:rPr>
            </w:pPr>
            <w:r w:rsidRPr="006B15C0">
              <w:rPr>
                <w:rFonts w:eastAsia="Times New Roman"/>
                <w:color w:val="auto"/>
                <w:sz w:val="19"/>
                <w:szCs w:val="19"/>
              </w:rPr>
              <w:t>15.63</w:t>
            </w:r>
          </w:p>
        </w:tc>
        <w:tc>
          <w:tcPr>
            <w:tcW w:w="364" w:type="pct"/>
            <w:shd w:val="clear" w:color="auto" w:fill="FFFFFF" w:themeFill="background1"/>
          </w:tcPr>
          <w:p w14:paraId="5C33FFF6" w14:textId="77777777" w:rsidR="006A1F72" w:rsidRPr="006B15C0" w:rsidRDefault="006A1F72" w:rsidP="0001050B">
            <w:pPr>
              <w:adjustRightInd w:val="0"/>
              <w:spacing w:after="0" w:line="340" w:lineRule="atLeast"/>
              <w:jc w:val="center"/>
              <w:cnfStyle w:val="000000000000" w:firstRow="0" w:lastRow="0" w:firstColumn="0" w:lastColumn="0" w:oddVBand="0" w:evenVBand="0" w:oddHBand="0" w:evenHBand="0" w:firstRowFirstColumn="0" w:firstRowLastColumn="0" w:lastRowFirstColumn="0" w:lastRowLastColumn="0"/>
              <w:rPr>
                <w:rFonts w:eastAsia="Times New Roman"/>
                <w:color w:val="auto"/>
                <w:sz w:val="19"/>
                <w:szCs w:val="19"/>
              </w:rPr>
            </w:pPr>
            <w:r w:rsidRPr="006B15C0">
              <w:rPr>
                <w:rFonts w:eastAsia="Times New Roman"/>
                <w:color w:val="auto"/>
                <w:sz w:val="19"/>
                <w:szCs w:val="19"/>
              </w:rPr>
              <w:t>12.27</w:t>
            </w:r>
          </w:p>
        </w:tc>
        <w:tc>
          <w:tcPr>
            <w:tcW w:w="364" w:type="pct"/>
            <w:shd w:val="clear" w:color="auto" w:fill="FFFFFF" w:themeFill="background1"/>
          </w:tcPr>
          <w:p w14:paraId="51EF6A8A" w14:textId="77777777" w:rsidR="006A1F72" w:rsidRPr="006B15C0" w:rsidRDefault="006A1F72" w:rsidP="0001050B">
            <w:pPr>
              <w:adjustRightInd w:val="0"/>
              <w:spacing w:after="0" w:line="340" w:lineRule="atLeast"/>
              <w:jc w:val="center"/>
              <w:cnfStyle w:val="000000000000" w:firstRow="0" w:lastRow="0" w:firstColumn="0" w:lastColumn="0" w:oddVBand="0" w:evenVBand="0" w:oddHBand="0" w:evenHBand="0" w:firstRowFirstColumn="0" w:firstRowLastColumn="0" w:lastRowFirstColumn="0" w:lastRowLastColumn="0"/>
              <w:rPr>
                <w:rFonts w:eastAsia="Times New Roman"/>
                <w:color w:val="auto"/>
                <w:sz w:val="19"/>
                <w:szCs w:val="19"/>
              </w:rPr>
            </w:pPr>
            <w:r w:rsidRPr="006B15C0">
              <w:rPr>
                <w:rFonts w:eastAsia="Times New Roman"/>
                <w:color w:val="auto"/>
                <w:sz w:val="19"/>
                <w:szCs w:val="19"/>
              </w:rPr>
              <w:t>10.41</w:t>
            </w:r>
          </w:p>
        </w:tc>
        <w:tc>
          <w:tcPr>
            <w:tcW w:w="364" w:type="pct"/>
            <w:shd w:val="clear" w:color="auto" w:fill="FFFFFF" w:themeFill="background1"/>
          </w:tcPr>
          <w:p w14:paraId="68D718BB" w14:textId="77777777" w:rsidR="006A1F72" w:rsidRPr="006B15C0" w:rsidRDefault="006A1F72" w:rsidP="0001050B">
            <w:pPr>
              <w:adjustRightInd w:val="0"/>
              <w:spacing w:after="0" w:line="340" w:lineRule="atLeast"/>
              <w:jc w:val="center"/>
              <w:cnfStyle w:val="000000000000" w:firstRow="0" w:lastRow="0" w:firstColumn="0" w:lastColumn="0" w:oddVBand="0" w:evenVBand="0" w:oddHBand="0" w:evenHBand="0" w:firstRowFirstColumn="0" w:firstRowLastColumn="0" w:lastRowFirstColumn="0" w:lastRowLastColumn="0"/>
              <w:rPr>
                <w:rFonts w:eastAsia="Times New Roman"/>
                <w:color w:val="auto"/>
                <w:sz w:val="19"/>
                <w:szCs w:val="19"/>
              </w:rPr>
            </w:pPr>
            <w:r w:rsidRPr="006B15C0">
              <w:rPr>
                <w:rFonts w:eastAsia="Times New Roman"/>
                <w:color w:val="auto"/>
                <w:sz w:val="19"/>
                <w:szCs w:val="19"/>
              </w:rPr>
              <w:t>8.65</w:t>
            </w:r>
          </w:p>
        </w:tc>
      </w:tr>
      <w:tr w:rsidR="006B15C0" w:rsidRPr="006B15C0" w14:paraId="528E6EC3" w14:textId="77777777" w:rsidTr="00CB7B07">
        <w:trPr>
          <w:cnfStyle w:val="000000100000" w:firstRow="0" w:lastRow="0" w:firstColumn="0" w:lastColumn="0" w:oddVBand="0" w:evenVBand="0" w:oddHBand="1"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630" w:type="pct"/>
            <w:shd w:val="clear" w:color="auto" w:fill="FFFFFF" w:themeFill="background1"/>
          </w:tcPr>
          <w:p w14:paraId="12FEB2D7" w14:textId="77777777" w:rsidR="006A1F72" w:rsidRPr="006B15C0" w:rsidRDefault="006A1F72" w:rsidP="0001050B">
            <w:pPr>
              <w:adjustRightInd w:val="0"/>
              <w:spacing w:after="0" w:line="340" w:lineRule="atLeast"/>
              <w:rPr>
                <w:rFonts w:eastAsia="Times New Roman"/>
                <w:b w:val="0"/>
                <w:color w:val="auto"/>
                <w:sz w:val="19"/>
                <w:szCs w:val="19"/>
              </w:rPr>
            </w:pPr>
            <w:r w:rsidRPr="006B15C0">
              <w:rPr>
                <w:rFonts w:eastAsia="Times New Roman"/>
                <w:b w:val="0"/>
                <w:color w:val="auto"/>
                <w:sz w:val="19"/>
                <w:szCs w:val="19"/>
              </w:rPr>
              <w:t>France</w:t>
            </w:r>
          </w:p>
        </w:tc>
        <w:tc>
          <w:tcPr>
            <w:tcW w:w="364" w:type="pct"/>
            <w:shd w:val="clear" w:color="auto" w:fill="FFFFFF" w:themeFill="background1"/>
          </w:tcPr>
          <w:p w14:paraId="501FAD68" w14:textId="77777777" w:rsidR="006A1F72" w:rsidRPr="006B15C0" w:rsidRDefault="006A1F72" w:rsidP="0001050B">
            <w:pPr>
              <w:adjustRightInd w:val="0"/>
              <w:spacing w:after="0" w:line="340" w:lineRule="atLeast"/>
              <w:jc w:val="center"/>
              <w:cnfStyle w:val="000000100000" w:firstRow="0" w:lastRow="0" w:firstColumn="0" w:lastColumn="0" w:oddVBand="0" w:evenVBand="0" w:oddHBand="1" w:evenHBand="0" w:firstRowFirstColumn="0" w:firstRowLastColumn="0" w:lastRowFirstColumn="0" w:lastRowLastColumn="0"/>
              <w:rPr>
                <w:rFonts w:eastAsia="Times New Roman"/>
                <w:color w:val="auto"/>
                <w:sz w:val="19"/>
                <w:szCs w:val="19"/>
              </w:rPr>
            </w:pPr>
          </w:p>
        </w:tc>
        <w:tc>
          <w:tcPr>
            <w:tcW w:w="364" w:type="pct"/>
            <w:shd w:val="clear" w:color="auto" w:fill="FFFFFF" w:themeFill="background1"/>
          </w:tcPr>
          <w:p w14:paraId="6A4C5DAC" w14:textId="77777777" w:rsidR="006A1F72" w:rsidRPr="006B15C0" w:rsidRDefault="006A1F72" w:rsidP="0001050B">
            <w:pPr>
              <w:adjustRightInd w:val="0"/>
              <w:spacing w:after="0" w:line="340" w:lineRule="atLeast"/>
              <w:jc w:val="center"/>
              <w:cnfStyle w:val="000000100000" w:firstRow="0" w:lastRow="0" w:firstColumn="0" w:lastColumn="0" w:oddVBand="0" w:evenVBand="0" w:oddHBand="1" w:evenHBand="0" w:firstRowFirstColumn="0" w:firstRowLastColumn="0" w:lastRowFirstColumn="0" w:lastRowLastColumn="0"/>
              <w:rPr>
                <w:rFonts w:eastAsia="Times New Roman"/>
                <w:color w:val="auto"/>
                <w:sz w:val="19"/>
                <w:szCs w:val="19"/>
              </w:rPr>
            </w:pPr>
          </w:p>
        </w:tc>
        <w:tc>
          <w:tcPr>
            <w:tcW w:w="364" w:type="pct"/>
            <w:shd w:val="clear" w:color="auto" w:fill="FFFFFF" w:themeFill="background1"/>
          </w:tcPr>
          <w:p w14:paraId="0EB28919" w14:textId="77777777" w:rsidR="006A1F72" w:rsidRPr="006B15C0" w:rsidRDefault="006A1F72" w:rsidP="0001050B">
            <w:pPr>
              <w:adjustRightInd w:val="0"/>
              <w:spacing w:after="0" w:line="340" w:lineRule="atLeast"/>
              <w:jc w:val="center"/>
              <w:cnfStyle w:val="000000100000" w:firstRow="0" w:lastRow="0" w:firstColumn="0" w:lastColumn="0" w:oddVBand="0" w:evenVBand="0" w:oddHBand="1" w:evenHBand="0" w:firstRowFirstColumn="0" w:firstRowLastColumn="0" w:lastRowFirstColumn="0" w:lastRowLastColumn="0"/>
              <w:rPr>
                <w:rFonts w:eastAsia="Times New Roman"/>
                <w:color w:val="auto"/>
                <w:sz w:val="19"/>
                <w:szCs w:val="19"/>
              </w:rPr>
            </w:pPr>
          </w:p>
        </w:tc>
        <w:tc>
          <w:tcPr>
            <w:tcW w:w="364" w:type="pct"/>
            <w:shd w:val="clear" w:color="auto" w:fill="FFFFFF" w:themeFill="background1"/>
          </w:tcPr>
          <w:p w14:paraId="72422FFD" w14:textId="77777777" w:rsidR="006A1F72" w:rsidRPr="006B15C0" w:rsidRDefault="006A1F72" w:rsidP="0001050B">
            <w:pPr>
              <w:adjustRightInd w:val="0"/>
              <w:spacing w:after="0" w:line="340" w:lineRule="atLeast"/>
              <w:jc w:val="center"/>
              <w:cnfStyle w:val="000000100000" w:firstRow="0" w:lastRow="0" w:firstColumn="0" w:lastColumn="0" w:oddVBand="0" w:evenVBand="0" w:oddHBand="1" w:evenHBand="0" w:firstRowFirstColumn="0" w:firstRowLastColumn="0" w:lastRowFirstColumn="0" w:lastRowLastColumn="0"/>
              <w:rPr>
                <w:rFonts w:eastAsia="Times New Roman"/>
                <w:color w:val="auto"/>
                <w:sz w:val="19"/>
                <w:szCs w:val="19"/>
              </w:rPr>
            </w:pPr>
          </w:p>
        </w:tc>
        <w:tc>
          <w:tcPr>
            <w:tcW w:w="364" w:type="pct"/>
            <w:shd w:val="clear" w:color="auto" w:fill="FFFFFF" w:themeFill="background1"/>
          </w:tcPr>
          <w:p w14:paraId="7037E7AE" w14:textId="77777777" w:rsidR="006A1F72" w:rsidRPr="006B15C0" w:rsidRDefault="006A1F72" w:rsidP="0001050B">
            <w:pPr>
              <w:adjustRightInd w:val="0"/>
              <w:spacing w:after="0" w:line="340" w:lineRule="atLeast"/>
              <w:jc w:val="center"/>
              <w:cnfStyle w:val="000000100000" w:firstRow="0" w:lastRow="0" w:firstColumn="0" w:lastColumn="0" w:oddVBand="0" w:evenVBand="0" w:oddHBand="1" w:evenHBand="0" w:firstRowFirstColumn="0" w:firstRowLastColumn="0" w:lastRowFirstColumn="0" w:lastRowLastColumn="0"/>
              <w:rPr>
                <w:rFonts w:eastAsia="Times New Roman"/>
                <w:color w:val="auto"/>
                <w:sz w:val="19"/>
                <w:szCs w:val="19"/>
              </w:rPr>
            </w:pPr>
            <w:r w:rsidRPr="006B15C0">
              <w:rPr>
                <w:rFonts w:eastAsia="Times New Roman"/>
                <w:color w:val="auto"/>
                <w:sz w:val="19"/>
                <w:szCs w:val="19"/>
              </w:rPr>
              <w:t>11.45</w:t>
            </w:r>
          </w:p>
        </w:tc>
        <w:tc>
          <w:tcPr>
            <w:tcW w:w="364" w:type="pct"/>
            <w:shd w:val="clear" w:color="auto" w:fill="FFFFFF" w:themeFill="background1"/>
          </w:tcPr>
          <w:p w14:paraId="2BBFF845" w14:textId="77777777" w:rsidR="006A1F72" w:rsidRPr="006B15C0" w:rsidRDefault="006A1F72" w:rsidP="0001050B">
            <w:pPr>
              <w:adjustRightInd w:val="0"/>
              <w:spacing w:after="0" w:line="340" w:lineRule="atLeast"/>
              <w:jc w:val="center"/>
              <w:cnfStyle w:val="000000100000" w:firstRow="0" w:lastRow="0" w:firstColumn="0" w:lastColumn="0" w:oddVBand="0" w:evenVBand="0" w:oddHBand="1" w:evenHBand="0" w:firstRowFirstColumn="0" w:firstRowLastColumn="0" w:lastRowFirstColumn="0" w:lastRowLastColumn="0"/>
              <w:rPr>
                <w:rFonts w:eastAsia="Times New Roman"/>
                <w:color w:val="auto"/>
                <w:sz w:val="19"/>
                <w:szCs w:val="19"/>
              </w:rPr>
            </w:pPr>
            <w:r w:rsidRPr="006B15C0">
              <w:rPr>
                <w:rFonts w:eastAsia="Times New Roman"/>
                <w:color w:val="auto"/>
                <w:sz w:val="19"/>
                <w:szCs w:val="19"/>
              </w:rPr>
              <w:t>12.32</w:t>
            </w:r>
          </w:p>
        </w:tc>
        <w:tc>
          <w:tcPr>
            <w:tcW w:w="364" w:type="pct"/>
            <w:shd w:val="clear" w:color="auto" w:fill="FFFFFF" w:themeFill="background1"/>
          </w:tcPr>
          <w:p w14:paraId="7EA444DB" w14:textId="77777777" w:rsidR="006A1F72" w:rsidRPr="006B15C0" w:rsidRDefault="006A1F72" w:rsidP="0001050B">
            <w:pPr>
              <w:adjustRightInd w:val="0"/>
              <w:spacing w:after="0" w:line="340" w:lineRule="atLeast"/>
              <w:jc w:val="center"/>
              <w:cnfStyle w:val="000000100000" w:firstRow="0" w:lastRow="0" w:firstColumn="0" w:lastColumn="0" w:oddVBand="0" w:evenVBand="0" w:oddHBand="1" w:evenHBand="0" w:firstRowFirstColumn="0" w:firstRowLastColumn="0" w:lastRowFirstColumn="0" w:lastRowLastColumn="0"/>
              <w:rPr>
                <w:rFonts w:eastAsia="Times New Roman"/>
                <w:color w:val="auto"/>
                <w:sz w:val="19"/>
                <w:szCs w:val="19"/>
              </w:rPr>
            </w:pPr>
            <w:r w:rsidRPr="006B15C0">
              <w:rPr>
                <w:rFonts w:eastAsia="Times New Roman"/>
                <w:color w:val="auto"/>
                <w:sz w:val="19"/>
                <w:szCs w:val="19"/>
              </w:rPr>
              <w:t>13.28</w:t>
            </w:r>
          </w:p>
        </w:tc>
        <w:tc>
          <w:tcPr>
            <w:tcW w:w="364" w:type="pct"/>
            <w:shd w:val="clear" w:color="auto" w:fill="FFFFFF" w:themeFill="background1"/>
          </w:tcPr>
          <w:p w14:paraId="7EF284EF" w14:textId="77777777" w:rsidR="006A1F72" w:rsidRPr="006B15C0" w:rsidRDefault="006A1F72" w:rsidP="0001050B">
            <w:pPr>
              <w:adjustRightInd w:val="0"/>
              <w:spacing w:after="0" w:line="340" w:lineRule="atLeast"/>
              <w:jc w:val="center"/>
              <w:cnfStyle w:val="000000100000" w:firstRow="0" w:lastRow="0" w:firstColumn="0" w:lastColumn="0" w:oddVBand="0" w:evenVBand="0" w:oddHBand="1" w:evenHBand="0" w:firstRowFirstColumn="0" w:firstRowLastColumn="0" w:lastRowFirstColumn="0" w:lastRowLastColumn="0"/>
              <w:rPr>
                <w:rFonts w:eastAsia="Times New Roman"/>
                <w:color w:val="auto"/>
                <w:sz w:val="19"/>
                <w:szCs w:val="19"/>
              </w:rPr>
            </w:pPr>
            <w:r w:rsidRPr="006B15C0">
              <w:rPr>
                <w:rFonts w:eastAsia="Times New Roman"/>
                <w:color w:val="auto"/>
                <w:sz w:val="19"/>
                <w:szCs w:val="19"/>
              </w:rPr>
              <w:t>15.43</w:t>
            </w:r>
          </w:p>
        </w:tc>
        <w:tc>
          <w:tcPr>
            <w:tcW w:w="364" w:type="pct"/>
            <w:shd w:val="clear" w:color="auto" w:fill="FFFFFF" w:themeFill="background1"/>
          </w:tcPr>
          <w:p w14:paraId="38E2BCEF" w14:textId="77777777" w:rsidR="006A1F72" w:rsidRPr="006B15C0" w:rsidRDefault="006A1F72" w:rsidP="0001050B">
            <w:pPr>
              <w:adjustRightInd w:val="0"/>
              <w:spacing w:after="0" w:line="340" w:lineRule="atLeast"/>
              <w:jc w:val="center"/>
              <w:cnfStyle w:val="000000100000" w:firstRow="0" w:lastRow="0" w:firstColumn="0" w:lastColumn="0" w:oddVBand="0" w:evenVBand="0" w:oddHBand="1" w:evenHBand="0" w:firstRowFirstColumn="0" w:firstRowLastColumn="0" w:lastRowFirstColumn="0" w:lastRowLastColumn="0"/>
              <w:rPr>
                <w:rFonts w:eastAsia="Times New Roman"/>
                <w:color w:val="auto"/>
                <w:sz w:val="19"/>
                <w:szCs w:val="19"/>
              </w:rPr>
            </w:pPr>
            <w:r w:rsidRPr="006B15C0">
              <w:rPr>
                <w:rFonts w:eastAsia="Times New Roman"/>
                <w:color w:val="auto"/>
                <w:sz w:val="19"/>
                <w:szCs w:val="19"/>
              </w:rPr>
              <w:t>12.78</w:t>
            </w:r>
          </w:p>
        </w:tc>
        <w:tc>
          <w:tcPr>
            <w:tcW w:w="364" w:type="pct"/>
            <w:shd w:val="clear" w:color="auto" w:fill="FFFFFF" w:themeFill="background1"/>
          </w:tcPr>
          <w:p w14:paraId="6D76FD41" w14:textId="77777777" w:rsidR="006A1F72" w:rsidRPr="006B15C0" w:rsidRDefault="006A1F72" w:rsidP="0001050B">
            <w:pPr>
              <w:adjustRightInd w:val="0"/>
              <w:spacing w:after="0" w:line="340" w:lineRule="atLeast"/>
              <w:jc w:val="center"/>
              <w:cnfStyle w:val="000000100000" w:firstRow="0" w:lastRow="0" w:firstColumn="0" w:lastColumn="0" w:oddVBand="0" w:evenVBand="0" w:oddHBand="1" w:evenHBand="0" w:firstRowFirstColumn="0" w:firstRowLastColumn="0" w:lastRowFirstColumn="0" w:lastRowLastColumn="0"/>
              <w:rPr>
                <w:rFonts w:eastAsia="Times New Roman"/>
                <w:color w:val="auto"/>
                <w:sz w:val="19"/>
                <w:szCs w:val="19"/>
              </w:rPr>
            </w:pPr>
            <w:r w:rsidRPr="006B15C0">
              <w:rPr>
                <w:rFonts w:eastAsia="Times New Roman"/>
                <w:color w:val="auto"/>
                <w:sz w:val="19"/>
                <w:szCs w:val="19"/>
              </w:rPr>
              <w:t>14.61</w:t>
            </w:r>
          </w:p>
        </w:tc>
        <w:tc>
          <w:tcPr>
            <w:tcW w:w="364" w:type="pct"/>
            <w:shd w:val="clear" w:color="auto" w:fill="FFFFFF" w:themeFill="background1"/>
          </w:tcPr>
          <w:p w14:paraId="08DE9E0D" w14:textId="77777777" w:rsidR="006A1F72" w:rsidRPr="006B15C0" w:rsidRDefault="006A1F72" w:rsidP="0001050B">
            <w:pPr>
              <w:adjustRightInd w:val="0"/>
              <w:spacing w:after="0" w:line="340" w:lineRule="atLeast"/>
              <w:jc w:val="center"/>
              <w:cnfStyle w:val="000000100000" w:firstRow="0" w:lastRow="0" w:firstColumn="0" w:lastColumn="0" w:oddVBand="0" w:evenVBand="0" w:oddHBand="1" w:evenHBand="0" w:firstRowFirstColumn="0" w:firstRowLastColumn="0" w:lastRowFirstColumn="0" w:lastRowLastColumn="0"/>
              <w:rPr>
                <w:rFonts w:eastAsia="Times New Roman"/>
                <w:color w:val="auto"/>
                <w:sz w:val="19"/>
                <w:szCs w:val="19"/>
              </w:rPr>
            </w:pPr>
            <w:r w:rsidRPr="006B15C0">
              <w:rPr>
                <w:rFonts w:eastAsia="Times New Roman"/>
                <w:color w:val="auto"/>
                <w:sz w:val="19"/>
                <w:szCs w:val="19"/>
              </w:rPr>
              <w:t>14.25</w:t>
            </w:r>
          </w:p>
        </w:tc>
        <w:tc>
          <w:tcPr>
            <w:tcW w:w="364" w:type="pct"/>
            <w:shd w:val="clear" w:color="auto" w:fill="FFFFFF" w:themeFill="background1"/>
          </w:tcPr>
          <w:p w14:paraId="5F6220BA" w14:textId="77777777" w:rsidR="006A1F72" w:rsidRPr="006B15C0" w:rsidRDefault="006A1F72" w:rsidP="0001050B">
            <w:pPr>
              <w:adjustRightInd w:val="0"/>
              <w:spacing w:after="0" w:line="340" w:lineRule="atLeast"/>
              <w:jc w:val="center"/>
              <w:cnfStyle w:val="000000100000" w:firstRow="0" w:lastRow="0" w:firstColumn="0" w:lastColumn="0" w:oddVBand="0" w:evenVBand="0" w:oddHBand="1" w:evenHBand="0" w:firstRowFirstColumn="0" w:firstRowLastColumn="0" w:lastRowFirstColumn="0" w:lastRowLastColumn="0"/>
              <w:rPr>
                <w:rFonts w:eastAsia="Times New Roman"/>
                <w:color w:val="auto"/>
                <w:sz w:val="19"/>
                <w:szCs w:val="19"/>
              </w:rPr>
            </w:pPr>
            <w:r w:rsidRPr="006B15C0">
              <w:rPr>
                <w:rFonts w:eastAsia="Times New Roman"/>
                <w:color w:val="auto"/>
                <w:sz w:val="19"/>
                <w:szCs w:val="19"/>
              </w:rPr>
              <w:t>15.42</w:t>
            </w:r>
          </w:p>
        </w:tc>
      </w:tr>
      <w:tr w:rsidR="006B15C0" w:rsidRPr="006B15C0" w14:paraId="50E9DFC3" w14:textId="77777777" w:rsidTr="00CB7B07">
        <w:trPr>
          <w:trHeight w:val="440"/>
        </w:trPr>
        <w:tc>
          <w:tcPr>
            <w:cnfStyle w:val="001000000000" w:firstRow="0" w:lastRow="0" w:firstColumn="1" w:lastColumn="0" w:oddVBand="0" w:evenVBand="0" w:oddHBand="0" w:evenHBand="0" w:firstRowFirstColumn="0" w:firstRowLastColumn="0" w:lastRowFirstColumn="0" w:lastRowLastColumn="0"/>
            <w:tcW w:w="630" w:type="pct"/>
            <w:shd w:val="clear" w:color="auto" w:fill="FFFFFF" w:themeFill="background1"/>
          </w:tcPr>
          <w:p w14:paraId="3D3C1DF6" w14:textId="77777777" w:rsidR="006A1F72" w:rsidRPr="006B15C0" w:rsidRDefault="006A1F72" w:rsidP="0001050B">
            <w:pPr>
              <w:adjustRightInd w:val="0"/>
              <w:spacing w:after="0" w:line="340" w:lineRule="atLeast"/>
              <w:rPr>
                <w:rFonts w:eastAsia="Times New Roman"/>
                <w:b w:val="0"/>
                <w:color w:val="auto"/>
                <w:sz w:val="19"/>
                <w:szCs w:val="19"/>
              </w:rPr>
            </w:pPr>
            <w:r w:rsidRPr="006B15C0">
              <w:rPr>
                <w:rFonts w:eastAsia="Times New Roman"/>
                <w:b w:val="0"/>
                <w:color w:val="auto"/>
                <w:sz w:val="19"/>
                <w:szCs w:val="19"/>
              </w:rPr>
              <w:t>Spain</w:t>
            </w:r>
          </w:p>
        </w:tc>
        <w:tc>
          <w:tcPr>
            <w:tcW w:w="364" w:type="pct"/>
            <w:shd w:val="clear" w:color="auto" w:fill="FFFFFF" w:themeFill="background1"/>
          </w:tcPr>
          <w:p w14:paraId="46562827" w14:textId="77777777" w:rsidR="006A1F72" w:rsidRPr="006B15C0" w:rsidRDefault="006A1F72" w:rsidP="0001050B">
            <w:pPr>
              <w:adjustRightInd w:val="0"/>
              <w:spacing w:after="0" w:line="340" w:lineRule="atLeast"/>
              <w:jc w:val="center"/>
              <w:cnfStyle w:val="000000000000" w:firstRow="0" w:lastRow="0" w:firstColumn="0" w:lastColumn="0" w:oddVBand="0" w:evenVBand="0" w:oddHBand="0" w:evenHBand="0" w:firstRowFirstColumn="0" w:firstRowLastColumn="0" w:lastRowFirstColumn="0" w:lastRowLastColumn="0"/>
              <w:rPr>
                <w:rFonts w:eastAsia="Times New Roman"/>
                <w:color w:val="auto"/>
                <w:sz w:val="19"/>
                <w:szCs w:val="19"/>
              </w:rPr>
            </w:pPr>
          </w:p>
        </w:tc>
        <w:tc>
          <w:tcPr>
            <w:tcW w:w="364" w:type="pct"/>
            <w:shd w:val="clear" w:color="auto" w:fill="FFFFFF" w:themeFill="background1"/>
          </w:tcPr>
          <w:p w14:paraId="724F4C70" w14:textId="77777777" w:rsidR="006A1F72" w:rsidRPr="006B15C0" w:rsidRDefault="006A1F72" w:rsidP="0001050B">
            <w:pPr>
              <w:adjustRightInd w:val="0"/>
              <w:spacing w:after="0" w:line="340" w:lineRule="atLeast"/>
              <w:jc w:val="center"/>
              <w:cnfStyle w:val="000000000000" w:firstRow="0" w:lastRow="0" w:firstColumn="0" w:lastColumn="0" w:oddVBand="0" w:evenVBand="0" w:oddHBand="0" w:evenHBand="0" w:firstRowFirstColumn="0" w:firstRowLastColumn="0" w:lastRowFirstColumn="0" w:lastRowLastColumn="0"/>
              <w:rPr>
                <w:rFonts w:eastAsia="Times New Roman"/>
                <w:color w:val="auto"/>
                <w:sz w:val="19"/>
                <w:szCs w:val="19"/>
              </w:rPr>
            </w:pPr>
          </w:p>
        </w:tc>
        <w:tc>
          <w:tcPr>
            <w:tcW w:w="364" w:type="pct"/>
            <w:shd w:val="clear" w:color="auto" w:fill="FFFFFF" w:themeFill="background1"/>
          </w:tcPr>
          <w:p w14:paraId="67345095" w14:textId="77777777" w:rsidR="006A1F72" w:rsidRPr="006B15C0" w:rsidRDefault="006A1F72" w:rsidP="0001050B">
            <w:pPr>
              <w:adjustRightInd w:val="0"/>
              <w:spacing w:after="0" w:line="340" w:lineRule="atLeast"/>
              <w:jc w:val="center"/>
              <w:cnfStyle w:val="000000000000" w:firstRow="0" w:lastRow="0" w:firstColumn="0" w:lastColumn="0" w:oddVBand="0" w:evenVBand="0" w:oddHBand="0" w:evenHBand="0" w:firstRowFirstColumn="0" w:firstRowLastColumn="0" w:lastRowFirstColumn="0" w:lastRowLastColumn="0"/>
              <w:rPr>
                <w:rFonts w:eastAsia="Times New Roman"/>
                <w:color w:val="auto"/>
                <w:sz w:val="19"/>
                <w:szCs w:val="19"/>
              </w:rPr>
            </w:pPr>
          </w:p>
        </w:tc>
        <w:tc>
          <w:tcPr>
            <w:tcW w:w="364" w:type="pct"/>
            <w:shd w:val="clear" w:color="auto" w:fill="FFFFFF" w:themeFill="background1"/>
          </w:tcPr>
          <w:p w14:paraId="5D04538C" w14:textId="77777777" w:rsidR="006A1F72" w:rsidRPr="006B15C0" w:rsidRDefault="006A1F72" w:rsidP="0001050B">
            <w:pPr>
              <w:adjustRightInd w:val="0"/>
              <w:spacing w:after="0" w:line="340" w:lineRule="atLeast"/>
              <w:jc w:val="center"/>
              <w:cnfStyle w:val="000000000000" w:firstRow="0" w:lastRow="0" w:firstColumn="0" w:lastColumn="0" w:oddVBand="0" w:evenVBand="0" w:oddHBand="0" w:evenHBand="0" w:firstRowFirstColumn="0" w:firstRowLastColumn="0" w:lastRowFirstColumn="0" w:lastRowLastColumn="0"/>
              <w:rPr>
                <w:rFonts w:eastAsia="Times New Roman"/>
                <w:color w:val="auto"/>
                <w:sz w:val="19"/>
                <w:szCs w:val="19"/>
              </w:rPr>
            </w:pPr>
          </w:p>
        </w:tc>
        <w:tc>
          <w:tcPr>
            <w:tcW w:w="364" w:type="pct"/>
            <w:shd w:val="clear" w:color="auto" w:fill="FFFFFF" w:themeFill="background1"/>
          </w:tcPr>
          <w:p w14:paraId="0A05FF86" w14:textId="77777777" w:rsidR="006A1F72" w:rsidRPr="006B15C0" w:rsidRDefault="006A1F72" w:rsidP="0001050B">
            <w:pPr>
              <w:adjustRightInd w:val="0"/>
              <w:spacing w:after="0" w:line="340" w:lineRule="atLeast"/>
              <w:jc w:val="center"/>
              <w:cnfStyle w:val="000000000000" w:firstRow="0" w:lastRow="0" w:firstColumn="0" w:lastColumn="0" w:oddVBand="0" w:evenVBand="0" w:oddHBand="0" w:evenHBand="0" w:firstRowFirstColumn="0" w:firstRowLastColumn="0" w:lastRowFirstColumn="0" w:lastRowLastColumn="0"/>
              <w:rPr>
                <w:rFonts w:eastAsia="Times New Roman"/>
                <w:color w:val="auto"/>
                <w:sz w:val="19"/>
                <w:szCs w:val="19"/>
              </w:rPr>
            </w:pPr>
          </w:p>
        </w:tc>
        <w:tc>
          <w:tcPr>
            <w:tcW w:w="364" w:type="pct"/>
            <w:shd w:val="clear" w:color="auto" w:fill="FFFFFF" w:themeFill="background1"/>
          </w:tcPr>
          <w:p w14:paraId="23286D1B" w14:textId="77777777" w:rsidR="006A1F72" w:rsidRPr="006B15C0" w:rsidRDefault="006A1F72" w:rsidP="0001050B">
            <w:pPr>
              <w:adjustRightInd w:val="0"/>
              <w:spacing w:after="0" w:line="340" w:lineRule="atLeast"/>
              <w:jc w:val="center"/>
              <w:cnfStyle w:val="000000000000" w:firstRow="0" w:lastRow="0" w:firstColumn="0" w:lastColumn="0" w:oddVBand="0" w:evenVBand="0" w:oddHBand="0" w:evenHBand="0" w:firstRowFirstColumn="0" w:firstRowLastColumn="0" w:lastRowFirstColumn="0" w:lastRowLastColumn="0"/>
              <w:rPr>
                <w:rFonts w:eastAsia="Times New Roman"/>
                <w:color w:val="auto"/>
                <w:sz w:val="19"/>
                <w:szCs w:val="19"/>
              </w:rPr>
            </w:pPr>
            <w:r w:rsidRPr="006B15C0">
              <w:rPr>
                <w:rFonts w:eastAsia="Times New Roman"/>
                <w:color w:val="auto"/>
                <w:sz w:val="19"/>
                <w:szCs w:val="19"/>
              </w:rPr>
              <w:t>12.43</w:t>
            </w:r>
          </w:p>
        </w:tc>
        <w:tc>
          <w:tcPr>
            <w:tcW w:w="364" w:type="pct"/>
            <w:shd w:val="clear" w:color="auto" w:fill="FFFFFF" w:themeFill="background1"/>
          </w:tcPr>
          <w:p w14:paraId="60EE6BD7" w14:textId="77777777" w:rsidR="006A1F72" w:rsidRPr="006B15C0" w:rsidRDefault="006A1F72" w:rsidP="0001050B">
            <w:pPr>
              <w:adjustRightInd w:val="0"/>
              <w:spacing w:after="0" w:line="340" w:lineRule="atLeast"/>
              <w:jc w:val="center"/>
              <w:cnfStyle w:val="000000000000" w:firstRow="0" w:lastRow="0" w:firstColumn="0" w:lastColumn="0" w:oddVBand="0" w:evenVBand="0" w:oddHBand="0" w:evenHBand="0" w:firstRowFirstColumn="0" w:firstRowLastColumn="0" w:lastRowFirstColumn="0" w:lastRowLastColumn="0"/>
              <w:rPr>
                <w:rFonts w:eastAsia="Times New Roman"/>
                <w:color w:val="auto"/>
                <w:sz w:val="19"/>
                <w:szCs w:val="19"/>
              </w:rPr>
            </w:pPr>
            <w:r w:rsidRPr="006B15C0">
              <w:rPr>
                <w:rFonts w:eastAsia="Times New Roman"/>
                <w:color w:val="auto"/>
                <w:sz w:val="19"/>
                <w:szCs w:val="19"/>
              </w:rPr>
              <w:t>n.a.</w:t>
            </w:r>
          </w:p>
        </w:tc>
        <w:tc>
          <w:tcPr>
            <w:tcW w:w="364" w:type="pct"/>
            <w:shd w:val="clear" w:color="auto" w:fill="FFFFFF" w:themeFill="background1"/>
          </w:tcPr>
          <w:p w14:paraId="35ABF870" w14:textId="77777777" w:rsidR="006A1F72" w:rsidRPr="006B15C0" w:rsidRDefault="006A1F72" w:rsidP="0001050B">
            <w:pPr>
              <w:adjustRightInd w:val="0"/>
              <w:spacing w:after="0" w:line="340" w:lineRule="atLeast"/>
              <w:jc w:val="center"/>
              <w:cnfStyle w:val="000000000000" w:firstRow="0" w:lastRow="0" w:firstColumn="0" w:lastColumn="0" w:oddVBand="0" w:evenVBand="0" w:oddHBand="0" w:evenHBand="0" w:firstRowFirstColumn="0" w:firstRowLastColumn="0" w:lastRowFirstColumn="0" w:lastRowLastColumn="0"/>
              <w:rPr>
                <w:rFonts w:eastAsia="Times New Roman"/>
                <w:color w:val="auto"/>
                <w:sz w:val="19"/>
                <w:szCs w:val="19"/>
              </w:rPr>
            </w:pPr>
            <w:r w:rsidRPr="006B15C0">
              <w:rPr>
                <w:rFonts w:eastAsia="Times New Roman"/>
                <w:color w:val="auto"/>
                <w:sz w:val="19"/>
                <w:szCs w:val="19"/>
              </w:rPr>
              <w:t>12.26</w:t>
            </w:r>
          </w:p>
        </w:tc>
        <w:tc>
          <w:tcPr>
            <w:tcW w:w="364" w:type="pct"/>
            <w:shd w:val="clear" w:color="auto" w:fill="FFFFFF" w:themeFill="background1"/>
          </w:tcPr>
          <w:p w14:paraId="2166B8A8" w14:textId="77777777" w:rsidR="006A1F72" w:rsidRPr="006B15C0" w:rsidRDefault="006A1F72" w:rsidP="0001050B">
            <w:pPr>
              <w:adjustRightInd w:val="0"/>
              <w:spacing w:after="0" w:line="340" w:lineRule="atLeast"/>
              <w:jc w:val="center"/>
              <w:cnfStyle w:val="000000000000" w:firstRow="0" w:lastRow="0" w:firstColumn="0" w:lastColumn="0" w:oddVBand="0" w:evenVBand="0" w:oddHBand="0" w:evenHBand="0" w:firstRowFirstColumn="0" w:firstRowLastColumn="0" w:lastRowFirstColumn="0" w:lastRowLastColumn="0"/>
              <w:rPr>
                <w:rFonts w:eastAsia="Times New Roman"/>
                <w:color w:val="auto"/>
                <w:sz w:val="19"/>
                <w:szCs w:val="19"/>
              </w:rPr>
            </w:pPr>
            <w:r w:rsidRPr="006B15C0">
              <w:rPr>
                <w:rFonts w:eastAsia="Times New Roman"/>
                <w:color w:val="auto"/>
                <w:sz w:val="19"/>
                <w:szCs w:val="19"/>
              </w:rPr>
              <w:t>10.71</w:t>
            </w:r>
          </w:p>
        </w:tc>
        <w:tc>
          <w:tcPr>
            <w:tcW w:w="364" w:type="pct"/>
            <w:shd w:val="clear" w:color="auto" w:fill="FFFFFF" w:themeFill="background1"/>
          </w:tcPr>
          <w:p w14:paraId="7CC6C1F2" w14:textId="77777777" w:rsidR="006A1F72" w:rsidRPr="006B15C0" w:rsidRDefault="006A1F72" w:rsidP="0001050B">
            <w:pPr>
              <w:adjustRightInd w:val="0"/>
              <w:spacing w:after="0" w:line="340" w:lineRule="atLeast"/>
              <w:jc w:val="center"/>
              <w:cnfStyle w:val="000000000000" w:firstRow="0" w:lastRow="0" w:firstColumn="0" w:lastColumn="0" w:oddVBand="0" w:evenVBand="0" w:oddHBand="0" w:evenHBand="0" w:firstRowFirstColumn="0" w:firstRowLastColumn="0" w:lastRowFirstColumn="0" w:lastRowLastColumn="0"/>
              <w:rPr>
                <w:rFonts w:eastAsia="Times New Roman"/>
                <w:color w:val="auto"/>
                <w:sz w:val="19"/>
                <w:szCs w:val="19"/>
              </w:rPr>
            </w:pPr>
            <w:r w:rsidRPr="006B15C0">
              <w:rPr>
                <w:rFonts w:eastAsia="Times New Roman"/>
                <w:color w:val="auto"/>
                <w:sz w:val="19"/>
                <w:szCs w:val="19"/>
              </w:rPr>
              <w:t>8.25</w:t>
            </w:r>
          </w:p>
        </w:tc>
        <w:tc>
          <w:tcPr>
            <w:tcW w:w="364" w:type="pct"/>
            <w:shd w:val="clear" w:color="auto" w:fill="FFFFFF" w:themeFill="background1"/>
          </w:tcPr>
          <w:p w14:paraId="700B549A" w14:textId="77777777" w:rsidR="006A1F72" w:rsidRPr="006B15C0" w:rsidRDefault="006A1F72" w:rsidP="0001050B">
            <w:pPr>
              <w:adjustRightInd w:val="0"/>
              <w:spacing w:after="0" w:line="340" w:lineRule="atLeast"/>
              <w:jc w:val="center"/>
              <w:cnfStyle w:val="000000000000" w:firstRow="0" w:lastRow="0" w:firstColumn="0" w:lastColumn="0" w:oddVBand="0" w:evenVBand="0" w:oddHBand="0" w:evenHBand="0" w:firstRowFirstColumn="0" w:firstRowLastColumn="0" w:lastRowFirstColumn="0" w:lastRowLastColumn="0"/>
              <w:rPr>
                <w:rFonts w:eastAsia="Times New Roman"/>
                <w:color w:val="auto"/>
                <w:sz w:val="19"/>
                <w:szCs w:val="19"/>
              </w:rPr>
            </w:pPr>
            <w:r w:rsidRPr="006B15C0">
              <w:rPr>
                <w:rFonts w:eastAsia="Times New Roman"/>
                <w:color w:val="auto"/>
                <w:sz w:val="19"/>
                <w:szCs w:val="19"/>
              </w:rPr>
              <w:t>9.57</w:t>
            </w:r>
          </w:p>
        </w:tc>
        <w:tc>
          <w:tcPr>
            <w:tcW w:w="364" w:type="pct"/>
            <w:shd w:val="clear" w:color="auto" w:fill="FFFFFF" w:themeFill="background1"/>
          </w:tcPr>
          <w:p w14:paraId="7DB9832A" w14:textId="77777777" w:rsidR="006A1F72" w:rsidRPr="006B15C0" w:rsidRDefault="006A1F72" w:rsidP="0001050B">
            <w:pPr>
              <w:adjustRightInd w:val="0"/>
              <w:spacing w:after="0" w:line="340" w:lineRule="atLeast"/>
              <w:jc w:val="center"/>
              <w:cnfStyle w:val="000000000000" w:firstRow="0" w:lastRow="0" w:firstColumn="0" w:lastColumn="0" w:oddVBand="0" w:evenVBand="0" w:oddHBand="0" w:evenHBand="0" w:firstRowFirstColumn="0" w:firstRowLastColumn="0" w:lastRowFirstColumn="0" w:lastRowLastColumn="0"/>
              <w:rPr>
                <w:rFonts w:eastAsia="Times New Roman"/>
                <w:color w:val="auto"/>
                <w:sz w:val="19"/>
                <w:szCs w:val="19"/>
              </w:rPr>
            </w:pPr>
            <w:r w:rsidRPr="006B15C0">
              <w:rPr>
                <w:rFonts w:eastAsia="Times New Roman"/>
                <w:color w:val="auto"/>
                <w:sz w:val="19"/>
                <w:szCs w:val="19"/>
              </w:rPr>
              <w:t>9.87</w:t>
            </w:r>
          </w:p>
        </w:tc>
      </w:tr>
      <w:tr w:rsidR="006B15C0" w:rsidRPr="006B15C0" w14:paraId="1B2B3D4A" w14:textId="77777777" w:rsidTr="00CB7B07">
        <w:trPr>
          <w:cnfStyle w:val="000000100000" w:firstRow="0" w:lastRow="0" w:firstColumn="0" w:lastColumn="0" w:oddVBand="0" w:evenVBand="0" w:oddHBand="1"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630" w:type="pct"/>
            <w:shd w:val="clear" w:color="auto" w:fill="FFFFFF" w:themeFill="background1"/>
          </w:tcPr>
          <w:p w14:paraId="373A1F45" w14:textId="77777777" w:rsidR="006A1F72" w:rsidRPr="006B15C0" w:rsidRDefault="006A1F72" w:rsidP="0001050B">
            <w:pPr>
              <w:adjustRightInd w:val="0"/>
              <w:spacing w:after="0" w:line="340" w:lineRule="atLeast"/>
              <w:rPr>
                <w:rFonts w:eastAsia="Times New Roman"/>
                <w:b w:val="0"/>
                <w:color w:val="auto"/>
                <w:sz w:val="19"/>
                <w:szCs w:val="19"/>
              </w:rPr>
            </w:pPr>
            <w:r w:rsidRPr="006B15C0">
              <w:rPr>
                <w:rFonts w:eastAsia="Times New Roman"/>
                <w:b w:val="0"/>
                <w:color w:val="auto"/>
                <w:sz w:val="19"/>
                <w:szCs w:val="19"/>
              </w:rPr>
              <w:t>USA, Inc</w:t>
            </w:r>
          </w:p>
        </w:tc>
        <w:tc>
          <w:tcPr>
            <w:tcW w:w="364" w:type="pct"/>
            <w:shd w:val="clear" w:color="auto" w:fill="FFFFFF" w:themeFill="background1"/>
          </w:tcPr>
          <w:p w14:paraId="4BCE7554" w14:textId="77777777" w:rsidR="006A1F72" w:rsidRPr="006B15C0" w:rsidRDefault="006A1F72" w:rsidP="0001050B">
            <w:pPr>
              <w:adjustRightInd w:val="0"/>
              <w:spacing w:after="0" w:line="340" w:lineRule="atLeast"/>
              <w:jc w:val="center"/>
              <w:cnfStyle w:val="000000100000" w:firstRow="0" w:lastRow="0" w:firstColumn="0" w:lastColumn="0" w:oddVBand="0" w:evenVBand="0" w:oddHBand="1" w:evenHBand="0" w:firstRowFirstColumn="0" w:firstRowLastColumn="0" w:lastRowFirstColumn="0" w:lastRowLastColumn="0"/>
              <w:rPr>
                <w:rFonts w:eastAsia="Times New Roman"/>
                <w:color w:val="auto"/>
                <w:sz w:val="19"/>
                <w:szCs w:val="19"/>
              </w:rPr>
            </w:pPr>
          </w:p>
        </w:tc>
        <w:tc>
          <w:tcPr>
            <w:tcW w:w="364" w:type="pct"/>
            <w:shd w:val="clear" w:color="auto" w:fill="FFFFFF" w:themeFill="background1"/>
          </w:tcPr>
          <w:p w14:paraId="4A77FA7F" w14:textId="77777777" w:rsidR="006A1F72" w:rsidRPr="006B15C0" w:rsidRDefault="006A1F72" w:rsidP="0001050B">
            <w:pPr>
              <w:adjustRightInd w:val="0"/>
              <w:spacing w:after="0" w:line="340" w:lineRule="atLeast"/>
              <w:jc w:val="center"/>
              <w:cnfStyle w:val="000000100000" w:firstRow="0" w:lastRow="0" w:firstColumn="0" w:lastColumn="0" w:oddVBand="0" w:evenVBand="0" w:oddHBand="1" w:evenHBand="0" w:firstRowFirstColumn="0" w:firstRowLastColumn="0" w:lastRowFirstColumn="0" w:lastRowLastColumn="0"/>
              <w:rPr>
                <w:rFonts w:eastAsia="Times New Roman"/>
                <w:color w:val="auto"/>
                <w:sz w:val="19"/>
                <w:szCs w:val="19"/>
              </w:rPr>
            </w:pPr>
          </w:p>
        </w:tc>
        <w:tc>
          <w:tcPr>
            <w:tcW w:w="364" w:type="pct"/>
            <w:shd w:val="clear" w:color="auto" w:fill="FFFFFF" w:themeFill="background1"/>
          </w:tcPr>
          <w:p w14:paraId="77D1B1F3" w14:textId="77777777" w:rsidR="006A1F72" w:rsidRPr="006B15C0" w:rsidRDefault="006A1F72" w:rsidP="0001050B">
            <w:pPr>
              <w:adjustRightInd w:val="0"/>
              <w:spacing w:after="0" w:line="340" w:lineRule="atLeast"/>
              <w:jc w:val="center"/>
              <w:cnfStyle w:val="000000100000" w:firstRow="0" w:lastRow="0" w:firstColumn="0" w:lastColumn="0" w:oddVBand="0" w:evenVBand="0" w:oddHBand="1" w:evenHBand="0" w:firstRowFirstColumn="0" w:firstRowLastColumn="0" w:lastRowFirstColumn="0" w:lastRowLastColumn="0"/>
              <w:rPr>
                <w:rFonts w:eastAsia="Times New Roman"/>
                <w:color w:val="auto"/>
                <w:sz w:val="19"/>
                <w:szCs w:val="19"/>
              </w:rPr>
            </w:pPr>
          </w:p>
        </w:tc>
        <w:tc>
          <w:tcPr>
            <w:tcW w:w="364" w:type="pct"/>
            <w:shd w:val="clear" w:color="auto" w:fill="FFFFFF" w:themeFill="background1"/>
          </w:tcPr>
          <w:p w14:paraId="42A4B2FC" w14:textId="77777777" w:rsidR="006A1F72" w:rsidRPr="006B15C0" w:rsidRDefault="006A1F72" w:rsidP="0001050B">
            <w:pPr>
              <w:adjustRightInd w:val="0"/>
              <w:spacing w:after="0" w:line="340" w:lineRule="atLeast"/>
              <w:jc w:val="center"/>
              <w:cnfStyle w:val="000000100000" w:firstRow="0" w:lastRow="0" w:firstColumn="0" w:lastColumn="0" w:oddVBand="0" w:evenVBand="0" w:oddHBand="1" w:evenHBand="0" w:firstRowFirstColumn="0" w:firstRowLastColumn="0" w:lastRowFirstColumn="0" w:lastRowLastColumn="0"/>
              <w:rPr>
                <w:rFonts w:eastAsia="Times New Roman"/>
                <w:color w:val="auto"/>
                <w:sz w:val="19"/>
                <w:szCs w:val="19"/>
              </w:rPr>
            </w:pPr>
          </w:p>
        </w:tc>
        <w:tc>
          <w:tcPr>
            <w:tcW w:w="364" w:type="pct"/>
            <w:shd w:val="clear" w:color="auto" w:fill="FFFFFF" w:themeFill="background1"/>
          </w:tcPr>
          <w:p w14:paraId="43734331" w14:textId="77777777" w:rsidR="006A1F72" w:rsidRPr="006B15C0" w:rsidRDefault="006A1F72" w:rsidP="0001050B">
            <w:pPr>
              <w:adjustRightInd w:val="0"/>
              <w:spacing w:after="0" w:line="340" w:lineRule="atLeast"/>
              <w:jc w:val="center"/>
              <w:cnfStyle w:val="000000100000" w:firstRow="0" w:lastRow="0" w:firstColumn="0" w:lastColumn="0" w:oddVBand="0" w:evenVBand="0" w:oddHBand="1" w:evenHBand="0" w:firstRowFirstColumn="0" w:firstRowLastColumn="0" w:lastRowFirstColumn="0" w:lastRowLastColumn="0"/>
              <w:rPr>
                <w:rFonts w:eastAsia="Times New Roman"/>
                <w:color w:val="auto"/>
                <w:sz w:val="19"/>
                <w:szCs w:val="19"/>
              </w:rPr>
            </w:pPr>
          </w:p>
        </w:tc>
        <w:tc>
          <w:tcPr>
            <w:tcW w:w="364" w:type="pct"/>
            <w:shd w:val="clear" w:color="auto" w:fill="FFFFFF" w:themeFill="background1"/>
          </w:tcPr>
          <w:p w14:paraId="37E579E1" w14:textId="77777777" w:rsidR="006A1F72" w:rsidRPr="006B15C0" w:rsidRDefault="006A1F72" w:rsidP="0001050B">
            <w:pPr>
              <w:adjustRightInd w:val="0"/>
              <w:spacing w:after="0" w:line="340" w:lineRule="atLeast"/>
              <w:jc w:val="center"/>
              <w:cnfStyle w:val="000000100000" w:firstRow="0" w:lastRow="0" w:firstColumn="0" w:lastColumn="0" w:oddVBand="0" w:evenVBand="0" w:oddHBand="1" w:evenHBand="0" w:firstRowFirstColumn="0" w:firstRowLastColumn="0" w:lastRowFirstColumn="0" w:lastRowLastColumn="0"/>
              <w:rPr>
                <w:rFonts w:eastAsia="Times New Roman"/>
                <w:color w:val="auto"/>
                <w:sz w:val="19"/>
                <w:szCs w:val="19"/>
              </w:rPr>
            </w:pPr>
          </w:p>
        </w:tc>
        <w:tc>
          <w:tcPr>
            <w:tcW w:w="364" w:type="pct"/>
            <w:shd w:val="clear" w:color="auto" w:fill="FFFFFF" w:themeFill="background1"/>
          </w:tcPr>
          <w:p w14:paraId="798186B9" w14:textId="77777777" w:rsidR="006A1F72" w:rsidRPr="006B15C0" w:rsidRDefault="006A1F72" w:rsidP="0001050B">
            <w:pPr>
              <w:adjustRightInd w:val="0"/>
              <w:spacing w:after="0" w:line="340" w:lineRule="atLeast"/>
              <w:jc w:val="center"/>
              <w:cnfStyle w:val="000000100000" w:firstRow="0" w:lastRow="0" w:firstColumn="0" w:lastColumn="0" w:oddVBand="0" w:evenVBand="0" w:oddHBand="1" w:evenHBand="0" w:firstRowFirstColumn="0" w:firstRowLastColumn="0" w:lastRowFirstColumn="0" w:lastRowLastColumn="0"/>
              <w:rPr>
                <w:rFonts w:eastAsia="Times New Roman"/>
                <w:color w:val="auto"/>
                <w:sz w:val="19"/>
                <w:szCs w:val="19"/>
              </w:rPr>
            </w:pPr>
            <w:r w:rsidRPr="006B15C0">
              <w:rPr>
                <w:rFonts w:eastAsia="Times New Roman"/>
                <w:color w:val="auto"/>
                <w:sz w:val="19"/>
                <w:szCs w:val="19"/>
              </w:rPr>
              <w:t>8.64</w:t>
            </w:r>
          </w:p>
        </w:tc>
        <w:tc>
          <w:tcPr>
            <w:tcW w:w="364" w:type="pct"/>
            <w:shd w:val="clear" w:color="auto" w:fill="FFFFFF" w:themeFill="background1"/>
          </w:tcPr>
          <w:p w14:paraId="791A6D2D" w14:textId="77777777" w:rsidR="006A1F72" w:rsidRPr="006B15C0" w:rsidRDefault="006A1F72" w:rsidP="0001050B">
            <w:pPr>
              <w:adjustRightInd w:val="0"/>
              <w:spacing w:after="0" w:line="340" w:lineRule="atLeast"/>
              <w:jc w:val="center"/>
              <w:cnfStyle w:val="000000100000" w:firstRow="0" w:lastRow="0" w:firstColumn="0" w:lastColumn="0" w:oddVBand="0" w:evenVBand="0" w:oddHBand="1" w:evenHBand="0" w:firstRowFirstColumn="0" w:firstRowLastColumn="0" w:lastRowFirstColumn="0" w:lastRowLastColumn="0"/>
              <w:rPr>
                <w:rFonts w:eastAsia="Times New Roman"/>
                <w:color w:val="auto"/>
                <w:sz w:val="19"/>
                <w:szCs w:val="19"/>
              </w:rPr>
            </w:pPr>
            <w:r w:rsidRPr="006B15C0">
              <w:rPr>
                <w:rFonts w:eastAsia="Times New Roman"/>
                <w:color w:val="auto"/>
                <w:sz w:val="19"/>
                <w:szCs w:val="19"/>
              </w:rPr>
              <w:t>0.0</w:t>
            </w:r>
          </w:p>
        </w:tc>
        <w:tc>
          <w:tcPr>
            <w:tcW w:w="364" w:type="pct"/>
            <w:shd w:val="clear" w:color="auto" w:fill="FFFFFF" w:themeFill="background1"/>
          </w:tcPr>
          <w:p w14:paraId="05DB4EDD" w14:textId="77777777" w:rsidR="006A1F72" w:rsidRPr="006B15C0" w:rsidRDefault="006A1F72" w:rsidP="0001050B">
            <w:pPr>
              <w:adjustRightInd w:val="0"/>
              <w:spacing w:after="0" w:line="340" w:lineRule="atLeast"/>
              <w:jc w:val="center"/>
              <w:cnfStyle w:val="000000100000" w:firstRow="0" w:lastRow="0" w:firstColumn="0" w:lastColumn="0" w:oddVBand="0" w:evenVBand="0" w:oddHBand="1" w:evenHBand="0" w:firstRowFirstColumn="0" w:firstRowLastColumn="0" w:lastRowFirstColumn="0" w:lastRowLastColumn="0"/>
              <w:rPr>
                <w:rFonts w:eastAsia="Times New Roman"/>
                <w:color w:val="auto"/>
                <w:sz w:val="19"/>
                <w:szCs w:val="19"/>
              </w:rPr>
            </w:pPr>
            <w:r w:rsidRPr="006B15C0">
              <w:rPr>
                <w:rFonts w:eastAsia="Times New Roman"/>
                <w:color w:val="auto"/>
                <w:sz w:val="19"/>
                <w:szCs w:val="19"/>
              </w:rPr>
              <w:t>0.0</w:t>
            </w:r>
          </w:p>
        </w:tc>
        <w:tc>
          <w:tcPr>
            <w:tcW w:w="364" w:type="pct"/>
            <w:shd w:val="clear" w:color="auto" w:fill="FFFFFF" w:themeFill="background1"/>
          </w:tcPr>
          <w:p w14:paraId="496D1CF9" w14:textId="77777777" w:rsidR="006A1F72" w:rsidRPr="006B15C0" w:rsidRDefault="006A1F72" w:rsidP="0001050B">
            <w:pPr>
              <w:adjustRightInd w:val="0"/>
              <w:spacing w:after="0" w:line="340" w:lineRule="atLeast"/>
              <w:jc w:val="center"/>
              <w:cnfStyle w:val="000000100000" w:firstRow="0" w:lastRow="0" w:firstColumn="0" w:lastColumn="0" w:oddVBand="0" w:evenVBand="0" w:oddHBand="1" w:evenHBand="0" w:firstRowFirstColumn="0" w:firstRowLastColumn="0" w:lastRowFirstColumn="0" w:lastRowLastColumn="0"/>
              <w:rPr>
                <w:rFonts w:eastAsia="Times New Roman"/>
                <w:color w:val="auto"/>
                <w:sz w:val="19"/>
                <w:szCs w:val="19"/>
              </w:rPr>
            </w:pPr>
            <w:r w:rsidRPr="006B15C0">
              <w:rPr>
                <w:rFonts w:eastAsia="Times New Roman"/>
                <w:color w:val="auto"/>
                <w:sz w:val="19"/>
                <w:szCs w:val="19"/>
              </w:rPr>
              <w:t>0.0</w:t>
            </w:r>
          </w:p>
        </w:tc>
        <w:tc>
          <w:tcPr>
            <w:tcW w:w="364" w:type="pct"/>
            <w:shd w:val="clear" w:color="auto" w:fill="FFFFFF" w:themeFill="background1"/>
          </w:tcPr>
          <w:p w14:paraId="79FD4822" w14:textId="77777777" w:rsidR="006A1F72" w:rsidRPr="006B15C0" w:rsidRDefault="006A1F72" w:rsidP="0001050B">
            <w:pPr>
              <w:adjustRightInd w:val="0"/>
              <w:spacing w:after="0" w:line="340" w:lineRule="atLeast"/>
              <w:jc w:val="center"/>
              <w:cnfStyle w:val="000000100000" w:firstRow="0" w:lastRow="0" w:firstColumn="0" w:lastColumn="0" w:oddVBand="0" w:evenVBand="0" w:oddHBand="1" w:evenHBand="0" w:firstRowFirstColumn="0" w:firstRowLastColumn="0" w:lastRowFirstColumn="0" w:lastRowLastColumn="0"/>
              <w:rPr>
                <w:rFonts w:eastAsia="Times New Roman"/>
                <w:color w:val="auto"/>
                <w:sz w:val="19"/>
                <w:szCs w:val="19"/>
              </w:rPr>
            </w:pPr>
            <w:r w:rsidRPr="006B15C0">
              <w:rPr>
                <w:rFonts w:eastAsia="Times New Roman"/>
                <w:color w:val="auto"/>
                <w:sz w:val="19"/>
                <w:szCs w:val="19"/>
              </w:rPr>
              <w:t>0.0</w:t>
            </w:r>
          </w:p>
        </w:tc>
        <w:tc>
          <w:tcPr>
            <w:tcW w:w="364" w:type="pct"/>
            <w:shd w:val="clear" w:color="auto" w:fill="FFFFFF" w:themeFill="background1"/>
          </w:tcPr>
          <w:p w14:paraId="04C52BBA" w14:textId="77777777" w:rsidR="006A1F72" w:rsidRPr="006B15C0" w:rsidRDefault="006A1F72" w:rsidP="0001050B">
            <w:pPr>
              <w:adjustRightInd w:val="0"/>
              <w:spacing w:after="0" w:line="340" w:lineRule="atLeast"/>
              <w:jc w:val="center"/>
              <w:cnfStyle w:val="000000100000" w:firstRow="0" w:lastRow="0" w:firstColumn="0" w:lastColumn="0" w:oddVBand="0" w:evenVBand="0" w:oddHBand="1" w:evenHBand="0" w:firstRowFirstColumn="0" w:firstRowLastColumn="0" w:lastRowFirstColumn="0" w:lastRowLastColumn="0"/>
              <w:rPr>
                <w:rFonts w:eastAsia="Times New Roman"/>
                <w:color w:val="auto"/>
                <w:sz w:val="19"/>
                <w:szCs w:val="19"/>
              </w:rPr>
            </w:pPr>
            <w:r w:rsidRPr="006B15C0">
              <w:rPr>
                <w:rFonts w:eastAsia="Times New Roman"/>
                <w:color w:val="auto"/>
                <w:sz w:val="19"/>
                <w:szCs w:val="19"/>
              </w:rPr>
              <w:t>0.0</w:t>
            </w:r>
          </w:p>
        </w:tc>
      </w:tr>
      <w:tr w:rsidR="006B15C0" w:rsidRPr="006B15C0" w14:paraId="7EA8E00A" w14:textId="77777777" w:rsidTr="00CB7B07">
        <w:trPr>
          <w:trHeight w:val="440"/>
        </w:trPr>
        <w:tc>
          <w:tcPr>
            <w:cnfStyle w:val="001000000000" w:firstRow="0" w:lastRow="0" w:firstColumn="1" w:lastColumn="0" w:oddVBand="0" w:evenVBand="0" w:oddHBand="0" w:evenHBand="0" w:firstRowFirstColumn="0" w:firstRowLastColumn="0" w:lastRowFirstColumn="0" w:lastRowLastColumn="0"/>
            <w:tcW w:w="630" w:type="pct"/>
            <w:tcBorders>
              <w:bottom w:val="single" w:sz="12" w:space="0" w:color="000000" w:themeColor="text1"/>
            </w:tcBorders>
            <w:shd w:val="clear" w:color="auto" w:fill="FFFFFF" w:themeFill="background1"/>
          </w:tcPr>
          <w:p w14:paraId="64DAF4A1" w14:textId="77777777" w:rsidR="006A1F72" w:rsidRPr="006B15C0" w:rsidRDefault="006A1F72" w:rsidP="0001050B">
            <w:pPr>
              <w:adjustRightInd w:val="0"/>
              <w:spacing w:after="0" w:line="340" w:lineRule="atLeast"/>
              <w:rPr>
                <w:rFonts w:eastAsia="Times New Roman"/>
                <w:b w:val="0"/>
                <w:color w:val="auto"/>
                <w:sz w:val="19"/>
                <w:szCs w:val="19"/>
              </w:rPr>
            </w:pPr>
            <w:r w:rsidRPr="006B15C0">
              <w:rPr>
                <w:rFonts w:eastAsia="Times New Roman"/>
                <w:b w:val="0"/>
                <w:color w:val="auto"/>
                <w:sz w:val="19"/>
                <w:szCs w:val="19"/>
              </w:rPr>
              <w:t>USA, Fund</w:t>
            </w:r>
          </w:p>
        </w:tc>
        <w:tc>
          <w:tcPr>
            <w:tcW w:w="364" w:type="pct"/>
            <w:tcBorders>
              <w:bottom w:val="single" w:sz="12" w:space="0" w:color="000000" w:themeColor="text1"/>
            </w:tcBorders>
            <w:shd w:val="clear" w:color="auto" w:fill="FFFFFF" w:themeFill="background1"/>
          </w:tcPr>
          <w:p w14:paraId="3EE7BFE5" w14:textId="77777777" w:rsidR="006A1F72" w:rsidRPr="006B15C0" w:rsidRDefault="006A1F72" w:rsidP="0001050B">
            <w:pPr>
              <w:adjustRightInd w:val="0"/>
              <w:spacing w:after="0" w:line="340" w:lineRule="atLeast"/>
              <w:jc w:val="center"/>
              <w:cnfStyle w:val="000000000000" w:firstRow="0" w:lastRow="0" w:firstColumn="0" w:lastColumn="0" w:oddVBand="0" w:evenVBand="0" w:oddHBand="0" w:evenHBand="0" w:firstRowFirstColumn="0" w:firstRowLastColumn="0" w:lastRowFirstColumn="0" w:lastRowLastColumn="0"/>
              <w:rPr>
                <w:rFonts w:eastAsia="Times New Roman"/>
                <w:color w:val="auto"/>
                <w:sz w:val="19"/>
                <w:szCs w:val="19"/>
              </w:rPr>
            </w:pPr>
          </w:p>
        </w:tc>
        <w:tc>
          <w:tcPr>
            <w:tcW w:w="364" w:type="pct"/>
            <w:tcBorders>
              <w:bottom w:val="single" w:sz="12" w:space="0" w:color="000000" w:themeColor="text1"/>
            </w:tcBorders>
            <w:shd w:val="clear" w:color="auto" w:fill="FFFFFF" w:themeFill="background1"/>
          </w:tcPr>
          <w:p w14:paraId="5BB99440" w14:textId="77777777" w:rsidR="006A1F72" w:rsidRPr="006B15C0" w:rsidRDefault="006A1F72" w:rsidP="0001050B">
            <w:pPr>
              <w:adjustRightInd w:val="0"/>
              <w:spacing w:after="0" w:line="340" w:lineRule="atLeast"/>
              <w:jc w:val="center"/>
              <w:cnfStyle w:val="000000000000" w:firstRow="0" w:lastRow="0" w:firstColumn="0" w:lastColumn="0" w:oddVBand="0" w:evenVBand="0" w:oddHBand="0" w:evenHBand="0" w:firstRowFirstColumn="0" w:firstRowLastColumn="0" w:lastRowFirstColumn="0" w:lastRowLastColumn="0"/>
              <w:rPr>
                <w:rFonts w:eastAsia="Times New Roman"/>
                <w:color w:val="auto"/>
                <w:sz w:val="19"/>
                <w:szCs w:val="19"/>
              </w:rPr>
            </w:pPr>
          </w:p>
        </w:tc>
        <w:tc>
          <w:tcPr>
            <w:tcW w:w="364" w:type="pct"/>
            <w:tcBorders>
              <w:bottom w:val="single" w:sz="12" w:space="0" w:color="000000" w:themeColor="text1"/>
            </w:tcBorders>
            <w:shd w:val="clear" w:color="auto" w:fill="FFFFFF" w:themeFill="background1"/>
          </w:tcPr>
          <w:p w14:paraId="79792FD7" w14:textId="77777777" w:rsidR="006A1F72" w:rsidRPr="006B15C0" w:rsidRDefault="006A1F72" w:rsidP="0001050B">
            <w:pPr>
              <w:adjustRightInd w:val="0"/>
              <w:spacing w:after="0" w:line="340" w:lineRule="atLeast"/>
              <w:jc w:val="center"/>
              <w:cnfStyle w:val="000000000000" w:firstRow="0" w:lastRow="0" w:firstColumn="0" w:lastColumn="0" w:oddVBand="0" w:evenVBand="0" w:oddHBand="0" w:evenHBand="0" w:firstRowFirstColumn="0" w:firstRowLastColumn="0" w:lastRowFirstColumn="0" w:lastRowLastColumn="0"/>
              <w:rPr>
                <w:rFonts w:eastAsia="Times New Roman"/>
                <w:color w:val="auto"/>
                <w:sz w:val="19"/>
                <w:szCs w:val="19"/>
              </w:rPr>
            </w:pPr>
          </w:p>
        </w:tc>
        <w:tc>
          <w:tcPr>
            <w:tcW w:w="364" w:type="pct"/>
            <w:tcBorders>
              <w:bottom w:val="single" w:sz="12" w:space="0" w:color="000000" w:themeColor="text1"/>
            </w:tcBorders>
            <w:shd w:val="clear" w:color="auto" w:fill="FFFFFF" w:themeFill="background1"/>
          </w:tcPr>
          <w:p w14:paraId="392D4E15" w14:textId="77777777" w:rsidR="006A1F72" w:rsidRPr="006B15C0" w:rsidRDefault="006A1F72" w:rsidP="0001050B">
            <w:pPr>
              <w:adjustRightInd w:val="0"/>
              <w:spacing w:after="0" w:line="340" w:lineRule="atLeast"/>
              <w:jc w:val="center"/>
              <w:cnfStyle w:val="000000000000" w:firstRow="0" w:lastRow="0" w:firstColumn="0" w:lastColumn="0" w:oddVBand="0" w:evenVBand="0" w:oddHBand="0" w:evenHBand="0" w:firstRowFirstColumn="0" w:firstRowLastColumn="0" w:lastRowFirstColumn="0" w:lastRowLastColumn="0"/>
              <w:rPr>
                <w:rFonts w:eastAsia="Times New Roman"/>
                <w:color w:val="auto"/>
                <w:sz w:val="19"/>
                <w:szCs w:val="19"/>
              </w:rPr>
            </w:pPr>
          </w:p>
        </w:tc>
        <w:tc>
          <w:tcPr>
            <w:tcW w:w="364" w:type="pct"/>
            <w:tcBorders>
              <w:bottom w:val="single" w:sz="12" w:space="0" w:color="000000" w:themeColor="text1"/>
            </w:tcBorders>
            <w:shd w:val="clear" w:color="auto" w:fill="FFFFFF" w:themeFill="background1"/>
          </w:tcPr>
          <w:p w14:paraId="1A194297" w14:textId="77777777" w:rsidR="006A1F72" w:rsidRPr="006B15C0" w:rsidRDefault="006A1F72" w:rsidP="0001050B">
            <w:pPr>
              <w:adjustRightInd w:val="0"/>
              <w:spacing w:after="0" w:line="340" w:lineRule="atLeast"/>
              <w:jc w:val="center"/>
              <w:cnfStyle w:val="000000000000" w:firstRow="0" w:lastRow="0" w:firstColumn="0" w:lastColumn="0" w:oddVBand="0" w:evenVBand="0" w:oddHBand="0" w:evenHBand="0" w:firstRowFirstColumn="0" w:firstRowLastColumn="0" w:lastRowFirstColumn="0" w:lastRowLastColumn="0"/>
              <w:rPr>
                <w:rFonts w:eastAsia="Times New Roman"/>
                <w:color w:val="auto"/>
                <w:sz w:val="19"/>
                <w:szCs w:val="19"/>
              </w:rPr>
            </w:pPr>
          </w:p>
        </w:tc>
        <w:tc>
          <w:tcPr>
            <w:tcW w:w="364" w:type="pct"/>
            <w:tcBorders>
              <w:bottom w:val="single" w:sz="12" w:space="0" w:color="000000" w:themeColor="text1"/>
            </w:tcBorders>
            <w:shd w:val="clear" w:color="auto" w:fill="FFFFFF" w:themeFill="background1"/>
          </w:tcPr>
          <w:p w14:paraId="561C4EDB" w14:textId="77777777" w:rsidR="006A1F72" w:rsidRPr="006B15C0" w:rsidRDefault="006A1F72" w:rsidP="0001050B">
            <w:pPr>
              <w:adjustRightInd w:val="0"/>
              <w:spacing w:after="0" w:line="340" w:lineRule="atLeast"/>
              <w:jc w:val="center"/>
              <w:cnfStyle w:val="000000000000" w:firstRow="0" w:lastRow="0" w:firstColumn="0" w:lastColumn="0" w:oddVBand="0" w:evenVBand="0" w:oddHBand="0" w:evenHBand="0" w:firstRowFirstColumn="0" w:firstRowLastColumn="0" w:lastRowFirstColumn="0" w:lastRowLastColumn="0"/>
              <w:rPr>
                <w:rFonts w:eastAsia="Times New Roman"/>
                <w:color w:val="auto"/>
                <w:sz w:val="19"/>
                <w:szCs w:val="19"/>
              </w:rPr>
            </w:pPr>
          </w:p>
        </w:tc>
        <w:tc>
          <w:tcPr>
            <w:tcW w:w="364" w:type="pct"/>
            <w:tcBorders>
              <w:bottom w:val="single" w:sz="12" w:space="0" w:color="000000" w:themeColor="text1"/>
            </w:tcBorders>
            <w:shd w:val="clear" w:color="auto" w:fill="FFFFFF" w:themeFill="background1"/>
          </w:tcPr>
          <w:p w14:paraId="170A03A6" w14:textId="77777777" w:rsidR="006A1F72" w:rsidRPr="006B15C0" w:rsidRDefault="006A1F72" w:rsidP="0001050B">
            <w:pPr>
              <w:adjustRightInd w:val="0"/>
              <w:spacing w:after="0" w:line="340" w:lineRule="atLeast"/>
              <w:jc w:val="center"/>
              <w:cnfStyle w:val="000000000000" w:firstRow="0" w:lastRow="0" w:firstColumn="0" w:lastColumn="0" w:oddVBand="0" w:evenVBand="0" w:oddHBand="0" w:evenHBand="0" w:firstRowFirstColumn="0" w:firstRowLastColumn="0" w:lastRowFirstColumn="0" w:lastRowLastColumn="0"/>
              <w:rPr>
                <w:rFonts w:eastAsia="Times New Roman"/>
                <w:color w:val="auto"/>
                <w:sz w:val="19"/>
                <w:szCs w:val="19"/>
              </w:rPr>
            </w:pPr>
            <w:r w:rsidRPr="006B15C0">
              <w:rPr>
                <w:rFonts w:eastAsia="Times New Roman"/>
                <w:color w:val="auto"/>
                <w:sz w:val="19"/>
                <w:szCs w:val="19"/>
              </w:rPr>
              <w:t>18.29</w:t>
            </w:r>
          </w:p>
        </w:tc>
        <w:tc>
          <w:tcPr>
            <w:tcW w:w="364" w:type="pct"/>
            <w:tcBorders>
              <w:bottom w:val="single" w:sz="12" w:space="0" w:color="000000" w:themeColor="text1"/>
            </w:tcBorders>
            <w:shd w:val="clear" w:color="auto" w:fill="FFFFFF" w:themeFill="background1"/>
          </w:tcPr>
          <w:p w14:paraId="763AB3D8" w14:textId="77777777" w:rsidR="006A1F72" w:rsidRPr="006B15C0" w:rsidRDefault="006A1F72" w:rsidP="0001050B">
            <w:pPr>
              <w:adjustRightInd w:val="0"/>
              <w:spacing w:after="0" w:line="340" w:lineRule="atLeast"/>
              <w:jc w:val="center"/>
              <w:cnfStyle w:val="000000000000" w:firstRow="0" w:lastRow="0" w:firstColumn="0" w:lastColumn="0" w:oddVBand="0" w:evenVBand="0" w:oddHBand="0" w:evenHBand="0" w:firstRowFirstColumn="0" w:firstRowLastColumn="0" w:lastRowFirstColumn="0" w:lastRowLastColumn="0"/>
              <w:rPr>
                <w:rFonts w:eastAsia="Times New Roman"/>
                <w:color w:val="auto"/>
                <w:sz w:val="19"/>
                <w:szCs w:val="19"/>
              </w:rPr>
            </w:pPr>
            <w:r w:rsidRPr="006B15C0">
              <w:rPr>
                <w:rFonts w:eastAsia="Times New Roman"/>
                <w:color w:val="auto"/>
                <w:sz w:val="19"/>
                <w:szCs w:val="19"/>
              </w:rPr>
              <w:t>2.04</w:t>
            </w:r>
          </w:p>
        </w:tc>
        <w:tc>
          <w:tcPr>
            <w:tcW w:w="364" w:type="pct"/>
            <w:tcBorders>
              <w:bottom w:val="single" w:sz="12" w:space="0" w:color="000000" w:themeColor="text1"/>
            </w:tcBorders>
            <w:shd w:val="clear" w:color="auto" w:fill="FFFFFF" w:themeFill="background1"/>
          </w:tcPr>
          <w:p w14:paraId="45125CAE" w14:textId="77777777" w:rsidR="006A1F72" w:rsidRPr="006B15C0" w:rsidRDefault="006A1F72" w:rsidP="0001050B">
            <w:pPr>
              <w:adjustRightInd w:val="0"/>
              <w:spacing w:after="0" w:line="340" w:lineRule="atLeast"/>
              <w:jc w:val="center"/>
              <w:cnfStyle w:val="000000000000" w:firstRow="0" w:lastRow="0" w:firstColumn="0" w:lastColumn="0" w:oddVBand="0" w:evenVBand="0" w:oddHBand="0" w:evenHBand="0" w:firstRowFirstColumn="0" w:firstRowLastColumn="0" w:lastRowFirstColumn="0" w:lastRowLastColumn="0"/>
              <w:rPr>
                <w:rFonts w:eastAsia="Times New Roman"/>
                <w:color w:val="auto"/>
                <w:sz w:val="19"/>
                <w:szCs w:val="19"/>
              </w:rPr>
            </w:pPr>
            <w:r w:rsidRPr="006B15C0">
              <w:rPr>
                <w:rFonts w:eastAsia="Times New Roman"/>
                <w:color w:val="auto"/>
                <w:sz w:val="19"/>
                <w:szCs w:val="19"/>
              </w:rPr>
              <w:t>0.0</w:t>
            </w:r>
          </w:p>
        </w:tc>
        <w:tc>
          <w:tcPr>
            <w:tcW w:w="364" w:type="pct"/>
            <w:tcBorders>
              <w:bottom w:val="single" w:sz="12" w:space="0" w:color="000000" w:themeColor="text1"/>
            </w:tcBorders>
            <w:shd w:val="clear" w:color="auto" w:fill="FFFFFF" w:themeFill="background1"/>
          </w:tcPr>
          <w:p w14:paraId="6C7A58BF" w14:textId="77777777" w:rsidR="006A1F72" w:rsidRPr="006B15C0" w:rsidRDefault="006A1F72" w:rsidP="0001050B">
            <w:pPr>
              <w:adjustRightInd w:val="0"/>
              <w:spacing w:after="0" w:line="340" w:lineRule="atLeast"/>
              <w:jc w:val="center"/>
              <w:cnfStyle w:val="000000000000" w:firstRow="0" w:lastRow="0" w:firstColumn="0" w:lastColumn="0" w:oddVBand="0" w:evenVBand="0" w:oddHBand="0" w:evenHBand="0" w:firstRowFirstColumn="0" w:firstRowLastColumn="0" w:lastRowFirstColumn="0" w:lastRowLastColumn="0"/>
              <w:rPr>
                <w:rFonts w:eastAsia="Times New Roman"/>
                <w:color w:val="auto"/>
                <w:sz w:val="19"/>
                <w:szCs w:val="19"/>
              </w:rPr>
            </w:pPr>
            <w:r w:rsidRPr="006B15C0">
              <w:rPr>
                <w:rFonts w:eastAsia="Times New Roman"/>
                <w:color w:val="auto"/>
                <w:sz w:val="19"/>
                <w:szCs w:val="19"/>
              </w:rPr>
              <w:t>0.0</w:t>
            </w:r>
          </w:p>
        </w:tc>
        <w:tc>
          <w:tcPr>
            <w:tcW w:w="364" w:type="pct"/>
            <w:tcBorders>
              <w:bottom w:val="single" w:sz="12" w:space="0" w:color="000000" w:themeColor="text1"/>
            </w:tcBorders>
            <w:shd w:val="clear" w:color="auto" w:fill="FFFFFF" w:themeFill="background1"/>
          </w:tcPr>
          <w:p w14:paraId="2CAB99EA" w14:textId="77777777" w:rsidR="006A1F72" w:rsidRPr="006B15C0" w:rsidRDefault="006A1F72" w:rsidP="0001050B">
            <w:pPr>
              <w:adjustRightInd w:val="0"/>
              <w:spacing w:after="0" w:line="340" w:lineRule="atLeast"/>
              <w:jc w:val="center"/>
              <w:cnfStyle w:val="000000000000" w:firstRow="0" w:lastRow="0" w:firstColumn="0" w:lastColumn="0" w:oddVBand="0" w:evenVBand="0" w:oddHBand="0" w:evenHBand="0" w:firstRowFirstColumn="0" w:firstRowLastColumn="0" w:lastRowFirstColumn="0" w:lastRowLastColumn="0"/>
              <w:rPr>
                <w:rFonts w:eastAsia="Times New Roman"/>
                <w:color w:val="auto"/>
                <w:sz w:val="19"/>
                <w:szCs w:val="19"/>
              </w:rPr>
            </w:pPr>
            <w:r w:rsidRPr="006B15C0">
              <w:rPr>
                <w:rFonts w:eastAsia="Times New Roman"/>
                <w:color w:val="auto"/>
                <w:sz w:val="19"/>
                <w:szCs w:val="19"/>
              </w:rPr>
              <w:t>0.0</w:t>
            </w:r>
          </w:p>
        </w:tc>
        <w:tc>
          <w:tcPr>
            <w:tcW w:w="364" w:type="pct"/>
            <w:tcBorders>
              <w:bottom w:val="single" w:sz="12" w:space="0" w:color="000000" w:themeColor="text1"/>
            </w:tcBorders>
            <w:shd w:val="clear" w:color="auto" w:fill="FFFFFF" w:themeFill="background1"/>
          </w:tcPr>
          <w:p w14:paraId="4E3C6985" w14:textId="77777777" w:rsidR="006A1F72" w:rsidRPr="006B15C0" w:rsidRDefault="006A1F72" w:rsidP="0001050B">
            <w:pPr>
              <w:adjustRightInd w:val="0"/>
              <w:spacing w:after="0" w:line="340" w:lineRule="atLeast"/>
              <w:jc w:val="center"/>
              <w:cnfStyle w:val="000000000000" w:firstRow="0" w:lastRow="0" w:firstColumn="0" w:lastColumn="0" w:oddVBand="0" w:evenVBand="0" w:oddHBand="0" w:evenHBand="0" w:firstRowFirstColumn="0" w:firstRowLastColumn="0" w:lastRowFirstColumn="0" w:lastRowLastColumn="0"/>
              <w:rPr>
                <w:rFonts w:eastAsia="Times New Roman"/>
                <w:color w:val="auto"/>
                <w:sz w:val="19"/>
                <w:szCs w:val="19"/>
              </w:rPr>
            </w:pPr>
            <w:r w:rsidRPr="006B15C0">
              <w:rPr>
                <w:rFonts w:eastAsia="Times New Roman"/>
                <w:color w:val="auto"/>
                <w:sz w:val="19"/>
                <w:szCs w:val="19"/>
              </w:rPr>
              <w:t>0.0</w:t>
            </w:r>
          </w:p>
        </w:tc>
      </w:tr>
    </w:tbl>
    <w:p w14:paraId="0E9C8D2B" w14:textId="77777777" w:rsidR="006A1F72" w:rsidRPr="007A6659" w:rsidRDefault="006A1F72" w:rsidP="00CB7B07">
      <w:pPr>
        <w:spacing w:after="0" w:line="360" w:lineRule="exact"/>
        <w:jc w:val="center"/>
        <w:rPr>
          <w:sz w:val="26"/>
          <w:szCs w:val="26"/>
          <w:lang w:eastAsia="zh-TW"/>
        </w:rPr>
      </w:pPr>
    </w:p>
    <w:p w14:paraId="7BF16763" w14:textId="7C234CEE" w:rsidR="005B7147" w:rsidRPr="007A6659" w:rsidRDefault="005B7147" w:rsidP="00FF5068">
      <w:pPr>
        <w:spacing w:after="0" w:line="360" w:lineRule="exact"/>
        <w:ind w:firstLineChars="200" w:firstLine="520"/>
        <w:jc w:val="both"/>
        <w:rPr>
          <w:sz w:val="26"/>
          <w:szCs w:val="26"/>
        </w:rPr>
      </w:pPr>
      <w:r w:rsidRPr="007A6659">
        <w:rPr>
          <w:sz w:val="26"/>
          <w:szCs w:val="26"/>
        </w:rPr>
        <w:t>In the US, the GM campaign has received zero budget allocation since 2005. The advocacy arm of Greenpeace USA allocated 8.64 percent of its budget in 2003 and zero since. The education and research component of Greenpeace USA allocated 18.29 percent in 2003, 2.04 percent in 2004</w:t>
      </w:r>
      <w:r w:rsidR="00EE4C92">
        <w:rPr>
          <w:sz w:val="26"/>
          <w:szCs w:val="26"/>
        </w:rPr>
        <w:t>,</w:t>
      </w:r>
      <w:r w:rsidRPr="007A6659">
        <w:rPr>
          <w:sz w:val="26"/>
          <w:szCs w:val="26"/>
        </w:rPr>
        <w:t xml:space="preserve"> and zero since. Greenpeace France has allocated more than 11 percent of its budget each year</w:t>
      </w:r>
      <w:r w:rsidR="00EE4C92">
        <w:rPr>
          <w:sz w:val="26"/>
          <w:szCs w:val="26"/>
        </w:rPr>
        <w:t xml:space="preserve"> </w:t>
      </w:r>
      <w:r w:rsidRPr="007A6659">
        <w:rPr>
          <w:sz w:val="26"/>
          <w:szCs w:val="26"/>
        </w:rPr>
        <w:t xml:space="preserve">while Greenpeace Spain has allocated more than 8 percent. Both units continue to fund the GM campaign. One-way analysis of variance (ANOVA) </w:t>
      </w:r>
      <w:r w:rsidR="00EE4C92">
        <w:rPr>
          <w:sz w:val="26"/>
          <w:szCs w:val="26"/>
        </w:rPr>
        <w:t>was</w:t>
      </w:r>
      <w:r w:rsidR="00EE4C92" w:rsidRPr="007A6659">
        <w:rPr>
          <w:sz w:val="26"/>
          <w:szCs w:val="26"/>
        </w:rPr>
        <w:t xml:space="preserve"> </w:t>
      </w:r>
      <w:r w:rsidRPr="007A6659">
        <w:rPr>
          <w:sz w:val="26"/>
          <w:szCs w:val="26"/>
        </w:rPr>
        <w:t xml:space="preserve">used to measure differences in means </w:t>
      </w:r>
      <w:r w:rsidR="00EE4C92">
        <w:rPr>
          <w:sz w:val="26"/>
          <w:szCs w:val="26"/>
        </w:rPr>
        <w:t>between</w:t>
      </w:r>
      <w:r w:rsidR="00EE4C92" w:rsidRPr="007A6659">
        <w:rPr>
          <w:sz w:val="26"/>
          <w:szCs w:val="26"/>
        </w:rPr>
        <w:t xml:space="preserve"> </w:t>
      </w:r>
      <w:r w:rsidRPr="007A6659">
        <w:rPr>
          <w:sz w:val="26"/>
          <w:szCs w:val="26"/>
        </w:rPr>
        <w:t>the national EU and US Greenpeace units</w:t>
      </w:r>
      <w:r w:rsidR="00EE4C92">
        <w:rPr>
          <w:sz w:val="26"/>
          <w:szCs w:val="26"/>
        </w:rPr>
        <w:t xml:space="preserve">, </w:t>
      </w:r>
      <w:r w:rsidRPr="007A6659">
        <w:rPr>
          <w:sz w:val="26"/>
          <w:szCs w:val="26"/>
        </w:rPr>
        <w:t>the International unit</w:t>
      </w:r>
      <w:r w:rsidR="00EE4C92">
        <w:rPr>
          <w:sz w:val="26"/>
          <w:szCs w:val="26"/>
        </w:rPr>
        <w:t>,</w:t>
      </w:r>
      <w:r w:rsidRPr="007A6659">
        <w:rPr>
          <w:sz w:val="26"/>
          <w:szCs w:val="26"/>
        </w:rPr>
        <w:t xml:space="preserve"> and World</w:t>
      </w:r>
      <w:r w:rsidR="00EE4C92">
        <w:rPr>
          <w:sz w:val="26"/>
          <w:szCs w:val="26"/>
        </w:rPr>
        <w:t>w</w:t>
      </w:r>
      <w:r w:rsidRPr="007A6659">
        <w:rPr>
          <w:sz w:val="26"/>
          <w:szCs w:val="26"/>
        </w:rPr>
        <w:t>ide aggregate. The results are presented in Table 2.</w:t>
      </w:r>
    </w:p>
    <w:p w14:paraId="7ADE9874" w14:textId="23C78D18" w:rsidR="00BA396E" w:rsidRPr="007A6659" w:rsidRDefault="00BA396E" w:rsidP="00BA396E">
      <w:pPr>
        <w:spacing w:after="0" w:line="360" w:lineRule="exact"/>
        <w:ind w:firstLineChars="200" w:firstLine="520"/>
        <w:jc w:val="both"/>
        <w:rPr>
          <w:sz w:val="26"/>
          <w:szCs w:val="26"/>
        </w:rPr>
      </w:pPr>
      <w:r w:rsidRPr="007A6659">
        <w:rPr>
          <w:sz w:val="26"/>
          <w:szCs w:val="26"/>
        </w:rPr>
        <w:t>Thus, our predictions that Greenpeace responds like a transnational</w:t>
      </w:r>
      <w:r w:rsidR="00DA42F6">
        <w:rPr>
          <w:sz w:val="26"/>
          <w:szCs w:val="26"/>
        </w:rPr>
        <w:t xml:space="preserve"> corporation (locally responsive but globally coordinated)</w:t>
      </w:r>
      <w:r w:rsidRPr="007A6659">
        <w:rPr>
          <w:sz w:val="26"/>
          <w:szCs w:val="26"/>
        </w:rPr>
        <w:t xml:space="preserve"> to local institutional pressure </w:t>
      </w:r>
      <w:r>
        <w:rPr>
          <w:sz w:val="26"/>
          <w:szCs w:val="26"/>
        </w:rPr>
        <w:t>were</w:t>
      </w:r>
      <w:r w:rsidRPr="007A6659">
        <w:rPr>
          <w:sz w:val="26"/>
          <w:szCs w:val="26"/>
        </w:rPr>
        <w:t xml:space="preserve"> supported. The European units allocate</w:t>
      </w:r>
      <w:r>
        <w:rPr>
          <w:sz w:val="26"/>
          <w:szCs w:val="26"/>
        </w:rPr>
        <w:t>d</w:t>
      </w:r>
      <w:r w:rsidRPr="007A6659">
        <w:rPr>
          <w:sz w:val="26"/>
          <w:szCs w:val="26"/>
        </w:rPr>
        <w:t xml:space="preserve"> a greater percentage of their budget to the anti-GM campaign</w:t>
      </w:r>
      <w:r w:rsidR="00CE4E0C">
        <w:rPr>
          <w:sz w:val="26"/>
          <w:szCs w:val="26"/>
        </w:rPr>
        <w:t xml:space="preserve"> than did the </w:t>
      </w:r>
      <w:r w:rsidRPr="007A6659">
        <w:rPr>
          <w:sz w:val="26"/>
          <w:szCs w:val="26"/>
        </w:rPr>
        <w:t>research and education component of Greenpeace US</w:t>
      </w:r>
      <w:r>
        <w:rPr>
          <w:sz w:val="26"/>
          <w:szCs w:val="26"/>
        </w:rPr>
        <w:t>A Fund</w:t>
      </w:r>
      <w:r w:rsidR="00CE4E0C">
        <w:rPr>
          <w:sz w:val="26"/>
          <w:szCs w:val="26"/>
        </w:rPr>
        <w:t>, except for a significant amount of spending on this campaign by Greenpeace USA Fund in 2003</w:t>
      </w:r>
      <w:r w:rsidRPr="007A6659">
        <w:rPr>
          <w:sz w:val="26"/>
          <w:szCs w:val="26"/>
        </w:rPr>
        <w:t xml:space="preserve">. This </w:t>
      </w:r>
      <w:r w:rsidR="00CE4E0C">
        <w:rPr>
          <w:sz w:val="26"/>
          <w:szCs w:val="26"/>
        </w:rPr>
        <w:t xml:space="preserve">single-year surge </w:t>
      </w:r>
      <w:r w:rsidRPr="007A6659">
        <w:rPr>
          <w:sz w:val="26"/>
          <w:szCs w:val="26"/>
        </w:rPr>
        <w:t>suggests a brief attempt to sway public opinion in the US and thus shift the informal institutional environment</w:t>
      </w:r>
      <w:r w:rsidR="00CE4E0C">
        <w:rPr>
          <w:sz w:val="26"/>
          <w:szCs w:val="26"/>
        </w:rPr>
        <w:t xml:space="preserve"> toward opposing GMOs,</w:t>
      </w:r>
      <w:r w:rsidRPr="007A6659">
        <w:rPr>
          <w:sz w:val="26"/>
          <w:szCs w:val="26"/>
        </w:rPr>
        <w:t xml:space="preserve"> rather than going after formal public policy institutions</w:t>
      </w:r>
      <w:r>
        <w:rPr>
          <w:sz w:val="26"/>
          <w:szCs w:val="26"/>
        </w:rPr>
        <w:t>,</w:t>
      </w:r>
      <w:r w:rsidRPr="007A6659">
        <w:rPr>
          <w:sz w:val="26"/>
          <w:szCs w:val="26"/>
        </w:rPr>
        <w:t xml:space="preserve"> as their counterparts did in the EU. Such an attempt would be consistent with the US formal institutional environment </w:t>
      </w:r>
      <w:r>
        <w:rPr>
          <w:sz w:val="26"/>
          <w:szCs w:val="26"/>
        </w:rPr>
        <w:t>that does not include</w:t>
      </w:r>
      <w:r w:rsidRPr="007A6659">
        <w:rPr>
          <w:sz w:val="26"/>
          <w:szCs w:val="26"/>
        </w:rPr>
        <w:t xml:space="preserve"> Greenpeace </w:t>
      </w:r>
      <w:r>
        <w:rPr>
          <w:sz w:val="26"/>
          <w:szCs w:val="26"/>
        </w:rPr>
        <w:t xml:space="preserve">in </w:t>
      </w:r>
      <w:r w:rsidRPr="007A6659">
        <w:rPr>
          <w:sz w:val="26"/>
          <w:szCs w:val="26"/>
        </w:rPr>
        <w:t xml:space="preserve">the formal decision-making process. Alternatively, the increased spending by Greenpeace USA Fund on this campaign in 2003 and 2004 may have been </w:t>
      </w:r>
      <w:r>
        <w:rPr>
          <w:sz w:val="26"/>
          <w:szCs w:val="26"/>
        </w:rPr>
        <w:t>a</w:t>
      </w:r>
      <w:r w:rsidRPr="007A6659">
        <w:rPr>
          <w:sz w:val="26"/>
          <w:szCs w:val="26"/>
        </w:rPr>
        <w:t xml:space="preserve"> response to the allegation</w:t>
      </w:r>
      <w:r>
        <w:rPr>
          <w:sz w:val="26"/>
          <w:szCs w:val="26"/>
        </w:rPr>
        <w:t xml:space="preserve">s made </w:t>
      </w:r>
      <w:r w:rsidRPr="007A6659">
        <w:rPr>
          <w:sz w:val="26"/>
          <w:szCs w:val="26"/>
        </w:rPr>
        <w:t>by Public Interest Watch</w:t>
      </w:r>
      <w:r w:rsidRPr="000F5399">
        <w:rPr>
          <w:sz w:val="26"/>
          <w:szCs w:val="26"/>
        </w:rPr>
        <w:t xml:space="preserve"> </w:t>
      </w:r>
      <w:r w:rsidRPr="007A6659">
        <w:rPr>
          <w:sz w:val="26"/>
          <w:szCs w:val="26"/>
        </w:rPr>
        <w:t>in 2003 that the fund was in violation of US tax law (National Review, 2003).  The investigation lasted through 2004</w:t>
      </w:r>
      <w:r>
        <w:rPr>
          <w:sz w:val="26"/>
          <w:szCs w:val="26"/>
        </w:rPr>
        <w:t>,</w:t>
      </w:r>
      <w:r w:rsidRPr="007A6659">
        <w:rPr>
          <w:sz w:val="26"/>
          <w:szCs w:val="26"/>
        </w:rPr>
        <w:t xml:space="preserve"> </w:t>
      </w:r>
      <w:r>
        <w:rPr>
          <w:sz w:val="26"/>
          <w:szCs w:val="26"/>
        </w:rPr>
        <w:t>when the allegations were</w:t>
      </w:r>
      <w:r w:rsidRPr="007A6659">
        <w:rPr>
          <w:sz w:val="26"/>
          <w:szCs w:val="26"/>
        </w:rPr>
        <w:t xml:space="preserve"> cleared</w:t>
      </w:r>
      <w:r>
        <w:rPr>
          <w:sz w:val="26"/>
          <w:szCs w:val="26"/>
        </w:rPr>
        <w:t xml:space="preserve"> and</w:t>
      </w:r>
      <w:r w:rsidRPr="007A6659">
        <w:rPr>
          <w:sz w:val="26"/>
          <w:szCs w:val="26"/>
        </w:rPr>
        <w:t xml:space="preserve"> Public Interest Watch was subsequently revealed to be funded by Exxon Mobile (Stecklow, 2006).  Despite its apparent innocence </w:t>
      </w:r>
      <w:r>
        <w:rPr>
          <w:sz w:val="26"/>
          <w:szCs w:val="26"/>
        </w:rPr>
        <w:t>in</w:t>
      </w:r>
      <w:r w:rsidRPr="007A6659">
        <w:rPr>
          <w:sz w:val="26"/>
          <w:szCs w:val="26"/>
        </w:rPr>
        <w:t xml:space="preserve"> tax fraud, the fund may have felt pressured to spend more on this campaign to ensure that its innocence was clear to all.  The data for Greenpeace USA Inc. (the advocacy arm of Greenpeace USA) in 2003 are consistent with our predictions, as the budget allocation </w:t>
      </w:r>
      <w:r>
        <w:rPr>
          <w:sz w:val="26"/>
          <w:szCs w:val="26"/>
        </w:rPr>
        <w:t>was</w:t>
      </w:r>
      <w:r w:rsidRPr="007A6659">
        <w:rPr>
          <w:sz w:val="26"/>
          <w:szCs w:val="26"/>
        </w:rPr>
        <w:t xml:space="preserve"> lower than that of the EU units. Since 2005, in the US Greenpeace has allocated none of its budget to the anti-GM campaign while the European units have continued to fund it.</w:t>
      </w:r>
    </w:p>
    <w:p w14:paraId="649C3768" w14:textId="77777777" w:rsidR="00720CF3" w:rsidRPr="00BA396E" w:rsidRDefault="00720CF3" w:rsidP="00CB7B07">
      <w:pPr>
        <w:spacing w:after="0" w:line="360" w:lineRule="exact"/>
        <w:jc w:val="center"/>
        <w:rPr>
          <w:b/>
          <w:sz w:val="26"/>
          <w:szCs w:val="26"/>
          <w:lang w:eastAsia="zh-TW"/>
        </w:rPr>
      </w:pPr>
    </w:p>
    <w:p w14:paraId="753E75B8" w14:textId="34C663ED" w:rsidR="00720CF3" w:rsidRPr="00720CF3" w:rsidRDefault="00720CF3" w:rsidP="007B0EC5">
      <w:pPr>
        <w:spacing w:after="0" w:line="360" w:lineRule="exact"/>
        <w:jc w:val="center"/>
        <w:rPr>
          <w:b/>
          <w:sz w:val="26"/>
          <w:szCs w:val="26"/>
        </w:rPr>
      </w:pPr>
      <w:r w:rsidRPr="00720CF3">
        <w:rPr>
          <w:b/>
          <w:sz w:val="26"/>
          <w:szCs w:val="26"/>
        </w:rPr>
        <w:t>Table 2  ANOVA results</w:t>
      </w:r>
    </w:p>
    <w:tbl>
      <w:tblPr>
        <w:tblStyle w:val="6-1"/>
        <w:tblW w:w="5000" w:type="pct"/>
        <w:tblLook w:val="04A0" w:firstRow="1" w:lastRow="0" w:firstColumn="1" w:lastColumn="0" w:noHBand="0" w:noVBand="1"/>
      </w:tblPr>
      <w:tblGrid>
        <w:gridCol w:w="3021"/>
        <w:gridCol w:w="1919"/>
        <w:gridCol w:w="1668"/>
        <w:gridCol w:w="2419"/>
      </w:tblGrid>
      <w:tr w:rsidR="006B15C0" w:rsidRPr="00CB7B07" w14:paraId="061FBA73" w14:textId="77777777" w:rsidTr="00CB7B07">
        <w:trPr>
          <w:cnfStyle w:val="100000000000" w:firstRow="1" w:lastRow="0" w:firstColumn="0" w:lastColumn="0" w:oddVBand="0" w:evenVBand="0" w:oddHBand="0" w:evenHBand="0" w:firstRowFirstColumn="0" w:firstRowLastColumn="0" w:lastRowFirstColumn="0" w:lastRowLastColumn="0"/>
          <w:trHeight w:val="846"/>
        </w:trPr>
        <w:tc>
          <w:tcPr>
            <w:cnfStyle w:val="001000000000" w:firstRow="0" w:lastRow="0" w:firstColumn="1" w:lastColumn="0" w:oddVBand="0" w:evenVBand="0" w:oddHBand="0" w:evenHBand="0" w:firstRowFirstColumn="0" w:firstRowLastColumn="0" w:lastRowFirstColumn="0" w:lastRowLastColumn="0"/>
            <w:tcW w:w="1673" w:type="pct"/>
            <w:tcBorders>
              <w:top w:val="single" w:sz="12" w:space="0" w:color="000000" w:themeColor="text1"/>
              <w:bottom w:val="single" w:sz="6" w:space="0" w:color="000000" w:themeColor="text1"/>
            </w:tcBorders>
            <w:shd w:val="clear" w:color="auto" w:fill="auto"/>
            <w:vAlign w:val="center"/>
          </w:tcPr>
          <w:p w14:paraId="717C5F63" w14:textId="77777777" w:rsidR="00720CF3" w:rsidRPr="00CB7B07" w:rsidRDefault="00720CF3" w:rsidP="00CB7B07">
            <w:pPr>
              <w:spacing w:after="0" w:line="240" w:lineRule="auto"/>
              <w:jc w:val="center"/>
              <w:rPr>
                <w:i/>
                <w:color w:val="auto"/>
              </w:rPr>
            </w:pPr>
            <w:r w:rsidRPr="00CB7B07">
              <w:rPr>
                <w:i/>
                <w:color w:val="auto"/>
              </w:rPr>
              <w:t>Units</w:t>
            </w:r>
          </w:p>
        </w:tc>
        <w:tc>
          <w:tcPr>
            <w:tcW w:w="1063" w:type="pct"/>
            <w:tcBorders>
              <w:top w:val="single" w:sz="12" w:space="0" w:color="000000" w:themeColor="text1"/>
              <w:bottom w:val="single" w:sz="6" w:space="0" w:color="000000" w:themeColor="text1"/>
            </w:tcBorders>
            <w:shd w:val="clear" w:color="auto" w:fill="auto"/>
            <w:vAlign w:val="center"/>
          </w:tcPr>
          <w:p w14:paraId="4B644131" w14:textId="77777777" w:rsidR="00720CF3" w:rsidRPr="00CB7B07" w:rsidRDefault="00720CF3" w:rsidP="00CB7B07">
            <w:pPr>
              <w:spacing w:after="0" w:line="240" w:lineRule="auto"/>
              <w:jc w:val="center"/>
              <w:cnfStyle w:val="100000000000" w:firstRow="1" w:lastRow="0" w:firstColumn="0" w:lastColumn="0" w:oddVBand="0" w:evenVBand="0" w:oddHBand="0" w:evenHBand="0" w:firstRowFirstColumn="0" w:firstRowLastColumn="0" w:lastRowFirstColumn="0" w:lastRowLastColumn="0"/>
              <w:rPr>
                <w:i/>
                <w:color w:val="auto"/>
              </w:rPr>
            </w:pPr>
            <w:r w:rsidRPr="00CB7B07">
              <w:rPr>
                <w:i/>
                <w:color w:val="auto"/>
              </w:rPr>
              <w:t>Significantly</w:t>
            </w:r>
            <w:r w:rsidRPr="00CB7B07">
              <w:rPr>
                <w:i/>
                <w:color w:val="auto"/>
              </w:rPr>
              <w:br/>
              <w:t>Different</w:t>
            </w:r>
          </w:p>
        </w:tc>
        <w:tc>
          <w:tcPr>
            <w:tcW w:w="924" w:type="pct"/>
            <w:tcBorders>
              <w:top w:val="single" w:sz="12" w:space="0" w:color="000000" w:themeColor="text1"/>
              <w:bottom w:val="single" w:sz="6" w:space="0" w:color="000000" w:themeColor="text1"/>
            </w:tcBorders>
            <w:shd w:val="clear" w:color="auto" w:fill="auto"/>
            <w:vAlign w:val="center"/>
          </w:tcPr>
          <w:p w14:paraId="6025C1C0" w14:textId="77777777" w:rsidR="00720CF3" w:rsidRPr="00CB7B07" w:rsidRDefault="00720CF3" w:rsidP="00CB7B07">
            <w:pPr>
              <w:spacing w:after="0" w:line="240" w:lineRule="auto"/>
              <w:jc w:val="center"/>
              <w:cnfStyle w:val="100000000000" w:firstRow="1" w:lastRow="0" w:firstColumn="0" w:lastColumn="0" w:oddVBand="0" w:evenVBand="0" w:oddHBand="0" w:evenHBand="0" w:firstRowFirstColumn="0" w:firstRowLastColumn="0" w:lastRowFirstColumn="0" w:lastRowLastColumn="0"/>
              <w:rPr>
                <w:i/>
                <w:color w:val="auto"/>
              </w:rPr>
            </w:pPr>
            <w:r w:rsidRPr="00CB7B07">
              <w:rPr>
                <w:i/>
                <w:color w:val="auto"/>
              </w:rPr>
              <w:t>F</w:t>
            </w:r>
          </w:p>
        </w:tc>
        <w:tc>
          <w:tcPr>
            <w:tcW w:w="1340" w:type="pct"/>
            <w:tcBorders>
              <w:top w:val="single" w:sz="12" w:space="0" w:color="000000" w:themeColor="text1"/>
              <w:bottom w:val="single" w:sz="6" w:space="0" w:color="000000" w:themeColor="text1"/>
            </w:tcBorders>
            <w:shd w:val="clear" w:color="auto" w:fill="auto"/>
            <w:vAlign w:val="center"/>
          </w:tcPr>
          <w:p w14:paraId="2386D17F" w14:textId="77777777" w:rsidR="00720CF3" w:rsidRPr="00CB7B07" w:rsidRDefault="00720CF3" w:rsidP="00CB7B07">
            <w:pPr>
              <w:spacing w:after="0" w:line="240" w:lineRule="auto"/>
              <w:jc w:val="center"/>
              <w:cnfStyle w:val="100000000000" w:firstRow="1" w:lastRow="0" w:firstColumn="0" w:lastColumn="0" w:oddVBand="0" w:evenVBand="0" w:oddHBand="0" w:evenHBand="0" w:firstRowFirstColumn="0" w:firstRowLastColumn="0" w:lastRowFirstColumn="0" w:lastRowLastColumn="0"/>
              <w:rPr>
                <w:i/>
                <w:color w:val="auto"/>
              </w:rPr>
            </w:pPr>
            <w:r w:rsidRPr="00CB7B07">
              <w:rPr>
                <w:i/>
                <w:color w:val="auto"/>
              </w:rPr>
              <w:t>F-critical, 5%</w:t>
            </w:r>
          </w:p>
        </w:tc>
      </w:tr>
      <w:tr w:rsidR="006B15C0" w:rsidRPr="00CB7B07" w14:paraId="0F468E17" w14:textId="77777777" w:rsidTr="00CB7B07">
        <w:trPr>
          <w:cnfStyle w:val="000000100000" w:firstRow="0" w:lastRow="0" w:firstColumn="0" w:lastColumn="0" w:oddVBand="0" w:evenVBand="0" w:oddHBand="1" w:evenHBand="0" w:firstRowFirstColumn="0" w:firstRowLastColumn="0" w:lastRowFirstColumn="0" w:lastRowLastColumn="0"/>
          <w:trHeight w:val="457"/>
        </w:trPr>
        <w:tc>
          <w:tcPr>
            <w:cnfStyle w:val="001000000000" w:firstRow="0" w:lastRow="0" w:firstColumn="1" w:lastColumn="0" w:oddVBand="0" w:evenVBand="0" w:oddHBand="0" w:evenHBand="0" w:firstRowFirstColumn="0" w:firstRowLastColumn="0" w:lastRowFirstColumn="0" w:lastRowLastColumn="0"/>
            <w:tcW w:w="1673" w:type="pct"/>
            <w:tcBorders>
              <w:top w:val="single" w:sz="6" w:space="0" w:color="000000" w:themeColor="text1"/>
            </w:tcBorders>
            <w:shd w:val="clear" w:color="auto" w:fill="auto"/>
          </w:tcPr>
          <w:p w14:paraId="0A4081EE" w14:textId="77777777" w:rsidR="00720CF3" w:rsidRPr="00CB7B07" w:rsidRDefault="00720CF3" w:rsidP="00720CF3">
            <w:pPr>
              <w:spacing w:after="0" w:line="240" w:lineRule="auto"/>
              <w:jc w:val="both"/>
              <w:rPr>
                <w:b w:val="0"/>
                <w:color w:val="auto"/>
              </w:rPr>
            </w:pPr>
            <w:r w:rsidRPr="00CB7B07">
              <w:rPr>
                <w:b w:val="0"/>
                <w:color w:val="auto"/>
              </w:rPr>
              <w:t>All</w:t>
            </w:r>
          </w:p>
        </w:tc>
        <w:tc>
          <w:tcPr>
            <w:tcW w:w="1063" w:type="pct"/>
            <w:tcBorders>
              <w:top w:val="single" w:sz="6" w:space="0" w:color="000000" w:themeColor="text1"/>
            </w:tcBorders>
            <w:shd w:val="clear" w:color="auto" w:fill="auto"/>
          </w:tcPr>
          <w:p w14:paraId="67C54B1E" w14:textId="77777777" w:rsidR="00720CF3" w:rsidRPr="00CB7B07" w:rsidRDefault="00720CF3" w:rsidP="00720CF3">
            <w:pPr>
              <w:spacing w:after="0" w:line="240" w:lineRule="auto"/>
              <w:jc w:val="center"/>
              <w:cnfStyle w:val="000000100000" w:firstRow="0" w:lastRow="0" w:firstColumn="0" w:lastColumn="0" w:oddVBand="0" w:evenVBand="0" w:oddHBand="1" w:evenHBand="0" w:firstRowFirstColumn="0" w:firstRowLastColumn="0" w:lastRowFirstColumn="0" w:lastRowLastColumn="0"/>
              <w:rPr>
                <w:color w:val="auto"/>
              </w:rPr>
            </w:pPr>
            <w:r w:rsidRPr="00CB7B07">
              <w:rPr>
                <w:color w:val="auto"/>
              </w:rPr>
              <w:t>Y</w:t>
            </w:r>
          </w:p>
        </w:tc>
        <w:tc>
          <w:tcPr>
            <w:tcW w:w="924" w:type="pct"/>
            <w:tcBorders>
              <w:top w:val="single" w:sz="6" w:space="0" w:color="000000" w:themeColor="text1"/>
            </w:tcBorders>
            <w:shd w:val="clear" w:color="auto" w:fill="auto"/>
          </w:tcPr>
          <w:p w14:paraId="16DFBEEE" w14:textId="77777777" w:rsidR="00720CF3" w:rsidRPr="00CB7B07" w:rsidRDefault="00720CF3" w:rsidP="00720CF3">
            <w:pPr>
              <w:spacing w:after="0" w:line="240" w:lineRule="auto"/>
              <w:jc w:val="center"/>
              <w:cnfStyle w:val="000000100000" w:firstRow="0" w:lastRow="0" w:firstColumn="0" w:lastColumn="0" w:oddVBand="0" w:evenVBand="0" w:oddHBand="1" w:evenHBand="0" w:firstRowFirstColumn="0" w:firstRowLastColumn="0" w:lastRowFirstColumn="0" w:lastRowLastColumn="0"/>
              <w:rPr>
                <w:color w:val="auto"/>
              </w:rPr>
            </w:pPr>
            <w:r w:rsidRPr="00CB7B07">
              <w:rPr>
                <w:color w:val="auto"/>
              </w:rPr>
              <w:t>13.89404</w:t>
            </w:r>
          </w:p>
        </w:tc>
        <w:tc>
          <w:tcPr>
            <w:tcW w:w="1340" w:type="pct"/>
            <w:tcBorders>
              <w:top w:val="single" w:sz="6" w:space="0" w:color="000000" w:themeColor="text1"/>
            </w:tcBorders>
            <w:shd w:val="clear" w:color="auto" w:fill="auto"/>
          </w:tcPr>
          <w:p w14:paraId="20AC5BB2" w14:textId="77777777" w:rsidR="00720CF3" w:rsidRPr="00CB7B07" w:rsidRDefault="00720CF3" w:rsidP="00720CF3">
            <w:pPr>
              <w:spacing w:after="0" w:line="240" w:lineRule="auto"/>
              <w:jc w:val="center"/>
              <w:cnfStyle w:val="000000100000" w:firstRow="0" w:lastRow="0" w:firstColumn="0" w:lastColumn="0" w:oddVBand="0" w:evenVBand="0" w:oddHBand="1" w:evenHBand="0" w:firstRowFirstColumn="0" w:firstRowLastColumn="0" w:lastRowFirstColumn="0" w:lastRowLastColumn="0"/>
              <w:rPr>
                <w:color w:val="auto"/>
              </w:rPr>
            </w:pPr>
            <w:r w:rsidRPr="00CB7B07">
              <w:rPr>
                <w:color w:val="auto"/>
              </w:rPr>
              <w:t>2.437693</w:t>
            </w:r>
          </w:p>
        </w:tc>
      </w:tr>
      <w:tr w:rsidR="006B15C0" w:rsidRPr="00CB7B07" w14:paraId="36A139B2" w14:textId="77777777" w:rsidTr="00CB7B07">
        <w:trPr>
          <w:trHeight w:val="457"/>
        </w:trPr>
        <w:tc>
          <w:tcPr>
            <w:cnfStyle w:val="001000000000" w:firstRow="0" w:lastRow="0" w:firstColumn="1" w:lastColumn="0" w:oddVBand="0" w:evenVBand="0" w:oddHBand="0" w:evenHBand="0" w:firstRowFirstColumn="0" w:firstRowLastColumn="0" w:lastRowFirstColumn="0" w:lastRowLastColumn="0"/>
            <w:tcW w:w="1673" w:type="pct"/>
            <w:shd w:val="clear" w:color="auto" w:fill="auto"/>
          </w:tcPr>
          <w:p w14:paraId="20C5B457" w14:textId="77777777" w:rsidR="00720CF3" w:rsidRPr="00CB7B07" w:rsidRDefault="00720CF3" w:rsidP="00720CF3">
            <w:pPr>
              <w:spacing w:after="0" w:line="240" w:lineRule="auto"/>
              <w:jc w:val="both"/>
              <w:rPr>
                <w:b w:val="0"/>
                <w:color w:val="auto"/>
              </w:rPr>
            </w:pPr>
            <w:r w:rsidRPr="00CB7B07">
              <w:rPr>
                <w:b w:val="0"/>
                <w:color w:val="auto"/>
              </w:rPr>
              <w:t>International, World Wide</w:t>
            </w:r>
          </w:p>
        </w:tc>
        <w:tc>
          <w:tcPr>
            <w:tcW w:w="1063" w:type="pct"/>
            <w:shd w:val="clear" w:color="auto" w:fill="auto"/>
          </w:tcPr>
          <w:p w14:paraId="5BA438FB" w14:textId="77777777" w:rsidR="00720CF3" w:rsidRPr="00CB7B07" w:rsidRDefault="00720CF3" w:rsidP="00720CF3">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auto"/>
              </w:rPr>
            </w:pPr>
            <w:r w:rsidRPr="00CB7B07">
              <w:rPr>
                <w:color w:val="auto"/>
              </w:rPr>
              <w:t>N</w:t>
            </w:r>
          </w:p>
        </w:tc>
        <w:tc>
          <w:tcPr>
            <w:tcW w:w="924" w:type="pct"/>
            <w:shd w:val="clear" w:color="auto" w:fill="auto"/>
          </w:tcPr>
          <w:p w14:paraId="462AEB0C" w14:textId="77777777" w:rsidR="00720CF3" w:rsidRPr="00CB7B07" w:rsidRDefault="00720CF3" w:rsidP="00720CF3">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auto"/>
              </w:rPr>
            </w:pPr>
            <w:r w:rsidRPr="00CB7B07">
              <w:rPr>
                <w:color w:val="auto"/>
              </w:rPr>
              <w:t>1.320619</w:t>
            </w:r>
          </w:p>
        </w:tc>
        <w:tc>
          <w:tcPr>
            <w:tcW w:w="1340" w:type="pct"/>
            <w:shd w:val="clear" w:color="auto" w:fill="auto"/>
          </w:tcPr>
          <w:p w14:paraId="7787FA7B" w14:textId="77777777" w:rsidR="00720CF3" w:rsidRPr="00CB7B07" w:rsidRDefault="00720CF3" w:rsidP="00720CF3">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auto"/>
              </w:rPr>
            </w:pPr>
            <w:r w:rsidRPr="00CB7B07">
              <w:rPr>
                <w:color w:val="auto"/>
              </w:rPr>
              <w:t>4.413873</w:t>
            </w:r>
          </w:p>
        </w:tc>
      </w:tr>
      <w:tr w:rsidR="006B15C0" w:rsidRPr="00CB7B07" w14:paraId="79DD7B81" w14:textId="77777777" w:rsidTr="00CB7B07">
        <w:trPr>
          <w:cnfStyle w:val="000000100000" w:firstRow="0" w:lastRow="0" w:firstColumn="0" w:lastColumn="0" w:oddVBand="0" w:evenVBand="0" w:oddHBand="1" w:evenHBand="0" w:firstRowFirstColumn="0" w:firstRowLastColumn="0" w:lastRowFirstColumn="0" w:lastRowLastColumn="0"/>
          <w:trHeight w:val="457"/>
        </w:trPr>
        <w:tc>
          <w:tcPr>
            <w:cnfStyle w:val="001000000000" w:firstRow="0" w:lastRow="0" w:firstColumn="1" w:lastColumn="0" w:oddVBand="0" w:evenVBand="0" w:oddHBand="0" w:evenHBand="0" w:firstRowFirstColumn="0" w:firstRowLastColumn="0" w:lastRowFirstColumn="0" w:lastRowLastColumn="0"/>
            <w:tcW w:w="1673" w:type="pct"/>
            <w:shd w:val="clear" w:color="auto" w:fill="auto"/>
          </w:tcPr>
          <w:p w14:paraId="622F22A0" w14:textId="77777777" w:rsidR="00720CF3" w:rsidRPr="00CB7B07" w:rsidRDefault="00720CF3" w:rsidP="00720CF3">
            <w:pPr>
              <w:spacing w:after="0" w:line="240" w:lineRule="auto"/>
              <w:jc w:val="both"/>
              <w:rPr>
                <w:b w:val="0"/>
                <w:color w:val="auto"/>
              </w:rPr>
            </w:pPr>
            <w:r w:rsidRPr="00CB7B07">
              <w:rPr>
                <w:b w:val="0"/>
                <w:color w:val="auto"/>
              </w:rPr>
              <w:t>France, Spain</w:t>
            </w:r>
          </w:p>
        </w:tc>
        <w:tc>
          <w:tcPr>
            <w:tcW w:w="1063" w:type="pct"/>
            <w:shd w:val="clear" w:color="auto" w:fill="auto"/>
          </w:tcPr>
          <w:p w14:paraId="45504079" w14:textId="77777777" w:rsidR="00720CF3" w:rsidRPr="00CB7B07" w:rsidRDefault="00720CF3" w:rsidP="00720CF3">
            <w:pPr>
              <w:spacing w:after="0" w:line="240" w:lineRule="auto"/>
              <w:jc w:val="center"/>
              <w:cnfStyle w:val="000000100000" w:firstRow="0" w:lastRow="0" w:firstColumn="0" w:lastColumn="0" w:oddVBand="0" w:evenVBand="0" w:oddHBand="1" w:evenHBand="0" w:firstRowFirstColumn="0" w:firstRowLastColumn="0" w:lastRowFirstColumn="0" w:lastRowLastColumn="0"/>
              <w:rPr>
                <w:color w:val="auto"/>
              </w:rPr>
            </w:pPr>
            <w:r w:rsidRPr="00CB7B07">
              <w:rPr>
                <w:color w:val="auto"/>
              </w:rPr>
              <w:t>Y</w:t>
            </w:r>
          </w:p>
        </w:tc>
        <w:tc>
          <w:tcPr>
            <w:tcW w:w="924" w:type="pct"/>
            <w:shd w:val="clear" w:color="auto" w:fill="auto"/>
          </w:tcPr>
          <w:p w14:paraId="32C62E76" w14:textId="77777777" w:rsidR="00720CF3" w:rsidRPr="00CB7B07" w:rsidRDefault="00720CF3" w:rsidP="00720CF3">
            <w:pPr>
              <w:spacing w:after="0" w:line="240" w:lineRule="auto"/>
              <w:jc w:val="center"/>
              <w:cnfStyle w:val="000000100000" w:firstRow="0" w:lastRow="0" w:firstColumn="0" w:lastColumn="0" w:oddVBand="0" w:evenVBand="0" w:oddHBand="1" w:evenHBand="0" w:firstRowFirstColumn="0" w:firstRowLastColumn="0" w:lastRowFirstColumn="0" w:lastRowLastColumn="0"/>
              <w:rPr>
                <w:color w:val="auto"/>
              </w:rPr>
            </w:pPr>
            <w:r w:rsidRPr="00CB7B07">
              <w:rPr>
                <w:color w:val="auto"/>
              </w:rPr>
              <w:t>9.205904</w:t>
            </w:r>
          </w:p>
        </w:tc>
        <w:tc>
          <w:tcPr>
            <w:tcW w:w="1340" w:type="pct"/>
            <w:shd w:val="clear" w:color="auto" w:fill="auto"/>
          </w:tcPr>
          <w:p w14:paraId="77F129CC" w14:textId="77777777" w:rsidR="00720CF3" w:rsidRPr="00CB7B07" w:rsidRDefault="00720CF3" w:rsidP="00720CF3">
            <w:pPr>
              <w:spacing w:after="0" w:line="240" w:lineRule="auto"/>
              <w:jc w:val="center"/>
              <w:cnfStyle w:val="000000100000" w:firstRow="0" w:lastRow="0" w:firstColumn="0" w:lastColumn="0" w:oddVBand="0" w:evenVBand="0" w:oddHBand="1" w:evenHBand="0" w:firstRowFirstColumn="0" w:firstRowLastColumn="0" w:lastRowFirstColumn="0" w:lastRowLastColumn="0"/>
              <w:rPr>
                <w:color w:val="auto"/>
              </w:rPr>
            </w:pPr>
            <w:r w:rsidRPr="00CB7B07">
              <w:rPr>
                <w:color w:val="auto"/>
              </w:rPr>
              <w:t>4.60011</w:t>
            </w:r>
          </w:p>
        </w:tc>
      </w:tr>
      <w:tr w:rsidR="006B15C0" w:rsidRPr="00CB7B07" w14:paraId="1BADF47A" w14:textId="77777777" w:rsidTr="00CB7B07">
        <w:trPr>
          <w:trHeight w:val="457"/>
        </w:trPr>
        <w:tc>
          <w:tcPr>
            <w:cnfStyle w:val="001000000000" w:firstRow="0" w:lastRow="0" w:firstColumn="1" w:lastColumn="0" w:oddVBand="0" w:evenVBand="0" w:oddHBand="0" w:evenHBand="0" w:firstRowFirstColumn="0" w:firstRowLastColumn="0" w:lastRowFirstColumn="0" w:lastRowLastColumn="0"/>
            <w:tcW w:w="1673" w:type="pct"/>
            <w:shd w:val="clear" w:color="auto" w:fill="auto"/>
          </w:tcPr>
          <w:p w14:paraId="40D80291" w14:textId="77777777" w:rsidR="00720CF3" w:rsidRPr="00CB7B07" w:rsidRDefault="00720CF3" w:rsidP="00720CF3">
            <w:pPr>
              <w:spacing w:after="0" w:line="240" w:lineRule="auto"/>
              <w:jc w:val="both"/>
              <w:rPr>
                <w:b w:val="0"/>
                <w:color w:val="auto"/>
              </w:rPr>
            </w:pPr>
            <w:r w:rsidRPr="00CB7B07">
              <w:rPr>
                <w:b w:val="0"/>
                <w:color w:val="auto"/>
              </w:rPr>
              <w:t>World Wide, France</w:t>
            </w:r>
          </w:p>
        </w:tc>
        <w:tc>
          <w:tcPr>
            <w:tcW w:w="1063" w:type="pct"/>
            <w:shd w:val="clear" w:color="auto" w:fill="auto"/>
          </w:tcPr>
          <w:p w14:paraId="39E75482" w14:textId="77777777" w:rsidR="00720CF3" w:rsidRPr="00CB7B07" w:rsidRDefault="00720CF3" w:rsidP="00720CF3">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auto"/>
              </w:rPr>
            </w:pPr>
            <w:r w:rsidRPr="00CB7B07">
              <w:rPr>
                <w:color w:val="auto"/>
              </w:rPr>
              <w:t>N</w:t>
            </w:r>
          </w:p>
        </w:tc>
        <w:tc>
          <w:tcPr>
            <w:tcW w:w="924" w:type="pct"/>
            <w:shd w:val="clear" w:color="auto" w:fill="auto"/>
          </w:tcPr>
          <w:p w14:paraId="7AA1E547" w14:textId="77777777" w:rsidR="00720CF3" w:rsidRPr="00CB7B07" w:rsidRDefault="00720CF3" w:rsidP="00720CF3">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auto"/>
              </w:rPr>
            </w:pPr>
            <w:r w:rsidRPr="00CB7B07">
              <w:rPr>
                <w:color w:val="auto"/>
              </w:rPr>
              <w:t>0.015848</w:t>
            </w:r>
          </w:p>
        </w:tc>
        <w:tc>
          <w:tcPr>
            <w:tcW w:w="1340" w:type="pct"/>
            <w:shd w:val="clear" w:color="auto" w:fill="auto"/>
          </w:tcPr>
          <w:p w14:paraId="2FE5BDC5" w14:textId="77777777" w:rsidR="00720CF3" w:rsidRPr="00CB7B07" w:rsidRDefault="00720CF3" w:rsidP="00720CF3">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auto"/>
              </w:rPr>
            </w:pPr>
            <w:r w:rsidRPr="00CB7B07">
              <w:rPr>
                <w:color w:val="auto"/>
              </w:rPr>
              <w:t>4.413873</w:t>
            </w:r>
          </w:p>
        </w:tc>
      </w:tr>
      <w:tr w:rsidR="006B15C0" w:rsidRPr="00CB7B07" w14:paraId="1E5B0211" w14:textId="77777777" w:rsidTr="00CB7B07">
        <w:trPr>
          <w:cnfStyle w:val="000000100000" w:firstRow="0" w:lastRow="0" w:firstColumn="0" w:lastColumn="0" w:oddVBand="0" w:evenVBand="0" w:oddHBand="1" w:evenHBand="0" w:firstRowFirstColumn="0" w:firstRowLastColumn="0" w:lastRowFirstColumn="0" w:lastRowLastColumn="0"/>
          <w:trHeight w:val="457"/>
        </w:trPr>
        <w:tc>
          <w:tcPr>
            <w:cnfStyle w:val="001000000000" w:firstRow="0" w:lastRow="0" w:firstColumn="1" w:lastColumn="0" w:oddVBand="0" w:evenVBand="0" w:oddHBand="0" w:evenHBand="0" w:firstRowFirstColumn="0" w:firstRowLastColumn="0" w:lastRowFirstColumn="0" w:lastRowLastColumn="0"/>
            <w:tcW w:w="1673" w:type="pct"/>
            <w:shd w:val="clear" w:color="auto" w:fill="auto"/>
          </w:tcPr>
          <w:p w14:paraId="7B88B1DA" w14:textId="77777777" w:rsidR="00720CF3" w:rsidRPr="00CB7B07" w:rsidRDefault="00720CF3" w:rsidP="00720CF3">
            <w:pPr>
              <w:spacing w:after="0" w:line="240" w:lineRule="auto"/>
              <w:jc w:val="both"/>
              <w:rPr>
                <w:b w:val="0"/>
                <w:color w:val="auto"/>
              </w:rPr>
            </w:pPr>
            <w:r w:rsidRPr="00CB7B07">
              <w:rPr>
                <w:b w:val="0"/>
                <w:color w:val="auto"/>
              </w:rPr>
              <w:t>International, France</w:t>
            </w:r>
          </w:p>
        </w:tc>
        <w:tc>
          <w:tcPr>
            <w:tcW w:w="1063" w:type="pct"/>
            <w:shd w:val="clear" w:color="auto" w:fill="auto"/>
          </w:tcPr>
          <w:p w14:paraId="461BE79D" w14:textId="77777777" w:rsidR="00720CF3" w:rsidRPr="00CB7B07" w:rsidRDefault="00720CF3" w:rsidP="00720CF3">
            <w:pPr>
              <w:spacing w:after="0" w:line="240" w:lineRule="auto"/>
              <w:jc w:val="center"/>
              <w:cnfStyle w:val="000000100000" w:firstRow="0" w:lastRow="0" w:firstColumn="0" w:lastColumn="0" w:oddVBand="0" w:evenVBand="0" w:oddHBand="1" w:evenHBand="0" w:firstRowFirstColumn="0" w:firstRowLastColumn="0" w:lastRowFirstColumn="0" w:lastRowLastColumn="0"/>
              <w:rPr>
                <w:color w:val="auto"/>
              </w:rPr>
            </w:pPr>
            <w:r w:rsidRPr="00CB7B07">
              <w:rPr>
                <w:color w:val="auto"/>
              </w:rPr>
              <w:t>N</w:t>
            </w:r>
          </w:p>
        </w:tc>
        <w:tc>
          <w:tcPr>
            <w:tcW w:w="924" w:type="pct"/>
            <w:shd w:val="clear" w:color="auto" w:fill="auto"/>
          </w:tcPr>
          <w:p w14:paraId="37914FC5" w14:textId="77777777" w:rsidR="00720CF3" w:rsidRPr="00CB7B07" w:rsidRDefault="00720CF3" w:rsidP="00720CF3">
            <w:pPr>
              <w:spacing w:after="0" w:line="240" w:lineRule="auto"/>
              <w:jc w:val="center"/>
              <w:cnfStyle w:val="000000100000" w:firstRow="0" w:lastRow="0" w:firstColumn="0" w:lastColumn="0" w:oddVBand="0" w:evenVBand="0" w:oddHBand="1" w:evenHBand="0" w:firstRowFirstColumn="0" w:firstRowLastColumn="0" w:lastRowFirstColumn="0" w:lastRowLastColumn="0"/>
              <w:rPr>
                <w:color w:val="auto"/>
              </w:rPr>
            </w:pPr>
            <w:r w:rsidRPr="00CB7B07">
              <w:rPr>
                <w:color w:val="auto"/>
              </w:rPr>
              <w:t>3.520459</w:t>
            </w:r>
          </w:p>
        </w:tc>
        <w:tc>
          <w:tcPr>
            <w:tcW w:w="1340" w:type="pct"/>
            <w:shd w:val="clear" w:color="auto" w:fill="auto"/>
          </w:tcPr>
          <w:p w14:paraId="5CAE1B52" w14:textId="77777777" w:rsidR="00720CF3" w:rsidRPr="00CB7B07" w:rsidRDefault="00720CF3" w:rsidP="00720CF3">
            <w:pPr>
              <w:spacing w:after="0" w:line="240" w:lineRule="auto"/>
              <w:jc w:val="center"/>
              <w:cnfStyle w:val="000000100000" w:firstRow="0" w:lastRow="0" w:firstColumn="0" w:lastColumn="0" w:oddVBand="0" w:evenVBand="0" w:oddHBand="1" w:evenHBand="0" w:firstRowFirstColumn="0" w:firstRowLastColumn="0" w:lastRowFirstColumn="0" w:lastRowLastColumn="0"/>
              <w:rPr>
                <w:color w:val="auto"/>
              </w:rPr>
            </w:pPr>
            <w:r w:rsidRPr="00CB7B07">
              <w:rPr>
                <w:color w:val="auto"/>
              </w:rPr>
              <w:t>4.413873</w:t>
            </w:r>
          </w:p>
        </w:tc>
      </w:tr>
      <w:tr w:rsidR="006B15C0" w:rsidRPr="00CB7B07" w14:paraId="4E74A6C8" w14:textId="77777777" w:rsidTr="00CB7B07">
        <w:trPr>
          <w:trHeight w:val="457"/>
        </w:trPr>
        <w:tc>
          <w:tcPr>
            <w:cnfStyle w:val="001000000000" w:firstRow="0" w:lastRow="0" w:firstColumn="1" w:lastColumn="0" w:oddVBand="0" w:evenVBand="0" w:oddHBand="0" w:evenHBand="0" w:firstRowFirstColumn="0" w:firstRowLastColumn="0" w:lastRowFirstColumn="0" w:lastRowLastColumn="0"/>
            <w:tcW w:w="1673" w:type="pct"/>
            <w:shd w:val="clear" w:color="auto" w:fill="auto"/>
          </w:tcPr>
          <w:p w14:paraId="246B0185" w14:textId="77777777" w:rsidR="00720CF3" w:rsidRPr="00CB7B07" w:rsidRDefault="00720CF3" w:rsidP="00720CF3">
            <w:pPr>
              <w:spacing w:after="0" w:line="240" w:lineRule="auto"/>
              <w:jc w:val="both"/>
              <w:rPr>
                <w:b w:val="0"/>
                <w:color w:val="auto"/>
              </w:rPr>
            </w:pPr>
            <w:r w:rsidRPr="00CB7B07">
              <w:rPr>
                <w:b w:val="0"/>
                <w:color w:val="auto"/>
              </w:rPr>
              <w:t>World Wide, Spain</w:t>
            </w:r>
          </w:p>
        </w:tc>
        <w:tc>
          <w:tcPr>
            <w:tcW w:w="1063" w:type="pct"/>
            <w:shd w:val="clear" w:color="auto" w:fill="auto"/>
          </w:tcPr>
          <w:p w14:paraId="38261FC3" w14:textId="77777777" w:rsidR="00720CF3" w:rsidRPr="00CB7B07" w:rsidRDefault="00720CF3" w:rsidP="00720CF3">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auto"/>
              </w:rPr>
            </w:pPr>
            <w:r w:rsidRPr="00CB7B07">
              <w:rPr>
                <w:color w:val="auto"/>
              </w:rPr>
              <w:t>N</w:t>
            </w:r>
          </w:p>
        </w:tc>
        <w:tc>
          <w:tcPr>
            <w:tcW w:w="924" w:type="pct"/>
            <w:shd w:val="clear" w:color="auto" w:fill="auto"/>
          </w:tcPr>
          <w:p w14:paraId="299D4A84" w14:textId="77777777" w:rsidR="00720CF3" w:rsidRPr="00CB7B07" w:rsidRDefault="00720CF3" w:rsidP="00720CF3">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auto"/>
              </w:rPr>
            </w:pPr>
            <w:r w:rsidRPr="00CB7B07">
              <w:rPr>
                <w:color w:val="auto"/>
              </w:rPr>
              <w:t>1.840238</w:t>
            </w:r>
          </w:p>
        </w:tc>
        <w:tc>
          <w:tcPr>
            <w:tcW w:w="1340" w:type="pct"/>
            <w:shd w:val="clear" w:color="auto" w:fill="auto"/>
          </w:tcPr>
          <w:p w14:paraId="12407928" w14:textId="77777777" w:rsidR="00720CF3" w:rsidRPr="00CB7B07" w:rsidRDefault="00720CF3" w:rsidP="00720CF3">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auto"/>
              </w:rPr>
            </w:pPr>
            <w:r w:rsidRPr="00CB7B07">
              <w:rPr>
                <w:color w:val="auto"/>
              </w:rPr>
              <w:t>4.667193</w:t>
            </w:r>
          </w:p>
        </w:tc>
      </w:tr>
      <w:tr w:rsidR="006B15C0" w:rsidRPr="00CB7B07" w14:paraId="56294123" w14:textId="77777777" w:rsidTr="00CB7B07">
        <w:trPr>
          <w:cnfStyle w:val="000000100000" w:firstRow="0" w:lastRow="0" w:firstColumn="0" w:lastColumn="0" w:oddVBand="0" w:evenVBand="0" w:oddHBand="1" w:evenHBand="0" w:firstRowFirstColumn="0" w:firstRowLastColumn="0" w:lastRowFirstColumn="0" w:lastRowLastColumn="0"/>
          <w:trHeight w:val="457"/>
        </w:trPr>
        <w:tc>
          <w:tcPr>
            <w:cnfStyle w:val="001000000000" w:firstRow="0" w:lastRow="0" w:firstColumn="1" w:lastColumn="0" w:oddVBand="0" w:evenVBand="0" w:oddHBand="0" w:evenHBand="0" w:firstRowFirstColumn="0" w:firstRowLastColumn="0" w:lastRowFirstColumn="0" w:lastRowLastColumn="0"/>
            <w:tcW w:w="1673" w:type="pct"/>
            <w:shd w:val="clear" w:color="auto" w:fill="auto"/>
          </w:tcPr>
          <w:p w14:paraId="6C2F29C9" w14:textId="77777777" w:rsidR="00720CF3" w:rsidRPr="00CB7B07" w:rsidRDefault="00720CF3" w:rsidP="00720CF3">
            <w:pPr>
              <w:spacing w:after="0" w:line="240" w:lineRule="auto"/>
              <w:jc w:val="both"/>
              <w:rPr>
                <w:b w:val="0"/>
                <w:color w:val="auto"/>
              </w:rPr>
            </w:pPr>
            <w:r w:rsidRPr="00CB7B07">
              <w:rPr>
                <w:b w:val="0"/>
                <w:color w:val="auto"/>
              </w:rPr>
              <w:t>International, Spain</w:t>
            </w:r>
          </w:p>
        </w:tc>
        <w:tc>
          <w:tcPr>
            <w:tcW w:w="1063" w:type="pct"/>
            <w:shd w:val="clear" w:color="auto" w:fill="auto"/>
          </w:tcPr>
          <w:p w14:paraId="6862E9C5" w14:textId="77777777" w:rsidR="00720CF3" w:rsidRPr="00CB7B07" w:rsidRDefault="00720CF3" w:rsidP="00720CF3">
            <w:pPr>
              <w:spacing w:after="0" w:line="240" w:lineRule="auto"/>
              <w:jc w:val="center"/>
              <w:cnfStyle w:val="000000100000" w:firstRow="0" w:lastRow="0" w:firstColumn="0" w:lastColumn="0" w:oddVBand="0" w:evenVBand="0" w:oddHBand="1" w:evenHBand="0" w:firstRowFirstColumn="0" w:firstRowLastColumn="0" w:lastRowFirstColumn="0" w:lastRowLastColumn="0"/>
              <w:rPr>
                <w:color w:val="auto"/>
              </w:rPr>
            </w:pPr>
            <w:r w:rsidRPr="00CB7B07">
              <w:rPr>
                <w:color w:val="auto"/>
              </w:rPr>
              <w:t>N</w:t>
            </w:r>
          </w:p>
        </w:tc>
        <w:tc>
          <w:tcPr>
            <w:tcW w:w="924" w:type="pct"/>
            <w:shd w:val="clear" w:color="auto" w:fill="auto"/>
          </w:tcPr>
          <w:p w14:paraId="35AF1E08" w14:textId="77777777" w:rsidR="00720CF3" w:rsidRPr="00CB7B07" w:rsidRDefault="00720CF3" w:rsidP="00720CF3">
            <w:pPr>
              <w:spacing w:after="0" w:line="240" w:lineRule="auto"/>
              <w:jc w:val="center"/>
              <w:cnfStyle w:val="000000100000" w:firstRow="0" w:lastRow="0" w:firstColumn="0" w:lastColumn="0" w:oddVBand="0" w:evenVBand="0" w:oddHBand="1" w:evenHBand="0" w:firstRowFirstColumn="0" w:firstRowLastColumn="0" w:lastRowFirstColumn="0" w:lastRowLastColumn="0"/>
              <w:rPr>
                <w:color w:val="auto"/>
              </w:rPr>
            </w:pPr>
            <w:r w:rsidRPr="00CB7B07">
              <w:rPr>
                <w:color w:val="auto"/>
              </w:rPr>
              <w:t>0.805852</w:t>
            </w:r>
          </w:p>
        </w:tc>
        <w:tc>
          <w:tcPr>
            <w:tcW w:w="1340" w:type="pct"/>
            <w:shd w:val="clear" w:color="auto" w:fill="auto"/>
          </w:tcPr>
          <w:p w14:paraId="1A1FEF3A" w14:textId="77777777" w:rsidR="00720CF3" w:rsidRPr="00CB7B07" w:rsidRDefault="00720CF3" w:rsidP="00720CF3">
            <w:pPr>
              <w:spacing w:after="0" w:line="240" w:lineRule="auto"/>
              <w:jc w:val="center"/>
              <w:cnfStyle w:val="000000100000" w:firstRow="0" w:lastRow="0" w:firstColumn="0" w:lastColumn="0" w:oddVBand="0" w:evenVBand="0" w:oddHBand="1" w:evenHBand="0" w:firstRowFirstColumn="0" w:firstRowLastColumn="0" w:lastRowFirstColumn="0" w:lastRowLastColumn="0"/>
              <w:rPr>
                <w:color w:val="auto"/>
              </w:rPr>
            </w:pPr>
            <w:r w:rsidRPr="00CB7B07">
              <w:rPr>
                <w:color w:val="auto"/>
              </w:rPr>
              <w:t>4.667193</w:t>
            </w:r>
          </w:p>
        </w:tc>
      </w:tr>
      <w:tr w:rsidR="006B15C0" w:rsidRPr="00CB7B07" w14:paraId="6698A5A3" w14:textId="77777777" w:rsidTr="00CB7B07">
        <w:trPr>
          <w:trHeight w:val="457"/>
        </w:trPr>
        <w:tc>
          <w:tcPr>
            <w:cnfStyle w:val="001000000000" w:firstRow="0" w:lastRow="0" w:firstColumn="1" w:lastColumn="0" w:oddVBand="0" w:evenVBand="0" w:oddHBand="0" w:evenHBand="0" w:firstRowFirstColumn="0" w:firstRowLastColumn="0" w:lastRowFirstColumn="0" w:lastRowLastColumn="0"/>
            <w:tcW w:w="1673" w:type="pct"/>
            <w:shd w:val="clear" w:color="auto" w:fill="auto"/>
          </w:tcPr>
          <w:p w14:paraId="07B4B6FB" w14:textId="77777777" w:rsidR="00720CF3" w:rsidRPr="00CB7B07" w:rsidRDefault="00720CF3" w:rsidP="00720CF3">
            <w:pPr>
              <w:spacing w:after="0" w:line="240" w:lineRule="auto"/>
              <w:jc w:val="both"/>
              <w:rPr>
                <w:b w:val="0"/>
                <w:color w:val="auto"/>
              </w:rPr>
            </w:pPr>
            <w:r w:rsidRPr="00CB7B07">
              <w:rPr>
                <w:b w:val="0"/>
                <w:color w:val="auto"/>
              </w:rPr>
              <w:t>World Wide, USA Inc.</w:t>
            </w:r>
          </w:p>
        </w:tc>
        <w:tc>
          <w:tcPr>
            <w:tcW w:w="1063" w:type="pct"/>
            <w:shd w:val="clear" w:color="auto" w:fill="auto"/>
          </w:tcPr>
          <w:p w14:paraId="3ADC77CD" w14:textId="77777777" w:rsidR="00720CF3" w:rsidRPr="00CB7B07" w:rsidRDefault="00720CF3" w:rsidP="00720CF3">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auto"/>
              </w:rPr>
            </w:pPr>
            <w:r w:rsidRPr="00CB7B07">
              <w:rPr>
                <w:color w:val="auto"/>
              </w:rPr>
              <w:t>Y</w:t>
            </w:r>
          </w:p>
        </w:tc>
        <w:tc>
          <w:tcPr>
            <w:tcW w:w="924" w:type="pct"/>
            <w:shd w:val="clear" w:color="auto" w:fill="auto"/>
          </w:tcPr>
          <w:p w14:paraId="36ECCB4A" w14:textId="77777777" w:rsidR="00720CF3" w:rsidRPr="00CB7B07" w:rsidRDefault="00720CF3" w:rsidP="00720CF3">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auto"/>
              </w:rPr>
            </w:pPr>
            <w:r w:rsidRPr="00CB7B07">
              <w:rPr>
                <w:color w:val="auto"/>
              </w:rPr>
              <w:t>28.4246</w:t>
            </w:r>
          </w:p>
        </w:tc>
        <w:tc>
          <w:tcPr>
            <w:tcW w:w="1340" w:type="pct"/>
            <w:shd w:val="clear" w:color="auto" w:fill="auto"/>
          </w:tcPr>
          <w:p w14:paraId="353FAB3A" w14:textId="77777777" w:rsidR="00720CF3" w:rsidRPr="00CB7B07" w:rsidRDefault="00720CF3" w:rsidP="00720CF3">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auto"/>
              </w:rPr>
            </w:pPr>
            <w:r w:rsidRPr="00CB7B07">
              <w:rPr>
                <w:color w:val="auto"/>
              </w:rPr>
              <w:t>4.747225</w:t>
            </w:r>
          </w:p>
        </w:tc>
      </w:tr>
      <w:tr w:rsidR="006B15C0" w:rsidRPr="00CB7B07" w14:paraId="7C11780B" w14:textId="77777777" w:rsidTr="00CB7B07">
        <w:trPr>
          <w:cnfStyle w:val="000000100000" w:firstRow="0" w:lastRow="0" w:firstColumn="0" w:lastColumn="0" w:oddVBand="0" w:evenVBand="0" w:oddHBand="1" w:evenHBand="0" w:firstRowFirstColumn="0" w:firstRowLastColumn="0" w:lastRowFirstColumn="0" w:lastRowLastColumn="0"/>
          <w:trHeight w:val="457"/>
        </w:trPr>
        <w:tc>
          <w:tcPr>
            <w:cnfStyle w:val="001000000000" w:firstRow="0" w:lastRow="0" w:firstColumn="1" w:lastColumn="0" w:oddVBand="0" w:evenVBand="0" w:oddHBand="0" w:evenHBand="0" w:firstRowFirstColumn="0" w:firstRowLastColumn="0" w:lastRowFirstColumn="0" w:lastRowLastColumn="0"/>
            <w:tcW w:w="1673" w:type="pct"/>
            <w:shd w:val="clear" w:color="auto" w:fill="auto"/>
          </w:tcPr>
          <w:p w14:paraId="091748B1" w14:textId="77777777" w:rsidR="00720CF3" w:rsidRPr="00CB7B07" w:rsidRDefault="00720CF3" w:rsidP="00720CF3">
            <w:pPr>
              <w:spacing w:after="0" w:line="240" w:lineRule="auto"/>
              <w:jc w:val="both"/>
              <w:rPr>
                <w:b w:val="0"/>
                <w:color w:val="auto"/>
              </w:rPr>
            </w:pPr>
            <w:r w:rsidRPr="00CB7B07">
              <w:rPr>
                <w:b w:val="0"/>
                <w:color w:val="auto"/>
              </w:rPr>
              <w:t>International, USA Inc.</w:t>
            </w:r>
          </w:p>
        </w:tc>
        <w:tc>
          <w:tcPr>
            <w:tcW w:w="1063" w:type="pct"/>
            <w:shd w:val="clear" w:color="auto" w:fill="auto"/>
          </w:tcPr>
          <w:p w14:paraId="5D4C660C" w14:textId="77777777" w:rsidR="00720CF3" w:rsidRPr="00CB7B07" w:rsidRDefault="00720CF3" w:rsidP="00720CF3">
            <w:pPr>
              <w:spacing w:after="0" w:line="240" w:lineRule="auto"/>
              <w:jc w:val="center"/>
              <w:cnfStyle w:val="000000100000" w:firstRow="0" w:lastRow="0" w:firstColumn="0" w:lastColumn="0" w:oddVBand="0" w:evenVBand="0" w:oddHBand="1" w:evenHBand="0" w:firstRowFirstColumn="0" w:firstRowLastColumn="0" w:lastRowFirstColumn="0" w:lastRowLastColumn="0"/>
              <w:rPr>
                <w:color w:val="auto"/>
              </w:rPr>
            </w:pPr>
            <w:r w:rsidRPr="00CB7B07">
              <w:rPr>
                <w:color w:val="auto"/>
              </w:rPr>
              <w:t>Y</w:t>
            </w:r>
          </w:p>
        </w:tc>
        <w:tc>
          <w:tcPr>
            <w:tcW w:w="924" w:type="pct"/>
            <w:shd w:val="clear" w:color="auto" w:fill="auto"/>
          </w:tcPr>
          <w:p w14:paraId="56F3B998" w14:textId="77777777" w:rsidR="00720CF3" w:rsidRPr="00CB7B07" w:rsidRDefault="00720CF3" w:rsidP="00720CF3">
            <w:pPr>
              <w:spacing w:after="0" w:line="240" w:lineRule="auto"/>
              <w:jc w:val="center"/>
              <w:cnfStyle w:val="000000100000" w:firstRow="0" w:lastRow="0" w:firstColumn="0" w:lastColumn="0" w:oddVBand="0" w:evenVBand="0" w:oddHBand="1" w:evenHBand="0" w:firstRowFirstColumn="0" w:firstRowLastColumn="0" w:lastRowFirstColumn="0" w:lastRowLastColumn="0"/>
              <w:rPr>
                <w:color w:val="auto"/>
              </w:rPr>
            </w:pPr>
            <w:r w:rsidRPr="00CB7B07">
              <w:rPr>
                <w:color w:val="auto"/>
              </w:rPr>
              <w:t>37.41852</w:t>
            </w:r>
          </w:p>
        </w:tc>
        <w:tc>
          <w:tcPr>
            <w:tcW w:w="1340" w:type="pct"/>
            <w:shd w:val="clear" w:color="auto" w:fill="auto"/>
          </w:tcPr>
          <w:p w14:paraId="5F23D0E3" w14:textId="77777777" w:rsidR="00720CF3" w:rsidRPr="00CB7B07" w:rsidRDefault="00720CF3" w:rsidP="00720CF3">
            <w:pPr>
              <w:spacing w:after="0" w:line="240" w:lineRule="auto"/>
              <w:jc w:val="center"/>
              <w:cnfStyle w:val="000000100000" w:firstRow="0" w:lastRow="0" w:firstColumn="0" w:lastColumn="0" w:oddVBand="0" w:evenVBand="0" w:oddHBand="1" w:evenHBand="0" w:firstRowFirstColumn="0" w:firstRowLastColumn="0" w:lastRowFirstColumn="0" w:lastRowLastColumn="0"/>
              <w:rPr>
                <w:color w:val="auto"/>
              </w:rPr>
            </w:pPr>
            <w:r w:rsidRPr="00CB7B07">
              <w:rPr>
                <w:color w:val="auto"/>
              </w:rPr>
              <w:t>4.964603</w:t>
            </w:r>
          </w:p>
        </w:tc>
      </w:tr>
      <w:tr w:rsidR="006B15C0" w:rsidRPr="00CB7B07" w14:paraId="1172550E" w14:textId="77777777" w:rsidTr="00CB7B07">
        <w:trPr>
          <w:trHeight w:val="457"/>
        </w:trPr>
        <w:tc>
          <w:tcPr>
            <w:cnfStyle w:val="001000000000" w:firstRow="0" w:lastRow="0" w:firstColumn="1" w:lastColumn="0" w:oddVBand="0" w:evenVBand="0" w:oddHBand="0" w:evenHBand="0" w:firstRowFirstColumn="0" w:firstRowLastColumn="0" w:lastRowFirstColumn="0" w:lastRowLastColumn="0"/>
            <w:tcW w:w="1673" w:type="pct"/>
            <w:shd w:val="clear" w:color="auto" w:fill="auto"/>
          </w:tcPr>
          <w:p w14:paraId="45372732" w14:textId="77777777" w:rsidR="00720CF3" w:rsidRPr="00CB7B07" w:rsidRDefault="00720CF3" w:rsidP="00720CF3">
            <w:pPr>
              <w:spacing w:after="0" w:line="240" w:lineRule="auto"/>
              <w:jc w:val="both"/>
              <w:rPr>
                <w:b w:val="0"/>
                <w:color w:val="auto"/>
              </w:rPr>
            </w:pPr>
            <w:r w:rsidRPr="00CB7B07">
              <w:rPr>
                <w:b w:val="0"/>
                <w:color w:val="auto"/>
              </w:rPr>
              <w:t>World Wide, USA Fund</w:t>
            </w:r>
          </w:p>
        </w:tc>
        <w:tc>
          <w:tcPr>
            <w:tcW w:w="1063" w:type="pct"/>
            <w:shd w:val="clear" w:color="auto" w:fill="auto"/>
          </w:tcPr>
          <w:p w14:paraId="6FE783E6" w14:textId="77777777" w:rsidR="00720CF3" w:rsidRPr="00CB7B07" w:rsidRDefault="00720CF3" w:rsidP="00720CF3">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auto"/>
              </w:rPr>
            </w:pPr>
            <w:r w:rsidRPr="00CB7B07">
              <w:rPr>
                <w:color w:val="auto"/>
              </w:rPr>
              <w:t>Y</w:t>
            </w:r>
          </w:p>
        </w:tc>
        <w:tc>
          <w:tcPr>
            <w:tcW w:w="924" w:type="pct"/>
            <w:shd w:val="clear" w:color="auto" w:fill="auto"/>
          </w:tcPr>
          <w:p w14:paraId="1FBC0D7C" w14:textId="77777777" w:rsidR="00720CF3" w:rsidRPr="00CB7B07" w:rsidRDefault="00720CF3" w:rsidP="00720CF3">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auto"/>
              </w:rPr>
            </w:pPr>
            <w:r w:rsidRPr="00CB7B07">
              <w:rPr>
                <w:color w:val="auto"/>
              </w:rPr>
              <w:t>8.999486</w:t>
            </w:r>
          </w:p>
        </w:tc>
        <w:tc>
          <w:tcPr>
            <w:tcW w:w="1340" w:type="pct"/>
            <w:shd w:val="clear" w:color="auto" w:fill="auto"/>
          </w:tcPr>
          <w:p w14:paraId="0C5E1C5A" w14:textId="77777777" w:rsidR="00720CF3" w:rsidRPr="00CB7B07" w:rsidRDefault="00720CF3" w:rsidP="00720CF3">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auto"/>
              </w:rPr>
            </w:pPr>
            <w:r w:rsidRPr="00CB7B07">
              <w:rPr>
                <w:color w:val="auto"/>
              </w:rPr>
              <w:t>4.747225</w:t>
            </w:r>
          </w:p>
        </w:tc>
      </w:tr>
      <w:tr w:rsidR="006B15C0" w:rsidRPr="00CB7B07" w14:paraId="73E0C5A0" w14:textId="77777777" w:rsidTr="00CB7B07">
        <w:trPr>
          <w:cnfStyle w:val="000000100000" w:firstRow="0" w:lastRow="0" w:firstColumn="0" w:lastColumn="0" w:oddVBand="0" w:evenVBand="0" w:oddHBand="1" w:evenHBand="0" w:firstRowFirstColumn="0" w:firstRowLastColumn="0" w:lastRowFirstColumn="0" w:lastRowLastColumn="0"/>
          <w:trHeight w:val="457"/>
        </w:trPr>
        <w:tc>
          <w:tcPr>
            <w:cnfStyle w:val="001000000000" w:firstRow="0" w:lastRow="0" w:firstColumn="1" w:lastColumn="0" w:oddVBand="0" w:evenVBand="0" w:oddHBand="0" w:evenHBand="0" w:firstRowFirstColumn="0" w:firstRowLastColumn="0" w:lastRowFirstColumn="0" w:lastRowLastColumn="0"/>
            <w:tcW w:w="1673" w:type="pct"/>
            <w:shd w:val="clear" w:color="auto" w:fill="auto"/>
          </w:tcPr>
          <w:p w14:paraId="6A35C1F1" w14:textId="77777777" w:rsidR="00720CF3" w:rsidRPr="00CB7B07" w:rsidRDefault="00720CF3" w:rsidP="00720CF3">
            <w:pPr>
              <w:spacing w:after="0" w:line="240" w:lineRule="auto"/>
              <w:jc w:val="both"/>
              <w:rPr>
                <w:b w:val="0"/>
                <w:color w:val="auto"/>
              </w:rPr>
            </w:pPr>
            <w:r w:rsidRPr="00CB7B07">
              <w:rPr>
                <w:b w:val="0"/>
                <w:color w:val="auto"/>
              </w:rPr>
              <w:t>International, USA Fund</w:t>
            </w:r>
          </w:p>
        </w:tc>
        <w:tc>
          <w:tcPr>
            <w:tcW w:w="1063" w:type="pct"/>
            <w:shd w:val="clear" w:color="auto" w:fill="auto"/>
          </w:tcPr>
          <w:p w14:paraId="2B5E1BCF" w14:textId="77777777" w:rsidR="00720CF3" w:rsidRPr="00CB7B07" w:rsidRDefault="00720CF3" w:rsidP="00720CF3">
            <w:pPr>
              <w:spacing w:after="0" w:line="240" w:lineRule="auto"/>
              <w:jc w:val="center"/>
              <w:cnfStyle w:val="000000100000" w:firstRow="0" w:lastRow="0" w:firstColumn="0" w:lastColumn="0" w:oddVBand="0" w:evenVBand="0" w:oddHBand="1" w:evenHBand="0" w:firstRowFirstColumn="0" w:firstRowLastColumn="0" w:lastRowFirstColumn="0" w:lastRowLastColumn="0"/>
              <w:rPr>
                <w:color w:val="auto"/>
              </w:rPr>
            </w:pPr>
            <w:r w:rsidRPr="00CB7B07">
              <w:rPr>
                <w:color w:val="auto"/>
              </w:rPr>
              <w:t>Y</w:t>
            </w:r>
          </w:p>
        </w:tc>
        <w:tc>
          <w:tcPr>
            <w:tcW w:w="924" w:type="pct"/>
            <w:shd w:val="clear" w:color="auto" w:fill="auto"/>
          </w:tcPr>
          <w:p w14:paraId="545DA532" w14:textId="77777777" w:rsidR="00720CF3" w:rsidRPr="00CB7B07" w:rsidRDefault="00720CF3" w:rsidP="00720CF3">
            <w:pPr>
              <w:spacing w:after="0" w:line="240" w:lineRule="auto"/>
              <w:jc w:val="center"/>
              <w:cnfStyle w:val="000000100000" w:firstRow="0" w:lastRow="0" w:firstColumn="0" w:lastColumn="0" w:oddVBand="0" w:evenVBand="0" w:oddHBand="1" w:evenHBand="0" w:firstRowFirstColumn="0" w:firstRowLastColumn="0" w:lastRowFirstColumn="0" w:lastRowLastColumn="0"/>
              <w:rPr>
                <w:color w:val="auto"/>
              </w:rPr>
            </w:pPr>
            <w:r w:rsidRPr="00CB7B07">
              <w:rPr>
                <w:color w:val="auto"/>
              </w:rPr>
              <w:t>8.084787</w:t>
            </w:r>
          </w:p>
        </w:tc>
        <w:tc>
          <w:tcPr>
            <w:tcW w:w="1340" w:type="pct"/>
            <w:shd w:val="clear" w:color="auto" w:fill="auto"/>
          </w:tcPr>
          <w:p w14:paraId="27975691" w14:textId="77777777" w:rsidR="00720CF3" w:rsidRPr="00CB7B07" w:rsidRDefault="00720CF3" w:rsidP="00720CF3">
            <w:pPr>
              <w:spacing w:after="0" w:line="240" w:lineRule="auto"/>
              <w:jc w:val="center"/>
              <w:cnfStyle w:val="000000100000" w:firstRow="0" w:lastRow="0" w:firstColumn="0" w:lastColumn="0" w:oddVBand="0" w:evenVBand="0" w:oddHBand="1" w:evenHBand="0" w:firstRowFirstColumn="0" w:firstRowLastColumn="0" w:lastRowFirstColumn="0" w:lastRowLastColumn="0"/>
              <w:rPr>
                <w:color w:val="auto"/>
              </w:rPr>
            </w:pPr>
            <w:r w:rsidRPr="00CB7B07">
              <w:rPr>
                <w:color w:val="auto"/>
              </w:rPr>
              <w:t>4.964603</w:t>
            </w:r>
          </w:p>
        </w:tc>
      </w:tr>
      <w:tr w:rsidR="006B15C0" w:rsidRPr="00CB7B07" w14:paraId="341AD54D" w14:textId="77777777" w:rsidTr="00CB7B07">
        <w:trPr>
          <w:trHeight w:val="457"/>
        </w:trPr>
        <w:tc>
          <w:tcPr>
            <w:cnfStyle w:val="001000000000" w:firstRow="0" w:lastRow="0" w:firstColumn="1" w:lastColumn="0" w:oddVBand="0" w:evenVBand="0" w:oddHBand="0" w:evenHBand="0" w:firstRowFirstColumn="0" w:firstRowLastColumn="0" w:lastRowFirstColumn="0" w:lastRowLastColumn="0"/>
            <w:tcW w:w="1673" w:type="pct"/>
            <w:shd w:val="clear" w:color="auto" w:fill="auto"/>
          </w:tcPr>
          <w:p w14:paraId="110A79DF" w14:textId="77777777" w:rsidR="00720CF3" w:rsidRPr="00CB7B07" w:rsidRDefault="00720CF3" w:rsidP="00720CF3">
            <w:pPr>
              <w:spacing w:after="0" w:line="240" w:lineRule="auto"/>
              <w:jc w:val="both"/>
              <w:rPr>
                <w:b w:val="0"/>
                <w:color w:val="auto"/>
              </w:rPr>
            </w:pPr>
            <w:r w:rsidRPr="00CB7B07">
              <w:rPr>
                <w:b w:val="0"/>
                <w:color w:val="auto"/>
              </w:rPr>
              <w:t>France, USA Inc.</w:t>
            </w:r>
          </w:p>
        </w:tc>
        <w:tc>
          <w:tcPr>
            <w:tcW w:w="1063" w:type="pct"/>
            <w:shd w:val="clear" w:color="auto" w:fill="auto"/>
          </w:tcPr>
          <w:p w14:paraId="59F22552" w14:textId="77777777" w:rsidR="00720CF3" w:rsidRPr="00CB7B07" w:rsidRDefault="00720CF3" w:rsidP="00720CF3">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auto"/>
              </w:rPr>
            </w:pPr>
            <w:r w:rsidRPr="00CB7B07">
              <w:rPr>
                <w:color w:val="auto"/>
              </w:rPr>
              <w:t>Y</w:t>
            </w:r>
          </w:p>
        </w:tc>
        <w:tc>
          <w:tcPr>
            <w:tcW w:w="924" w:type="pct"/>
            <w:shd w:val="clear" w:color="auto" w:fill="auto"/>
          </w:tcPr>
          <w:p w14:paraId="398E954E" w14:textId="77777777" w:rsidR="00720CF3" w:rsidRPr="00CB7B07" w:rsidRDefault="00720CF3" w:rsidP="00720CF3">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auto"/>
              </w:rPr>
            </w:pPr>
            <w:r w:rsidRPr="00CB7B07">
              <w:rPr>
                <w:color w:val="auto"/>
              </w:rPr>
              <w:t>80.74717</w:t>
            </w:r>
          </w:p>
        </w:tc>
        <w:tc>
          <w:tcPr>
            <w:tcW w:w="1340" w:type="pct"/>
            <w:shd w:val="clear" w:color="auto" w:fill="auto"/>
          </w:tcPr>
          <w:p w14:paraId="2E0294FF" w14:textId="77777777" w:rsidR="00720CF3" w:rsidRPr="00CB7B07" w:rsidRDefault="00720CF3" w:rsidP="00720CF3">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auto"/>
              </w:rPr>
            </w:pPr>
            <w:r w:rsidRPr="00CB7B07">
              <w:rPr>
                <w:color w:val="auto"/>
              </w:rPr>
              <w:t>4.60011</w:t>
            </w:r>
          </w:p>
        </w:tc>
      </w:tr>
      <w:tr w:rsidR="006B15C0" w:rsidRPr="00CB7B07" w14:paraId="4F8D21EC" w14:textId="77777777" w:rsidTr="00CB7B07">
        <w:trPr>
          <w:cnfStyle w:val="000000100000" w:firstRow="0" w:lastRow="0" w:firstColumn="0" w:lastColumn="0" w:oddVBand="0" w:evenVBand="0" w:oddHBand="1" w:evenHBand="0" w:firstRowFirstColumn="0" w:firstRowLastColumn="0" w:lastRowFirstColumn="0" w:lastRowLastColumn="0"/>
          <w:trHeight w:val="457"/>
        </w:trPr>
        <w:tc>
          <w:tcPr>
            <w:cnfStyle w:val="001000000000" w:firstRow="0" w:lastRow="0" w:firstColumn="1" w:lastColumn="0" w:oddVBand="0" w:evenVBand="0" w:oddHBand="0" w:evenHBand="0" w:firstRowFirstColumn="0" w:firstRowLastColumn="0" w:lastRowFirstColumn="0" w:lastRowLastColumn="0"/>
            <w:tcW w:w="1673" w:type="pct"/>
            <w:shd w:val="clear" w:color="auto" w:fill="auto"/>
          </w:tcPr>
          <w:p w14:paraId="0475BC93" w14:textId="77777777" w:rsidR="00720CF3" w:rsidRPr="00CB7B07" w:rsidRDefault="00720CF3" w:rsidP="00720CF3">
            <w:pPr>
              <w:spacing w:after="0" w:line="240" w:lineRule="auto"/>
              <w:jc w:val="both"/>
              <w:rPr>
                <w:b w:val="0"/>
                <w:color w:val="auto"/>
              </w:rPr>
            </w:pPr>
            <w:r w:rsidRPr="00CB7B07">
              <w:rPr>
                <w:b w:val="0"/>
                <w:color w:val="auto"/>
              </w:rPr>
              <w:t>Spain, USA Inc.</w:t>
            </w:r>
          </w:p>
        </w:tc>
        <w:tc>
          <w:tcPr>
            <w:tcW w:w="1063" w:type="pct"/>
            <w:shd w:val="clear" w:color="auto" w:fill="auto"/>
          </w:tcPr>
          <w:p w14:paraId="33CFFF76" w14:textId="77777777" w:rsidR="00720CF3" w:rsidRPr="00CB7B07" w:rsidRDefault="00720CF3" w:rsidP="00720CF3">
            <w:pPr>
              <w:spacing w:after="0" w:line="240" w:lineRule="auto"/>
              <w:jc w:val="center"/>
              <w:cnfStyle w:val="000000100000" w:firstRow="0" w:lastRow="0" w:firstColumn="0" w:lastColumn="0" w:oddVBand="0" w:evenVBand="0" w:oddHBand="1" w:evenHBand="0" w:firstRowFirstColumn="0" w:firstRowLastColumn="0" w:lastRowFirstColumn="0" w:lastRowLastColumn="0"/>
              <w:rPr>
                <w:color w:val="auto"/>
              </w:rPr>
            </w:pPr>
            <w:r w:rsidRPr="00CB7B07">
              <w:rPr>
                <w:color w:val="auto"/>
              </w:rPr>
              <w:t>Y</w:t>
            </w:r>
          </w:p>
        </w:tc>
        <w:tc>
          <w:tcPr>
            <w:tcW w:w="924" w:type="pct"/>
            <w:shd w:val="clear" w:color="auto" w:fill="auto"/>
          </w:tcPr>
          <w:p w14:paraId="4D882436" w14:textId="77777777" w:rsidR="00720CF3" w:rsidRPr="00CB7B07" w:rsidRDefault="00720CF3" w:rsidP="00720CF3">
            <w:pPr>
              <w:spacing w:after="0" w:line="240" w:lineRule="auto"/>
              <w:jc w:val="center"/>
              <w:cnfStyle w:val="000000100000" w:firstRow="0" w:lastRow="0" w:firstColumn="0" w:lastColumn="0" w:oddVBand="0" w:evenVBand="0" w:oddHBand="1" w:evenHBand="0" w:firstRowFirstColumn="0" w:firstRowLastColumn="0" w:lastRowFirstColumn="0" w:lastRowLastColumn="0"/>
              <w:rPr>
                <w:color w:val="auto"/>
              </w:rPr>
            </w:pPr>
            <w:r w:rsidRPr="00CB7B07">
              <w:rPr>
                <w:color w:val="auto"/>
              </w:rPr>
              <w:t>32.76855</w:t>
            </w:r>
          </w:p>
        </w:tc>
        <w:tc>
          <w:tcPr>
            <w:tcW w:w="1340" w:type="pct"/>
            <w:shd w:val="clear" w:color="auto" w:fill="auto"/>
          </w:tcPr>
          <w:p w14:paraId="7AE21D5B" w14:textId="77777777" w:rsidR="00720CF3" w:rsidRPr="00CB7B07" w:rsidRDefault="00720CF3" w:rsidP="00720CF3">
            <w:pPr>
              <w:spacing w:after="0" w:line="240" w:lineRule="auto"/>
              <w:jc w:val="center"/>
              <w:cnfStyle w:val="000000100000" w:firstRow="0" w:lastRow="0" w:firstColumn="0" w:lastColumn="0" w:oddVBand="0" w:evenVBand="0" w:oddHBand="1" w:evenHBand="0" w:firstRowFirstColumn="0" w:firstRowLastColumn="0" w:lastRowFirstColumn="0" w:lastRowLastColumn="0"/>
              <w:rPr>
                <w:color w:val="auto"/>
              </w:rPr>
            </w:pPr>
            <w:r w:rsidRPr="00CB7B07">
              <w:rPr>
                <w:color w:val="auto"/>
              </w:rPr>
              <w:t>4.964603</w:t>
            </w:r>
          </w:p>
        </w:tc>
      </w:tr>
      <w:tr w:rsidR="006B15C0" w:rsidRPr="00CB7B07" w14:paraId="4799E950" w14:textId="77777777" w:rsidTr="00CB7B07">
        <w:trPr>
          <w:trHeight w:val="457"/>
        </w:trPr>
        <w:tc>
          <w:tcPr>
            <w:cnfStyle w:val="001000000000" w:firstRow="0" w:lastRow="0" w:firstColumn="1" w:lastColumn="0" w:oddVBand="0" w:evenVBand="0" w:oddHBand="0" w:evenHBand="0" w:firstRowFirstColumn="0" w:firstRowLastColumn="0" w:lastRowFirstColumn="0" w:lastRowLastColumn="0"/>
            <w:tcW w:w="1673" w:type="pct"/>
            <w:tcBorders>
              <w:bottom w:val="nil"/>
            </w:tcBorders>
            <w:shd w:val="clear" w:color="auto" w:fill="auto"/>
          </w:tcPr>
          <w:p w14:paraId="745B29EE" w14:textId="77777777" w:rsidR="00720CF3" w:rsidRPr="00CB7B07" w:rsidRDefault="00720CF3" w:rsidP="00720CF3">
            <w:pPr>
              <w:spacing w:after="0" w:line="240" w:lineRule="auto"/>
              <w:jc w:val="both"/>
              <w:rPr>
                <w:b w:val="0"/>
                <w:color w:val="auto"/>
              </w:rPr>
            </w:pPr>
            <w:r w:rsidRPr="00CB7B07">
              <w:rPr>
                <w:b w:val="0"/>
                <w:color w:val="auto"/>
              </w:rPr>
              <w:t>France, USA Fund</w:t>
            </w:r>
          </w:p>
        </w:tc>
        <w:tc>
          <w:tcPr>
            <w:tcW w:w="1063" w:type="pct"/>
            <w:tcBorders>
              <w:bottom w:val="nil"/>
            </w:tcBorders>
            <w:shd w:val="clear" w:color="auto" w:fill="auto"/>
          </w:tcPr>
          <w:p w14:paraId="68648F70" w14:textId="77777777" w:rsidR="00720CF3" w:rsidRPr="00CB7B07" w:rsidRDefault="00720CF3" w:rsidP="00720CF3">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auto"/>
              </w:rPr>
            </w:pPr>
            <w:r w:rsidRPr="00CB7B07">
              <w:rPr>
                <w:color w:val="auto"/>
              </w:rPr>
              <w:t>Y</w:t>
            </w:r>
          </w:p>
        </w:tc>
        <w:tc>
          <w:tcPr>
            <w:tcW w:w="924" w:type="pct"/>
            <w:tcBorders>
              <w:bottom w:val="nil"/>
            </w:tcBorders>
            <w:shd w:val="clear" w:color="auto" w:fill="auto"/>
          </w:tcPr>
          <w:p w14:paraId="74DF9ED1" w14:textId="77777777" w:rsidR="00720CF3" w:rsidRPr="00CB7B07" w:rsidRDefault="00720CF3" w:rsidP="00720CF3">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auto"/>
              </w:rPr>
            </w:pPr>
            <w:r w:rsidRPr="00CB7B07">
              <w:rPr>
                <w:color w:val="auto"/>
              </w:rPr>
              <w:t>16.95174</w:t>
            </w:r>
          </w:p>
        </w:tc>
        <w:tc>
          <w:tcPr>
            <w:tcW w:w="1340" w:type="pct"/>
            <w:tcBorders>
              <w:bottom w:val="nil"/>
            </w:tcBorders>
            <w:shd w:val="clear" w:color="auto" w:fill="auto"/>
          </w:tcPr>
          <w:p w14:paraId="41DC9DAE" w14:textId="77777777" w:rsidR="00720CF3" w:rsidRPr="00CB7B07" w:rsidRDefault="00720CF3" w:rsidP="00720CF3">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auto"/>
              </w:rPr>
            </w:pPr>
            <w:r w:rsidRPr="00CB7B07">
              <w:rPr>
                <w:color w:val="auto"/>
              </w:rPr>
              <w:t>4.60011</w:t>
            </w:r>
          </w:p>
        </w:tc>
      </w:tr>
      <w:tr w:rsidR="006B15C0" w:rsidRPr="00CB7B07" w14:paraId="1BCA46D7" w14:textId="77777777" w:rsidTr="00CB7B07">
        <w:trPr>
          <w:cnfStyle w:val="000000100000" w:firstRow="0" w:lastRow="0" w:firstColumn="0" w:lastColumn="0" w:oddVBand="0" w:evenVBand="0" w:oddHBand="1" w:evenHBand="0" w:firstRowFirstColumn="0" w:firstRowLastColumn="0" w:lastRowFirstColumn="0" w:lastRowLastColumn="0"/>
          <w:trHeight w:val="457"/>
        </w:trPr>
        <w:tc>
          <w:tcPr>
            <w:cnfStyle w:val="001000000000" w:firstRow="0" w:lastRow="0" w:firstColumn="1" w:lastColumn="0" w:oddVBand="0" w:evenVBand="0" w:oddHBand="0" w:evenHBand="0" w:firstRowFirstColumn="0" w:firstRowLastColumn="0" w:lastRowFirstColumn="0" w:lastRowLastColumn="0"/>
            <w:tcW w:w="1673" w:type="pct"/>
            <w:tcBorders>
              <w:top w:val="nil"/>
              <w:bottom w:val="single" w:sz="12" w:space="0" w:color="000000" w:themeColor="text1"/>
            </w:tcBorders>
            <w:shd w:val="clear" w:color="auto" w:fill="auto"/>
          </w:tcPr>
          <w:p w14:paraId="76987860" w14:textId="77777777" w:rsidR="00720CF3" w:rsidRPr="00CB7B07" w:rsidRDefault="00720CF3" w:rsidP="00720CF3">
            <w:pPr>
              <w:spacing w:after="0" w:line="240" w:lineRule="auto"/>
              <w:jc w:val="both"/>
              <w:rPr>
                <w:b w:val="0"/>
                <w:color w:val="auto"/>
              </w:rPr>
            </w:pPr>
            <w:r w:rsidRPr="00CB7B07">
              <w:rPr>
                <w:b w:val="0"/>
                <w:color w:val="auto"/>
              </w:rPr>
              <w:t>Spain, USA Fund</w:t>
            </w:r>
          </w:p>
        </w:tc>
        <w:tc>
          <w:tcPr>
            <w:tcW w:w="1063" w:type="pct"/>
            <w:tcBorders>
              <w:top w:val="nil"/>
              <w:bottom w:val="single" w:sz="12" w:space="0" w:color="000000" w:themeColor="text1"/>
            </w:tcBorders>
            <w:shd w:val="clear" w:color="auto" w:fill="auto"/>
          </w:tcPr>
          <w:p w14:paraId="524F04AB" w14:textId="77777777" w:rsidR="00720CF3" w:rsidRPr="00CB7B07" w:rsidRDefault="00720CF3" w:rsidP="00720CF3">
            <w:pPr>
              <w:spacing w:after="0" w:line="240" w:lineRule="auto"/>
              <w:jc w:val="center"/>
              <w:cnfStyle w:val="000000100000" w:firstRow="0" w:lastRow="0" w:firstColumn="0" w:lastColumn="0" w:oddVBand="0" w:evenVBand="0" w:oddHBand="1" w:evenHBand="0" w:firstRowFirstColumn="0" w:firstRowLastColumn="0" w:lastRowFirstColumn="0" w:lastRowLastColumn="0"/>
              <w:rPr>
                <w:color w:val="auto"/>
              </w:rPr>
            </w:pPr>
            <w:r w:rsidRPr="00CB7B07">
              <w:rPr>
                <w:color w:val="auto"/>
              </w:rPr>
              <w:t>Y</w:t>
            </w:r>
          </w:p>
        </w:tc>
        <w:tc>
          <w:tcPr>
            <w:tcW w:w="924" w:type="pct"/>
            <w:tcBorders>
              <w:top w:val="nil"/>
              <w:bottom w:val="single" w:sz="12" w:space="0" w:color="000000" w:themeColor="text1"/>
            </w:tcBorders>
            <w:shd w:val="clear" w:color="auto" w:fill="auto"/>
          </w:tcPr>
          <w:p w14:paraId="3C72EF76" w14:textId="77777777" w:rsidR="00720CF3" w:rsidRPr="00CB7B07" w:rsidRDefault="00720CF3" w:rsidP="00720CF3">
            <w:pPr>
              <w:spacing w:after="0" w:line="240" w:lineRule="auto"/>
              <w:jc w:val="center"/>
              <w:cnfStyle w:val="000000100000" w:firstRow="0" w:lastRow="0" w:firstColumn="0" w:lastColumn="0" w:oddVBand="0" w:evenVBand="0" w:oddHBand="1" w:evenHBand="0" w:firstRowFirstColumn="0" w:firstRowLastColumn="0" w:lastRowFirstColumn="0" w:lastRowLastColumn="0"/>
              <w:rPr>
                <w:color w:val="auto"/>
              </w:rPr>
            </w:pPr>
            <w:r w:rsidRPr="00CB7B07">
              <w:rPr>
                <w:color w:val="auto"/>
              </w:rPr>
              <w:t>5.384215</w:t>
            </w:r>
          </w:p>
        </w:tc>
        <w:tc>
          <w:tcPr>
            <w:tcW w:w="1340" w:type="pct"/>
            <w:tcBorders>
              <w:top w:val="nil"/>
              <w:bottom w:val="single" w:sz="12" w:space="0" w:color="000000" w:themeColor="text1"/>
            </w:tcBorders>
            <w:shd w:val="clear" w:color="auto" w:fill="auto"/>
          </w:tcPr>
          <w:p w14:paraId="20594574" w14:textId="77777777" w:rsidR="00720CF3" w:rsidRPr="00CB7B07" w:rsidRDefault="00720CF3" w:rsidP="00720CF3">
            <w:pPr>
              <w:spacing w:after="0" w:line="240" w:lineRule="auto"/>
              <w:jc w:val="center"/>
              <w:cnfStyle w:val="000000100000" w:firstRow="0" w:lastRow="0" w:firstColumn="0" w:lastColumn="0" w:oddVBand="0" w:evenVBand="0" w:oddHBand="1" w:evenHBand="0" w:firstRowFirstColumn="0" w:firstRowLastColumn="0" w:lastRowFirstColumn="0" w:lastRowLastColumn="0"/>
              <w:rPr>
                <w:color w:val="auto"/>
              </w:rPr>
            </w:pPr>
            <w:r w:rsidRPr="00CB7B07">
              <w:rPr>
                <w:color w:val="auto"/>
              </w:rPr>
              <w:t>4.964603</w:t>
            </w:r>
          </w:p>
        </w:tc>
      </w:tr>
    </w:tbl>
    <w:p w14:paraId="3A0C5576" w14:textId="7FA4B973" w:rsidR="00720CF3" w:rsidRPr="00CB7B07" w:rsidRDefault="006A1F72" w:rsidP="00720CF3">
      <w:pPr>
        <w:spacing w:after="0" w:line="240" w:lineRule="auto"/>
        <w:rPr>
          <w:i/>
          <w:szCs w:val="26"/>
          <w:lang w:eastAsia="zh-TW"/>
        </w:rPr>
      </w:pPr>
      <w:r w:rsidRPr="00CB7B07">
        <w:rPr>
          <w:i/>
          <w:szCs w:val="26"/>
          <w:lang w:eastAsia="zh-TW"/>
        </w:rPr>
        <w:t>N</w:t>
      </w:r>
      <w:r w:rsidRPr="00CB7B07">
        <w:rPr>
          <w:rFonts w:hint="eastAsia"/>
          <w:i/>
          <w:szCs w:val="26"/>
          <w:lang w:eastAsia="zh-TW"/>
        </w:rPr>
        <w:t>ote:</w:t>
      </w:r>
    </w:p>
    <w:p w14:paraId="7583A33A" w14:textId="77777777" w:rsidR="005B7147" w:rsidRPr="00CB7B07" w:rsidRDefault="005B7147" w:rsidP="006A1F72">
      <w:pPr>
        <w:tabs>
          <w:tab w:val="left" w:pos="9027"/>
        </w:tabs>
        <w:spacing w:after="0" w:line="240" w:lineRule="auto"/>
        <w:ind w:leftChars="100" w:left="480" w:hangingChars="100" w:hanging="240"/>
        <w:jc w:val="both"/>
        <w:rPr>
          <w:szCs w:val="26"/>
        </w:rPr>
      </w:pPr>
      <w:r w:rsidRPr="00CB7B07">
        <w:rPr>
          <w:szCs w:val="26"/>
        </w:rPr>
        <w:t>- Greenpeace France allocated a significantly greater percentage of its resources to the anti-GM campaign than did the Greenpeace units in the United States.</w:t>
      </w:r>
    </w:p>
    <w:p w14:paraId="5619F1DD" w14:textId="77777777" w:rsidR="005B7147" w:rsidRPr="00CB7B07" w:rsidRDefault="005B7147" w:rsidP="006A1F72">
      <w:pPr>
        <w:tabs>
          <w:tab w:val="left" w:pos="9027"/>
        </w:tabs>
        <w:spacing w:after="0" w:line="240" w:lineRule="auto"/>
        <w:ind w:leftChars="100" w:left="480" w:hangingChars="100" w:hanging="240"/>
        <w:jc w:val="both"/>
        <w:rPr>
          <w:szCs w:val="26"/>
        </w:rPr>
      </w:pPr>
      <w:r w:rsidRPr="00CB7B07">
        <w:rPr>
          <w:szCs w:val="26"/>
        </w:rPr>
        <w:t>- Greenpeace Spain allocated a significantly greater percentage of its resources to the anti-GM campaign than did the Greenpeace units in the United States.</w:t>
      </w:r>
    </w:p>
    <w:p w14:paraId="3C6086A0" w14:textId="77777777" w:rsidR="005B7147" w:rsidRPr="00CB7B07" w:rsidRDefault="005B7147" w:rsidP="006A1F72">
      <w:pPr>
        <w:tabs>
          <w:tab w:val="left" w:pos="9027"/>
        </w:tabs>
        <w:spacing w:after="0" w:line="240" w:lineRule="auto"/>
        <w:ind w:leftChars="100" w:left="480" w:hangingChars="100" w:hanging="240"/>
        <w:jc w:val="both"/>
        <w:rPr>
          <w:szCs w:val="26"/>
        </w:rPr>
      </w:pPr>
      <w:r w:rsidRPr="00CB7B07">
        <w:rPr>
          <w:szCs w:val="26"/>
        </w:rPr>
        <w:t>- Both United States units of Greenpeace allocated a significantly smaller percentage of their resources to the anti-GM campaign than did Greenpeace International.</w:t>
      </w:r>
    </w:p>
    <w:p w14:paraId="5E196BB5" w14:textId="77777777" w:rsidR="005B7147" w:rsidRPr="00CB7B07" w:rsidRDefault="005B7147" w:rsidP="006A1F72">
      <w:pPr>
        <w:tabs>
          <w:tab w:val="left" w:pos="9027"/>
        </w:tabs>
        <w:spacing w:after="0" w:line="240" w:lineRule="auto"/>
        <w:ind w:leftChars="100" w:left="480" w:hangingChars="100" w:hanging="240"/>
        <w:jc w:val="both"/>
        <w:rPr>
          <w:szCs w:val="26"/>
        </w:rPr>
      </w:pPr>
      <w:r w:rsidRPr="00CB7B07">
        <w:rPr>
          <w:szCs w:val="26"/>
        </w:rPr>
        <w:t>- Both United States units of Greenpeace allocated a significantly smaller percentage of their resources to the anti-GM campaign than did Greenpeace Worldwide.</w:t>
      </w:r>
    </w:p>
    <w:p w14:paraId="1045F8D1" w14:textId="77777777" w:rsidR="005B7147" w:rsidRPr="00CB7B07" w:rsidRDefault="005B7147" w:rsidP="006A1F72">
      <w:pPr>
        <w:tabs>
          <w:tab w:val="left" w:pos="9027"/>
        </w:tabs>
        <w:spacing w:after="0" w:line="240" w:lineRule="auto"/>
        <w:ind w:leftChars="100" w:left="480" w:hangingChars="100" w:hanging="240"/>
        <w:jc w:val="both"/>
        <w:rPr>
          <w:szCs w:val="26"/>
        </w:rPr>
      </w:pPr>
      <w:r w:rsidRPr="00CB7B07">
        <w:rPr>
          <w:szCs w:val="26"/>
        </w:rPr>
        <w:t>- Greenpeace France allocated a greater percentage of its resources to the anti-GM campaign than did Greenpeace Spain.</w:t>
      </w:r>
    </w:p>
    <w:p w14:paraId="6837EDC2" w14:textId="77777777" w:rsidR="006F3F99" w:rsidRDefault="006F3F99" w:rsidP="006F3F99">
      <w:pPr>
        <w:spacing w:after="0" w:line="240" w:lineRule="auto"/>
        <w:rPr>
          <w:b/>
          <w:sz w:val="26"/>
          <w:szCs w:val="26"/>
        </w:rPr>
      </w:pPr>
    </w:p>
    <w:p w14:paraId="44A90B9C" w14:textId="77777777" w:rsidR="006F3F99" w:rsidRDefault="006F3F99" w:rsidP="00FF5068">
      <w:pPr>
        <w:spacing w:after="0" w:line="240" w:lineRule="auto"/>
        <w:outlineLvl w:val="1"/>
        <w:rPr>
          <w:b/>
          <w:sz w:val="26"/>
          <w:szCs w:val="26"/>
        </w:rPr>
      </w:pPr>
      <w:r>
        <w:rPr>
          <w:b/>
          <w:sz w:val="26"/>
          <w:szCs w:val="26"/>
        </w:rPr>
        <w:t>Limitations</w:t>
      </w:r>
    </w:p>
    <w:p w14:paraId="242F3B3C" w14:textId="0EBC4D18" w:rsidR="006F3F99" w:rsidRPr="007A6659" w:rsidRDefault="006F3F99" w:rsidP="00FF5068">
      <w:pPr>
        <w:spacing w:after="0" w:line="360" w:lineRule="exact"/>
        <w:ind w:firstLineChars="200" w:firstLine="520"/>
        <w:jc w:val="both"/>
        <w:rPr>
          <w:sz w:val="26"/>
          <w:szCs w:val="26"/>
        </w:rPr>
      </w:pPr>
      <w:r w:rsidRPr="007A6659">
        <w:rPr>
          <w:sz w:val="26"/>
          <w:szCs w:val="26"/>
        </w:rPr>
        <w:t xml:space="preserve">A key limitation of our study </w:t>
      </w:r>
      <w:r w:rsidR="001F48EA">
        <w:rPr>
          <w:sz w:val="26"/>
          <w:szCs w:val="26"/>
        </w:rPr>
        <w:t>was that</w:t>
      </w:r>
      <w:r w:rsidRPr="007A6659">
        <w:rPr>
          <w:sz w:val="26"/>
          <w:szCs w:val="26"/>
        </w:rPr>
        <w:t xml:space="preserve"> the data</w:t>
      </w:r>
      <w:r w:rsidR="001F48EA">
        <w:rPr>
          <w:sz w:val="26"/>
          <w:szCs w:val="26"/>
        </w:rPr>
        <w:t xml:space="preserve"> came only from </w:t>
      </w:r>
      <w:r w:rsidR="001F48EA" w:rsidRPr="007A6659">
        <w:rPr>
          <w:sz w:val="26"/>
          <w:szCs w:val="26"/>
        </w:rPr>
        <w:t>publicly</w:t>
      </w:r>
      <w:r w:rsidR="001F48EA">
        <w:rPr>
          <w:sz w:val="26"/>
          <w:szCs w:val="26"/>
        </w:rPr>
        <w:t xml:space="preserve"> </w:t>
      </w:r>
      <w:r w:rsidRPr="007A6659">
        <w:rPr>
          <w:sz w:val="26"/>
          <w:szCs w:val="26"/>
        </w:rPr>
        <w:t xml:space="preserve">available </w:t>
      </w:r>
      <w:r w:rsidR="001F48EA">
        <w:rPr>
          <w:sz w:val="26"/>
          <w:szCs w:val="26"/>
        </w:rPr>
        <w:t>reports</w:t>
      </w:r>
      <w:r w:rsidR="001F48EA" w:rsidRPr="007A6659">
        <w:rPr>
          <w:sz w:val="26"/>
          <w:szCs w:val="26"/>
        </w:rPr>
        <w:t xml:space="preserve"> </w:t>
      </w:r>
      <w:r w:rsidRPr="007A6659">
        <w:rPr>
          <w:sz w:val="26"/>
          <w:szCs w:val="26"/>
        </w:rPr>
        <w:t>from Greenpeace itself.  While the data support</w:t>
      </w:r>
      <w:r w:rsidR="00FC28C0">
        <w:rPr>
          <w:sz w:val="26"/>
          <w:szCs w:val="26"/>
        </w:rPr>
        <w:t>ed</w:t>
      </w:r>
      <w:r w:rsidRPr="007A6659">
        <w:rPr>
          <w:sz w:val="26"/>
          <w:szCs w:val="26"/>
        </w:rPr>
        <w:t xml:space="preserve"> our predictions, they are not sufficiently robust for us to consider the matter </w:t>
      </w:r>
      <w:r>
        <w:rPr>
          <w:sz w:val="26"/>
          <w:szCs w:val="26"/>
        </w:rPr>
        <w:t>resolved</w:t>
      </w:r>
      <w:r w:rsidRPr="007A6659">
        <w:rPr>
          <w:sz w:val="26"/>
          <w:szCs w:val="26"/>
        </w:rPr>
        <w:t xml:space="preserve">.  While Greenpeace has no reason to manipulate its data, it also has no reason to make sufficiently detailed information </w:t>
      </w:r>
      <w:r w:rsidR="00FC28C0" w:rsidRPr="007A6659">
        <w:rPr>
          <w:sz w:val="26"/>
          <w:szCs w:val="26"/>
        </w:rPr>
        <w:t xml:space="preserve">public </w:t>
      </w:r>
      <w:r w:rsidRPr="007A6659">
        <w:rPr>
          <w:sz w:val="26"/>
          <w:szCs w:val="26"/>
        </w:rPr>
        <w:t>to allow for more sophisticated analytic techniques</w:t>
      </w:r>
      <w:r w:rsidR="00FC28C0">
        <w:rPr>
          <w:sz w:val="26"/>
          <w:szCs w:val="26"/>
        </w:rPr>
        <w:t>,</w:t>
      </w:r>
      <w:r w:rsidRPr="007A6659">
        <w:rPr>
          <w:sz w:val="26"/>
          <w:szCs w:val="26"/>
        </w:rPr>
        <w:t xml:space="preserve"> such as multivariate regression. </w:t>
      </w:r>
      <w:r>
        <w:rPr>
          <w:sz w:val="26"/>
          <w:szCs w:val="26"/>
        </w:rPr>
        <w:t xml:space="preserve">We </w:t>
      </w:r>
      <w:r w:rsidR="00FC28C0">
        <w:rPr>
          <w:sz w:val="26"/>
          <w:szCs w:val="26"/>
        </w:rPr>
        <w:t>found</w:t>
      </w:r>
      <w:r w:rsidRPr="007A6659">
        <w:rPr>
          <w:sz w:val="26"/>
          <w:szCs w:val="26"/>
        </w:rPr>
        <w:t xml:space="preserve"> that Greenpeace’s resource allocation varies as a </w:t>
      </w:r>
      <w:r w:rsidR="00FC28C0">
        <w:rPr>
          <w:sz w:val="26"/>
          <w:szCs w:val="26"/>
        </w:rPr>
        <w:t>function</w:t>
      </w:r>
      <w:r w:rsidR="00FC28C0" w:rsidRPr="007A6659">
        <w:rPr>
          <w:sz w:val="26"/>
          <w:szCs w:val="26"/>
        </w:rPr>
        <w:t xml:space="preserve"> </w:t>
      </w:r>
      <w:r w:rsidRPr="007A6659">
        <w:rPr>
          <w:sz w:val="26"/>
          <w:szCs w:val="26"/>
        </w:rPr>
        <w:t>of differences in institutional pressure, but future work using more detailed data could paint a more detailed picture.</w:t>
      </w:r>
      <w:r w:rsidR="00B67612">
        <w:rPr>
          <w:sz w:val="26"/>
          <w:szCs w:val="26"/>
        </w:rPr>
        <w:t xml:space="preserve"> </w:t>
      </w:r>
      <w:r w:rsidR="00960244">
        <w:rPr>
          <w:sz w:val="26"/>
          <w:szCs w:val="26"/>
        </w:rPr>
        <w:t xml:space="preserve">Because of the limited nature of the data, nothing more than a limited ANOVA test could be applied to examine the statistical significance of the differences we </w:t>
      </w:r>
      <w:r w:rsidR="00FC28C0">
        <w:rPr>
          <w:sz w:val="26"/>
          <w:szCs w:val="26"/>
        </w:rPr>
        <w:t>predicte</w:t>
      </w:r>
      <w:r w:rsidR="00B67612">
        <w:rPr>
          <w:sz w:val="26"/>
          <w:szCs w:val="26"/>
        </w:rPr>
        <w:t>d</w:t>
      </w:r>
      <w:r w:rsidR="00FC28C0">
        <w:rPr>
          <w:sz w:val="26"/>
          <w:szCs w:val="26"/>
        </w:rPr>
        <w:t xml:space="preserve"> rather than to test specific hypotheses</w:t>
      </w:r>
      <w:r w:rsidR="00960244">
        <w:rPr>
          <w:sz w:val="26"/>
          <w:szCs w:val="26"/>
        </w:rPr>
        <w:t xml:space="preserve">. </w:t>
      </w:r>
      <w:r w:rsidR="008E026B">
        <w:rPr>
          <w:sz w:val="26"/>
          <w:szCs w:val="26"/>
        </w:rPr>
        <w:t>A</w:t>
      </w:r>
      <w:r w:rsidR="00960244">
        <w:rPr>
          <w:sz w:val="26"/>
          <w:szCs w:val="26"/>
        </w:rPr>
        <w:t xml:space="preserve"> quantitative </w:t>
      </w:r>
      <w:r w:rsidR="00F27BD9">
        <w:rPr>
          <w:sz w:val="26"/>
          <w:szCs w:val="26"/>
        </w:rPr>
        <w:t xml:space="preserve">research </w:t>
      </w:r>
      <w:r w:rsidR="00960244">
        <w:rPr>
          <w:sz w:val="26"/>
          <w:szCs w:val="26"/>
        </w:rPr>
        <w:t xml:space="preserve">would be able </w:t>
      </w:r>
      <w:r w:rsidR="008E026B">
        <w:rPr>
          <w:sz w:val="26"/>
          <w:szCs w:val="26"/>
        </w:rPr>
        <w:t>to evaluate whether our findings can be applied b</w:t>
      </w:r>
      <w:r w:rsidR="00E217CF">
        <w:rPr>
          <w:sz w:val="26"/>
          <w:szCs w:val="26"/>
        </w:rPr>
        <w:t>e</w:t>
      </w:r>
      <w:r w:rsidR="008E026B">
        <w:rPr>
          <w:sz w:val="26"/>
          <w:szCs w:val="26"/>
        </w:rPr>
        <w:t>yond this case</w:t>
      </w:r>
      <w:r w:rsidR="00960244">
        <w:rPr>
          <w:sz w:val="26"/>
          <w:szCs w:val="26"/>
        </w:rPr>
        <w:t>.</w:t>
      </w:r>
    </w:p>
    <w:p w14:paraId="4300454A" w14:textId="04B650F1" w:rsidR="006F3F99" w:rsidRDefault="006F3F99" w:rsidP="00FF5068">
      <w:pPr>
        <w:spacing w:after="0" w:line="360" w:lineRule="exact"/>
        <w:ind w:firstLineChars="200" w:firstLine="520"/>
        <w:jc w:val="both"/>
        <w:rPr>
          <w:sz w:val="26"/>
          <w:szCs w:val="26"/>
        </w:rPr>
      </w:pPr>
      <w:r w:rsidRPr="007A6659">
        <w:rPr>
          <w:sz w:val="26"/>
          <w:szCs w:val="26"/>
        </w:rPr>
        <w:t xml:space="preserve">Another limitation of this study is that we have treated France and Spain as two states within the EU, </w:t>
      </w:r>
      <w:r w:rsidR="006F2689">
        <w:rPr>
          <w:sz w:val="26"/>
          <w:szCs w:val="26"/>
        </w:rPr>
        <w:t>disregarding</w:t>
      </w:r>
      <w:r w:rsidRPr="007A6659">
        <w:rPr>
          <w:sz w:val="26"/>
          <w:szCs w:val="26"/>
        </w:rPr>
        <w:t xml:space="preserve"> formal differences between the two. While studies of differences among US states might similarly focus on cultural differences rather than formal institutional differences</w:t>
      </w:r>
      <w:r w:rsidR="00940956">
        <w:rPr>
          <w:sz w:val="26"/>
          <w:szCs w:val="26"/>
        </w:rPr>
        <w:t>, for example,</w:t>
      </w:r>
      <w:r w:rsidRPr="007A6659">
        <w:rPr>
          <w:sz w:val="26"/>
          <w:szCs w:val="26"/>
        </w:rPr>
        <w:t xml:space="preserve"> Alabama, New York, and Montana have very different cultures</w:t>
      </w:r>
      <w:r w:rsidR="00940956">
        <w:rPr>
          <w:sz w:val="26"/>
          <w:szCs w:val="26"/>
        </w:rPr>
        <w:t>,</w:t>
      </w:r>
      <w:r w:rsidRPr="007A6659">
        <w:rPr>
          <w:sz w:val="26"/>
          <w:szCs w:val="26"/>
        </w:rPr>
        <w:t xml:space="preserve"> US states all have similar formal institutions, with a governor, a legislature, and so on. The formal differences between France and Spain are more marked</w:t>
      </w:r>
      <w:r w:rsidR="00940956">
        <w:rPr>
          <w:sz w:val="26"/>
          <w:szCs w:val="26"/>
        </w:rPr>
        <w:t>, since</w:t>
      </w:r>
      <w:r w:rsidRPr="007A6659">
        <w:rPr>
          <w:sz w:val="26"/>
          <w:szCs w:val="26"/>
        </w:rPr>
        <w:t xml:space="preserve"> Spain is a constitutional monarchy with a parliament while France is a semi-presidential system without a monarch. We believe our findings still </w:t>
      </w:r>
      <w:r w:rsidR="00940956">
        <w:rPr>
          <w:sz w:val="26"/>
          <w:szCs w:val="26"/>
        </w:rPr>
        <w:t>reflect</w:t>
      </w:r>
      <w:r w:rsidR="00940956" w:rsidRPr="007A6659">
        <w:rPr>
          <w:sz w:val="26"/>
          <w:szCs w:val="26"/>
        </w:rPr>
        <w:t xml:space="preserve"> </w:t>
      </w:r>
      <w:r w:rsidRPr="007A6659">
        <w:rPr>
          <w:sz w:val="26"/>
          <w:szCs w:val="26"/>
        </w:rPr>
        <w:t xml:space="preserve">considerable difference in informal institutions between the two nations, but we recognize that further study </w:t>
      </w:r>
      <w:r w:rsidR="00940956">
        <w:rPr>
          <w:sz w:val="26"/>
          <w:szCs w:val="26"/>
        </w:rPr>
        <w:t>should try to</w:t>
      </w:r>
      <w:r w:rsidR="00940956" w:rsidRPr="007A6659">
        <w:rPr>
          <w:sz w:val="26"/>
          <w:szCs w:val="26"/>
        </w:rPr>
        <w:t xml:space="preserve"> </w:t>
      </w:r>
      <w:r w:rsidRPr="007A6659">
        <w:rPr>
          <w:sz w:val="26"/>
          <w:szCs w:val="26"/>
        </w:rPr>
        <w:t xml:space="preserve">disentangle the formal differences from the informal </w:t>
      </w:r>
      <w:r w:rsidR="00940956">
        <w:rPr>
          <w:sz w:val="26"/>
          <w:szCs w:val="26"/>
        </w:rPr>
        <w:t>ones</w:t>
      </w:r>
      <w:r w:rsidRPr="007A6659">
        <w:rPr>
          <w:sz w:val="26"/>
          <w:szCs w:val="26"/>
        </w:rPr>
        <w:t>.</w:t>
      </w:r>
    </w:p>
    <w:p w14:paraId="7C6EEF36" w14:textId="77777777" w:rsidR="006F3F99" w:rsidRDefault="006F3F99" w:rsidP="006878F2">
      <w:pPr>
        <w:spacing w:after="0" w:line="360" w:lineRule="atLeast"/>
        <w:rPr>
          <w:sz w:val="26"/>
          <w:szCs w:val="26"/>
        </w:rPr>
      </w:pPr>
    </w:p>
    <w:p w14:paraId="668D4A00" w14:textId="77777777" w:rsidR="005B7147" w:rsidRPr="007A6659" w:rsidRDefault="00255029" w:rsidP="006878F2">
      <w:pPr>
        <w:spacing w:after="0" w:line="360" w:lineRule="atLeast"/>
        <w:jc w:val="center"/>
        <w:outlineLvl w:val="0"/>
        <w:rPr>
          <w:b/>
          <w:caps/>
          <w:sz w:val="26"/>
          <w:szCs w:val="26"/>
        </w:rPr>
      </w:pPr>
      <w:r w:rsidRPr="007A6659">
        <w:rPr>
          <w:b/>
          <w:sz w:val="26"/>
          <w:szCs w:val="26"/>
        </w:rPr>
        <w:t>CONCLUSION</w:t>
      </w:r>
    </w:p>
    <w:p w14:paraId="62C9EB53" w14:textId="77777777" w:rsidR="00C97699" w:rsidRPr="00C97699" w:rsidRDefault="00C97699" w:rsidP="006878F2">
      <w:pPr>
        <w:spacing w:after="0" w:line="360" w:lineRule="atLeast"/>
        <w:outlineLvl w:val="1"/>
        <w:rPr>
          <w:b/>
          <w:sz w:val="26"/>
          <w:szCs w:val="26"/>
        </w:rPr>
      </w:pPr>
      <w:r>
        <w:rPr>
          <w:b/>
          <w:sz w:val="26"/>
          <w:szCs w:val="26"/>
        </w:rPr>
        <w:t>Theoretical Contributions and Directions for Future Research</w:t>
      </w:r>
    </w:p>
    <w:p w14:paraId="7755C84F" w14:textId="381B4A24" w:rsidR="00C97699" w:rsidRDefault="00C97699" w:rsidP="00FF5068">
      <w:pPr>
        <w:spacing w:after="0" w:line="360" w:lineRule="exact"/>
        <w:ind w:firstLineChars="200" w:firstLine="520"/>
        <w:jc w:val="both"/>
        <w:rPr>
          <w:sz w:val="26"/>
          <w:szCs w:val="26"/>
        </w:rPr>
      </w:pPr>
      <w:r>
        <w:rPr>
          <w:sz w:val="26"/>
          <w:szCs w:val="26"/>
        </w:rPr>
        <w:t>We found in the case of Greenpeace</w:t>
      </w:r>
      <w:r w:rsidR="005B7147" w:rsidRPr="007A6659">
        <w:rPr>
          <w:sz w:val="26"/>
          <w:szCs w:val="26"/>
        </w:rPr>
        <w:t xml:space="preserve"> that </w:t>
      </w:r>
      <w:r>
        <w:rPr>
          <w:sz w:val="26"/>
          <w:szCs w:val="26"/>
        </w:rPr>
        <w:t xml:space="preserve">both formal and </w:t>
      </w:r>
      <w:r w:rsidR="005B7147" w:rsidRPr="007A6659">
        <w:rPr>
          <w:sz w:val="26"/>
          <w:szCs w:val="26"/>
        </w:rPr>
        <w:t xml:space="preserve">informal institutional environments </w:t>
      </w:r>
      <w:r w:rsidR="00DA0D2F">
        <w:rPr>
          <w:sz w:val="26"/>
          <w:szCs w:val="26"/>
        </w:rPr>
        <w:t>affect</w:t>
      </w:r>
      <w:r>
        <w:rPr>
          <w:sz w:val="26"/>
          <w:szCs w:val="26"/>
        </w:rPr>
        <w:t xml:space="preserve"> NGO strategy </w:t>
      </w:r>
      <w:r w:rsidR="005B7147" w:rsidRPr="007A6659">
        <w:rPr>
          <w:sz w:val="26"/>
          <w:szCs w:val="26"/>
        </w:rPr>
        <w:t xml:space="preserve">in </w:t>
      </w:r>
      <w:r>
        <w:rPr>
          <w:sz w:val="26"/>
          <w:szCs w:val="26"/>
        </w:rPr>
        <w:t>developed regions of the world</w:t>
      </w:r>
      <w:r w:rsidR="004A5BEC">
        <w:rPr>
          <w:sz w:val="26"/>
          <w:szCs w:val="26"/>
        </w:rPr>
        <w:t>, although</w:t>
      </w:r>
      <w:r w:rsidR="00C738F0">
        <w:rPr>
          <w:sz w:val="26"/>
          <w:szCs w:val="26"/>
        </w:rPr>
        <w:t xml:space="preserve"> since our findings are based on a single case,</w:t>
      </w:r>
      <w:r w:rsidR="004A5BEC">
        <w:rPr>
          <w:sz w:val="26"/>
          <w:szCs w:val="26"/>
        </w:rPr>
        <w:t xml:space="preserve"> generalizations </w:t>
      </w:r>
      <w:r w:rsidR="00C738F0">
        <w:rPr>
          <w:sz w:val="26"/>
          <w:szCs w:val="26"/>
        </w:rPr>
        <w:t xml:space="preserve">to other settings and situations </w:t>
      </w:r>
      <w:r w:rsidR="004A5BEC">
        <w:rPr>
          <w:sz w:val="26"/>
          <w:szCs w:val="26"/>
        </w:rPr>
        <w:t>should be made cautiously</w:t>
      </w:r>
      <w:r>
        <w:rPr>
          <w:sz w:val="26"/>
          <w:szCs w:val="26"/>
        </w:rPr>
        <w:t xml:space="preserve">.  </w:t>
      </w:r>
      <w:r w:rsidR="00C738F0">
        <w:rPr>
          <w:sz w:val="26"/>
          <w:szCs w:val="26"/>
        </w:rPr>
        <w:t>Formal and informal institutional pressures in the region(s) studied might explain the f</w:t>
      </w:r>
      <w:r>
        <w:rPr>
          <w:sz w:val="26"/>
          <w:szCs w:val="26"/>
        </w:rPr>
        <w:t>indings from the developed world that are not consistent with theory (e.g., Davis, et al., 2009)</w:t>
      </w:r>
      <w:r w:rsidR="005B7147" w:rsidRPr="007A6659">
        <w:rPr>
          <w:sz w:val="26"/>
          <w:szCs w:val="26"/>
        </w:rPr>
        <w:t xml:space="preserve">. </w:t>
      </w:r>
      <w:r>
        <w:rPr>
          <w:sz w:val="26"/>
          <w:szCs w:val="26"/>
        </w:rPr>
        <w:t>As in the Greenpeace case, w</w:t>
      </w:r>
      <w:r w:rsidR="005B7147" w:rsidRPr="007A6659">
        <w:rPr>
          <w:sz w:val="26"/>
          <w:szCs w:val="26"/>
        </w:rPr>
        <w:t>hen neither informal nor formal institutional environments support a goal, organizations in those environments</w:t>
      </w:r>
      <w:r w:rsidR="00C738F0">
        <w:rPr>
          <w:sz w:val="26"/>
          <w:szCs w:val="26"/>
        </w:rPr>
        <w:t>, both profit and non-profit,</w:t>
      </w:r>
      <w:r w:rsidR="005B7147" w:rsidRPr="007A6659">
        <w:rPr>
          <w:sz w:val="26"/>
          <w:szCs w:val="26"/>
        </w:rPr>
        <w:t xml:space="preserve"> are best served pursuing other goals or finding other environments</w:t>
      </w:r>
      <w:r w:rsidR="00C738F0">
        <w:rPr>
          <w:sz w:val="26"/>
          <w:szCs w:val="26"/>
        </w:rPr>
        <w:t>,</w:t>
      </w:r>
      <w:r w:rsidR="005B7147" w:rsidRPr="007A6659">
        <w:rPr>
          <w:sz w:val="26"/>
          <w:szCs w:val="26"/>
        </w:rPr>
        <w:t xml:space="preserve"> even in developed nations. </w:t>
      </w:r>
    </w:p>
    <w:p w14:paraId="30F273E3" w14:textId="7500BCB5" w:rsidR="005B7147" w:rsidRPr="007A6659" w:rsidRDefault="005B7147" w:rsidP="00FF5068">
      <w:pPr>
        <w:spacing w:after="0" w:line="360" w:lineRule="exact"/>
        <w:ind w:firstLineChars="200" w:firstLine="520"/>
        <w:jc w:val="both"/>
        <w:rPr>
          <w:sz w:val="26"/>
          <w:szCs w:val="26"/>
        </w:rPr>
      </w:pPr>
      <w:r w:rsidRPr="007A6659">
        <w:rPr>
          <w:sz w:val="26"/>
          <w:szCs w:val="26"/>
        </w:rPr>
        <w:t xml:space="preserve">The national units of Greenpeace in the two nations with similar formal institutional environments use strategies </w:t>
      </w:r>
      <w:r w:rsidR="00D75891" w:rsidRPr="007A6659">
        <w:rPr>
          <w:sz w:val="26"/>
          <w:szCs w:val="26"/>
        </w:rPr>
        <w:t xml:space="preserve">similar </w:t>
      </w:r>
      <w:r w:rsidR="00D75891">
        <w:rPr>
          <w:sz w:val="26"/>
          <w:szCs w:val="26"/>
        </w:rPr>
        <w:t>to those used by a unit with</w:t>
      </w:r>
      <w:r w:rsidRPr="007A6659">
        <w:rPr>
          <w:sz w:val="26"/>
          <w:szCs w:val="26"/>
        </w:rPr>
        <w:t xml:space="preserve"> a significantly different formal institutional environment. Variations in their informal institutional environments, however, </w:t>
      </w:r>
      <w:r w:rsidR="00C97699">
        <w:rPr>
          <w:sz w:val="26"/>
          <w:szCs w:val="26"/>
        </w:rPr>
        <w:t xml:space="preserve">appear to </w:t>
      </w:r>
      <w:r w:rsidRPr="007A6659">
        <w:rPr>
          <w:sz w:val="26"/>
          <w:szCs w:val="26"/>
        </w:rPr>
        <w:t>lead to a significant difference between the strategies o</w:t>
      </w:r>
      <w:r w:rsidR="00C97699">
        <w:rPr>
          <w:sz w:val="26"/>
          <w:szCs w:val="26"/>
        </w:rPr>
        <w:t>f the French and Spanish units.  C</w:t>
      </w:r>
      <w:r w:rsidRPr="007A6659">
        <w:rPr>
          <w:sz w:val="26"/>
          <w:szCs w:val="26"/>
        </w:rPr>
        <w:t>ontext matters</w:t>
      </w:r>
      <w:r w:rsidR="00CF14BB">
        <w:rPr>
          <w:sz w:val="26"/>
          <w:szCs w:val="26"/>
        </w:rPr>
        <w:t>,</w:t>
      </w:r>
      <w:r w:rsidR="00D3209D" w:rsidRPr="007A6659">
        <w:rPr>
          <w:sz w:val="26"/>
          <w:szCs w:val="26"/>
        </w:rPr>
        <w:t xml:space="preserve"> and institutional pressure </w:t>
      </w:r>
      <w:r w:rsidR="00C97699">
        <w:rPr>
          <w:sz w:val="26"/>
          <w:szCs w:val="26"/>
        </w:rPr>
        <w:t>is not necessarily consistent in the developed world</w:t>
      </w:r>
      <w:r w:rsidRPr="007A6659">
        <w:rPr>
          <w:sz w:val="26"/>
          <w:szCs w:val="26"/>
        </w:rPr>
        <w:t xml:space="preserve">. </w:t>
      </w:r>
      <w:r w:rsidR="007A3C23" w:rsidRPr="007A6659">
        <w:rPr>
          <w:sz w:val="26"/>
          <w:szCs w:val="26"/>
        </w:rPr>
        <w:t>While formal macropolitical structures have been shown to influence non-profit activity (</w:t>
      </w:r>
      <w:r w:rsidR="00A302EF" w:rsidRPr="007A6659">
        <w:rPr>
          <w:sz w:val="26"/>
          <w:szCs w:val="26"/>
        </w:rPr>
        <w:t>Bloodgood</w:t>
      </w:r>
      <w:r w:rsidR="007A3C23" w:rsidRPr="007A6659">
        <w:rPr>
          <w:sz w:val="26"/>
          <w:szCs w:val="26"/>
        </w:rPr>
        <w:t xml:space="preserve"> et al., 2013), our research demonstrates that i</w:t>
      </w:r>
      <w:r w:rsidR="00C97699">
        <w:rPr>
          <w:sz w:val="26"/>
          <w:szCs w:val="26"/>
        </w:rPr>
        <w:t>nformal institutional pressures</w:t>
      </w:r>
      <w:r w:rsidR="007A3C23" w:rsidRPr="007A6659">
        <w:rPr>
          <w:sz w:val="26"/>
          <w:szCs w:val="26"/>
        </w:rPr>
        <w:t xml:space="preserve"> may be just as significant. </w:t>
      </w:r>
      <w:r w:rsidR="00A302EF" w:rsidRPr="007A6659">
        <w:rPr>
          <w:sz w:val="26"/>
          <w:szCs w:val="26"/>
        </w:rPr>
        <w:t xml:space="preserve">Certainly, in the case of </w:t>
      </w:r>
      <w:r w:rsidR="00C97699">
        <w:rPr>
          <w:sz w:val="26"/>
          <w:szCs w:val="26"/>
        </w:rPr>
        <w:t>Greenpeace</w:t>
      </w:r>
      <w:r w:rsidR="00A302EF" w:rsidRPr="007A6659">
        <w:rPr>
          <w:sz w:val="26"/>
          <w:szCs w:val="26"/>
        </w:rPr>
        <w:t xml:space="preserve"> in United States, France</w:t>
      </w:r>
      <w:r w:rsidR="00321C10">
        <w:rPr>
          <w:sz w:val="26"/>
          <w:szCs w:val="26"/>
        </w:rPr>
        <w:t>,</w:t>
      </w:r>
      <w:r w:rsidR="00A302EF" w:rsidRPr="007A6659">
        <w:rPr>
          <w:sz w:val="26"/>
          <w:szCs w:val="26"/>
        </w:rPr>
        <w:t xml:space="preserve"> and Spain</w:t>
      </w:r>
      <w:r w:rsidR="00321C10">
        <w:rPr>
          <w:sz w:val="26"/>
          <w:szCs w:val="26"/>
        </w:rPr>
        <w:t>,</w:t>
      </w:r>
      <w:r w:rsidR="00A302EF" w:rsidRPr="007A6659">
        <w:rPr>
          <w:sz w:val="26"/>
          <w:szCs w:val="26"/>
        </w:rPr>
        <w:t xml:space="preserve"> formal </w:t>
      </w:r>
      <w:r w:rsidR="00C97699">
        <w:rPr>
          <w:sz w:val="26"/>
          <w:szCs w:val="26"/>
        </w:rPr>
        <w:t xml:space="preserve">and informal </w:t>
      </w:r>
      <w:r w:rsidR="00A302EF" w:rsidRPr="007A6659">
        <w:rPr>
          <w:sz w:val="26"/>
          <w:szCs w:val="26"/>
        </w:rPr>
        <w:t xml:space="preserve">institutional variation coincided with non-profit strategy. </w:t>
      </w:r>
      <w:r w:rsidR="00321C10">
        <w:rPr>
          <w:sz w:val="26"/>
          <w:szCs w:val="26"/>
        </w:rPr>
        <w:t>F</w:t>
      </w:r>
      <w:r w:rsidRPr="007A6659">
        <w:rPr>
          <w:sz w:val="26"/>
          <w:szCs w:val="26"/>
        </w:rPr>
        <w:t xml:space="preserve">uture studies </w:t>
      </w:r>
      <w:r w:rsidR="00321C10">
        <w:rPr>
          <w:sz w:val="26"/>
          <w:szCs w:val="26"/>
        </w:rPr>
        <w:t xml:space="preserve">should </w:t>
      </w:r>
      <w:r w:rsidRPr="007A6659">
        <w:rPr>
          <w:sz w:val="26"/>
          <w:szCs w:val="26"/>
        </w:rPr>
        <w:t xml:space="preserve">explore the interaction of formal macropolitical and micropolitical institutional forces and informal institutions, as this may reveal a more robust understanding of </w:t>
      </w:r>
      <w:r w:rsidR="00DB0E76" w:rsidRPr="007A6659">
        <w:rPr>
          <w:sz w:val="26"/>
          <w:szCs w:val="26"/>
        </w:rPr>
        <w:t>non-profit</w:t>
      </w:r>
      <w:r w:rsidRPr="007A6659">
        <w:rPr>
          <w:sz w:val="26"/>
          <w:szCs w:val="26"/>
        </w:rPr>
        <w:t xml:space="preserve"> </w:t>
      </w:r>
      <w:r w:rsidR="007A3C23" w:rsidRPr="007A6659">
        <w:rPr>
          <w:sz w:val="26"/>
          <w:szCs w:val="26"/>
        </w:rPr>
        <w:t>behavior</w:t>
      </w:r>
      <w:r w:rsidRPr="007A6659">
        <w:rPr>
          <w:sz w:val="26"/>
          <w:szCs w:val="26"/>
        </w:rPr>
        <w:t>.</w:t>
      </w:r>
    </w:p>
    <w:p w14:paraId="6054A899" w14:textId="497A1129" w:rsidR="005B7147" w:rsidRPr="007A6659" w:rsidRDefault="005B7147" w:rsidP="00FF5068">
      <w:pPr>
        <w:spacing w:after="0" w:line="360" w:lineRule="exact"/>
        <w:ind w:firstLineChars="200" w:firstLine="520"/>
        <w:jc w:val="both"/>
        <w:rPr>
          <w:sz w:val="26"/>
          <w:szCs w:val="26"/>
        </w:rPr>
      </w:pPr>
      <w:r w:rsidRPr="007A6659">
        <w:rPr>
          <w:sz w:val="26"/>
          <w:szCs w:val="26"/>
        </w:rPr>
        <w:t xml:space="preserve">Our study indicates </w:t>
      </w:r>
      <w:r w:rsidR="006B7A8F">
        <w:rPr>
          <w:sz w:val="26"/>
          <w:szCs w:val="26"/>
        </w:rPr>
        <w:t>that</w:t>
      </w:r>
      <w:r w:rsidR="006B7A8F" w:rsidRPr="007A6659">
        <w:rPr>
          <w:sz w:val="26"/>
          <w:szCs w:val="26"/>
        </w:rPr>
        <w:t xml:space="preserve"> Greenpeace </w:t>
      </w:r>
      <w:r w:rsidR="006B7A8F">
        <w:rPr>
          <w:sz w:val="26"/>
          <w:szCs w:val="26"/>
        </w:rPr>
        <w:t xml:space="preserve">is </w:t>
      </w:r>
      <w:r w:rsidRPr="007A6659">
        <w:rPr>
          <w:sz w:val="26"/>
          <w:szCs w:val="26"/>
        </w:rPr>
        <w:t xml:space="preserve">a sophisticated organization consisting of a central coordinating body </w:t>
      </w:r>
      <w:r w:rsidR="00A760CE">
        <w:rPr>
          <w:sz w:val="26"/>
          <w:szCs w:val="26"/>
        </w:rPr>
        <w:t>that organizes</w:t>
      </w:r>
      <w:r w:rsidRPr="007A6659">
        <w:rPr>
          <w:sz w:val="26"/>
          <w:szCs w:val="26"/>
        </w:rPr>
        <w:t xml:space="preserve"> global campaigns co-determined by national organizations. Simultaneously</w:t>
      </w:r>
      <w:r w:rsidR="00D23E42">
        <w:rPr>
          <w:sz w:val="26"/>
          <w:szCs w:val="26"/>
        </w:rPr>
        <w:t>,</w:t>
      </w:r>
      <w:r w:rsidRPr="007A6659">
        <w:rPr>
          <w:sz w:val="26"/>
          <w:szCs w:val="26"/>
        </w:rPr>
        <w:t xml:space="preserve"> the national organizations determine their own local strategic campaign</w:t>
      </w:r>
      <w:r w:rsidR="00295196">
        <w:rPr>
          <w:sz w:val="26"/>
          <w:szCs w:val="26"/>
        </w:rPr>
        <w:t>s</w:t>
      </w:r>
      <w:r w:rsidRPr="007A6659">
        <w:rPr>
          <w:sz w:val="26"/>
          <w:szCs w:val="26"/>
        </w:rPr>
        <w:t xml:space="preserve"> constrained by the requirement to implement at least two of the centrally</w:t>
      </w:r>
      <w:r w:rsidR="00295196">
        <w:rPr>
          <w:sz w:val="26"/>
          <w:szCs w:val="26"/>
        </w:rPr>
        <w:t xml:space="preserve"> determined</w:t>
      </w:r>
      <w:r w:rsidRPr="007A6659">
        <w:rPr>
          <w:sz w:val="26"/>
          <w:szCs w:val="26"/>
        </w:rPr>
        <w:t>, yet co-determined, campaigns. This arrangement, which we discuss</w:t>
      </w:r>
      <w:r w:rsidR="00202F9D">
        <w:rPr>
          <w:sz w:val="26"/>
          <w:szCs w:val="26"/>
        </w:rPr>
        <w:t>ed</w:t>
      </w:r>
      <w:r w:rsidRPr="007A6659">
        <w:rPr>
          <w:sz w:val="26"/>
          <w:szCs w:val="26"/>
        </w:rPr>
        <w:t xml:space="preserve"> in greater detail earlier in the paper, appears ripe for further investigation </w:t>
      </w:r>
      <w:r w:rsidR="008E026B" w:rsidRPr="007A6659">
        <w:rPr>
          <w:sz w:val="26"/>
          <w:szCs w:val="26"/>
        </w:rPr>
        <w:t>of international, global, multidomestic</w:t>
      </w:r>
      <w:r w:rsidR="008E026B">
        <w:rPr>
          <w:sz w:val="26"/>
          <w:szCs w:val="26"/>
        </w:rPr>
        <w:t>,</w:t>
      </w:r>
      <w:r w:rsidR="008E026B" w:rsidRPr="007A6659">
        <w:rPr>
          <w:sz w:val="26"/>
          <w:szCs w:val="26"/>
        </w:rPr>
        <w:t xml:space="preserve"> and transnational strategies</w:t>
      </w:r>
      <w:r w:rsidR="008E026B" w:rsidDel="008E026B">
        <w:rPr>
          <w:sz w:val="26"/>
          <w:szCs w:val="26"/>
        </w:rPr>
        <w:t xml:space="preserve"> </w:t>
      </w:r>
      <w:r w:rsidR="008E026B">
        <w:rPr>
          <w:sz w:val="26"/>
          <w:szCs w:val="26"/>
        </w:rPr>
        <w:t>(</w:t>
      </w:r>
      <w:r w:rsidRPr="007A6659">
        <w:rPr>
          <w:sz w:val="26"/>
          <w:szCs w:val="26"/>
        </w:rPr>
        <w:t xml:space="preserve">Bartlett </w:t>
      </w:r>
      <w:r w:rsidR="008E026B">
        <w:rPr>
          <w:sz w:val="26"/>
          <w:szCs w:val="26"/>
        </w:rPr>
        <w:t>&amp;</w:t>
      </w:r>
      <w:r w:rsidR="008E026B" w:rsidRPr="007A6659">
        <w:rPr>
          <w:sz w:val="26"/>
          <w:szCs w:val="26"/>
        </w:rPr>
        <w:t xml:space="preserve"> </w:t>
      </w:r>
      <w:r w:rsidRPr="007A6659">
        <w:rPr>
          <w:sz w:val="26"/>
          <w:szCs w:val="26"/>
        </w:rPr>
        <w:t>Ghoshal</w:t>
      </w:r>
      <w:r w:rsidR="008E026B">
        <w:rPr>
          <w:sz w:val="26"/>
          <w:szCs w:val="26"/>
        </w:rPr>
        <w:t>, 2002</w:t>
      </w:r>
      <w:r w:rsidRPr="007A6659">
        <w:rPr>
          <w:sz w:val="26"/>
          <w:szCs w:val="26"/>
        </w:rPr>
        <w:t>). Greenpeace as an organization may represent the archetype transnational, an idealized MNE strategy</w:t>
      </w:r>
      <w:r w:rsidR="001F59E4" w:rsidRPr="007A6659">
        <w:rPr>
          <w:sz w:val="26"/>
          <w:szCs w:val="26"/>
        </w:rPr>
        <w:t xml:space="preserve"> of locally-focused initiatives that leverage global opportunities,</w:t>
      </w:r>
      <w:r w:rsidRPr="007A6659">
        <w:rPr>
          <w:sz w:val="26"/>
          <w:szCs w:val="26"/>
        </w:rPr>
        <w:t xml:space="preserve"> </w:t>
      </w:r>
      <w:r w:rsidR="000F466C">
        <w:rPr>
          <w:sz w:val="26"/>
          <w:szCs w:val="26"/>
        </w:rPr>
        <w:t>which</w:t>
      </w:r>
      <w:r w:rsidR="000F466C" w:rsidRPr="007A6659">
        <w:rPr>
          <w:sz w:val="26"/>
          <w:szCs w:val="26"/>
        </w:rPr>
        <w:t xml:space="preserve"> </w:t>
      </w:r>
      <w:r w:rsidRPr="007A6659">
        <w:rPr>
          <w:sz w:val="26"/>
          <w:szCs w:val="26"/>
        </w:rPr>
        <w:t xml:space="preserve">is quite elusive in the for-profit world (Rothaermel, 2013).  </w:t>
      </w:r>
      <w:r w:rsidR="00671728" w:rsidRPr="007A6659">
        <w:rPr>
          <w:sz w:val="26"/>
          <w:szCs w:val="26"/>
        </w:rPr>
        <w:t xml:space="preserve">Recent evidence (Nesbit &amp; Lam, 2014) </w:t>
      </w:r>
      <w:r w:rsidR="000F466C">
        <w:rPr>
          <w:sz w:val="26"/>
          <w:szCs w:val="26"/>
        </w:rPr>
        <w:t>have suggested</w:t>
      </w:r>
      <w:r w:rsidR="000F466C" w:rsidRPr="007A6659">
        <w:rPr>
          <w:sz w:val="26"/>
          <w:szCs w:val="26"/>
        </w:rPr>
        <w:t xml:space="preserve"> </w:t>
      </w:r>
      <w:r w:rsidR="00671728" w:rsidRPr="007A6659">
        <w:rPr>
          <w:sz w:val="26"/>
          <w:szCs w:val="26"/>
        </w:rPr>
        <w:t xml:space="preserve">that non-profits may have difficulty adopting new concepts.  </w:t>
      </w:r>
      <w:r w:rsidRPr="007A6659">
        <w:rPr>
          <w:sz w:val="26"/>
          <w:szCs w:val="26"/>
        </w:rPr>
        <w:t xml:space="preserve">As such, both non-profits and for-profits have much to learn from how Greenpeace operates.  </w:t>
      </w:r>
      <w:r w:rsidR="00DC2A5E">
        <w:rPr>
          <w:sz w:val="26"/>
          <w:szCs w:val="26"/>
        </w:rPr>
        <w:t>Further research should include</w:t>
      </w:r>
      <w:r w:rsidRPr="007A6659">
        <w:rPr>
          <w:sz w:val="26"/>
          <w:szCs w:val="26"/>
        </w:rPr>
        <w:t xml:space="preserve"> additional </w:t>
      </w:r>
      <w:r w:rsidR="00DB0E76" w:rsidRPr="007A6659">
        <w:rPr>
          <w:sz w:val="26"/>
          <w:szCs w:val="26"/>
        </w:rPr>
        <w:t>non-profit</w:t>
      </w:r>
      <w:r w:rsidRPr="007A6659">
        <w:rPr>
          <w:sz w:val="26"/>
          <w:szCs w:val="26"/>
        </w:rPr>
        <w:t xml:space="preserve">s to ascertain strategic types and possible solutions for profit-oriented MNEs to </w:t>
      </w:r>
      <w:r w:rsidR="00A15D23">
        <w:rPr>
          <w:sz w:val="26"/>
          <w:szCs w:val="26"/>
        </w:rPr>
        <w:t>compete</w:t>
      </w:r>
      <w:r w:rsidR="00A15D23" w:rsidRPr="007A6659">
        <w:rPr>
          <w:sz w:val="26"/>
          <w:szCs w:val="26"/>
        </w:rPr>
        <w:t xml:space="preserve"> </w:t>
      </w:r>
      <w:r w:rsidRPr="007A6659">
        <w:rPr>
          <w:sz w:val="26"/>
          <w:szCs w:val="26"/>
        </w:rPr>
        <w:t xml:space="preserve">in their quest </w:t>
      </w:r>
      <w:r w:rsidR="00A15D23">
        <w:rPr>
          <w:sz w:val="26"/>
          <w:szCs w:val="26"/>
        </w:rPr>
        <w:t>for</w:t>
      </w:r>
      <w:r w:rsidR="00A15D23" w:rsidRPr="007A6659">
        <w:rPr>
          <w:sz w:val="26"/>
          <w:szCs w:val="26"/>
        </w:rPr>
        <w:t xml:space="preserve"> </w:t>
      </w:r>
      <w:r w:rsidRPr="007A6659">
        <w:rPr>
          <w:sz w:val="26"/>
          <w:szCs w:val="26"/>
        </w:rPr>
        <w:t xml:space="preserve">global </w:t>
      </w:r>
      <w:r w:rsidR="00A15D23" w:rsidRPr="007A6659">
        <w:rPr>
          <w:sz w:val="26"/>
          <w:szCs w:val="26"/>
        </w:rPr>
        <w:t>integrat</w:t>
      </w:r>
      <w:r w:rsidR="00A15D23">
        <w:rPr>
          <w:sz w:val="26"/>
          <w:szCs w:val="26"/>
        </w:rPr>
        <w:t>ion</w:t>
      </w:r>
      <w:r w:rsidR="00A15D23" w:rsidRPr="007A6659">
        <w:rPr>
          <w:sz w:val="26"/>
          <w:szCs w:val="26"/>
        </w:rPr>
        <w:t xml:space="preserve"> </w:t>
      </w:r>
      <w:r w:rsidRPr="007A6659">
        <w:rPr>
          <w:sz w:val="26"/>
          <w:szCs w:val="26"/>
        </w:rPr>
        <w:t xml:space="preserve">and </w:t>
      </w:r>
      <w:r w:rsidR="00A15D23">
        <w:rPr>
          <w:sz w:val="26"/>
          <w:szCs w:val="26"/>
        </w:rPr>
        <w:t>local responsiveness</w:t>
      </w:r>
      <w:r w:rsidRPr="007A6659">
        <w:rPr>
          <w:sz w:val="26"/>
          <w:szCs w:val="26"/>
        </w:rPr>
        <w:t>.</w:t>
      </w:r>
      <w:r w:rsidR="00755210" w:rsidRPr="007A6659">
        <w:rPr>
          <w:sz w:val="26"/>
          <w:szCs w:val="26"/>
        </w:rPr>
        <w:t xml:space="preserve">  Prior work on the different constraints </w:t>
      </w:r>
      <w:r w:rsidR="00A15D23">
        <w:rPr>
          <w:sz w:val="26"/>
          <w:szCs w:val="26"/>
        </w:rPr>
        <w:t>affecting</w:t>
      </w:r>
      <w:r w:rsidR="00A15D23" w:rsidRPr="007A6659">
        <w:rPr>
          <w:sz w:val="26"/>
          <w:szCs w:val="26"/>
        </w:rPr>
        <w:t xml:space="preserve"> </w:t>
      </w:r>
      <w:r w:rsidR="00755210" w:rsidRPr="007A6659">
        <w:rPr>
          <w:sz w:val="26"/>
          <w:szCs w:val="26"/>
        </w:rPr>
        <w:t xml:space="preserve">decisions </w:t>
      </w:r>
      <w:r w:rsidR="00A15D23">
        <w:rPr>
          <w:sz w:val="26"/>
          <w:szCs w:val="26"/>
        </w:rPr>
        <w:t>of</w:t>
      </w:r>
      <w:r w:rsidR="00A15D23" w:rsidRPr="007A6659">
        <w:rPr>
          <w:sz w:val="26"/>
          <w:szCs w:val="26"/>
        </w:rPr>
        <w:t xml:space="preserve"> </w:t>
      </w:r>
      <w:r w:rsidR="00755210" w:rsidRPr="007A6659">
        <w:rPr>
          <w:sz w:val="26"/>
          <w:szCs w:val="26"/>
        </w:rPr>
        <w:t xml:space="preserve">non-profits and for-profits (e.g., </w:t>
      </w:r>
      <w:r w:rsidR="00640FA7">
        <w:rPr>
          <w:sz w:val="26"/>
          <w:szCs w:val="26"/>
        </w:rPr>
        <w:t>Hull &amp; Lio, 2006</w:t>
      </w:r>
      <w:r w:rsidR="00755210" w:rsidRPr="007A6659">
        <w:rPr>
          <w:sz w:val="26"/>
          <w:szCs w:val="26"/>
        </w:rPr>
        <w:t xml:space="preserve">) has suggested that for-profits </w:t>
      </w:r>
      <w:r w:rsidR="008E026B">
        <w:rPr>
          <w:sz w:val="26"/>
          <w:szCs w:val="26"/>
        </w:rPr>
        <w:t xml:space="preserve">have an advantage over non-profits </w:t>
      </w:r>
      <w:r w:rsidR="00755210" w:rsidRPr="007A6659">
        <w:rPr>
          <w:sz w:val="26"/>
          <w:szCs w:val="26"/>
        </w:rPr>
        <w:t>with respect to innovation</w:t>
      </w:r>
      <w:r w:rsidR="00462101" w:rsidRPr="007A6659">
        <w:rPr>
          <w:sz w:val="26"/>
          <w:szCs w:val="26"/>
        </w:rPr>
        <w:t>, as the profit motive makes it easier for companies to pursue innovation</w:t>
      </w:r>
      <w:r w:rsidR="00A15D23">
        <w:rPr>
          <w:sz w:val="26"/>
          <w:szCs w:val="26"/>
        </w:rPr>
        <w:t xml:space="preserve"> to achieve desired outcome</w:t>
      </w:r>
      <w:r w:rsidR="00755210" w:rsidRPr="007A6659">
        <w:rPr>
          <w:sz w:val="26"/>
          <w:szCs w:val="26"/>
        </w:rPr>
        <w:t xml:space="preserve">.  </w:t>
      </w:r>
      <w:r w:rsidR="00A15D23">
        <w:rPr>
          <w:sz w:val="26"/>
          <w:szCs w:val="26"/>
        </w:rPr>
        <w:t>However,</w:t>
      </w:r>
      <w:r w:rsidR="00A15D23" w:rsidRPr="007A6659">
        <w:rPr>
          <w:sz w:val="26"/>
          <w:szCs w:val="26"/>
        </w:rPr>
        <w:t xml:space="preserve"> </w:t>
      </w:r>
      <w:r w:rsidR="00755210" w:rsidRPr="007A6659">
        <w:rPr>
          <w:sz w:val="26"/>
          <w:szCs w:val="26"/>
        </w:rPr>
        <w:t xml:space="preserve">while making a profit may </w:t>
      </w:r>
      <w:r w:rsidR="00462101" w:rsidRPr="007A6659">
        <w:rPr>
          <w:sz w:val="26"/>
          <w:szCs w:val="26"/>
        </w:rPr>
        <w:t>help companies innovate</w:t>
      </w:r>
      <w:r w:rsidR="00BF65C2" w:rsidRPr="007A6659">
        <w:rPr>
          <w:sz w:val="26"/>
          <w:szCs w:val="26"/>
        </w:rPr>
        <w:t xml:space="preserve">, </w:t>
      </w:r>
      <w:r w:rsidR="00A15D23">
        <w:rPr>
          <w:sz w:val="26"/>
          <w:szCs w:val="26"/>
        </w:rPr>
        <w:t>prioritizing</w:t>
      </w:r>
      <w:r w:rsidR="00BF65C2" w:rsidRPr="007A6659">
        <w:rPr>
          <w:sz w:val="26"/>
          <w:szCs w:val="26"/>
        </w:rPr>
        <w:t xml:space="preserve"> </w:t>
      </w:r>
      <w:r w:rsidR="00755210" w:rsidRPr="007A6659">
        <w:rPr>
          <w:sz w:val="26"/>
          <w:szCs w:val="26"/>
        </w:rPr>
        <w:t>non-financial goal</w:t>
      </w:r>
      <w:r w:rsidR="00BF65C2" w:rsidRPr="007A6659">
        <w:rPr>
          <w:sz w:val="26"/>
          <w:szCs w:val="26"/>
        </w:rPr>
        <w:t>s</w:t>
      </w:r>
      <w:r w:rsidR="00755210" w:rsidRPr="007A6659">
        <w:rPr>
          <w:sz w:val="26"/>
          <w:szCs w:val="26"/>
        </w:rPr>
        <w:t xml:space="preserve"> may </w:t>
      </w:r>
      <w:r w:rsidR="00462101" w:rsidRPr="007A6659">
        <w:rPr>
          <w:sz w:val="26"/>
          <w:szCs w:val="26"/>
        </w:rPr>
        <w:t>yield non-profit</w:t>
      </w:r>
      <w:r w:rsidR="00A15D23" w:rsidRPr="00A15D23">
        <w:rPr>
          <w:sz w:val="26"/>
          <w:szCs w:val="26"/>
        </w:rPr>
        <w:t xml:space="preserve"> </w:t>
      </w:r>
      <w:r w:rsidR="00A15D23">
        <w:rPr>
          <w:sz w:val="26"/>
          <w:szCs w:val="26"/>
        </w:rPr>
        <w:t>gains</w:t>
      </w:r>
      <w:r w:rsidR="00A15D23" w:rsidRPr="00A15D23">
        <w:rPr>
          <w:sz w:val="26"/>
          <w:szCs w:val="26"/>
        </w:rPr>
        <w:t xml:space="preserve"> </w:t>
      </w:r>
      <w:r w:rsidR="00A15D23" w:rsidRPr="007A6659">
        <w:rPr>
          <w:sz w:val="26"/>
          <w:szCs w:val="26"/>
        </w:rPr>
        <w:t>in pursuing a transnational strategy</w:t>
      </w:r>
      <w:r w:rsidR="00462101" w:rsidRPr="007A6659">
        <w:rPr>
          <w:sz w:val="26"/>
          <w:szCs w:val="26"/>
        </w:rPr>
        <w:t>,</w:t>
      </w:r>
      <w:r w:rsidR="00A15D23">
        <w:rPr>
          <w:sz w:val="26"/>
          <w:szCs w:val="26"/>
        </w:rPr>
        <w:t xml:space="preserve"> </w:t>
      </w:r>
      <w:r w:rsidR="00462101" w:rsidRPr="007A6659">
        <w:rPr>
          <w:sz w:val="26"/>
          <w:szCs w:val="26"/>
        </w:rPr>
        <w:t xml:space="preserve">such as </w:t>
      </w:r>
      <w:r w:rsidR="00A15D23">
        <w:rPr>
          <w:sz w:val="26"/>
          <w:szCs w:val="26"/>
        </w:rPr>
        <w:t xml:space="preserve">in the case of </w:t>
      </w:r>
      <w:r w:rsidR="00462101" w:rsidRPr="007A6659">
        <w:rPr>
          <w:sz w:val="26"/>
          <w:szCs w:val="26"/>
        </w:rPr>
        <w:t>Greenpeace</w:t>
      </w:r>
      <w:r w:rsidR="00234EB9" w:rsidRPr="007A6659">
        <w:rPr>
          <w:sz w:val="26"/>
          <w:szCs w:val="26"/>
        </w:rPr>
        <w:t xml:space="preserve">.  </w:t>
      </w:r>
      <w:r w:rsidR="001F59E4" w:rsidRPr="007A6659">
        <w:rPr>
          <w:sz w:val="26"/>
          <w:szCs w:val="26"/>
        </w:rPr>
        <w:t xml:space="preserve">Without profits at stake, it may be easier to trust divisions in other parts of the world </w:t>
      </w:r>
      <w:r w:rsidR="00A15D23">
        <w:rPr>
          <w:sz w:val="26"/>
          <w:szCs w:val="26"/>
        </w:rPr>
        <w:t>and</w:t>
      </w:r>
      <w:r w:rsidR="001F59E4" w:rsidRPr="007A6659">
        <w:rPr>
          <w:sz w:val="26"/>
          <w:szCs w:val="26"/>
        </w:rPr>
        <w:t xml:space="preserve"> understand how</w:t>
      </w:r>
      <w:r w:rsidR="00A15D23">
        <w:rPr>
          <w:sz w:val="26"/>
          <w:szCs w:val="26"/>
        </w:rPr>
        <w:t xml:space="preserve"> </w:t>
      </w:r>
      <w:r w:rsidR="001F59E4" w:rsidRPr="007A6659">
        <w:rPr>
          <w:sz w:val="26"/>
          <w:szCs w:val="26"/>
        </w:rPr>
        <w:t>to pursue the same overall vision</w:t>
      </w:r>
      <w:r w:rsidR="00A231A5" w:rsidRPr="007A6659">
        <w:rPr>
          <w:sz w:val="26"/>
          <w:szCs w:val="26"/>
        </w:rPr>
        <w:t xml:space="preserve"> in the context of different institutional pressures</w:t>
      </w:r>
      <w:r w:rsidR="00A15D23">
        <w:rPr>
          <w:sz w:val="26"/>
          <w:szCs w:val="26"/>
        </w:rPr>
        <w:t xml:space="preserve"> at local levels</w:t>
      </w:r>
      <w:r w:rsidR="001F59E4" w:rsidRPr="007A6659">
        <w:rPr>
          <w:sz w:val="26"/>
          <w:szCs w:val="26"/>
        </w:rPr>
        <w:t>.  Further research in this area is needed.</w:t>
      </w:r>
    </w:p>
    <w:p w14:paraId="2AD4ED52" w14:textId="7C178209" w:rsidR="005B7147" w:rsidRPr="007A6659" w:rsidRDefault="005B7147" w:rsidP="00FF5068">
      <w:pPr>
        <w:spacing w:after="0" w:line="360" w:lineRule="exact"/>
        <w:ind w:firstLineChars="200" w:firstLine="520"/>
        <w:jc w:val="both"/>
        <w:rPr>
          <w:sz w:val="26"/>
          <w:szCs w:val="26"/>
        </w:rPr>
      </w:pPr>
      <w:r w:rsidRPr="007A6659">
        <w:rPr>
          <w:sz w:val="26"/>
          <w:szCs w:val="26"/>
        </w:rPr>
        <w:t xml:space="preserve">We also </w:t>
      </w:r>
      <w:r w:rsidR="008E026B">
        <w:rPr>
          <w:sz w:val="26"/>
          <w:szCs w:val="26"/>
        </w:rPr>
        <w:t>hope to see more</w:t>
      </w:r>
      <w:r w:rsidRPr="007A6659">
        <w:rPr>
          <w:sz w:val="26"/>
          <w:szCs w:val="26"/>
        </w:rPr>
        <w:t xml:space="preserve"> </w:t>
      </w:r>
      <w:r w:rsidR="00C97699">
        <w:rPr>
          <w:sz w:val="26"/>
          <w:szCs w:val="26"/>
        </w:rPr>
        <w:t xml:space="preserve">studies </w:t>
      </w:r>
      <w:r w:rsidR="008E026B">
        <w:rPr>
          <w:sz w:val="26"/>
          <w:szCs w:val="26"/>
        </w:rPr>
        <w:t xml:space="preserve">that </w:t>
      </w:r>
      <w:r w:rsidR="00C97699">
        <w:rPr>
          <w:sz w:val="26"/>
          <w:szCs w:val="26"/>
        </w:rPr>
        <w:t xml:space="preserve">examine the efficacy of </w:t>
      </w:r>
      <w:r w:rsidR="008E026B">
        <w:rPr>
          <w:sz w:val="26"/>
          <w:szCs w:val="26"/>
        </w:rPr>
        <w:t xml:space="preserve">non-profit </w:t>
      </w:r>
      <w:r w:rsidRPr="007A6659">
        <w:rPr>
          <w:sz w:val="26"/>
          <w:szCs w:val="26"/>
        </w:rPr>
        <w:t>organizational structure</w:t>
      </w:r>
      <w:r w:rsidR="008E026B">
        <w:rPr>
          <w:sz w:val="26"/>
          <w:szCs w:val="26"/>
        </w:rPr>
        <w:t>s such as the transnational one we found</w:t>
      </w:r>
      <w:r w:rsidRPr="007A6659">
        <w:rPr>
          <w:sz w:val="26"/>
          <w:szCs w:val="26"/>
        </w:rPr>
        <w:t xml:space="preserve">. While our study </w:t>
      </w:r>
      <w:r w:rsidR="00B56505">
        <w:rPr>
          <w:sz w:val="26"/>
          <w:szCs w:val="26"/>
        </w:rPr>
        <w:t>shows that</w:t>
      </w:r>
      <w:r w:rsidR="00B56505" w:rsidRPr="007A6659">
        <w:rPr>
          <w:sz w:val="26"/>
          <w:szCs w:val="26"/>
        </w:rPr>
        <w:t xml:space="preserve"> </w:t>
      </w:r>
      <w:r w:rsidRPr="007A6659">
        <w:rPr>
          <w:sz w:val="26"/>
          <w:szCs w:val="26"/>
        </w:rPr>
        <w:t xml:space="preserve">the structure of Greenpeace facilitates the responsiveness of the organization to national and regional institutional constructs, it does not address the effectiveness of those decisions. </w:t>
      </w:r>
      <w:r w:rsidR="00BF1490" w:rsidRPr="007A6659">
        <w:rPr>
          <w:sz w:val="26"/>
          <w:szCs w:val="26"/>
        </w:rPr>
        <w:t xml:space="preserve"> </w:t>
      </w:r>
      <w:r w:rsidR="001E7595" w:rsidRPr="007A6659">
        <w:rPr>
          <w:sz w:val="26"/>
          <w:szCs w:val="26"/>
        </w:rPr>
        <w:t xml:space="preserve">Rost and </w:t>
      </w:r>
      <w:r w:rsidR="008F0F60">
        <w:rPr>
          <w:sz w:val="26"/>
          <w:szCs w:val="26"/>
        </w:rPr>
        <w:t>Graetzer</w:t>
      </w:r>
      <w:r w:rsidR="001E7595" w:rsidRPr="007A6659">
        <w:rPr>
          <w:sz w:val="26"/>
          <w:szCs w:val="26"/>
        </w:rPr>
        <w:t>’s (2014) recent study of Catholic Orders provides a robust argument for the importance of structure in non-profits.</w:t>
      </w:r>
      <w:r w:rsidR="00BF1490" w:rsidRPr="007A6659">
        <w:rPr>
          <w:sz w:val="26"/>
          <w:szCs w:val="26"/>
        </w:rPr>
        <w:t xml:space="preserve"> </w:t>
      </w:r>
      <w:r w:rsidRPr="007A6659">
        <w:rPr>
          <w:sz w:val="26"/>
          <w:szCs w:val="26"/>
        </w:rPr>
        <w:t xml:space="preserve">A comparison of how </w:t>
      </w:r>
      <w:r w:rsidR="00DB0E76" w:rsidRPr="007A6659">
        <w:rPr>
          <w:sz w:val="26"/>
          <w:szCs w:val="26"/>
        </w:rPr>
        <w:t>non-profit</w:t>
      </w:r>
      <w:r w:rsidRPr="007A6659">
        <w:rPr>
          <w:sz w:val="26"/>
          <w:szCs w:val="26"/>
        </w:rPr>
        <w:t>s with differing organizational structures approach national responsiveness may yield an understanding of organizational effectiveness.</w:t>
      </w:r>
    </w:p>
    <w:p w14:paraId="45A1204E" w14:textId="7E792EB5" w:rsidR="00F33101" w:rsidRPr="007A6659" w:rsidRDefault="005B7147" w:rsidP="00FF5068">
      <w:pPr>
        <w:spacing w:after="0" w:line="360" w:lineRule="exact"/>
        <w:ind w:firstLineChars="200" w:firstLine="520"/>
        <w:jc w:val="both"/>
        <w:rPr>
          <w:sz w:val="26"/>
          <w:szCs w:val="26"/>
        </w:rPr>
      </w:pPr>
      <w:r w:rsidRPr="007A6659">
        <w:rPr>
          <w:sz w:val="26"/>
          <w:szCs w:val="26"/>
        </w:rPr>
        <w:t xml:space="preserve">Though our </w:t>
      </w:r>
      <w:r w:rsidR="00C97699">
        <w:rPr>
          <w:sz w:val="26"/>
          <w:szCs w:val="26"/>
        </w:rPr>
        <w:t xml:space="preserve">case </w:t>
      </w:r>
      <w:r w:rsidRPr="007A6659">
        <w:rPr>
          <w:sz w:val="26"/>
          <w:szCs w:val="26"/>
        </w:rPr>
        <w:t xml:space="preserve">study </w:t>
      </w:r>
      <w:r w:rsidR="00B56505" w:rsidRPr="007A6659">
        <w:rPr>
          <w:sz w:val="26"/>
          <w:szCs w:val="26"/>
        </w:rPr>
        <w:t>involve</w:t>
      </w:r>
      <w:r w:rsidR="00B56505">
        <w:rPr>
          <w:sz w:val="26"/>
          <w:szCs w:val="26"/>
        </w:rPr>
        <w:t>d</w:t>
      </w:r>
      <w:r w:rsidR="00B56505" w:rsidRPr="007A6659">
        <w:rPr>
          <w:sz w:val="26"/>
          <w:szCs w:val="26"/>
        </w:rPr>
        <w:t xml:space="preserve"> </w:t>
      </w:r>
      <w:r w:rsidRPr="007A6659">
        <w:rPr>
          <w:sz w:val="26"/>
          <w:szCs w:val="26"/>
        </w:rPr>
        <w:t xml:space="preserve">a single </w:t>
      </w:r>
      <w:r w:rsidR="00DB0E76" w:rsidRPr="007A6659">
        <w:rPr>
          <w:sz w:val="26"/>
          <w:szCs w:val="26"/>
        </w:rPr>
        <w:t>non-profit</w:t>
      </w:r>
      <w:r w:rsidRPr="007A6659">
        <w:rPr>
          <w:sz w:val="26"/>
          <w:szCs w:val="26"/>
        </w:rPr>
        <w:t xml:space="preserve">, it </w:t>
      </w:r>
      <w:r w:rsidR="00F33101" w:rsidRPr="007A6659">
        <w:rPr>
          <w:sz w:val="26"/>
          <w:szCs w:val="26"/>
        </w:rPr>
        <w:t>helps illuminate how</w:t>
      </w:r>
      <w:r w:rsidRPr="007A6659">
        <w:rPr>
          <w:sz w:val="26"/>
          <w:szCs w:val="26"/>
        </w:rPr>
        <w:t xml:space="preserve"> institutional theory applies </w:t>
      </w:r>
      <w:r w:rsidR="00F33101" w:rsidRPr="007A6659">
        <w:rPr>
          <w:sz w:val="26"/>
          <w:szCs w:val="26"/>
        </w:rPr>
        <w:t xml:space="preserve">to non-profits </w:t>
      </w:r>
      <w:r w:rsidRPr="007A6659">
        <w:rPr>
          <w:sz w:val="26"/>
          <w:szCs w:val="26"/>
        </w:rPr>
        <w:t xml:space="preserve">in developed nations. Perhaps developed nations have not </w:t>
      </w:r>
      <w:r w:rsidR="00B56505">
        <w:rPr>
          <w:sz w:val="26"/>
          <w:szCs w:val="26"/>
        </w:rPr>
        <w:t>evolved</w:t>
      </w:r>
      <w:r w:rsidR="00B56505" w:rsidRPr="007A6659">
        <w:rPr>
          <w:sz w:val="26"/>
          <w:szCs w:val="26"/>
        </w:rPr>
        <w:t xml:space="preserve"> </w:t>
      </w:r>
      <w:r w:rsidRPr="007A6659">
        <w:rPr>
          <w:sz w:val="26"/>
          <w:szCs w:val="26"/>
        </w:rPr>
        <w:t xml:space="preserve">in the same way, such that even if they are efficient, they are not equally efficient at all things or in the same ways (c.f., Minkov &amp; Hofstede, 2011). </w:t>
      </w:r>
      <w:r w:rsidR="00F33101" w:rsidRPr="007A6659">
        <w:rPr>
          <w:sz w:val="26"/>
          <w:szCs w:val="26"/>
        </w:rPr>
        <w:t>Wu and Ying (2016) suggest</w:t>
      </w:r>
      <w:r w:rsidR="00B56505">
        <w:rPr>
          <w:sz w:val="26"/>
          <w:szCs w:val="26"/>
        </w:rPr>
        <w:t>ed</w:t>
      </w:r>
      <w:r w:rsidR="00F33101" w:rsidRPr="007A6659">
        <w:rPr>
          <w:sz w:val="26"/>
          <w:szCs w:val="26"/>
        </w:rPr>
        <w:t xml:space="preserve"> that there is a need to adapt to local institutional pressures in China, and we </w:t>
      </w:r>
      <w:r w:rsidR="00B56505">
        <w:rPr>
          <w:sz w:val="26"/>
          <w:szCs w:val="26"/>
        </w:rPr>
        <w:t>argue</w:t>
      </w:r>
      <w:r w:rsidR="00B56505" w:rsidRPr="007A6659">
        <w:rPr>
          <w:sz w:val="26"/>
          <w:szCs w:val="26"/>
        </w:rPr>
        <w:t xml:space="preserve"> </w:t>
      </w:r>
      <w:r w:rsidR="00F33101" w:rsidRPr="007A6659">
        <w:rPr>
          <w:sz w:val="26"/>
          <w:szCs w:val="26"/>
        </w:rPr>
        <w:t xml:space="preserve">that this is true in all countries, which is why the transnational strategy has so much potential.  </w:t>
      </w:r>
    </w:p>
    <w:p w14:paraId="51612F0B" w14:textId="1CAD8046" w:rsidR="005B7147" w:rsidRPr="007A6659" w:rsidRDefault="005B7147" w:rsidP="00FF5068">
      <w:pPr>
        <w:spacing w:after="0" w:line="360" w:lineRule="exact"/>
        <w:ind w:firstLineChars="200" w:firstLine="520"/>
        <w:jc w:val="both"/>
        <w:rPr>
          <w:sz w:val="26"/>
          <w:szCs w:val="26"/>
        </w:rPr>
      </w:pPr>
      <w:r w:rsidRPr="007A6659">
        <w:rPr>
          <w:sz w:val="26"/>
          <w:szCs w:val="26"/>
        </w:rPr>
        <w:t xml:space="preserve">The social rationality approach in the EU and the scientific rationality approach in the US may affect the introduction of other new technologies, but the </w:t>
      </w:r>
      <w:r w:rsidR="00B56505">
        <w:rPr>
          <w:sz w:val="26"/>
          <w:szCs w:val="26"/>
        </w:rPr>
        <w:t>finding</w:t>
      </w:r>
      <w:r w:rsidR="00B56505" w:rsidRPr="007A6659">
        <w:rPr>
          <w:sz w:val="26"/>
          <w:szCs w:val="26"/>
        </w:rPr>
        <w:t xml:space="preserve"> </w:t>
      </w:r>
      <w:r w:rsidRPr="007A6659">
        <w:rPr>
          <w:sz w:val="26"/>
          <w:szCs w:val="26"/>
        </w:rPr>
        <w:t xml:space="preserve">that institutional theory applies </w:t>
      </w:r>
      <w:r w:rsidR="00B56505">
        <w:rPr>
          <w:sz w:val="26"/>
          <w:szCs w:val="26"/>
        </w:rPr>
        <w:t>to</w:t>
      </w:r>
      <w:r w:rsidR="00B56505" w:rsidRPr="007A6659">
        <w:rPr>
          <w:sz w:val="26"/>
          <w:szCs w:val="26"/>
        </w:rPr>
        <w:t xml:space="preserve"> </w:t>
      </w:r>
      <w:r w:rsidRPr="007A6659">
        <w:rPr>
          <w:sz w:val="26"/>
          <w:szCs w:val="26"/>
        </w:rPr>
        <w:t xml:space="preserve">all nations and regions regardless of development status means that institutional theory should be considered a universal theory (c.f., Peng et al., 2009). Although this study </w:t>
      </w:r>
      <w:r w:rsidR="00B56505" w:rsidRPr="007A6659">
        <w:rPr>
          <w:sz w:val="26"/>
          <w:szCs w:val="26"/>
        </w:rPr>
        <w:t>addresse</w:t>
      </w:r>
      <w:r w:rsidR="00B56505">
        <w:rPr>
          <w:sz w:val="26"/>
          <w:szCs w:val="26"/>
        </w:rPr>
        <w:t>d</w:t>
      </w:r>
      <w:r w:rsidR="00B56505" w:rsidRPr="007A6659">
        <w:rPr>
          <w:sz w:val="26"/>
          <w:szCs w:val="26"/>
        </w:rPr>
        <w:t xml:space="preserve"> </w:t>
      </w:r>
      <w:r w:rsidRPr="007A6659">
        <w:rPr>
          <w:sz w:val="26"/>
          <w:szCs w:val="26"/>
        </w:rPr>
        <w:t xml:space="preserve">the call (Peng et al., 2009) to study institutional theory in contexts outside those of emerging markets, more research is needed to better understand </w:t>
      </w:r>
      <w:r w:rsidR="00B56505">
        <w:rPr>
          <w:sz w:val="26"/>
          <w:szCs w:val="26"/>
        </w:rPr>
        <w:t>the applicability of</w:t>
      </w:r>
      <w:r w:rsidR="00B56505" w:rsidRPr="007A6659">
        <w:rPr>
          <w:sz w:val="26"/>
          <w:szCs w:val="26"/>
        </w:rPr>
        <w:t xml:space="preserve"> </w:t>
      </w:r>
      <w:r w:rsidRPr="007A6659">
        <w:rPr>
          <w:sz w:val="26"/>
          <w:szCs w:val="26"/>
        </w:rPr>
        <w:t xml:space="preserve">institutional theory in developed economies and to understand specific institutional differences that have hitherto </w:t>
      </w:r>
      <w:r w:rsidR="00B56505" w:rsidRPr="007A6659">
        <w:rPr>
          <w:sz w:val="26"/>
          <w:szCs w:val="26"/>
        </w:rPr>
        <w:t xml:space="preserve">been </w:t>
      </w:r>
      <w:r w:rsidRPr="007A6659">
        <w:rPr>
          <w:sz w:val="26"/>
          <w:szCs w:val="26"/>
        </w:rPr>
        <w:t xml:space="preserve">overlooked.  </w:t>
      </w:r>
    </w:p>
    <w:p w14:paraId="1856A99E" w14:textId="3A4B9015" w:rsidR="005B7147" w:rsidRDefault="005B7147" w:rsidP="00FF5068">
      <w:pPr>
        <w:spacing w:after="0" w:line="360" w:lineRule="exact"/>
        <w:ind w:firstLineChars="200" w:firstLine="520"/>
        <w:jc w:val="both"/>
        <w:rPr>
          <w:sz w:val="26"/>
          <w:szCs w:val="26"/>
        </w:rPr>
      </w:pPr>
      <w:r w:rsidRPr="007A6659">
        <w:rPr>
          <w:sz w:val="26"/>
          <w:szCs w:val="26"/>
        </w:rPr>
        <w:t>One question that deserves further inquiry is whether “developed” economies can devolve to “developing” status. If the US’s formal and informal institutions allow powerful corporations to push through regulations</w:t>
      </w:r>
      <w:r w:rsidR="00A1672F">
        <w:rPr>
          <w:sz w:val="26"/>
          <w:szCs w:val="26"/>
        </w:rPr>
        <w:t>,</w:t>
      </w:r>
      <w:r w:rsidRPr="007A6659">
        <w:rPr>
          <w:sz w:val="26"/>
          <w:szCs w:val="26"/>
        </w:rPr>
        <w:t xml:space="preserve"> making their products legal </w:t>
      </w:r>
      <w:r w:rsidR="00A1672F">
        <w:rPr>
          <w:sz w:val="26"/>
          <w:szCs w:val="26"/>
        </w:rPr>
        <w:t>based on</w:t>
      </w:r>
      <w:r w:rsidR="00A1672F" w:rsidRPr="007A6659">
        <w:rPr>
          <w:sz w:val="26"/>
          <w:szCs w:val="26"/>
        </w:rPr>
        <w:t xml:space="preserve"> </w:t>
      </w:r>
      <w:r w:rsidRPr="007A6659">
        <w:rPr>
          <w:sz w:val="26"/>
          <w:szCs w:val="26"/>
        </w:rPr>
        <w:t xml:space="preserve">flimsy scientific evidence (Séralini et al., 2009), then the inefficiencies attributed to developing nations might reasonably be thought to apply </w:t>
      </w:r>
      <w:r w:rsidR="00A1672F">
        <w:rPr>
          <w:sz w:val="26"/>
          <w:szCs w:val="26"/>
        </w:rPr>
        <w:t>to</w:t>
      </w:r>
      <w:r w:rsidR="00A1672F" w:rsidRPr="007A6659">
        <w:rPr>
          <w:sz w:val="26"/>
          <w:szCs w:val="26"/>
        </w:rPr>
        <w:t xml:space="preserve"> </w:t>
      </w:r>
      <w:r w:rsidRPr="007A6659">
        <w:rPr>
          <w:sz w:val="26"/>
          <w:szCs w:val="26"/>
        </w:rPr>
        <w:t xml:space="preserve">the US as well. Alternatively, perhaps the terms “developed” and “developing” economies are inappropriate, as the one implies having completed a journey or graduating from a process while the other implies an incompleteness that can only be perfected be becoming exactly like the “developed” nations. It is unreasonable to assume that “developed” nations are perfect either in themselves or </w:t>
      </w:r>
      <w:r w:rsidR="00776C7E">
        <w:rPr>
          <w:sz w:val="26"/>
          <w:szCs w:val="26"/>
        </w:rPr>
        <w:t xml:space="preserve">serve </w:t>
      </w:r>
      <w:r w:rsidRPr="007A6659">
        <w:rPr>
          <w:sz w:val="26"/>
          <w:szCs w:val="26"/>
        </w:rPr>
        <w:t xml:space="preserve">as examples to others, particularly in light of our findings.  </w:t>
      </w:r>
    </w:p>
    <w:p w14:paraId="4FB5C619" w14:textId="56C9A869" w:rsidR="00DF6928" w:rsidRPr="007A6659" w:rsidRDefault="00DF6928" w:rsidP="00FF5068">
      <w:pPr>
        <w:spacing w:after="0" w:line="360" w:lineRule="exact"/>
        <w:ind w:firstLineChars="200" w:firstLine="520"/>
        <w:jc w:val="both"/>
        <w:rPr>
          <w:sz w:val="26"/>
          <w:szCs w:val="26"/>
        </w:rPr>
      </w:pPr>
      <w:r w:rsidRPr="007A6659">
        <w:rPr>
          <w:sz w:val="26"/>
          <w:szCs w:val="26"/>
        </w:rPr>
        <w:t xml:space="preserve">Greenpeace might also have benefitted from understanding institutional nuances across nations </w:t>
      </w:r>
      <w:r w:rsidR="00E6458B">
        <w:rPr>
          <w:sz w:val="26"/>
          <w:szCs w:val="26"/>
        </w:rPr>
        <w:t>when</w:t>
      </w:r>
      <w:r w:rsidR="00E6458B" w:rsidRPr="007A6659">
        <w:rPr>
          <w:sz w:val="26"/>
          <w:szCs w:val="26"/>
        </w:rPr>
        <w:t xml:space="preserve"> </w:t>
      </w:r>
      <w:r w:rsidRPr="007A6659">
        <w:rPr>
          <w:sz w:val="26"/>
          <w:szCs w:val="26"/>
        </w:rPr>
        <w:t>choosing which campaigns to support in which countries. Future studies might consider using the institution-based approach to build an integrating framework to help explain the MNE-non-profit relationship.  It might also be worthwhile to examine how the international strategies of the MNEs most directly affected by Greenpeace compare in terms of environmental and financial performance.  Given the emergence of new strategies among non-profits in opposition to high-technology innovations (</w:t>
      </w:r>
      <w:r w:rsidR="00640FA7">
        <w:rPr>
          <w:sz w:val="26"/>
          <w:szCs w:val="26"/>
        </w:rPr>
        <w:t>Luxmore &amp; Hull, 2011</w:t>
      </w:r>
      <w:r w:rsidRPr="007A6659">
        <w:rPr>
          <w:sz w:val="26"/>
          <w:szCs w:val="26"/>
        </w:rPr>
        <w:t xml:space="preserve">) and the near-textbook perfect application of the transnational strategy by Greenpeace, it would be interesting to see </w:t>
      </w:r>
      <w:r w:rsidR="00E6458B">
        <w:rPr>
          <w:sz w:val="26"/>
          <w:szCs w:val="26"/>
        </w:rPr>
        <w:t>whether</w:t>
      </w:r>
      <w:r w:rsidR="00E6458B" w:rsidRPr="007A6659">
        <w:rPr>
          <w:sz w:val="26"/>
          <w:szCs w:val="26"/>
        </w:rPr>
        <w:t xml:space="preserve"> </w:t>
      </w:r>
      <w:r w:rsidRPr="007A6659">
        <w:rPr>
          <w:sz w:val="26"/>
          <w:szCs w:val="26"/>
        </w:rPr>
        <w:t xml:space="preserve">the more successful GMO companies have </w:t>
      </w:r>
      <w:r w:rsidR="00E6458B">
        <w:rPr>
          <w:sz w:val="26"/>
          <w:szCs w:val="26"/>
        </w:rPr>
        <w:t>adopted similar</w:t>
      </w:r>
      <w:r w:rsidRPr="007A6659">
        <w:rPr>
          <w:sz w:val="26"/>
          <w:szCs w:val="26"/>
        </w:rPr>
        <w:t xml:space="preserve"> international strategies.</w:t>
      </w:r>
    </w:p>
    <w:p w14:paraId="0B7D93AA" w14:textId="3B3A6667" w:rsidR="00DF6928" w:rsidRDefault="00DF6928" w:rsidP="00FF5068">
      <w:pPr>
        <w:spacing w:after="0" w:line="360" w:lineRule="exact"/>
        <w:ind w:firstLineChars="200" w:firstLine="520"/>
        <w:jc w:val="both"/>
        <w:rPr>
          <w:sz w:val="26"/>
          <w:szCs w:val="26"/>
        </w:rPr>
      </w:pPr>
      <w:r w:rsidRPr="007A6659">
        <w:rPr>
          <w:sz w:val="26"/>
          <w:szCs w:val="26"/>
        </w:rPr>
        <w:t xml:space="preserve">This study </w:t>
      </w:r>
      <w:r w:rsidR="00E6458B" w:rsidRPr="007A6659">
        <w:rPr>
          <w:sz w:val="26"/>
          <w:szCs w:val="26"/>
        </w:rPr>
        <w:t>show</w:t>
      </w:r>
      <w:r w:rsidR="00E6458B">
        <w:rPr>
          <w:sz w:val="26"/>
          <w:szCs w:val="26"/>
        </w:rPr>
        <w:t>ed</w:t>
      </w:r>
      <w:r w:rsidR="00E6458B" w:rsidRPr="007A6659">
        <w:rPr>
          <w:sz w:val="26"/>
          <w:szCs w:val="26"/>
        </w:rPr>
        <w:t xml:space="preserve"> </w:t>
      </w:r>
      <w:r w:rsidRPr="007A6659">
        <w:rPr>
          <w:sz w:val="26"/>
          <w:szCs w:val="26"/>
        </w:rPr>
        <w:t xml:space="preserve">that institutions affect strategic behavior but </w:t>
      </w:r>
      <w:r w:rsidR="00E6458B">
        <w:rPr>
          <w:sz w:val="26"/>
          <w:szCs w:val="26"/>
        </w:rPr>
        <w:t>did</w:t>
      </w:r>
      <w:r w:rsidR="00E6458B" w:rsidRPr="007A6659">
        <w:rPr>
          <w:sz w:val="26"/>
          <w:szCs w:val="26"/>
        </w:rPr>
        <w:t xml:space="preserve"> </w:t>
      </w:r>
      <w:r w:rsidRPr="007A6659">
        <w:rPr>
          <w:sz w:val="26"/>
          <w:szCs w:val="26"/>
        </w:rPr>
        <w:t xml:space="preserve">not address tactical actions that might affect </w:t>
      </w:r>
      <w:r w:rsidR="00E6458B">
        <w:rPr>
          <w:sz w:val="26"/>
          <w:szCs w:val="26"/>
        </w:rPr>
        <w:t xml:space="preserve">the </w:t>
      </w:r>
      <w:r w:rsidR="00E6458B" w:rsidRPr="007A6659">
        <w:rPr>
          <w:sz w:val="26"/>
          <w:szCs w:val="26"/>
        </w:rPr>
        <w:t xml:space="preserve">influence </w:t>
      </w:r>
      <w:r w:rsidR="00E6458B">
        <w:rPr>
          <w:sz w:val="26"/>
          <w:szCs w:val="26"/>
        </w:rPr>
        <w:t xml:space="preserve">of </w:t>
      </w:r>
      <w:r w:rsidRPr="007A6659">
        <w:rPr>
          <w:sz w:val="26"/>
          <w:szCs w:val="26"/>
        </w:rPr>
        <w:t>non-profit on markets. The actions of the research and education unit Greenpeace USA Fund suggest that non-profits may do more than represent the interests of social movements in the formal institutional dimension</w:t>
      </w:r>
      <w:r w:rsidR="00E6458B">
        <w:rPr>
          <w:sz w:val="26"/>
          <w:szCs w:val="26"/>
        </w:rPr>
        <w:t xml:space="preserve"> in that</w:t>
      </w:r>
      <w:r w:rsidRPr="007A6659">
        <w:rPr>
          <w:sz w:val="26"/>
          <w:szCs w:val="26"/>
        </w:rPr>
        <w:t xml:space="preserve"> they may attempt to influence existing culture and normative beliefs, sometimes successfully. Despite the limiting formal institution framework in the US, Greenpeace US still allocated resources to the campaign. It is possible that Greenpeace USA chose to fund the anti-GM campaign due to its participation in Greenpeace International’s global anti-GM campaign.  Holtbrügge and Dögl (2012) argue</w:t>
      </w:r>
      <w:r w:rsidR="00E6458B">
        <w:rPr>
          <w:sz w:val="26"/>
          <w:szCs w:val="26"/>
        </w:rPr>
        <w:t>d</w:t>
      </w:r>
      <w:r w:rsidRPr="007A6659">
        <w:rPr>
          <w:sz w:val="26"/>
          <w:szCs w:val="26"/>
        </w:rPr>
        <w:t xml:space="preserve"> that more multinational data on corporate environmental responsibility (CER) is needed.  Our study respond</w:t>
      </w:r>
      <w:r w:rsidR="00E6458B">
        <w:rPr>
          <w:sz w:val="26"/>
          <w:szCs w:val="26"/>
        </w:rPr>
        <w:t xml:space="preserve">ed to this call using the </w:t>
      </w:r>
      <w:r w:rsidRPr="007A6659">
        <w:rPr>
          <w:sz w:val="26"/>
          <w:szCs w:val="26"/>
        </w:rPr>
        <w:t xml:space="preserve">data </w:t>
      </w:r>
      <w:r w:rsidR="0004315C">
        <w:rPr>
          <w:sz w:val="26"/>
          <w:szCs w:val="26"/>
        </w:rPr>
        <w:t>collected from</w:t>
      </w:r>
      <w:r w:rsidR="0004315C" w:rsidRPr="007A6659">
        <w:rPr>
          <w:sz w:val="26"/>
          <w:szCs w:val="26"/>
        </w:rPr>
        <w:t xml:space="preserve"> </w:t>
      </w:r>
      <w:r w:rsidRPr="007A6659">
        <w:rPr>
          <w:sz w:val="26"/>
          <w:szCs w:val="26"/>
        </w:rPr>
        <w:t>a multinational non-profit</w:t>
      </w:r>
      <w:r w:rsidR="0004315C">
        <w:rPr>
          <w:sz w:val="26"/>
          <w:szCs w:val="26"/>
        </w:rPr>
        <w:t xml:space="preserve"> organization</w:t>
      </w:r>
      <w:r w:rsidRPr="007A6659">
        <w:rPr>
          <w:sz w:val="26"/>
          <w:szCs w:val="26"/>
        </w:rPr>
        <w:t xml:space="preserve"> that encourages CER and underscores the importance of institutional pressures on its activities and by extension on CER in general.   Future research into the institution-based approach as an analytical tool to understand the tactical behavior of non-profits should expand our understanding of their behavior and its implications.</w:t>
      </w:r>
    </w:p>
    <w:p w14:paraId="6B96876B" w14:textId="77777777" w:rsidR="00DF6928" w:rsidRDefault="00DF6928" w:rsidP="006878F2">
      <w:pPr>
        <w:spacing w:after="0" w:line="360" w:lineRule="atLeast"/>
        <w:rPr>
          <w:sz w:val="26"/>
          <w:szCs w:val="26"/>
        </w:rPr>
      </w:pPr>
    </w:p>
    <w:p w14:paraId="08D60996" w14:textId="77777777" w:rsidR="00DF6928" w:rsidRPr="00DF6928" w:rsidRDefault="00DF6928" w:rsidP="006878F2">
      <w:pPr>
        <w:spacing w:after="0" w:line="360" w:lineRule="atLeast"/>
        <w:outlineLvl w:val="1"/>
        <w:rPr>
          <w:b/>
          <w:sz w:val="26"/>
          <w:szCs w:val="26"/>
        </w:rPr>
      </w:pPr>
      <w:r>
        <w:rPr>
          <w:b/>
          <w:sz w:val="26"/>
          <w:szCs w:val="26"/>
        </w:rPr>
        <w:t>Practical Implications for Managers</w:t>
      </w:r>
    </w:p>
    <w:p w14:paraId="163A80C2" w14:textId="114EB357" w:rsidR="00DF6928" w:rsidRPr="007A6659" w:rsidRDefault="005B7147" w:rsidP="00FF5068">
      <w:pPr>
        <w:spacing w:after="0" w:line="360" w:lineRule="exact"/>
        <w:ind w:firstLineChars="200" w:firstLine="520"/>
        <w:jc w:val="both"/>
        <w:rPr>
          <w:sz w:val="26"/>
          <w:szCs w:val="26"/>
        </w:rPr>
      </w:pPr>
      <w:r w:rsidRPr="007A6659">
        <w:rPr>
          <w:sz w:val="26"/>
          <w:szCs w:val="26"/>
        </w:rPr>
        <w:t xml:space="preserve">The strategic </w:t>
      </w:r>
      <w:r w:rsidR="007A3C23" w:rsidRPr="007A6659">
        <w:rPr>
          <w:sz w:val="26"/>
          <w:szCs w:val="26"/>
        </w:rPr>
        <w:t>behavior</w:t>
      </w:r>
      <w:r w:rsidRPr="007A6659">
        <w:rPr>
          <w:sz w:val="26"/>
          <w:szCs w:val="26"/>
        </w:rPr>
        <w:t xml:space="preserve"> of Greenpeace International and the European and US-based national units in their anti-GM campaigns </w:t>
      </w:r>
      <w:r w:rsidR="00805BF4">
        <w:rPr>
          <w:sz w:val="26"/>
          <w:szCs w:val="26"/>
        </w:rPr>
        <w:t>supports the application of</w:t>
      </w:r>
      <w:r w:rsidRPr="007A6659">
        <w:rPr>
          <w:sz w:val="26"/>
          <w:szCs w:val="26"/>
        </w:rPr>
        <w:t xml:space="preserve"> institutional theory in this case. The increasing importance of </w:t>
      </w:r>
      <w:r w:rsidR="00DB0E76" w:rsidRPr="007A6659">
        <w:rPr>
          <w:sz w:val="26"/>
          <w:szCs w:val="26"/>
        </w:rPr>
        <w:t>non-profit</w:t>
      </w:r>
      <w:r w:rsidRPr="007A6659">
        <w:rPr>
          <w:sz w:val="26"/>
          <w:szCs w:val="26"/>
        </w:rPr>
        <w:t xml:space="preserve">s in the realm of international business (Burchell &amp; Cook, 2013; Doh &amp; Guay, 2006; Kourula &amp; Laasonen, 2010; Teegen et al., 2004; Vachani et al., 2009) means that researchers and managers need to better understand </w:t>
      </w:r>
      <w:r w:rsidR="00DB0E76" w:rsidRPr="007A6659">
        <w:rPr>
          <w:sz w:val="26"/>
          <w:szCs w:val="26"/>
        </w:rPr>
        <w:t>non-profit</w:t>
      </w:r>
      <w:r w:rsidRPr="007A6659">
        <w:rPr>
          <w:sz w:val="26"/>
          <w:szCs w:val="26"/>
        </w:rPr>
        <w:t xml:space="preserve">s. Managers are increasingly required to engage </w:t>
      </w:r>
      <w:r w:rsidR="00DB0E76" w:rsidRPr="007A6659">
        <w:rPr>
          <w:sz w:val="26"/>
          <w:szCs w:val="26"/>
        </w:rPr>
        <w:t>non-profit</w:t>
      </w:r>
      <w:r w:rsidRPr="007A6659">
        <w:rPr>
          <w:sz w:val="26"/>
          <w:szCs w:val="26"/>
        </w:rPr>
        <w:t>s and include them in their decision-making process (Burchell &amp; Cook, 2013</w:t>
      </w:r>
      <w:r w:rsidR="00183F67">
        <w:rPr>
          <w:sz w:val="26"/>
          <w:szCs w:val="26"/>
        </w:rPr>
        <w:t>;</w:t>
      </w:r>
      <w:r w:rsidR="00183F67" w:rsidRPr="00183F67">
        <w:rPr>
          <w:sz w:val="26"/>
          <w:szCs w:val="26"/>
        </w:rPr>
        <w:t xml:space="preserve"> </w:t>
      </w:r>
      <w:r w:rsidR="00183F67">
        <w:rPr>
          <w:sz w:val="26"/>
          <w:szCs w:val="26"/>
        </w:rPr>
        <w:t>Levy, 2008</w:t>
      </w:r>
      <w:r w:rsidRPr="007A6659">
        <w:rPr>
          <w:sz w:val="26"/>
          <w:szCs w:val="26"/>
        </w:rPr>
        <w:t xml:space="preserve">). Institutional theory is a promising way to understand </w:t>
      </w:r>
      <w:r w:rsidR="00DB0E76" w:rsidRPr="007A6659">
        <w:rPr>
          <w:sz w:val="26"/>
          <w:szCs w:val="26"/>
        </w:rPr>
        <w:t>non-profit</w:t>
      </w:r>
      <w:r w:rsidRPr="007A6659">
        <w:rPr>
          <w:sz w:val="26"/>
          <w:szCs w:val="26"/>
        </w:rPr>
        <w:t xml:space="preserve"> strategic actions across multiple markets</w:t>
      </w:r>
      <w:r w:rsidR="00150EAA">
        <w:rPr>
          <w:sz w:val="26"/>
          <w:szCs w:val="26"/>
        </w:rPr>
        <w:t>.</w:t>
      </w:r>
      <w:r w:rsidR="00183F67">
        <w:rPr>
          <w:sz w:val="26"/>
          <w:szCs w:val="26"/>
        </w:rPr>
        <w:t xml:space="preserve"> As</w:t>
      </w:r>
      <w:r w:rsidR="00183F67" w:rsidRPr="007A6659">
        <w:rPr>
          <w:sz w:val="26"/>
          <w:szCs w:val="26"/>
        </w:rPr>
        <w:t xml:space="preserve"> </w:t>
      </w:r>
      <w:r w:rsidRPr="007A6659">
        <w:rPr>
          <w:sz w:val="26"/>
          <w:szCs w:val="26"/>
        </w:rPr>
        <w:t>our study indicates</w:t>
      </w:r>
      <w:r w:rsidR="00183F67">
        <w:rPr>
          <w:sz w:val="26"/>
          <w:szCs w:val="26"/>
        </w:rPr>
        <w:t>,</w:t>
      </w:r>
      <w:r w:rsidRPr="007A6659">
        <w:rPr>
          <w:sz w:val="26"/>
          <w:szCs w:val="26"/>
        </w:rPr>
        <w:t xml:space="preserve"> the national units of Greenpeace strategically allocate their resources to campaigns that they hope</w:t>
      </w:r>
      <w:r w:rsidR="00183F67">
        <w:rPr>
          <w:sz w:val="26"/>
          <w:szCs w:val="26"/>
        </w:rPr>
        <w:t xml:space="preserve"> </w:t>
      </w:r>
      <w:r w:rsidRPr="007A6659">
        <w:rPr>
          <w:sz w:val="26"/>
          <w:szCs w:val="26"/>
        </w:rPr>
        <w:t>will have the greatest impact</w:t>
      </w:r>
      <w:r w:rsidR="00183F67" w:rsidRPr="007A6659">
        <w:rPr>
          <w:sz w:val="26"/>
          <w:szCs w:val="26"/>
        </w:rPr>
        <w:t>, given their specific institutional environments</w:t>
      </w:r>
      <w:r w:rsidRPr="007A6659">
        <w:rPr>
          <w:sz w:val="26"/>
          <w:szCs w:val="26"/>
        </w:rPr>
        <w:t xml:space="preserve">. For managers </w:t>
      </w:r>
      <w:r w:rsidR="00183F67">
        <w:rPr>
          <w:sz w:val="26"/>
          <w:szCs w:val="26"/>
        </w:rPr>
        <w:t>of</w:t>
      </w:r>
      <w:r w:rsidR="00183F67" w:rsidRPr="007A6659">
        <w:rPr>
          <w:sz w:val="26"/>
          <w:szCs w:val="26"/>
        </w:rPr>
        <w:t xml:space="preserve"> </w:t>
      </w:r>
      <w:r w:rsidRPr="007A6659">
        <w:rPr>
          <w:sz w:val="26"/>
          <w:szCs w:val="26"/>
        </w:rPr>
        <w:t>firms such as Monsanto, the implications of our study are clear</w:t>
      </w:r>
      <w:r w:rsidR="00183F67">
        <w:rPr>
          <w:sz w:val="26"/>
          <w:szCs w:val="26"/>
        </w:rPr>
        <w:t>, suggesting that</w:t>
      </w:r>
      <w:r w:rsidR="00183F67" w:rsidRPr="007A6659">
        <w:rPr>
          <w:sz w:val="26"/>
          <w:szCs w:val="26"/>
        </w:rPr>
        <w:t xml:space="preserve"> </w:t>
      </w:r>
      <w:r w:rsidR="00183F67">
        <w:rPr>
          <w:sz w:val="26"/>
          <w:szCs w:val="26"/>
        </w:rPr>
        <w:t xml:space="preserve">they can make more informed </w:t>
      </w:r>
      <w:r w:rsidRPr="007A6659">
        <w:rPr>
          <w:sz w:val="26"/>
          <w:szCs w:val="26"/>
        </w:rPr>
        <w:t xml:space="preserve">strategic decisions if they use institutional theory to predict the strategies of Greenpeace and similar </w:t>
      </w:r>
      <w:r w:rsidR="00DB0E76" w:rsidRPr="007A6659">
        <w:rPr>
          <w:sz w:val="26"/>
          <w:szCs w:val="26"/>
        </w:rPr>
        <w:t>non-profit</w:t>
      </w:r>
      <w:r w:rsidRPr="007A6659">
        <w:rPr>
          <w:sz w:val="26"/>
          <w:szCs w:val="26"/>
        </w:rPr>
        <w:t xml:space="preserve">s </w:t>
      </w:r>
      <w:r w:rsidR="00183F67">
        <w:rPr>
          <w:sz w:val="26"/>
          <w:szCs w:val="26"/>
        </w:rPr>
        <w:t xml:space="preserve">operating </w:t>
      </w:r>
      <w:r w:rsidRPr="007A6659">
        <w:rPr>
          <w:sz w:val="26"/>
          <w:szCs w:val="26"/>
        </w:rPr>
        <w:t xml:space="preserve">across multiple markets. </w:t>
      </w:r>
    </w:p>
    <w:p w14:paraId="5D6A4DF8" w14:textId="77777777" w:rsidR="005B7147" w:rsidRDefault="005B7147" w:rsidP="006878F2">
      <w:pPr>
        <w:spacing w:after="0" w:line="360" w:lineRule="atLeast"/>
        <w:rPr>
          <w:sz w:val="26"/>
          <w:szCs w:val="26"/>
        </w:rPr>
      </w:pPr>
    </w:p>
    <w:p w14:paraId="6D02A98D" w14:textId="52D44E77" w:rsidR="002F5DB6" w:rsidRPr="007A6659" w:rsidRDefault="002F5DB6" w:rsidP="006878F2">
      <w:pPr>
        <w:spacing w:after="0" w:line="360" w:lineRule="atLeast"/>
        <w:jc w:val="center"/>
        <w:outlineLvl w:val="0"/>
        <w:rPr>
          <w:sz w:val="26"/>
          <w:szCs w:val="26"/>
        </w:rPr>
      </w:pPr>
      <w:r w:rsidRPr="007A6659">
        <w:rPr>
          <w:b/>
          <w:sz w:val="26"/>
          <w:szCs w:val="26"/>
        </w:rPr>
        <w:t>REFERENCES</w:t>
      </w:r>
    </w:p>
    <w:p w14:paraId="1A2F6FE0" w14:textId="07CD5A1E" w:rsidR="002F5DB6" w:rsidRPr="007A6659" w:rsidRDefault="002F5DB6" w:rsidP="00466C51">
      <w:pPr>
        <w:spacing w:after="0" w:line="360" w:lineRule="atLeast"/>
        <w:ind w:left="520" w:hangingChars="200" w:hanging="520"/>
        <w:jc w:val="both"/>
        <w:rPr>
          <w:sz w:val="26"/>
          <w:szCs w:val="26"/>
          <w:lang w:eastAsia="zh-TW"/>
        </w:rPr>
      </w:pPr>
      <w:r w:rsidRPr="007A6659">
        <w:rPr>
          <w:sz w:val="26"/>
          <w:szCs w:val="26"/>
        </w:rPr>
        <w:t>Almadi, M. M. (2016). The impact of contextualizing board structure on firm financial performance in an emerging market.</w:t>
      </w:r>
      <w:r w:rsidR="00006257">
        <w:rPr>
          <w:rFonts w:hint="eastAsia"/>
          <w:sz w:val="26"/>
          <w:szCs w:val="26"/>
          <w:lang w:eastAsia="zh-TW"/>
        </w:rPr>
        <w:t xml:space="preserve"> </w:t>
      </w:r>
      <w:r w:rsidRPr="007A6659">
        <w:rPr>
          <w:i/>
          <w:iCs/>
          <w:sz w:val="26"/>
          <w:szCs w:val="26"/>
        </w:rPr>
        <w:t>Contemporary Management Research</w:t>
      </w:r>
      <w:r w:rsidRPr="007A6659">
        <w:rPr>
          <w:sz w:val="26"/>
          <w:szCs w:val="26"/>
        </w:rPr>
        <w:t>,</w:t>
      </w:r>
      <w:r w:rsidR="00006257">
        <w:rPr>
          <w:rFonts w:hint="eastAsia"/>
          <w:sz w:val="26"/>
          <w:szCs w:val="26"/>
          <w:lang w:eastAsia="zh-TW"/>
        </w:rPr>
        <w:t xml:space="preserve"> </w:t>
      </w:r>
      <w:r w:rsidRPr="007A6659">
        <w:rPr>
          <w:i/>
          <w:iCs/>
          <w:sz w:val="26"/>
          <w:szCs w:val="26"/>
        </w:rPr>
        <w:t>12</w:t>
      </w:r>
      <w:r w:rsidRPr="007A6659">
        <w:rPr>
          <w:sz w:val="26"/>
          <w:szCs w:val="26"/>
        </w:rPr>
        <w:t>(4), 409</w:t>
      </w:r>
      <w:r>
        <w:rPr>
          <w:sz w:val="26"/>
          <w:szCs w:val="26"/>
        </w:rPr>
        <w:t>-434</w:t>
      </w:r>
      <w:r w:rsidRPr="007A6659">
        <w:rPr>
          <w:sz w:val="26"/>
          <w:szCs w:val="26"/>
        </w:rPr>
        <w:t>.</w:t>
      </w:r>
      <w:r>
        <w:rPr>
          <w:rFonts w:hint="eastAsia"/>
          <w:sz w:val="26"/>
          <w:szCs w:val="26"/>
          <w:lang w:eastAsia="zh-TW"/>
        </w:rPr>
        <w:t xml:space="preserve"> </w:t>
      </w:r>
      <w:r w:rsidRPr="00373FDB">
        <w:rPr>
          <w:sz w:val="26"/>
          <w:szCs w:val="26"/>
          <w:lang w:eastAsia="zh-TW"/>
        </w:rPr>
        <w:t>https://doi.org/10.</w:t>
      </w:r>
      <w:r w:rsidRPr="00373FDB">
        <w:rPr>
          <w:sz w:val="26"/>
          <w:szCs w:val="26"/>
        </w:rPr>
        <w:t>7903</w:t>
      </w:r>
      <w:r w:rsidRPr="00373FDB">
        <w:rPr>
          <w:sz w:val="26"/>
          <w:szCs w:val="26"/>
          <w:lang w:eastAsia="zh-TW"/>
        </w:rPr>
        <w:t>/cmr.15752</w:t>
      </w:r>
    </w:p>
    <w:p w14:paraId="0AA6860D" w14:textId="77777777" w:rsidR="00E933AC" w:rsidRDefault="002F5DB6" w:rsidP="006878F2">
      <w:pPr>
        <w:spacing w:after="0" w:line="360" w:lineRule="atLeast"/>
        <w:ind w:left="520" w:hangingChars="200" w:hanging="520"/>
        <w:jc w:val="both"/>
        <w:rPr>
          <w:sz w:val="26"/>
          <w:szCs w:val="26"/>
          <w:lang w:eastAsia="zh-TW"/>
        </w:rPr>
      </w:pPr>
      <w:r w:rsidRPr="007A6659">
        <w:rPr>
          <w:sz w:val="26"/>
          <w:szCs w:val="26"/>
        </w:rPr>
        <w:t>Al-Shamma</w:t>
      </w:r>
      <w:r>
        <w:rPr>
          <w:sz w:val="26"/>
          <w:szCs w:val="26"/>
        </w:rPr>
        <w:t>ri, H. A. (2012). The effects of culture and institutional context on i</w:t>
      </w:r>
      <w:r w:rsidRPr="007A6659">
        <w:rPr>
          <w:sz w:val="26"/>
          <w:szCs w:val="26"/>
        </w:rPr>
        <w:t xml:space="preserve">nter-country </w:t>
      </w:r>
      <w:r>
        <w:rPr>
          <w:sz w:val="26"/>
          <w:szCs w:val="26"/>
        </w:rPr>
        <w:t>v</w:t>
      </w:r>
      <w:r w:rsidRPr="007A6659">
        <w:rPr>
          <w:sz w:val="26"/>
          <w:szCs w:val="26"/>
        </w:rPr>
        <w:t xml:space="preserve">ariance of outsourcing practices. </w:t>
      </w:r>
      <w:r w:rsidRPr="007A6659">
        <w:rPr>
          <w:i/>
          <w:sz w:val="26"/>
          <w:szCs w:val="26"/>
        </w:rPr>
        <w:t>Journal of Transnational Management, 17</w:t>
      </w:r>
      <w:r w:rsidRPr="007A6659">
        <w:rPr>
          <w:sz w:val="26"/>
          <w:szCs w:val="26"/>
        </w:rPr>
        <w:t>(3), 205-219.</w:t>
      </w:r>
      <w:r>
        <w:rPr>
          <w:rFonts w:hint="eastAsia"/>
          <w:sz w:val="26"/>
          <w:szCs w:val="26"/>
          <w:lang w:eastAsia="zh-TW"/>
        </w:rPr>
        <w:t xml:space="preserve"> </w:t>
      </w:r>
    </w:p>
    <w:p w14:paraId="28E39C59" w14:textId="31715E64" w:rsidR="002F5DB6" w:rsidRPr="007A6659" w:rsidRDefault="002F5DB6" w:rsidP="0027338D">
      <w:pPr>
        <w:spacing w:after="0" w:line="360" w:lineRule="atLeast"/>
        <w:ind w:firstLineChars="200" w:firstLine="520"/>
        <w:jc w:val="both"/>
        <w:outlineLvl w:val="0"/>
        <w:rPr>
          <w:sz w:val="26"/>
          <w:szCs w:val="26"/>
          <w:lang w:eastAsia="zh-TW"/>
        </w:rPr>
      </w:pPr>
      <w:r w:rsidRPr="00373FDB">
        <w:rPr>
          <w:sz w:val="26"/>
          <w:szCs w:val="26"/>
          <w:lang w:eastAsia="zh-TW"/>
        </w:rPr>
        <w:t>https://doi.org/10.1080/</w:t>
      </w:r>
      <w:r w:rsidRPr="00373FDB">
        <w:rPr>
          <w:sz w:val="26"/>
          <w:szCs w:val="26"/>
        </w:rPr>
        <w:t>15475778</w:t>
      </w:r>
      <w:r w:rsidRPr="00373FDB">
        <w:rPr>
          <w:sz w:val="26"/>
          <w:szCs w:val="26"/>
          <w:lang w:eastAsia="zh-TW"/>
        </w:rPr>
        <w:t>.2012.706700</w:t>
      </w:r>
    </w:p>
    <w:p w14:paraId="4A05AA9E" w14:textId="2DDB38FD" w:rsidR="008E026B" w:rsidRDefault="008E026B" w:rsidP="006878F2">
      <w:pPr>
        <w:spacing w:after="0" w:line="360" w:lineRule="atLeast"/>
        <w:ind w:left="520" w:hangingChars="200" w:hanging="520"/>
        <w:jc w:val="both"/>
        <w:rPr>
          <w:sz w:val="26"/>
          <w:szCs w:val="26"/>
        </w:rPr>
      </w:pPr>
      <w:r>
        <w:rPr>
          <w:sz w:val="26"/>
          <w:szCs w:val="26"/>
        </w:rPr>
        <w:t xml:space="preserve">Bartlett, C. A., &amp; Ghoshal, S. (2002). </w:t>
      </w:r>
      <w:r>
        <w:rPr>
          <w:i/>
          <w:sz w:val="26"/>
          <w:szCs w:val="26"/>
        </w:rPr>
        <w:t xml:space="preserve">Managing </w:t>
      </w:r>
      <w:r w:rsidR="00931D44">
        <w:rPr>
          <w:rFonts w:hint="eastAsia"/>
          <w:i/>
          <w:sz w:val="26"/>
          <w:szCs w:val="26"/>
          <w:lang w:eastAsia="zh-TW"/>
        </w:rPr>
        <w:t>a</w:t>
      </w:r>
      <w:r>
        <w:rPr>
          <w:i/>
          <w:sz w:val="26"/>
          <w:szCs w:val="26"/>
        </w:rPr>
        <w:t xml:space="preserve">cross </w:t>
      </w:r>
      <w:r w:rsidR="00794376">
        <w:rPr>
          <w:i/>
          <w:sz w:val="26"/>
          <w:szCs w:val="26"/>
        </w:rPr>
        <w:t>borders</w:t>
      </w:r>
      <w:r>
        <w:rPr>
          <w:i/>
          <w:sz w:val="26"/>
          <w:szCs w:val="26"/>
        </w:rPr>
        <w:t xml:space="preserve">: The </w:t>
      </w:r>
      <w:r w:rsidR="00794376">
        <w:rPr>
          <w:i/>
          <w:sz w:val="26"/>
          <w:szCs w:val="26"/>
        </w:rPr>
        <w:t>transnational solution</w:t>
      </w:r>
      <w:r>
        <w:rPr>
          <w:i/>
          <w:sz w:val="26"/>
          <w:szCs w:val="26"/>
        </w:rPr>
        <w:t>.</w:t>
      </w:r>
      <w:r>
        <w:rPr>
          <w:sz w:val="26"/>
          <w:szCs w:val="26"/>
        </w:rPr>
        <w:t xml:space="preserve"> Boston: Harvard University Press.</w:t>
      </w:r>
    </w:p>
    <w:p w14:paraId="0AC07DD3" w14:textId="128E6066" w:rsidR="00931D44" w:rsidRPr="00931D44" w:rsidRDefault="00931D44" w:rsidP="00931D44">
      <w:pPr>
        <w:spacing w:after="0" w:line="360" w:lineRule="atLeast"/>
        <w:ind w:firstLineChars="200" w:firstLine="520"/>
        <w:jc w:val="both"/>
        <w:rPr>
          <w:sz w:val="26"/>
          <w:szCs w:val="26"/>
        </w:rPr>
      </w:pPr>
      <w:r w:rsidRPr="00931D44">
        <w:rPr>
          <w:sz w:val="26"/>
          <w:szCs w:val="26"/>
        </w:rPr>
        <w:t>https://doi.org/10.1007/978-1-137-28787-8_25</w:t>
      </w:r>
    </w:p>
    <w:p w14:paraId="653EE89C" w14:textId="7D200805" w:rsidR="00E933AC" w:rsidRDefault="002F5DB6" w:rsidP="006878F2">
      <w:pPr>
        <w:spacing w:after="0" w:line="360" w:lineRule="atLeast"/>
        <w:ind w:left="520" w:hangingChars="200" w:hanging="520"/>
        <w:jc w:val="both"/>
        <w:rPr>
          <w:sz w:val="26"/>
          <w:szCs w:val="26"/>
        </w:rPr>
      </w:pPr>
      <w:r w:rsidRPr="007A6659">
        <w:rPr>
          <w:sz w:val="26"/>
          <w:szCs w:val="26"/>
        </w:rPr>
        <w:t>Berrone, P., Gelabert, L., Massa-Saluzzo, F., &amp; Rousseau, H. (</w:t>
      </w:r>
      <w:r>
        <w:rPr>
          <w:sz w:val="26"/>
          <w:szCs w:val="26"/>
        </w:rPr>
        <w:t>2016</w:t>
      </w:r>
      <w:r w:rsidRPr="007A6659">
        <w:rPr>
          <w:sz w:val="26"/>
          <w:szCs w:val="26"/>
        </w:rPr>
        <w:t xml:space="preserve">). Understanding community dynamic in the study of grand challenges: How nonprofits, institutional actors, and the community fabric interact to influence income inequality. </w:t>
      </w:r>
      <w:r w:rsidRPr="007A6659">
        <w:rPr>
          <w:i/>
          <w:iCs/>
          <w:sz w:val="26"/>
          <w:szCs w:val="26"/>
        </w:rPr>
        <w:t>Academy of Management Journal</w:t>
      </w:r>
      <w:r w:rsidRPr="00384DAA">
        <w:rPr>
          <w:i/>
          <w:iCs/>
          <w:sz w:val="26"/>
          <w:szCs w:val="26"/>
        </w:rPr>
        <w:t>,</w:t>
      </w:r>
      <w:r w:rsidR="00006257">
        <w:rPr>
          <w:rFonts w:hint="eastAsia"/>
          <w:i/>
          <w:iCs/>
          <w:sz w:val="26"/>
          <w:szCs w:val="26"/>
          <w:lang w:eastAsia="zh-TW"/>
        </w:rPr>
        <w:t xml:space="preserve"> </w:t>
      </w:r>
      <w:r w:rsidRPr="00384DAA">
        <w:rPr>
          <w:i/>
          <w:iCs/>
          <w:sz w:val="26"/>
          <w:szCs w:val="26"/>
        </w:rPr>
        <w:t>59</w:t>
      </w:r>
      <w:r w:rsidRPr="00384DAA">
        <w:rPr>
          <w:iCs/>
          <w:sz w:val="26"/>
          <w:szCs w:val="26"/>
        </w:rPr>
        <w:t>(6), 1940-1964</w:t>
      </w:r>
      <w:r w:rsidRPr="007A6659">
        <w:rPr>
          <w:sz w:val="26"/>
          <w:szCs w:val="26"/>
        </w:rPr>
        <w:t>.</w:t>
      </w:r>
      <w:r w:rsidR="00BA1942">
        <w:rPr>
          <w:sz w:val="26"/>
          <w:szCs w:val="26"/>
        </w:rPr>
        <w:t xml:space="preserve"> </w:t>
      </w:r>
    </w:p>
    <w:p w14:paraId="0A8D05F5" w14:textId="55C00358" w:rsidR="002F5DB6" w:rsidRPr="00384DAA" w:rsidRDefault="002F5DB6" w:rsidP="006878F2">
      <w:pPr>
        <w:spacing w:after="0" w:line="360" w:lineRule="atLeast"/>
        <w:ind w:firstLineChars="200" w:firstLine="520"/>
        <w:jc w:val="both"/>
        <w:outlineLvl w:val="0"/>
        <w:rPr>
          <w:i/>
          <w:iCs/>
          <w:sz w:val="26"/>
          <w:szCs w:val="26"/>
          <w:lang w:eastAsia="zh-TW"/>
        </w:rPr>
      </w:pPr>
      <w:r w:rsidRPr="006A1F72">
        <w:rPr>
          <w:sz w:val="26"/>
          <w:szCs w:val="26"/>
          <w:lang w:eastAsia="zh-TW"/>
        </w:rPr>
        <w:t>https://doi.</w:t>
      </w:r>
      <w:r w:rsidRPr="006A1F72">
        <w:rPr>
          <w:sz w:val="26"/>
          <w:szCs w:val="26"/>
        </w:rPr>
        <w:t>org</w:t>
      </w:r>
      <w:r w:rsidRPr="006A1F72">
        <w:rPr>
          <w:sz w:val="26"/>
          <w:szCs w:val="26"/>
          <w:lang w:eastAsia="zh-TW"/>
        </w:rPr>
        <w:t>/10.5465/amj.2015.0746</w:t>
      </w:r>
    </w:p>
    <w:p w14:paraId="040CFB86" w14:textId="77777777" w:rsidR="00E933AC" w:rsidRDefault="002F5DB6" w:rsidP="006878F2">
      <w:pPr>
        <w:spacing w:after="0" w:line="360" w:lineRule="atLeast"/>
        <w:ind w:left="520" w:hangingChars="200" w:hanging="520"/>
        <w:jc w:val="both"/>
        <w:rPr>
          <w:sz w:val="26"/>
          <w:szCs w:val="26"/>
          <w:lang w:eastAsia="zh-TW"/>
        </w:rPr>
      </w:pPr>
      <w:r w:rsidRPr="007A6659">
        <w:rPr>
          <w:sz w:val="26"/>
          <w:szCs w:val="26"/>
        </w:rPr>
        <w:t>Bloodgood, E. A., Tremblay-Boire, J.</w:t>
      </w:r>
      <w:r w:rsidR="00006257">
        <w:rPr>
          <w:sz w:val="26"/>
          <w:szCs w:val="26"/>
        </w:rPr>
        <w:t>,</w:t>
      </w:r>
      <w:r w:rsidRPr="007A6659">
        <w:rPr>
          <w:sz w:val="26"/>
          <w:szCs w:val="26"/>
        </w:rPr>
        <w:t xml:space="preserve"> &amp; Prakash, A. (2013). National styles of NGO regulation. </w:t>
      </w:r>
      <w:r w:rsidRPr="007A6659">
        <w:rPr>
          <w:i/>
          <w:sz w:val="26"/>
          <w:szCs w:val="26"/>
        </w:rPr>
        <w:t>Nonprofit and Voluntary Sector Quarterly, 43</w:t>
      </w:r>
      <w:r w:rsidRPr="007A6659">
        <w:rPr>
          <w:sz w:val="26"/>
          <w:szCs w:val="26"/>
        </w:rPr>
        <w:t>(4), 716-736.</w:t>
      </w:r>
      <w:r>
        <w:rPr>
          <w:rFonts w:hint="eastAsia"/>
          <w:sz w:val="26"/>
          <w:szCs w:val="26"/>
          <w:lang w:eastAsia="zh-TW"/>
        </w:rPr>
        <w:t xml:space="preserve"> </w:t>
      </w:r>
    </w:p>
    <w:p w14:paraId="5F2A2F6A" w14:textId="0119E780" w:rsidR="002F5DB6" w:rsidRPr="007A6659" w:rsidRDefault="002F5DB6" w:rsidP="006878F2">
      <w:pPr>
        <w:spacing w:after="0" w:line="360" w:lineRule="atLeast"/>
        <w:ind w:firstLineChars="200" w:firstLine="520"/>
        <w:jc w:val="both"/>
        <w:outlineLvl w:val="0"/>
        <w:rPr>
          <w:sz w:val="26"/>
          <w:szCs w:val="26"/>
          <w:lang w:eastAsia="zh-TW"/>
        </w:rPr>
      </w:pPr>
      <w:r w:rsidRPr="006A1F72">
        <w:rPr>
          <w:sz w:val="26"/>
          <w:szCs w:val="26"/>
          <w:lang w:eastAsia="zh-TW"/>
        </w:rPr>
        <w:t>https://doi.</w:t>
      </w:r>
      <w:r w:rsidRPr="006A1F72">
        <w:rPr>
          <w:sz w:val="26"/>
          <w:szCs w:val="26"/>
        </w:rPr>
        <w:t>org</w:t>
      </w:r>
      <w:r w:rsidRPr="006A1F72">
        <w:rPr>
          <w:sz w:val="26"/>
          <w:szCs w:val="26"/>
          <w:lang w:eastAsia="zh-TW"/>
        </w:rPr>
        <w:t>/10.1177/0899764013481111</w:t>
      </w:r>
    </w:p>
    <w:p w14:paraId="7069E42D" w14:textId="6C06E01A" w:rsidR="002F5DB6" w:rsidRPr="007A6659" w:rsidRDefault="002F5DB6" w:rsidP="00466C51">
      <w:pPr>
        <w:spacing w:after="0" w:line="360" w:lineRule="atLeast"/>
        <w:ind w:left="520" w:hangingChars="200" w:hanging="520"/>
        <w:jc w:val="both"/>
        <w:rPr>
          <w:sz w:val="26"/>
          <w:szCs w:val="26"/>
        </w:rPr>
      </w:pPr>
      <w:r w:rsidRPr="007A6659">
        <w:rPr>
          <w:sz w:val="26"/>
          <w:szCs w:val="26"/>
        </w:rPr>
        <w:t xml:space="preserve">Burchell, J., &amp; Cook, J. (2013). Sleeping with the enemy? Strategic transformations in business–NGO relationships through stakeholder dialogue. </w:t>
      </w:r>
      <w:r w:rsidRPr="007A6659">
        <w:rPr>
          <w:i/>
          <w:sz w:val="26"/>
          <w:szCs w:val="26"/>
        </w:rPr>
        <w:t>Journal of Business Ethics, 113</w:t>
      </w:r>
      <w:r w:rsidRPr="007A6659">
        <w:rPr>
          <w:sz w:val="26"/>
          <w:szCs w:val="26"/>
        </w:rPr>
        <w:t>(3), 505-518.</w:t>
      </w:r>
      <w:r>
        <w:rPr>
          <w:rFonts w:hint="eastAsia"/>
          <w:sz w:val="26"/>
          <w:szCs w:val="26"/>
          <w:lang w:eastAsia="zh-TW"/>
        </w:rPr>
        <w:t xml:space="preserve"> </w:t>
      </w:r>
      <w:r w:rsidRPr="006A1F72">
        <w:rPr>
          <w:sz w:val="26"/>
          <w:szCs w:val="26"/>
          <w:lang w:eastAsia="zh-TW"/>
        </w:rPr>
        <w:t>https://doi.</w:t>
      </w:r>
      <w:r w:rsidRPr="006A1F72">
        <w:rPr>
          <w:sz w:val="26"/>
          <w:szCs w:val="26"/>
        </w:rPr>
        <w:t>org</w:t>
      </w:r>
      <w:r w:rsidRPr="006A1F72">
        <w:rPr>
          <w:sz w:val="26"/>
          <w:szCs w:val="26"/>
          <w:lang w:eastAsia="zh-TW"/>
        </w:rPr>
        <w:t>/10.1007/s10551-012-1319-1</w:t>
      </w:r>
    </w:p>
    <w:p w14:paraId="2963770E" w14:textId="77777777" w:rsidR="002F5DB6" w:rsidRPr="007A6659" w:rsidRDefault="002F5DB6" w:rsidP="006878F2">
      <w:pPr>
        <w:spacing w:after="0" w:line="360" w:lineRule="atLeast"/>
        <w:ind w:left="520" w:hangingChars="200" w:hanging="520"/>
        <w:jc w:val="both"/>
        <w:rPr>
          <w:sz w:val="26"/>
          <w:szCs w:val="26"/>
        </w:rPr>
      </w:pPr>
      <w:r w:rsidRPr="007A6659">
        <w:rPr>
          <w:sz w:val="26"/>
          <w:szCs w:val="26"/>
        </w:rPr>
        <w:t xml:space="preserve">Carraher, S. M., Welsh, D. H., &amp; Svilokos, A. (2016). Validation of a measure of social entrepreneurship. </w:t>
      </w:r>
      <w:r w:rsidRPr="007A6659">
        <w:rPr>
          <w:i/>
          <w:iCs/>
          <w:sz w:val="26"/>
          <w:szCs w:val="26"/>
        </w:rPr>
        <w:t>European Journal of International Management</w:t>
      </w:r>
      <w:r w:rsidRPr="007A6659">
        <w:rPr>
          <w:sz w:val="26"/>
          <w:szCs w:val="26"/>
        </w:rPr>
        <w:t xml:space="preserve">, </w:t>
      </w:r>
      <w:r w:rsidRPr="007A6659">
        <w:rPr>
          <w:i/>
          <w:iCs/>
          <w:sz w:val="26"/>
          <w:szCs w:val="26"/>
        </w:rPr>
        <w:t>10</w:t>
      </w:r>
      <w:r w:rsidRPr="007A6659">
        <w:rPr>
          <w:sz w:val="26"/>
          <w:szCs w:val="26"/>
        </w:rPr>
        <w:t>(4), 386-402.</w:t>
      </w:r>
      <w:r>
        <w:rPr>
          <w:rFonts w:hint="eastAsia"/>
          <w:sz w:val="26"/>
          <w:szCs w:val="26"/>
          <w:lang w:eastAsia="zh-TW"/>
        </w:rPr>
        <w:t xml:space="preserve"> </w:t>
      </w:r>
      <w:r w:rsidRPr="00170915">
        <w:rPr>
          <w:sz w:val="26"/>
          <w:szCs w:val="26"/>
          <w:lang w:eastAsia="zh-TW"/>
        </w:rPr>
        <w:t>https://doi.org/10.1504/ejim.2016.077421</w:t>
      </w:r>
    </w:p>
    <w:p w14:paraId="0970E079" w14:textId="77777777" w:rsidR="00E933AC" w:rsidRDefault="002F5DB6" w:rsidP="006878F2">
      <w:pPr>
        <w:spacing w:after="0" w:line="360" w:lineRule="atLeast"/>
        <w:ind w:left="520" w:hangingChars="200" w:hanging="520"/>
        <w:jc w:val="both"/>
        <w:rPr>
          <w:sz w:val="26"/>
          <w:szCs w:val="26"/>
        </w:rPr>
      </w:pPr>
      <w:r w:rsidRPr="007A6659">
        <w:rPr>
          <w:rFonts w:eastAsia="Times New Roman"/>
          <w:sz w:val="26"/>
          <w:szCs w:val="26"/>
        </w:rPr>
        <w:t xml:space="preserve">Chen, Y. R., Yang, C., Hsu, S. M., &amp; Wang, Y. D. (2008). Entry mode choice in China's regional distribution markets: </w:t>
      </w:r>
      <w:r w:rsidR="00FC5D5C" w:rsidRPr="007A6659">
        <w:rPr>
          <w:rFonts w:eastAsia="Times New Roman"/>
          <w:sz w:val="26"/>
          <w:szCs w:val="26"/>
        </w:rPr>
        <w:t xml:space="preserve">Institution </w:t>
      </w:r>
      <w:r w:rsidRPr="007A6659">
        <w:rPr>
          <w:rFonts w:eastAsia="Times New Roman"/>
          <w:sz w:val="26"/>
          <w:szCs w:val="26"/>
        </w:rPr>
        <w:t xml:space="preserve">vs. transaction costs perspectives. </w:t>
      </w:r>
      <w:r w:rsidRPr="007A6659">
        <w:rPr>
          <w:rFonts w:eastAsia="Times New Roman"/>
          <w:i/>
          <w:sz w:val="26"/>
          <w:szCs w:val="26"/>
        </w:rPr>
        <w:t>Industrial</w:t>
      </w:r>
      <w:r w:rsidRPr="007A6659">
        <w:rPr>
          <w:sz w:val="26"/>
          <w:szCs w:val="26"/>
        </w:rPr>
        <w:t xml:space="preserve"> </w:t>
      </w:r>
      <w:r w:rsidRPr="007A6659">
        <w:rPr>
          <w:rFonts w:eastAsia="Times New Roman"/>
          <w:i/>
          <w:sz w:val="26"/>
          <w:szCs w:val="26"/>
        </w:rPr>
        <w:t>Marketing Management, 38</w:t>
      </w:r>
      <w:r w:rsidRPr="00646B5A">
        <w:rPr>
          <w:rFonts w:eastAsia="Times New Roman"/>
          <w:sz w:val="26"/>
          <w:szCs w:val="26"/>
        </w:rPr>
        <w:t>(7)</w:t>
      </w:r>
      <w:r w:rsidRPr="007A6659">
        <w:rPr>
          <w:rFonts w:eastAsia="Times New Roman"/>
          <w:sz w:val="26"/>
          <w:szCs w:val="26"/>
        </w:rPr>
        <w:t>, 702-713</w:t>
      </w:r>
      <w:r w:rsidRPr="007A6659">
        <w:rPr>
          <w:sz w:val="26"/>
          <w:szCs w:val="26"/>
        </w:rPr>
        <w:t>.</w:t>
      </w:r>
      <w:r w:rsidRPr="00646B5A">
        <w:rPr>
          <w:sz w:val="26"/>
          <w:szCs w:val="26"/>
        </w:rPr>
        <w:t xml:space="preserve"> </w:t>
      </w:r>
    </w:p>
    <w:p w14:paraId="67DB0C5B" w14:textId="4A602672" w:rsidR="002F5DB6" w:rsidRPr="007A6659" w:rsidRDefault="00FC5D5C" w:rsidP="006878F2">
      <w:pPr>
        <w:spacing w:after="0" w:line="360" w:lineRule="atLeast"/>
        <w:ind w:firstLineChars="200" w:firstLine="520"/>
        <w:jc w:val="both"/>
        <w:outlineLvl w:val="0"/>
        <w:rPr>
          <w:sz w:val="26"/>
          <w:szCs w:val="26"/>
        </w:rPr>
      </w:pPr>
      <w:r w:rsidRPr="00FC5D5C">
        <w:rPr>
          <w:sz w:val="26"/>
          <w:szCs w:val="26"/>
        </w:rPr>
        <w:t>https://doi.org/10.1016/</w:t>
      </w:r>
      <w:r w:rsidR="002F5DB6">
        <w:rPr>
          <w:sz w:val="26"/>
          <w:szCs w:val="26"/>
        </w:rPr>
        <w:t>j.</w:t>
      </w:r>
      <w:r>
        <w:rPr>
          <w:sz w:val="26"/>
          <w:szCs w:val="26"/>
        </w:rPr>
        <w:t xml:space="preserve"> </w:t>
      </w:r>
      <w:r w:rsidR="002F5DB6">
        <w:rPr>
          <w:sz w:val="26"/>
          <w:szCs w:val="26"/>
        </w:rPr>
        <w:t>indmarman.2008.02.001</w:t>
      </w:r>
    </w:p>
    <w:p w14:paraId="5975E8B5" w14:textId="5ED02FEB" w:rsidR="002F5DB6" w:rsidRPr="00EB3C75" w:rsidRDefault="002F5DB6" w:rsidP="00466C51">
      <w:pPr>
        <w:spacing w:after="0" w:line="360" w:lineRule="atLeast"/>
        <w:ind w:left="520" w:hangingChars="200" w:hanging="520"/>
        <w:jc w:val="both"/>
        <w:rPr>
          <w:rFonts w:eastAsia="Times New Roman"/>
          <w:sz w:val="26"/>
          <w:szCs w:val="26"/>
        </w:rPr>
      </w:pPr>
      <w:r w:rsidRPr="00EB3C75">
        <w:rPr>
          <w:rFonts w:eastAsia="Times New Roman"/>
          <w:sz w:val="26"/>
          <w:szCs w:val="26"/>
        </w:rPr>
        <w:t>Cheng, L. J., &amp; Liao, C. C. (2017). The drivers of entrepreneurial intention: The role of social capital and overconfidence.</w:t>
      </w:r>
      <w:r w:rsidR="00FC5D5C">
        <w:rPr>
          <w:rFonts w:eastAsia="Times New Roman"/>
          <w:sz w:val="26"/>
          <w:szCs w:val="26"/>
        </w:rPr>
        <w:t xml:space="preserve"> </w:t>
      </w:r>
      <w:r w:rsidRPr="00EB3C75">
        <w:rPr>
          <w:rFonts w:eastAsia="Times New Roman"/>
          <w:i/>
          <w:iCs/>
          <w:sz w:val="26"/>
          <w:szCs w:val="26"/>
        </w:rPr>
        <w:t>Contemporary Management Research</w:t>
      </w:r>
      <w:r w:rsidRPr="00EB3C75">
        <w:rPr>
          <w:rFonts w:eastAsia="Times New Roman"/>
          <w:sz w:val="26"/>
          <w:szCs w:val="26"/>
        </w:rPr>
        <w:t>,</w:t>
      </w:r>
      <w:r w:rsidR="00FC5D5C">
        <w:rPr>
          <w:rFonts w:eastAsia="Times New Roman"/>
          <w:sz w:val="26"/>
          <w:szCs w:val="26"/>
        </w:rPr>
        <w:t xml:space="preserve"> </w:t>
      </w:r>
      <w:r w:rsidRPr="00EB3C75">
        <w:rPr>
          <w:rFonts w:eastAsia="Times New Roman"/>
          <w:i/>
          <w:iCs/>
          <w:sz w:val="26"/>
          <w:szCs w:val="26"/>
        </w:rPr>
        <w:t>13</w:t>
      </w:r>
      <w:r w:rsidRPr="00EB3C75">
        <w:rPr>
          <w:rFonts w:eastAsia="Times New Roman"/>
          <w:sz w:val="26"/>
          <w:szCs w:val="26"/>
        </w:rPr>
        <w:t>(2), 143</w:t>
      </w:r>
      <w:r>
        <w:rPr>
          <w:rFonts w:eastAsia="Times New Roman"/>
          <w:sz w:val="26"/>
          <w:szCs w:val="26"/>
        </w:rPr>
        <w:t>-162</w:t>
      </w:r>
      <w:r w:rsidRPr="00EB3C75">
        <w:rPr>
          <w:rFonts w:eastAsia="Times New Roman"/>
          <w:sz w:val="26"/>
          <w:szCs w:val="26"/>
        </w:rPr>
        <w:t>.</w:t>
      </w:r>
      <w:r w:rsidRPr="00AA0AC7">
        <w:rPr>
          <w:rFonts w:eastAsia="Times New Roman"/>
          <w:sz w:val="26"/>
          <w:szCs w:val="26"/>
        </w:rPr>
        <w:t xml:space="preserve"> </w:t>
      </w:r>
      <w:r w:rsidRPr="00D57F6A">
        <w:rPr>
          <w:rFonts w:eastAsia="Times New Roman"/>
          <w:sz w:val="26"/>
          <w:szCs w:val="26"/>
        </w:rPr>
        <w:t>https://doi.org/10.7903/cmr.17589</w:t>
      </w:r>
    </w:p>
    <w:p w14:paraId="679FA859" w14:textId="73CB288E" w:rsidR="00F726D7" w:rsidRDefault="002F5DB6" w:rsidP="00466C51">
      <w:pPr>
        <w:spacing w:after="0" w:line="360" w:lineRule="atLeast"/>
        <w:ind w:left="520" w:hangingChars="200" w:hanging="520"/>
        <w:jc w:val="both"/>
        <w:rPr>
          <w:rFonts w:eastAsia="Times New Roman"/>
          <w:sz w:val="26"/>
          <w:szCs w:val="26"/>
        </w:rPr>
      </w:pPr>
      <w:r w:rsidRPr="007A6659">
        <w:rPr>
          <w:rFonts w:eastAsia="Times New Roman"/>
          <w:sz w:val="26"/>
          <w:szCs w:val="26"/>
        </w:rPr>
        <w:t xml:space="preserve">Davis, J. A., Marino, L. D., Aaron, J. R., &amp; Tolbert, C. L. (2009). An examination of entrepreneurial orientation, environmental scanning, and market strategies of nonprofit and for-profit nursing home administrators. </w:t>
      </w:r>
      <w:r w:rsidRPr="007A6659">
        <w:rPr>
          <w:rFonts w:eastAsia="Times New Roman"/>
          <w:i/>
          <w:sz w:val="26"/>
          <w:szCs w:val="26"/>
        </w:rPr>
        <w:t>Nonprofit and Voluntary Sector Quarterly, 40</w:t>
      </w:r>
      <w:r w:rsidRPr="007A6659">
        <w:rPr>
          <w:rFonts w:eastAsia="Times New Roman"/>
          <w:sz w:val="26"/>
          <w:szCs w:val="26"/>
        </w:rPr>
        <w:t>(1), 197-211.</w:t>
      </w:r>
      <w:r w:rsidRPr="00E006DE">
        <w:rPr>
          <w:rFonts w:eastAsia="Times New Roman"/>
          <w:sz w:val="26"/>
          <w:szCs w:val="26"/>
        </w:rPr>
        <w:t xml:space="preserve"> </w:t>
      </w:r>
      <w:r w:rsidR="00F726D7" w:rsidRPr="00F726D7">
        <w:rPr>
          <w:rFonts w:eastAsia="Times New Roman"/>
          <w:sz w:val="26"/>
          <w:szCs w:val="26"/>
        </w:rPr>
        <w:t>https://doi.org/</w:t>
      </w:r>
      <w:r w:rsidR="00F726D7" w:rsidRPr="00F726D7">
        <w:rPr>
          <w:sz w:val="26"/>
          <w:szCs w:val="26"/>
        </w:rPr>
        <w:t>10</w:t>
      </w:r>
      <w:r w:rsidR="00F726D7" w:rsidRPr="00F726D7">
        <w:rPr>
          <w:rFonts w:eastAsia="Times New Roman"/>
          <w:sz w:val="26"/>
          <w:szCs w:val="26"/>
        </w:rPr>
        <w:t>.1177/0899764009351112</w:t>
      </w:r>
    </w:p>
    <w:p w14:paraId="23B98CAF" w14:textId="6E9A8E3A" w:rsidR="00931D44" w:rsidRDefault="001937BB" w:rsidP="00931D44">
      <w:pPr>
        <w:spacing w:after="0" w:line="360" w:lineRule="atLeast"/>
        <w:ind w:left="520" w:hangingChars="200" w:hanging="520"/>
        <w:jc w:val="both"/>
        <w:rPr>
          <w:rFonts w:eastAsia="Times New Roman"/>
          <w:sz w:val="26"/>
          <w:szCs w:val="26"/>
        </w:rPr>
      </w:pPr>
      <w:r>
        <w:rPr>
          <w:rFonts w:eastAsia="Times New Roman"/>
          <w:sz w:val="26"/>
          <w:szCs w:val="26"/>
        </w:rPr>
        <w:t xml:space="preserve">Davis, L. E., North, D. C. (1971). </w:t>
      </w:r>
      <w:r>
        <w:rPr>
          <w:rFonts w:eastAsia="Times New Roman"/>
          <w:i/>
          <w:sz w:val="26"/>
          <w:szCs w:val="26"/>
        </w:rPr>
        <w:t xml:space="preserve">Institutional </w:t>
      </w:r>
      <w:r w:rsidR="00794376">
        <w:rPr>
          <w:rFonts w:eastAsia="Times New Roman"/>
          <w:i/>
          <w:sz w:val="26"/>
          <w:szCs w:val="26"/>
        </w:rPr>
        <w:t xml:space="preserve">change </w:t>
      </w:r>
      <w:r>
        <w:rPr>
          <w:rFonts w:eastAsia="Times New Roman"/>
          <w:i/>
          <w:sz w:val="26"/>
          <w:szCs w:val="26"/>
        </w:rPr>
        <w:t xml:space="preserve">and American </w:t>
      </w:r>
      <w:r w:rsidR="00794376">
        <w:rPr>
          <w:rFonts w:eastAsia="Times New Roman"/>
          <w:i/>
          <w:sz w:val="26"/>
          <w:szCs w:val="26"/>
        </w:rPr>
        <w:t>economic growth</w:t>
      </w:r>
      <w:r>
        <w:rPr>
          <w:rFonts w:eastAsia="Times New Roman"/>
          <w:sz w:val="26"/>
          <w:szCs w:val="26"/>
        </w:rPr>
        <w:t>.  Cambridge, UK: Cambridge University Press.</w:t>
      </w:r>
      <w:r w:rsidR="00931D44" w:rsidRPr="00931D44">
        <w:rPr>
          <w:rFonts w:eastAsia="Times New Roman"/>
          <w:sz w:val="26"/>
          <w:szCs w:val="26"/>
        </w:rPr>
        <w:t xml:space="preserve"> </w:t>
      </w:r>
    </w:p>
    <w:p w14:paraId="224D629D" w14:textId="1B9AFBC6" w:rsidR="00931D44" w:rsidRPr="00931D44" w:rsidRDefault="00931D44" w:rsidP="00931D44">
      <w:pPr>
        <w:spacing w:after="0" w:line="360" w:lineRule="atLeast"/>
        <w:ind w:firstLineChars="200" w:firstLine="520"/>
        <w:jc w:val="both"/>
        <w:rPr>
          <w:rFonts w:eastAsia="Times New Roman"/>
          <w:sz w:val="26"/>
          <w:szCs w:val="26"/>
        </w:rPr>
      </w:pPr>
      <w:r w:rsidRPr="00931D44">
        <w:rPr>
          <w:rFonts w:eastAsia="Times New Roman"/>
          <w:sz w:val="26"/>
          <w:szCs w:val="26"/>
        </w:rPr>
        <w:t>https://doi.org/10.1017/cbo9780511561078</w:t>
      </w:r>
    </w:p>
    <w:p w14:paraId="4A20EE64" w14:textId="53DFB5CA" w:rsidR="002F5DB6" w:rsidRPr="007A6659" w:rsidRDefault="00C9668B" w:rsidP="00466C51">
      <w:pPr>
        <w:spacing w:after="0" w:line="360" w:lineRule="atLeast"/>
        <w:ind w:left="520" w:hangingChars="200" w:hanging="520"/>
        <w:jc w:val="both"/>
        <w:rPr>
          <w:rFonts w:eastAsia="Times New Roman"/>
          <w:sz w:val="26"/>
          <w:szCs w:val="26"/>
        </w:rPr>
      </w:pPr>
      <w:r w:rsidRPr="00931D44">
        <w:rPr>
          <w:rFonts w:eastAsia="Times New Roman"/>
          <w:sz w:val="26"/>
          <w:szCs w:val="26"/>
        </w:rPr>
        <w:t>D</w:t>
      </w:r>
      <w:r w:rsidR="002F5DB6" w:rsidRPr="007A6659">
        <w:rPr>
          <w:rFonts w:eastAsia="Times New Roman"/>
          <w:sz w:val="26"/>
          <w:szCs w:val="26"/>
        </w:rPr>
        <w:t>e Lange, D. E. (</w:t>
      </w:r>
      <w:r w:rsidR="002F5DB6">
        <w:rPr>
          <w:rFonts w:eastAsia="Times New Roman"/>
          <w:sz w:val="26"/>
          <w:szCs w:val="26"/>
        </w:rPr>
        <w:t>2016</w:t>
      </w:r>
      <w:r w:rsidR="002F5DB6" w:rsidRPr="007A6659">
        <w:rPr>
          <w:rFonts w:eastAsia="Times New Roman"/>
          <w:sz w:val="26"/>
          <w:szCs w:val="26"/>
        </w:rPr>
        <w:t xml:space="preserve">). Legitimation Strategies for Clean Technology Entrepreneurs Facing Institutional Voids in Emerging Economies. </w:t>
      </w:r>
      <w:r w:rsidR="002F5DB6" w:rsidRPr="007A6659">
        <w:rPr>
          <w:rFonts w:eastAsia="Times New Roman"/>
          <w:i/>
          <w:iCs/>
          <w:sz w:val="26"/>
          <w:szCs w:val="26"/>
        </w:rPr>
        <w:t>Journal of International Management</w:t>
      </w:r>
      <w:r w:rsidR="002F5DB6" w:rsidRPr="007A6659">
        <w:rPr>
          <w:rFonts w:eastAsia="Times New Roman"/>
          <w:sz w:val="26"/>
          <w:szCs w:val="26"/>
        </w:rPr>
        <w:t xml:space="preserve">. </w:t>
      </w:r>
      <w:r w:rsidR="002F5DB6" w:rsidRPr="002E7503">
        <w:rPr>
          <w:rFonts w:eastAsia="Times New Roman"/>
          <w:i/>
          <w:iCs/>
          <w:sz w:val="26"/>
          <w:szCs w:val="26"/>
        </w:rPr>
        <w:t>22</w:t>
      </w:r>
      <w:r w:rsidR="002F5DB6" w:rsidRPr="002E7503">
        <w:rPr>
          <w:rFonts w:eastAsia="Times New Roman"/>
          <w:sz w:val="26"/>
          <w:szCs w:val="26"/>
        </w:rPr>
        <w:t>(4), 403-415</w:t>
      </w:r>
      <w:r w:rsidR="002F5DB6">
        <w:rPr>
          <w:rFonts w:eastAsia="Times New Roman"/>
          <w:sz w:val="26"/>
          <w:szCs w:val="26"/>
        </w:rPr>
        <w:t>.</w:t>
      </w:r>
      <w:r w:rsidR="002F5DB6" w:rsidRPr="00CA51BD">
        <w:t xml:space="preserve"> </w:t>
      </w:r>
      <w:r w:rsidR="002F5DB6" w:rsidRPr="00CA51BD">
        <w:rPr>
          <w:rFonts w:eastAsia="Times New Roman"/>
          <w:sz w:val="26"/>
          <w:szCs w:val="26"/>
        </w:rPr>
        <w:t>https://doi.org/10.</w:t>
      </w:r>
      <w:r w:rsidR="002F5DB6" w:rsidRPr="006878F2">
        <w:rPr>
          <w:sz w:val="26"/>
          <w:szCs w:val="26"/>
        </w:rPr>
        <w:t>1016</w:t>
      </w:r>
      <w:r w:rsidR="002F5DB6" w:rsidRPr="00CA51BD">
        <w:rPr>
          <w:rFonts w:eastAsia="Times New Roman"/>
          <w:sz w:val="26"/>
          <w:szCs w:val="26"/>
        </w:rPr>
        <w:t>/j.intman.2016.06.002</w:t>
      </w:r>
    </w:p>
    <w:p w14:paraId="7E92B7E3" w14:textId="77777777" w:rsidR="00E933AC" w:rsidRDefault="002F5DB6" w:rsidP="006878F2">
      <w:pPr>
        <w:spacing w:after="0" w:line="360" w:lineRule="atLeast"/>
        <w:ind w:left="520" w:hangingChars="200" w:hanging="520"/>
        <w:jc w:val="both"/>
        <w:rPr>
          <w:sz w:val="26"/>
          <w:szCs w:val="26"/>
        </w:rPr>
      </w:pPr>
      <w:r w:rsidRPr="007A6659">
        <w:rPr>
          <w:sz w:val="26"/>
          <w:szCs w:val="26"/>
        </w:rPr>
        <w:t xml:space="preserve">Doh, J. P., &amp; Guay, T. R. (2006). Corporate social responsibility, public policy, and NGO activism in Europe and the United States: </w:t>
      </w:r>
      <w:r w:rsidR="00C9668B" w:rsidRPr="007A6659">
        <w:rPr>
          <w:sz w:val="26"/>
          <w:szCs w:val="26"/>
        </w:rPr>
        <w:t>A</w:t>
      </w:r>
      <w:r w:rsidRPr="007A6659">
        <w:rPr>
          <w:sz w:val="26"/>
          <w:szCs w:val="26"/>
        </w:rPr>
        <w:t xml:space="preserve">n institutional-stakeholder perspective. </w:t>
      </w:r>
      <w:r w:rsidRPr="007A6659">
        <w:rPr>
          <w:i/>
          <w:sz w:val="26"/>
          <w:szCs w:val="26"/>
        </w:rPr>
        <w:t>Journal of Management Studies, 43</w:t>
      </w:r>
      <w:r>
        <w:rPr>
          <w:sz w:val="26"/>
          <w:szCs w:val="26"/>
        </w:rPr>
        <w:t>(1)</w:t>
      </w:r>
      <w:r w:rsidRPr="007A6659">
        <w:rPr>
          <w:sz w:val="26"/>
          <w:szCs w:val="26"/>
        </w:rPr>
        <w:t>, 47-73.</w:t>
      </w:r>
      <w:r w:rsidRPr="00E006DE">
        <w:rPr>
          <w:sz w:val="26"/>
          <w:szCs w:val="26"/>
        </w:rPr>
        <w:t xml:space="preserve"> </w:t>
      </w:r>
    </w:p>
    <w:p w14:paraId="6C6642E0" w14:textId="424D3676" w:rsidR="002F5DB6" w:rsidRPr="007A6659" w:rsidRDefault="00C9668B" w:rsidP="006878F2">
      <w:pPr>
        <w:spacing w:after="0" w:line="360" w:lineRule="atLeast"/>
        <w:ind w:firstLineChars="200" w:firstLine="520"/>
        <w:jc w:val="both"/>
        <w:outlineLvl w:val="0"/>
        <w:rPr>
          <w:sz w:val="26"/>
          <w:szCs w:val="26"/>
        </w:rPr>
      </w:pPr>
      <w:r w:rsidRPr="00C9668B">
        <w:rPr>
          <w:sz w:val="26"/>
          <w:szCs w:val="26"/>
        </w:rPr>
        <w:t>https://doi.org/</w:t>
      </w:r>
      <w:r w:rsidR="002F5DB6" w:rsidRPr="00CA51BD">
        <w:rPr>
          <w:sz w:val="26"/>
          <w:szCs w:val="26"/>
        </w:rPr>
        <w:t>10.1111/j.1467-6486.2006.00582.x</w:t>
      </w:r>
    </w:p>
    <w:p w14:paraId="311F94DE" w14:textId="77777777" w:rsidR="00E933AC" w:rsidRDefault="002F5DB6" w:rsidP="006878F2">
      <w:pPr>
        <w:spacing w:after="0" w:line="360" w:lineRule="atLeast"/>
        <w:ind w:left="567" w:hangingChars="218" w:hanging="567"/>
        <w:jc w:val="both"/>
        <w:rPr>
          <w:sz w:val="26"/>
          <w:szCs w:val="26"/>
        </w:rPr>
      </w:pPr>
      <w:r w:rsidRPr="00837794">
        <w:rPr>
          <w:sz w:val="26"/>
          <w:szCs w:val="26"/>
        </w:rPr>
        <w:t>Eesley, C., Decelles, K. A., &amp; Lenox, M. (2016). Through the mud or in the boardroom: Examining activist types and their strategies in targeting firms for social change.</w:t>
      </w:r>
      <w:r w:rsidR="00ED436B">
        <w:rPr>
          <w:sz w:val="26"/>
          <w:szCs w:val="26"/>
        </w:rPr>
        <w:t xml:space="preserve"> </w:t>
      </w:r>
      <w:r w:rsidRPr="00837794">
        <w:rPr>
          <w:i/>
          <w:iCs/>
          <w:sz w:val="26"/>
          <w:szCs w:val="26"/>
        </w:rPr>
        <w:t>Strategic Management Journal</w:t>
      </w:r>
      <w:r w:rsidRPr="00837794">
        <w:rPr>
          <w:sz w:val="26"/>
          <w:szCs w:val="26"/>
        </w:rPr>
        <w:t>,</w:t>
      </w:r>
      <w:r w:rsidR="000434DD">
        <w:rPr>
          <w:sz w:val="26"/>
          <w:szCs w:val="26"/>
        </w:rPr>
        <w:t xml:space="preserve"> </w:t>
      </w:r>
      <w:r w:rsidRPr="00837794">
        <w:rPr>
          <w:i/>
          <w:iCs/>
          <w:sz w:val="26"/>
          <w:szCs w:val="26"/>
        </w:rPr>
        <w:t>37</w:t>
      </w:r>
      <w:r w:rsidRPr="00837794">
        <w:rPr>
          <w:sz w:val="26"/>
          <w:szCs w:val="26"/>
        </w:rPr>
        <w:t>(12), 2425-2440.</w:t>
      </w:r>
      <w:r w:rsidRPr="00E006DE">
        <w:rPr>
          <w:sz w:val="26"/>
          <w:szCs w:val="26"/>
        </w:rPr>
        <w:t xml:space="preserve"> </w:t>
      </w:r>
    </w:p>
    <w:p w14:paraId="2A206F55" w14:textId="239EE902" w:rsidR="002F5DB6" w:rsidRPr="00837794" w:rsidRDefault="00ED436B" w:rsidP="006878F2">
      <w:pPr>
        <w:spacing w:after="0" w:line="360" w:lineRule="atLeast"/>
        <w:ind w:firstLineChars="200" w:firstLine="520"/>
        <w:jc w:val="both"/>
        <w:outlineLvl w:val="0"/>
        <w:rPr>
          <w:sz w:val="26"/>
          <w:szCs w:val="26"/>
        </w:rPr>
      </w:pPr>
      <w:r w:rsidRPr="00ED436B">
        <w:rPr>
          <w:sz w:val="26"/>
          <w:szCs w:val="26"/>
        </w:rPr>
        <w:t>https://doi.org/10.1002</w:t>
      </w:r>
      <w:r>
        <w:rPr>
          <w:sz w:val="26"/>
          <w:szCs w:val="26"/>
        </w:rPr>
        <w:t xml:space="preserve"> </w:t>
      </w:r>
      <w:r w:rsidR="002F5DB6" w:rsidRPr="00CA51BD">
        <w:rPr>
          <w:sz w:val="26"/>
          <w:szCs w:val="26"/>
        </w:rPr>
        <w:t>/smj.2458</w:t>
      </w:r>
    </w:p>
    <w:p w14:paraId="225DBBD5" w14:textId="77777777" w:rsidR="00E933AC" w:rsidRDefault="002F5DB6" w:rsidP="006878F2">
      <w:pPr>
        <w:spacing w:after="0" w:line="360" w:lineRule="atLeast"/>
        <w:ind w:left="520" w:hangingChars="200" w:hanging="520"/>
        <w:jc w:val="both"/>
      </w:pPr>
      <w:r w:rsidRPr="007A6659">
        <w:rPr>
          <w:sz w:val="26"/>
          <w:szCs w:val="26"/>
        </w:rPr>
        <w:t xml:space="preserve">Finegold, D., Klossek, A., Nippa, M., &amp; Winkler. A-L. (2010). Explaining firm approaches to corporate social responsibility: </w:t>
      </w:r>
      <w:r w:rsidR="00ED436B" w:rsidRPr="007A6659">
        <w:rPr>
          <w:sz w:val="26"/>
          <w:szCs w:val="26"/>
        </w:rPr>
        <w:t>I</w:t>
      </w:r>
      <w:r w:rsidRPr="007A6659">
        <w:rPr>
          <w:sz w:val="26"/>
          <w:szCs w:val="26"/>
        </w:rPr>
        <w:t xml:space="preserve">nstitutional environments and firm size. </w:t>
      </w:r>
      <w:r w:rsidRPr="007A6659">
        <w:rPr>
          <w:i/>
          <w:sz w:val="26"/>
          <w:szCs w:val="26"/>
        </w:rPr>
        <w:t>European Journal of International Management, 4</w:t>
      </w:r>
      <w:r w:rsidRPr="007A6659">
        <w:rPr>
          <w:sz w:val="26"/>
          <w:szCs w:val="26"/>
        </w:rPr>
        <w:t>(3), 213-233.</w:t>
      </w:r>
      <w:r w:rsidRPr="00847473">
        <w:t xml:space="preserve"> </w:t>
      </w:r>
    </w:p>
    <w:p w14:paraId="395BCF58" w14:textId="00FBA683" w:rsidR="002F5DB6" w:rsidRPr="00847473" w:rsidRDefault="002F5DB6" w:rsidP="00794376">
      <w:pPr>
        <w:spacing w:after="0" w:line="360" w:lineRule="atLeast"/>
        <w:ind w:leftChars="197" w:left="993" w:hangingChars="200" w:hanging="520"/>
        <w:jc w:val="both"/>
        <w:rPr>
          <w:sz w:val="26"/>
          <w:szCs w:val="26"/>
        </w:rPr>
      </w:pPr>
      <w:r w:rsidRPr="000B7101">
        <w:rPr>
          <w:color w:val="000000" w:themeColor="text1"/>
          <w:sz w:val="26"/>
          <w:szCs w:val="26"/>
        </w:rPr>
        <w:t>https://doi.org/10.1504/ejim.2010.033001</w:t>
      </w:r>
    </w:p>
    <w:p w14:paraId="512F91AE" w14:textId="77777777" w:rsidR="00E933AC" w:rsidRDefault="002F5DB6" w:rsidP="006878F2">
      <w:pPr>
        <w:spacing w:after="0" w:line="360" w:lineRule="atLeast"/>
        <w:ind w:left="520" w:hangingChars="200" w:hanging="520"/>
        <w:jc w:val="both"/>
        <w:rPr>
          <w:sz w:val="26"/>
          <w:szCs w:val="26"/>
        </w:rPr>
      </w:pPr>
      <w:r w:rsidRPr="007A6659">
        <w:rPr>
          <w:sz w:val="26"/>
          <w:szCs w:val="26"/>
        </w:rPr>
        <w:t xml:space="preserve">Frumkin, P., &amp; Andre-Clark, A. (2000). When missions, markets, and politics collide: Values and strategy in the nonprofit human services. </w:t>
      </w:r>
      <w:r w:rsidRPr="007A6659">
        <w:rPr>
          <w:i/>
          <w:iCs/>
          <w:sz w:val="26"/>
          <w:szCs w:val="26"/>
        </w:rPr>
        <w:t>Nonprofit and Voluntary Sector Quarterly</w:t>
      </w:r>
      <w:r w:rsidRPr="007A6659">
        <w:rPr>
          <w:sz w:val="26"/>
          <w:szCs w:val="26"/>
        </w:rPr>
        <w:t xml:space="preserve">, </w:t>
      </w:r>
      <w:r w:rsidRPr="007A6659">
        <w:rPr>
          <w:i/>
          <w:iCs/>
          <w:sz w:val="26"/>
          <w:szCs w:val="26"/>
        </w:rPr>
        <w:t>29</w:t>
      </w:r>
      <w:r w:rsidRPr="007A6659">
        <w:rPr>
          <w:sz w:val="26"/>
          <w:szCs w:val="26"/>
        </w:rPr>
        <w:t>(suppl. 1), 141-163.</w:t>
      </w:r>
      <w:r w:rsidRPr="00E006DE">
        <w:rPr>
          <w:sz w:val="26"/>
          <w:szCs w:val="26"/>
        </w:rPr>
        <w:t xml:space="preserve"> </w:t>
      </w:r>
    </w:p>
    <w:p w14:paraId="122E370B" w14:textId="588AACCD" w:rsidR="002F5DB6" w:rsidRPr="007A6659" w:rsidRDefault="00006257" w:rsidP="006878F2">
      <w:pPr>
        <w:spacing w:after="0" w:line="360" w:lineRule="atLeast"/>
        <w:ind w:firstLineChars="200" w:firstLine="520"/>
        <w:jc w:val="both"/>
        <w:outlineLvl w:val="0"/>
        <w:rPr>
          <w:sz w:val="26"/>
          <w:szCs w:val="26"/>
        </w:rPr>
      </w:pPr>
      <w:r w:rsidRPr="00ED436B">
        <w:rPr>
          <w:sz w:val="26"/>
          <w:szCs w:val="26"/>
        </w:rPr>
        <w:t>https://doi.org/10.1177/</w:t>
      </w:r>
      <w:r w:rsidR="002F5DB6" w:rsidRPr="00CA51BD">
        <w:rPr>
          <w:sz w:val="26"/>
          <w:szCs w:val="26"/>
        </w:rPr>
        <w:t>0899764000291s007</w:t>
      </w:r>
    </w:p>
    <w:p w14:paraId="4E7E370D" w14:textId="0B616B7B" w:rsidR="00E933AC" w:rsidRDefault="002F5DB6" w:rsidP="006878F2">
      <w:pPr>
        <w:spacing w:after="0" w:line="360" w:lineRule="atLeast"/>
        <w:ind w:left="520" w:hangingChars="200" w:hanging="520"/>
        <w:jc w:val="both"/>
        <w:rPr>
          <w:sz w:val="26"/>
          <w:szCs w:val="26"/>
        </w:rPr>
      </w:pPr>
      <w:r w:rsidRPr="007A6659">
        <w:rPr>
          <w:sz w:val="26"/>
          <w:szCs w:val="26"/>
        </w:rPr>
        <w:t>Garrow, E. E., &amp; Hasenfeld, Y. (201</w:t>
      </w:r>
      <w:r w:rsidR="006878F2">
        <w:rPr>
          <w:sz w:val="26"/>
          <w:szCs w:val="26"/>
        </w:rPr>
        <w:t>2</w:t>
      </w:r>
      <w:r w:rsidRPr="007A6659">
        <w:rPr>
          <w:sz w:val="26"/>
          <w:szCs w:val="26"/>
        </w:rPr>
        <w:t xml:space="preserve">). Institutional logics, moral frames, and advocacy explaining the purpose of advocacy among nonprofit human-service organizations. </w:t>
      </w:r>
      <w:r w:rsidRPr="007A6659">
        <w:rPr>
          <w:i/>
          <w:iCs/>
          <w:sz w:val="26"/>
          <w:szCs w:val="26"/>
        </w:rPr>
        <w:t>Nonprofit and Voluntary Sector Quarterly</w:t>
      </w:r>
      <w:r w:rsidRPr="007A6659">
        <w:rPr>
          <w:sz w:val="26"/>
          <w:szCs w:val="26"/>
        </w:rPr>
        <w:t xml:space="preserve">, </w:t>
      </w:r>
      <w:r w:rsidRPr="007A6659">
        <w:rPr>
          <w:i/>
          <w:iCs/>
          <w:sz w:val="26"/>
          <w:szCs w:val="26"/>
        </w:rPr>
        <w:t>43</w:t>
      </w:r>
      <w:r w:rsidRPr="007A6659">
        <w:rPr>
          <w:sz w:val="26"/>
          <w:szCs w:val="26"/>
        </w:rPr>
        <w:t>(1), 80-98.</w:t>
      </w:r>
      <w:r w:rsidRPr="00E006DE">
        <w:rPr>
          <w:sz w:val="26"/>
          <w:szCs w:val="26"/>
        </w:rPr>
        <w:t xml:space="preserve"> </w:t>
      </w:r>
    </w:p>
    <w:p w14:paraId="12024CD5" w14:textId="5EB7B02C" w:rsidR="002F5DB6" w:rsidRPr="007A6659" w:rsidRDefault="00ED436B" w:rsidP="006878F2">
      <w:pPr>
        <w:spacing w:after="0" w:line="360" w:lineRule="atLeast"/>
        <w:ind w:firstLineChars="200" w:firstLine="520"/>
        <w:jc w:val="both"/>
        <w:outlineLvl w:val="0"/>
        <w:rPr>
          <w:sz w:val="26"/>
          <w:szCs w:val="26"/>
        </w:rPr>
      </w:pPr>
      <w:r w:rsidRPr="00ED436B">
        <w:rPr>
          <w:sz w:val="26"/>
          <w:szCs w:val="26"/>
        </w:rPr>
        <w:t>https://doi.org/</w:t>
      </w:r>
      <w:r w:rsidR="002F5DB6" w:rsidRPr="00D464DB">
        <w:rPr>
          <w:sz w:val="26"/>
          <w:szCs w:val="26"/>
        </w:rPr>
        <w:t>10.1177/0899764012468061</w:t>
      </w:r>
    </w:p>
    <w:p w14:paraId="79102196" w14:textId="77777777" w:rsidR="00F26D24" w:rsidRDefault="002F5DB6" w:rsidP="006878F2">
      <w:pPr>
        <w:spacing w:after="0" w:line="360" w:lineRule="atLeast"/>
        <w:ind w:left="520" w:hangingChars="200" w:hanging="520"/>
        <w:jc w:val="both"/>
        <w:rPr>
          <w:sz w:val="26"/>
          <w:szCs w:val="26"/>
        </w:rPr>
      </w:pPr>
      <w:r>
        <w:rPr>
          <w:sz w:val="26"/>
          <w:szCs w:val="26"/>
        </w:rPr>
        <w:t>Greenpeace International. (2018</w:t>
      </w:r>
      <w:r w:rsidRPr="007A6659">
        <w:rPr>
          <w:sz w:val="26"/>
          <w:szCs w:val="26"/>
        </w:rPr>
        <w:t xml:space="preserve">). </w:t>
      </w:r>
      <w:r w:rsidR="00F26D24" w:rsidRPr="00F26D24">
        <w:rPr>
          <w:sz w:val="26"/>
          <w:szCs w:val="26"/>
        </w:rPr>
        <w:t>Retrieved from</w:t>
      </w:r>
    </w:p>
    <w:p w14:paraId="7D4A44D1" w14:textId="5B14223E" w:rsidR="002F5DB6" w:rsidRDefault="00E933AC" w:rsidP="006878F2">
      <w:pPr>
        <w:spacing w:after="0" w:line="360" w:lineRule="atLeast"/>
        <w:ind w:firstLineChars="200" w:firstLine="520"/>
        <w:jc w:val="both"/>
        <w:rPr>
          <w:sz w:val="26"/>
          <w:szCs w:val="26"/>
        </w:rPr>
      </w:pPr>
      <w:r w:rsidRPr="004A46DD">
        <w:rPr>
          <w:rStyle w:val="a3"/>
          <w:color w:val="auto"/>
          <w:sz w:val="26"/>
          <w:szCs w:val="26"/>
          <w:u w:val="none"/>
        </w:rPr>
        <w:t>http://www.greenpeace.org /international/en/</w:t>
      </w:r>
      <w:r w:rsidR="002F5DB6" w:rsidRPr="007A6659">
        <w:rPr>
          <w:sz w:val="26"/>
          <w:szCs w:val="26"/>
        </w:rPr>
        <w:t>.</w:t>
      </w:r>
      <w:r w:rsidR="00F26D24">
        <w:rPr>
          <w:sz w:val="26"/>
          <w:szCs w:val="26"/>
        </w:rPr>
        <w:t xml:space="preserve"> </w:t>
      </w:r>
      <w:r w:rsidR="002F5DB6" w:rsidRPr="007A6659">
        <w:rPr>
          <w:sz w:val="26"/>
          <w:szCs w:val="26"/>
        </w:rPr>
        <w:t xml:space="preserve">Accessed 21 </w:t>
      </w:r>
      <w:r w:rsidR="002F5DB6">
        <w:rPr>
          <w:sz w:val="26"/>
          <w:szCs w:val="26"/>
        </w:rPr>
        <w:t>January 2018</w:t>
      </w:r>
      <w:r w:rsidR="002F5DB6" w:rsidRPr="007A6659">
        <w:rPr>
          <w:sz w:val="26"/>
          <w:szCs w:val="26"/>
        </w:rPr>
        <w:t xml:space="preserve">. </w:t>
      </w:r>
    </w:p>
    <w:p w14:paraId="7BBF9532" w14:textId="76312B8C" w:rsidR="00E933AC" w:rsidRDefault="002F5DB6" w:rsidP="006878F2">
      <w:pPr>
        <w:spacing w:after="0" w:line="360" w:lineRule="atLeast"/>
        <w:ind w:left="520" w:hangingChars="200" w:hanging="520"/>
        <w:jc w:val="both"/>
        <w:rPr>
          <w:rFonts w:ascii="Georgia" w:hAnsi="Georgia"/>
          <w:color w:val="333333"/>
          <w:shd w:val="clear" w:color="auto" w:fill="FFFFFF"/>
        </w:rPr>
      </w:pPr>
      <w:r>
        <w:rPr>
          <w:sz w:val="26"/>
          <w:szCs w:val="26"/>
        </w:rPr>
        <w:t>Greenpeace Internationa</w:t>
      </w:r>
      <w:r w:rsidR="000434DD">
        <w:rPr>
          <w:sz w:val="26"/>
          <w:szCs w:val="26"/>
        </w:rPr>
        <w:t xml:space="preserve">l. (1997). 1996 Annual Report. </w:t>
      </w:r>
      <w:r w:rsidR="00F26D24">
        <w:rPr>
          <w:rFonts w:ascii="Georgia" w:hAnsi="Georgia"/>
          <w:color w:val="333333"/>
          <w:shd w:val="clear" w:color="auto" w:fill="FFFFFF"/>
        </w:rPr>
        <w:t>Retrieved from</w:t>
      </w:r>
      <w:r w:rsidR="00E933AC">
        <w:rPr>
          <w:rFonts w:ascii="Georgia" w:hAnsi="Georgia"/>
          <w:color w:val="333333"/>
          <w:shd w:val="clear" w:color="auto" w:fill="FFFFFF"/>
        </w:rPr>
        <w:t xml:space="preserve"> </w:t>
      </w:r>
    </w:p>
    <w:p w14:paraId="253F0408" w14:textId="1F0DC5EE" w:rsidR="002F5DB6" w:rsidRPr="006878F2" w:rsidRDefault="00E933AC" w:rsidP="006878F2">
      <w:pPr>
        <w:spacing w:after="0" w:line="360" w:lineRule="atLeast"/>
        <w:ind w:leftChars="200" w:left="480"/>
        <w:jc w:val="both"/>
        <w:rPr>
          <w:rStyle w:val="a3"/>
          <w:color w:val="auto"/>
          <w:u w:val="none"/>
        </w:rPr>
      </w:pPr>
      <w:r w:rsidRPr="006878F2">
        <w:rPr>
          <w:rStyle w:val="a3"/>
          <w:color w:val="auto"/>
          <w:u w:val="none"/>
        </w:rPr>
        <w:t>http://www.greenpeace.org/international/Global/international/planet-2/report/2006/11</w:t>
      </w:r>
      <w:r>
        <w:rPr>
          <w:rStyle w:val="a3"/>
          <w:color w:val="auto"/>
          <w:u w:val="none"/>
        </w:rPr>
        <w:t xml:space="preserve"> </w:t>
      </w:r>
      <w:r w:rsidR="002F5DB6" w:rsidRPr="006878F2">
        <w:rPr>
          <w:rStyle w:val="a3"/>
          <w:color w:val="auto"/>
          <w:u w:val="none"/>
        </w:rPr>
        <w:t>/annual</w:t>
      </w:r>
      <w:r>
        <w:rPr>
          <w:rStyle w:val="a3"/>
          <w:color w:val="auto"/>
          <w:u w:val="none"/>
        </w:rPr>
        <w:t xml:space="preserve"> </w:t>
      </w:r>
      <w:r w:rsidR="002F5DB6" w:rsidRPr="006878F2">
        <w:rPr>
          <w:rStyle w:val="a3"/>
          <w:color w:val="auto"/>
          <w:u w:val="none"/>
        </w:rPr>
        <w:t>-report-1996.pdf</w:t>
      </w:r>
      <w:r>
        <w:rPr>
          <w:rStyle w:val="a3"/>
          <w:color w:val="auto"/>
          <w:u w:val="none"/>
        </w:rPr>
        <w:t>.</w:t>
      </w:r>
      <w:r w:rsidR="002F5DB6" w:rsidRPr="006878F2">
        <w:rPr>
          <w:rStyle w:val="a3"/>
          <w:color w:val="auto"/>
          <w:u w:val="none"/>
        </w:rPr>
        <w:t xml:space="preserve"> </w:t>
      </w:r>
    </w:p>
    <w:p w14:paraId="7D8A755A" w14:textId="6F82DB5D" w:rsidR="002F5DB6" w:rsidRPr="002213DA" w:rsidRDefault="002F5DB6" w:rsidP="006878F2">
      <w:pPr>
        <w:spacing w:after="0" w:line="360" w:lineRule="atLeast"/>
        <w:ind w:left="520" w:hangingChars="200" w:hanging="520"/>
        <w:jc w:val="both"/>
        <w:rPr>
          <w:sz w:val="26"/>
          <w:szCs w:val="26"/>
        </w:rPr>
      </w:pPr>
      <w:r w:rsidRPr="007A6659">
        <w:rPr>
          <w:sz w:val="26"/>
          <w:szCs w:val="26"/>
        </w:rPr>
        <w:t xml:space="preserve">Guehlstorf, N. P., &amp; Hallstrom, L. K. (2005). The role of culture in risk regulations: </w:t>
      </w:r>
      <w:r w:rsidR="00ED436B" w:rsidRPr="007A6659">
        <w:rPr>
          <w:sz w:val="26"/>
          <w:szCs w:val="26"/>
        </w:rPr>
        <w:t>A</w:t>
      </w:r>
      <w:r w:rsidRPr="007A6659">
        <w:rPr>
          <w:sz w:val="26"/>
          <w:szCs w:val="26"/>
        </w:rPr>
        <w:t xml:space="preserve"> comparative case study of genetically modified corn in the United States of America and European Union. </w:t>
      </w:r>
      <w:r w:rsidRPr="007A6659">
        <w:rPr>
          <w:i/>
          <w:sz w:val="26"/>
          <w:szCs w:val="26"/>
        </w:rPr>
        <w:t>Environmental Science &amp; Policy, 8</w:t>
      </w:r>
      <w:r w:rsidRPr="002213DA">
        <w:rPr>
          <w:rFonts w:hint="eastAsia"/>
          <w:sz w:val="26"/>
          <w:szCs w:val="26"/>
          <w:lang w:eastAsia="zh-TW"/>
        </w:rPr>
        <w:t>(4)</w:t>
      </w:r>
      <w:r w:rsidRPr="007A6659">
        <w:rPr>
          <w:sz w:val="26"/>
          <w:szCs w:val="26"/>
        </w:rPr>
        <w:t>, 327-342.</w:t>
      </w:r>
      <w:r w:rsidRPr="002213DA">
        <w:t xml:space="preserve"> </w:t>
      </w:r>
      <w:r w:rsidRPr="002213DA">
        <w:rPr>
          <w:sz w:val="26"/>
          <w:szCs w:val="26"/>
        </w:rPr>
        <w:t>https://doi.org/10.1016/j.envsci.2005.04.007</w:t>
      </w:r>
    </w:p>
    <w:p w14:paraId="43C504B7" w14:textId="78E34BA4" w:rsidR="002F5DB6" w:rsidRPr="00847473" w:rsidRDefault="002F5DB6" w:rsidP="00466C51">
      <w:pPr>
        <w:spacing w:after="0" w:line="360" w:lineRule="atLeast"/>
        <w:ind w:left="520" w:hangingChars="200" w:hanging="520"/>
        <w:jc w:val="both"/>
        <w:rPr>
          <w:sz w:val="26"/>
          <w:szCs w:val="26"/>
        </w:rPr>
      </w:pPr>
      <w:r w:rsidRPr="005F5EFB">
        <w:rPr>
          <w:sz w:val="26"/>
          <w:szCs w:val="26"/>
        </w:rPr>
        <w:t>Hiatt, S. R., &amp; Park, S. (201</w:t>
      </w:r>
      <w:r w:rsidR="0027338D">
        <w:rPr>
          <w:sz w:val="26"/>
          <w:szCs w:val="26"/>
        </w:rPr>
        <w:t>3</w:t>
      </w:r>
      <w:r w:rsidRPr="005F5EFB">
        <w:rPr>
          <w:sz w:val="26"/>
          <w:szCs w:val="26"/>
        </w:rPr>
        <w:t xml:space="preserve">). Lords of the harvest: Third-party influence and regulatory approval of genetically modified organisms. </w:t>
      </w:r>
      <w:r w:rsidRPr="005F5EFB">
        <w:rPr>
          <w:i/>
          <w:sz w:val="26"/>
          <w:szCs w:val="26"/>
        </w:rPr>
        <w:t>Academy of Management Journal</w:t>
      </w:r>
      <w:r w:rsidRPr="005F5EFB">
        <w:rPr>
          <w:sz w:val="26"/>
          <w:szCs w:val="26"/>
        </w:rPr>
        <w:t xml:space="preserve">, </w:t>
      </w:r>
      <w:r w:rsidRPr="005F5EFB">
        <w:rPr>
          <w:i/>
          <w:sz w:val="26"/>
          <w:szCs w:val="26"/>
        </w:rPr>
        <w:t>56</w:t>
      </w:r>
      <w:r w:rsidRPr="005F5EFB">
        <w:rPr>
          <w:sz w:val="26"/>
          <w:szCs w:val="26"/>
        </w:rPr>
        <w:t xml:space="preserve">(4), 923-944. </w:t>
      </w:r>
      <w:r w:rsidRPr="00847473">
        <w:rPr>
          <w:sz w:val="26"/>
          <w:szCs w:val="26"/>
        </w:rPr>
        <w:t>https://doi.org/10.5465/amj.2011.0128</w:t>
      </w:r>
    </w:p>
    <w:p w14:paraId="7852C69B" w14:textId="42D9DA59" w:rsidR="002F5DB6" w:rsidRPr="00847473" w:rsidRDefault="002F5DB6" w:rsidP="00466C51">
      <w:pPr>
        <w:spacing w:after="0" w:line="360" w:lineRule="atLeast"/>
        <w:ind w:left="520" w:hangingChars="200" w:hanging="520"/>
        <w:jc w:val="both"/>
      </w:pPr>
      <w:r w:rsidRPr="007A6659">
        <w:rPr>
          <w:sz w:val="26"/>
          <w:szCs w:val="26"/>
        </w:rPr>
        <w:t xml:space="preserve">Hillman, A., &amp; Keim, G. (1995). International variation in the business-government interface: </w:t>
      </w:r>
      <w:r w:rsidR="00ED436B" w:rsidRPr="007A6659">
        <w:rPr>
          <w:sz w:val="26"/>
          <w:szCs w:val="26"/>
        </w:rPr>
        <w:t>I</w:t>
      </w:r>
      <w:r w:rsidRPr="007A6659">
        <w:rPr>
          <w:sz w:val="26"/>
          <w:szCs w:val="26"/>
        </w:rPr>
        <w:t xml:space="preserve">nstitutional and organizational considerations. </w:t>
      </w:r>
      <w:r>
        <w:rPr>
          <w:i/>
          <w:sz w:val="26"/>
          <w:szCs w:val="26"/>
        </w:rPr>
        <w:t xml:space="preserve">Academy of Management Review, </w:t>
      </w:r>
      <w:r w:rsidRPr="007A6659">
        <w:rPr>
          <w:i/>
          <w:sz w:val="26"/>
          <w:szCs w:val="26"/>
        </w:rPr>
        <w:t>20</w:t>
      </w:r>
      <w:r w:rsidRPr="00847473">
        <w:rPr>
          <w:rFonts w:hint="eastAsia"/>
          <w:sz w:val="26"/>
          <w:szCs w:val="26"/>
          <w:lang w:eastAsia="zh-TW"/>
        </w:rPr>
        <w:t>(1)</w:t>
      </w:r>
      <w:r w:rsidRPr="007A6659">
        <w:rPr>
          <w:sz w:val="26"/>
          <w:szCs w:val="26"/>
        </w:rPr>
        <w:t>, 193-214.</w:t>
      </w:r>
      <w:r w:rsidRPr="00847473">
        <w:rPr>
          <w:sz w:val="26"/>
          <w:szCs w:val="26"/>
        </w:rPr>
        <w:t xml:space="preserve"> https://doi.org/10.2307/258892</w:t>
      </w:r>
    </w:p>
    <w:p w14:paraId="57FCAAB1" w14:textId="77777777" w:rsidR="00E933AC" w:rsidRDefault="002F5DB6" w:rsidP="006878F2">
      <w:pPr>
        <w:spacing w:after="0" w:line="360" w:lineRule="atLeast"/>
        <w:ind w:left="520" w:hangingChars="200" w:hanging="520"/>
        <w:jc w:val="both"/>
        <w:rPr>
          <w:sz w:val="26"/>
          <w:szCs w:val="26"/>
        </w:rPr>
      </w:pPr>
      <w:r w:rsidRPr="007A6659">
        <w:rPr>
          <w:sz w:val="26"/>
          <w:szCs w:val="26"/>
        </w:rPr>
        <w:t xml:space="preserve">Hinz, V., &amp; Ingerfurth, S. (2013). Does ownership matter under challenging conditions?: On the relationship between organizational entrepreneurship and performance in the healthcare sector. </w:t>
      </w:r>
      <w:r w:rsidRPr="007A6659">
        <w:rPr>
          <w:i/>
          <w:iCs/>
          <w:sz w:val="26"/>
          <w:szCs w:val="26"/>
        </w:rPr>
        <w:t>Public Management Review</w:t>
      </w:r>
      <w:r w:rsidRPr="007A6659">
        <w:rPr>
          <w:sz w:val="26"/>
          <w:szCs w:val="26"/>
        </w:rPr>
        <w:t xml:space="preserve">, </w:t>
      </w:r>
      <w:r w:rsidRPr="007A6659">
        <w:rPr>
          <w:i/>
          <w:iCs/>
          <w:sz w:val="26"/>
          <w:szCs w:val="26"/>
        </w:rPr>
        <w:t>15</w:t>
      </w:r>
      <w:r w:rsidRPr="007A6659">
        <w:rPr>
          <w:sz w:val="26"/>
          <w:szCs w:val="26"/>
        </w:rPr>
        <w:t>(7), 969-991.</w:t>
      </w:r>
      <w:r w:rsidRPr="00847473">
        <w:rPr>
          <w:sz w:val="26"/>
          <w:szCs w:val="26"/>
        </w:rPr>
        <w:t xml:space="preserve"> </w:t>
      </w:r>
    </w:p>
    <w:p w14:paraId="1A9A1841" w14:textId="132D26DD" w:rsidR="002F5DB6" w:rsidRPr="00847473" w:rsidRDefault="002F5DB6" w:rsidP="006878F2">
      <w:pPr>
        <w:spacing w:after="0" w:line="360" w:lineRule="atLeast"/>
        <w:ind w:firstLineChars="200" w:firstLine="520"/>
        <w:jc w:val="both"/>
        <w:outlineLvl w:val="0"/>
        <w:rPr>
          <w:sz w:val="26"/>
          <w:szCs w:val="26"/>
        </w:rPr>
      </w:pPr>
      <w:r w:rsidRPr="00847473">
        <w:rPr>
          <w:sz w:val="26"/>
          <w:szCs w:val="26"/>
        </w:rPr>
        <w:t>https://doi.org/10.1080/14719037.2012.757348</w:t>
      </w:r>
    </w:p>
    <w:p w14:paraId="4638A89A" w14:textId="77777777" w:rsidR="00E933AC" w:rsidRDefault="002F5DB6" w:rsidP="006878F2">
      <w:pPr>
        <w:spacing w:after="0" w:line="360" w:lineRule="atLeast"/>
        <w:ind w:left="520" w:hangingChars="200" w:hanging="520"/>
        <w:jc w:val="both"/>
        <w:rPr>
          <w:sz w:val="26"/>
          <w:szCs w:val="26"/>
        </w:rPr>
      </w:pPr>
      <w:r w:rsidRPr="007A6659">
        <w:rPr>
          <w:sz w:val="26"/>
          <w:szCs w:val="26"/>
        </w:rPr>
        <w:t xml:space="preserve">Hitt, M. A., Ahlstrom, D., Dacin, M. T., Levitas, E., &amp; Svobodina, L. (2004). The institutional effects on strategic partner selection in transition economies: China vs. Russia. </w:t>
      </w:r>
      <w:r w:rsidRPr="007A6659">
        <w:rPr>
          <w:i/>
          <w:sz w:val="26"/>
          <w:szCs w:val="26"/>
        </w:rPr>
        <w:t>Organizational Science, 15</w:t>
      </w:r>
      <w:r w:rsidRPr="00847473">
        <w:rPr>
          <w:rFonts w:hint="eastAsia"/>
          <w:sz w:val="26"/>
          <w:szCs w:val="26"/>
          <w:lang w:eastAsia="zh-TW"/>
        </w:rPr>
        <w:t>(2)</w:t>
      </w:r>
      <w:r w:rsidR="00ED436B">
        <w:rPr>
          <w:sz w:val="26"/>
          <w:szCs w:val="26"/>
        </w:rPr>
        <w:t xml:space="preserve">, 173-185. </w:t>
      </w:r>
    </w:p>
    <w:p w14:paraId="24A1377A" w14:textId="2E728256" w:rsidR="002F5DB6" w:rsidRPr="00032508" w:rsidRDefault="00ED436B" w:rsidP="006878F2">
      <w:pPr>
        <w:spacing w:after="0" w:line="360" w:lineRule="atLeast"/>
        <w:ind w:firstLineChars="200" w:firstLine="520"/>
        <w:jc w:val="both"/>
        <w:outlineLvl w:val="0"/>
        <w:rPr>
          <w:sz w:val="26"/>
          <w:szCs w:val="26"/>
        </w:rPr>
      </w:pPr>
      <w:r w:rsidRPr="00ED436B">
        <w:rPr>
          <w:sz w:val="26"/>
          <w:szCs w:val="26"/>
        </w:rPr>
        <w:t>https://doi.org/</w:t>
      </w:r>
      <w:r w:rsidR="002F5DB6" w:rsidRPr="00032508">
        <w:rPr>
          <w:sz w:val="26"/>
          <w:szCs w:val="26"/>
        </w:rPr>
        <w:t>10.1287/orsc.1030.0045</w:t>
      </w:r>
    </w:p>
    <w:p w14:paraId="57DA1032" w14:textId="3A9A6744" w:rsidR="002F5DB6" w:rsidRPr="00032508" w:rsidRDefault="002F5DB6" w:rsidP="00466C51">
      <w:pPr>
        <w:spacing w:after="0" w:line="360" w:lineRule="atLeast"/>
        <w:ind w:left="520" w:hangingChars="200" w:hanging="520"/>
        <w:jc w:val="both"/>
        <w:rPr>
          <w:sz w:val="26"/>
          <w:szCs w:val="26"/>
        </w:rPr>
      </w:pPr>
      <w:r w:rsidRPr="007A6659">
        <w:rPr>
          <w:sz w:val="26"/>
          <w:szCs w:val="26"/>
        </w:rPr>
        <w:t xml:space="preserve">Holtbrügge, D., &amp; Dögl, C. (2012). How international is corporate environmental responsibility? A literature review. </w:t>
      </w:r>
      <w:r w:rsidRPr="007A6659">
        <w:rPr>
          <w:i/>
          <w:iCs/>
          <w:sz w:val="26"/>
          <w:szCs w:val="26"/>
        </w:rPr>
        <w:t>Journal of International Management</w:t>
      </w:r>
      <w:r w:rsidRPr="007A6659">
        <w:rPr>
          <w:sz w:val="26"/>
          <w:szCs w:val="26"/>
        </w:rPr>
        <w:t xml:space="preserve">, </w:t>
      </w:r>
      <w:r w:rsidRPr="007A6659">
        <w:rPr>
          <w:i/>
          <w:iCs/>
          <w:sz w:val="26"/>
          <w:szCs w:val="26"/>
        </w:rPr>
        <w:t>18</w:t>
      </w:r>
      <w:r w:rsidRPr="007A6659">
        <w:rPr>
          <w:sz w:val="26"/>
          <w:szCs w:val="26"/>
        </w:rPr>
        <w:t>(2), 180-195.</w:t>
      </w:r>
      <w:r w:rsidRPr="00032508">
        <w:t xml:space="preserve"> </w:t>
      </w:r>
      <w:r w:rsidRPr="00032508">
        <w:rPr>
          <w:sz w:val="26"/>
          <w:szCs w:val="26"/>
        </w:rPr>
        <w:t>https://doi.org/10.1016/j.intman.2012.02.001</w:t>
      </w:r>
    </w:p>
    <w:p w14:paraId="6CD97770" w14:textId="50787ADD" w:rsidR="00E933AC" w:rsidRDefault="002F5DB6" w:rsidP="006878F2">
      <w:pPr>
        <w:spacing w:after="0" w:line="360" w:lineRule="atLeast"/>
        <w:ind w:left="520" w:hangingChars="200" w:hanging="520"/>
        <w:jc w:val="both"/>
        <w:rPr>
          <w:sz w:val="26"/>
          <w:szCs w:val="26"/>
        </w:rPr>
      </w:pPr>
      <w:r>
        <w:rPr>
          <w:sz w:val="26"/>
          <w:szCs w:val="26"/>
        </w:rPr>
        <w:t>Hofstede Center. (201</w:t>
      </w:r>
      <w:r w:rsidR="00DA42F6">
        <w:rPr>
          <w:sz w:val="26"/>
          <w:szCs w:val="26"/>
        </w:rPr>
        <w:t>8</w:t>
      </w:r>
      <w:r w:rsidRPr="007A6659">
        <w:rPr>
          <w:sz w:val="26"/>
          <w:szCs w:val="26"/>
        </w:rPr>
        <w:t xml:space="preserve">). </w:t>
      </w:r>
      <w:r w:rsidR="00E933AC" w:rsidRPr="00E933AC">
        <w:rPr>
          <w:sz w:val="26"/>
          <w:szCs w:val="26"/>
        </w:rPr>
        <w:t>Retrieved from</w:t>
      </w:r>
      <w:r w:rsidR="00466C51">
        <w:rPr>
          <w:rFonts w:hint="eastAsia"/>
          <w:sz w:val="26"/>
          <w:szCs w:val="26"/>
          <w:lang w:eastAsia="zh-TW"/>
        </w:rPr>
        <w:t xml:space="preserve"> </w:t>
      </w:r>
    </w:p>
    <w:p w14:paraId="63AC35F0" w14:textId="6D97095F" w:rsidR="002F5DB6" w:rsidRPr="007A6659" w:rsidRDefault="00DA42F6" w:rsidP="006878F2">
      <w:pPr>
        <w:spacing w:after="0" w:line="360" w:lineRule="atLeast"/>
        <w:ind w:leftChars="200" w:left="480"/>
        <w:jc w:val="both"/>
        <w:outlineLvl w:val="0"/>
        <w:rPr>
          <w:sz w:val="26"/>
          <w:szCs w:val="26"/>
        </w:rPr>
      </w:pPr>
      <w:r w:rsidRPr="00CE6699">
        <w:rPr>
          <w:sz w:val="26"/>
          <w:szCs w:val="26"/>
        </w:rPr>
        <w:t>https://www.hofstede-insights.com/country-comparison</w:t>
      </w:r>
      <w:r w:rsidR="002F5DB6" w:rsidRPr="00CE6699">
        <w:rPr>
          <w:sz w:val="26"/>
          <w:szCs w:val="26"/>
        </w:rPr>
        <w:t>/</w:t>
      </w:r>
    </w:p>
    <w:p w14:paraId="4471C6AC" w14:textId="1F72ED74" w:rsidR="00F726D7" w:rsidRPr="007A6659" w:rsidRDefault="005E7420" w:rsidP="00466C51">
      <w:pPr>
        <w:spacing w:after="0" w:line="360" w:lineRule="atLeast"/>
        <w:ind w:left="520" w:hangingChars="200" w:hanging="520"/>
        <w:jc w:val="both"/>
        <w:rPr>
          <w:sz w:val="26"/>
          <w:szCs w:val="26"/>
        </w:rPr>
      </w:pPr>
      <w:r w:rsidRPr="007A6659">
        <w:rPr>
          <w:sz w:val="26"/>
          <w:szCs w:val="26"/>
        </w:rPr>
        <w:t xml:space="preserve">Hull, C. E., &amp; Lio, B. H. (2006). Innovation in non-profit and for-profit organizations: Visionary, strategic, and financial considerations.  </w:t>
      </w:r>
      <w:r w:rsidRPr="007A6659">
        <w:rPr>
          <w:i/>
          <w:sz w:val="26"/>
          <w:szCs w:val="26"/>
        </w:rPr>
        <w:t>Journal of Change Management, 6</w:t>
      </w:r>
      <w:r w:rsidRPr="007A6659">
        <w:rPr>
          <w:sz w:val="26"/>
          <w:szCs w:val="26"/>
        </w:rPr>
        <w:t>(1), 53-65.</w:t>
      </w:r>
      <w:r w:rsidR="00F726D7" w:rsidRPr="00F726D7">
        <w:rPr>
          <w:sz w:val="26"/>
          <w:szCs w:val="26"/>
        </w:rPr>
        <w:t>https://doi.org/10.1080/14697010500523418</w:t>
      </w:r>
    </w:p>
    <w:p w14:paraId="017EE2A7" w14:textId="77777777" w:rsidR="005E7420" w:rsidRPr="007A6659" w:rsidRDefault="005E7420" w:rsidP="00FD119F">
      <w:pPr>
        <w:spacing w:after="0" w:line="360" w:lineRule="atLeast"/>
        <w:ind w:left="520" w:hangingChars="200" w:hanging="520"/>
        <w:jc w:val="both"/>
        <w:rPr>
          <w:sz w:val="26"/>
          <w:szCs w:val="26"/>
        </w:rPr>
      </w:pPr>
      <w:r w:rsidRPr="007A6659">
        <w:rPr>
          <w:sz w:val="26"/>
          <w:szCs w:val="26"/>
        </w:rPr>
        <w:t xml:space="preserve">Hull, C. E., &amp; Luxmore, S. R. (2007). Influencing the acceptance of innovation: a tale of two perspectives on genetically-modified organisms. </w:t>
      </w:r>
      <w:r w:rsidRPr="007A6659">
        <w:rPr>
          <w:i/>
          <w:sz w:val="26"/>
          <w:szCs w:val="26"/>
        </w:rPr>
        <w:t>International Journal of Business Strategy, 7</w:t>
      </w:r>
      <w:r w:rsidRPr="007A6659">
        <w:rPr>
          <w:sz w:val="26"/>
          <w:szCs w:val="26"/>
        </w:rPr>
        <w:t>(2), 12–17.</w:t>
      </w:r>
    </w:p>
    <w:p w14:paraId="609E27FB" w14:textId="567E59CD" w:rsidR="002F5DB6" w:rsidRPr="007A6659" w:rsidRDefault="002F5DB6" w:rsidP="006878F2">
      <w:pPr>
        <w:spacing w:after="0" w:line="360" w:lineRule="atLeast"/>
        <w:ind w:left="520" w:hangingChars="200" w:hanging="520"/>
        <w:jc w:val="both"/>
        <w:rPr>
          <w:sz w:val="26"/>
          <w:szCs w:val="26"/>
        </w:rPr>
      </w:pPr>
      <w:r w:rsidRPr="007A6659">
        <w:rPr>
          <w:sz w:val="26"/>
          <w:szCs w:val="26"/>
        </w:rPr>
        <w:t xml:space="preserve">Ioannou, I., &amp; Serafeim, G. (2010). What drives corporate social performance?: </w:t>
      </w:r>
      <w:r>
        <w:rPr>
          <w:sz w:val="26"/>
          <w:szCs w:val="26"/>
        </w:rPr>
        <w:t>I</w:t>
      </w:r>
      <w:r w:rsidRPr="007A6659">
        <w:rPr>
          <w:sz w:val="26"/>
          <w:szCs w:val="26"/>
        </w:rPr>
        <w:t>nternational evidence from social, environmental and governance sources. Working Paper 11-01</w:t>
      </w:r>
      <w:r w:rsidR="00ED436B">
        <w:rPr>
          <w:sz w:val="26"/>
          <w:szCs w:val="26"/>
        </w:rPr>
        <w:t xml:space="preserve">6. </w:t>
      </w:r>
      <w:r w:rsidRPr="007A6659">
        <w:rPr>
          <w:sz w:val="26"/>
          <w:szCs w:val="26"/>
        </w:rPr>
        <w:t>Cambridge: Harvard Business School.</w:t>
      </w:r>
    </w:p>
    <w:p w14:paraId="2E70A253" w14:textId="4883C4C5" w:rsidR="002F5DB6" w:rsidRPr="007A6659" w:rsidRDefault="002F5DB6" w:rsidP="006878F2">
      <w:pPr>
        <w:spacing w:after="0" w:line="360" w:lineRule="atLeast"/>
        <w:ind w:left="520" w:hangingChars="200" w:hanging="520"/>
        <w:jc w:val="both"/>
        <w:rPr>
          <w:sz w:val="26"/>
          <w:szCs w:val="26"/>
        </w:rPr>
      </w:pPr>
      <w:r w:rsidRPr="000B7101">
        <w:rPr>
          <w:color w:val="000000" w:themeColor="text1"/>
          <w:sz w:val="26"/>
          <w:szCs w:val="26"/>
        </w:rPr>
        <w:t>Isaac, G. E., &amp; Kerr, W. A.</w:t>
      </w:r>
      <w:r w:rsidRPr="007A6659">
        <w:rPr>
          <w:sz w:val="26"/>
          <w:szCs w:val="26"/>
        </w:rPr>
        <w:t xml:space="preserve"> (2003). Genetically modified organisms at the World Trade Organization: </w:t>
      </w:r>
      <w:r w:rsidR="00E933AC" w:rsidRPr="007A6659">
        <w:rPr>
          <w:sz w:val="26"/>
          <w:szCs w:val="26"/>
        </w:rPr>
        <w:t xml:space="preserve">A </w:t>
      </w:r>
      <w:r w:rsidRPr="007A6659">
        <w:rPr>
          <w:sz w:val="26"/>
          <w:szCs w:val="26"/>
        </w:rPr>
        <w:t xml:space="preserve">harvest of trouble. </w:t>
      </w:r>
      <w:r w:rsidRPr="007A6659">
        <w:rPr>
          <w:i/>
          <w:sz w:val="26"/>
          <w:szCs w:val="26"/>
        </w:rPr>
        <w:t>Journal of World Trade, 37</w:t>
      </w:r>
      <w:r w:rsidR="00E64899" w:rsidRPr="006878F2">
        <w:rPr>
          <w:sz w:val="26"/>
          <w:szCs w:val="26"/>
        </w:rPr>
        <w:t>(6)</w:t>
      </w:r>
      <w:r w:rsidRPr="007A6659">
        <w:rPr>
          <w:sz w:val="26"/>
          <w:szCs w:val="26"/>
        </w:rPr>
        <w:t>, 1083-1095.</w:t>
      </w:r>
    </w:p>
    <w:p w14:paraId="4FFFBC9B" w14:textId="77777777" w:rsidR="00E64899" w:rsidRDefault="002F5DB6" w:rsidP="006878F2">
      <w:pPr>
        <w:spacing w:after="0" w:line="360" w:lineRule="atLeast"/>
        <w:ind w:left="520" w:hangingChars="200" w:hanging="520"/>
        <w:jc w:val="both"/>
      </w:pPr>
      <w:r w:rsidRPr="007A6659">
        <w:rPr>
          <w:sz w:val="26"/>
          <w:szCs w:val="26"/>
        </w:rPr>
        <w:t xml:space="preserve">Isaac, G. E., Perdikis, N., &amp; Kerr, W. A. (2004). Cracking export markets with genetically modified crops: what is the entry mode strategy? </w:t>
      </w:r>
      <w:r w:rsidRPr="007A6659">
        <w:rPr>
          <w:i/>
          <w:sz w:val="26"/>
          <w:szCs w:val="26"/>
        </w:rPr>
        <w:t>International Marketing Review, 21</w:t>
      </w:r>
      <w:r>
        <w:rPr>
          <w:sz w:val="26"/>
          <w:szCs w:val="26"/>
        </w:rPr>
        <w:t xml:space="preserve"> (4/5)</w:t>
      </w:r>
      <w:r w:rsidRPr="007A6659">
        <w:rPr>
          <w:sz w:val="26"/>
          <w:szCs w:val="26"/>
        </w:rPr>
        <w:t>, 536-548.</w:t>
      </w:r>
      <w:r w:rsidRPr="00032508">
        <w:t xml:space="preserve"> </w:t>
      </w:r>
    </w:p>
    <w:p w14:paraId="32101156" w14:textId="20F372CF" w:rsidR="002F5DB6" w:rsidRPr="00032508" w:rsidRDefault="00ED436B" w:rsidP="006878F2">
      <w:pPr>
        <w:spacing w:after="0" w:line="360" w:lineRule="atLeast"/>
        <w:ind w:firstLineChars="200" w:firstLine="520"/>
        <w:jc w:val="both"/>
        <w:outlineLvl w:val="0"/>
        <w:rPr>
          <w:sz w:val="26"/>
          <w:szCs w:val="26"/>
        </w:rPr>
      </w:pPr>
      <w:r w:rsidRPr="00ED436B">
        <w:rPr>
          <w:sz w:val="26"/>
          <w:szCs w:val="26"/>
        </w:rPr>
        <w:t>https://doi.org/10.1108/</w:t>
      </w:r>
      <w:r>
        <w:rPr>
          <w:sz w:val="26"/>
          <w:szCs w:val="26"/>
        </w:rPr>
        <w:t xml:space="preserve"> </w:t>
      </w:r>
      <w:r w:rsidR="002F5DB6" w:rsidRPr="00032508">
        <w:rPr>
          <w:sz w:val="26"/>
          <w:szCs w:val="26"/>
        </w:rPr>
        <w:t>02651330410547180</w:t>
      </w:r>
    </w:p>
    <w:p w14:paraId="677DC859" w14:textId="77777777" w:rsidR="000B52A6" w:rsidRDefault="002F5DB6" w:rsidP="006878F2">
      <w:pPr>
        <w:spacing w:after="0" w:line="360" w:lineRule="atLeast"/>
        <w:ind w:left="520" w:hangingChars="200" w:hanging="520"/>
        <w:jc w:val="both"/>
      </w:pPr>
      <w:r w:rsidRPr="007A6659">
        <w:rPr>
          <w:sz w:val="26"/>
          <w:szCs w:val="26"/>
        </w:rPr>
        <w:t xml:space="preserve">Kourula, A. (2010). Corporate engagement with non-governmental organizations in different institutional contexts—A case study of a forest products company. </w:t>
      </w:r>
      <w:r w:rsidRPr="007A6659">
        <w:rPr>
          <w:i/>
          <w:sz w:val="26"/>
          <w:szCs w:val="26"/>
        </w:rPr>
        <w:t>Journal of World Business, 45</w:t>
      </w:r>
      <w:r w:rsidRPr="007A6659">
        <w:rPr>
          <w:sz w:val="26"/>
          <w:szCs w:val="26"/>
        </w:rPr>
        <w:t>(4), 395-404.</w:t>
      </w:r>
      <w:r w:rsidRPr="00032508">
        <w:t xml:space="preserve"> </w:t>
      </w:r>
    </w:p>
    <w:p w14:paraId="2D75D926" w14:textId="5F7BE3DC" w:rsidR="002F5DB6" w:rsidRPr="00032508" w:rsidRDefault="00ED436B" w:rsidP="006878F2">
      <w:pPr>
        <w:spacing w:after="0" w:line="360" w:lineRule="atLeast"/>
        <w:ind w:firstLineChars="200" w:firstLine="520"/>
        <w:jc w:val="both"/>
        <w:outlineLvl w:val="0"/>
        <w:rPr>
          <w:sz w:val="26"/>
          <w:szCs w:val="26"/>
        </w:rPr>
      </w:pPr>
      <w:r w:rsidRPr="00ED436B">
        <w:rPr>
          <w:sz w:val="26"/>
          <w:szCs w:val="26"/>
        </w:rPr>
        <w:t>https://doi.org/10.1016/</w:t>
      </w:r>
      <w:r>
        <w:rPr>
          <w:sz w:val="26"/>
          <w:szCs w:val="26"/>
        </w:rPr>
        <w:t xml:space="preserve"> </w:t>
      </w:r>
      <w:r w:rsidR="002F5DB6" w:rsidRPr="00032508">
        <w:rPr>
          <w:sz w:val="26"/>
          <w:szCs w:val="26"/>
        </w:rPr>
        <w:t>j.jwb.2009.08.010</w:t>
      </w:r>
    </w:p>
    <w:p w14:paraId="1D185688" w14:textId="27B18BDC" w:rsidR="002F5DB6" w:rsidRPr="000B7101" w:rsidRDefault="002F5DB6" w:rsidP="00466C51">
      <w:pPr>
        <w:spacing w:after="0" w:line="360" w:lineRule="atLeast"/>
        <w:ind w:left="520" w:hangingChars="200" w:hanging="520"/>
        <w:jc w:val="both"/>
        <w:rPr>
          <w:sz w:val="26"/>
          <w:szCs w:val="26"/>
        </w:rPr>
      </w:pPr>
      <w:r w:rsidRPr="007A6659">
        <w:rPr>
          <w:sz w:val="26"/>
          <w:szCs w:val="26"/>
        </w:rPr>
        <w:t>Kourula, A., &amp; Laasonen, S. (20</w:t>
      </w:r>
      <w:r w:rsidR="0027338D">
        <w:rPr>
          <w:sz w:val="26"/>
          <w:szCs w:val="26"/>
        </w:rPr>
        <w:t>09</w:t>
      </w:r>
      <w:r w:rsidRPr="007A6659">
        <w:rPr>
          <w:sz w:val="26"/>
          <w:szCs w:val="26"/>
        </w:rPr>
        <w:t xml:space="preserve">). Nongovernmental organizations in business and society, management, and international business research. </w:t>
      </w:r>
      <w:r w:rsidRPr="007A6659">
        <w:rPr>
          <w:i/>
          <w:sz w:val="26"/>
          <w:szCs w:val="26"/>
        </w:rPr>
        <w:t>Business and Society, 49</w:t>
      </w:r>
      <w:r>
        <w:rPr>
          <w:rFonts w:hint="eastAsia"/>
          <w:sz w:val="26"/>
          <w:szCs w:val="26"/>
          <w:lang w:eastAsia="zh-TW"/>
        </w:rPr>
        <w:t>(1)</w:t>
      </w:r>
      <w:r w:rsidRPr="007A6659">
        <w:rPr>
          <w:sz w:val="26"/>
          <w:szCs w:val="26"/>
        </w:rPr>
        <w:t>, 35-67.</w:t>
      </w:r>
      <w:r w:rsidRPr="000B7101">
        <w:rPr>
          <w:sz w:val="26"/>
          <w:szCs w:val="26"/>
        </w:rPr>
        <w:t xml:space="preserve"> https://doi.org/10.1177/0007650309345282</w:t>
      </w:r>
    </w:p>
    <w:p w14:paraId="49BC5D12" w14:textId="77777777" w:rsidR="002F5DB6" w:rsidRPr="000B7101" w:rsidRDefault="002F5DB6" w:rsidP="006878F2">
      <w:pPr>
        <w:spacing w:after="0" w:line="360" w:lineRule="atLeast"/>
        <w:ind w:left="520" w:hangingChars="200" w:hanging="520"/>
        <w:jc w:val="both"/>
        <w:rPr>
          <w:sz w:val="26"/>
          <w:szCs w:val="26"/>
        </w:rPr>
      </w:pPr>
      <w:r w:rsidRPr="007A6659">
        <w:rPr>
          <w:sz w:val="26"/>
          <w:szCs w:val="26"/>
        </w:rPr>
        <w:t>Kshetri, N. (2015). Success of crowd-based onl</w:t>
      </w:r>
      <w:r>
        <w:rPr>
          <w:sz w:val="26"/>
          <w:szCs w:val="26"/>
        </w:rPr>
        <w:t>ine technology in fundraising: A</w:t>
      </w:r>
      <w:r w:rsidRPr="007A6659">
        <w:rPr>
          <w:sz w:val="26"/>
          <w:szCs w:val="26"/>
        </w:rPr>
        <w:t xml:space="preserve">n institutional perspective. </w:t>
      </w:r>
      <w:r w:rsidRPr="007A6659">
        <w:rPr>
          <w:i/>
          <w:iCs/>
          <w:sz w:val="26"/>
          <w:szCs w:val="26"/>
        </w:rPr>
        <w:t>Journal of International Management</w:t>
      </w:r>
      <w:r w:rsidRPr="007A6659">
        <w:rPr>
          <w:sz w:val="26"/>
          <w:szCs w:val="26"/>
        </w:rPr>
        <w:t xml:space="preserve">, </w:t>
      </w:r>
      <w:r w:rsidRPr="007A6659">
        <w:rPr>
          <w:i/>
          <w:iCs/>
          <w:sz w:val="26"/>
          <w:szCs w:val="26"/>
        </w:rPr>
        <w:t>21</w:t>
      </w:r>
      <w:r w:rsidRPr="007A6659">
        <w:rPr>
          <w:sz w:val="26"/>
          <w:szCs w:val="26"/>
        </w:rPr>
        <w:t>(2), 100-116.</w:t>
      </w:r>
      <w:r w:rsidRPr="000B7101">
        <w:t xml:space="preserve"> </w:t>
      </w:r>
      <w:r w:rsidRPr="000B7101">
        <w:rPr>
          <w:sz w:val="26"/>
          <w:szCs w:val="26"/>
        </w:rPr>
        <w:t>https://doi.org/10.1016/j.intman.2015.03.004</w:t>
      </w:r>
    </w:p>
    <w:p w14:paraId="333FB418" w14:textId="77777777" w:rsidR="000B52A6" w:rsidRDefault="002F5DB6" w:rsidP="006878F2">
      <w:pPr>
        <w:spacing w:after="0" w:line="360" w:lineRule="atLeast"/>
        <w:ind w:left="520" w:hangingChars="200" w:hanging="520"/>
        <w:jc w:val="both"/>
        <w:rPr>
          <w:sz w:val="26"/>
          <w:szCs w:val="26"/>
        </w:rPr>
      </w:pPr>
      <w:r w:rsidRPr="007A6659">
        <w:rPr>
          <w:sz w:val="26"/>
          <w:szCs w:val="26"/>
        </w:rPr>
        <w:t>Kysar, D. A. (2004). Preferences for processes:</w:t>
      </w:r>
      <w:r w:rsidRPr="007A6659">
        <w:rPr>
          <w:rStyle w:val="title-link-wrapper"/>
          <w:sz w:val="26"/>
          <w:szCs w:val="26"/>
        </w:rPr>
        <w:t xml:space="preserve"> the process/product distinction and the regulation of consumer choice.</w:t>
      </w:r>
      <w:r w:rsidRPr="007A6659">
        <w:rPr>
          <w:rStyle w:val="medium-font"/>
          <w:sz w:val="26"/>
          <w:szCs w:val="26"/>
        </w:rPr>
        <w:t xml:space="preserve"> </w:t>
      </w:r>
      <w:r w:rsidRPr="007A6659">
        <w:rPr>
          <w:i/>
          <w:sz w:val="26"/>
          <w:szCs w:val="26"/>
        </w:rPr>
        <w:t>Harvard Law Review, 118</w:t>
      </w:r>
      <w:r w:rsidRPr="000B7101">
        <w:rPr>
          <w:rFonts w:hint="eastAsia"/>
          <w:sz w:val="26"/>
          <w:szCs w:val="26"/>
          <w:lang w:eastAsia="zh-TW"/>
        </w:rPr>
        <w:t>(2)</w:t>
      </w:r>
      <w:r w:rsidRPr="007A6659">
        <w:rPr>
          <w:sz w:val="26"/>
          <w:szCs w:val="26"/>
        </w:rPr>
        <w:t xml:space="preserve">, 526-642. </w:t>
      </w:r>
    </w:p>
    <w:p w14:paraId="5A4B682F" w14:textId="2DECBC2F" w:rsidR="002F5DB6" w:rsidRPr="00B07D5B" w:rsidRDefault="002F5DB6" w:rsidP="006878F2">
      <w:pPr>
        <w:spacing w:after="0" w:line="360" w:lineRule="atLeast"/>
        <w:ind w:firstLineChars="200" w:firstLine="520"/>
        <w:jc w:val="both"/>
        <w:outlineLvl w:val="0"/>
        <w:rPr>
          <w:sz w:val="26"/>
          <w:szCs w:val="26"/>
        </w:rPr>
      </w:pPr>
      <w:r w:rsidRPr="00B07D5B">
        <w:rPr>
          <w:sz w:val="26"/>
          <w:szCs w:val="26"/>
        </w:rPr>
        <w:t>https://doi.org/10.2307/4093392</w:t>
      </w:r>
    </w:p>
    <w:p w14:paraId="6DFC2B24" w14:textId="77777777" w:rsidR="000B52A6" w:rsidRDefault="002F5DB6" w:rsidP="006878F2">
      <w:pPr>
        <w:spacing w:after="0" w:line="360" w:lineRule="atLeast"/>
        <w:ind w:left="520" w:hangingChars="200" w:hanging="520"/>
        <w:jc w:val="both"/>
      </w:pPr>
      <w:r w:rsidRPr="007A6659">
        <w:rPr>
          <w:sz w:val="26"/>
          <w:szCs w:val="26"/>
        </w:rPr>
        <w:t xml:space="preserve">Legge, Jr., J. S., &amp; Durant, R. F. (2010). Public opinion, risk assessment and biotechnology: </w:t>
      </w:r>
      <w:r w:rsidR="000434DD" w:rsidRPr="007A6659">
        <w:rPr>
          <w:sz w:val="26"/>
          <w:szCs w:val="26"/>
        </w:rPr>
        <w:t>L</w:t>
      </w:r>
      <w:r w:rsidRPr="007A6659">
        <w:rPr>
          <w:sz w:val="26"/>
          <w:szCs w:val="26"/>
        </w:rPr>
        <w:t xml:space="preserve">essons from attitudes toward genetically modified foods in the European Union. </w:t>
      </w:r>
      <w:r w:rsidRPr="007A6659">
        <w:rPr>
          <w:i/>
          <w:sz w:val="26"/>
          <w:szCs w:val="26"/>
        </w:rPr>
        <w:t>Review of Policy Research, 27</w:t>
      </w:r>
      <w:r w:rsidRPr="00B07D5B">
        <w:rPr>
          <w:rFonts w:hint="eastAsia"/>
          <w:sz w:val="26"/>
          <w:szCs w:val="26"/>
          <w:lang w:eastAsia="zh-TW"/>
        </w:rPr>
        <w:t>(1)</w:t>
      </w:r>
      <w:r w:rsidRPr="007A6659">
        <w:rPr>
          <w:sz w:val="26"/>
          <w:szCs w:val="26"/>
        </w:rPr>
        <w:t>, 59-76.</w:t>
      </w:r>
      <w:r w:rsidRPr="00B07D5B">
        <w:t xml:space="preserve"> </w:t>
      </w:r>
    </w:p>
    <w:p w14:paraId="19E8BB74" w14:textId="7E0FFCA2" w:rsidR="002F5DB6" w:rsidRPr="00B07D5B" w:rsidRDefault="00A36935" w:rsidP="006878F2">
      <w:pPr>
        <w:spacing w:after="0" w:line="360" w:lineRule="atLeast"/>
        <w:ind w:firstLineChars="200" w:firstLine="520"/>
        <w:jc w:val="both"/>
        <w:outlineLvl w:val="0"/>
        <w:rPr>
          <w:sz w:val="26"/>
          <w:szCs w:val="26"/>
        </w:rPr>
      </w:pPr>
      <w:r w:rsidRPr="00A36935">
        <w:rPr>
          <w:sz w:val="26"/>
          <w:szCs w:val="26"/>
        </w:rPr>
        <w:t>https://doi.org/</w:t>
      </w:r>
      <w:r>
        <w:rPr>
          <w:sz w:val="26"/>
          <w:szCs w:val="26"/>
        </w:rPr>
        <w:t xml:space="preserve"> </w:t>
      </w:r>
      <w:r w:rsidR="002F5DB6" w:rsidRPr="00B07D5B">
        <w:rPr>
          <w:sz w:val="26"/>
          <w:szCs w:val="26"/>
        </w:rPr>
        <w:t>10.1111/j.1541-1338.2009.00427.x</w:t>
      </w:r>
    </w:p>
    <w:p w14:paraId="106C0598" w14:textId="614F3A48" w:rsidR="002F5DB6" w:rsidRPr="00B07D5B" w:rsidRDefault="002F5DB6" w:rsidP="00466C51">
      <w:pPr>
        <w:spacing w:after="0" w:line="360" w:lineRule="atLeast"/>
        <w:ind w:left="520" w:hangingChars="200" w:hanging="520"/>
        <w:jc w:val="both"/>
        <w:rPr>
          <w:sz w:val="26"/>
          <w:szCs w:val="26"/>
        </w:rPr>
      </w:pPr>
      <w:r w:rsidRPr="007A6659">
        <w:rPr>
          <w:sz w:val="26"/>
          <w:szCs w:val="26"/>
        </w:rPr>
        <w:t>Levidow, L., Carr, S., &amp; Wield, D. (200</w:t>
      </w:r>
      <w:r w:rsidR="00BF4E97">
        <w:rPr>
          <w:sz w:val="26"/>
          <w:szCs w:val="26"/>
        </w:rPr>
        <w:t>5</w:t>
      </w:r>
      <w:r w:rsidRPr="007A6659">
        <w:rPr>
          <w:sz w:val="26"/>
          <w:szCs w:val="26"/>
        </w:rPr>
        <w:t xml:space="preserve">). European Union regulation of agri-biotechnology: </w:t>
      </w:r>
      <w:r w:rsidR="00BF4E97">
        <w:rPr>
          <w:sz w:val="26"/>
          <w:szCs w:val="26"/>
        </w:rPr>
        <w:t>P</w:t>
      </w:r>
      <w:r w:rsidRPr="007A6659">
        <w:rPr>
          <w:sz w:val="26"/>
          <w:szCs w:val="26"/>
        </w:rPr>
        <w:t xml:space="preserve">recautionary links between science, expertise and policy. </w:t>
      </w:r>
      <w:r w:rsidRPr="007A6659">
        <w:rPr>
          <w:i/>
          <w:sz w:val="26"/>
          <w:szCs w:val="26"/>
        </w:rPr>
        <w:t>Science and Public Policy, 32</w:t>
      </w:r>
      <w:r>
        <w:rPr>
          <w:rFonts w:hint="eastAsia"/>
          <w:sz w:val="26"/>
          <w:szCs w:val="26"/>
          <w:lang w:eastAsia="zh-TW"/>
        </w:rPr>
        <w:t>(4)</w:t>
      </w:r>
      <w:r w:rsidRPr="007A6659">
        <w:rPr>
          <w:sz w:val="26"/>
          <w:szCs w:val="26"/>
        </w:rPr>
        <w:t>, 261-276.</w:t>
      </w:r>
      <w:r w:rsidRPr="00B07D5B">
        <w:t xml:space="preserve"> </w:t>
      </w:r>
      <w:r w:rsidRPr="00B07D5B">
        <w:rPr>
          <w:sz w:val="26"/>
          <w:szCs w:val="26"/>
        </w:rPr>
        <w:t>https://doi.org/10.3152/147154305781779452</w:t>
      </w:r>
    </w:p>
    <w:p w14:paraId="1B1F5164" w14:textId="377BC14F" w:rsidR="002F5DB6" w:rsidRPr="00B07D5B" w:rsidRDefault="002F5DB6" w:rsidP="00466C51">
      <w:pPr>
        <w:spacing w:after="0" w:line="360" w:lineRule="atLeast"/>
        <w:ind w:left="520" w:hangingChars="200" w:hanging="520"/>
        <w:jc w:val="both"/>
        <w:rPr>
          <w:sz w:val="26"/>
          <w:szCs w:val="26"/>
        </w:rPr>
      </w:pPr>
      <w:r w:rsidRPr="007A6659">
        <w:rPr>
          <w:sz w:val="26"/>
          <w:szCs w:val="26"/>
        </w:rPr>
        <w:t xml:space="preserve">Levidow, L., Murphy, J., &amp; Carr, S. (2007). Recasting “Substantial Equivalence”: </w:t>
      </w:r>
      <w:r w:rsidR="000434DD" w:rsidRPr="007A6659">
        <w:rPr>
          <w:sz w:val="26"/>
          <w:szCs w:val="26"/>
        </w:rPr>
        <w:t>T</w:t>
      </w:r>
      <w:r w:rsidRPr="007A6659">
        <w:rPr>
          <w:sz w:val="26"/>
          <w:szCs w:val="26"/>
        </w:rPr>
        <w:t xml:space="preserve">ransatlantic governance of GM food. </w:t>
      </w:r>
      <w:r w:rsidRPr="007A6659">
        <w:rPr>
          <w:i/>
          <w:sz w:val="26"/>
          <w:szCs w:val="26"/>
        </w:rPr>
        <w:t>Science, Technology &amp; Human Values, 32</w:t>
      </w:r>
      <w:r>
        <w:rPr>
          <w:rFonts w:hint="eastAsia"/>
          <w:sz w:val="26"/>
          <w:szCs w:val="26"/>
          <w:lang w:eastAsia="zh-TW"/>
        </w:rPr>
        <w:t>(1)</w:t>
      </w:r>
      <w:r w:rsidRPr="007A6659">
        <w:rPr>
          <w:sz w:val="26"/>
          <w:szCs w:val="26"/>
        </w:rPr>
        <w:t>, 26-64.</w:t>
      </w:r>
      <w:r w:rsidRPr="00B07D5B">
        <w:t xml:space="preserve"> </w:t>
      </w:r>
      <w:r w:rsidRPr="00B07D5B">
        <w:rPr>
          <w:sz w:val="26"/>
          <w:szCs w:val="26"/>
        </w:rPr>
        <w:t>https://doi.org/10.1177/0162243906293885</w:t>
      </w:r>
    </w:p>
    <w:p w14:paraId="1B823382" w14:textId="0B1D2A95" w:rsidR="002F5DB6" w:rsidRPr="00B07D5B" w:rsidRDefault="002F5DB6" w:rsidP="00466C51">
      <w:pPr>
        <w:spacing w:after="0" w:line="360" w:lineRule="atLeast"/>
        <w:ind w:left="520" w:hangingChars="200" w:hanging="520"/>
        <w:jc w:val="both"/>
        <w:rPr>
          <w:sz w:val="26"/>
          <w:szCs w:val="26"/>
        </w:rPr>
      </w:pPr>
      <w:r w:rsidRPr="00114BBB">
        <w:rPr>
          <w:sz w:val="26"/>
          <w:szCs w:val="26"/>
        </w:rPr>
        <w:t>Levy, D. L. (2008). Political contestation in global production networks.</w:t>
      </w:r>
      <w:r w:rsidR="00ED436B">
        <w:rPr>
          <w:sz w:val="26"/>
          <w:szCs w:val="26"/>
        </w:rPr>
        <w:t xml:space="preserve"> </w:t>
      </w:r>
      <w:r w:rsidRPr="00114BBB">
        <w:rPr>
          <w:i/>
          <w:iCs/>
          <w:sz w:val="26"/>
          <w:szCs w:val="26"/>
        </w:rPr>
        <w:t xml:space="preserve">Academy of </w:t>
      </w:r>
      <w:r>
        <w:rPr>
          <w:i/>
          <w:iCs/>
          <w:sz w:val="26"/>
          <w:szCs w:val="26"/>
        </w:rPr>
        <w:t>M</w:t>
      </w:r>
      <w:r w:rsidRPr="00114BBB">
        <w:rPr>
          <w:i/>
          <w:iCs/>
          <w:sz w:val="26"/>
          <w:szCs w:val="26"/>
        </w:rPr>
        <w:t xml:space="preserve">anagement </w:t>
      </w:r>
      <w:r>
        <w:rPr>
          <w:i/>
          <w:iCs/>
          <w:sz w:val="26"/>
          <w:szCs w:val="26"/>
        </w:rPr>
        <w:t>R</w:t>
      </w:r>
      <w:r w:rsidRPr="00114BBB">
        <w:rPr>
          <w:i/>
          <w:iCs/>
          <w:sz w:val="26"/>
          <w:szCs w:val="26"/>
        </w:rPr>
        <w:t>eview</w:t>
      </w:r>
      <w:r w:rsidRPr="00114BBB">
        <w:rPr>
          <w:sz w:val="26"/>
          <w:szCs w:val="26"/>
        </w:rPr>
        <w:t>,</w:t>
      </w:r>
      <w:r w:rsidR="00466C51">
        <w:rPr>
          <w:rFonts w:hint="eastAsia"/>
          <w:sz w:val="26"/>
          <w:szCs w:val="26"/>
          <w:lang w:eastAsia="zh-TW"/>
        </w:rPr>
        <w:t xml:space="preserve"> </w:t>
      </w:r>
      <w:r w:rsidRPr="00114BBB">
        <w:rPr>
          <w:i/>
          <w:iCs/>
          <w:sz w:val="26"/>
          <w:szCs w:val="26"/>
        </w:rPr>
        <w:t>33</w:t>
      </w:r>
      <w:r w:rsidRPr="00114BBB">
        <w:rPr>
          <w:sz w:val="26"/>
          <w:szCs w:val="26"/>
        </w:rPr>
        <w:t>(4), 943-963.</w:t>
      </w:r>
      <w:r w:rsidRPr="00B07D5B">
        <w:t xml:space="preserve"> </w:t>
      </w:r>
      <w:r w:rsidRPr="00B07D5B">
        <w:rPr>
          <w:sz w:val="26"/>
          <w:szCs w:val="26"/>
        </w:rPr>
        <w:t>https://doi.org/10.5465/amr.2008.34422006</w:t>
      </w:r>
    </w:p>
    <w:p w14:paraId="6CFED552" w14:textId="78F75032" w:rsidR="002F5DB6" w:rsidRPr="0043278A" w:rsidRDefault="002F5DB6" w:rsidP="00466C51">
      <w:pPr>
        <w:spacing w:after="0" w:line="360" w:lineRule="atLeast"/>
        <w:ind w:left="520" w:hangingChars="200" w:hanging="520"/>
        <w:jc w:val="both"/>
        <w:rPr>
          <w:sz w:val="26"/>
          <w:szCs w:val="26"/>
        </w:rPr>
      </w:pPr>
      <w:r w:rsidRPr="007A6659">
        <w:rPr>
          <w:sz w:val="26"/>
          <w:szCs w:val="26"/>
        </w:rPr>
        <w:t xml:space="preserve">Lu, J., Xu, B., &amp; Liu, X. (2009). The effects of corporate governance and institutional environments on export behavior in emerging markets. </w:t>
      </w:r>
      <w:r w:rsidRPr="007A6659">
        <w:rPr>
          <w:i/>
          <w:sz w:val="26"/>
          <w:szCs w:val="26"/>
        </w:rPr>
        <w:t>Management International Review, 49</w:t>
      </w:r>
      <w:r>
        <w:rPr>
          <w:rFonts w:hint="eastAsia"/>
          <w:sz w:val="26"/>
          <w:szCs w:val="26"/>
          <w:lang w:eastAsia="zh-TW"/>
        </w:rPr>
        <w:t>(4)</w:t>
      </w:r>
      <w:r w:rsidRPr="007A6659">
        <w:rPr>
          <w:sz w:val="26"/>
          <w:szCs w:val="26"/>
        </w:rPr>
        <w:t>, 455-478.</w:t>
      </w:r>
      <w:r w:rsidRPr="0043278A">
        <w:t xml:space="preserve"> </w:t>
      </w:r>
      <w:r w:rsidRPr="0043278A">
        <w:rPr>
          <w:sz w:val="26"/>
          <w:szCs w:val="26"/>
        </w:rPr>
        <w:t>https://doi.org/10.1007/s11575-009-0004-9</w:t>
      </w:r>
    </w:p>
    <w:p w14:paraId="074A957E" w14:textId="42CC859A" w:rsidR="002F5DB6" w:rsidRPr="007A6659" w:rsidRDefault="002F5DB6" w:rsidP="00466C51">
      <w:pPr>
        <w:spacing w:after="0" w:line="360" w:lineRule="atLeast"/>
        <w:ind w:left="520" w:hangingChars="200" w:hanging="520"/>
        <w:jc w:val="both"/>
        <w:rPr>
          <w:sz w:val="26"/>
          <w:szCs w:val="26"/>
        </w:rPr>
      </w:pPr>
      <w:r w:rsidRPr="007A6659">
        <w:rPr>
          <w:sz w:val="26"/>
          <w:szCs w:val="26"/>
        </w:rPr>
        <w:t xml:space="preserve">Luria, G., Cnaan, R. A. &amp; Boehm, A. (2015). National culture and prosocial behaviors: Results from 66 countries. </w:t>
      </w:r>
      <w:r w:rsidRPr="007A6659">
        <w:rPr>
          <w:i/>
          <w:sz w:val="26"/>
          <w:szCs w:val="26"/>
        </w:rPr>
        <w:t>Nonprofit and Voluntary Sector Quarterly, 44</w:t>
      </w:r>
      <w:r w:rsidRPr="007A6659">
        <w:rPr>
          <w:sz w:val="26"/>
          <w:szCs w:val="26"/>
        </w:rPr>
        <w:t>(5), 1041-1065.</w:t>
      </w:r>
      <w:r w:rsidRPr="0043278A">
        <w:t xml:space="preserve"> </w:t>
      </w:r>
      <w:r w:rsidRPr="0043278A">
        <w:rPr>
          <w:sz w:val="26"/>
          <w:szCs w:val="26"/>
        </w:rPr>
        <w:t xml:space="preserve">https://doi.org/10.1177/0899764014554456 </w:t>
      </w:r>
    </w:p>
    <w:p w14:paraId="3E0CAD22" w14:textId="77777777" w:rsidR="00FD119F" w:rsidRDefault="005E7420" w:rsidP="00FD119F">
      <w:pPr>
        <w:spacing w:after="0" w:line="360" w:lineRule="atLeast"/>
        <w:ind w:left="520" w:hangingChars="200" w:hanging="520"/>
        <w:jc w:val="both"/>
      </w:pPr>
      <w:r w:rsidRPr="007A6659">
        <w:rPr>
          <w:sz w:val="26"/>
          <w:szCs w:val="26"/>
        </w:rPr>
        <w:t xml:space="preserve">Luxmore, S. R., &amp; Hull, C. E. (2010). Externalities and the six facets model of technology management: genetically modified organisms in agribusiness. </w:t>
      </w:r>
      <w:r w:rsidRPr="007A6659">
        <w:rPr>
          <w:i/>
          <w:sz w:val="26"/>
          <w:szCs w:val="26"/>
        </w:rPr>
        <w:t>International Journal of Innovation and Technology Management, 7</w:t>
      </w:r>
      <w:r w:rsidRPr="007A6659">
        <w:rPr>
          <w:sz w:val="26"/>
          <w:szCs w:val="26"/>
        </w:rPr>
        <w:t>, 19-36.</w:t>
      </w:r>
      <w:r w:rsidR="00355B8C" w:rsidRPr="00355B8C">
        <w:t xml:space="preserve"> </w:t>
      </w:r>
    </w:p>
    <w:p w14:paraId="6064A255" w14:textId="17A55DD0" w:rsidR="005E7420" w:rsidRPr="00355B8C" w:rsidRDefault="00355B8C" w:rsidP="00FD119F">
      <w:pPr>
        <w:spacing w:after="0" w:line="360" w:lineRule="atLeast"/>
        <w:ind w:firstLineChars="200" w:firstLine="520"/>
        <w:jc w:val="both"/>
        <w:outlineLvl w:val="0"/>
        <w:rPr>
          <w:sz w:val="26"/>
          <w:szCs w:val="26"/>
        </w:rPr>
      </w:pPr>
      <w:r w:rsidRPr="00355B8C">
        <w:rPr>
          <w:sz w:val="26"/>
          <w:szCs w:val="26"/>
        </w:rPr>
        <w:t>https://doi.org/10.1142/s0219877010001799</w:t>
      </w:r>
    </w:p>
    <w:p w14:paraId="0FB47178" w14:textId="77777777" w:rsidR="005E7420" w:rsidRDefault="005E7420" w:rsidP="00FD119F">
      <w:pPr>
        <w:spacing w:after="0" w:line="360" w:lineRule="atLeast"/>
        <w:ind w:left="520" w:hangingChars="200" w:hanging="520"/>
        <w:jc w:val="both"/>
        <w:rPr>
          <w:sz w:val="26"/>
          <w:szCs w:val="26"/>
        </w:rPr>
      </w:pPr>
      <w:r w:rsidRPr="007A6659">
        <w:rPr>
          <w:sz w:val="26"/>
          <w:szCs w:val="26"/>
        </w:rPr>
        <w:t xml:space="preserve">Luxmore, S. R., &amp; Hull, C. E. (2011). Innovation and NGOs A framework of interaction. </w:t>
      </w:r>
      <w:r w:rsidRPr="007A6659">
        <w:rPr>
          <w:i/>
          <w:iCs/>
          <w:sz w:val="26"/>
          <w:szCs w:val="26"/>
        </w:rPr>
        <w:t>The International Journal of Entrepreneurship and Innovation</w:t>
      </w:r>
      <w:r w:rsidRPr="007A6659">
        <w:rPr>
          <w:sz w:val="26"/>
          <w:szCs w:val="26"/>
        </w:rPr>
        <w:t xml:space="preserve">, </w:t>
      </w:r>
      <w:r w:rsidRPr="007A6659">
        <w:rPr>
          <w:i/>
          <w:iCs/>
          <w:sz w:val="26"/>
          <w:szCs w:val="26"/>
        </w:rPr>
        <w:t>12</w:t>
      </w:r>
      <w:r w:rsidRPr="007A6659">
        <w:rPr>
          <w:sz w:val="26"/>
          <w:szCs w:val="26"/>
        </w:rPr>
        <w:t>(1), 17-27.</w:t>
      </w:r>
    </w:p>
    <w:p w14:paraId="489C690E" w14:textId="284483D9" w:rsidR="003F6901" w:rsidRPr="007A6659" w:rsidRDefault="003F6901" w:rsidP="00FD119F">
      <w:pPr>
        <w:spacing w:after="0" w:line="360" w:lineRule="atLeast"/>
        <w:ind w:firstLineChars="200" w:firstLine="520"/>
        <w:jc w:val="both"/>
        <w:outlineLvl w:val="0"/>
        <w:rPr>
          <w:sz w:val="26"/>
          <w:szCs w:val="26"/>
        </w:rPr>
      </w:pPr>
      <w:r w:rsidRPr="003F6901">
        <w:rPr>
          <w:sz w:val="26"/>
          <w:szCs w:val="26"/>
        </w:rPr>
        <w:t>https://doi.org/10.1142/s0219877010001799</w:t>
      </w:r>
    </w:p>
    <w:p w14:paraId="456C4610" w14:textId="77777777" w:rsidR="000B52A6" w:rsidRDefault="002F5DB6" w:rsidP="006878F2">
      <w:pPr>
        <w:spacing w:after="0" w:line="360" w:lineRule="atLeast"/>
        <w:ind w:left="520" w:hangingChars="200" w:hanging="520"/>
        <w:jc w:val="both"/>
      </w:pPr>
      <w:r w:rsidRPr="007A6659">
        <w:rPr>
          <w:sz w:val="26"/>
          <w:szCs w:val="26"/>
        </w:rPr>
        <w:t xml:space="preserve">Minkov, M., &amp; Hofstede, G. (2011). The evolution of Hofstede's doctrine. </w:t>
      </w:r>
      <w:r w:rsidRPr="007A6659">
        <w:rPr>
          <w:i/>
          <w:sz w:val="26"/>
          <w:szCs w:val="26"/>
        </w:rPr>
        <w:t>Cross Cultural Management: An International Journal, 18</w:t>
      </w:r>
      <w:r w:rsidRPr="007A6659">
        <w:rPr>
          <w:sz w:val="26"/>
          <w:szCs w:val="26"/>
        </w:rPr>
        <w:t>(1), 10-20.</w:t>
      </w:r>
      <w:r w:rsidRPr="0043278A">
        <w:t xml:space="preserve"> </w:t>
      </w:r>
    </w:p>
    <w:p w14:paraId="5355A910" w14:textId="65C8A02A" w:rsidR="002F5DB6" w:rsidRPr="0043278A" w:rsidRDefault="000434DD" w:rsidP="006878F2">
      <w:pPr>
        <w:spacing w:after="0" w:line="360" w:lineRule="atLeast"/>
        <w:ind w:firstLineChars="200" w:firstLine="520"/>
        <w:jc w:val="both"/>
        <w:outlineLvl w:val="0"/>
        <w:rPr>
          <w:sz w:val="26"/>
          <w:szCs w:val="26"/>
        </w:rPr>
      </w:pPr>
      <w:r w:rsidRPr="000434DD">
        <w:rPr>
          <w:sz w:val="26"/>
          <w:szCs w:val="26"/>
        </w:rPr>
        <w:t>https://doi.org/</w:t>
      </w:r>
      <w:r>
        <w:rPr>
          <w:sz w:val="26"/>
          <w:szCs w:val="26"/>
        </w:rPr>
        <w:t xml:space="preserve"> </w:t>
      </w:r>
      <w:r w:rsidR="002F5DB6" w:rsidRPr="0043278A">
        <w:rPr>
          <w:sz w:val="26"/>
          <w:szCs w:val="26"/>
        </w:rPr>
        <w:t>10.1108/13527601111104269</w:t>
      </w:r>
    </w:p>
    <w:p w14:paraId="18439DB0" w14:textId="3B2E2D1A" w:rsidR="002F5DB6" w:rsidRPr="0043278A" w:rsidRDefault="002F5DB6" w:rsidP="00466C51">
      <w:pPr>
        <w:spacing w:after="0" w:line="360" w:lineRule="atLeast"/>
        <w:ind w:left="520" w:hangingChars="200" w:hanging="520"/>
        <w:jc w:val="both"/>
        <w:rPr>
          <w:sz w:val="26"/>
          <w:szCs w:val="26"/>
        </w:rPr>
      </w:pPr>
      <w:r w:rsidRPr="007A6659">
        <w:rPr>
          <w:sz w:val="26"/>
          <w:szCs w:val="26"/>
        </w:rPr>
        <w:t xml:space="preserve">Meyer, K. E., Estrin, S., Bhaumik, S. K., &amp; Peng, M. W. (2009). Institutions, resources, and entry strategies in emerging economies. </w:t>
      </w:r>
      <w:r w:rsidRPr="007A6659">
        <w:rPr>
          <w:i/>
          <w:sz w:val="26"/>
          <w:szCs w:val="26"/>
        </w:rPr>
        <w:t>Strategic Management Journal, 30</w:t>
      </w:r>
      <w:r>
        <w:rPr>
          <w:sz w:val="26"/>
          <w:szCs w:val="26"/>
        </w:rPr>
        <w:t xml:space="preserve"> (1)</w:t>
      </w:r>
      <w:r w:rsidRPr="007A6659">
        <w:rPr>
          <w:sz w:val="26"/>
          <w:szCs w:val="26"/>
        </w:rPr>
        <w:t>, 61-80.</w:t>
      </w:r>
      <w:r w:rsidRPr="0043278A">
        <w:t xml:space="preserve"> </w:t>
      </w:r>
      <w:r w:rsidRPr="0043278A">
        <w:rPr>
          <w:sz w:val="26"/>
          <w:szCs w:val="26"/>
        </w:rPr>
        <w:t>https://doi.org/10.1002/smj.720</w:t>
      </w:r>
    </w:p>
    <w:p w14:paraId="1227867E" w14:textId="5647578C" w:rsidR="001859D0" w:rsidRDefault="00CE4E0C" w:rsidP="006878F2">
      <w:pPr>
        <w:spacing w:after="0" w:line="360" w:lineRule="atLeast"/>
        <w:ind w:left="520" w:hangingChars="200" w:hanging="520"/>
        <w:jc w:val="both"/>
        <w:rPr>
          <w:sz w:val="26"/>
          <w:szCs w:val="26"/>
        </w:rPr>
      </w:pPr>
      <w:r>
        <w:rPr>
          <w:sz w:val="26"/>
          <w:szCs w:val="26"/>
        </w:rPr>
        <w:t xml:space="preserve">National Review.  (2003). Seeing Greenpeace. </w:t>
      </w:r>
      <w:r w:rsidR="001859D0" w:rsidRPr="001859D0">
        <w:rPr>
          <w:sz w:val="26"/>
          <w:szCs w:val="26"/>
        </w:rPr>
        <w:t xml:space="preserve">Retrieved </w:t>
      </w:r>
      <w:r w:rsidR="001859D0">
        <w:rPr>
          <w:sz w:val="26"/>
          <w:szCs w:val="26"/>
        </w:rPr>
        <w:t xml:space="preserve">from </w:t>
      </w:r>
    </w:p>
    <w:p w14:paraId="0D8965A2" w14:textId="60D57BF0" w:rsidR="00CE4E0C" w:rsidRDefault="00CE4E0C" w:rsidP="001859D0">
      <w:pPr>
        <w:spacing w:after="0" w:line="360" w:lineRule="atLeast"/>
        <w:ind w:firstLineChars="200" w:firstLine="520"/>
        <w:jc w:val="both"/>
        <w:rPr>
          <w:sz w:val="26"/>
          <w:szCs w:val="26"/>
        </w:rPr>
      </w:pPr>
      <w:r w:rsidRPr="00E217CF">
        <w:rPr>
          <w:sz w:val="26"/>
          <w:szCs w:val="26"/>
        </w:rPr>
        <w:t>https://www.nationalreview.com/2003/10/seeing-greenpeace/</w:t>
      </w:r>
    </w:p>
    <w:p w14:paraId="7505185D" w14:textId="75851536" w:rsidR="002F5DB6" w:rsidRPr="0043278A" w:rsidRDefault="002F5DB6" w:rsidP="00466C51">
      <w:pPr>
        <w:spacing w:after="0" w:line="360" w:lineRule="atLeast"/>
        <w:ind w:left="520" w:hangingChars="200" w:hanging="520"/>
        <w:jc w:val="both"/>
        <w:rPr>
          <w:sz w:val="26"/>
          <w:szCs w:val="26"/>
        </w:rPr>
      </w:pPr>
      <w:r w:rsidRPr="007A6659">
        <w:rPr>
          <w:sz w:val="26"/>
          <w:szCs w:val="26"/>
        </w:rPr>
        <w:t>Nesbit, P. L., &amp; Lam, E. (2014). Cultural adaptability and organizational change: A case study of a social service organization in Hong Kong.</w:t>
      </w:r>
      <w:r w:rsidR="00ED436B">
        <w:rPr>
          <w:sz w:val="26"/>
          <w:szCs w:val="26"/>
        </w:rPr>
        <w:t xml:space="preserve"> </w:t>
      </w:r>
      <w:r w:rsidRPr="007A6659">
        <w:rPr>
          <w:i/>
          <w:iCs/>
          <w:sz w:val="26"/>
          <w:szCs w:val="26"/>
        </w:rPr>
        <w:t>Contemporary Management Research</w:t>
      </w:r>
      <w:r w:rsidRPr="007A6659">
        <w:rPr>
          <w:sz w:val="26"/>
          <w:szCs w:val="26"/>
        </w:rPr>
        <w:t>,</w:t>
      </w:r>
      <w:r w:rsidR="00ED436B">
        <w:rPr>
          <w:sz w:val="26"/>
          <w:szCs w:val="26"/>
        </w:rPr>
        <w:t xml:space="preserve"> </w:t>
      </w:r>
      <w:r w:rsidRPr="007A6659">
        <w:rPr>
          <w:i/>
          <w:iCs/>
          <w:sz w:val="26"/>
          <w:szCs w:val="26"/>
        </w:rPr>
        <w:t>10</w:t>
      </w:r>
      <w:r w:rsidRPr="007A6659">
        <w:rPr>
          <w:sz w:val="26"/>
          <w:szCs w:val="26"/>
        </w:rPr>
        <w:t>(4), 303</w:t>
      </w:r>
      <w:r>
        <w:rPr>
          <w:rFonts w:hint="eastAsia"/>
          <w:sz w:val="26"/>
          <w:szCs w:val="26"/>
          <w:lang w:eastAsia="zh-TW"/>
        </w:rPr>
        <w:t>-324</w:t>
      </w:r>
      <w:r w:rsidRPr="007A6659">
        <w:rPr>
          <w:sz w:val="26"/>
          <w:szCs w:val="26"/>
        </w:rPr>
        <w:t>.</w:t>
      </w:r>
      <w:r w:rsidRPr="0043278A">
        <w:t xml:space="preserve"> </w:t>
      </w:r>
      <w:r w:rsidRPr="0043278A">
        <w:rPr>
          <w:sz w:val="26"/>
          <w:szCs w:val="26"/>
        </w:rPr>
        <w:t>https://doi.org/10.7903/cmr.12186</w:t>
      </w:r>
    </w:p>
    <w:p w14:paraId="7C18C138" w14:textId="02E66D10" w:rsidR="00B35DD3" w:rsidRDefault="002F5DB6" w:rsidP="00B35DD3">
      <w:pPr>
        <w:spacing w:after="0" w:line="360" w:lineRule="atLeast"/>
        <w:ind w:left="520" w:hangingChars="200" w:hanging="520"/>
        <w:jc w:val="both"/>
      </w:pPr>
      <w:r w:rsidRPr="007A6659">
        <w:rPr>
          <w:sz w:val="26"/>
          <w:szCs w:val="26"/>
        </w:rPr>
        <w:t xml:space="preserve">North, D. C. (1990).  </w:t>
      </w:r>
      <w:r w:rsidRPr="007A6659">
        <w:rPr>
          <w:i/>
          <w:sz w:val="26"/>
          <w:szCs w:val="26"/>
        </w:rPr>
        <w:t xml:space="preserve">Institutions, </w:t>
      </w:r>
      <w:r w:rsidR="00466C51" w:rsidRPr="007A6659">
        <w:rPr>
          <w:i/>
          <w:sz w:val="26"/>
          <w:szCs w:val="26"/>
        </w:rPr>
        <w:t xml:space="preserve">institutional </w:t>
      </w:r>
      <w:r w:rsidR="00F455E1" w:rsidRPr="007A6659">
        <w:rPr>
          <w:i/>
          <w:sz w:val="26"/>
          <w:szCs w:val="26"/>
        </w:rPr>
        <w:t>change</w:t>
      </w:r>
      <w:r w:rsidRPr="007A6659">
        <w:rPr>
          <w:i/>
          <w:sz w:val="26"/>
          <w:szCs w:val="26"/>
        </w:rPr>
        <w:t xml:space="preserve">, and </w:t>
      </w:r>
      <w:r w:rsidR="00F455E1" w:rsidRPr="007A6659">
        <w:rPr>
          <w:i/>
          <w:sz w:val="26"/>
          <w:szCs w:val="26"/>
        </w:rPr>
        <w:t>economic performance</w:t>
      </w:r>
      <w:r w:rsidRPr="007A6659">
        <w:rPr>
          <w:sz w:val="26"/>
          <w:szCs w:val="26"/>
        </w:rPr>
        <w:t>. Cambridge, MA: Harvard University Press.</w:t>
      </w:r>
      <w:r w:rsidR="00B35DD3" w:rsidRPr="00B35DD3">
        <w:t xml:space="preserve"> </w:t>
      </w:r>
    </w:p>
    <w:p w14:paraId="5F84A729" w14:textId="71985599" w:rsidR="002F5DB6" w:rsidRPr="00B35DD3" w:rsidRDefault="00B35DD3" w:rsidP="00B35DD3">
      <w:pPr>
        <w:spacing w:after="0" w:line="360" w:lineRule="atLeast"/>
        <w:ind w:firstLineChars="200" w:firstLine="520"/>
        <w:jc w:val="both"/>
        <w:rPr>
          <w:sz w:val="26"/>
          <w:szCs w:val="26"/>
        </w:rPr>
      </w:pPr>
      <w:r w:rsidRPr="00B35DD3">
        <w:rPr>
          <w:sz w:val="26"/>
          <w:szCs w:val="26"/>
        </w:rPr>
        <w:t>https://doi.org/10.1017/cbo9780511808678.003</w:t>
      </w:r>
    </w:p>
    <w:p w14:paraId="7F0DC800" w14:textId="5CF2A5A0" w:rsidR="002F5DB6" w:rsidRPr="00933A80" w:rsidRDefault="002F5DB6" w:rsidP="00466C51">
      <w:pPr>
        <w:spacing w:after="0" w:line="360" w:lineRule="atLeast"/>
        <w:ind w:left="520" w:hangingChars="200" w:hanging="520"/>
        <w:jc w:val="both"/>
        <w:rPr>
          <w:sz w:val="26"/>
          <w:szCs w:val="26"/>
        </w:rPr>
      </w:pPr>
      <w:r w:rsidRPr="007A6659">
        <w:rPr>
          <w:sz w:val="26"/>
          <w:szCs w:val="26"/>
        </w:rPr>
        <w:t xml:space="preserve">Nugroho, Y. (2011). Opening the black box: The adoption of innovations in the voluntary sector - The case of Indonesian civil society organisations. </w:t>
      </w:r>
      <w:r w:rsidRPr="007A6659">
        <w:rPr>
          <w:i/>
          <w:sz w:val="26"/>
          <w:szCs w:val="26"/>
        </w:rPr>
        <w:t>Research Policy, 40</w:t>
      </w:r>
      <w:r w:rsidRPr="007A6659">
        <w:rPr>
          <w:sz w:val="26"/>
          <w:szCs w:val="26"/>
        </w:rPr>
        <w:t>(5), 761-777.</w:t>
      </w:r>
      <w:r w:rsidRPr="00933A80">
        <w:t xml:space="preserve"> </w:t>
      </w:r>
      <w:r w:rsidRPr="00933A80">
        <w:rPr>
          <w:sz w:val="26"/>
          <w:szCs w:val="26"/>
        </w:rPr>
        <w:t>https://doi.org/10.1016/j.respol.2011.03.002</w:t>
      </w:r>
    </w:p>
    <w:p w14:paraId="4EBEAEB8" w14:textId="28BD5A75" w:rsidR="002F5DB6" w:rsidRPr="007A6659" w:rsidRDefault="002F5DB6" w:rsidP="00466C51">
      <w:pPr>
        <w:spacing w:after="0" w:line="360" w:lineRule="atLeast"/>
        <w:ind w:left="520" w:hangingChars="200" w:hanging="520"/>
        <w:jc w:val="both"/>
        <w:rPr>
          <w:sz w:val="26"/>
          <w:szCs w:val="26"/>
        </w:rPr>
      </w:pPr>
      <w:r w:rsidRPr="007A6659">
        <w:rPr>
          <w:sz w:val="26"/>
          <w:szCs w:val="26"/>
        </w:rPr>
        <w:t>OEC (2</w:t>
      </w:r>
      <w:r w:rsidR="00ED436B">
        <w:rPr>
          <w:sz w:val="26"/>
          <w:szCs w:val="26"/>
        </w:rPr>
        <w:t>01</w:t>
      </w:r>
      <w:r w:rsidR="00DA42F6">
        <w:rPr>
          <w:sz w:val="26"/>
          <w:szCs w:val="26"/>
        </w:rPr>
        <w:t>8</w:t>
      </w:r>
      <w:r w:rsidR="00ED436B">
        <w:rPr>
          <w:sz w:val="26"/>
          <w:szCs w:val="26"/>
        </w:rPr>
        <w:t xml:space="preserve">a). Spain. </w:t>
      </w:r>
      <w:r w:rsidR="000B52A6">
        <w:rPr>
          <w:sz w:val="26"/>
          <w:szCs w:val="26"/>
          <w:lang w:eastAsia="zh-TW"/>
        </w:rPr>
        <w:t>Retrieved from</w:t>
      </w:r>
      <w:r w:rsidR="00466C51">
        <w:rPr>
          <w:rFonts w:hint="eastAsia"/>
          <w:sz w:val="26"/>
          <w:szCs w:val="26"/>
          <w:lang w:eastAsia="zh-TW"/>
        </w:rPr>
        <w:t xml:space="preserve"> </w:t>
      </w:r>
      <w:r w:rsidRPr="002F5DB6">
        <w:rPr>
          <w:sz w:val="26"/>
          <w:szCs w:val="26"/>
        </w:rPr>
        <w:t>http://atlas.media.mit.edu/en/profile/country/esp/</w:t>
      </w:r>
      <w:r w:rsidRPr="007A6659">
        <w:rPr>
          <w:sz w:val="26"/>
          <w:szCs w:val="26"/>
        </w:rPr>
        <w:t xml:space="preserve"> </w:t>
      </w:r>
    </w:p>
    <w:p w14:paraId="0441B977" w14:textId="03440D14" w:rsidR="002F5DB6" w:rsidRPr="007A6659" w:rsidRDefault="00ED436B" w:rsidP="00466C51">
      <w:pPr>
        <w:spacing w:after="0" w:line="360" w:lineRule="atLeast"/>
        <w:ind w:left="520" w:hangingChars="200" w:hanging="520"/>
        <w:jc w:val="both"/>
        <w:rPr>
          <w:sz w:val="26"/>
          <w:szCs w:val="26"/>
        </w:rPr>
      </w:pPr>
      <w:r>
        <w:rPr>
          <w:sz w:val="26"/>
          <w:szCs w:val="26"/>
        </w:rPr>
        <w:t>OEC (201</w:t>
      </w:r>
      <w:r w:rsidR="00DA42F6">
        <w:rPr>
          <w:sz w:val="26"/>
          <w:szCs w:val="26"/>
        </w:rPr>
        <w:t>8b</w:t>
      </w:r>
      <w:r>
        <w:rPr>
          <w:sz w:val="26"/>
          <w:szCs w:val="26"/>
        </w:rPr>
        <w:t xml:space="preserve">). France. </w:t>
      </w:r>
      <w:r w:rsidR="000B52A6">
        <w:rPr>
          <w:sz w:val="26"/>
          <w:szCs w:val="26"/>
          <w:lang w:eastAsia="zh-TW"/>
        </w:rPr>
        <w:t>Retrieved from</w:t>
      </w:r>
      <w:r w:rsidR="000B52A6" w:rsidRPr="002F5DB6">
        <w:rPr>
          <w:sz w:val="26"/>
          <w:szCs w:val="26"/>
        </w:rPr>
        <w:t xml:space="preserve"> </w:t>
      </w:r>
      <w:r w:rsidR="002F5DB6" w:rsidRPr="002F5DB6">
        <w:rPr>
          <w:sz w:val="26"/>
          <w:szCs w:val="26"/>
        </w:rPr>
        <w:t>http://atlas.media.mit.edu/en/profile/country/fra/</w:t>
      </w:r>
    </w:p>
    <w:p w14:paraId="01582007" w14:textId="77777777" w:rsidR="000B52A6" w:rsidRDefault="002F5DB6" w:rsidP="006878F2">
      <w:pPr>
        <w:spacing w:after="0" w:line="360" w:lineRule="atLeast"/>
        <w:ind w:left="520" w:hangingChars="200" w:hanging="520"/>
        <w:jc w:val="both"/>
      </w:pPr>
      <w:r w:rsidRPr="007A6659">
        <w:rPr>
          <w:sz w:val="26"/>
          <w:szCs w:val="26"/>
        </w:rPr>
        <w:t xml:space="preserve">Parkhe, A. (2003). Institutional environments, institutional change and international alliances. </w:t>
      </w:r>
      <w:r w:rsidRPr="007A6659">
        <w:rPr>
          <w:i/>
          <w:sz w:val="26"/>
          <w:szCs w:val="26"/>
        </w:rPr>
        <w:t>Journal of International Management, 9</w:t>
      </w:r>
      <w:r>
        <w:rPr>
          <w:rFonts w:hint="eastAsia"/>
          <w:sz w:val="26"/>
          <w:szCs w:val="26"/>
          <w:lang w:eastAsia="zh-TW"/>
        </w:rPr>
        <w:t>(3)</w:t>
      </w:r>
      <w:r w:rsidRPr="007A6659">
        <w:rPr>
          <w:sz w:val="26"/>
          <w:szCs w:val="26"/>
        </w:rPr>
        <w:t>, 305-316.</w:t>
      </w:r>
      <w:r w:rsidRPr="00933A80">
        <w:t xml:space="preserve"> </w:t>
      </w:r>
    </w:p>
    <w:p w14:paraId="6874BDEE" w14:textId="2CD156BB" w:rsidR="002F5DB6" w:rsidRPr="00933A80" w:rsidRDefault="00ED436B" w:rsidP="006878F2">
      <w:pPr>
        <w:spacing w:after="0" w:line="360" w:lineRule="atLeast"/>
        <w:ind w:firstLineChars="200" w:firstLine="520"/>
        <w:jc w:val="both"/>
        <w:outlineLvl w:val="0"/>
        <w:rPr>
          <w:sz w:val="26"/>
          <w:szCs w:val="26"/>
        </w:rPr>
      </w:pPr>
      <w:r w:rsidRPr="00ED436B">
        <w:rPr>
          <w:sz w:val="26"/>
          <w:szCs w:val="26"/>
        </w:rPr>
        <w:t>https://doi.org/</w:t>
      </w:r>
      <w:r>
        <w:rPr>
          <w:sz w:val="26"/>
          <w:szCs w:val="26"/>
        </w:rPr>
        <w:t xml:space="preserve"> </w:t>
      </w:r>
      <w:r w:rsidR="002F5DB6" w:rsidRPr="00933A80">
        <w:rPr>
          <w:sz w:val="26"/>
          <w:szCs w:val="26"/>
        </w:rPr>
        <w:t>10.1016/s1075-4253(03)00038-3</w:t>
      </w:r>
    </w:p>
    <w:p w14:paraId="61A73A09" w14:textId="393D44F4" w:rsidR="002F5DB6" w:rsidRDefault="002F5DB6" w:rsidP="006878F2">
      <w:pPr>
        <w:spacing w:after="0" w:line="360" w:lineRule="atLeast"/>
        <w:ind w:left="520" w:hangingChars="200" w:hanging="520"/>
        <w:jc w:val="both"/>
        <w:rPr>
          <w:sz w:val="26"/>
          <w:szCs w:val="26"/>
        </w:rPr>
      </w:pPr>
      <w:r w:rsidRPr="007A6659">
        <w:rPr>
          <w:sz w:val="26"/>
          <w:szCs w:val="26"/>
        </w:rPr>
        <w:t xml:space="preserve">Peng, M. W. (2002). Towards an institution-based view of business strategy. </w:t>
      </w:r>
      <w:r w:rsidRPr="007A6659">
        <w:rPr>
          <w:i/>
          <w:sz w:val="26"/>
          <w:szCs w:val="26"/>
        </w:rPr>
        <w:t>Asia Pacific Journal of Management, 19</w:t>
      </w:r>
      <w:r>
        <w:rPr>
          <w:sz w:val="26"/>
          <w:szCs w:val="26"/>
        </w:rPr>
        <w:t>(2-3)</w:t>
      </w:r>
      <w:r w:rsidRPr="007A6659">
        <w:rPr>
          <w:sz w:val="26"/>
          <w:szCs w:val="26"/>
        </w:rPr>
        <w:t>, 251-267.</w:t>
      </w:r>
    </w:p>
    <w:p w14:paraId="7E8B0A3F" w14:textId="48F278BD" w:rsidR="00B35DD3" w:rsidRPr="007A6659" w:rsidRDefault="00B35DD3" w:rsidP="00466C51">
      <w:pPr>
        <w:spacing w:after="0" w:line="360" w:lineRule="atLeast"/>
        <w:ind w:firstLineChars="200" w:firstLine="520"/>
        <w:jc w:val="both"/>
        <w:outlineLvl w:val="0"/>
        <w:rPr>
          <w:sz w:val="26"/>
          <w:szCs w:val="26"/>
        </w:rPr>
      </w:pPr>
      <w:r w:rsidRPr="00B35DD3">
        <w:rPr>
          <w:sz w:val="26"/>
          <w:szCs w:val="26"/>
        </w:rPr>
        <w:t>https://doi.org/10.1023/A:1016291702714</w:t>
      </w:r>
    </w:p>
    <w:p w14:paraId="676A5EA8" w14:textId="5DD50CFB" w:rsidR="002F5DB6" w:rsidRPr="00933A80" w:rsidRDefault="002F5DB6" w:rsidP="00466C51">
      <w:pPr>
        <w:spacing w:after="0" w:line="360" w:lineRule="atLeast"/>
        <w:ind w:left="520" w:hangingChars="200" w:hanging="520"/>
        <w:jc w:val="both"/>
        <w:rPr>
          <w:sz w:val="26"/>
          <w:szCs w:val="26"/>
        </w:rPr>
      </w:pPr>
      <w:r w:rsidRPr="007A6659">
        <w:rPr>
          <w:sz w:val="26"/>
          <w:szCs w:val="26"/>
        </w:rPr>
        <w:t xml:space="preserve">Peng, M. W. (2003). Institutional transitions and strategic choices. </w:t>
      </w:r>
      <w:r w:rsidRPr="007A6659">
        <w:rPr>
          <w:i/>
          <w:sz w:val="26"/>
          <w:szCs w:val="26"/>
        </w:rPr>
        <w:t>Academy of Management Review, 28</w:t>
      </w:r>
      <w:r>
        <w:rPr>
          <w:sz w:val="26"/>
          <w:szCs w:val="26"/>
        </w:rPr>
        <w:t>(2)</w:t>
      </w:r>
      <w:r w:rsidRPr="007A6659">
        <w:rPr>
          <w:sz w:val="26"/>
          <w:szCs w:val="26"/>
        </w:rPr>
        <w:t>, 275-296.</w:t>
      </w:r>
      <w:r w:rsidRPr="00933A80">
        <w:t xml:space="preserve"> </w:t>
      </w:r>
      <w:r w:rsidRPr="00933A80">
        <w:rPr>
          <w:sz w:val="26"/>
          <w:szCs w:val="26"/>
        </w:rPr>
        <w:t>https://doi.org/10.2307/30040713</w:t>
      </w:r>
    </w:p>
    <w:p w14:paraId="76BE48BE" w14:textId="6FD278F2" w:rsidR="002F5DB6" w:rsidRPr="007A6659" w:rsidRDefault="002F5DB6" w:rsidP="006878F2">
      <w:pPr>
        <w:spacing w:after="0" w:line="360" w:lineRule="atLeast"/>
        <w:ind w:left="520" w:hangingChars="200" w:hanging="520"/>
        <w:jc w:val="both"/>
        <w:rPr>
          <w:sz w:val="26"/>
          <w:szCs w:val="26"/>
        </w:rPr>
      </w:pPr>
      <w:r w:rsidRPr="007A6659">
        <w:rPr>
          <w:sz w:val="26"/>
          <w:szCs w:val="26"/>
        </w:rPr>
        <w:t xml:space="preserve">Peng, M. W. (2014). </w:t>
      </w:r>
      <w:r w:rsidRPr="007A6659">
        <w:rPr>
          <w:i/>
          <w:sz w:val="26"/>
          <w:szCs w:val="26"/>
        </w:rPr>
        <w:t xml:space="preserve">Global </w:t>
      </w:r>
      <w:r w:rsidR="00466C51">
        <w:rPr>
          <w:i/>
          <w:sz w:val="26"/>
          <w:szCs w:val="26"/>
        </w:rPr>
        <w:t>b</w:t>
      </w:r>
      <w:r w:rsidR="00466C51" w:rsidRPr="007A6659">
        <w:rPr>
          <w:i/>
          <w:sz w:val="26"/>
          <w:szCs w:val="26"/>
        </w:rPr>
        <w:t xml:space="preserve">usiness </w:t>
      </w:r>
      <w:r w:rsidRPr="007A6659">
        <w:rPr>
          <w:i/>
          <w:sz w:val="26"/>
          <w:szCs w:val="26"/>
        </w:rPr>
        <w:t>(3rd ed.)</w:t>
      </w:r>
      <w:r w:rsidRPr="007A6659">
        <w:rPr>
          <w:sz w:val="26"/>
          <w:szCs w:val="26"/>
        </w:rPr>
        <w:t>. Cincinnati, Ohio: South-Western Thomson.</w:t>
      </w:r>
    </w:p>
    <w:p w14:paraId="7CF98892" w14:textId="7876D0B9" w:rsidR="002F5DB6" w:rsidRPr="00AC7E82" w:rsidRDefault="002F5DB6" w:rsidP="00466C51">
      <w:pPr>
        <w:spacing w:after="0" w:line="360" w:lineRule="atLeast"/>
        <w:ind w:left="520" w:hangingChars="200" w:hanging="520"/>
        <w:jc w:val="both"/>
        <w:rPr>
          <w:sz w:val="26"/>
          <w:szCs w:val="26"/>
        </w:rPr>
      </w:pPr>
      <w:r w:rsidRPr="007A6659">
        <w:rPr>
          <w:sz w:val="26"/>
          <w:szCs w:val="26"/>
        </w:rPr>
        <w:t xml:space="preserve">Peng, M. W., Sun, L. S., Pinkham, B., &amp; Chen, H. (2009). The institution-based view as a third leg for a strategy tripod. </w:t>
      </w:r>
      <w:r w:rsidRPr="007A6659">
        <w:rPr>
          <w:i/>
          <w:sz w:val="26"/>
          <w:szCs w:val="26"/>
        </w:rPr>
        <w:t>Academy of Management Perspectives, 23</w:t>
      </w:r>
      <w:r w:rsidRPr="007A6659">
        <w:rPr>
          <w:sz w:val="26"/>
          <w:szCs w:val="26"/>
        </w:rPr>
        <w:t>(3), 63-81.</w:t>
      </w:r>
      <w:r w:rsidRPr="00AC7E82">
        <w:t xml:space="preserve"> </w:t>
      </w:r>
      <w:r w:rsidRPr="00AC7E82">
        <w:rPr>
          <w:sz w:val="26"/>
          <w:szCs w:val="26"/>
        </w:rPr>
        <w:t>https://doi.org/10.5465/amp.2009.43479264</w:t>
      </w:r>
    </w:p>
    <w:p w14:paraId="0BF94A72" w14:textId="0132504F" w:rsidR="002F5DB6" w:rsidRPr="00AC7E82" w:rsidRDefault="002F5DB6" w:rsidP="00466C51">
      <w:pPr>
        <w:spacing w:after="0" w:line="360" w:lineRule="atLeast"/>
        <w:ind w:left="520" w:hangingChars="200" w:hanging="520"/>
        <w:jc w:val="both"/>
        <w:rPr>
          <w:sz w:val="26"/>
          <w:szCs w:val="26"/>
        </w:rPr>
      </w:pPr>
      <w:r w:rsidRPr="007A6659">
        <w:rPr>
          <w:sz w:val="26"/>
          <w:szCs w:val="26"/>
        </w:rPr>
        <w:t>Pope, J. A., Isely, E. S., &amp; Asamoa</w:t>
      </w:r>
      <w:r w:rsidRPr="007A6659">
        <w:rPr>
          <w:rFonts w:ascii="Calibri" w:hAnsi="Calibri" w:cs="Calibri"/>
          <w:sz w:val="26"/>
          <w:szCs w:val="26"/>
        </w:rPr>
        <w:t>‐</w:t>
      </w:r>
      <w:r w:rsidRPr="007A6659">
        <w:rPr>
          <w:sz w:val="26"/>
          <w:szCs w:val="26"/>
        </w:rPr>
        <w:t xml:space="preserve">Tutu, F. (2009). Developing a marketing strategy for nonprofit organizations: An exploratory study. </w:t>
      </w:r>
      <w:r w:rsidRPr="007A6659">
        <w:rPr>
          <w:i/>
          <w:iCs/>
          <w:sz w:val="26"/>
          <w:szCs w:val="26"/>
        </w:rPr>
        <w:t>Journal of Nonprofit &amp; Public Sector Marketing</w:t>
      </w:r>
      <w:r w:rsidRPr="007A6659">
        <w:rPr>
          <w:sz w:val="26"/>
          <w:szCs w:val="26"/>
        </w:rPr>
        <w:t xml:space="preserve">, </w:t>
      </w:r>
      <w:r w:rsidRPr="007A6659">
        <w:rPr>
          <w:i/>
          <w:iCs/>
          <w:sz w:val="26"/>
          <w:szCs w:val="26"/>
        </w:rPr>
        <w:t>21</w:t>
      </w:r>
      <w:r w:rsidRPr="007A6659">
        <w:rPr>
          <w:sz w:val="26"/>
          <w:szCs w:val="26"/>
        </w:rPr>
        <w:t>(2), 184-201.</w:t>
      </w:r>
      <w:r w:rsidRPr="00AC7E82">
        <w:t xml:space="preserve"> </w:t>
      </w:r>
      <w:r w:rsidRPr="00AC7E82">
        <w:rPr>
          <w:sz w:val="26"/>
          <w:szCs w:val="26"/>
        </w:rPr>
        <w:t>https://doi.org/10.1080/10495140802529532</w:t>
      </w:r>
    </w:p>
    <w:p w14:paraId="75A99F33" w14:textId="023F86FF" w:rsidR="002F5DB6" w:rsidRPr="007A6659" w:rsidRDefault="002F5DB6" w:rsidP="00466C51">
      <w:pPr>
        <w:spacing w:after="0" w:line="360" w:lineRule="atLeast"/>
        <w:ind w:left="520" w:hangingChars="200" w:hanging="520"/>
        <w:jc w:val="both"/>
        <w:rPr>
          <w:sz w:val="26"/>
          <w:szCs w:val="26"/>
        </w:rPr>
      </w:pPr>
      <w:r w:rsidRPr="007A6659">
        <w:rPr>
          <w:sz w:val="26"/>
          <w:szCs w:val="26"/>
        </w:rPr>
        <w:t>Ren, M., &amp; Jack, R. (2014). China's' steel hunger': A comparative analysis of SOE and NSOE internationalization motivations and attitudes towards risk.</w:t>
      </w:r>
      <w:r w:rsidR="00ED436B">
        <w:rPr>
          <w:sz w:val="26"/>
          <w:szCs w:val="26"/>
        </w:rPr>
        <w:t xml:space="preserve"> </w:t>
      </w:r>
      <w:r w:rsidRPr="007A6659">
        <w:rPr>
          <w:i/>
          <w:iCs/>
          <w:sz w:val="26"/>
          <w:szCs w:val="26"/>
        </w:rPr>
        <w:t>Contemporary Management Research</w:t>
      </w:r>
      <w:r w:rsidRPr="007A6659">
        <w:rPr>
          <w:sz w:val="26"/>
          <w:szCs w:val="26"/>
        </w:rPr>
        <w:t>,</w:t>
      </w:r>
      <w:r w:rsidR="00ED436B">
        <w:rPr>
          <w:sz w:val="26"/>
          <w:szCs w:val="26"/>
        </w:rPr>
        <w:t xml:space="preserve"> </w:t>
      </w:r>
      <w:r w:rsidRPr="007A6659">
        <w:rPr>
          <w:i/>
          <w:iCs/>
          <w:sz w:val="26"/>
          <w:szCs w:val="26"/>
        </w:rPr>
        <w:t>10</w:t>
      </w:r>
      <w:r w:rsidRPr="007A6659">
        <w:rPr>
          <w:sz w:val="26"/>
          <w:szCs w:val="26"/>
        </w:rPr>
        <w:t>(4), 325</w:t>
      </w:r>
      <w:r>
        <w:rPr>
          <w:rFonts w:hint="eastAsia"/>
          <w:sz w:val="26"/>
          <w:szCs w:val="26"/>
          <w:lang w:eastAsia="zh-TW"/>
        </w:rPr>
        <w:t>-352</w:t>
      </w:r>
      <w:r w:rsidR="000B52A6">
        <w:rPr>
          <w:sz w:val="26"/>
          <w:szCs w:val="26"/>
          <w:lang w:eastAsia="zh-TW"/>
        </w:rPr>
        <w:t>.</w:t>
      </w:r>
      <w:r w:rsidRPr="00AC7E82">
        <w:t xml:space="preserve"> </w:t>
      </w:r>
      <w:r w:rsidRPr="00AC7E82">
        <w:rPr>
          <w:sz w:val="26"/>
          <w:szCs w:val="26"/>
          <w:lang w:eastAsia="zh-TW"/>
        </w:rPr>
        <w:t>https://doi.org/10.7903/cmr.12484.</w:t>
      </w:r>
    </w:p>
    <w:p w14:paraId="074D52AE" w14:textId="3ADD69B1" w:rsidR="002F5DB6" w:rsidRPr="007A6659" w:rsidRDefault="002F5DB6" w:rsidP="006878F2">
      <w:pPr>
        <w:spacing w:after="0" w:line="360" w:lineRule="atLeast"/>
        <w:ind w:left="520" w:hangingChars="200" w:hanging="520"/>
        <w:jc w:val="both"/>
        <w:rPr>
          <w:sz w:val="26"/>
          <w:szCs w:val="26"/>
        </w:rPr>
      </w:pPr>
      <w:r w:rsidRPr="007A6659">
        <w:rPr>
          <w:sz w:val="26"/>
          <w:szCs w:val="26"/>
        </w:rPr>
        <w:t xml:space="preserve">Rothaermel, F. T. (2013). </w:t>
      </w:r>
      <w:r w:rsidRPr="007A6659">
        <w:rPr>
          <w:i/>
          <w:sz w:val="26"/>
          <w:szCs w:val="26"/>
        </w:rPr>
        <w:t xml:space="preserve">Strategic </w:t>
      </w:r>
      <w:r w:rsidR="00F455E1" w:rsidRPr="007A6659">
        <w:rPr>
          <w:i/>
          <w:sz w:val="26"/>
          <w:szCs w:val="26"/>
        </w:rPr>
        <w:t>management</w:t>
      </w:r>
      <w:r w:rsidRPr="007A6659">
        <w:rPr>
          <w:i/>
          <w:sz w:val="26"/>
          <w:szCs w:val="26"/>
        </w:rPr>
        <w:t xml:space="preserve">: </w:t>
      </w:r>
      <w:r w:rsidR="00F455E1" w:rsidRPr="007A6659">
        <w:rPr>
          <w:i/>
          <w:sz w:val="26"/>
          <w:szCs w:val="26"/>
        </w:rPr>
        <w:t xml:space="preserve">Concepts </w:t>
      </w:r>
      <w:r w:rsidRPr="007A6659">
        <w:rPr>
          <w:i/>
          <w:sz w:val="26"/>
          <w:szCs w:val="26"/>
        </w:rPr>
        <w:t xml:space="preserve">and </w:t>
      </w:r>
      <w:r w:rsidR="00F455E1" w:rsidRPr="007A6659">
        <w:rPr>
          <w:i/>
          <w:sz w:val="26"/>
          <w:szCs w:val="26"/>
        </w:rPr>
        <w:t>cases</w:t>
      </w:r>
      <w:r w:rsidRPr="007A6659">
        <w:rPr>
          <w:sz w:val="26"/>
          <w:szCs w:val="26"/>
        </w:rPr>
        <w:t>. New York, NY: McGraw-Hill Irwin.</w:t>
      </w:r>
    </w:p>
    <w:p w14:paraId="3C698719" w14:textId="5A2AA320" w:rsidR="002F5DB6" w:rsidRPr="00AC7E82" w:rsidRDefault="002F5DB6" w:rsidP="00466C51">
      <w:pPr>
        <w:spacing w:after="0" w:line="360" w:lineRule="atLeast"/>
        <w:ind w:left="520" w:hangingChars="200" w:hanging="520"/>
        <w:jc w:val="both"/>
        <w:rPr>
          <w:sz w:val="26"/>
          <w:szCs w:val="26"/>
        </w:rPr>
      </w:pPr>
      <w:r w:rsidRPr="007A6659">
        <w:rPr>
          <w:sz w:val="26"/>
          <w:szCs w:val="26"/>
        </w:rPr>
        <w:t>Rost, K., &amp; Graetzer, G. (2014). Multinational organizations as rule-following bureaucracies—</w:t>
      </w:r>
      <w:r w:rsidR="000B52A6">
        <w:rPr>
          <w:sz w:val="26"/>
          <w:szCs w:val="26"/>
        </w:rPr>
        <w:t>T</w:t>
      </w:r>
      <w:r w:rsidRPr="007A6659">
        <w:rPr>
          <w:sz w:val="26"/>
          <w:szCs w:val="26"/>
        </w:rPr>
        <w:t xml:space="preserve">he example of Catholic </w:t>
      </w:r>
      <w:r w:rsidR="004A46DD" w:rsidRPr="007A6659">
        <w:rPr>
          <w:sz w:val="26"/>
          <w:szCs w:val="26"/>
        </w:rPr>
        <w:t>orders</w:t>
      </w:r>
      <w:r w:rsidRPr="007A6659">
        <w:rPr>
          <w:sz w:val="26"/>
          <w:szCs w:val="26"/>
        </w:rPr>
        <w:t xml:space="preserve">. </w:t>
      </w:r>
      <w:r w:rsidRPr="007A6659">
        <w:rPr>
          <w:i/>
          <w:iCs/>
          <w:sz w:val="26"/>
          <w:szCs w:val="26"/>
        </w:rPr>
        <w:t>Journal of International Management</w:t>
      </w:r>
      <w:r w:rsidRPr="007A6659">
        <w:rPr>
          <w:sz w:val="26"/>
          <w:szCs w:val="26"/>
        </w:rPr>
        <w:t xml:space="preserve">, </w:t>
      </w:r>
      <w:r w:rsidRPr="007A6659">
        <w:rPr>
          <w:i/>
          <w:iCs/>
          <w:sz w:val="26"/>
          <w:szCs w:val="26"/>
        </w:rPr>
        <w:t>20</w:t>
      </w:r>
      <w:r w:rsidRPr="007A6659">
        <w:rPr>
          <w:sz w:val="26"/>
          <w:szCs w:val="26"/>
        </w:rPr>
        <w:t>(3), 290-311.</w:t>
      </w:r>
      <w:r w:rsidRPr="00AC7E82">
        <w:t xml:space="preserve"> </w:t>
      </w:r>
      <w:r w:rsidRPr="00AC7E82">
        <w:rPr>
          <w:sz w:val="26"/>
          <w:szCs w:val="26"/>
        </w:rPr>
        <w:t>https://doi.org/10.1016/j.intman.2013.11.001</w:t>
      </w:r>
    </w:p>
    <w:p w14:paraId="3770922A" w14:textId="41FB5919" w:rsidR="002F5DB6" w:rsidRPr="007A6659" w:rsidRDefault="002F5DB6" w:rsidP="006878F2">
      <w:pPr>
        <w:spacing w:after="0" w:line="360" w:lineRule="atLeast"/>
        <w:ind w:left="520" w:hangingChars="200" w:hanging="520"/>
        <w:jc w:val="both"/>
        <w:rPr>
          <w:sz w:val="26"/>
          <w:szCs w:val="26"/>
        </w:rPr>
      </w:pPr>
      <w:r w:rsidRPr="007A6659">
        <w:rPr>
          <w:sz w:val="26"/>
          <w:szCs w:val="26"/>
        </w:rPr>
        <w:t xml:space="preserve">Runge, C. F., Bagnara, G-L., &amp; Jackson, L. A. (2001). Differing US and European perspectives on GMOs: </w:t>
      </w:r>
      <w:r w:rsidR="000B52A6">
        <w:rPr>
          <w:sz w:val="26"/>
          <w:szCs w:val="26"/>
        </w:rPr>
        <w:t>P</w:t>
      </w:r>
      <w:r w:rsidRPr="007A6659">
        <w:rPr>
          <w:sz w:val="26"/>
          <w:szCs w:val="26"/>
        </w:rPr>
        <w:t xml:space="preserve">olitical, economic and cultural issues. </w:t>
      </w:r>
      <w:r w:rsidRPr="007A6659">
        <w:rPr>
          <w:i/>
          <w:sz w:val="26"/>
          <w:szCs w:val="26"/>
        </w:rPr>
        <w:t>Journal of International Law and Trade Policy, 2</w:t>
      </w:r>
      <w:r w:rsidRPr="007A6659">
        <w:rPr>
          <w:sz w:val="26"/>
          <w:szCs w:val="26"/>
        </w:rPr>
        <w:t>, 221-234.</w:t>
      </w:r>
    </w:p>
    <w:p w14:paraId="74A4250E" w14:textId="77777777" w:rsidR="002F5DB6" w:rsidRPr="007A6659" w:rsidRDefault="002F5DB6" w:rsidP="006878F2">
      <w:pPr>
        <w:spacing w:after="0" w:line="360" w:lineRule="atLeast"/>
        <w:ind w:left="520" w:hangingChars="200" w:hanging="520"/>
        <w:jc w:val="both"/>
        <w:rPr>
          <w:sz w:val="26"/>
          <w:szCs w:val="26"/>
        </w:rPr>
      </w:pPr>
      <w:r w:rsidRPr="007A6659">
        <w:rPr>
          <w:sz w:val="26"/>
          <w:szCs w:val="26"/>
        </w:rPr>
        <w:t xml:space="preserve">Saigo, H. (2000). Agriculture biotechnology and the negotiation of the Biosafety Protocol. </w:t>
      </w:r>
      <w:r w:rsidRPr="007A6659">
        <w:rPr>
          <w:i/>
          <w:sz w:val="26"/>
          <w:szCs w:val="26"/>
        </w:rPr>
        <w:t>The Georgetown International Environmental Law Review, 12</w:t>
      </w:r>
      <w:r w:rsidRPr="007A6659">
        <w:rPr>
          <w:sz w:val="26"/>
          <w:szCs w:val="26"/>
        </w:rPr>
        <w:t>, 779-816.</w:t>
      </w:r>
    </w:p>
    <w:p w14:paraId="290DCCF6" w14:textId="77777777" w:rsidR="00C86FB4" w:rsidRDefault="002F5DB6" w:rsidP="006878F2">
      <w:pPr>
        <w:spacing w:after="0" w:line="360" w:lineRule="atLeast"/>
        <w:ind w:left="520" w:hangingChars="200" w:hanging="520"/>
        <w:jc w:val="both"/>
        <w:rPr>
          <w:sz w:val="26"/>
          <w:szCs w:val="26"/>
        </w:rPr>
      </w:pPr>
      <w:r w:rsidRPr="00635E9B">
        <w:rPr>
          <w:sz w:val="26"/>
          <w:szCs w:val="26"/>
        </w:rPr>
        <w:t xml:space="preserve">Schrempf-Stirling, J., Palazzo, G., &amp; Phillips, R. A. (2016). Historic corporate social responsibility. </w:t>
      </w:r>
      <w:r w:rsidRPr="00635E9B">
        <w:rPr>
          <w:i/>
          <w:sz w:val="26"/>
          <w:szCs w:val="26"/>
        </w:rPr>
        <w:t>Academy of Management Review, 41</w:t>
      </w:r>
      <w:r w:rsidRPr="00635E9B">
        <w:rPr>
          <w:sz w:val="26"/>
          <w:szCs w:val="26"/>
        </w:rPr>
        <w:t>(4), 700-719.</w:t>
      </w:r>
    </w:p>
    <w:p w14:paraId="582E7515" w14:textId="13A13838" w:rsidR="002F5DB6" w:rsidRPr="00635E9B" w:rsidRDefault="00466C51" w:rsidP="006878F2">
      <w:pPr>
        <w:spacing w:after="0" w:line="360" w:lineRule="atLeast"/>
        <w:ind w:firstLineChars="200" w:firstLine="520"/>
        <w:jc w:val="both"/>
        <w:outlineLvl w:val="0"/>
        <w:rPr>
          <w:sz w:val="26"/>
          <w:szCs w:val="26"/>
        </w:rPr>
      </w:pPr>
      <w:r w:rsidRPr="00466C51">
        <w:rPr>
          <w:sz w:val="26"/>
          <w:szCs w:val="26"/>
        </w:rPr>
        <w:t>https://</w:t>
      </w:r>
      <w:r>
        <w:rPr>
          <w:sz w:val="26"/>
          <w:szCs w:val="26"/>
        </w:rPr>
        <w:t>dx.doi.ord/</w:t>
      </w:r>
      <w:r w:rsidR="00C86FB4" w:rsidRPr="00C86FB4">
        <w:rPr>
          <w:sz w:val="26"/>
          <w:szCs w:val="26"/>
        </w:rPr>
        <w:t>10.5465/amr.2014.0137</w:t>
      </w:r>
      <w:r w:rsidR="002F5DB6" w:rsidRPr="00635E9B">
        <w:rPr>
          <w:sz w:val="26"/>
          <w:szCs w:val="26"/>
        </w:rPr>
        <w:tab/>
      </w:r>
    </w:p>
    <w:p w14:paraId="094E8F28" w14:textId="09FD8D33" w:rsidR="002F5DB6" w:rsidRPr="007A6659" w:rsidRDefault="002F5DB6" w:rsidP="006878F2">
      <w:pPr>
        <w:spacing w:after="0" w:line="360" w:lineRule="atLeast"/>
        <w:ind w:left="520" w:hangingChars="200" w:hanging="520"/>
        <w:jc w:val="both"/>
        <w:rPr>
          <w:sz w:val="26"/>
          <w:szCs w:val="26"/>
        </w:rPr>
      </w:pPr>
      <w:r w:rsidRPr="007A6659">
        <w:rPr>
          <w:sz w:val="26"/>
          <w:szCs w:val="26"/>
        </w:rPr>
        <w:t xml:space="preserve">Scott, W. R. (2008) </w:t>
      </w:r>
      <w:r w:rsidRPr="007A6659">
        <w:rPr>
          <w:i/>
          <w:sz w:val="26"/>
          <w:szCs w:val="26"/>
        </w:rPr>
        <w:t xml:space="preserve">Institutions and </w:t>
      </w:r>
      <w:r w:rsidR="00F455E1" w:rsidRPr="007A6659">
        <w:rPr>
          <w:i/>
          <w:sz w:val="26"/>
          <w:szCs w:val="26"/>
        </w:rPr>
        <w:t>organizations</w:t>
      </w:r>
      <w:r w:rsidRPr="007A6659">
        <w:rPr>
          <w:i/>
          <w:sz w:val="26"/>
          <w:szCs w:val="26"/>
        </w:rPr>
        <w:t xml:space="preserve">: Ideas and </w:t>
      </w:r>
      <w:r w:rsidR="00F455E1" w:rsidRPr="007A6659">
        <w:rPr>
          <w:i/>
          <w:sz w:val="26"/>
          <w:szCs w:val="26"/>
        </w:rPr>
        <w:t>interests</w:t>
      </w:r>
      <w:r w:rsidRPr="007A6659">
        <w:rPr>
          <w:sz w:val="26"/>
          <w:szCs w:val="26"/>
        </w:rPr>
        <w:t>. Los Angeles, CA: Sage.</w:t>
      </w:r>
    </w:p>
    <w:p w14:paraId="25D6B3EB" w14:textId="2AF66807" w:rsidR="002F5DB6" w:rsidRPr="00BE5486" w:rsidRDefault="002F5DB6" w:rsidP="00466C51">
      <w:pPr>
        <w:spacing w:after="0" w:line="360" w:lineRule="atLeast"/>
        <w:ind w:left="520" w:hangingChars="200" w:hanging="520"/>
        <w:jc w:val="both"/>
        <w:rPr>
          <w:sz w:val="26"/>
          <w:szCs w:val="26"/>
        </w:rPr>
      </w:pPr>
      <w:r w:rsidRPr="007A6659">
        <w:rPr>
          <w:sz w:val="26"/>
          <w:szCs w:val="26"/>
        </w:rPr>
        <w:t>Séralini, G. E., De Vendômois, J. S., Cellier, D., Sultan, C., Buiatti, M., Gallagher, L., Antoniou, M.</w:t>
      </w:r>
      <w:r w:rsidR="00ED436B">
        <w:rPr>
          <w:sz w:val="26"/>
          <w:szCs w:val="26"/>
        </w:rPr>
        <w:t>,</w:t>
      </w:r>
      <w:r w:rsidRPr="007A6659">
        <w:rPr>
          <w:sz w:val="26"/>
          <w:szCs w:val="26"/>
        </w:rPr>
        <w:t xml:space="preserve"> &amp; Dronamraju, K. R. (2009). How subchronic and chronic health effects can be neglected for GMOs, pesticides or chemicals. </w:t>
      </w:r>
      <w:r w:rsidRPr="007A6659">
        <w:rPr>
          <w:i/>
          <w:sz w:val="26"/>
          <w:szCs w:val="26"/>
        </w:rPr>
        <w:t>International Journal of Biological Sciences, 5</w:t>
      </w:r>
      <w:r w:rsidRPr="007A6659">
        <w:rPr>
          <w:sz w:val="26"/>
          <w:szCs w:val="26"/>
        </w:rPr>
        <w:t>(5), 438-443.</w:t>
      </w:r>
      <w:r w:rsidRPr="00BE5486">
        <w:rPr>
          <w:sz w:val="26"/>
          <w:szCs w:val="26"/>
        </w:rPr>
        <w:t xml:space="preserve"> https://doi.org/10.7150/ijbs.5.438</w:t>
      </w:r>
    </w:p>
    <w:p w14:paraId="2946BCFD" w14:textId="503CFDA0" w:rsidR="001937BB" w:rsidRPr="001937BB" w:rsidRDefault="001937BB" w:rsidP="006878F2">
      <w:pPr>
        <w:spacing w:after="0" w:line="360" w:lineRule="atLeast"/>
        <w:ind w:left="520" w:hangingChars="200" w:hanging="520"/>
        <w:jc w:val="both"/>
        <w:rPr>
          <w:sz w:val="26"/>
          <w:szCs w:val="26"/>
        </w:rPr>
      </w:pPr>
      <w:r>
        <w:rPr>
          <w:sz w:val="26"/>
          <w:szCs w:val="26"/>
        </w:rPr>
        <w:t xml:space="preserve">Simon, H. A. (2013). </w:t>
      </w:r>
      <w:r>
        <w:rPr>
          <w:i/>
          <w:sz w:val="26"/>
          <w:szCs w:val="26"/>
        </w:rPr>
        <w:t xml:space="preserve">Administrative </w:t>
      </w:r>
      <w:r w:rsidR="00F455E1">
        <w:rPr>
          <w:i/>
          <w:sz w:val="26"/>
          <w:szCs w:val="26"/>
        </w:rPr>
        <w:t>behavior</w:t>
      </w:r>
      <w:r>
        <w:rPr>
          <w:i/>
          <w:sz w:val="26"/>
          <w:szCs w:val="26"/>
        </w:rPr>
        <w:t xml:space="preserve">. </w:t>
      </w:r>
      <w:r>
        <w:rPr>
          <w:sz w:val="26"/>
          <w:szCs w:val="26"/>
        </w:rPr>
        <w:t>(2013).  New York: The Free Press.</w:t>
      </w:r>
    </w:p>
    <w:p w14:paraId="38C115AA" w14:textId="2B79186B" w:rsidR="002F5DB6" w:rsidRPr="007A6659" w:rsidRDefault="002F5DB6" w:rsidP="006878F2">
      <w:pPr>
        <w:spacing w:after="0" w:line="360" w:lineRule="atLeast"/>
        <w:ind w:left="520" w:hangingChars="200" w:hanging="520"/>
        <w:jc w:val="both"/>
        <w:rPr>
          <w:sz w:val="26"/>
          <w:szCs w:val="26"/>
        </w:rPr>
      </w:pPr>
      <w:r w:rsidRPr="007A6659">
        <w:rPr>
          <w:sz w:val="26"/>
          <w:szCs w:val="26"/>
        </w:rPr>
        <w:t xml:space="preserve">Soule, E. (2003). Corporate strategy, government regulatory policy and NGO activism: </w:t>
      </w:r>
      <w:r w:rsidR="004A46DD" w:rsidRPr="007A6659">
        <w:rPr>
          <w:sz w:val="26"/>
          <w:szCs w:val="26"/>
        </w:rPr>
        <w:t xml:space="preserve">The </w:t>
      </w:r>
      <w:r w:rsidRPr="007A6659">
        <w:rPr>
          <w:sz w:val="26"/>
          <w:szCs w:val="26"/>
        </w:rPr>
        <w:t xml:space="preserve">case of genetically modified crops. In J. Doh &amp; H. Teegen (Eds.). </w:t>
      </w:r>
      <w:r w:rsidRPr="007A6659">
        <w:rPr>
          <w:i/>
          <w:sz w:val="26"/>
          <w:szCs w:val="26"/>
        </w:rPr>
        <w:t>Globalization and NGOs:</w:t>
      </w:r>
      <w:r w:rsidR="004A46DD">
        <w:rPr>
          <w:i/>
          <w:sz w:val="26"/>
          <w:szCs w:val="26"/>
        </w:rPr>
        <w:t xml:space="preserve"> </w:t>
      </w:r>
      <w:r w:rsidRPr="007A6659">
        <w:rPr>
          <w:i/>
          <w:sz w:val="26"/>
          <w:szCs w:val="26"/>
        </w:rPr>
        <w:t>Transforming bu</w:t>
      </w:r>
      <w:r w:rsidR="004A46DD" w:rsidRPr="007A6659">
        <w:rPr>
          <w:i/>
          <w:sz w:val="26"/>
          <w:szCs w:val="26"/>
        </w:rPr>
        <w:t xml:space="preserve">siness, </w:t>
      </w:r>
      <w:r w:rsidR="0059097D" w:rsidRPr="007A6659">
        <w:rPr>
          <w:i/>
          <w:sz w:val="26"/>
          <w:szCs w:val="26"/>
        </w:rPr>
        <w:t>government and society</w:t>
      </w:r>
      <w:r w:rsidR="004A46DD" w:rsidRPr="007A6659">
        <w:rPr>
          <w:sz w:val="26"/>
          <w:szCs w:val="26"/>
        </w:rPr>
        <w:t xml:space="preserve"> </w:t>
      </w:r>
      <w:r w:rsidRPr="007A6659">
        <w:rPr>
          <w:sz w:val="26"/>
          <w:szCs w:val="26"/>
        </w:rPr>
        <w:t xml:space="preserve">(pp. 130-156). Westport, CT: Praeger. </w:t>
      </w:r>
    </w:p>
    <w:p w14:paraId="745A61E5" w14:textId="77777777" w:rsidR="00FD119F" w:rsidRDefault="002F5DB6" w:rsidP="00F726D7">
      <w:pPr>
        <w:spacing w:after="0" w:line="360" w:lineRule="atLeast"/>
        <w:ind w:left="520" w:hangingChars="200" w:hanging="520"/>
        <w:jc w:val="both"/>
        <w:rPr>
          <w:sz w:val="26"/>
          <w:szCs w:val="26"/>
        </w:rPr>
      </w:pPr>
      <w:r w:rsidRPr="007A6659">
        <w:rPr>
          <w:sz w:val="26"/>
          <w:szCs w:val="26"/>
        </w:rPr>
        <w:t xml:space="preserve">Stecklow, Steve (2006-03-21). Did a group financed by Exxon prompt IRS to </w:t>
      </w:r>
      <w:r>
        <w:rPr>
          <w:sz w:val="26"/>
          <w:szCs w:val="26"/>
        </w:rPr>
        <w:t>a</w:t>
      </w:r>
      <w:r w:rsidRPr="007A6659">
        <w:rPr>
          <w:sz w:val="26"/>
          <w:szCs w:val="26"/>
        </w:rPr>
        <w:t xml:space="preserve">udit Greenpeace? </w:t>
      </w:r>
      <w:r w:rsidRPr="007A6659">
        <w:rPr>
          <w:i/>
          <w:iCs/>
          <w:sz w:val="26"/>
          <w:szCs w:val="26"/>
        </w:rPr>
        <w:t>The Wall Street Journal</w:t>
      </w:r>
      <w:r w:rsidRPr="007A6659">
        <w:rPr>
          <w:sz w:val="26"/>
          <w:szCs w:val="26"/>
        </w:rPr>
        <w:t xml:space="preserve">. </w:t>
      </w:r>
      <w:r w:rsidR="00C86FB4">
        <w:rPr>
          <w:sz w:val="26"/>
          <w:szCs w:val="26"/>
        </w:rPr>
        <w:t>Retrieved from</w:t>
      </w:r>
    </w:p>
    <w:p w14:paraId="6268E5AF" w14:textId="28F7C9F4" w:rsidR="002F5DB6" w:rsidRPr="007A6659" w:rsidRDefault="000434DD" w:rsidP="00FD119F">
      <w:pPr>
        <w:spacing w:after="0" w:line="360" w:lineRule="atLeast"/>
        <w:ind w:firstLineChars="200" w:firstLine="520"/>
        <w:jc w:val="both"/>
        <w:rPr>
          <w:sz w:val="26"/>
          <w:szCs w:val="26"/>
        </w:rPr>
      </w:pPr>
      <w:r w:rsidRPr="000434DD">
        <w:rPr>
          <w:sz w:val="26"/>
          <w:szCs w:val="26"/>
        </w:rPr>
        <w:t>http://www.wsj.com/articles/</w:t>
      </w:r>
      <w:r>
        <w:rPr>
          <w:sz w:val="26"/>
          <w:szCs w:val="26"/>
        </w:rPr>
        <w:t xml:space="preserve"> </w:t>
      </w:r>
      <w:r w:rsidR="002F5DB6" w:rsidRPr="002F5DB6">
        <w:rPr>
          <w:sz w:val="26"/>
          <w:szCs w:val="26"/>
        </w:rPr>
        <w:t>SB114291044305003774</w:t>
      </w:r>
      <w:r w:rsidR="002F5DB6" w:rsidRPr="007A6659">
        <w:rPr>
          <w:sz w:val="26"/>
          <w:szCs w:val="26"/>
        </w:rPr>
        <w:t>.</w:t>
      </w:r>
    </w:p>
    <w:p w14:paraId="7366B1C2" w14:textId="77777777" w:rsidR="00FD119F" w:rsidRDefault="005E7420" w:rsidP="00FD119F">
      <w:pPr>
        <w:spacing w:after="0" w:line="360" w:lineRule="atLeast"/>
        <w:ind w:left="520" w:hangingChars="200" w:hanging="520"/>
        <w:jc w:val="both"/>
        <w:rPr>
          <w:sz w:val="26"/>
          <w:szCs w:val="26"/>
        </w:rPr>
      </w:pPr>
      <w:r w:rsidRPr="007A6659">
        <w:rPr>
          <w:sz w:val="26"/>
          <w:szCs w:val="26"/>
        </w:rPr>
        <w:t xml:space="preserve">Tang, Z., &amp; Hull, C. E. (2012). An investigation of entrepreneurial orientation, perceived environmental hostility, and strategy application among Chinese SMEs. </w:t>
      </w:r>
      <w:r w:rsidRPr="007A6659">
        <w:rPr>
          <w:i/>
          <w:sz w:val="26"/>
          <w:szCs w:val="26"/>
        </w:rPr>
        <w:t>Journal of Small Business Management, 50</w:t>
      </w:r>
      <w:r w:rsidRPr="007A6659">
        <w:rPr>
          <w:sz w:val="26"/>
          <w:szCs w:val="26"/>
        </w:rPr>
        <w:t>(1), 132-158.</w:t>
      </w:r>
      <w:r w:rsidR="00A95AF2" w:rsidRPr="00A95AF2">
        <w:rPr>
          <w:sz w:val="26"/>
          <w:szCs w:val="26"/>
        </w:rPr>
        <w:t xml:space="preserve"> </w:t>
      </w:r>
    </w:p>
    <w:p w14:paraId="7EEC654C" w14:textId="48B56EC1" w:rsidR="00A95AF2" w:rsidRPr="00A95AF2" w:rsidRDefault="00A95AF2" w:rsidP="00FD119F">
      <w:pPr>
        <w:spacing w:after="0" w:line="360" w:lineRule="atLeast"/>
        <w:ind w:firstLineChars="200" w:firstLine="520"/>
        <w:jc w:val="both"/>
        <w:rPr>
          <w:sz w:val="26"/>
          <w:szCs w:val="26"/>
        </w:rPr>
      </w:pPr>
      <w:r w:rsidRPr="00A95AF2">
        <w:rPr>
          <w:sz w:val="26"/>
          <w:szCs w:val="26"/>
        </w:rPr>
        <w:t>https://doi.org/10.1111/j.1540-627x.2011.00347.x</w:t>
      </w:r>
    </w:p>
    <w:p w14:paraId="6D405CFD" w14:textId="6295F650" w:rsidR="002F5DB6" w:rsidRDefault="002F5DB6" w:rsidP="006878F2">
      <w:pPr>
        <w:spacing w:after="0" w:line="360" w:lineRule="atLeast"/>
        <w:ind w:left="520" w:hangingChars="200" w:hanging="520"/>
        <w:jc w:val="both"/>
        <w:rPr>
          <w:sz w:val="26"/>
          <w:szCs w:val="26"/>
        </w:rPr>
      </w:pPr>
      <w:r w:rsidRPr="007A6659">
        <w:rPr>
          <w:sz w:val="26"/>
          <w:szCs w:val="26"/>
        </w:rPr>
        <w:t xml:space="preserve">Tantawi, P. I., O’Shaughnessy, N. J., Gad, K. A., &amp; Ragheb, M. A. S. (2009). Green consciousness of consumers in a developing country: </w:t>
      </w:r>
      <w:r w:rsidR="004A46DD">
        <w:rPr>
          <w:sz w:val="26"/>
          <w:szCs w:val="26"/>
        </w:rPr>
        <w:t>A</w:t>
      </w:r>
      <w:r w:rsidRPr="007A6659">
        <w:rPr>
          <w:sz w:val="26"/>
          <w:szCs w:val="26"/>
        </w:rPr>
        <w:t xml:space="preserve"> study of Egyptian consumers.</w:t>
      </w:r>
      <w:r w:rsidR="000434DD">
        <w:rPr>
          <w:sz w:val="26"/>
          <w:szCs w:val="26"/>
        </w:rPr>
        <w:t xml:space="preserve"> </w:t>
      </w:r>
      <w:r w:rsidRPr="007A6659">
        <w:rPr>
          <w:i/>
          <w:iCs/>
          <w:sz w:val="26"/>
          <w:szCs w:val="26"/>
        </w:rPr>
        <w:t>Contemporary Management Research</w:t>
      </w:r>
      <w:r w:rsidRPr="007A6659">
        <w:rPr>
          <w:sz w:val="26"/>
          <w:szCs w:val="26"/>
        </w:rPr>
        <w:t>,</w:t>
      </w:r>
      <w:r w:rsidR="000434DD">
        <w:rPr>
          <w:sz w:val="26"/>
          <w:szCs w:val="26"/>
        </w:rPr>
        <w:t xml:space="preserve"> </w:t>
      </w:r>
      <w:r w:rsidRPr="007A6659">
        <w:rPr>
          <w:i/>
          <w:iCs/>
          <w:sz w:val="26"/>
          <w:szCs w:val="26"/>
        </w:rPr>
        <w:t>5</w:t>
      </w:r>
      <w:r w:rsidRPr="007A6659">
        <w:rPr>
          <w:sz w:val="26"/>
          <w:szCs w:val="26"/>
        </w:rPr>
        <w:t>(1), 29-50.</w:t>
      </w:r>
    </w:p>
    <w:p w14:paraId="603D7F40" w14:textId="6D63917F" w:rsidR="00C86FB4" w:rsidRPr="007A6659" w:rsidRDefault="00C86FB4" w:rsidP="006878F2">
      <w:pPr>
        <w:spacing w:after="0" w:line="360" w:lineRule="atLeast"/>
        <w:ind w:firstLineChars="200" w:firstLine="520"/>
        <w:jc w:val="both"/>
        <w:outlineLvl w:val="0"/>
        <w:rPr>
          <w:sz w:val="26"/>
          <w:szCs w:val="26"/>
        </w:rPr>
      </w:pPr>
      <w:r w:rsidRPr="00C86FB4">
        <w:rPr>
          <w:sz w:val="26"/>
          <w:szCs w:val="26"/>
        </w:rPr>
        <w:t>https://doi.org/10.7903/cmr.1149</w:t>
      </w:r>
    </w:p>
    <w:p w14:paraId="6A6B021F" w14:textId="2B69130C" w:rsidR="002F5DB6" w:rsidRPr="00CB7B07" w:rsidRDefault="000434DD" w:rsidP="0059097D">
      <w:pPr>
        <w:spacing w:after="0" w:line="360" w:lineRule="atLeast"/>
        <w:ind w:left="520" w:hangingChars="200" w:hanging="520"/>
        <w:jc w:val="both"/>
        <w:rPr>
          <w:sz w:val="26"/>
          <w:szCs w:val="26"/>
        </w:rPr>
      </w:pPr>
      <w:r>
        <w:rPr>
          <w:sz w:val="26"/>
          <w:szCs w:val="26"/>
        </w:rPr>
        <w:t xml:space="preserve">Taysir, E. A., </w:t>
      </w:r>
      <w:r w:rsidR="002F5DB6" w:rsidRPr="007A6659">
        <w:rPr>
          <w:sz w:val="26"/>
          <w:szCs w:val="26"/>
        </w:rPr>
        <w:t>&amp; Taysir, N. K. (2012)</w:t>
      </w:r>
      <w:r w:rsidR="002F5DB6">
        <w:rPr>
          <w:sz w:val="26"/>
          <w:szCs w:val="26"/>
        </w:rPr>
        <w:t>.</w:t>
      </w:r>
      <w:r w:rsidR="002F5DB6" w:rsidRPr="007A6659">
        <w:rPr>
          <w:sz w:val="26"/>
          <w:szCs w:val="26"/>
        </w:rPr>
        <w:t xml:space="preserve"> Measuring effectiveness in non-profit organizations: An integration effort. </w:t>
      </w:r>
      <w:r w:rsidR="002F5DB6" w:rsidRPr="007A6659">
        <w:rPr>
          <w:i/>
          <w:sz w:val="26"/>
          <w:szCs w:val="26"/>
        </w:rPr>
        <w:t>Journal of Transnational Management, 17</w:t>
      </w:r>
      <w:r w:rsidR="002F5DB6" w:rsidRPr="007A6659">
        <w:rPr>
          <w:sz w:val="26"/>
          <w:szCs w:val="26"/>
        </w:rPr>
        <w:t>(3), 220-235.</w:t>
      </w:r>
      <w:r w:rsidR="002F5DB6" w:rsidRPr="003D2B7F">
        <w:t xml:space="preserve"> </w:t>
      </w:r>
      <w:r w:rsidR="002F5DB6" w:rsidRPr="003D2B7F">
        <w:rPr>
          <w:sz w:val="26"/>
          <w:szCs w:val="26"/>
        </w:rPr>
        <w:t>https://doi.org/10.1080/15475778.2012.706736</w:t>
      </w:r>
    </w:p>
    <w:p w14:paraId="771A3262" w14:textId="790C70A6" w:rsidR="002F5DB6" w:rsidRPr="003D2B7F" w:rsidRDefault="002F5DB6" w:rsidP="0059097D">
      <w:pPr>
        <w:spacing w:after="0" w:line="360" w:lineRule="atLeast"/>
        <w:ind w:left="520" w:hangingChars="200" w:hanging="520"/>
        <w:jc w:val="both"/>
        <w:rPr>
          <w:sz w:val="26"/>
          <w:szCs w:val="26"/>
        </w:rPr>
      </w:pPr>
      <w:r w:rsidRPr="007A6659">
        <w:rPr>
          <w:sz w:val="26"/>
          <w:szCs w:val="26"/>
        </w:rPr>
        <w:t xml:space="preserve">Teegen, H., Doh, J., &amp; Vachani, S. (2004). The importance of nongovernmental organizations (NGOs) in global governance and value creation: an international business research agenda. </w:t>
      </w:r>
      <w:r w:rsidRPr="007A6659">
        <w:rPr>
          <w:i/>
          <w:sz w:val="26"/>
          <w:szCs w:val="26"/>
        </w:rPr>
        <w:t>Journal of International Business Studies, 35</w:t>
      </w:r>
      <w:r>
        <w:rPr>
          <w:sz w:val="26"/>
          <w:szCs w:val="26"/>
        </w:rPr>
        <w:t>(6)</w:t>
      </w:r>
      <w:r w:rsidRPr="007A6659">
        <w:rPr>
          <w:sz w:val="26"/>
          <w:szCs w:val="26"/>
        </w:rPr>
        <w:t>, 463-483.</w:t>
      </w:r>
      <w:r w:rsidRPr="003D2B7F">
        <w:t xml:space="preserve"> </w:t>
      </w:r>
      <w:r w:rsidRPr="003D2B7F">
        <w:rPr>
          <w:sz w:val="26"/>
          <w:szCs w:val="26"/>
        </w:rPr>
        <w:t>https://doi.org/10.1057/palgrave.jibs.8400112</w:t>
      </w:r>
    </w:p>
    <w:p w14:paraId="5A96ED85" w14:textId="77777777" w:rsidR="00C86FB4" w:rsidRDefault="002F5DB6" w:rsidP="006878F2">
      <w:pPr>
        <w:spacing w:after="0" w:line="360" w:lineRule="atLeast"/>
        <w:ind w:left="520" w:hangingChars="200" w:hanging="520"/>
        <w:jc w:val="both"/>
      </w:pPr>
      <w:r w:rsidRPr="007A6659">
        <w:rPr>
          <w:sz w:val="26"/>
          <w:szCs w:val="26"/>
        </w:rPr>
        <w:t xml:space="preserve">Vachani, S., Doh, J., &amp; Teegen, H. (2009). NGOs’ influence on MNEs’ social development strategies in varying institutional contexts: </w:t>
      </w:r>
      <w:r w:rsidR="000434DD" w:rsidRPr="007A6659">
        <w:rPr>
          <w:sz w:val="26"/>
          <w:szCs w:val="26"/>
        </w:rPr>
        <w:t>A</w:t>
      </w:r>
      <w:r w:rsidRPr="007A6659">
        <w:rPr>
          <w:sz w:val="26"/>
          <w:szCs w:val="26"/>
        </w:rPr>
        <w:t xml:space="preserve"> transaction cost perspective. </w:t>
      </w:r>
      <w:r w:rsidRPr="007A6659">
        <w:rPr>
          <w:i/>
          <w:sz w:val="26"/>
          <w:szCs w:val="26"/>
        </w:rPr>
        <w:t>International Business Review, 18</w:t>
      </w:r>
      <w:r>
        <w:rPr>
          <w:sz w:val="26"/>
          <w:szCs w:val="26"/>
        </w:rPr>
        <w:t>(5)</w:t>
      </w:r>
      <w:r w:rsidRPr="007A6659">
        <w:rPr>
          <w:sz w:val="26"/>
          <w:szCs w:val="26"/>
        </w:rPr>
        <w:t>, 446-456.</w:t>
      </w:r>
      <w:r w:rsidRPr="003D2B7F">
        <w:t xml:space="preserve"> </w:t>
      </w:r>
    </w:p>
    <w:p w14:paraId="430BE3EB" w14:textId="6B22FC80" w:rsidR="002F5DB6" w:rsidRPr="003D2B7F" w:rsidRDefault="000434DD" w:rsidP="006878F2">
      <w:pPr>
        <w:spacing w:after="0" w:line="360" w:lineRule="atLeast"/>
        <w:ind w:firstLineChars="200" w:firstLine="520"/>
        <w:jc w:val="both"/>
        <w:outlineLvl w:val="0"/>
        <w:rPr>
          <w:sz w:val="26"/>
          <w:szCs w:val="26"/>
        </w:rPr>
      </w:pPr>
      <w:r w:rsidRPr="000434DD">
        <w:rPr>
          <w:sz w:val="26"/>
          <w:szCs w:val="26"/>
        </w:rPr>
        <w:t>https://doi.org/</w:t>
      </w:r>
      <w:r>
        <w:rPr>
          <w:sz w:val="26"/>
          <w:szCs w:val="26"/>
        </w:rPr>
        <w:t xml:space="preserve"> </w:t>
      </w:r>
      <w:r w:rsidR="002F5DB6" w:rsidRPr="003D2B7F">
        <w:rPr>
          <w:sz w:val="26"/>
          <w:szCs w:val="26"/>
        </w:rPr>
        <w:t>10.1016/j.ibusrev.2009.05.002</w:t>
      </w:r>
    </w:p>
    <w:p w14:paraId="3A339433" w14:textId="6D4A8078" w:rsidR="002F5DB6" w:rsidRPr="004359A5" w:rsidRDefault="002F5DB6" w:rsidP="0059097D">
      <w:pPr>
        <w:spacing w:after="0" w:line="360" w:lineRule="atLeast"/>
        <w:ind w:left="520" w:hangingChars="200" w:hanging="520"/>
        <w:jc w:val="both"/>
        <w:rPr>
          <w:sz w:val="26"/>
          <w:szCs w:val="26"/>
        </w:rPr>
      </w:pPr>
      <w:r w:rsidRPr="007A6659">
        <w:rPr>
          <w:sz w:val="26"/>
          <w:szCs w:val="26"/>
        </w:rPr>
        <w:t xml:space="preserve">Van Leeuwen, M. H. D. &amp; Wiepking, P. (2012). National campaigns for charitable causes: A literature review. </w:t>
      </w:r>
      <w:r w:rsidRPr="007A6659">
        <w:rPr>
          <w:i/>
          <w:sz w:val="26"/>
          <w:szCs w:val="26"/>
        </w:rPr>
        <w:t>Nonprofit and Voluntary Sector Quarterly, 42</w:t>
      </w:r>
      <w:r w:rsidRPr="007A6659">
        <w:rPr>
          <w:sz w:val="26"/>
          <w:szCs w:val="26"/>
        </w:rPr>
        <w:t>(2), 219-240.</w:t>
      </w:r>
      <w:r w:rsidRPr="004359A5">
        <w:t xml:space="preserve"> </w:t>
      </w:r>
      <w:r w:rsidRPr="004359A5">
        <w:rPr>
          <w:sz w:val="26"/>
          <w:szCs w:val="26"/>
        </w:rPr>
        <w:t>https://doi.org/10.1177/0899764012467084</w:t>
      </w:r>
    </w:p>
    <w:p w14:paraId="67C93C98" w14:textId="77777777" w:rsidR="002F5DB6" w:rsidRPr="004359A5" w:rsidRDefault="002F5DB6" w:rsidP="006878F2">
      <w:pPr>
        <w:spacing w:after="0" w:line="360" w:lineRule="atLeast"/>
        <w:ind w:left="520" w:hangingChars="200" w:hanging="520"/>
        <w:jc w:val="both"/>
      </w:pPr>
      <w:r w:rsidRPr="007A6659">
        <w:rPr>
          <w:sz w:val="26"/>
          <w:szCs w:val="26"/>
        </w:rPr>
        <w:t xml:space="preserve">Van Schendelen, R. (2003). The GMO food arena in the EU (1998-2001). </w:t>
      </w:r>
      <w:r w:rsidRPr="007A6659">
        <w:rPr>
          <w:i/>
          <w:sz w:val="26"/>
          <w:szCs w:val="26"/>
        </w:rPr>
        <w:t>Journal of Public Affairs, 3</w:t>
      </w:r>
      <w:r>
        <w:rPr>
          <w:sz w:val="26"/>
          <w:szCs w:val="26"/>
        </w:rPr>
        <w:t>(3)</w:t>
      </w:r>
      <w:r w:rsidRPr="007A6659">
        <w:rPr>
          <w:sz w:val="26"/>
          <w:szCs w:val="26"/>
        </w:rPr>
        <w:t>, 225-231.</w:t>
      </w:r>
      <w:r w:rsidRPr="004359A5">
        <w:rPr>
          <w:sz w:val="26"/>
          <w:szCs w:val="26"/>
        </w:rPr>
        <w:t xml:space="preserve"> https://doi.org/10.1002/pa.150</w:t>
      </w:r>
    </w:p>
    <w:p w14:paraId="2E268BC8" w14:textId="5E2F78A6" w:rsidR="002F5DB6" w:rsidRPr="00242D26" w:rsidRDefault="002F5DB6" w:rsidP="0059097D">
      <w:pPr>
        <w:spacing w:after="0" w:line="360" w:lineRule="atLeast"/>
        <w:ind w:left="520" w:hangingChars="200" w:hanging="520"/>
        <w:jc w:val="both"/>
        <w:rPr>
          <w:sz w:val="26"/>
          <w:szCs w:val="26"/>
        </w:rPr>
      </w:pPr>
      <w:r w:rsidRPr="007A6659">
        <w:rPr>
          <w:sz w:val="26"/>
          <w:szCs w:val="26"/>
        </w:rPr>
        <w:t>Wales, W. J., Shirokova, G., Sok</w:t>
      </w:r>
      <w:r w:rsidR="00794BE9">
        <w:rPr>
          <w:sz w:val="26"/>
          <w:szCs w:val="26"/>
        </w:rPr>
        <w:t>olova, L., &amp; Stein, C.  (2016).</w:t>
      </w:r>
      <w:r w:rsidRPr="007A6659">
        <w:rPr>
          <w:sz w:val="26"/>
          <w:szCs w:val="26"/>
        </w:rPr>
        <w:t xml:space="preserve"> Entrepreneurial orientation in the emerging Russian regulatory context: The criticality </w:t>
      </w:r>
      <w:r w:rsidR="000434DD">
        <w:rPr>
          <w:sz w:val="26"/>
          <w:szCs w:val="26"/>
        </w:rPr>
        <w:t>of interpersonal relationships.</w:t>
      </w:r>
      <w:r w:rsidRPr="007A6659">
        <w:rPr>
          <w:sz w:val="26"/>
          <w:szCs w:val="26"/>
        </w:rPr>
        <w:t xml:space="preserve"> </w:t>
      </w:r>
      <w:r w:rsidRPr="007A6659">
        <w:rPr>
          <w:i/>
          <w:sz w:val="26"/>
          <w:szCs w:val="26"/>
        </w:rPr>
        <w:t>European Journal of International Management, 10</w:t>
      </w:r>
      <w:r w:rsidRPr="007A6659">
        <w:rPr>
          <w:sz w:val="26"/>
          <w:szCs w:val="26"/>
        </w:rPr>
        <w:t>(3), 359-382.</w:t>
      </w:r>
      <w:r w:rsidRPr="00242D26">
        <w:t xml:space="preserve"> </w:t>
      </w:r>
      <w:r w:rsidRPr="00242D26">
        <w:rPr>
          <w:sz w:val="26"/>
          <w:szCs w:val="26"/>
        </w:rPr>
        <w:t>https://doi.org/10.1504/ejim.2016.076256</w:t>
      </w:r>
    </w:p>
    <w:p w14:paraId="17CD351A" w14:textId="5E345849" w:rsidR="002F5DB6" w:rsidRPr="00242D26" w:rsidRDefault="002F5DB6" w:rsidP="0059097D">
      <w:pPr>
        <w:spacing w:after="0" w:line="360" w:lineRule="atLeast"/>
        <w:ind w:left="520" w:hangingChars="200" w:hanging="520"/>
        <w:jc w:val="both"/>
        <w:rPr>
          <w:sz w:val="26"/>
          <w:szCs w:val="26"/>
        </w:rPr>
      </w:pPr>
      <w:r w:rsidRPr="007A6659">
        <w:rPr>
          <w:sz w:val="26"/>
          <w:szCs w:val="26"/>
        </w:rPr>
        <w:t xml:space="preserve">Wootliff, J., &amp; Deri, C. (2001). NGOs: </w:t>
      </w:r>
      <w:r w:rsidR="004A46DD">
        <w:rPr>
          <w:sz w:val="26"/>
          <w:szCs w:val="26"/>
        </w:rPr>
        <w:t>T</w:t>
      </w:r>
      <w:r w:rsidRPr="007A6659">
        <w:rPr>
          <w:sz w:val="26"/>
          <w:szCs w:val="26"/>
        </w:rPr>
        <w:t xml:space="preserve">he new super brands. </w:t>
      </w:r>
      <w:r w:rsidRPr="007A6659">
        <w:rPr>
          <w:i/>
          <w:sz w:val="26"/>
          <w:szCs w:val="26"/>
        </w:rPr>
        <w:t>Corporate Reputation Review, 4</w:t>
      </w:r>
      <w:r>
        <w:rPr>
          <w:sz w:val="26"/>
          <w:szCs w:val="26"/>
        </w:rPr>
        <w:t>(2)</w:t>
      </w:r>
      <w:r w:rsidRPr="007A6659">
        <w:rPr>
          <w:sz w:val="26"/>
          <w:szCs w:val="26"/>
        </w:rPr>
        <w:t>, 157-164.</w:t>
      </w:r>
      <w:r w:rsidRPr="00242D26">
        <w:t xml:space="preserve"> </w:t>
      </w:r>
      <w:r w:rsidRPr="00242D26">
        <w:rPr>
          <w:sz w:val="26"/>
          <w:szCs w:val="26"/>
        </w:rPr>
        <w:t>https://doi.org/10.1057/palgrave.crr.1540140</w:t>
      </w:r>
    </w:p>
    <w:p w14:paraId="136482F2" w14:textId="600DB6BB" w:rsidR="00C86FB4" w:rsidRDefault="002F5DB6" w:rsidP="00F5669D">
      <w:pPr>
        <w:spacing w:after="0" w:line="360" w:lineRule="atLeast"/>
        <w:ind w:left="520" w:hangingChars="200" w:hanging="520"/>
        <w:jc w:val="both"/>
        <w:rPr>
          <w:sz w:val="26"/>
          <w:szCs w:val="26"/>
          <w:lang w:eastAsia="zh-TW"/>
        </w:rPr>
      </w:pPr>
      <w:r w:rsidRPr="007A6659">
        <w:rPr>
          <w:sz w:val="26"/>
          <w:szCs w:val="26"/>
        </w:rPr>
        <w:t xml:space="preserve">Wu, H., &amp; Ying, S. X. (2016). Realizing auditor independence in China: </w:t>
      </w:r>
      <w:r w:rsidR="004A46DD">
        <w:rPr>
          <w:sz w:val="26"/>
          <w:szCs w:val="26"/>
        </w:rPr>
        <w:t>I</w:t>
      </w:r>
      <w:r w:rsidRPr="007A6659">
        <w:rPr>
          <w:sz w:val="26"/>
          <w:szCs w:val="26"/>
        </w:rPr>
        <w:t>nsights from the local context.</w:t>
      </w:r>
      <w:r w:rsidR="000434DD">
        <w:rPr>
          <w:sz w:val="26"/>
          <w:szCs w:val="26"/>
        </w:rPr>
        <w:t xml:space="preserve"> </w:t>
      </w:r>
      <w:r w:rsidRPr="007A6659">
        <w:rPr>
          <w:i/>
          <w:iCs/>
          <w:sz w:val="26"/>
          <w:szCs w:val="26"/>
        </w:rPr>
        <w:t>Contemporary Management Research</w:t>
      </w:r>
      <w:r w:rsidRPr="007A6659">
        <w:rPr>
          <w:sz w:val="26"/>
          <w:szCs w:val="26"/>
        </w:rPr>
        <w:t>,</w:t>
      </w:r>
      <w:r w:rsidR="000434DD">
        <w:rPr>
          <w:sz w:val="26"/>
          <w:szCs w:val="26"/>
        </w:rPr>
        <w:t xml:space="preserve"> </w:t>
      </w:r>
      <w:r w:rsidRPr="007A6659">
        <w:rPr>
          <w:i/>
          <w:iCs/>
          <w:sz w:val="26"/>
          <w:szCs w:val="26"/>
        </w:rPr>
        <w:t>12</w:t>
      </w:r>
      <w:r w:rsidRPr="007A6659">
        <w:rPr>
          <w:sz w:val="26"/>
          <w:szCs w:val="26"/>
        </w:rPr>
        <w:t>(2), 245</w:t>
      </w:r>
      <w:r>
        <w:rPr>
          <w:rFonts w:hint="eastAsia"/>
          <w:sz w:val="26"/>
          <w:szCs w:val="26"/>
          <w:lang w:eastAsia="zh-TW"/>
        </w:rPr>
        <w:t>-272</w:t>
      </w:r>
      <w:r w:rsidR="00C86FB4">
        <w:rPr>
          <w:sz w:val="26"/>
          <w:szCs w:val="26"/>
          <w:lang w:eastAsia="zh-TW"/>
        </w:rPr>
        <w:t>.</w:t>
      </w:r>
    </w:p>
    <w:p w14:paraId="367AD7D3" w14:textId="12003BA8" w:rsidR="002F5DB6" w:rsidRPr="007A6659" w:rsidRDefault="002F5DB6" w:rsidP="00F5669D">
      <w:pPr>
        <w:spacing w:after="0" w:line="360" w:lineRule="atLeast"/>
        <w:ind w:firstLineChars="200" w:firstLine="480"/>
        <w:jc w:val="both"/>
        <w:outlineLvl w:val="0"/>
        <w:rPr>
          <w:sz w:val="26"/>
          <w:szCs w:val="26"/>
        </w:rPr>
      </w:pPr>
      <w:r w:rsidRPr="00242D26">
        <w:t xml:space="preserve"> </w:t>
      </w:r>
      <w:r w:rsidRPr="00242D26">
        <w:rPr>
          <w:sz w:val="26"/>
          <w:szCs w:val="26"/>
          <w:lang w:eastAsia="zh-TW"/>
        </w:rPr>
        <w:t>https://doi.org/10.7903/cmr.15201.</w:t>
      </w:r>
    </w:p>
    <w:p w14:paraId="7DC2F5C2" w14:textId="192BDC83" w:rsidR="002F5DB6" w:rsidRDefault="002F5DB6" w:rsidP="0059097D">
      <w:pPr>
        <w:spacing w:after="0" w:line="360" w:lineRule="atLeast"/>
        <w:ind w:left="567" w:hangingChars="218" w:hanging="567"/>
        <w:jc w:val="both"/>
        <w:outlineLvl w:val="0"/>
        <w:rPr>
          <w:sz w:val="26"/>
          <w:szCs w:val="26"/>
        </w:rPr>
      </w:pPr>
      <w:r w:rsidRPr="007A6659">
        <w:rPr>
          <w:sz w:val="26"/>
          <w:szCs w:val="26"/>
        </w:rPr>
        <w:t xml:space="preserve">Zhou, J. Q., &amp; Peng, M. W. (2010). Relational exchanges versus arm’s-length transactions during institutional transitions. </w:t>
      </w:r>
      <w:r w:rsidRPr="007A6659">
        <w:rPr>
          <w:i/>
          <w:sz w:val="26"/>
          <w:szCs w:val="26"/>
        </w:rPr>
        <w:t>Asia</w:t>
      </w:r>
      <w:r w:rsidRPr="007A6659">
        <w:rPr>
          <w:sz w:val="26"/>
          <w:szCs w:val="26"/>
        </w:rPr>
        <w:t xml:space="preserve"> </w:t>
      </w:r>
      <w:r w:rsidRPr="007A6659">
        <w:rPr>
          <w:i/>
          <w:sz w:val="26"/>
          <w:szCs w:val="26"/>
        </w:rPr>
        <w:t>Pacific Journal of Management, 27</w:t>
      </w:r>
      <w:r>
        <w:rPr>
          <w:sz w:val="26"/>
          <w:szCs w:val="26"/>
        </w:rPr>
        <w:t>(3)</w:t>
      </w:r>
      <w:r w:rsidRPr="007A6659">
        <w:rPr>
          <w:sz w:val="26"/>
          <w:szCs w:val="26"/>
        </w:rPr>
        <w:t>, 355-370.</w:t>
      </w:r>
      <w:r w:rsidRPr="00242D26">
        <w:t xml:space="preserve"> </w:t>
      </w:r>
      <w:r w:rsidRPr="002F5DB6">
        <w:rPr>
          <w:sz w:val="26"/>
          <w:szCs w:val="26"/>
        </w:rPr>
        <w:t>https://doi.org/10.1007/s10490-009-9142-7</w:t>
      </w:r>
    </w:p>
    <w:p w14:paraId="30F6ABF7" w14:textId="77777777" w:rsidR="002F5DB6" w:rsidRDefault="002F5DB6" w:rsidP="002F5DB6">
      <w:pPr>
        <w:spacing w:after="0" w:line="240" w:lineRule="auto"/>
        <w:jc w:val="center"/>
        <w:outlineLvl w:val="0"/>
        <w:rPr>
          <w:sz w:val="26"/>
          <w:szCs w:val="26"/>
        </w:rPr>
      </w:pPr>
    </w:p>
    <w:sectPr w:rsidR="002F5DB6" w:rsidSect="00411A0F">
      <w:headerReference w:type="even" r:id="rId8"/>
      <w:headerReference w:type="default" r:id="rId9"/>
      <w:footerReference w:type="default" r:id="rId10"/>
      <w:headerReference w:type="first" r:id="rId11"/>
      <w:pgSz w:w="11907" w:h="16839" w:code="9"/>
      <w:pgMar w:top="1440" w:right="1440" w:bottom="1440" w:left="1440" w:header="720" w:footer="720" w:gutter="0"/>
      <w:lnNumType w:countBy="1"/>
      <w:pgNumType w:start="225"/>
      <w:cols w:space="720"/>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88F9739" w16cid:durableId="1F61DFFA"/>
  <w16cid:commentId w16cid:paraId="26968D48" w16cid:durableId="1F5F46D5"/>
  <w16cid:commentId w16cid:paraId="4C15EAED" w16cid:durableId="1F61C756"/>
  <w16cid:commentId w16cid:paraId="474B54C5" w16cid:durableId="1F61CB68"/>
  <w16cid:commentId w16cid:paraId="6D2D76FE" w16cid:durableId="1F513776"/>
  <w16cid:commentId w16cid:paraId="0A127C66" w16cid:durableId="1F5137E4"/>
  <w16cid:commentId w16cid:paraId="4D8FC177" w16cid:durableId="1F5F46D9"/>
  <w16cid:commentId w16cid:paraId="2B64D354" w16cid:durableId="1F5F46DA"/>
  <w16cid:commentId w16cid:paraId="470D2FE3" w16cid:durableId="1F513AFF"/>
  <w16cid:commentId w16cid:paraId="6DC82015" w16cid:durableId="1F61CE2E"/>
  <w16cid:commentId w16cid:paraId="283EE038" w16cid:durableId="1F513BE2"/>
  <w16cid:commentId w16cid:paraId="3064DFC1" w16cid:durableId="1F512DA1"/>
  <w16cid:commentId w16cid:paraId="71032AE7" w16cid:durableId="1F61CEA7"/>
  <w16cid:commentId w16cid:paraId="64A2307E" w16cid:durableId="1F61CF29"/>
  <w16cid:commentId w16cid:paraId="5DB26780" w16cid:durableId="1F513DEB"/>
  <w16cid:commentId w16cid:paraId="50F718B5" w16cid:durableId="1F61D172"/>
  <w16cid:commentId w16cid:paraId="679784C5" w16cid:durableId="1F5F46E2"/>
  <w16cid:commentId w16cid:paraId="2B7ED98B" w16cid:durableId="1F61D2DF"/>
  <w16cid:commentId w16cid:paraId="30E351C4" w16cid:durableId="1F513F82"/>
  <w16cid:commentId w16cid:paraId="4C976A49" w16cid:durableId="1F61D317"/>
  <w16cid:commentId w16cid:paraId="0A0507CE" w16cid:durableId="1F5F46E6"/>
  <w16cid:commentId w16cid:paraId="2056DE20" w16cid:durableId="1F61D448"/>
  <w16cid:commentId w16cid:paraId="404B9EAB" w16cid:durableId="1F5285E5"/>
  <w16cid:commentId w16cid:paraId="2036F58A" w16cid:durableId="1F528C21"/>
  <w16cid:commentId w16cid:paraId="16643A24" w16cid:durableId="1F5F46EA"/>
  <w16cid:commentId w16cid:paraId="5DF2501A" w16cid:durableId="1F528F4B"/>
  <w16cid:commentId w16cid:paraId="48C724E0" w16cid:durableId="1F61D4BA"/>
  <w16cid:commentId w16cid:paraId="42E11CF5" w16cid:durableId="1F528FD8"/>
  <w16cid:commentId w16cid:paraId="60EA65B6" w16cid:durableId="1F61D568"/>
  <w16cid:commentId w16cid:paraId="1BD9A76D" w16cid:durableId="1F5F46EE"/>
  <w16cid:commentId w16cid:paraId="43CC663A" w16cid:durableId="1F5293FC"/>
  <w16cid:commentId w16cid:paraId="05688A49" w16cid:durableId="1F5F46F1"/>
  <w16cid:commentId w16cid:paraId="0630F203" w16cid:durableId="1F529A1B"/>
  <w16cid:commentId w16cid:paraId="5D52D03C" w16cid:durableId="1F53B022"/>
  <w16cid:commentId w16cid:paraId="593FDF06" w16cid:durableId="1F53CF7D"/>
  <w16cid:commentId w16cid:paraId="69115BD0" w16cid:durableId="1F61D60F"/>
  <w16cid:commentId w16cid:paraId="2D268C2B" w16cid:durableId="1F5F46F6"/>
  <w16cid:commentId w16cid:paraId="10DD9973" w16cid:durableId="1F53D05B"/>
  <w16cid:commentId w16cid:paraId="1CDBEA8E" w16cid:durableId="1F5F46F8"/>
  <w16cid:commentId w16cid:paraId="62EC0DF8" w16cid:durableId="1F61D7C2"/>
  <w16cid:commentId w16cid:paraId="5D8CA2D4" w16cid:durableId="1F5F46F9"/>
  <w16cid:commentId w16cid:paraId="7595599D" w16cid:durableId="1F53D528"/>
  <w16cid:commentId w16cid:paraId="488B8B35" w16cid:durableId="1F5F46FB"/>
  <w16cid:commentId w16cid:paraId="2C684DD7" w16cid:durableId="1F5F46FC"/>
  <w16cid:commentId w16cid:paraId="7C13203F" w16cid:durableId="1F5F46FD"/>
  <w16cid:commentId w16cid:paraId="49B041D6" w16cid:durableId="1F61DB82"/>
  <w16cid:commentId w16cid:paraId="28A59550" w16cid:durableId="1F54F3B7"/>
  <w16cid:commentId w16cid:paraId="52D287FF" w16cid:durableId="1F5F46FF"/>
  <w16cid:commentId w16cid:paraId="3B1D42BF" w16cid:durableId="1F61DBFC"/>
  <w16cid:commentId w16cid:paraId="1160AB76" w16cid:durableId="1F5F4701"/>
  <w16cid:commentId w16cid:paraId="1561C2A7" w16cid:durableId="1F61DD30"/>
  <w16cid:commentId w16cid:paraId="3C753284" w16cid:durableId="1F551ACD"/>
  <w16cid:commentId w16cid:paraId="1BDB9934" w16cid:durableId="1F551AEE"/>
  <w16cid:commentId w16cid:paraId="49DEC55C" w16cid:durableId="1F551BB9"/>
  <w16cid:commentId w16cid:paraId="0E8BEF03" w16cid:durableId="1F5F4705"/>
  <w16cid:commentId w16cid:paraId="266CED07" w16cid:durableId="1F61DED1"/>
  <w16cid:commentId w16cid:paraId="27987F9A" w16cid:durableId="1F5F4707"/>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BE9504" w14:textId="77777777" w:rsidR="00FD4D63" w:rsidRDefault="00FD4D63" w:rsidP="005B7147">
      <w:pPr>
        <w:spacing w:after="0" w:line="240" w:lineRule="auto"/>
      </w:pPr>
      <w:r>
        <w:separator/>
      </w:r>
    </w:p>
  </w:endnote>
  <w:endnote w:type="continuationSeparator" w:id="0">
    <w:p w14:paraId="78EFE4B6" w14:textId="77777777" w:rsidR="00FD4D63" w:rsidRDefault="00FD4D63" w:rsidP="005B71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Lucida Grande">
    <w:charset w:val="00"/>
    <w:family w:val="swiss"/>
    <w:pitch w:val="variable"/>
    <w:sig w:usb0="E1000AEF" w:usb1="5000A1FF" w:usb2="00000000" w:usb3="00000000" w:csb0="000001BF" w:csb1="00000000"/>
  </w:font>
  <w:font w:name="Cambria">
    <w:panose1 w:val="02040503050406030204"/>
    <w:charset w:val="00"/>
    <w:family w:val="roman"/>
    <w:pitch w:val="variable"/>
    <w:sig w:usb0="A00002EF" w:usb1="4000004B" w:usb2="00000000" w:usb3="00000000" w:csb0="0000019F" w:csb1="00000000"/>
  </w:font>
  <w:font w:name="Georgia">
    <w:panose1 w:val="02040502050405020303"/>
    <w:charset w:val="00"/>
    <w:family w:val="roman"/>
    <w:pitch w:val="variable"/>
    <w:sig w:usb0="00000287" w:usb1="00000000" w:usb2="00000000" w:usb3="00000000" w:csb0="0000009F" w:csb1="00000000"/>
  </w:font>
  <w:font w:name="Microsoft JhengHei UI">
    <w:panose1 w:val="020B0604030504040204"/>
    <w:charset w:val="88"/>
    <w:family w:val="swiss"/>
    <w:pitch w:val="variable"/>
    <w:sig w:usb0="000002A7" w:usb1="28CF4400" w:usb2="00000016" w:usb3="00000000" w:csb0="00100009"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3FE511" w14:textId="173B0FDF" w:rsidR="00B9775B" w:rsidRDefault="00B9775B">
    <w:pPr>
      <w:pStyle w:val="af"/>
      <w:jc w:val="center"/>
    </w:pPr>
  </w:p>
  <w:p w14:paraId="21436E42" w14:textId="77777777" w:rsidR="00B9775B" w:rsidRPr="00053BC1" w:rsidRDefault="00B9775B" w:rsidP="005B7147">
    <w:pPr>
      <w:pStyle w:val="af"/>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43BFAD" w14:textId="77777777" w:rsidR="00FD4D63" w:rsidRDefault="00FD4D63" w:rsidP="005B7147">
      <w:pPr>
        <w:spacing w:after="0" w:line="240" w:lineRule="auto"/>
      </w:pPr>
      <w:r>
        <w:separator/>
      </w:r>
    </w:p>
  </w:footnote>
  <w:footnote w:type="continuationSeparator" w:id="0">
    <w:p w14:paraId="6DE42400" w14:textId="77777777" w:rsidR="00FD4D63" w:rsidRDefault="00FD4D63" w:rsidP="005B71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DE11FA" w14:textId="34694859" w:rsidR="00B9775B" w:rsidRDefault="00B9775B" w:rsidP="00CD1DE3">
    <w:pPr>
      <w:tabs>
        <w:tab w:val="left" w:pos="7157"/>
      </w:tabs>
      <w:spacing w:after="0" w:line="240" w:lineRule="auto"/>
    </w:pPr>
    <w:r w:rsidRPr="00C2487B">
      <w:rPr>
        <w:rFonts w:eastAsia="Times New Roman"/>
        <w:noProof/>
        <w:lang w:eastAsia="zh-TW"/>
      </w:rPr>
      <mc:AlternateContent>
        <mc:Choice Requires="wps">
          <w:drawing>
            <wp:anchor distT="0" distB="0" distL="114300" distR="114300" simplePos="0" relativeHeight="251659264" behindDoc="0" locked="0" layoutInCell="1" allowOverlap="1" wp14:anchorId="42F94650" wp14:editId="700B3F21">
              <wp:simplePos x="0" y="0"/>
              <wp:positionH relativeFrom="margin">
                <wp:posOffset>-28575</wp:posOffset>
              </wp:positionH>
              <wp:positionV relativeFrom="paragraph">
                <wp:posOffset>207010</wp:posOffset>
              </wp:positionV>
              <wp:extent cx="5731510" cy="1"/>
              <wp:effectExtent l="0" t="0" r="21590" b="19050"/>
              <wp:wrapNone/>
              <wp:docPr id="7" name="直線接點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31510"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5D848E4D" id="直線接點 7" o:spid="_x0000_s1026" style="position:absolute;flip:y;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2.25pt,16.3pt" to="449.05pt,1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">
              <w10:wrap anchorx="margin"/>
            </v:line>
          </w:pict>
        </mc:Fallback>
      </mc:AlternateContent>
    </w:r>
    <w:r w:rsidRPr="00C2487B">
      <w:rPr>
        <w:rFonts w:eastAsia="Times New Roman"/>
        <w:lang w:val="x-none"/>
      </w:rPr>
      <w:t xml:space="preserve">Contemporary Management Research   </w:t>
    </w:r>
    <w:r w:rsidRPr="00C2487B">
      <w:rPr>
        <w:rFonts w:eastAsia="Times New Roman"/>
        <w:lang w:val="x-none"/>
      </w:rPr>
      <w:fldChar w:fldCharType="begin"/>
    </w:r>
    <w:r w:rsidRPr="00C2487B">
      <w:rPr>
        <w:rFonts w:eastAsia="Times New Roman"/>
        <w:lang w:val="x-none"/>
      </w:rPr>
      <w:instrText>PAGE   \* MERGEFORMAT</w:instrText>
    </w:r>
    <w:r w:rsidRPr="00C2487B">
      <w:rPr>
        <w:rFonts w:eastAsia="Times New Roman"/>
        <w:lang w:val="x-none"/>
      </w:rPr>
      <w:fldChar w:fldCharType="separate"/>
    </w:r>
    <w:r w:rsidR="00411A0F" w:rsidRPr="00411A0F">
      <w:rPr>
        <w:rFonts w:eastAsia="Times New Roman"/>
        <w:noProof/>
        <w:lang w:val="zh-TW" w:eastAsia="zh-TW"/>
      </w:rPr>
      <w:t>226</w:t>
    </w:r>
    <w:r w:rsidRPr="00C2487B">
      <w:rPr>
        <w:rFonts w:eastAsia="Times New Roman"/>
        <w:lang w:val="x-none"/>
      </w:rPr>
      <w:fldChar w:fldCharType="end"/>
    </w:r>
    <w:r w:rsidRPr="00C2487B">
      <w:rPr>
        <w:rFonts w:eastAsia="Times New Roman"/>
        <w:lang w:val="x-none"/>
      </w:rPr>
      <w:t xml:space="preserve"> </w:t>
    </w:r>
    <w:r w:rsidRPr="00C2487B">
      <w:rPr>
        <w:rFonts w:eastAsia="Times New Roman"/>
        <w:lang w:val="x-none"/>
      </w:rPr>
      <w:tab/>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E02B80" w14:textId="71464C16" w:rsidR="00B9775B" w:rsidRPr="00CD1DE3" w:rsidRDefault="00B9775B" w:rsidP="00CD1DE3">
    <w:pPr>
      <w:tabs>
        <w:tab w:val="left" w:pos="7157"/>
      </w:tabs>
      <w:spacing w:after="0" w:line="240" w:lineRule="auto"/>
      <w:jc w:val="right"/>
      <w:rPr>
        <w:rFonts w:eastAsia="Times New Roman"/>
        <w:lang w:val="x-none"/>
      </w:rPr>
    </w:pPr>
    <w:r w:rsidRPr="00C2487B">
      <w:rPr>
        <w:rFonts w:eastAsia="Times New Roman"/>
        <w:noProof/>
        <w:lang w:eastAsia="zh-TW"/>
      </w:rPr>
      <mc:AlternateContent>
        <mc:Choice Requires="wps">
          <w:drawing>
            <wp:anchor distT="0" distB="0" distL="114300" distR="114300" simplePos="0" relativeHeight="251661312" behindDoc="0" locked="0" layoutInCell="1" allowOverlap="1" wp14:anchorId="18CCEEBB" wp14:editId="08EF2D17">
              <wp:simplePos x="0" y="0"/>
              <wp:positionH relativeFrom="margin">
                <wp:posOffset>-28575</wp:posOffset>
              </wp:positionH>
              <wp:positionV relativeFrom="paragraph">
                <wp:posOffset>207010</wp:posOffset>
              </wp:positionV>
              <wp:extent cx="5731510" cy="1"/>
              <wp:effectExtent l="0" t="0" r="21590" b="19050"/>
              <wp:wrapNone/>
              <wp:docPr id="5" name="直線接點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31510"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3FC5F190" id="直線接點 5" o:spid="_x0000_s1026" style="position:absolute;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2.25pt,16.3pt" to="449.05pt,1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">
              <w10:wrap anchorx="margin"/>
            </v:line>
          </w:pict>
        </mc:Fallback>
      </mc:AlternateContent>
    </w:r>
    <w:r>
      <w:rPr>
        <w:rFonts w:eastAsia="Times New Roman"/>
        <w:lang w:val="x-none"/>
      </w:rPr>
      <w:t xml:space="preserve"> </w:t>
    </w:r>
    <w:r w:rsidRPr="00C2487B">
      <w:rPr>
        <w:rFonts w:eastAsia="Times New Roman"/>
        <w:lang w:val="x-none"/>
      </w:rPr>
      <w:t xml:space="preserve">Contemporary Management Research   </w:t>
    </w:r>
    <w:r w:rsidRPr="00C2487B">
      <w:rPr>
        <w:rFonts w:eastAsia="Times New Roman"/>
        <w:lang w:val="x-none"/>
      </w:rPr>
      <w:fldChar w:fldCharType="begin"/>
    </w:r>
    <w:r w:rsidRPr="00C2487B">
      <w:rPr>
        <w:rFonts w:eastAsia="Times New Roman"/>
        <w:lang w:val="x-none"/>
      </w:rPr>
      <w:instrText>PAGE   \* MERGEFORMAT</w:instrText>
    </w:r>
    <w:r w:rsidRPr="00C2487B">
      <w:rPr>
        <w:rFonts w:eastAsia="Times New Roman"/>
        <w:lang w:val="x-none"/>
      </w:rPr>
      <w:fldChar w:fldCharType="separate"/>
    </w:r>
    <w:r w:rsidR="000F5F6A" w:rsidRPr="000F5F6A">
      <w:rPr>
        <w:rFonts w:eastAsia="Times New Roman"/>
        <w:noProof/>
        <w:lang w:val="zh-TW" w:eastAsia="zh-TW"/>
      </w:rPr>
      <w:t>247</w:t>
    </w:r>
    <w:r w:rsidRPr="00C2487B">
      <w:rPr>
        <w:rFonts w:eastAsia="Times New Roman"/>
        <w:lang w:val="x-none"/>
      </w:rPr>
      <w:fldChar w:fldCharType="end"/>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4308" w:type="dxa"/>
      <w:tblInd w:w="5280" w:type="dxa"/>
      <w:tblBorders>
        <w:top w:val="thinThickSmallGap" w:sz="24" w:space="0" w:color="auto"/>
        <w:bottom w:val="thickThinSmallGap" w:sz="24" w:space="0" w:color="auto"/>
        <w:insideH w:val="thinThickSmallGap" w:sz="24" w:space="0" w:color="auto"/>
        <w:insideV w:val="thinThickSmallGap" w:sz="24" w:space="0" w:color="auto"/>
      </w:tblBorders>
      <w:tblLook w:val="00A0" w:firstRow="1" w:lastRow="0" w:firstColumn="1" w:lastColumn="0" w:noHBand="0" w:noVBand="0"/>
    </w:tblPr>
    <w:tblGrid>
      <w:gridCol w:w="4308"/>
    </w:tblGrid>
    <w:tr w:rsidR="00B9775B" w:rsidRPr="00002DEC" w14:paraId="608E0635" w14:textId="77777777" w:rsidTr="00C9668B">
      <w:trPr>
        <w:trHeight w:val="454"/>
      </w:trPr>
      <w:tc>
        <w:tcPr>
          <w:tcW w:w="4308" w:type="dxa"/>
          <w:vAlign w:val="bottom"/>
        </w:tcPr>
        <w:p w14:paraId="52F98843" w14:textId="77777777" w:rsidR="00B9775B" w:rsidRPr="00C42421" w:rsidRDefault="00B9775B" w:rsidP="00CD1DE3">
          <w:pPr>
            <w:pStyle w:val="af5"/>
            <w:snapToGrid w:val="0"/>
            <w:rPr>
              <w:rFonts w:ascii="Times New Roman" w:hAnsi="Times New Roman"/>
              <w:sz w:val="22"/>
              <w:szCs w:val="22"/>
            </w:rPr>
          </w:pPr>
          <w:r w:rsidRPr="00C42421">
            <w:rPr>
              <w:rFonts w:ascii="Times New Roman" w:hAnsi="Times New Roman"/>
              <w:sz w:val="22"/>
              <w:szCs w:val="22"/>
            </w:rPr>
            <w:t>Contemporary Management Research</w:t>
          </w:r>
        </w:p>
        <w:p w14:paraId="49ED473C" w14:textId="4419B936" w:rsidR="00B9775B" w:rsidRPr="00C42421" w:rsidRDefault="00B9775B" w:rsidP="00CD1DE3">
          <w:pPr>
            <w:pStyle w:val="af5"/>
            <w:snapToGrid w:val="0"/>
            <w:rPr>
              <w:rFonts w:ascii="Times New Roman" w:hAnsi="Times New Roman"/>
              <w:color w:val="0D0D0D"/>
              <w:sz w:val="20"/>
              <w:szCs w:val="20"/>
            </w:rPr>
          </w:pPr>
          <w:r w:rsidRPr="00C42421">
            <w:rPr>
              <w:rFonts w:ascii="Times New Roman" w:hAnsi="Times New Roman"/>
              <w:color w:val="0D0D0D"/>
              <w:sz w:val="20"/>
              <w:szCs w:val="20"/>
            </w:rPr>
            <w:t>Pages</w:t>
          </w:r>
          <w:r w:rsidRPr="00846C2B">
            <w:rPr>
              <w:rFonts w:ascii="Times New Roman" w:hAnsi="Times New Roman"/>
              <w:sz w:val="20"/>
              <w:szCs w:val="20"/>
            </w:rPr>
            <w:t xml:space="preserve"> 225-25</w:t>
          </w:r>
          <w:r w:rsidR="0059097D">
            <w:rPr>
              <w:rFonts w:ascii="Times New Roman" w:hAnsi="Times New Roman"/>
              <w:sz w:val="20"/>
              <w:szCs w:val="20"/>
            </w:rPr>
            <w:t>1</w:t>
          </w:r>
          <w:r w:rsidRPr="00846C2B">
            <w:rPr>
              <w:rFonts w:ascii="Times New Roman" w:hAnsi="Times New Roman"/>
              <w:sz w:val="20"/>
              <w:szCs w:val="20"/>
            </w:rPr>
            <w:t>, V</w:t>
          </w:r>
          <w:r w:rsidRPr="00C42421">
            <w:rPr>
              <w:rFonts w:ascii="Times New Roman" w:hAnsi="Times New Roman"/>
              <w:color w:val="0D0D0D"/>
              <w:sz w:val="20"/>
              <w:szCs w:val="20"/>
            </w:rPr>
            <w:t xml:space="preserve">ol. </w:t>
          </w:r>
          <w:r w:rsidRPr="00C42421">
            <w:rPr>
              <w:rFonts w:ascii="Times New Roman" w:eastAsia="新細明體" w:hAnsi="Times New Roman" w:hint="eastAsia"/>
              <w:color w:val="0D0D0D"/>
              <w:sz w:val="20"/>
              <w:szCs w:val="20"/>
              <w:lang w:eastAsia="zh-TW"/>
            </w:rPr>
            <w:t>1</w:t>
          </w:r>
          <w:r w:rsidR="003E7306">
            <w:rPr>
              <w:rFonts w:ascii="Times New Roman" w:eastAsia="新細明體" w:hAnsi="Times New Roman" w:hint="eastAsia"/>
              <w:color w:val="0D0D0D"/>
              <w:sz w:val="20"/>
              <w:szCs w:val="20"/>
              <w:lang w:eastAsia="zh-TW"/>
            </w:rPr>
            <w:t>4</w:t>
          </w:r>
          <w:r w:rsidRPr="00C42421">
            <w:rPr>
              <w:rFonts w:ascii="Times New Roman" w:hAnsi="Times New Roman"/>
              <w:color w:val="0D0D0D"/>
              <w:sz w:val="20"/>
              <w:szCs w:val="20"/>
            </w:rPr>
            <w:t xml:space="preserve">, No. </w:t>
          </w:r>
          <w:r>
            <w:rPr>
              <w:rFonts w:ascii="Times New Roman" w:eastAsia="新細明體" w:hAnsi="Times New Roman" w:hint="eastAsia"/>
              <w:color w:val="0D0D0D"/>
              <w:sz w:val="20"/>
              <w:szCs w:val="20"/>
              <w:lang w:eastAsia="zh-TW"/>
            </w:rPr>
            <w:t>3</w:t>
          </w:r>
          <w:r w:rsidRPr="00C42421">
            <w:rPr>
              <w:rFonts w:ascii="Times New Roman" w:hAnsi="Times New Roman"/>
              <w:color w:val="0D0D0D"/>
              <w:sz w:val="20"/>
              <w:szCs w:val="20"/>
            </w:rPr>
            <w:t>,</w:t>
          </w:r>
          <w:r w:rsidRPr="00C42421">
            <w:rPr>
              <w:rFonts w:ascii="Times New Roman" w:eastAsia="Microsoft JhengHei UI" w:hAnsi="Times New Roman"/>
              <w:color w:val="0D0D0D"/>
            </w:rPr>
            <w:t xml:space="preserve"> </w:t>
          </w:r>
          <w:r>
            <w:rPr>
              <w:rFonts w:ascii="Times New Roman" w:eastAsia="Microsoft JhengHei UI" w:hAnsi="Times New Roman" w:hint="eastAsia"/>
              <w:color w:val="0D0D0D"/>
              <w:lang w:eastAsia="zh-TW"/>
            </w:rPr>
            <w:t xml:space="preserve">September </w:t>
          </w:r>
          <w:r w:rsidRPr="00C42421">
            <w:rPr>
              <w:rFonts w:ascii="Times New Roman" w:hAnsi="Times New Roman"/>
              <w:color w:val="0D0D0D"/>
              <w:sz w:val="20"/>
              <w:szCs w:val="20"/>
            </w:rPr>
            <w:t>201</w:t>
          </w:r>
          <w:r w:rsidRPr="00D10545">
            <w:rPr>
              <w:rFonts w:ascii="Times New Roman" w:hAnsi="Times New Roman"/>
              <w:color w:val="0D0D0D"/>
              <w:sz w:val="20"/>
              <w:szCs w:val="20"/>
            </w:rPr>
            <w:t>8</w:t>
          </w:r>
        </w:p>
        <w:p w14:paraId="2ED29AEB" w14:textId="77777777" w:rsidR="00B9775B" w:rsidRPr="00002DEC" w:rsidRDefault="00B9775B" w:rsidP="00CD1DE3">
          <w:pPr>
            <w:pStyle w:val="af5"/>
            <w:snapToGrid w:val="0"/>
            <w:rPr>
              <w:rFonts w:ascii="Times" w:hAnsi="Times"/>
              <w:sz w:val="20"/>
              <w:szCs w:val="20"/>
            </w:rPr>
          </w:pPr>
          <w:r w:rsidRPr="00002DEC">
            <w:rPr>
              <w:rFonts w:ascii="Times New Roman" w:hAnsi="Times New Roman"/>
              <w:sz w:val="20"/>
              <w:szCs w:val="20"/>
            </w:rPr>
            <w:t>doi:10.7903/cmr.</w:t>
          </w:r>
          <w:r w:rsidRPr="001E7398">
            <w:rPr>
              <w:rFonts w:ascii="Times New Roman" w:hAnsi="Times New Roman"/>
              <w:sz w:val="20"/>
              <w:szCs w:val="20"/>
            </w:rPr>
            <w:t>1</w:t>
          </w:r>
          <w:r w:rsidRPr="001E7398">
            <w:rPr>
              <w:rFonts w:ascii="Times New Roman" w:eastAsiaTheme="minorEastAsia" w:hAnsi="Times New Roman" w:hint="eastAsia"/>
              <w:sz w:val="20"/>
              <w:szCs w:val="20"/>
              <w:lang w:eastAsia="zh-TW"/>
            </w:rPr>
            <w:t>7889</w:t>
          </w:r>
        </w:p>
      </w:tc>
    </w:tr>
  </w:tbl>
  <w:p w14:paraId="1518921C" w14:textId="77777777" w:rsidR="00B9775B" w:rsidRDefault="00B9775B" w:rsidP="00846C2B">
    <w:pPr>
      <w:pStyle w:val="ad"/>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1BEA2D5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31D3234B"/>
    <w:multiLevelType w:val="hybridMultilevel"/>
    <w:tmpl w:val="E514B9F4"/>
    <w:lvl w:ilvl="0" w:tplc="29F4F3C2">
      <w:start w:val="2"/>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activeWritingStyle w:appName="MSWord" w:lang="en-US" w:vendorID="64" w:dllVersion="6" w:nlCheck="1" w:checkStyle="0"/>
  <w:activeWritingStyle w:appName="MSWord" w:lang="en-US" w:vendorID="64" w:dllVersion="0" w:nlCheck="1" w:checkStyle="0"/>
  <w:activeWritingStyle w:appName="MSWord" w:lang="zh-TW" w:vendorID="64" w:dllVersion="5" w:nlCheck="1" w:checkStyle="1"/>
  <w:activeWritingStyle w:appName="MSWord" w:lang="en-US" w:vendorID="64" w:dllVersion="4096" w:nlCheck="1" w:checkStyle="0"/>
  <w:activeWritingStyle w:appName="MSWord" w:lang="en-US" w:vendorID="64" w:dllVersion="131078" w:nlCheck="1" w:checkStyle="0"/>
  <w:activeWritingStyle w:appName="MSWord" w:lang="zh-TW" w:vendorID="64" w:dllVersion="131077" w:nlCheck="1" w:checkStyle="1"/>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stylePaneSortMethod w:val="0000"/>
  <w:defaultTabStop w:val="720"/>
  <w:evenAndOddHeaders/>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DGytDQAUsYGZhZGxko6SsGpxcWZ+XkgBYa1AAfIl6EsAAAA"/>
  </w:docVars>
  <w:rsids>
    <w:rsidRoot w:val="00D17EE2"/>
    <w:rsid w:val="00000971"/>
    <w:rsid w:val="00003D86"/>
    <w:rsid w:val="00006257"/>
    <w:rsid w:val="0001050B"/>
    <w:rsid w:val="00011596"/>
    <w:rsid w:val="000142F3"/>
    <w:rsid w:val="000143E8"/>
    <w:rsid w:val="00020754"/>
    <w:rsid w:val="00040C61"/>
    <w:rsid w:val="0004315C"/>
    <w:rsid w:val="000434DD"/>
    <w:rsid w:val="00051F63"/>
    <w:rsid w:val="000547D0"/>
    <w:rsid w:val="000611A8"/>
    <w:rsid w:val="0007231E"/>
    <w:rsid w:val="00072DA6"/>
    <w:rsid w:val="00094545"/>
    <w:rsid w:val="00094F35"/>
    <w:rsid w:val="00096B96"/>
    <w:rsid w:val="00097872"/>
    <w:rsid w:val="00097B10"/>
    <w:rsid w:val="000B52A6"/>
    <w:rsid w:val="000B791F"/>
    <w:rsid w:val="000D02AD"/>
    <w:rsid w:val="000D4EDC"/>
    <w:rsid w:val="000D75B1"/>
    <w:rsid w:val="000E524B"/>
    <w:rsid w:val="000F0A6F"/>
    <w:rsid w:val="000F36B0"/>
    <w:rsid w:val="000F37CA"/>
    <w:rsid w:val="000F466C"/>
    <w:rsid w:val="000F4AF0"/>
    <w:rsid w:val="000F5399"/>
    <w:rsid w:val="000F5F6A"/>
    <w:rsid w:val="0011414E"/>
    <w:rsid w:val="00114AC6"/>
    <w:rsid w:val="00114BBB"/>
    <w:rsid w:val="00143A42"/>
    <w:rsid w:val="001459C7"/>
    <w:rsid w:val="00150070"/>
    <w:rsid w:val="00150EAA"/>
    <w:rsid w:val="001621E2"/>
    <w:rsid w:val="00170915"/>
    <w:rsid w:val="00170946"/>
    <w:rsid w:val="001827F9"/>
    <w:rsid w:val="00183F67"/>
    <w:rsid w:val="001859D0"/>
    <w:rsid w:val="001937BB"/>
    <w:rsid w:val="001944B4"/>
    <w:rsid w:val="00195CF0"/>
    <w:rsid w:val="001A5B94"/>
    <w:rsid w:val="001A6BCB"/>
    <w:rsid w:val="001B21FA"/>
    <w:rsid w:val="001C3908"/>
    <w:rsid w:val="001C5F21"/>
    <w:rsid w:val="001E14C9"/>
    <w:rsid w:val="001E3477"/>
    <w:rsid w:val="001E4042"/>
    <w:rsid w:val="001E7398"/>
    <w:rsid w:val="001E7595"/>
    <w:rsid w:val="001F3AEE"/>
    <w:rsid w:val="001F48EA"/>
    <w:rsid w:val="001F59E4"/>
    <w:rsid w:val="001F6B12"/>
    <w:rsid w:val="001F7E10"/>
    <w:rsid w:val="00202F9D"/>
    <w:rsid w:val="00211AE8"/>
    <w:rsid w:val="00216582"/>
    <w:rsid w:val="0023048B"/>
    <w:rsid w:val="00230ED6"/>
    <w:rsid w:val="00232ACB"/>
    <w:rsid w:val="00234EB9"/>
    <w:rsid w:val="00237DAC"/>
    <w:rsid w:val="00240933"/>
    <w:rsid w:val="002500D7"/>
    <w:rsid w:val="0025090B"/>
    <w:rsid w:val="00255029"/>
    <w:rsid w:val="002564F0"/>
    <w:rsid w:val="002630FA"/>
    <w:rsid w:val="0027338D"/>
    <w:rsid w:val="00287FF3"/>
    <w:rsid w:val="00293369"/>
    <w:rsid w:val="00294F29"/>
    <w:rsid w:val="00295196"/>
    <w:rsid w:val="002B27A4"/>
    <w:rsid w:val="002B419D"/>
    <w:rsid w:val="002C0066"/>
    <w:rsid w:val="002D04EE"/>
    <w:rsid w:val="002D63CC"/>
    <w:rsid w:val="002E7503"/>
    <w:rsid w:val="002F42E2"/>
    <w:rsid w:val="002F5DB6"/>
    <w:rsid w:val="002F7BF2"/>
    <w:rsid w:val="00304A8E"/>
    <w:rsid w:val="00311E52"/>
    <w:rsid w:val="00321780"/>
    <w:rsid w:val="00321C10"/>
    <w:rsid w:val="00325882"/>
    <w:rsid w:val="00330139"/>
    <w:rsid w:val="00331503"/>
    <w:rsid w:val="00344643"/>
    <w:rsid w:val="00352B18"/>
    <w:rsid w:val="00355B8C"/>
    <w:rsid w:val="00362BA3"/>
    <w:rsid w:val="00365026"/>
    <w:rsid w:val="003671A9"/>
    <w:rsid w:val="00373FDB"/>
    <w:rsid w:val="00384DAA"/>
    <w:rsid w:val="00397B42"/>
    <w:rsid w:val="003A2A75"/>
    <w:rsid w:val="003A2E16"/>
    <w:rsid w:val="003A5790"/>
    <w:rsid w:val="003A5B49"/>
    <w:rsid w:val="003B0D23"/>
    <w:rsid w:val="003B1A03"/>
    <w:rsid w:val="003C6126"/>
    <w:rsid w:val="003D0A2A"/>
    <w:rsid w:val="003D4CC1"/>
    <w:rsid w:val="003E3721"/>
    <w:rsid w:val="003E6A44"/>
    <w:rsid w:val="003E6D19"/>
    <w:rsid w:val="003E7306"/>
    <w:rsid w:val="003F034B"/>
    <w:rsid w:val="003F6901"/>
    <w:rsid w:val="00410281"/>
    <w:rsid w:val="00411A0F"/>
    <w:rsid w:val="00411F4E"/>
    <w:rsid w:val="004145A5"/>
    <w:rsid w:val="00415583"/>
    <w:rsid w:val="004250FF"/>
    <w:rsid w:val="00427019"/>
    <w:rsid w:val="00433774"/>
    <w:rsid w:val="00462101"/>
    <w:rsid w:val="00466C51"/>
    <w:rsid w:val="00474E36"/>
    <w:rsid w:val="004774B4"/>
    <w:rsid w:val="00494AD6"/>
    <w:rsid w:val="00495979"/>
    <w:rsid w:val="004A2571"/>
    <w:rsid w:val="004A3F9B"/>
    <w:rsid w:val="004A46DD"/>
    <w:rsid w:val="004A5BEC"/>
    <w:rsid w:val="004A605E"/>
    <w:rsid w:val="004B6A2D"/>
    <w:rsid w:val="004D0FA5"/>
    <w:rsid w:val="004D2C25"/>
    <w:rsid w:val="004D7944"/>
    <w:rsid w:val="004E32B8"/>
    <w:rsid w:val="004E3CE1"/>
    <w:rsid w:val="004F47A8"/>
    <w:rsid w:val="005041CC"/>
    <w:rsid w:val="00504266"/>
    <w:rsid w:val="00511396"/>
    <w:rsid w:val="00531846"/>
    <w:rsid w:val="00550298"/>
    <w:rsid w:val="00557F28"/>
    <w:rsid w:val="00557F8A"/>
    <w:rsid w:val="0057691A"/>
    <w:rsid w:val="0059097D"/>
    <w:rsid w:val="005A3928"/>
    <w:rsid w:val="005B7147"/>
    <w:rsid w:val="005C284C"/>
    <w:rsid w:val="005C2CAA"/>
    <w:rsid w:val="005C679B"/>
    <w:rsid w:val="005D5452"/>
    <w:rsid w:val="005D7387"/>
    <w:rsid w:val="005D7738"/>
    <w:rsid w:val="005E39D6"/>
    <w:rsid w:val="005E40A7"/>
    <w:rsid w:val="005E7420"/>
    <w:rsid w:val="005F0B72"/>
    <w:rsid w:val="005F1C3C"/>
    <w:rsid w:val="005F5EFB"/>
    <w:rsid w:val="006003DE"/>
    <w:rsid w:val="00610ED7"/>
    <w:rsid w:val="00611163"/>
    <w:rsid w:val="00612DE1"/>
    <w:rsid w:val="0061448B"/>
    <w:rsid w:val="00615040"/>
    <w:rsid w:val="00620D02"/>
    <w:rsid w:val="0062479E"/>
    <w:rsid w:val="0062546C"/>
    <w:rsid w:val="006279CD"/>
    <w:rsid w:val="00630386"/>
    <w:rsid w:val="00635E9B"/>
    <w:rsid w:val="006364FC"/>
    <w:rsid w:val="00640FA7"/>
    <w:rsid w:val="00645F60"/>
    <w:rsid w:val="00653472"/>
    <w:rsid w:val="00657D07"/>
    <w:rsid w:val="00657E8A"/>
    <w:rsid w:val="00666209"/>
    <w:rsid w:val="00671728"/>
    <w:rsid w:val="00671F09"/>
    <w:rsid w:val="00673EA8"/>
    <w:rsid w:val="0068168C"/>
    <w:rsid w:val="006878F2"/>
    <w:rsid w:val="006A0251"/>
    <w:rsid w:val="006A1F72"/>
    <w:rsid w:val="006A4AF3"/>
    <w:rsid w:val="006A6012"/>
    <w:rsid w:val="006B15C0"/>
    <w:rsid w:val="006B47EC"/>
    <w:rsid w:val="006B7A8F"/>
    <w:rsid w:val="006E6FF8"/>
    <w:rsid w:val="006F2689"/>
    <w:rsid w:val="006F3F99"/>
    <w:rsid w:val="00712B03"/>
    <w:rsid w:val="007161A0"/>
    <w:rsid w:val="007162B2"/>
    <w:rsid w:val="00720CF3"/>
    <w:rsid w:val="00732602"/>
    <w:rsid w:val="00736938"/>
    <w:rsid w:val="00741EE8"/>
    <w:rsid w:val="007535CD"/>
    <w:rsid w:val="00754F6D"/>
    <w:rsid w:val="00755210"/>
    <w:rsid w:val="00772C16"/>
    <w:rsid w:val="0077552B"/>
    <w:rsid w:val="00776C7E"/>
    <w:rsid w:val="007770D1"/>
    <w:rsid w:val="00780AEF"/>
    <w:rsid w:val="00794376"/>
    <w:rsid w:val="00794BE9"/>
    <w:rsid w:val="00795C67"/>
    <w:rsid w:val="007A07DD"/>
    <w:rsid w:val="007A3C23"/>
    <w:rsid w:val="007A6659"/>
    <w:rsid w:val="007B0EC5"/>
    <w:rsid w:val="007B3611"/>
    <w:rsid w:val="007B60C0"/>
    <w:rsid w:val="007D11E1"/>
    <w:rsid w:val="007D428C"/>
    <w:rsid w:val="007D4652"/>
    <w:rsid w:val="007E31A7"/>
    <w:rsid w:val="007E3AF8"/>
    <w:rsid w:val="007F2641"/>
    <w:rsid w:val="0080397A"/>
    <w:rsid w:val="0080515F"/>
    <w:rsid w:val="00805BF4"/>
    <w:rsid w:val="0081552A"/>
    <w:rsid w:val="008239A4"/>
    <w:rsid w:val="00837794"/>
    <w:rsid w:val="00840F8A"/>
    <w:rsid w:val="00844D0B"/>
    <w:rsid w:val="00846140"/>
    <w:rsid w:val="00846C2B"/>
    <w:rsid w:val="00852DAC"/>
    <w:rsid w:val="00872C9D"/>
    <w:rsid w:val="00873440"/>
    <w:rsid w:val="008779B0"/>
    <w:rsid w:val="008930F4"/>
    <w:rsid w:val="008A18FB"/>
    <w:rsid w:val="008C2E3A"/>
    <w:rsid w:val="008C4062"/>
    <w:rsid w:val="008C7CD2"/>
    <w:rsid w:val="008D3730"/>
    <w:rsid w:val="008E026B"/>
    <w:rsid w:val="008E6AEE"/>
    <w:rsid w:val="008E7C56"/>
    <w:rsid w:val="008F0F60"/>
    <w:rsid w:val="008F5832"/>
    <w:rsid w:val="008F7402"/>
    <w:rsid w:val="00915630"/>
    <w:rsid w:val="009167F8"/>
    <w:rsid w:val="00917439"/>
    <w:rsid w:val="00917BA5"/>
    <w:rsid w:val="0092241A"/>
    <w:rsid w:val="00924825"/>
    <w:rsid w:val="00931D44"/>
    <w:rsid w:val="00933E87"/>
    <w:rsid w:val="0093570E"/>
    <w:rsid w:val="00936C27"/>
    <w:rsid w:val="00940956"/>
    <w:rsid w:val="00946311"/>
    <w:rsid w:val="00960244"/>
    <w:rsid w:val="009723A6"/>
    <w:rsid w:val="00972865"/>
    <w:rsid w:val="0097431D"/>
    <w:rsid w:val="00980D41"/>
    <w:rsid w:val="009C0C0A"/>
    <w:rsid w:val="009C29D7"/>
    <w:rsid w:val="009D3E76"/>
    <w:rsid w:val="009E3B55"/>
    <w:rsid w:val="00A000E5"/>
    <w:rsid w:val="00A0125E"/>
    <w:rsid w:val="00A045FF"/>
    <w:rsid w:val="00A10E1D"/>
    <w:rsid w:val="00A15D23"/>
    <w:rsid w:val="00A1672F"/>
    <w:rsid w:val="00A231A5"/>
    <w:rsid w:val="00A302EF"/>
    <w:rsid w:val="00A35348"/>
    <w:rsid w:val="00A36935"/>
    <w:rsid w:val="00A42D4E"/>
    <w:rsid w:val="00A4445E"/>
    <w:rsid w:val="00A53CB9"/>
    <w:rsid w:val="00A60FC5"/>
    <w:rsid w:val="00A71400"/>
    <w:rsid w:val="00A71EB8"/>
    <w:rsid w:val="00A760CE"/>
    <w:rsid w:val="00A771B9"/>
    <w:rsid w:val="00A86017"/>
    <w:rsid w:val="00A95AF2"/>
    <w:rsid w:val="00AA3AE4"/>
    <w:rsid w:val="00AD012D"/>
    <w:rsid w:val="00AD4FB1"/>
    <w:rsid w:val="00AD7611"/>
    <w:rsid w:val="00AE10D3"/>
    <w:rsid w:val="00AE30E2"/>
    <w:rsid w:val="00AE6319"/>
    <w:rsid w:val="00AE745B"/>
    <w:rsid w:val="00B04731"/>
    <w:rsid w:val="00B05269"/>
    <w:rsid w:val="00B0560E"/>
    <w:rsid w:val="00B13762"/>
    <w:rsid w:val="00B30981"/>
    <w:rsid w:val="00B33584"/>
    <w:rsid w:val="00B3464E"/>
    <w:rsid w:val="00B35DD3"/>
    <w:rsid w:val="00B446B6"/>
    <w:rsid w:val="00B56505"/>
    <w:rsid w:val="00B67612"/>
    <w:rsid w:val="00B75BC7"/>
    <w:rsid w:val="00B843D3"/>
    <w:rsid w:val="00B860BA"/>
    <w:rsid w:val="00B947C7"/>
    <w:rsid w:val="00B9775B"/>
    <w:rsid w:val="00BA061E"/>
    <w:rsid w:val="00BA074B"/>
    <w:rsid w:val="00BA1942"/>
    <w:rsid w:val="00BA396E"/>
    <w:rsid w:val="00BA42AA"/>
    <w:rsid w:val="00BD6527"/>
    <w:rsid w:val="00BF1490"/>
    <w:rsid w:val="00BF4E97"/>
    <w:rsid w:val="00BF5835"/>
    <w:rsid w:val="00BF65C2"/>
    <w:rsid w:val="00C021BE"/>
    <w:rsid w:val="00C05438"/>
    <w:rsid w:val="00C0617C"/>
    <w:rsid w:val="00C2022B"/>
    <w:rsid w:val="00C23C44"/>
    <w:rsid w:val="00C2487B"/>
    <w:rsid w:val="00C31465"/>
    <w:rsid w:val="00C35370"/>
    <w:rsid w:val="00C43EF5"/>
    <w:rsid w:val="00C566D7"/>
    <w:rsid w:val="00C649BB"/>
    <w:rsid w:val="00C738F0"/>
    <w:rsid w:val="00C86FB4"/>
    <w:rsid w:val="00C9668B"/>
    <w:rsid w:val="00C97699"/>
    <w:rsid w:val="00CA441F"/>
    <w:rsid w:val="00CA5255"/>
    <w:rsid w:val="00CB685B"/>
    <w:rsid w:val="00CB7B07"/>
    <w:rsid w:val="00CC1480"/>
    <w:rsid w:val="00CC1AC5"/>
    <w:rsid w:val="00CD1DE3"/>
    <w:rsid w:val="00CD1F33"/>
    <w:rsid w:val="00CD2652"/>
    <w:rsid w:val="00CD4B03"/>
    <w:rsid w:val="00CE4153"/>
    <w:rsid w:val="00CE4E0C"/>
    <w:rsid w:val="00CF14BB"/>
    <w:rsid w:val="00CF4F23"/>
    <w:rsid w:val="00D0396A"/>
    <w:rsid w:val="00D15E78"/>
    <w:rsid w:val="00D17EE2"/>
    <w:rsid w:val="00D20DA3"/>
    <w:rsid w:val="00D23E42"/>
    <w:rsid w:val="00D247F9"/>
    <w:rsid w:val="00D267C8"/>
    <w:rsid w:val="00D3209D"/>
    <w:rsid w:val="00D404B7"/>
    <w:rsid w:val="00D439D5"/>
    <w:rsid w:val="00D611B5"/>
    <w:rsid w:val="00D6141E"/>
    <w:rsid w:val="00D65A5F"/>
    <w:rsid w:val="00D666F0"/>
    <w:rsid w:val="00D73042"/>
    <w:rsid w:val="00D75891"/>
    <w:rsid w:val="00D81DAC"/>
    <w:rsid w:val="00D842FE"/>
    <w:rsid w:val="00D86443"/>
    <w:rsid w:val="00DA0D2F"/>
    <w:rsid w:val="00DA3D9A"/>
    <w:rsid w:val="00DA42F6"/>
    <w:rsid w:val="00DA438F"/>
    <w:rsid w:val="00DB081D"/>
    <w:rsid w:val="00DB0E76"/>
    <w:rsid w:val="00DB27D5"/>
    <w:rsid w:val="00DC0029"/>
    <w:rsid w:val="00DC2A5E"/>
    <w:rsid w:val="00DC52F2"/>
    <w:rsid w:val="00DD3BEC"/>
    <w:rsid w:val="00DD4379"/>
    <w:rsid w:val="00DD7C4C"/>
    <w:rsid w:val="00DE6E41"/>
    <w:rsid w:val="00DF321C"/>
    <w:rsid w:val="00DF32BF"/>
    <w:rsid w:val="00DF61E9"/>
    <w:rsid w:val="00DF6928"/>
    <w:rsid w:val="00DF74D4"/>
    <w:rsid w:val="00E03728"/>
    <w:rsid w:val="00E122DD"/>
    <w:rsid w:val="00E20FFC"/>
    <w:rsid w:val="00E217CF"/>
    <w:rsid w:val="00E22579"/>
    <w:rsid w:val="00E34353"/>
    <w:rsid w:val="00E352E5"/>
    <w:rsid w:val="00E41F01"/>
    <w:rsid w:val="00E441DB"/>
    <w:rsid w:val="00E55D39"/>
    <w:rsid w:val="00E6458B"/>
    <w:rsid w:val="00E64899"/>
    <w:rsid w:val="00E73318"/>
    <w:rsid w:val="00E76B15"/>
    <w:rsid w:val="00E802C8"/>
    <w:rsid w:val="00E933AC"/>
    <w:rsid w:val="00E95236"/>
    <w:rsid w:val="00E95676"/>
    <w:rsid w:val="00EA2EAE"/>
    <w:rsid w:val="00EB3C75"/>
    <w:rsid w:val="00EB4186"/>
    <w:rsid w:val="00EB41F3"/>
    <w:rsid w:val="00EC0F41"/>
    <w:rsid w:val="00EC4142"/>
    <w:rsid w:val="00ED32DF"/>
    <w:rsid w:val="00ED436B"/>
    <w:rsid w:val="00ED7611"/>
    <w:rsid w:val="00EE3FBD"/>
    <w:rsid w:val="00EE4C92"/>
    <w:rsid w:val="00EE5501"/>
    <w:rsid w:val="00EE6E59"/>
    <w:rsid w:val="00EF65DE"/>
    <w:rsid w:val="00F00F77"/>
    <w:rsid w:val="00F075D4"/>
    <w:rsid w:val="00F13EB5"/>
    <w:rsid w:val="00F23AB2"/>
    <w:rsid w:val="00F26D24"/>
    <w:rsid w:val="00F27BD9"/>
    <w:rsid w:val="00F33101"/>
    <w:rsid w:val="00F34C5C"/>
    <w:rsid w:val="00F455E1"/>
    <w:rsid w:val="00F505E0"/>
    <w:rsid w:val="00F5669D"/>
    <w:rsid w:val="00F6162F"/>
    <w:rsid w:val="00F6763F"/>
    <w:rsid w:val="00F726D7"/>
    <w:rsid w:val="00F777FE"/>
    <w:rsid w:val="00FA1936"/>
    <w:rsid w:val="00FA5741"/>
    <w:rsid w:val="00FB6008"/>
    <w:rsid w:val="00FC28C0"/>
    <w:rsid w:val="00FC5D5C"/>
    <w:rsid w:val="00FD0B85"/>
    <w:rsid w:val="00FD119F"/>
    <w:rsid w:val="00FD4D63"/>
    <w:rsid w:val="00FF4BE6"/>
    <w:rsid w:val="00FF5068"/>
    <w:rsid w:val="00FF79B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6FB8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qFormat="1"/>
    <w:lsdException w:name="Colorful Grid Accent 1" w:qFormat="1"/>
    <w:lsdException w:name="Light Shading Accent 2" w:qFormat="1"/>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E10E6"/>
    <w:pPr>
      <w:spacing w:after="200" w:line="480" w:lineRule="auto"/>
    </w:pPr>
    <w:rPr>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title-link-wrapper">
    <w:name w:val="title-link-wrapper"/>
    <w:basedOn w:val="a0"/>
    <w:rsid w:val="00E92820"/>
  </w:style>
  <w:style w:type="character" w:styleId="a3">
    <w:name w:val="Hyperlink"/>
    <w:uiPriority w:val="99"/>
    <w:unhideWhenUsed/>
    <w:rsid w:val="00E92820"/>
    <w:rPr>
      <w:color w:val="0000FF"/>
      <w:u w:val="single"/>
    </w:rPr>
  </w:style>
  <w:style w:type="character" w:styleId="a4">
    <w:name w:val="Strong"/>
    <w:uiPriority w:val="22"/>
    <w:qFormat/>
    <w:rsid w:val="00E92820"/>
    <w:rPr>
      <w:b/>
      <w:bCs/>
    </w:rPr>
  </w:style>
  <w:style w:type="character" w:customStyle="1" w:styleId="hidden">
    <w:name w:val="hidden"/>
    <w:basedOn w:val="a0"/>
    <w:rsid w:val="00E92820"/>
  </w:style>
  <w:style w:type="character" w:customStyle="1" w:styleId="medium-font">
    <w:name w:val="medium-font"/>
    <w:basedOn w:val="a0"/>
    <w:rsid w:val="00E92820"/>
  </w:style>
  <w:style w:type="table" w:styleId="a5">
    <w:name w:val="Table Grid"/>
    <w:basedOn w:val="a1"/>
    <w:uiPriority w:val="59"/>
    <w:rsid w:val="009D63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BE69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rPr>
  </w:style>
  <w:style w:type="character" w:customStyle="1" w:styleId="HTML0">
    <w:name w:val="HTML 預設格式 字元"/>
    <w:link w:val="HTML"/>
    <w:uiPriority w:val="99"/>
    <w:semiHidden/>
    <w:rsid w:val="00BE6987"/>
    <w:rPr>
      <w:rFonts w:ascii="Courier New" w:eastAsia="Times New Roman" w:hAnsi="Courier New" w:cs="Courier New"/>
      <w:sz w:val="20"/>
      <w:szCs w:val="20"/>
    </w:rPr>
  </w:style>
  <w:style w:type="character" w:styleId="a6">
    <w:name w:val="annotation reference"/>
    <w:uiPriority w:val="99"/>
    <w:semiHidden/>
    <w:unhideWhenUsed/>
    <w:rsid w:val="005C06BF"/>
    <w:rPr>
      <w:sz w:val="18"/>
      <w:szCs w:val="18"/>
    </w:rPr>
  </w:style>
  <w:style w:type="paragraph" w:styleId="a7">
    <w:name w:val="annotation text"/>
    <w:basedOn w:val="a"/>
    <w:link w:val="a8"/>
    <w:uiPriority w:val="99"/>
    <w:semiHidden/>
    <w:unhideWhenUsed/>
    <w:rsid w:val="005C06BF"/>
    <w:pPr>
      <w:spacing w:line="240" w:lineRule="auto"/>
    </w:pPr>
  </w:style>
  <w:style w:type="character" w:customStyle="1" w:styleId="a8">
    <w:name w:val="註解文字 字元"/>
    <w:basedOn w:val="a0"/>
    <w:link w:val="a7"/>
    <w:uiPriority w:val="99"/>
    <w:semiHidden/>
    <w:rsid w:val="005C06BF"/>
  </w:style>
  <w:style w:type="paragraph" w:styleId="a9">
    <w:name w:val="annotation subject"/>
    <w:basedOn w:val="a7"/>
    <w:next w:val="a7"/>
    <w:link w:val="aa"/>
    <w:uiPriority w:val="99"/>
    <w:semiHidden/>
    <w:unhideWhenUsed/>
    <w:rsid w:val="005C06BF"/>
    <w:rPr>
      <w:b/>
      <w:bCs/>
      <w:sz w:val="20"/>
      <w:szCs w:val="20"/>
    </w:rPr>
  </w:style>
  <w:style w:type="character" w:customStyle="1" w:styleId="aa">
    <w:name w:val="註解主旨 字元"/>
    <w:link w:val="a9"/>
    <w:uiPriority w:val="99"/>
    <w:semiHidden/>
    <w:rsid w:val="005C06BF"/>
    <w:rPr>
      <w:b/>
      <w:bCs/>
      <w:sz w:val="20"/>
      <w:szCs w:val="20"/>
    </w:rPr>
  </w:style>
  <w:style w:type="paragraph" w:styleId="ab">
    <w:name w:val="Balloon Text"/>
    <w:basedOn w:val="a"/>
    <w:link w:val="ac"/>
    <w:uiPriority w:val="99"/>
    <w:semiHidden/>
    <w:unhideWhenUsed/>
    <w:rsid w:val="005C06BF"/>
    <w:pPr>
      <w:spacing w:after="0" w:line="240" w:lineRule="auto"/>
    </w:pPr>
    <w:rPr>
      <w:rFonts w:ascii="Lucida Grande" w:hAnsi="Lucida Grande"/>
      <w:sz w:val="18"/>
      <w:szCs w:val="18"/>
    </w:rPr>
  </w:style>
  <w:style w:type="character" w:customStyle="1" w:styleId="ac">
    <w:name w:val="註解方塊文字 字元"/>
    <w:link w:val="ab"/>
    <w:uiPriority w:val="99"/>
    <w:semiHidden/>
    <w:rsid w:val="005C06BF"/>
    <w:rPr>
      <w:rFonts w:ascii="Lucida Grande" w:hAnsi="Lucida Grande"/>
      <w:sz w:val="18"/>
      <w:szCs w:val="18"/>
    </w:rPr>
  </w:style>
  <w:style w:type="paragraph" w:styleId="ad">
    <w:name w:val="header"/>
    <w:basedOn w:val="a"/>
    <w:link w:val="ae"/>
    <w:uiPriority w:val="99"/>
    <w:unhideWhenUsed/>
    <w:rsid w:val="00056003"/>
    <w:pPr>
      <w:tabs>
        <w:tab w:val="center" w:pos="4680"/>
        <w:tab w:val="right" w:pos="9360"/>
      </w:tabs>
    </w:pPr>
  </w:style>
  <w:style w:type="character" w:customStyle="1" w:styleId="ae">
    <w:name w:val="頁首 字元"/>
    <w:link w:val="ad"/>
    <w:uiPriority w:val="99"/>
    <w:rsid w:val="00056003"/>
    <w:rPr>
      <w:sz w:val="24"/>
      <w:szCs w:val="24"/>
    </w:rPr>
  </w:style>
  <w:style w:type="paragraph" w:styleId="af">
    <w:name w:val="footer"/>
    <w:basedOn w:val="a"/>
    <w:link w:val="af0"/>
    <w:uiPriority w:val="99"/>
    <w:unhideWhenUsed/>
    <w:rsid w:val="00056003"/>
    <w:pPr>
      <w:tabs>
        <w:tab w:val="center" w:pos="4680"/>
        <w:tab w:val="right" w:pos="9360"/>
      </w:tabs>
    </w:pPr>
  </w:style>
  <w:style w:type="character" w:customStyle="1" w:styleId="af0">
    <w:name w:val="頁尾 字元"/>
    <w:link w:val="af"/>
    <w:uiPriority w:val="99"/>
    <w:rsid w:val="00056003"/>
    <w:rPr>
      <w:sz w:val="24"/>
      <w:szCs w:val="24"/>
    </w:rPr>
  </w:style>
  <w:style w:type="paragraph" w:customStyle="1" w:styleId="LightList-Accent31">
    <w:name w:val="Light List - Accent 31"/>
    <w:hidden/>
    <w:rsid w:val="00EA6E49"/>
    <w:rPr>
      <w:sz w:val="24"/>
      <w:szCs w:val="24"/>
      <w:lang w:eastAsia="en-US"/>
    </w:rPr>
  </w:style>
  <w:style w:type="character" w:styleId="af1">
    <w:name w:val="page number"/>
    <w:basedOn w:val="a0"/>
    <w:rsid w:val="00CE361C"/>
  </w:style>
  <w:style w:type="paragraph" w:customStyle="1" w:styleId="MediumList2-Accent21">
    <w:name w:val="Medium List 2 - Accent 21"/>
    <w:hidden/>
    <w:rsid w:val="002630FA"/>
    <w:rPr>
      <w:sz w:val="24"/>
      <w:szCs w:val="24"/>
      <w:lang w:eastAsia="en-US"/>
    </w:rPr>
  </w:style>
  <w:style w:type="character" w:styleId="af2">
    <w:name w:val="FollowedHyperlink"/>
    <w:rsid w:val="001C3908"/>
    <w:rPr>
      <w:color w:val="954F72"/>
      <w:u w:val="single"/>
    </w:rPr>
  </w:style>
  <w:style w:type="paragraph" w:styleId="af3">
    <w:name w:val="Document Map"/>
    <w:basedOn w:val="a"/>
    <w:link w:val="af4"/>
    <w:rsid w:val="000547D0"/>
  </w:style>
  <w:style w:type="character" w:customStyle="1" w:styleId="af4">
    <w:name w:val="文件引導模式 字元"/>
    <w:link w:val="af3"/>
    <w:rsid w:val="000547D0"/>
    <w:rPr>
      <w:sz w:val="24"/>
      <w:szCs w:val="24"/>
    </w:rPr>
  </w:style>
  <w:style w:type="paragraph" w:styleId="af5">
    <w:name w:val="No Spacing"/>
    <w:uiPriority w:val="1"/>
    <w:qFormat/>
    <w:rsid w:val="001E7398"/>
    <w:rPr>
      <w:rFonts w:ascii="Cambria" w:eastAsia="Cambria" w:hAnsi="Cambria"/>
      <w:sz w:val="24"/>
      <w:szCs w:val="24"/>
      <w:lang w:eastAsia="en-US"/>
    </w:rPr>
  </w:style>
  <w:style w:type="paragraph" w:styleId="af6">
    <w:name w:val="Revision"/>
    <w:hidden/>
    <w:semiHidden/>
    <w:rsid w:val="00E22579"/>
    <w:rPr>
      <w:sz w:val="24"/>
      <w:szCs w:val="24"/>
      <w:lang w:eastAsia="en-US"/>
    </w:rPr>
  </w:style>
  <w:style w:type="character" w:customStyle="1" w:styleId="UnresolvedMention">
    <w:name w:val="Unresolved Mention"/>
    <w:basedOn w:val="a0"/>
    <w:uiPriority w:val="99"/>
    <w:semiHidden/>
    <w:unhideWhenUsed/>
    <w:rsid w:val="00CE4E0C"/>
    <w:rPr>
      <w:color w:val="605E5C"/>
      <w:shd w:val="clear" w:color="auto" w:fill="E1DFDD"/>
    </w:rPr>
  </w:style>
  <w:style w:type="table" w:styleId="6-1">
    <w:name w:val="List Table 6 Colorful Accent 1"/>
    <w:basedOn w:val="a1"/>
    <w:uiPriority w:val="51"/>
    <w:rsid w:val="006B15C0"/>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1">
    <w:name w:val="樣式1"/>
    <w:basedOn w:val="a1"/>
    <w:uiPriority w:val="99"/>
    <w:rsid w:val="006B15C0"/>
    <w:tblPr/>
  </w:style>
  <w:style w:type="character" w:styleId="af7">
    <w:name w:val="line number"/>
    <w:basedOn w:val="a0"/>
    <w:semiHidden/>
    <w:unhideWhenUsed/>
    <w:rsid w:val="00411A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10388">
      <w:bodyDiv w:val="1"/>
      <w:marLeft w:val="0"/>
      <w:marRight w:val="0"/>
      <w:marTop w:val="0"/>
      <w:marBottom w:val="0"/>
      <w:divBdr>
        <w:top w:val="none" w:sz="0" w:space="0" w:color="auto"/>
        <w:left w:val="none" w:sz="0" w:space="0" w:color="auto"/>
        <w:bottom w:val="none" w:sz="0" w:space="0" w:color="auto"/>
        <w:right w:val="none" w:sz="0" w:space="0" w:color="auto"/>
      </w:divBdr>
    </w:div>
    <w:div w:id="30688654">
      <w:bodyDiv w:val="1"/>
      <w:marLeft w:val="0"/>
      <w:marRight w:val="0"/>
      <w:marTop w:val="0"/>
      <w:marBottom w:val="0"/>
      <w:divBdr>
        <w:top w:val="none" w:sz="0" w:space="0" w:color="auto"/>
        <w:left w:val="none" w:sz="0" w:space="0" w:color="auto"/>
        <w:bottom w:val="none" w:sz="0" w:space="0" w:color="auto"/>
        <w:right w:val="none" w:sz="0" w:space="0" w:color="auto"/>
      </w:divBdr>
      <w:divsChild>
        <w:div w:id="253319386">
          <w:marLeft w:val="0"/>
          <w:marRight w:val="0"/>
          <w:marTop w:val="0"/>
          <w:marBottom w:val="0"/>
          <w:divBdr>
            <w:top w:val="none" w:sz="0" w:space="0" w:color="auto"/>
            <w:left w:val="none" w:sz="0" w:space="0" w:color="auto"/>
            <w:bottom w:val="none" w:sz="0" w:space="0" w:color="auto"/>
            <w:right w:val="none" w:sz="0" w:space="0" w:color="auto"/>
          </w:divBdr>
        </w:div>
        <w:div w:id="862210345">
          <w:marLeft w:val="0"/>
          <w:marRight w:val="0"/>
          <w:marTop w:val="0"/>
          <w:marBottom w:val="0"/>
          <w:divBdr>
            <w:top w:val="none" w:sz="0" w:space="0" w:color="auto"/>
            <w:left w:val="none" w:sz="0" w:space="0" w:color="auto"/>
            <w:bottom w:val="none" w:sz="0" w:space="0" w:color="auto"/>
            <w:right w:val="none" w:sz="0" w:space="0" w:color="auto"/>
          </w:divBdr>
        </w:div>
        <w:div w:id="863597403">
          <w:marLeft w:val="0"/>
          <w:marRight w:val="0"/>
          <w:marTop w:val="0"/>
          <w:marBottom w:val="0"/>
          <w:divBdr>
            <w:top w:val="none" w:sz="0" w:space="0" w:color="auto"/>
            <w:left w:val="none" w:sz="0" w:space="0" w:color="auto"/>
            <w:bottom w:val="none" w:sz="0" w:space="0" w:color="auto"/>
            <w:right w:val="none" w:sz="0" w:space="0" w:color="auto"/>
          </w:divBdr>
        </w:div>
        <w:div w:id="1062823961">
          <w:marLeft w:val="0"/>
          <w:marRight w:val="0"/>
          <w:marTop w:val="0"/>
          <w:marBottom w:val="0"/>
          <w:divBdr>
            <w:top w:val="none" w:sz="0" w:space="0" w:color="auto"/>
            <w:left w:val="none" w:sz="0" w:space="0" w:color="auto"/>
            <w:bottom w:val="none" w:sz="0" w:space="0" w:color="auto"/>
            <w:right w:val="none" w:sz="0" w:space="0" w:color="auto"/>
          </w:divBdr>
        </w:div>
        <w:div w:id="1122924675">
          <w:marLeft w:val="0"/>
          <w:marRight w:val="0"/>
          <w:marTop w:val="0"/>
          <w:marBottom w:val="0"/>
          <w:divBdr>
            <w:top w:val="none" w:sz="0" w:space="0" w:color="auto"/>
            <w:left w:val="none" w:sz="0" w:space="0" w:color="auto"/>
            <w:bottom w:val="none" w:sz="0" w:space="0" w:color="auto"/>
            <w:right w:val="none" w:sz="0" w:space="0" w:color="auto"/>
          </w:divBdr>
        </w:div>
        <w:div w:id="1243030317">
          <w:marLeft w:val="0"/>
          <w:marRight w:val="0"/>
          <w:marTop w:val="0"/>
          <w:marBottom w:val="0"/>
          <w:divBdr>
            <w:top w:val="none" w:sz="0" w:space="0" w:color="auto"/>
            <w:left w:val="none" w:sz="0" w:space="0" w:color="auto"/>
            <w:bottom w:val="none" w:sz="0" w:space="0" w:color="auto"/>
            <w:right w:val="none" w:sz="0" w:space="0" w:color="auto"/>
          </w:divBdr>
        </w:div>
        <w:div w:id="1939438245">
          <w:marLeft w:val="0"/>
          <w:marRight w:val="0"/>
          <w:marTop w:val="0"/>
          <w:marBottom w:val="0"/>
          <w:divBdr>
            <w:top w:val="none" w:sz="0" w:space="0" w:color="auto"/>
            <w:left w:val="none" w:sz="0" w:space="0" w:color="auto"/>
            <w:bottom w:val="none" w:sz="0" w:space="0" w:color="auto"/>
            <w:right w:val="none" w:sz="0" w:space="0" w:color="auto"/>
          </w:divBdr>
        </w:div>
        <w:div w:id="1986201152">
          <w:marLeft w:val="0"/>
          <w:marRight w:val="0"/>
          <w:marTop w:val="0"/>
          <w:marBottom w:val="0"/>
          <w:divBdr>
            <w:top w:val="none" w:sz="0" w:space="0" w:color="auto"/>
            <w:left w:val="none" w:sz="0" w:space="0" w:color="auto"/>
            <w:bottom w:val="none" w:sz="0" w:space="0" w:color="auto"/>
            <w:right w:val="none" w:sz="0" w:space="0" w:color="auto"/>
          </w:divBdr>
        </w:div>
      </w:divsChild>
    </w:div>
    <w:div w:id="31544306">
      <w:bodyDiv w:val="1"/>
      <w:marLeft w:val="0"/>
      <w:marRight w:val="0"/>
      <w:marTop w:val="0"/>
      <w:marBottom w:val="0"/>
      <w:divBdr>
        <w:top w:val="none" w:sz="0" w:space="0" w:color="auto"/>
        <w:left w:val="none" w:sz="0" w:space="0" w:color="auto"/>
        <w:bottom w:val="none" w:sz="0" w:space="0" w:color="auto"/>
        <w:right w:val="none" w:sz="0" w:space="0" w:color="auto"/>
      </w:divBdr>
    </w:div>
    <w:div w:id="74396797">
      <w:bodyDiv w:val="1"/>
      <w:marLeft w:val="0"/>
      <w:marRight w:val="0"/>
      <w:marTop w:val="0"/>
      <w:marBottom w:val="0"/>
      <w:divBdr>
        <w:top w:val="none" w:sz="0" w:space="0" w:color="auto"/>
        <w:left w:val="none" w:sz="0" w:space="0" w:color="auto"/>
        <w:bottom w:val="none" w:sz="0" w:space="0" w:color="auto"/>
        <w:right w:val="none" w:sz="0" w:space="0" w:color="auto"/>
      </w:divBdr>
      <w:divsChild>
        <w:div w:id="1470633655">
          <w:marLeft w:val="0"/>
          <w:marRight w:val="0"/>
          <w:marTop w:val="0"/>
          <w:marBottom w:val="0"/>
          <w:divBdr>
            <w:top w:val="none" w:sz="0" w:space="0" w:color="auto"/>
            <w:left w:val="none" w:sz="0" w:space="0" w:color="auto"/>
            <w:bottom w:val="none" w:sz="0" w:space="0" w:color="auto"/>
            <w:right w:val="none" w:sz="0" w:space="0" w:color="auto"/>
          </w:divBdr>
        </w:div>
      </w:divsChild>
    </w:div>
    <w:div w:id="93016477">
      <w:bodyDiv w:val="1"/>
      <w:marLeft w:val="0"/>
      <w:marRight w:val="0"/>
      <w:marTop w:val="0"/>
      <w:marBottom w:val="0"/>
      <w:divBdr>
        <w:top w:val="none" w:sz="0" w:space="0" w:color="auto"/>
        <w:left w:val="none" w:sz="0" w:space="0" w:color="auto"/>
        <w:bottom w:val="none" w:sz="0" w:space="0" w:color="auto"/>
        <w:right w:val="none" w:sz="0" w:space="0" w:color="auto"/>
      </w:divBdr>
    </w:div>
    <w:div w:id="111095331">
      <w:bodyDiv w:val="1"/>
      <w:marLeft w:val="0"/>
      <w:marRight w:val="0"/>
      <w:marTop w:val="0"/>
      <w:marBottom w:val="0"/>
      <w:divBdr>
        <w:top w:val="none" w:sz="0" w:space="0" w:color="auto"/>
        <w:left w:val="none" w:sz="0" w:space="0" w:color="auto"/>
        <w:bottom w:val="none" w:sz="0" w:space="0" w:color="auto"/>
        <w:right w:val="none" w:sz="0" w:space="0" w:color="auto"/>
      </w:divBdr>
    </w:div>
    <w:div w:id="163396134">
      <w:bodyDiv w:val="1"/>
      <w:marLeft w:val="0"/>
      <w:marRight w:val="0"/>
      <w:marTop w:val="0"/>
      <w:marBottom w:val="0"/>
      <w:divBdr>
        <w:top w:val="none" w:sz="0" w:space="0" w:color="auto"/>
        <w:left w:val="none" w:sz="0" w:space="0" w:color="auto"/>
        <w:bottom w:val="none" w:sz="0" w:space="0" w:color="auto"/>
        <w:right w:val="none" w:sz="0" w:space="0" w:color="auto"/>
      </w:divBdr>
    </w:div>
    <w:div w:id="213783495">
      <w:bodyDiv w:val="1"/>
      <w:marLeft w:val="0"/>
      <w:marRight w:val="0"/>
      <w:marTop w:val="0"/>
      <w:marBottom w:val="0"/>
      <w:divBdr>
        <w:top w:val="none" w:sz="0" w:space="0" w:color="auto"/>
        <w:left w:val="none" w:sz="0" w:space="0" w:color="auto"/>
        <w:bottom w:val="none" w:sz="0" w:space="0" w:color="auto"/>
        <w:right w:val="none" w:sz="0" w:space="0" w:color="auto"/>
      </w:divBdr>
    </w:div>
    <w:div w:id="219486912">
      <w:bodyDiv w:val="1"/>
      <w:marLeft w:val="0"/>
      <w:marRight w:val="0"/>
      <w:marTop w:val="0"/>
      <w:marBottom w:val="0"/>
      <w:divBdr>
        <w:top w:val="none" w:sz="0" w:space="0" w:color="auto"/>
        <w:left w:val="none" w:sz="0" w:space="0" w:color="auto"/>
        <w:bottom w:val="none" w:sz="0" w:space="0" w:color="auto"/>
        <w:right w:val="none" w:sz="0" w:space="0" w:color="auto"/>
      </w:divBdr>
    </w:div>
    <w:div w:id="219635389">
      <w:bodyDiv w:val="1"/>
      <w:marLeft w:val="0"/>
      <w:marRight w:val="0"/>
      <w:marTop w:val="0"/>
      <w:marBottom w:val="0"/>
      <w:divBdr>
        <w:top w:val="none" w:sz="0" w:space="0" w:color="auto"/>
        <w:left w:val="none" w:sz="0" w:space="0" w:color="auto"/>
        <w:bottom w:val="none" w:sz="0" w:space="0" w:color="auto"/>
        <w:right w:val="none" w:sz="0" w:space="0" w:color="auto"/>
      </w:divBdr>
    </w:div>
    <w:div w:id="255674358">
      <w:bodyDiv w:val="1"/>
      <w:marLeft w:val="0"/>
      <w:marRight w:val="0"/>
      <w:marTop w:val="0"/>
      <w:marBottom w:val="0"/>
      <w:divBdr>
        <w:top w:val="none" w:sz="0" w:space="0" w:color="auto"/>
        <w:left w:val="none" w:sz="0" w:space="0" w:color="auto"/>
        <w:bottom w:val="none" w:sz="0" w:space="0" w:color="auto"/>
        <w:right w:val="none" w:sz="0" w:space="0" w:color="auto"/>
      </w:divBdr>
      <w:divsChild>
        <w:div w:id="811992011">
          <w:marLeft w:val="0"/>
          <w:marRight w:val="0"/>
          <w:marTop w:val="0"/>
          <w:marBottom w:val="0"/>
          <w:divBdr>
            <w:top w:val="none" w:sz="0" w:space="0" w:color="auto"/>
            <w:left w:val="none" w:sz="0" w:space="0" w:color="auto"/>
            <w:bottom w:val="none" w:sz="0" w:space="0" w:color="auto"/>
            <w:right w:val="none" w:sz="0" w:space="0" w:color="auto"/>
          </w:divBdr>
        </w:div>
      </w:divsChild>
    </w:div>
    <w:div w:id="256015008">
      <w:bodyDiv w:val="1"/>
      <w:marLeft w:val="0"/>
      <w:marRight w:val="0"/>
      <w:marTop w:val="0"/>
      <w:marBottom w:val="0"/>
      <w:divBdr>
        <w:top w:val="none" w:sz="0" w:space="0" w:color="auto"/>
        <w:left w:val="none" w:sz="0" w:space="0" w:color="auto"/>
        <w:bottom w:val="none" w:sz="0" w:space="0" w:color="auto"/>
        <w:right w:val="none" w:sz="0" w:space="0" w:color="auto"/>
      </w:divBdr>
    </w:div>
    <w:div w:id="261229140">
      <w:bodyDiv w:val="1"/>
      <w:marLeft w:val="0"/>
      <w:marRight w:val="0"/>
      <w:marTop w:val="0"/>
      <w:marBottom w:val="0"/>
      <w:divBdr>
        <w:top w:val="none" w:sz="0" w:space="0" w:color="auto"/>
        <w:left w:val="none" w:sz="0" w:space="0" w:color="auto"/>
        <w:bottom w:val="none" w:sz="0" w:space="0" w:color="auto"/>
        <w:right w:val="none" w:sz="0" w:space="0" w:color="auto"/>
      </w:divBdr>
    </w:div>
    <w:div w:id="286351777">
      <w:bodyDiv w:val="1"/>
      <w:marLeft w:val="0"/>
      <w:marRight w:val="0"/>
      <w:marTop w:val="0"/>
      <w:marBottom w:val="0"/>
      <w:divBdr>
        <w:top w:val="none" w:sz="0" w:space="0" w:color="auto"/>
        <w:left w:val="none" w:sz="0" w:space="0" w:color="auto"/>
        <w:bottom w:val="none" w:sz="0" w:space="0" w:color="auto"/>
        <w:right w:val="none" w:sz="0" w:space="0" w:color="auto"/>
      </w:divBdr>
    </w:div>
    <w:div w:id="350839400">
      <w:bodyDiv w:val="1"/>
      <w:marLeft w:val="0"/>
      <w:marRight w:val="0"/>
      <w:marTop w:val="0"/>
      <w:marBottom w:val="0"/>
      <w:divBdr>
        <w:top w:val="none" w:sz="0" w:space="0" w:color="auto"/>
        <w:left w:val="none" w:sz="0" w:space="0" w:color="auto"/>
        <w:bottom w:val="none" w:sz="0" w:space="0" w:color="auto"/>
        <w:right w:val="none" w:sz="0" w:space="0" w:color="auto"/>
      </w:divBdr>
    </w:div>
    <w:div w:id="353845462">
      <w:bodyDiv w:val="1"/>
      <w:marLeft w:val="0"/>
      <w:marRight w:val="0"/>
      <w:marTop w:val="0"/>
      <w:marBottom w:val="0"/>
      <w:divBdr>
        <w:top w:val="none" w:sz="0" w:space="0" w:color="auto"/>
        <w:left w:val="none" w:sz="0" w:space="0" w:color="auto"/>
        <w:bottom w:val="none" w:sz="0" w:space="0" w:color="auto"/>
        <w:right w:val="none" w:sz="0" w:space="0" w:color="auto"/>
      </w:divBdr>
    </w:div>
    <w:div w:id="382369541">
      <w:bodyDiv w:val="1"/>
      <w:marLeft w:val="0"/>
      <w:marRight w:val="0"/>
      <w:marTop w:val="0"/>
      <w:marBottom w:val="0"/>
      <w:divBdr>
        <w:top w:val="none" w:sz="0" w:space="0" w:color="auto"/>
        <w:left w:val="none" w:sz="0" w:space="0" w:color="auto"/>
        <w:bottom w:val="none" w:sz="0" w:space="0" w:color="auto"/>
        <w:right w:val="none" w:sz="0" w:space="0" w:color="auto"/>
      </w:divBdr>
    </w:div>
    <w:div w:id="392773991">
      <w:bodyDiv w:val="1"/>
      <w:marLeft w:val="0"/>
      <w:marRight w:val="0"/>
      <w:marTop w:val="0"/>
      <w:marBottom w:val="0"/>
      <w:divBdr>
        <w:top w:val="none" w:sz="0" w:space="0" w:color="auto"/>
        <w:left w:val="none" w:sz="0" w:space="0" w:color="auto"/>
        <w:bottom w:val="none" w:sz="0" w:space="0" w:color="auto"/>
        <w:right w:val="none" w:sz="0" w:space="0" w:color="auto"/>
      </w:divBdr>
    </w:div>
    <w:div w:id="395907192">
      <w:bodyDiv w:val="1"/>
      <w:marLeft w:val="0"/>
      <w:marRight w:val="0"/>
      <w:marTop w:val="0"/>
      <w:marBottom w:val="0"/>
      <w:divBdr>
        <w:top w:val="none" w:sz="0" w:space="0" w:color="auto"/>
        <w:left w:val="none" w:sz="0" w:space="0" w:color="auto"/>
        <w:bottom w:val="none" w:sz="0" w:space="0" w:color="auto"/>
        <w:right w:val="none" w:sz="0" w:space="0" w:color="auto"/>
      </w:divBdr>
      <w:divsChild>
        <w:div w:id="2036272863">
          <w:marLeft w:val="0"/>
          <w:marRight w:val="0"/>
          <w:marTop w:val="0"/>
          <w:marBottom w:val="0"/>
          <w:divBdr>
            <w:top w:val="none" w:sz="0" w:space="0" w:color="auto"/>
            <w:left w:val="none" w:sz="0" w:space="0" w:color="auto"/>
            <w:bottom w:val="none" w:sz="0" w:space="0" w:color="auto"/>
            <w:right w:val="none" w:sz="0" w:space="0" w:color="auto"/>
          </w:divBdr>
        </w:div>
      </w:divsChild>
    </w:div>
    <w:div w:id="402534785">
      <w:bodyDiv w:val="1"/>
      <w:marLeft w:val="0"/>
      <w:marRight w:val="0"/>
      <w:marTop w:val="0"/>
      <w:marBottom w:val="0"/>
      <w:divBdr>
        <w:top w:val="none" w:sz="0" w:space="0" w:color="auto"/>
        <w:left w:val="none" w:sz="0" w:space="0" w:color="auto"/>
        <w:bottom w:val="none" w:sz="0" w:space="0" w:color="auto"/>
        <w:right w:val="none" w:sz="0" w:space="0" w:color="auto"/>
      </w:divBdr>
      <w:divsChild>
        <w:div w:id="948050122">
          <w:marLeft w:val="0"/>
          <w:marRight w:val="0"/>
          <w:marTop w:val="0"/>
          <w:marBottom w:val="0"/>
          <w:divBdr>
            <w:top w:val="none" w:sz="0" w:space="0" w:color="auto"/>
            <w:left w:val="none" w:sz="0" w:space="0" w:color="auto"/>
            <w:bottom w:val="none" w:sz="0" w:space="0" w:color="auto"/>
            <w:right w:val="none" w:sz="0" w:space="0" w:color="auto"/>
          </w:divBdr>
        </w:div>
      </w:divsChild>
    </w:div>
    <w:div w:id="406075492">
      <w:bodyDiv w:val="1"/>
      <w:marLeft w:val="0"/>
      <w:marRight w:val="0"/>
      <w:marTop w:val="0"/>
      <w:marBottom w:val="0"/>
      <w:divBdr>
        <w:top w:val="none" w:sz="0" w:space="0" w:color="auto"/>
        <w:left w:val="none" w:sz="0" w:space="0" w:color="auto"/>
        <w:bottom w:val="none" w:sz="0" w:space="0" w:color="auto"/>
        <w:right w:val="none" w:sz="0" w:space="0" w:color="auto"/>
      </w:divBdr>
      <w:divsChild>
        <w:div w:id="253828645">
          <w:marLeft w:val="0"/>
          <w:marRight w:val="0"/>
          <w:marTop w:val="0"/>
          <w:marBottom w:val="0"/>
          <w:divBdr>
            <w:top w:val="none" w:sz="0" w:space="0" w:color="auto"/>
            <w:left w:val="none" w:sz="0" w:space="0" w:color="auto"/>
            <w:bottom w:val="none" w:sz="0" w:space="0" w:color="auto"/>
            <w:right w:val="none" w:sz="0" w:space="0" w:color="auto"/>
          </w:divBdr>
        </w:div>
        <w:div w:id="1616520508">
          <w:marLeft w:val="0"/>
          <w:marRight w:val="0"/>
          <w:marTop w:val="0"/>
          <w:marBottom w:val="0"/>
          <w:divBdr>
            <w:top w:val="none" w:sz="0" w:space="0" w:color="auto"/>
            <w:left w:val="none" w:sz="0" w:space="0" w:color="auto"/>
            <w:bottom w:val="none" w:sz="0" w:space="0" w:color="auto"/>
            <w:right w:val="none" w:sz="0" w:space="0" w:color="auto"/>
          </w:divBdr>
        </w:div>
        <w:div w:id="2011254226">
          <w:marLeft w:val="0"/>
          <w:marRight w:val="0"/>
          <w:marTop w:val="0"/>
          <w:marBottom w:val="0"/>
          <w:divBdr>
            <w:top w:val="none" w:sz="0" w:space="0" w:color="auto"/>
            <w:left w:val="none" w:sz="0" w:space="0" w:color="auto"/>
            <w:bottom w:val="none" w:sz="0" w:space="0" w:color="auto"/>
            <w:right w:val="none" w:sz="0" w:space="0" w:color="auto"/>
          </w:divBdr>
        </w:div>
      </w:divsChild>
    </w:div>
    <w:div w:id="407969157">
      <w:bodyDiv w:val="1"/>
      <w:marLeft w:val="0"/>
      <w:marRight w:val="0"/>
      <w:marTop w:val="0"/>
      <w:marBottom w:val="0"/>
      <w:divBdr>
        <w:top w:val="none" w:sz="0" w:space="0" w:color="auto"/>
        <w:left w:val="none" w:sz="0" w:space="0" w:color="auto"/>
        <w:bottom w:val="none" w:sz="0" w:space="0" w:color="auto"/>
        <w:right w:val="none" w:sz="0" w:space="0" w:color="auto"/>
      </w:divBdr>
    </w:div>
    <w:div w:id="415248225">
      <w:bodyDiv w:val="1"/>
      <w:marLeft w:val="0"/>
      <w:marRight w:val="0"/>
      <w:marTop w:val="0"/>
      <w:marBottom w:val="0"/>
      <w:divBdr>
        <w:top w:val="none" w:sz="0" w:space="0" w:color="auto"/>
        <w:left w:val="none" w:sz="0" w:space="0" w:color="auto"/>
        <w:bottom w:val="none" w:sz="0" w:space="0" w:color="auto"/>
        <w:right w:val="none" w:sz="0" w:space="0" w:color="auto"/>
      </w:divBdr>
    </w:div>
    <w:div w:id="433214236">
      <w:bodyDiv w:val="1"/>
      <w:marLeft w:val="0"/>
      <w:marRight w:val="0"/>
      <w:marTop w:val="0"/>
      <w:marBottom w:val="0"/>
      <w:divBdr>
        <w:top w:val="none" w:sz="0" w:space="0" w:color="auto"/>
        <w:left w:val="none" w:sz="0" w:space="0" w:color="auto"/>
        <w:bottom w:val="none" w:sz="0" w:space="0" w:color="auto"/>
        <w:right w:val="none" w:sz="0" w:space="0" w:color="auto"/>
      </w:divBdr>
    </w:div>
    <w:div w:id="457383296">
      <w:bodyDiv w:val="1"/>
      <w:marLeft w:val="0"/>
      <w:marRight w:val="0"/>
      <w:marTop w:val="0"/>
      <w:marBottom w:val="0"/>
      <w:divBdr>
        <w:top w:val="none" w:sz="0" w:space="0" w:color="auto"/>
        <w:left w:val="none" w:sz="0" w:space="0" w:color="auto"/>
        <w:bottom w:val="none" w:sz="0" w:space="0" w:color="auto"/>
        <w:right w:val="none" w:sz="0" w:space="0" w:color="auto"/>
      </w:divBdr>
      <w:divsChild>
        <w:div w:id="364792377">
          <w:marLeft w:val="0"/>
          <w:marRight w:val="0"/>
          <w:marTop w:val="0"/>
          <w:marBottom w:val="0"/>
          <w:divBdr>
            <w:top w:val="none" w:sz="0" w:space="0" w:color="auto"/>
            <w:left w:val="none" w:sz="0" w:space="0" w:color="auto"/>
            <w:bottom w:val="none" w:sz="0" w:space="0" w:color="auto"/>
            <w:right w:val="none" w:sz="0" w:space="0" w:color="auto"/>
          </w:divBdr>
        </w:div>
      </w:divsChild>
    </w:div>
    <w:div w:id="467748363">
      <w:bodyDiv w:val="1"/>
      <w:marLeft w:val="0"/>
      <w:marRight w:val="0"/>
      <w:marTop w:val="0"/>
      <w:marBottom w:val="0"/>
      <w:divBdr>
        <w:top w:val="none" w:sz="0" w:space="0" w:color="auto"/>
        <w:left w:val="none" w:sz="0" w:space="0" w:color="auto"/>
        <w:bottom w:val="none" w:sz="0" w:space="0" w:color="auto"/>
        <w:right w:val="none" w:sz="0" w:space="0" w:color="auto"/>
      </w:divBdr>
    </w:div>
    <w:div w:id="523517398">
      <w:bodyDiv w:val="1"/>
      <w:marLeft w:val="0"/>
      <w:marRight w:val="0"/>
      <w:marTop w:val="0"/>
      <w:marBottom w:val="0"/>
      <w:divBdr>
        <w:top w:val="none" w:sz="0" w:space="0" w:color="auto"/>
        <w:left w:val="none" w:sz="0" w:space="0" w:color="auto"/>
        <w:bottom w:val="none" w:sz="0" w:space="0" w:color="auto"/>
        <w:right w:val="none" w:sz="0" w:space="0" w:color="auto"/>
      </w:divBdr>
      <w:divsChild>
        <w:div w:id="1122963491">
          <w:marLeft w:val="0"/>
          <w:marRight w:val="0"/>
          <w:marTop w:val="0"/>
          <w:marBottom w:val="0"/>
          <w:divBdr>
            <w:top w:val="none" w:sz="0" w:space="0" w:color="auto"/>
            <w:left w:val="none" w:sz="0" w:space="0" w:color="auto"/>
            <w:bottom w:val="none" w:sz="0" w:space="0" w:color="auto"/>
            <w:right w:val="none" w:sz="0" w:space="0" w:color="auto"/>
          </w:divBdr>
        </w:div>
      </w:divsChild>
    </w:div>
    <w:div w:id="548304930">
      <w:bodyDiv w:val="1"/>
      <w:marLeft w:val="0"/>
      <w:marRight w:val="0"/>
      <w:marTop w:val="0"/>
      <w:marBottom w:val="0"/>
      <w:divBdr>
        <w:top w:val="none" w:sz="0" w:space="0" w:color="auto"/>
        <w:left w:val="none" w:sz="0" w:space="0" w:color="auto"/>
        <w:bottom w:val="none" w:sz="0" w:space="0" w:color="auto"/>
        <w:right w:val="none" w:sz="0" w:space="0" w:color="auto"/>
      </w:divBdr>
    </w:div>
    <w:div w:id="561067011">
      <w:bodyDiv w:val="1"/>
      <w:marLeft w:val="0"/>
      <w:marRight w:val="0"/>
      <w:marTop w:val="0"/>
      <w:marBottom w:val="0"/>
      <w:divBdr>
        <w:top w:val="none" w:sz="0" w:space="0" w:color="auto"/>
        <w:left w:val="none" w:sz="0" w:space="0" w:color="auto"/>
        <w:bottom w:val="none" w:sz="0" w:space="0" w:color="auto"/>
        <w:right w:val="none" w:sz="0" w:space="0" w:color="auto"/>
      </w:divBdr>
    </w:div>
    <w:div w:id="619797714">
      <w:bodyDiv w:val="1"/>
      <w:marLeft w:val="0"/>
      <w:marRight w:val="0"/>
      <w:marTop w:val="0"/>
      <w:marBottom w:val="0"/>
      <w:divBdr>
        <w:top w:val="none" w:sz="0" w:space="0" w:color="auto"/>
        <w:left w:val="none" w:sz="0" w:space="0" w:color="auto"/>
        <w:bottom w:val="none" w:sz="0" w:space="0" w:color="auto"/>
        <w:right w:val="none" w:sz="0" w:space="0" w:color="auto"/>
      </w:divBdr>
    </w:div>
    <w:div w:id="643433997">
      <w:bodyDiv w:val="1"/>
      <w:marLeft w:val="0"/>
      <w:marRight w:val="0"/>
      <w:marTop w:val="0"/>
      <w:marBottom w:val="0"/>
      <w:divBdr>
        <w:top w:val="none" w:sz="0" w:space="0" w:color="auto"/>
        <w:left w:val="none" w:sz="0" w:space="0" w:color="auto"/>
        <w:bottom w:val="none" w:sz="0" w:space="0" w:color="auto"/>
        <w:right w:val="none" w:sz="0" w:space="0" w:color="auto"/>
      </w:divBdr>
      <w:divsChild>
        <w:div w:id="1888176327">
          <w:marLeft w:val="0"/>
          <w:marRight w:val="0"/>
          <w:marTop w:val="0"/>
          <w:marBottom w:val="0"/>
          <w:divBdr>
            <w:top w:val="none" w:sz="0" w:space="0" w:color="auto"/>
            <w:left w:val="none" w:sz="0" w:space="0" w:color="auto"/>
            <w:bottom w:val="none" w:sz="0" w:space="0" w:color="auto"/>
            <w:right w:val="none" w:sz="0" w:space="0" w:color="auto"/>
          </w:divBdr>
        </w:div>
      </w:divsChild>
    </w:div>
    <w:div w:id="735978997">
      <w:bodyDiv w:val="1"/>
      <w:marLeft w:val="0"/>
      <w:marRight w:val="0"/>
      <w:marTop w:val="0"/>
      <w:marBottom w:val="0"/>
      <w:divBdr>
        <w:top w:val="none" w:sz="0" w:space="0" w:color="auto"/>
        <w:left w:val="none" w:sz="0" w:space="0" w:color="auto"/>
        <w:bottom w:val="none" w:sz="0" w:space="0" w:color="auto"/>
        <w:right w:val="none" w:sz="0" w:space="0" w:color="auto"/>
      </w:divBdr>
      <w:divsChild>
        <w:div w:id="191655615">
          <w:marLeft w:val="0"/>
          <w:marRight w:val="0"/>
          <w:marTop w:val="0"/>
          <w:marBottom w:val="0"/>
          <w:divBdr>
            <w:top w:val="none" w:sz="0" w:space="0" w:color="auto"/>
            <w:left w:val="none" w:sz="0" w:space="0" w:color="auto"/>
            <w:bottom w:val="none" w:sz="0" w:space="0" w:color="auto"/>
            <w:right w:val="none" w:sz="0" w:space="0" w:color="auto"/>
          </w:divBdr>
        </w:div>
      </w:divsChild>
    </w:div>
    <w:div w:id="753746393">
      <w:bodyDiv w:val="1"/>
      <w:marLeft w:val="0"/>
      <w:marRight w:val="0"/>
      <w:marTop w:val="0"/>
      <w:marBottom w:val="0"/>
      <w:divBdr>
        <w:top w:val="none" w:sz="0" w:space="0" w:color="auto"/>
        <w:left w:val="none" w:sz="0" w:space="0" w:color="auto"/>
        <w:bottom w:val="none" w:sz="0" w:space="0" w:color="auto"/>
        <w:right w:val="none" w:sz="0" w:space="0" w:color="auto"/>
      </w:divBdr>
      <w:divsChild>
        <w:div w:id="1219784910">
          <w:marLeft w:val="0"/>
          <w:marRight w:val="0"/>
          <w:marTop w:val="0"/>
          <w:marBottom w:val="0"/>
          <w:divBdr>
            <w:top w:val="none" w:sz="0" w:space="0" w:color="auto"/>
            <w:left w:val="none" w:sz="0" w:space="0" w:color="auto"/>
            <w:bottom w:val="none" w:sz="0" w:space="0" w:color="auto"/>
            <w:right w:val="none" w:sz="0" w:space="0" w:color="auto"/>
          </w:divBdr>
        </w:div>
      </w:divsChild>
    </w:div>
    <w:div w:id="789741473">
      <w:bodyDiv w:val="1"/>
      <w:marLeft w:val="0"/>
      <w:marRight w:val="0"/>
      <w:marTop w:val="0"/>
      <w:marBottom w:val="0"/>
      <w:divBdr>
        <w:top w:val="none" w:sz="0" w:space="0" w:color="auto"/>
        <w:left w:val="none" w:sz="0" w:space="0" w:color="auto"/>
        <w:bottom w:val="none" w:sz="0" w:space="0" w:color="auto"/>
        <w:right w:val="none" w:sz="0" w:space="0" w:color="auto"/>
      </w:divBdr>
      <w:divsChild>
        <w:div w:id="163520822">
          <w:marLeft w:val="0"/>
          <w:marRight w:val="0"/>
          <w:marTop w:val="0"/>
          <w:marBottom w:val="0"/>
          <w:divBdr>
            <w:top w:val="none" w:sz="0" w:space="0" w:color="auto"/>
            <w:left w:val="none" w:sz="0" w:space="0" w:color="auto"/>
            <w:bottom w:val="none" w:sz="0" w:space="0" w:color="auto"/>
            <w:right w:val="none" w:sz="0" w:space="0" w:color="auto"/>
          </w:divBdr>
        </w:div>
      </w:divsChild>
    </w:div>
    <w:div w:id="814177738">
      <w:bodyDiv w:val="1"/>
      <w:marLeft w:val="0"/>
      <w:marRight w:val="0"/>
      <w:marTop w:val="0"/>
      <w:marBottom w:val="0"/>
      <w:divBdr>
        <w:top w:val="none" w:sz="0" w:space="0" w:color="auto"/>
        <w:left w:val="none" w:sz="0" w:space="0" w:color="auto"/>
        <w:bottom w:val="none" w:sz="0" w:space="0" w:color="auto"/>
        <w:right w:val="none" w:sz="0" w:space="0" w:color="auto"/>
      </w:divBdr>
      <w:divsChild>
        <w:div w:id="1980921162">
          <w:marLeft w:val="0"/>
          <w:marRight w:val="0"/>
          <w:marTop w:val="0"/>
          <w:marBottom w:val="0"/>
          <w:divBdr>
            <w:top w:val="none" w:sz="0" w:space="0" w:color="auto"/>
            <w:left w:val="none" w:sz="0" w:space="0" w:color="auto"/>
            <w:bottom w:val="none" w:sz="0" w:space="0" w:color="auto"/>
            <w:right w:val="none" w:sz="0" w:space="0" w:color="auto"/>
          </w:divBdr>
        </w:div>
      </w:divsChild>
    </w:div>
    <w:div w:id="860632587">
      <w:bodyDiv w:val="1"/>
      <w:marLeft w:val="0"/>
      <w:marRight w:val="0"/>
      <w:marTop w:val="0"/>
      <w:marBottom w:val="0"/>
      <w:divBdr>
        <w:top w:val="none" w:sz="0" w:space="0" w:color="auto"/>
        <w:left w:val="none" w:sz="0" w:space="0" w:color="auto"/>
        <w:bottom w:val="none" w:sz="0" w:space="0" w:color="auto"/>
        <w:right w:val="none" w:sz="0" w:space="0" w:color="auto"/>
      </w:divBdr>
      <w:divsChild>
        <w:div w:id="1444767415">
          <w:marLeft w:val="0"/>
          <w:marRight w:val="0"/>
          <w:marTop w:val="0"/>
          <w:marBottom w:val="0"/>
          <w:divBdr>
            <w:top w:val="none" w:sz="0" w:space="0" w:color="auto"/>
            <w:left w:val="none" w:sz="0" w:space="0" w:color="auto"/>
            <w:bottom w:val="none" w:sz="0" w:space="0" w:color="auto"/>
            <w:right w:val="none" w:sz="0" w:space="0" w:color="auto"/>
          </w:divBdr>
        </w:div>
      </w:divsChild>
    </w:div>
    <w:div w:id="875893756">
      <w:bodyDiv w:val="1"/>
      <w:marLeft w:val="0"/>
      <w:marRight w:val="0"/>
      <w:marTop w:val="0"/>
      <w:marBottom w:val="0"/>
      <w:divBdr>
        <w:top w:val="none" w:sz="0" w:space="0" w:color="auto"/>
        <w:left w:val="none" w:sz="0" w:space="0" w:color="auto"/>
        <w:bottom w:val="none" w:sz="0" w:space="0" w:color="auto"/>
        <w:right w:val="none" w:sz="0" w:space="0" w:color="auto"/>
      </w:divBdr>
    </w:div>
    <w:div w:id="886641649">
      <w:bodyDiv w:val="1"/>
      <w:marLeft w:val="0"/>
      <w:marRight w:val="0"/>
      <w:marTop w:val="0"/>
      <w:marBottom w:val="0"/>
      <w:divBdr>
        <w:top w:val="none" w:sz="0" w:space="0" w:color="auto"/>
        <w:left w:val="none" w:sz="0" w:space="0" w:color="auto"/>
        <w:bottom w:val="none" w:sz="0" w:space="0" w:color="auto"/>
        <w:right w:val="none" w:sz="0" w:space="0" w:color="auto"/>
      </w:divBdr>
      <w:divsChild>
        <w:div w:id="1099638775">
          <w:marLeft w:val="0"/>
          <w:marRight w:val="0"/>
          <w:marTop w:val="0"/>
          <w:marBottom w:val="0"/>
          <w:divBdr>
            <w:top w:val="none" w:sz="0" w:space="0" w:color="auto"/>
            <w:left w:val="none" w:sz="0" w:space="0" w:color="auto"/>
            <w:bottom w:val="none" w:sz="0" w:space="0" w:color="auto"/>
            <w:right w:val="none" w:sz="0" w:space="0" w:color="auto"/>
          </w:divBdr>
        </w:div>
      </w:divsChild>
    </w:div>
    <w:div w:id="921910535">
      <w:bodyDiv w:val="1"/>
      <w:marLeft w:val="0"/>
      <w:marRight w:val="0"/>
      <w:marTop w:val="0"/>
      <w:marBottom w:val="0"/>
      <w:divBdr>
        <w:top w:val="none" w:sz="0" w:space="0" w:color="auto"/>
        <w:left w:val="none" w:sz="0" w:space="0" w:color="auto"/>
        <w:bottom w:val="none" w:sz="0" w:space="0" w:color="auto"/>
        <w:right w:val="none" w:sz="0" w:space="0" w:color="auto"/>
      </w:divBdr>
      <w:divsChild>
        <w:div w:id="1354065385">
          <w:marLeft w:val="0"/>
          <w:marRight w:val="0"/>
          <w:marTop w:val="0"/>
          <w:marBottom w:val="0"/>
          <w:divBdr>
            <w:top w:val="none" w:sz="0" w:space="0" w:color="auto"/>
            <w:left w:val="none" w:sz="0" w:space="0" w:color="auto"/>
            <w:bottom w:val="none" w:sz="0" w:space="0" w:color="auto"/>
            <w:right w:val="none" w:sz="0" w:space="0" w:color="auto"/>
          </w:divBdr>
        </w:div>
      </w:divsChild>
    </w:div>
    <w:div w:id="944071531">
      <w:bodyDiv w:val="1"/>
      <w:marLeft w:val="0"/>
      <w:marRight w:val="0"/>
      <w:marTop w:val="0"/>
      <w:marBottom w:val="0"/>
      <w:divBdr>
        <w:top w:val="none" w:sz="0" w:space="0" w:color="auto"/>
        <w:left w:val="none" w:sz="0" w:space="0" w:color="auto"/>
        <w:bottom w:val="none" w:sz="0" w:space="0" w:color="auto"/>
        <w:right w:val="none" w:sz="0" w:space="0" w:color="auto"/>
      </w:divBdr>
      <w:divsChild>
        <w:div w:id="1478034213">
          <w:marLeft w:val="0"/>
          <w:marRight w:val="0"/>
          <w:marTop w:val="0"/>
          <w:marBottom w:val="0"/>
          <w:divBdr>
            <w:top w:val="none" w:sz="0" w:space="0" w:color="auto"/>
            <w:left w:val="none" w:sz="0" w:space="0" w:color="auto"/>
            <w:bottom w:val="none" w:sz="0" w:space="0" w:color="auto"/>
            <w:right w:val="none" w:sz="0" w:space="0" w:color="auto"/>
          </w:divBdr>
        </w:div>
      </w:divsChild>
    </w:div>
    <w:div w:id="946809908">
      <w:bodyDiv w:val="1"/>
      <w:marLeft w:val="0"/>
      <w:marRight w:val="0"/>
      <w:marTop w:val="0"/>
      <w:marBottom w:val="0"/>
      <w:divBdr>
        <w:top w:val="none" w:sz="0" w:space="0" w:color="auto"/>
        <w:left w:val="none" w:sz="0" w:space="0" w:color="auto"/>
        <w:bottom w:val="none" w:sz="0" w:space="0" w:color="auto"/>
        <w:right w:val="none" w:sz="0" w:space="0" w:color="auto"/>
      </w:divBdr>
      <w:divsChild>
        <w:div w:id="1293370194">
          <w:marLeft w:val="0"/>
          <w:marRight w:val="0"/>
          <w:marTop w:val="0"/>
          <w:marBottom w:val="0"/>
          <w:divBdr>
            <w:top w:val="none" w:sz="0" w:space="0" w:color="auto"/>
            <w:left w:val="none" w:sz="0" w:space="0" w:color="auto"/>
            <w:bottom w:val="none" w:sz="0" w:space="0" w:color="auto"/>
            <w:right w:val="none" w:sz="0" w:space="0" w:color="auto"/>
          </w:divBdr>
        </w:div>
      </w:divsChild>
    </w:div>
    <w:div w:id="1018039918">
      <w:bodyDiv w:val="1"/>
      <w:marLeft w:val="0"/>
      <w:marRight w:val="0"/>
      <w:marTop w:val="0"/>
      <w:marBottom w:val="0"/>
      <w:divBdr>
        <w:top w:val="none" w:sz="0" w:space="0" w:color="auto"/>
        <w:left w:val="none" w:sz="0" w:space="0" w:color="auto"/>
        <w:bottom w:val="none" w:sz="0" w:space="0" w:color="auto"/>
        <w:right w:val="none" w:sz="0" w:space="0" w:color="auto"/>
      </w:divBdr>
      <w:divsChild>
        <w:div w:id="158348285">
          <w:marLeft w:val="0"/>
          <w:marRight w:val="0"/>
          <w:marTop w:val="0"/>
          <w:marBottom w:val="0"/>
          <w:divBdr>
            <w:top w:val="none" w:sz="0" w:space="0" w:color="auto"/>
            <w:left w:val="none" w:sz="0" w:space="0" w:color="auto"/>
            <w:bottom w:val="none" w:sz="0" w:space="0" w:color="auto"/>
            <w:right w:val="none" w:sz="0" w:space="0" w:color="auto"/>
          </w:divBdr>
        </w:div>
        <w:div w:id="206065382">
          <w:marLeft w:val="0"/>
          <w:marRight w:val="0"/>
          <w:marTop w:val="0"/>
          <w:marBottom w:val="0"/>
          <w:divBdr>
            <w:top w:val="none" w:sz="0" w:space="0" w:color="auto"/>
            <w:left w:val="none" w:sz="0" w:space="0" w:color="auto"/>
            <w:bottom w:val="none" w:sz="0" w:space="0" w:color="auto"/>
            <w:right w:val="none" w:sz="0" w:space="0" w:color="auto"/>
          </w:divBdr>
        </w:div>
        <w:div w:id="1893493105">
          <w:marLeft w:val="0"/>
          <w:marRight w:val="0"/>
          <w:marTop w:val="0"/>
          <w:marBottom w:val="0"/>
          <w:divBdr>
            <w:top w:val="none" w:sz="0" w:space="0" w:color="auto"/>
            <w:left w:val="none" w:sz="0" w:space="0" w:color="auto"/>
            <w:bottom w:val="none" w:sz="0" w:space="0" w:color="auto"/>
            <w:right w:val="none" w:sz="0" w:space="0" w:color="auto"/>
          </w:divBdr>
        </w:div>
      </w:divsChild>
    </w:div>
    <w:div w:id="1036277675">
      <w:bodyDiv w:val="1"/>
      <w:marLeft w:val="0"/>
      <w:marRight w:val="0"/>
      <w:marTop w:val="0"/>
      <w:marBottom w:val="0"/>
      <w:divBdr>
        <w:top w:val="none" w:sz="0" w:space="0" w:color="auto"/>
        <w:left w:val="none" w:sz="0" w:space="0" w:color="auto"/>
        <w:bottom w:val="none" w:sz="0" w:space="0" w:color="auto"/>
        <w:right w:val="none" w:sz="0" w:space="0" w:color="auto"/>
      </w:divBdr>
    </w:div>
    <w:div w:id="1052581439">
      <w:bodyDiv w:val="1"/>
      <w:marLeft w:val="0"/>
      <w:marRight w:val="0"/>
      <w:marTop w:val="0"/>
      <w:marBottom w:val="0"/>
      <w:divBdr>
        <w:top w:val="none" w:sz="0" w:space="0" w:color="auto"/>
        <w:left w:val="none" w:sz="0" w:space="0" w:color="auto"/>
        <w:bottom w:val="none" w:sz="0" w:space="0" w:color="auto"/>
        <w:right w:val="none" w:sz="0" w:space="0" w:color="auto"/>
      </w:divBdr>
      <w:divsChild>
        <w:div w:id="1335373378">
          <w:marLeft w:val="0"/>
          <w:marRight w:val="0"/>
          <w:marTop w:val="0"/>
          <w:marBottom w:val="0"/>
          <w:divBdr>
            <w:top w:val="none" w:sz="0" w:space="0" w:color="auto"/>
            <w:left w:val="none" w:sz="0" w:space="0" w:color="auto"/>
            <w:bottom w:val="none" w:sz="0" w:space="0" w:color="auto"/>
            <w:right w:val="none" w:sz="0" w:space="0" w:color="auto"/>
          </w:divBdr>
        </w:div>
      </w:divsChild>
    </w:div>
    <w:div w:id="1066951176">
      <w:bodyDiv w:val="1"/>
      <w:marLeft w:val="0"/>
      <w:marRight w:val="0"/>
      <w:marTop w:val="0"/>
      <w:marBottom w:val="0"/>
      <w:divBdr>
        <w:top w:val="none" w:sz="0" w:space="0" w:color="auto"/>
        <w:left w:val="none" w:sz="0" w:space="0" w:color="auto"/>
        <w:bottom w:val="none" w:sz="0" w:space="0" w:color="auto"/>
        <w:right w:val="none" w:sz="0" w:space="0" w:color="auto"/>
      </w:divBdr>
      <w:divsChild>
        <w:div w:id="1572959962">
          <w:marLeft w:val="0"/>
          <w:marRight w:val="0"/>
          <w:marTop w:val="0"/>
          <w:marBottom w:val="0"/>
          <w:divBdr>
            <w:top w:val="none" w:sz="0" w:space="0" w:color="auto"/>
            <w:left w:val="none" w:sz="0" w:space="0" w:color="auto"/>
            <w:bottom w:val="none" w:sz="0" w:space="0" w:color="auto"/>
            <w:right w:val="none" w:sz="0" w:space="0" w:color="auto"/>
          </w:divBdr>
        </w:div>
      </w:divsChild>
    </w:div>
    <w:div w:id="1075515743">
      <w:bodyDiv w:val="1"/>
      <w:marLeft w:val="0"/>
      <w:marRight w:val="0"/>
      <w:marTop w:val="0"/>
      <w:marBottom w:val="0"/>
      <w:divBdr>
        <w:top w:val="none" w:sz="0" w:space="0" w:color="auto"/>
        <w:left w:val="none" w:sz="0" w:space="0" w:color="auto"/>
        <w:bottom w:val="none" w:sz="0" w:space="0" w:color="auto"/>
        <w:right w:val="none" w:sz="0" w:space="0" w:color="auto"/>
      </w:divBdr>
      <w:divsChild>
        <w:div w:id="602494039">
          <w:marLeft w:val="0"/>
          <w:marRight w:val="0"/>
          <w:marTop w:val="0"/>
          <w:marBottom w:val="0"/>
          <w:divBdr>
            <w:top w:val="none" w:sz="0" w:space="0" w:color="auto"/>
            <w:left w:val="none" w:sz="0" w:space="0" w:color="auto"/>
            <w:bottom w:val="none" w:sz="0" w:space="0" w:color="auto"/>
            <w:right w:val="none" w:sz="0" w:space="0" w:color="auto"/>
          </w:divBdr>
        </w:div>
      </w:divsChild>
    </w:div>
    <w:div w:id="1103500289">
      <w:bodyDiv w:val="1"/>
      <w:marLeft w:val="0"/>
      <w:marRight w:val="0"/>
      <w:marTop w:val="0"/>
      <w:marBottom w:val="0"/>
      <w:divBdr>
        <w:top w:val="none" w:sz="0" w:space="0" w:color="auto"/>
        <w:left w:val="none" w:sz="0" w:space="0" w:color="auto"/>
        <w:bottom w:val="none" w:sz="0" w:space="0" w:color="auto"/>
        <w:right w:val="none" w:sz="0" w:space="0" w:color="auto"/>
      </w:divBdr>
    </w:div>
    <w:div w:id="1113863741">
      <w:bodyDiv w:val="1"/>
      <w:marLeft w:val="0"/>
      <w:marRight w:val="0"/>
      <w:marTop w:val="0"/>
      <w:marBottom w:val="0"/>
      <w:divBdr>
        <w:top w:val="none" w:sz="0" w:space="0" w:color="auto"/>
        <w:left w:val="none" w:sz="0" w:space="0" w:color="auto"/>
        <w:bottom w:val="none" w:sz="0" w:space="0" w:color="auto"/>
        <w:right w:val="none" w:sz="0" w:space="0" w:color="auto"/>
      </w:divBdr>
    </w:div>
    <w:div w:id="1192301293">
      <w:bodyDiv w:val="1"/>
      <w:marLeft w:val="0"/>
      <w:marRight w:val="0"/>
      <w:marTop w:val="0"/>
      <w:marBottom w:val="0"/>
      <w:divBdr>
        <w:top w:val="none" w:sz="0" w:space="0" w:color="auto"/>
        <w:left w:val="none" w:sz="0" w:space="0" w:color="auto"/>
        <w:bottom w:val="none" w:sz="0" w:space="0" w:color="auto"/>
        <w:right w:val="none" w:sz="0" w:space="0" w:color="auto"/>
      </w:divBdr>
      <w:divsChild>
        <w:div w:id="171577040">
          <w:marLeft w:val="0"/>
          <w:marRight w:val="0"/>
          <w:marTop w:val="0"/>
          <w:marBottom w:val="0"/>
          <w:divBdr>
            <w:top w:val="none" w:sz="0" w:space="0" w:color="auto"/>
            <w:left w:val="none" w:sz="0" w:space="0" w:color="auto"/>
            <w:bottom w:val="none" w:sz="0" w:space="0" w:color="auto"/>
            <w:right w:val="none" w:sz="0" w:space="0" w:color="auto"/>
          </w:divBdr>
        </w:div>
      </w:divsChild>
    </w:div>
    <w:div w:id="1217743072">
      <w:bodyDiv w:val="1"/>
      <w:marLeft w:val="0"/>
      <w:marRight w:val="0"/>
      <w:marTop w:val="0"/>
      <w:marBottom w:val="0"/>
      <w:divBdr>
        <w:top w:val="none" w:sz="0" w:space="0" w:color="auto"/>
        <w:left w:val="none" w:sz="0" w:space="0" w:color="auto"/>
        <w:bottom w:val="none" w:sz="0" w:space="0" w:color="auto"/>
        <w:right w:val="none" w:sz="0" w:space="0" w:color="auto"/>
      </w:divBdr>
      <w:divsChild>
        <w:div w:id="1453212899">
          <w:marLeft w:val="0"/>
          <w:marRight w:val="0"/>
          <w:marTop w:val="0"/>
          <w:marBottom w:val="0"/>
          <w:divBdr>
            <w:top w:val="none" w:sz="0" w:space="0" w:color="auto"/>
            <w:left w:val="none" w:sz="0" w:space="0" w:color="auto"/>
            <w:bottom w:val="none" w:sz="0" w:space="0" w:color="auto"/>
            <w:right w:val="none" w:sz="0" w:space="0" w:color="auto"/>
          </w:divBdr>
        </w:div>
      </w:divsChild>
    </w:div>
    <w:div w:id="1225142726">
      <w:bodyDiv w:val="1"/>
      <w:marLeft w:val="0"/>
      <w:marRight w:val="0"/>
      <w:marTop w:val="0"/>
      <w:marBottom w:val="0"/>
      <w:divBdr>
        <w:top w:val="none" w:sz="0" w:space="0" w:color="auto"/>
        <w:left w:val="none" w:sz="0" w:space="0" w:color="auto"/>
        <w:bottom w:val="none" w:sz="0" w:space="0" w:color="auto"/>
        <w:right w:val="none" w:sz="0" w:space="0" w:color="auto"/>
      </w:divBdr>
      <w:divsChild>
        <w:div w:id="685248131">
          <w:marLeft w:val="0"/>
          <w:marRight w:val="0"/>
          <w:marTop w:val="0"/>
          <w:marBottom w:val="0"/>
          <w:divBdr>
            <w:top w:val="none" w:sz="0" w:space="0" w:color="auto"/>
            <w:left w:val="none" w:sz="0" w:space="0" w:color="auto"/>
            <w:bottom w:val="none" w:sz="0" w:space="0" w:color="auto"/>
            <w:right w:val="none" w:sz="0" w:space="0" w:color="auto"/>
          </w:divBdr>
        </w:div>
      </w:divsChild>
    </w:div>
    <w:div w:id="1238786431">
      <w:bodyDiv w:val="1"/>
      <w:marLeft w:val="0"/>
      <w:marRight w:val="0"/>
      <w:marTop w:val="0"/>
      <w:marBottom w:val="0"/>
      <w:divBdr>
        <w:top w:val="none" w:sz="0" w:space="0" w:color="auto"/>
        <w:left w:val="none" w:sz="0" w:space="0" w:color="auto"/>
        <w:bottom w:val="none" w:sz="0" w:space="0" w:color="auto"/>
        <w:right w:val="none" w:sz="0" w:space="0" w:color="auto"/>
      </w:divBdr>
    </w:div>
    <w:div w:id="1240603264">
      <w:bodyDiv w:val="1"/>
      <w:marLeft w:val="0"/>
      <w:marRight w:val="0"/>
      <w:marTop w:val="0"/>
      <w:marBottom w:val="0"/>
      <w:divBdr>
        <w:top w:val="none" w:sz="0" w:space="0" w:color="auto"/>
        <w:left w:val="none" w:sz="0" w:space="0" w:color="auto"/>
        <w:bottom w:val="none" w:sz="0" w:space="0" w:color="auto"/>
        <w:right w:val="none" w:sz="0" w:space="0" w:color="auto"/>
      </w:divBdr>
    </w:div>
    <w:div w:id="1263803995">
      <w:bodyDiv w:val="1"/>
      <w:marLeft w:val="0"/>
      <w:marRight w:val="0"/>
      <w:marTop w:val="0"/>
      <w:marBottom w:val="0"/>
      <w:divBdr>
        <w:top w:val="none" w:sz="0" w:space="0" w:color="auto"/>
        <w:left w:val="none" w:sz="0" w:space="0" w:color="auto"/>
        <w:bottom w:val="none" w:sz="0" w:space="0" w:color="auto"/>
        <w:right w:val="none" w:sz="0" w:space="0" w:color="auto"/>
      </w:divBdr>
      <w:divsChild>
        <w:div w:id="256405690">
          <w:marLeft w:val="0"/>
          <w:marRight w:val="0"/>
          <w:marTop w:val="0"/>
          <w:marBottom w:val="0"/>
          <w:divBdr>
            <w:top w:val="none" w:sz="0" w:space="0" w:color="auto"/>
            <w:left w:val="none" w:sz="0" w:space="0" w:color="auto"/>
            <w:bottom w:val="none" w:sz="0" w:space="0" w:color="auto"/>
            <w:right w:val="none" w:sz="0" w:space="0" w:color="auto"/>
          </w:divBdr>
        </w:div>
      </w:divsChild>
    </w:div>
    <w:div w:id="1294943659">
      <w:bodyDiv w:val="1"/>
      <w:marLeft w:val="0"/>
      <w:marRight w:val="0"/>
      <w:marTop w:val="0"/>
      <w:marBottom w:val="0"/>
      <w:divBdr>
        <w:top w:val="none" w:sz="0" w:space="0" w:color="auto"/>
        <w:left w:val="none" w:sz="0" w:space="0" w:color="auto"/>
        <w:bottom w:val="none" w:sz="0" w:space="0" w:color="auto"/>
        <w:right w:val="none" w:sz="0" w:space="0" w:color="auto"/>
      </w:divBdr>
    </w:div>
    <w:div w:id="1384132336">
      <w:bodyDiv w:val="1"/>
      <w:marLeft w:val="0"/>
      <w:marRight w:val="0"/>
      <w:marTop w:val="0"/>
      <w:marBottom w:val="0"/>
      <w:divBdr>
        <w:top w:val="none" w:sz="0" w:space="0" w:color="auto"/>
        <w:left w:val="none" w:sz="0" w:space="0" w:color="auto"/>
        <w:bottom w:val="none" w:sz="0" w:space="0" w:color="auto"/>
        <w:right w:val="none" w:sz="0" w:space="0" w:color="auto"/>
      </w:divBdr>
      <w:divsChild>
        <w:div w:id="445538323">
          <w:marLeft w:val="0"/>
          <w:marRight w:val="0"/>
          <w:marTop w:val="0"/>
          <w:marBottom w:val="0"/>
          <w:divBdr>
            <w:top w:val="none" w:sz="0" w:space="0" w:color="auto"/>
            <w:left w:val="none" w:sz="0" w:space="0" w:color="auto"/>
            <w:bottom w:val="none" w:sz="0" w:space="0" w:color="auto"/>
            <w:right w:val="none" w:sz="0" w:space="0" w:color="auto"/>
          </w:divBdr>
        </w:div>
      </w:divsChild>
    </w:div>
    <w:div w:id="1448348637">
      <w:bodyDiv w:val="1"/>
      <w:marLeft w:val="0"/>
      <w:marRight w:val="0"/>
      <w:marTop w:val="0"/>
      <w:marBottom w:val="0"/>
      <w:divBdr>
        <w:top w:val="none" w:sz="0" w:space="0" w:color="auto"/>
        <w:left w:val="none" w:sz="0" w:space="0" w:color="auto"/>
        <w:bottom w:val="none" w:sz="0" w:space="0" w:color="auto"/>
        <w:right w:val="none" w:sz="0" w:space="0" w:color="auto"/>
      </w:divBdr>
    </w:div>
    <w:div w:id="1500583342">
      <w:bodyDiv w:val="1"/>
      <w:marLeft w:val="0"/>
      <w:marRight w:val="0"/>
      <w:marTop w:val="0"/>
      <w:marBottom w:val="0"/>
      <w:divBdr>
        <w:top w:val="none" w:sz="0" w:space="0" w:color="auto"/>
        <w:left w:val="none" w:sz="0" w:space="0" w:color="auto"/>
        <w:bottom w:val="none" w:sz="0" w:space="0" w:color="auto"/>
        <w:right w:val="none" w:sz="0" w:space="0" w:color="auto"/>
      </w:divBdr>
    </w:div>
    <w:div w:id="1506744066">
      <w:bodyDiv w:val="1"/>
      <w:marLeft w:val="0"/>
      <w:marRight w:val="0"/>
      <w:marTop w:val="0"/>
      <w:marBottom w:val="0"/>
      <w:divBdr>
        <w:top w:val="none" w:sz="0" w:space="0" w:color="auto"/>
        <w:left w:val="none" w:sz="0" w:space="0" w:color="auto"/>
        <w:bottom w:val="none" w:sz="0" w:space="0" w:color="auto"/>
        <w:right w:val="none" w:sz="0" w:space="0" w:color="auto"/>
      </w:divBdr>
    </w:div>
    <w:div w:id="1529830632">
      <w:bodyDiv w:val="1"/>
      <w:marLeft w:val="0"/>
      <w:marRight w:val="0"/>
      <w:marTop w:val="0"/>
      <w:marBottom w:val="0"/>
      <w:divBdr>
        <w:top w:val="none" w:sz="0" w:space="0" w:color="auto"/>
        <w:left w:val="none" w:sz="0" w:space="0" w:color="auto"/>
        <w:bottom w:val="none" w:sz="0" w:space="0" w:color="auto"/>
        <w:right w:val="none" w:sz="0" w:space="0" w:color="auto"/>
      </w:divBdr>
    </w:div>
    <w:div w:id="1551577749">
      <w:bodyDiv w:val="1"/>
      <w:marLeft w:val="0"/>
      <w:marRight w:val="0"/>
      <w:marTop w:val="0"/>
      <w:marBottom w:val="0"/>
      <w:divBdr>
        <w:top w:val="none" w:sz="0" w:space="0" w:color="auto"/>
        <w:left w:val="none" w:sz="0" w:space="0" w:color="auto"/>
        <w:bottom w:val="none" w:sz="0" w:space="0" w:color="auto"/>
        <w:right w:val="none" w:sz="0" w:space="0" w:color="auto"/>
      </w:divBdr>
    </w:div>
    <w:div w:id="1552646072">
      <w:bodyDiv w:val="1"/>
      <w:marLeft w:val="0"/>
      <w:marRight w:val="0"/>
      <w:marTop w:val="0"/>
      <w:marBottom w:val="0"/>
      <w:divBdr>
        <w:top w:val="none" w:sz="0" w:space="0" w:color="auto"/>
        <w:left w:val="none" w:sz="0" w:space="0" w:color="auto"/>
        <w:bottom w:val="none" w:sz="0" w:space="0" w:color="auto"/>
        <w:right w:val="none" w:sz="0" w:space="0" w:color="auto"/>
      </w:divBdr>
    </w:div>
    <w:div w:id="1612201072">
      <w:bodyDiv w:val="1"/>
      <w:marLeft w:val="0"/>
      <w:marRight w:val="0"/>
      <w:marTop w:val="0"/>
      <w:marBottom w:val="0"/>
      <w:divBdr>
        <w:top w:val="none" w:sz="0" w:space="0" w:color="auto"/>
        <w:left w:val="none" w:sz="0" w:space="0" w:color="auto"/>
        <w:bottom w:val="none" w:sz="0" w:space="0" w:color="auto"/>
        <w:right w:val="none" w:sz="0" w:space="0" w:color="auto"/>
      </w:divBdr>
    </w:div>
    <w:div w:id="1754204533">
      <w:bodyDiv w:val="1"/>
      <w:marLeft w:val="0"/>
      <w:marRight w:val="0"/>
      <w:marTop w:val="0"/>
      <w:marBottom w:val="0"/>
      <w:divBdr>
        <w:top w:val="none" w:sz="0" w:space="0" w:color="auto"/>
        <w:left w:val="none" w:sz="0" w:space="0" w:color="auto"/>
        <w:bottom w:val="none" w:sz="0" w:space="0" w:color="auto"/>
        <w:right w:val="none" w:sz="0" w:space="0" w:color="auto"/>
      </w:divBdr>
      <w:divsChild>
        <w:div w:id="1068308027">
          <w:marLeft w:val="0"/>
          <w:marRight w:val="0"/>
          <w:marTop w:val="0"/>
          <w:marBottom w:val="0"/>
          <w:divBdr>
            <w:top w:val="none" w:sz="0" w:space="0" w:color="auto"/>
            <w:left w:val="none" w:sz="0" w:space="0" w:color="auto"/>
            <w:bottom w:val="none" w:sz="0" w:space="0" w:color="auto"/>
            <w:right w:val="none" w:sz="0" w:space="0" w:color="auto"/>
          </w:divBdr>
        </w:div>
      </w:divsChild>
    </w:div>
    <w:div w:id="1755318063">
      <w:bodyDiv w:val="1"/>
      <w:marLeft w:val="0"/>
      <w:marRight w:val="0"/>
      <w:marTop w:val="0"/>
      <w:marBottom w:val="0"/>
      <w:divBdr>
        <w:top w:val="none" w:sz="0" w:space="0" w:color="auto"/>
        <w:left w:val="none" w:sz="0" w:space="0" w:color="auto"/>
        <w:bottom w:val="none" w:sz="0" w:space="0" w:color="auto"/>
        <w:right w:val="none" w:sz="0" w:space="0" w:color="auto"/>
      </w:divBdr>
      <w:divsChild>
        <w:div w:id="1241134847">
          <w:marLeft w:val="0"/>
          <w:marRight w:val="0"/>
          <w:marTop w:val="0"/>
          <w:marBottom w:val="0"/>
          <w:divBdr>
            <w:top w:val="none" w:sz="0" w:space="0" w:color="auto"/>
            <w:left w:val="none" w:sz="0" w:space="0" w:color="auto"/>
            <w:bottom w:val="none" w:sz="0" w:space="0" w:color="auto"/>
            <w:right w:val="none" w:sz="0" w:space="0" w:color="auto"/>
          </w:divBdr>
        </w:div>
      </w:divsChild>
    </w:div>
    <w:div w:id="1789662502">
      <w:bodyDiv w:val="1"/>
      <w:marLeft w:val="0"/>
      <w:marRight w:val="0"/>
      <w:marTop w:val="0"/>
      <w:marBottom w:val="0"/>
      <w:divBdr>
        <w:top w:val="none" w:sz="0" w:space="0" w:color="auto"/>
        <w:left w:val="none" w:sz="0" w:space="0" w:color="auto"/>
        <w:bottom w:val="none" w:sz="0" w:space="0" w:color="auto"/>
        <w:right w:val="none" w:sz="0" w:space="0" w:color="auto"/>
      </w:divBdr>
      <w:divsChild>
        <w:div w:id="360326336">
          <w:marLeft w:val="0"/>
          <w:marRight w:val="0"/>
          <w:marTop w:val="0"/>
          <w:marBottom w:val="0"/>
          <w:divBdr>
            <w:top w:val="none" w:sz="0" w:space="0" w:color="auto"/>
            <w:left w:val="none" w:sz="0" w:space="0" w:color="auto"/>
            <w:bottom w:val="none" w:sz="0" w:space="0" w:color="auto"/>
            <w:right w:val="none" w:sz="0" w:space="0" w:color="auto"/>
          </w:divBdr>
        </w:div>
      </w:divsChild>
    </w:div>
    <w:div w:id="1795564262">
      <w:bodyDiv w:val="1"/>
      <w:marLeft w:val="0"/>
      <w:marRight w:val="0"/>
      <w:marTop w:val="0"/>
      <w:marBottom w:val="0"/>
      <w:divBdr>
        <w:top w:val="none" w:sz="0" w:space="0" w:color="auto"/>
        <w:left w:val="none" w:sz="0" w:space="0" w:color="auto"/>
        <w:bottom w:val="none" w:sz="0" w:space="0" w:color="auto"/>
        <w:right w:val="none" w:sz="0" w:space="0" w:color="auto"/>
      </w:divBdr>
    </w:div>
    <w:div w:id="1898276634">
      <w:bodyDiv w:val="1"/>
      <w:marLeft w:val="0"/>
      <w:marRight w:val="0"/>
      <w:marTop w:val="0"/>
      <w:marBottom w:val="0"/>
      <w:divBdr>
        <w:top w:val="none" w:sz="0" w:space="0" w:color="auto"/>
        <w:left w:val="none" w:sz="0" w:space="0" w:color="auto"/>
        <w:bottom w:val="none" w:sz="0" w:space="0" w:color="auto"/>
        <w:right w:val="none" w:sz="0" w:space="0" w:color="auto"/>
      </w:divBdr>
    </w:div>
    <w:div w:id="1905263673">
      <w:bodyDiv w:val="1"/>
      <w:marLeft w:val="0"/>
      <w:marRight w:val="0"/>
      <w:marTop w:val="0"/>
      <w:marBottom w:val="0"/>
      <w:divBdr>
        <w:top w:val="none" w:sz="0" w:space="0" w:color="auto"/>
        <w:left w:val="none" w:sz="0" w:space="0" w:color="auto"/>
        <w:bottom w:val="none" w:sz="0" w:space="0" w:color="auto"/>
        <w:right w:val="none" w:sz="0" w:space="0" w:color="auto"/>
      </w:divBdr>
    </w:div>
    <w:div w:id="1924417045">
      <w:bodyDiv w:val="1"/>
      <w:marLeft w:val="0"/>
      <w:marRight w:val="0"/>
      <w:marTop w:val="0"/>
      <w:marBottom w:val="0"/>
      <w:divBdr>
        <w:top w:val="none" w:sz="0" w:space="0" w:color="auto"/>
        <w:left w:val="none" w:sz="0" w:space="0" w:color="auto"/>
        <w:bottom w:val="none" w:sz="0" w:space="0" w:color="auto"/>
        <w:right w:val="none" w:sz="0" w:space="0" w:color="auto"/>
      </w:divBdr>
    </w:div>
    <w:div w:id="1941373937">
      <w:bodyDiv w:val="1"/>
      <w:marLeft w:val="0"/>
      <w:marRight w:val="0"/>
      <w:marTop w:val="0"/>
      <w:marBottom w:val="0"/>
      <w:divBdr>
        <w:top w:val="none" w:sz="0" w:space="0" w:color="auto"/>
        <w:left w:val="none" w:sz="0" w:space="0" w:color="auto"/>
        <w:bottom w:val="none" w:sz="0" w:space="0" w:color="auto"/>
        <w:right w:val="none" w:sz="0" w:space="0" w:color="auto"/>
      </w:divBdr>
    </w:div>
    <w:div w:id="2033724621">
      <w:bodyDiv w:val="1"/>
      <w:marLeft w:val="0"/>
      <w:marRight w:val="0"/>
      <w:marTop w:val="0"/>
      <w:marBottom w:val="0"/>
      <w:divBdr>
        <w:top w:val="none" w:sz="0" w:space="0" w:color="auto"/>
        <w:left w:val="none" w:sz="0" w:space="0" w:color="auto"/>
        <w:bottom w:val="none" w:sz="0" w:space="0" w:color="auto"/>
        <w:right w:val="none" w:sz="0" w:space="0" w:color="auto"/>
      </w:divBdr>
      <w:divsChild>
        <w:div w:id="17899769">
          <w:marLeft w:val="0"/>
          <w:marRight w:val="0"/>
          <w:marTop w:val="0"/>
          <w:marBottom w:val="0"/>
          <w:divBdr>
            <w:top w:val="none" w:sz="0" w:space="0" w:color="auto"/>
            <w:left w:val="none" w:sz="0" w:space="0" w:color="auto"/>
            <w:bottom w:val="none" w:sz="0" w:space="0" w:color="auto"/>
            <w:right w:val="none" w:sz="0" w:space="0" w:color="auto"/>
          </w:divBdr>
        </w:div>
        <w:div w:id="1311860520">
          <w:marLeft w:val="0"/>
          <w:marRight w:val="0"/>
          <w:marTop w:val="0"/>
          <w:marBottom w:val="0"/>
          <w:divBdr>
            <w:top w:val="none" w:sz="0" w:space="0" w:color="auto"/>
            <w:left w:val="none" w:sz="0" w:space="0" w:color="auto"/>
            <w:bottom w:val="none" w:sz="0" w:space="0" w:color="auto"/>
            <w:right w:val="none" w:sz="0" w:space="0" w:color="auto"/>
          </w:divBdr>
        </w:div>
        <w:div w:id="2076856686">
          <w:marLeft w:val="0"/>
          <w:marRight w:val="0"/>
          <w:marTop w:val="0"/>
          <w:marBottom w:val="0"/>
          <w:divBdr>
            <w:top w:val="none" w:sz="0" w:space="0" w:color="auto"/>
            <w:left w:val="none" w:sz="0" w:space="0" w:color="auto"/>
            <w:bottom w:val="none" w:sz="0" w:space="0" w:color="auto"/>
            <w:right w:val="none" w:sz="0" w:space="0" w:color="auto"/>
          </w:divBdr>
        </w:div>
      </w:divsChild>
    </w:div>
    <w:div w:id="2064521013">
      <w:bodyDiv w:val="1"/>
      <w:marLeft w:val="0"/>
      <w:marRight w:val="0"/>
      <w:marTop w:val="0"/>
      <w:marBottom w:val="0"/>
      <w:divBdr>
        <w:top w:val="none" w:sz="0" w:space="0" w:color="auto"/>
        <w:left w:val="none" w:sz="0" w:space="0" w:color="auto"/>
        <w:bottom w:val="none" w:sz="0" w:space="0" w:color="auto"/>
        <w:right w:val="none" w:sz="0" w:space="0" w:color="auto"/>
      </w:divBdr>
    </w:div>
    <w:div w:id="2065911015">
      <w:bodyDiv w:val="1"/>
      <w:marLeft w:val="0"/>
      <w:marRight w:val="0"/>
      <w:marTop w:val="0"/>
      <w:marBottom w:val="0"/>
      <w:divBdr>
        <w:top w:val="none" w:sz="0" w:space="0" w:color="auto"/>
        <w:left w:val="none" w:sz="0" w:space="0" w:color="auto"/>
        <w:bottom w:val="none" w:sz="0" w:space="0" w:color="auto"/>
        <w:right w:val="none" w:sz="0" w:space="0" w:color="auto"/>
      </w:divBdr>
    </w:div>
    <w:div w:id="2074237766">
      <w:bodyDiv w:val="1"/>
      <w:marLeft w:val="0"/>
      <w:marRight w:val="0"/>
      <w:marTop w:val="0"/>
      <w:marBottom w:val="0"/>
      <w:divBdr>
        <w:top w:val="none" w:sz="0" w:space="0" w:color="auto"/>
        <w:left w:val="none" w:sz="0" w:space="0" w:color="auto"/>
        <w:bottom w:val="none" w:sz="0" w:space="0" w:color="auto"/>
        <w:right w:val="none" w:sz="0" w:space="0" w:color="auto"/>
      </w:divBdr>
      <w:divsChild>
        <w:div w:id="407963768">
          <w:marLeft w:val="0"/>
          <w:marRight w:val="0"/>
          <w:marTop w:val="0"/>
          <w:marBottom w:val="0"/>
          <w:divBdr>
            <w:top w:val="none" w:sz="0" w:space="0" w:color="auto"/>
            <w:left w:val="none" w:sz="0" w:space="0" w:color="auto"/>
            <w:bottom w:val="none" w:sz="0" w:space="0" w:color="auto"/>
            <w:right w:val="none" w:sz="0" w:space="0" w:color="auto"/>
          </w:divBdr>
        </w:div>
      </w:divsChild>
    </w:div>
    <w:div w:id="2078822199">
      <w:bodyDiv w:val="1"/>
      <w:marLeft w:val="0"/>
      <w:marRight w:val="0"/>
      <w:marTop w:val="0"/>
      <w:marBottom w:val="0"/>
      <w:divBdr>
        <w:top w:val="none" w:sz="0" w:space="0" w:color="auto"/>
        <w:left w:val="none" w:sz="0" w:space="0" w:color="auto"/>
        <w:bottom w:val="none" w:sz="0" w:space="0" w:color="auto"/>
        <w:right w:val="none" w:sz="0" w:space="0" w:color="auto"/>
      </w:divBdr>
    </w:div>
    <w:div w:id="2105804451">
      <w:bodyDiv w:val="1"/>
      <w:marLeft w:val="0"/>
      <w:marRight w:val="0"/>
      <w:marTop w:val="0"/>
      <w:marBottom w:val="0"/>
      <w:divBdr>
        <w:top w:val="none" w:sz="0" w:space="0" w:color="auto"/>
        <w:left w:val="none" w:sz="0" w:space="0" w:color="auto"/>
        <w:bottom w:val="none" w:sz="0" w:space="0" w:color="auto"/>
        <w:right w:val="none" w:sz="0" w:space="0" w:color="auto"/>
      </w:divBdr>
      <w:divsChild>
        <w:div w:id="229313573">
          <w:marLeft w:val="0"/>
          <w:marRight w:val="0"/>
          <w:marTop w:val="0"/>
          <w:marBottom w:val="0"/>
          <w:divBdr>
            <w:top w:val="none" w:sz="0" w:space="0" w:color="auto"/>
            <w:left w:val="none" w:sz="0" w:space="0" w:color="auto"/>
            <w:bottom w:val="none" w:sz="0" w:space="0" w:color="auto"/>
            <w:right w:val="none" w:sz="0" w:space="0" w:color="auto"/>
          </w:divBdr>
        </w:div>
      </w:divsChild>
    </w:div>
    <w:div w:id="2136633086">
      <w:bodyDiv w:val="1"/>
      <w:marLeft w:val="0"/>
      <w:marRight w:val="0"/>
      <w:marTop w:val="0"/>
      <w:marBottom w:val="0"/>
      <w:divBdr>
        <w:top w:val="none" w:sz="0" w:space="0" w:color="auto"/>
        <w:left w:val="none" w:sz="0" w:space="0" w:color="auto"/>
        <w:bottom w:val="none" w:sz="0" w:space="0" w:color="auto"/>
        <w:right w:val="none" w:sz="0" w:space="0" w:color="auto"/>
      </w:divBdr>
      <w:divsChild>
        <w:div w:id="158198927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microsoft.com/office/2016/09/relationships/commentsIds" Target="commentsId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4BAFC1-252F-402A-AC5D-D59ED10338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10786</Words>
  <Characters>61483</Characters>
  <Application>Microsoft Office Word</Application>
  <DocSecurity>0</DocSecurity>
  <Lines>512</Lines>
  <Paragraphs>144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72125</CharactersWithSpaces>
  <SharedDoc>false</SharedDoc>
  <HyperlinkBase/>
  <HLinks>
    <vt:vector size="24" baseType="variant">
      <vt:variant>
        <vt:i4>5570566</vt:i4>
      </vt:variant>
      <vt:variant>
        <vt:i4>9</vt:i4>
      </vt:variant>
      <vt:variant>
        <vt:i4>0</vt:i4>
      </vt:variant>
      <vt:variant>
        <vt:i4>5</vt:i4>
      </vt:variant>
      <vt:variant>
        <vt:lpwstr>http://www.wsj.com/articles/SB114291044305003774</vt:lpwstr>
      </vt:variant>
      <vt:variant>
        <vt:lpwstr/>
      </vt:variant>
      <vt:variant>
        <vt:i4>2621565</vt:i4>
      </vt:variant>
      <vt:variant>
        <vt:i4>6</vt:i4>
      </vt:variant>
      <vt:variant>
        <vt:i4>0</vt:i4>
      </vt:variant>
      <vt:variant>
        <vt:i4>5</vt:i4>
      </vt:variant>
      <vt:variant>
        <vt:lpwstr>http://atlas.media.mit.edu/en/profile/country/fra/</vt:lpwstr>
      </vt:variant>
      <vt:variant>
        <vt:lpwstr/>
      </vt:variant>
      <vt:variant>
        <vt:i4>2687087</vt:i4>
      </vt:variant>
      <vt:variant>
        <vt:i4>3</vt:i4>
      </vt:variant>
      <vt:variant>
        <vt:i4>0</vt:i4>
      </vt:variant>
      <vt:variant>
        <vt:i4>5</vt:i4>
      </vt:variant>
      <vt:variant>
        <vt:lpwstr>http://atlas.media.mit.edu/en/profile/country/esp/</vt:lpwstr>
      </vt:variant>
      <vt:variant>
        <vt:lpwstr/>
      </vt:variant>
      <vt:variant>
        <vt:i4>7077908</vt:i4>
      </vt:variant>
      <vt:variant>
        <vt:i4>0</vt:i4>
      </vt:variant>
      <vt:variant>
        <vt:i4>0</vt:i4>
      </vt:variant>
      <vt:variant>
        <vt:i4>5</vt:i4>
      </vt:variant>
      <vt:variant>
        <vt:lpwstr>http://www.greenpeace.org/international/en/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2019-09-30T06:37:00Z</dcterms:created>
  <dcterms:modified xsi:type="dcterms:W3CDTF">2019-09-30T06:37:00Z</dcterms:modified>
</cp:coreProperties>
</file>