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1FC8D" w14:textId="49678A59" w:rsidR="00B03123" w:rsidRPr="00F40242" w:rsidRDefault="00371410" w:rsidP="0011086F">
      <w:pPr>
        <w:autoSpaceDE w:val="0"/>
        <w:autoSpaceDN w:val="0"/>
        <w:adjustRightInd w:val="0"/>
        <w:spacing w:beforeLines="150" w:before="360" w:line="520" w:lineRule="exact"/>
        <w:jc w:val="center"/>
        <w:rPr>
          <w:b/>
          <w:bCs/>
          <w:kern w:val="36"/>
          <w:sz w:val="32"/>
          <w:szCs w:val="32"/>
          <w:lang w:eastAsia="en-AU"/>
        </w:rPr>
      </w:pPr>
      <w:bookmarkStart w:id="0" w:name="_GoBack"/>
      <w:bookmarkEnd w:id="0"/>
      <w:r w:rsidRPr="00F40242">
        <w:rPr>
          <w:b/>
          <w:bCs/>
          <w:color w:val="000000"/>
          <w:sz w:val="32"/>
          <w:szCs w:val="32"/>
        </w:rPr>
        <w:t>Social and Environmental Reporting</w:t>
      </w:r>
      <w:r w:rsidRPr="00F40242">
        <w:rPr>
          <w:b/>
          <w:bCs/>
          <w:kern w:val="36"/>
          <w:sz w:val="32"/>
          <w:szCs w:val="32"/>
          <w:lang w:eastAsia="en-AU"/>
        </w:rPr>
        <w:t xml:space="preserve"> and the </w:t>
      </w:r>
      <w:r w:rsidR="00E97691" w:rsidRPr="00F40242">
        <w:rPr>
          <w:b/>
          <w:bCs/>
          <w:kern w:val="36"/>
          <w:sz w:val="32"/>
          <w:szCs w:val="32"/>
          <w:lang w:eastAsia="en-AU"/>
        </w:rPr>
        <w:t>C</w:t>
      </w:r>
      <w:r w:rsidRPr="00F40242">
        <w:rPr>
          <w:b/>
          <w:bCs/>
          <w:kern w:val="36"/>
          <w:sz w:val="32"/>
          <w:szCs w:val="32"/>
          <w:lang w:eastAsia="en-AU"/>
        </w:rPr>
        <w:t xml:space="preserve">o-creation of </w:t>
      </w:r>
      <w:r w:rsidR="001E7987" w:rsidRPr="00F40242">
        <w:rPr>
          <w:b/>
          <w:bCs/>
          <w:kern w:val="36"/>
          <w:sz w:val="32"/>
          <w:szCs w:val="32"/>
          <w:lang w:eastAsia="en-AU"/>
        </w:rPr>
        <w:t>C</w:t>
      </w:r>
      <w:r w:rsidRPr="00F40242">
        <w:rPr>
          <w:b/>
          <w:bCs/>
          <w:kern w:val="36"/>
          <w:sz w:val="32"/>
          <w:szCs w:val="32"/>
          <w:lang w:eastAsia="en-AU"/>
        </w:rPr>
        <w:t xml:space="preserve">orporate </w:t>
      </w:r>
      <w:r w:rsidR="001E7987" w:rsidRPr="00F40242">
        <w:rPr>
          <w:b/>
          <w:bCs/>
          <w:kern w:val="36"/>
          <w:sz w:val="32"/>
          <w:szCs w:val="32"/>
          <w:lang w:eastAsia="en-AU"/>
        </w:rPr>
        <w:t>L</w:t>
      </w:r>
      <w:r w:rsidRPr="00F40242">
        <w:rPr>
          <w:b/>
          <w:bCs/>
          <w:kern w:val="36"/>
          <w:sz w:val="32"/>
          <w:szCs w:val="32"/>
          <w:lang w:eastAsia="en-AU"/>
        </w:rPr>
        <w:t>egitimacy</w:t>
      </w:r>
    </w:p>
    <w:p w14:paraId="155E2D91" w14:textId="02BBC65E" w:rsidR="00F948B3" w:rsidRPr="00F40242" w:rsidRDefault="00F948B3" w:rsidP="0011086F">
      <w:pPr>
        <w:spacing w:line="360" w:lineRule="exact"/>
        <w:contextualSpacing/>
        <w:jc w:val="center"/>
        <w:rPr>
          <w:sz w:val="26"/>
          <w:szCs w:val="26"/>
          <w:lang w:val="en-GB"/>
        </w:rPr>
      </w:pPr>
    </w:p>
    <w:p w14:paraId="2D3D1091" w14:textId="01BD7042" w:rsidR="006512F2" w:rsidRPr="00F20E2A" w:rsidRDefault="006512F2" w:rsidP="0011086F">
      <w:pPr>
        <w:spacing w:line="360" w:lineRule="exact"/>
        <w:contextualSpacing/>
        <w:jc w:val="center"/>
        <w:rPr>
          <w:rFonts w:eastAsiaTheme="minorEastAsia"/>
          <w:kern w:val="2"/>
          <w:sz w:val="26"/>
          <w:szCs w:val="26"/>
          <w:lang w:val="en-GB"/>
        </w:rPr>
      </w:pPr>
      <w:proofErr w:type="spellStart"/>
      <w:r w:rsidRPr="00F20E2A">
        <w:rPr>
          <w:rFonts w:eastAsiaTheme="minorEastAsia"/>
          <w:kern w:val="2"/>
          <w:sz w:val="26"/>
          <w:szCs w:val="26"/>
          <w:lang w:val="en-GB"/>
        </w:rPr>
        <w:t>Asit</w:t>
      </w:r>
      <w:proofErr w:type="spellEnd"/>
      <w:r w:rsidRPr="00F20E2A">
        <w:rPr>
          <w:rFonts w:eastAsiaTheme="minorEastAsia"/>
          <w:kern w:val="2"/>
          <w:sz w:val="26"/>
          <w:szCs w:val="26"/>
          <w:lang w:val="en-GB"/>
        </w:rPr>
        <w:t xml:space="preserve"> Bhattacharyya</w:t>
      </w:r>
    </w:p>
    <w:p w14:paraId="5B8838B1" w14:textId="375A2BA7" w:rsidR="006512F2" w:rsidRPr="00F20E2A" w:rsidRDefault="003006D4" w:rsidP="0011086F">
      <w:pPr>
        <w:spacing w:line="360" w:lineRule="exact"/>
        <w:contextualSpacing/>
        <w:jc w:val="center"/>
        <w:rPr>
          <w:rFonts w:eastAsiaTheme="minorEastAsia"/>
          <w:kern w:val="2"/>
          <w:sz w:val="26"/>
          <w:szCs w:val="26"/>
          <w:lang w:val="en-GB" w:eastAsia="zh-TW"/>
        </w:rPr>
      </w:pPr>
      <w:r w:rsidRPr="00F20E2A">
        <w:rPr>
          <w:rFonts w:eastAsiaTheme="minorEastAsia"/>
          <w:kern w:val="2"/>
          <w:sz w:val="26"/>
          <w:szCs w:val="26"/>
          <w:lang w:val="en-GB" w:eastAsia="zh-TW"/>
        </w:rPr>
        <w:t xml:space="preserve">Newcastle Business School, </w:t>
      </w:r>
      <w:r w:rsidR="00383077" w:rsidRPr="00F20E2A">
        <w:rPr>
          <w:rFonts w:eastAsiaTheme="minorEastAsia"/>
          <w:kern w:val="2"/>
          <w:sz w:val="26"/>
          <w:szCs w:val="26"/>
          <w:lang w:val="en-GB" w:eastAsia="zh-TW"/>
        </w:rPr>
        <w:t xml:space="preserve">University </w:t>
      </w:r>
      <w:r w:rsidR="00383077">
        <w:rPr>
          <w:rFonts w:eastAsiaTheme="minorEastAsia"/>
          <w:kern w:val="2"/>
          <w:sz w:val="26"/>
          <w:szCs w:val="26"/>
          <w:lang w:val="en-GB" w:eastAsia="zh-TW"/>
        </w:rPr>
        <w:t xml:space="preserve">of </w:t>
      </w:r>
      <w:r w:rsidRPr="00F20E2A">
        <w:rPr>
          <w:rFonts w:eastAsiaTheme="minorEastAsia"/>
          <w:kern w:val="2"/>
          <w:sz w:val="26"/>
          <w:szCs w:val="26"/>
          <w:lang w:val="en-GB" w:eastAsia="zh-TW"/>
        </w:rPr>
        <w:t xml:space="preserve">Newcastle </w:t>
      </w:r>
    </w:p>
    <w:p w14:paraId="4DBE29DF" w14:textId="5AA881AC" w:rsidR="00F948B3" w:rsidRPr="00F20E2A" w:rsidRDefault="00F948B3" w:rsidP="0011086F">
      <w:pPr>
        <w:spacing w:line="360" w:lineRule="exact"/>
        <w:contextualSpacing/>
        <w:jc w:val="center"/>
        <w:rPr>
          <w:rFonts w:eastAsiaTheme="minorEastAsia"/>
          <w:kern w:val="2"/>
          <w:sz w:val="26"/>
          <w:szCs w:val="26"/>
          <w:lang w:val="en-GB"/>
        </w:rPr>
      </w:pPr>
      <w:r w:rsidRPr="00F20E2A">
        <w:rPr>
          <w:rFonts w:eastAsiaTheme="minorEastAsia"/>
          <w:kern w:val="2"/>
          <w:sz w:val="26"/>
          <w:szCs w:val="26"/>
          <w:lang w:val="en-GB"/>
        </w:rPr>
        <w:t xml:space="preserve">E-Mail: </w:t>
      </w:r>
      <w:r w:rsidR="006512F2" w:rsidRPr="00F20E2A">
        <w:rPr>
          <w:rFonts w:eastAsiaTheme="minorEastAsia"/>
          <w:kern w:val="2"/>
          <w:sz w:val="26"/>
          <w:szCs w:val="26"/>
          <w:lang w:val="en-GB"/>
        </w:rPr>
        <w:t>asit.bhatta@newcastle.edu.au</w:t>
      </w:r>
    </w:p>
    <w:p w14:paraId="13592775" w14:textId="200371E9" w:rsidR="00F948B3" w:rsidRPr="00F20E2A" w:rsidRDefault="00F948B3" w:rsidP="0011086F">
      <w:pPr>
        <w:spacing w:line="360" w:lineRule="exact"/>
        <w:contextualSpacing/>
        <w:jc w:val="center"/>
        <w:rPr>
          <w:rFonts w:eastAsiaTheme="minorEastAsia"/>
          <w:kern w:val="2"/>
          <w:sz w:val="26"/>
          <w:szCs w:val="26"/>
          <w:lang w:val="en-GB"/>
        </w:rPr>
      </w:pPr>
    </w:p>
    <w:p w14:paraId="28E9C09D" w14:textId="6D739E72" w:rsidR="006512F2" w:rsidRPr="00F20E2A" w:rsidRDefault="006512F2" w:rsidP="0011086F">
      <w:pPr>
        <w:spacing w:line="360" w:lineRule="exact"/>
        <w:contextualSpacing/>
        <w:jc w:val="center"/>
        <w:rPr>
          <w:rFonts w:eastAsiaTheme="minorEastAsia"/>
          <w:kern w:val="2"/>
          <w:sz w:val="26"/>
          <w:szCs w:val="26"/>
          <w:vertAlign w:val="superscript"/>
          <w:lang w:val="en-GB"/>
        </w:rPr>
      </w:pPr>
      <w:r w:rsidRPr="00F20E2A">
        <w:rPr>
          <w:rFonts w:eastAsiaTheme="minorEastAsia"/>
          <w:kern w:val="2"/>
          <w:sz w:val="26"/>
          <w:szCs w:val="26"/>
          <w:lang w:val="en-GB"/>
        </w:rPr>
        <w:t xml:space="preserve">Frank </w:t>
      </w:r>
      <w:proofErr w:type="spellStart"/>
      <w:r w:rsidRPr="00F20E2A">
        <w:rPr>
          <w:rFonts w:eastAsiaTheme="minorEastAsia"/>
          <w:kern w:val="2"/>
          <w:sz w:val="26"/>
          <w:szCs w:val="26"/>
          <w:lang w:val="en-GB"/>
        </w:rPr>
        <w:t>Wogbe</w:t>
      </w:r>
      <w:proofErr w:type="spellEnd"/>
      <w:r w:rsidRPr="00F20E2A">
        <w:rPr>
          <w:rFonts w:eastAsiaTheme="minorEastAsia"/>
          <w:kern w:val="2"/>
          <w:sz w:val="26"/>
          <w:szCs w:val="26"/>
          <w:lang w:val="en-GB"/>
        </w:rPr>
        <w:t xml:space="preserve"> </w:t>
      </w:r>
      <w:proofErr w:type="spellStart"/>
      <w:r w:rsidRPr="00F20E2A">
        <w:rPr>
          <w:rFonts w:eastAsiaTheme="minorEastAsia"/>
          <w:kern w:val="2"/>
          <w:sz w:val="26"/>
          <w:szCs w:val="26"/>
          <w:lang w:val="en-GB"/>
        </w:rPr>
        <w:t>Agbola</w:t>
      </w:r>
      <w:proofErr w:type="spellEnd"/>
    </w:p>
    <w:p w14:paraId="4A523077" w14:textId="5B52FC12" w:rsidR="003006D4" w:rsidRPr="00F20E2A" w:rsidRDefault="006512F2" w:rsidP="003006D4">
      <w:pPr>
        <w:spacing w:line="360" w:lineRule="exact"/>
        <w:contextualSpacing/>
        <w:jc w:val="center"/>
        <w:rPr>
          <w:rFonts w:eastAsiaTheme="minorEastAsia"/>
          <w:kern w:val="2"/>
          <w:sz w:val="26"/>
          <w:szCs w:val="26"/>
          <w:lang w:val="en-GB" w:eastAsia="zh-TW"/>
        </w:rPr>
      </w:pPr>
      <w:r w:rsidRPr="00F20E2A">
        <w:rPr>
          <w:rFonts w:eastAsiaTheme="minorEastAsia"/>
          <w:kern w:val="2"/>
          <w:sz w:val="26"/>
          <w:szCs w:val="26"/>
          <w:lang w:val="en-GB"/>
        </w:rPr>
        <w:t>Newcastle Business School</w:t>
      </w:r>
      <w:r w:rsidR="003006D4" w:rsidRPr="00F20E2A">
        <w:rPr>
          <w:rFonts w:eastAsiaTheme="minorEastAsia"/>
          <w:kern w:val="2"/>
          <w:sz w:val="26"/>
          <w:szCs w:val="26"/>
          <w:lang w:val="en-GB"/>
        </w:rPr>
        <w:t>,</w:t>
      </w:r>
      <w:r w:rsidR="003006D4" w:rsidRPr="00F20E2A">
        <w:rPr>
          <w:rFonts w:eastAsiaTheme="minorEastAsia"/>
          <w:kern w:val="2"/>
          <w:sz w:val="26"/>
          <w:szCs w:val="26"/>
          <w:lang w:val="en-GB" w:eastAsia="zh-TW"/>
        </w:rPr>
        <w:t xml:space="preserve"> </w:t>
      </w:r>
      <w:r w:rsidR="00383077" w:rsidRPr="00F20E2A">
        <w:rPr>
          <w:rFonts w:eastAsiaTheme="minorEastAsia"/>
          <w:kern w:val="2"/>
          <w:sz w:val="26"/>
          <w:szCs w:val="26"/>
          <w:lang w:val="en-GB" w:eastAsia="zh-TW"/>
        </w:rPr>
        <w:t xml:space="preserve">University </w:t>
      </w:r>
      <w:r w:rsidR="00383077">
        <w:rPr>
          <w:rFonts w:eastAsiaTheme="minorEastAsia"/>
          <w:kern w:val="2"/>
          <w:sz w:val="26"/>
          <w:szCs w:val="26"/>
          <w:lang w:val="en-GB" w:eastAsia="zh-TW"/>
        </w:rPr>
        <w:t xml:space="preserve">of </w:t>
      </w:r>
      <w:r w:rsidR="003006D4" w:rsidRPr="00F20E2A">
        <w:rPr>
          <w:rFonts w:eastAsiaTheme="minorEastAsia"/>
          <w:kern w:val="2"/>
          <w:sz w:val="26"/>
          <w:szCs w:val="26"/>
          <w:lang w:val="en-GB" w:eastAsia="zh-TW"/>
        </w:rPr>
        <w:t xml:space="preserve">Newcastle </w:t>
      </w:r>
    </w:p>
    <w:p w14:paraId="4B5557F1" w14:textId="597F0DA5" w:rsidR="006512F2" w:rsidRPr="00F40242" w:rsidRDefault="006512F2" w:rsidP="0011086F">
      <w:pPr>
        <w:spacing w:line="360" w:lineRule="exact"/>
        <w:contextualSpacing/>
        <w:jc w:val="center"/>
        <w:rPr>
          <w:rFonts w:eastAsiaTheme="minorEastAsia"/>
          <w:kern w:val="2"/>
          <w:sz w:val="26"/>
          <w:szCs w:val="26"/>
          <w:lang w:val="en-GB"/>
        </w:rPr>
      </w:pPr>
      <w:r w:rsidRPr="00F20E2A">
        <w:rPr>
          <w:rFonts w:eastAsiaTheme="minorEastAsia"/>
          <w:kern w:val="2"/>
          <w:sz w:val="26"/>
          <w:szCs w:val="26"/>
          <w:lang w:val="en-GB"/>
        </w:rPr>
        <w:t>E-Mail: Frank.Agbola@newcastle.edu.au</w:t>
      </w:r>
    </w:p>
    <w:p w14:paraId="3F35C98B" w14:textId="397DFD88" w:rsidR="006512F2" w:rsidRPr="00F40242" w:rsidRDefault="006512F2" w:rsidP="0011086F">
      <w:pPr>
        <w:spacing w:line="360" w:lineRule="exact"/>
        <w:contextualSpacing/>
        <w:jc w:val="center"/>
        <w:rPr>
          <w:rFonts w:eastAsiaTheme="minorEastAsia"/>
          <w:kern w:val="2"/>
          <w:sz w:val="26"/>
          <w:szCs w:val="26"/>
          <w:lang w:val="en-GB"/>
        </w:rPr>
      </w:pPr>
    </w:p>
    <w:p w14:paraId="0D0EDFBB" w14:textId="06B8B424" w:rsidR="001E7987" w:rsidRPr="00F40242" w:rsidRDefault="00F40242" w:rsidP="0011086F">
      <w:pPr>
        <w:autoSpaceDE w:val="0"/>
        <w:autoSpaceDN w:val="0"/>
        <w:adjustRightInd w:val="0"/>
        <w:jc w:val="center"/>
        <w:rPr>
          <w:rFonts w:eastAsia="Calibri"/>
          <w:b/>
          <w:bCs/>
          <w:iCs/>
          <w:color w:val="000000"/>
          <w:sz w:val="26"/>
          <w:szCs w:val="26"/>
          <w:lang w:eastAsia="en-AU"/>
        </w:rPr>
      </w:pPr>
      <w:r w:rsidRPr="00F40242">
        <w:rPr>
          <w:rFonts w:eastAsia="Calibri"/>
          <w:b/>
          <w:bCs/>
          <w:iCs/>
          <w:color w:val="000000"/>
          <w:sz w:val="26"/>
          <w:szCs w:val="26"/>
          <w:lang w:eastAsia="en-AU"/>
        </w:rPr>
        <w:t>ABSTRACT</w:t>
      </w:r>
    </w:p>
    <w:p w14:paraId="0F7F8CB3" w14:textId="5D1D9999" w:rsidR="001C6137" w:rsidRPr="00130F64" w:rsidRDefault="003B2C12" w:rsidP="0011086F">
      <w:pPr>
        <w:autoSpaceDE w:val="0"/>
        <w:autoSpaceDN w:val="0"/>
        <w:adjustRightInd w:val="0"/>
        <w:spacing w:line="360" w:lineRule="exact"/>
        <w:ind w:firstLine="720"/>
        <w:jc w:val="both"/>
        <w:rPr>
          <w:sz w:val="26"/>
        </w:rPr>
      </w:pPr>
      <w:r w:rsidRPr="00F40242">
        <w:rPr>
          <w:rFonts w:eastAsia="Calibri"/>
          <w:sz w:val="26"/>
        </w:rPr>
        <w:t xml:space="preserve">This paper </w:t>
      </w:r>
      <w:r w:rsidR="00EC74DA" w:rsidRPr="00F40242">
        <w:rPr>
          <w:rFonts w:eastAsia="Calibri"/>
          <w:sz w:val="26"/>
        </w:rPr>
        <w:t>extends the legitimacy theory by empirically investigating the extent and context of social, environmental and total voluntary non-financial disclosures across industries</w:t>
      </w:r>
      <w:r w:rsidR="001C6137" w:rsidRPr="00130F64">
        <w:rPr>
          <w:rFonts w:eastAsia="Calibri"/>
          <w:sz w:val="26"/>
        </w:rPr>
        <w:t xml:space="preserve">. </w:t>
      </w:r>
      <w:r w:rsidR="00EC74DA" w:rsidRPr="00130F64">
        <w:rPr>
          <w:rFonts w:eastAsia="Calibri"/>
          <w:sz w:val="26"/>
        </w:rPr>
        <w:t xml:space="preserve"> </w:t>
      </w:r>
      <w:r w:rsidR="001C6137" w:rsidRPr="00130F64">
        <w:rPr>
          <w:sz w:val="26"/>
        </w:rPr>
        <w:t>The study use</w:t>
      </w:r>
      <w:r w:rsidR="00E97691" w:rsidRPr="00130F64">
        <w:rPr>
          <w:sz w:val="26"/>
        </w:rPr>
        <w:t>s</w:t>
      </w:r>
      <w:r w:rsidR="001C6137" w:rsidRPr="00130F64">
        <w:rPr>
          <w:sz w:val="26"/>
        </w:rPr>
        <w:t xml:space="preserve"> 312 annual reports of publicly listed Indian companies for the accounting year</w:t>
      </w:r>
      <w:r w:rsidR="00E97691" w:rsidRPr="00130F64">
        <w:rPr>
          <w:sz w:val="26"/>
        </w:rPr>
        <w:t>s</w:t>
      </w:r>
      <w:r w:rsidR="001C6137" w:rsidRPr="00130F64">
        <w:rPr>
          <w:sz w:val="26"/>
        </w:rPr>
        <w:t xml:space="preserve"> 2006</w:t>
      </w:r>
      <w:r w:rsidR="003701F5" w:rsidRPr="00130F64">
        <w:rPr>
          <w:sz w:val="26"/>
        </w:rPr>
        <w:t>,</w:t>
      </w:r>
      <w:r w:rsidR="00E97691" w:rsidRPr="00130F64">
        <w:rPr>
          <w:sz w:val="26"/>
        </w:rPr>
        <w:t xml:space="preserve"> </w:t>
      </w:r>
      <w:r w:rsidR="003701F5" w:rsidRPr="00130F64">
        <w:rPr>
          <w:sz w:val="26"/>
        </w:rPr>
        <w:t>2</w:t>
      </w:r>
      <w:r w:rsidR="001C6137" w:rsidRPr="00130F64">
        <w:rPr>
          <w:sz w:val="26"/>
        </w:rPr>
        <w:t xml:space="preserve">012 and 2014. We follow a Multivariate Ordinary Least Squares (MOLS) modelling framework to test the hypotheses. </w:t>
      </w:r>
      <w:r w:rsidR="001C6137" w:rsidRPr="00F40242">
        <w:rPr>
          <w:rFonts w:eastAsia="Calibri"/>
          <w:sz w:val="26"/>
        </w:rPr>
        <w:t>O</w:t>
      </w:r>
      <w:r w:rsidR="00EC74DA" w:rsidRPr="00F40242">
        <w:rPr>
          <w:rFonts w:eastAsia="Calibri"/>
          <w:sz w:val="26"/>
        </w:rPr>
        <w:t xml:space="preserve">ur </w:t>
      </w:r>
      <w:r w:rsidR="005303C1" w:rsidRPr="00F40242">
        <w:rPr>
          <w:rFonts w:eastAsia="Calibri"/>
          <w:sz w:val="26"/>
        </w:rPr>
        <w:t xml:space="preserve">empirical </w:t>
      </w:r>
      <w:r w:rsidR="005F769E" w:rsidRPr="00F40242">
        <w:rPr>
          <w:rFonts w:eastAsia="Calibri"/>
          <w:sz w:val="26"/>
        </w:rPr>
        <w:t xml:space="preserve">results </w:t>
      </w:r>
      <w:r w:rsidR="004D6AD7" w:rsidRPr="00F40242">
        <w:rPr>
          <w:rFonts w:eastAsia="Calibri"/>
          <w:sz w:val="26"/>
        </w:rPr>
        <w:t xml:space="preserve">indicate that the decision to provide voluntary non-financial disclosure is </w:t>
      </w:r>
      <w:r w:rsidR="00E97691" w:rsidRPr="00F40242">
        <w:rPr>
          <w:rFonts w:eastAsia="Calibri"/>
          <w:sz w:val="26"/>
        </w:rPr>
        <w:t>positively related</w:t>
      </w:r>
      <w:r w:rsidR="00D2572D" w:rsidRPr="00F40242">
        <w:rPr>
          <w:rFonts w:eastAsia="Calibri"/>
          <w:sz w:val="26"/>
        </w:rPr>
        <w:t xml:space="preserve"> to</w:t>
      </w:r>
      <w:r w:rsidR="005303C1" w:rsidRPr="00F40242">
        <w:rPr>
          <w:rFonts w:eastAsia="Calibri"/>
          <w:sz w:val="26"/>
        </w:rPr>
        <w:t xml:space="preserve"> </w:t>
      </w:r>
      <w:r w:rsidR="00E97691" w:rsidRPr="00F40242">
        <w:rPr>
          <w:rFonts w:eastAsia="Calibri"/>
          <w:sz w:val="26"/>
        </w:rPr>
        <w:t xml:space="preserve">a </w:t>
      </w:r>
      <w:r w:rsidR="005303C1" w:rsidRPr="00F40242">
        <w:rPr>
          <w:rFonts w:eastAsia="Calibri"/>
          <w:sz w:val="26"/>
        </w:rPr>
        <w:t>firm</w:t>
      </w:r>
      <w:r w:rsidR="00D41404" w:rsidRPr="00F40242">
        <w:rPr>
          <w:rFonts w:eastAsia="Calibri"/>
          <w:sz w:val="26"/>
        </w:rPr>
        <w:t>’s</w:t>
      </w:r>
      <w:r w:rsidR="005303C1" w:rsidRPr="00F40242">
        <w:rPr>
          <w:rFonts w:eastAsia="Calibri"/>
          <w:sz w:val="26"/>
        </w:rPr>
        <w:t xml:space="preserve"> age, </w:t>
      </w:r>
      <w:r w:rsidR="00E70805" w:rsidRPr="00F40242">
        <w:rPr>
          <w:rFonts w:eastAsia="Calibri"/>
          <w:sz w:val="26"/>
        </w:rPr>
        <w:t xml:space="preserve">profitability, industrial </w:t>
      </w:r>
      <w:r w:rsidR="008E10C8" w:rsidRPr="00F40242">
        <w:rPr>
          <w:rFonts w:eastAsia="Calibri"/>
          <w:sz w:val="26"/>
        </w:rPr>
        <w:t>category</w:t>
      </w:r>
      <w:r w:rsidR="00EC74DA" w:rsidRPr="00F40242">
        <w:rPr>
          <w:rFonts w:eastAsia="Calibri"/>
          <w:sz w:val="26"/>
        </w:rPr>
        <w:t xml:space="preserve"> </w:t>
      </w:r>
      <w:r w:rsidR="005303C1" w:rsidRPr="00F40242">
        <w:rPr>
          <w:rFonts w:eastAsia="Calibri"/>
          <w:sz w:val="26"/>
        </w:rPr>
        <w:t xml:space="preserve">and leverage. Our results </w:t>
      </w:r>
      <w:r w:rsidR="00E97691" w:rsidRPr="00F40242">
        <w:rPr>
          <w:rFonts w:eastAsia="Calibri"/>
          <w:sz w:val="26"/>
        </w:rPr>
        <w:t xml:space="preserve">further </w:t>
      </w:r>
      <w:r w:rsidR="005303C1" w:rsidRPr="00F40242">
        <w:rPr>
          <w:rFonts w:eastAsia="Calibri"/>
          <w:sz w:val="26"/>
        </w:rPr>
        <w:t xml:space="preserve">indicate </w:t>
      </w:r>
      <w:r w:rsidR="005303C1" w:rsidRPr="00F40242">
        <w:rPr>
          <w:rFonts w:eastAsia="Calibri"/>
          <w:noProof/>
          <w:sz w:val="26"/>
        </w:rPr>
        <w:t>that</w:t>
      </w:r>
      <w:r w:rsidR="00E97691" w:rsidRPr="00F40242">
        <w:rPr>
          <w:rFonts w:eastAsia="Calibri"/>
          <w:noProof/>
          <w:sz w:val="26"/>
        </w:rPr>
        <w:t>,</w:t>
      </w:r>
      <w:r w:rsidR="00D2572D" w:rsidRPr="00F40242">
        <w:rPr>
          <w:rFonts w:eastAsia="Calibri"/>
          <w:sz w:val="26"/>
        </w:rPr>
        <w:t xml:space="preserve"> contrary to legitimacy theory, </w:t>
      </w:r>
      <w:r w:rsidR="005303C1" w:rsidRPr="00F40242">
        <w:rPr>
          <w:rFonts w:eastAsia="Calibri"/>
          <w:sz w:val="26"/>
        </w:rPr>
        <w:t>the decision to provide social and environmental non-financial disclosures</w:t>
      </w:r>
      <w:r w:rsidR="00D2572D" w:rsidRPr="00F40242">
        <w:rPr>
          <w:rFonts w:eastAsia="Calibri"/>
          <w:sz w:val="26"/>
        </w:rPr>
        <w:t xml:space="preserve"> by </w:t>
      </w:r>
      <w:r w:rsidR="001E7987" w:rsidRPr="00F40242">
        <w:rPr>
          <w:rFonts w:eastAsia="Calibri"/>
          <w:sz w:val="26"/>
        </w:rPr>
        <w:t xml:space="preserve">sampled </w:t>
      </w:r>
      <w:r w:rsidR="00D2572D" w:rsidRPr="00F40242">
        <w:rPr>
          <w:rFonts w:eastAsia="Calibri"/>
          <w:sz w:val="26"/>
        </w:rPr>
        <w:t xml:space="preserve">publicly listed </w:t>
      </w:r>
      <w:r w:rsidR="008E10C8" w:rsidRPr="00F40242">
        <w:rPr>
          <w:rFonts w:eastAsia="Calibri"/>
          <w:sz w:val="26"/>
        </w:rPr>
        <w:t>companies</w:t>
      </w:r>
      <w:r w:rsidR="005867F9" w:rsidRPr="00F40242">
        <w:rPr>
          <w:rFonts w:eastAsia="Calibri"/>
          <w:sz w:val="26"/>
        </w:rPr>
        <w:t xml:space="preserve"> </w:t>
      </w:r>
      <w:r w:rsidR="00E97691" w:rsidRPr="00F40242">
        <w:rPr>
          <w:rFonts w:eastAsia="Calibri"/>
          <w:sz w:val="26"/>
        </w:rPr>
        <w:t xml:space="preserve">is </w:t>
      </w:r>
      <w:r w:rsidR="00EC74DA" w:rsidRPr="00F40242">
        <w:rPr>
          <w:rFonts w:eastAsia="Calibri"/>
          <w:sz w:val="26"/>
        </w:rPr>
        <w:t xml:space="preserve">found to correlate </w:t>
      </w:r>
      <w:r w:rsidR="00CE7F80" w:rsidRPr="00F40242">
        <w:rPr>
          <w:rFonts w:eastAsia="Calibri"/>
          <w:sz w:val="26"/>
        </w:rPr>
        <w:t>nega</w:t>
      </w:r>
      <w:r w:rsidR="00EC74DA" w:rsidRPr="00F40242">
        <w:rPr>
          <w:rFonts w:eastAsia="Calibri"/>
          <w:sz w:val="26"/>
        </w:rPr>
        <w:t xml:space="preserve">tively with </w:t>
      </w:r>
      <w:r w:rsidR="00C77B9A" w:rsidRPr="00F40242">
        <w:rPr>
          <w:rFonts w:eastAsia="Calibri"/>
          <w:sz w:val="26"/>
        </w:rPr>
        <w:t>consumer proximity</w:t>
      </w:r>
      <w:r w:rsidR="00724FD7" w:rsidRPr="00F40242">
        <w:rPr>
          <w:rFonts w:eastAsia="Calibri"/>
          <w:sz w:val="26"/>
        </w:rPr>
        <w:t>, leverage</w:t>
      </w:r>
      <w:r w:rsidR="005303C1" w:rsidRPr="00F40242">
        <w:rPr>
          <w:rFonts w:eastAsia="Calibri"/>
          <w:sz w:val="26"/>
        </w:rPr>
        <w:t xml:space="preserve"> and </w:t>
      </w:r>
      <w:r w:rsidR="00C77B9A" w:rsidRPr="00F40242">
        <w:rPr>
          <w:rFonts w:eastAsia="Calibri"/>
          <w:sz w:val="26"/>
        </w:rPr>
        <w:t>industrial transport industry membership</w:t>
      </w:r>
      <w:r w:rsidR="005867F9" w:rsidRPr="00F40242">
        <w:rPr>
          <w:rFonts w:eastAsia="Calibri"/>
          <w:sz w:val="26"/>
        </w:rPr>
        <w:t xml:space="preserve">. Our results add </w:t>
      </w:r>
      <w:r w:rsidR="0040342F" w:rsidRPr="00F40242">
        <w:rPr>
          <w:rFonts w:eastAsia="Calibri"/>
          <w:sz w:val="26"/>
        </w:rPr>
        <w:t xml:space="preserve">new </w:t>
      </w:r>
      <w:r w:rsidR="005867F9" w:rsidRPr="00F40242">
        <w:rPr>
          <w:rFonts w:eastAsia="Calibri"/>
          <w:sz w:val="26"/>
        </w:rPr>
        <w:t xml:space="preserve">empirical evidence to support the view that non-financial disclosure by </w:t>
      </w:r>
      <w:r w:rsidR="008E10C8" w:rsidRPr="00F40242">
        <w:rPr>
          <w:rFonts w:eastAsia="Calibri"/>
          <w:sz w:val="26"/>
        </w:rPr>
        <w:t>companies</w:t>
      </w:r>
      <w:r w:rsidR="005867F9" w:rsidRPr="00F40242">
        <w:rPr>
          <w:rFonts w:eastAsia="Calibri"/>
          <w:sz w:val="26"/>
        </w:rPr>
        <w:t xml:space="preserve"> </w:t>
      </w:r>
      <w:r w:rsidR="005867F9" w:rsidRPr="00F40242">
        <w:rPr>
          <w:rFonts w:eastAsia="Calibri"/>
          <w:noProof/>
          <w:sz w:val="26"/>
        </w:rPr>
        <w:t>is influenced</w:t>
      </w:r>
      <w:r w:rsidR="005867F9" w:rsidRPr="00F40242">
        <w:rPr>
          <w:rFonts w:eastAsia="Calibri"/>
          <w:sz w:val="26"/>
        </w:rPr>
        <w:t xml:space="preserve"> by country-specific characteristics within which the firm operates</w:t>
      </w:r>
      <w:r w:rsidR="005303C1" w:rsidRPr="00F40242">
        <w:rPr>
          <w:rFonts w:eastAsia="Calibri"/>
          <w:sz w:val="26"/>
        </w:rPr>
        <w:t xml:space="preserve">. </w:t>
      </w:r>
      <w:r w:rsidR="001C6137" w:rsidRPr="00130F64">
        <w:rPr>
          <w:sz w:val="26"/>
        </w:rPr>
        <w:t>Future research could extend the study to other emerging countries and includ</w:t>
      </w:r>
      <w:r w:rsidR="00E97691" w:rsidRPr="00130F64">
        <w:rPr>
          <w:sz w:val="26"/>
        </w:rPr>
        <w:t>e</w:t>
      </w:r>
      <w:r w:rsidR="001C6137" w:rsidRPr="00130F64">
        <w:rPr>
          <w:sz w:val="26"/>
        </w:rPr>
        <w:t xml:space="preserve"> data from unlisted companies to validate our findings. </w:t>
      </w:r>
    </w:p>
    <w:p w14:paraId="1EED6DFE" w14:textId="5A8D5EF5" w:rsidR="001E7987" w:rsidRPr="00130F64" w:rsidRDefault="001E7987" w:rsidP="0011086F">
      <w:pPr>
        <w:autoSpaceDE w:val="0"/>
        <w:autoSpaceDN w:val="0"/>
        <w:adjustRightInd w:val="0"/>
        <w:spacing w:line="360" w:lineRule="exact"/>
        <w:jc w:val="both"/>
        <w:rPr>
          <w:rFonts w:eastAsia="Calibri"/>
          <w:b/>
          <w:i/>
          <w:sz w:val="26"/>
          <w:lang w:eastAsia="en-AU"/>
        </w:rPr>
      </w:pPr>
    </w:p>
    <w:p w14:paraId="4C3D2670" w14:textId="539A60EA" w:rsidR="00792A17" w:rsidRPr="00130F64" w:rsidRDefault="00EA7F77" w:rsidP="00FE079C">
      <w:pPr>
        <w:autoSpaceDE w:val="0"/>
        <w:autoSpaceDN w:val="0"/>
        <w:adjustRightInd w:val="0"/>
        <w:spacing w:line="360" w:lineRule="exact"/>
        <w:ind w:left="1327" w:hangingChars="510" w:hanging="1327"/>
        <w:jc w:val="both"/>
        <w:rPr>
          <w:rFonts w:eastAsia="Calibri"/>
          <w:sz w:val="26"/>
          <w:lang w:eastAsia="en-AU"/>
        </w:rPr>
      </w:pPr>
      <w:r w:rsidRPr="00130F64">
        <w:rPr>
          <w:rFonts w:eastAsia="Calibri"/>
          <w:b/>
          <w:sz w:val="26"/>
          <w:lang w:eastAsia="en-AU"/>
        </w:rPr>
        <w:t>Keywords</w:t>
      </w:r>
      <w:r w:rsidRPr="00130F64">
        <w:rPr>
          <w:rFonts w:eastAsia="Calibri"/>
          <w:sz w:val="26"/>
          <w:lang w:eastAsia="en-AU"/>
        </w:rPr>
        <w:t>:</w:t>
      </w:r>
      <w:r w:rsidR="00FE079C" w:rsidRPr="00130F64">
        <w:rPr>
          <w:rFonts w:eastAsia="Calibri"/>
          <w:sz w:val="26"/>
          <w:lang w:eastAsia="en-AU"/>
        </w:rPr>
        <w:t xml:space="preserve"> </w:t>
      </w:r>
      <w:r w:rsidR="006B1EBC" w:rsidRPr="00130F64">
        <w:rPr>
          <w:rFonts w:eastAsia="Calibri"/>
          <w:sz w:val="26"/>
          <w:lang w:eastAsia="en-AU"/>
        </w:rPr>
        <w:t>Legitimacy Theory, Annual Report, Social Disclosure, Environmental Disclosure</w:t>
      </w:r>
      <w:bookmarkStart w:id="1" w:name="_Toc323222247"/>
    </w:p>
    <w:p w14:paraId="21E38784" w14:textId="77777777" w:rsidR="006B1EBC" w:rsidRPr="006B1EBC" w:rsidRDefault="006B1EBC" w:rsidP="006B1EBC">
      <w:pPr>
        <w:autoSpaceDE w:val="0"/>
        <w:autoSpaceDN w:val="0"/>
        <w:adjustRightInd w:val="0"/>
        <w:spacing w:line="360" w:lineRule="exact"/>
        <w:jc w:val="both"/>
        <w:rPr>
          <w:rFonts w:eastAsia="Calibri"/>
          <w:color w:val="000000"/>
          <w:sz w:val="26"/>
          <w:lang w:eastAsia="en-AU"/>
        </w:rPr>
      </w:pPr>
    </w:p>
    <w:p w14:paraId="2F60D20B" w14:textId="47A11ED9" w:rsidR="00EA7F77" w:rsidRPr="0011086F" w:rsidRDefault="0011086F" w:rsidP="0011086F">
      <w:pPr>
        <w:autoSpaceDE w:val="0"/>
        <w:autoSpaceDN w:val="0"/>
        <w:adjustRightInd w:val="0"/>
        <w:jc w:val="center"/>
        <w:rPr>
          <w:rFonts w:eastAsia="Calibri"/>
          <w:b/>
          <w:bCs/>
          <w:iCs/>
          <w:color w:val="000000"/>
          <w:sz w:val="26"/>
          <w:szCs w:val="26"/>
          <w:lang w:eastAsia="en-AU"/>
        </w:rPr>
      </w:pPr>
      <w:r w:rsidRPr="0011086F">
        <w:rPr>
          <w:rFonts w:eastAsia="Calibri"/>
          <w:b/>
          <w:bCs/>
          <w:iCs/>
          <w:color w:val="000000"/>
          <w:sz w:val="26"/>
          <w:szCs w:val="26"/>
          <w:lang w:eastAsia="en-AU"/>
        </w:rPr>
        <w:t>INTRODUCTION</w:t>
      </w:r>
      <w:bookmarkEnd w:id="1"/>
    </w:p>
    <w:p w14:paraId="3066CD95" w14:textId="6D1574CD" w:rsidR="00EA7F77" w:rsidRPr="00F40242" w:rsidRDefault="00B81630" w:rsidP="0011086F">
      <w:pPr>
        <w:spacing w:line="360" w:lineRule="exact"/>
        <w:ind w:firstLineChars="200" w:firstLine="520"/>
        <w:jc w:val="both"/>
        <w:rPr>
          <w:sz w:val="26"/>
          <w:lang w:eastAsia="en-AU"/>
        </w:rPr>
      </w:pPr>
      <w:r w:rsidRPr="00F40242">
        <w:rPr>
          <w:sz w:val="26"/>
          <w:lang w:eastAsia="en-AU"/>
        </w:rPr>
        <w:t xml:space="preserve">In </w:t>
      </w:r>
      <w:r w:rsidR="00331C00" w:rsidRPr="00F40242">
        <w:rPr>
          <w:sz w:val="26"/>
          <w:lang w:eastAsia="en-AU"/>
        </w:rPr>
        <w:t xml:space="preserve">recent </w:t>
      </w:r>
      <w:r w:rsidR="00E97691" w:rsidRPr="00F40242">
        <w:rPr>
          <w:sz w:val="26"/>
          <w:lang w:eastAsia="en-AU"/>
        </w:rPr>
        <w:t>years</w:t>
      </w:r>
      <w:r w:rsidRPr="00F40242">
        <w:rPr>
          <w:sz w:val="26"/>
          <w:lang w:eastAsia="en-AU"/>
        </w:rPr>
        <w:t>, there ha</w:t>
      </w:r>
      <w:r w:rsidR="00E97691" w:rsidRPr="00F40242">
        <w:rPr>
          <w:sz w:val="26"/>
          <w:lang w:eastAsia="en-AU"/>
        </w:rPr>
        <w:t>ve</w:t>
      </w:r>
      <w:r w:rsidRPr="00F40242">
        <w:rPr>
          <w:sz w:val="26"/>
          <w:lang w:eastAsia="en-AU"/>
        </w:rPr>
        <w:t xml:space="preserve"> been growing calls from investors and policy makers </w:t>
      </w:r>
      <w:r w:rsidR="00E97691" w:rsidRPr="00F40242">
        <w:rPr>
          <w:sz w:val="26"/>
          <w:lang w:eastAsia="en-AU"/>
        </w:rPr>
        <w:t>for voluntary</w:t>
      </w:r>
      <w:r w:rsidRPr="00F40242">
        <w:rPr>
          <w:sz w:val="26"/>
          <w:lang w:eastAsia="en-AU"/>
        </w:rPr>
        <w:t xml:space="preserve"> social and environmental </w:t>
      </w:r>
      <w:r w:rsidR="00D41404" w:rsidRPr="00F40242">
        <w:rPr>
          <w:sz w:val="26"/>
          <w:lang w:eastAsia="en-AU"/>
        </w:rPr>
        <w:t>disclosure</w:t>
      </w:r>
      <w:r w:rsidR="00331C00" w:rsidRPr="00F40242">
        <w:rPr>
          <w:sz w:val="26"/>
          <w:lang w:eastAsia="en-AU"/>
        </w:rPr>
        <w:t>s</w:t>
      </w:r>
      <w:r w:rsidR="00D41404" w:rsidRPr="00F40242">
        <w:rPr>
          <w:sz w:val="26"/>
          <w:lang w:eastAsia="en-AU"/>
        </w:rPr>
        <w:t xml:space="preserve"> (SED) of firm activities </w:t>
      </w:r>
      <w:r w:rsidR="00D41404" w:rsidRPr="00F40242">
        <w:rPr>
          <w:noProof/>
          <w:sz w:val="26"/>
          <w:lang w:eastAsia="en-AU"/>
        </w:rPr>
        <w:t>to</w:t>
      </w:r>
      <w:r w:rsidR="00D41404" w:rsidRPr="00F40242">
        <w:rPr>
          <w:sz w:val="26"/>
          <w:lang w:eastAsia="en-AU"/>
        </w:rPr>
        <w:t xml:space="preserve"> </w:t>
      </w:r>
      <w:r w:rsidRPr="00F40242">
        <w:rPr>
          <w:sz w:val="26"/>
          <w:lang w:eastAsia="en-AU"/>
        </w:rPr>
        <w:t xml:space="preserve">improve confidence in the operation of businesses globally. </w:t>
      </w:r>
      <w:r w:rsidR="00D41404" w:rsidRPr="00F40242">
        <w:rPr>
          <w:noProof/>
          <w:sz w:val="26"/>
          <w:lang w:eastAsia="en-AU"/>
        </w:rPr>
        <w:t>This has</w:t>
      </w:r>
      <w:r w:rsidR="00D41404" w:rsidRPr="00F40242">
        <w:rPr>
          <w:sz w:val="26"/>
          <w:lang w:eastAsia="en-AU"/>
        </w:rPr>
        <w:t xml:space="preserve"> engendered </w:t>
      </w:r>
      <w:r w:rsidRPr="00F40242">
        <w:rPr>
          <w:sz w:val="26"/>
          <w:lang w:eastAsia="en-AU"/>
        </w:rPr>
        <w:t xml:space="preserve">a growing number of studies </w:t>
      </w:r>
      <w:r w:rsidR="00D41404" w:rsidRPr="00F40242">
        <w:rPr>
          <w:sz w:val="26"/>
          <w:lang w:eastAsia="en-AU"/>
        </w:rPr>
        <w:t xml:space="preserve">that </w:t>
      </w:r>
      <w:r w:rsidRPr="00F40242">
        <w:rPr>
          <w:sz w:val="26"/>
          <w:lang w:eastAsia="en-AU"/>
        </w:rPr>
        <w:t xml:space="preserve">have attempted to investigate the </w:t>
      </w:r>
      <w:r w:rsidR="00331C00" w:rsidRPr="00F40242">
        <w:rPr>
          <w:sz w:val="26"/>
          <w:lang w:eastAsia="en-AU"/>
        </w:rPr>
        <w:t xml:space="preserve">importance </w:t>
      </w:r>
      <w:r w:rsidRPr="00F40242">
        <w:rPr>
          <w:sz w:val="26"/>
          <w:lang w:eastAsia="en-AU"/>
        </w:rPr>
        <w:t xml:space="preserve">of non-financial </w:t>
      </w:r>
      <w:r w:rsidRPr="00F40242">
        <w:rPr>
          <w:sz w:val="26"/>
          <w:lang w:eastAsia="en-AU"/>
        </w:rPr>
        <w:lastRenderedPageBreak/>
        <w:t>disclosure</w:t>
      </w:r>
      <w:r w:rsidR="00E97691" w:rsidRPr="00F40242">
        <w:rPr>
          <w:sz w:val="26"/>
          <w:lang w:eastAsia="en-AU"/>
        </w:rPr>
        <w:t>s</w:t>
      </w:r>
      <w:r w:rsidRPr="00F40242">
        <w:rPr>
          <w:sz w:val="26"/>
          <w:lang w:eastAsia="en-AU"/>
        </w:rPr>
        <w:t xml:space="preserve"> of </w:t>
      </w:r>
      <w:r w:rsidR="008E10C8" w:rsidRPr="00F40242">
        <w:rPr>
          <w:sz w:val="26"/>
          <w:lang w:eastAsia="en-AU"/>
        </w:rPr>
        <w:t>companies</w:t>
      </w:r>
      <w:r w:rsidRPr="00F40242">
        <w:rPr>
          <w:sz w:val="26"/>
          <w:lang w:eastAsia="en-AU"/>
        </w:rPr>
        <w:t xml:space="preserve"> (</w:t>
      </w:r>
      <w:r w:rsidR="003701F5" w:rsidRPr="00F40242">
        <w:rPr>
          <w:sz w:val="26"/>
          <w:lang w:eastAsia="en-AU"/>
        </w:rPr>
        <w:t>e</w:t>
      </w:r>
      <w:r w:rsidR="00E97691" w:rsidRPr="00F40242">
        <w:rPr>
          <w:sz w:val="26"/>
          <w:lang w:eastAsia="en-AU"/>
        </w:rPr>
        <w:t>.</w:t>
      </w:r>
      <w:r w:rsidR="003701F5" w:rsidRPr="00F40242">
        <w:rPr>
          <w:sz w:val="26"/>
          <w:lang w:eastAsia="en-AU"/>
        </w:rPr>
        <w:t>g.</w:t>
      </w:r>
      <w:r w:rsidR="00E97691" w:rsidRPr="00F40242">
        <w:rPr>
          <w:sz w:val="26"/>
          <w:lang w:eastAsia="en-AU"/>
        </w:rPr>
        <w:t>,</w:t>
      </w:r>
      <w:r w:rsidR="003701F5" w:rsidRPr="00F40242">
        <w:rPr>
          <w:sz w:val="26"/>
          <w:lang w:eastAsia="en-AU"/>
        </w:rPr>
        <w:t xml:space="preserve"> </w:t>
      </w:r>
      <w:proofErr w:type="spellStart"/>
      <w:r w:rsidR="00A56CF9" w:rsidRPr="00F20E2A">
        <w:rPr>
          <w:rFonts w:eastAsiaTheme="minorHAnsi"/>
          <w:sz w:val="26"/>
        </w:rPr>
        <w:t>Ahn</w:t>
      </w:r>
      <w:proofErr w:type="spellEnd"/>
      <w:r w:rsidR="00E97691" w:rsidRPr="00F20E2A">
        <w:rPr>
          <w:rFonts w:eastAsiaTheme="minorHAnsi"/>
          <w:sz w:val="26"/>
        </w:rPr>
        <w:t xml:space="preserve"> </w:t>
      </w:r>
      <w:r w:rsidR="00EC7873" w:rsidRPr="00F20E2A">
        <w:rPr>
          <w:rFonts w:eastAsiaTheme="minorHAnsi"/>
          <w:sz w:val="26"/>
        </w:rPr>
        <w:t>&amp;</w:t>
      </w:r>
      <w:r w:rsidR="00E97691" w:rsidRPr="00F20E2A">
        <w:rPr>
          <w:rFonts w:eastAsiaTheme="minorHAnsi"/>
          <w:sz w:val="26"/>
        </w:rPr>
        <w:t xml:space="preserve"> </w:t>
      </w:r>
      <w:r w:rsidR="00A56CF9" w:rsidRPr="00F20E2A">
        <w:rPr>
          <w:rFonts w:eastAsiaTheme="minorHAnsi"/>
          <w:sz w:val="26"/>
        </w:rPr>
        <w:t>Park</w:t>
      </w:r>
      <w:r w:rsidR="003701F5" w:rsidRPr="00F20E2A">
        <w:rPr>
          <w:rFonts w:eastAsiaTheme="minorHAnsi"/>
          <w:sz w:val="26"/>
        </w:rPr>
        <w:t>,</w:t>
      </w:r>
      <w:r w:rsidR="00E97691" w:rsidRPr="00F20E2A">
        <w:rPr>
          <w:rFonts w:eastAsiaTheme="minorHAnsi"/>
          <w:sz w:val="26"/>
        </w:rPr>
        <w:t xml:space="preserve"> </w:t>
      </w:r>
      <w:r w:rsidR="003701F5" w:rsidRPr="00F20E2A">
        <w:rPr>
          <w:rFonts w:eastAsiaTheme="minorHAnsi"/>
          <w:sz w:val="26"/>
        </w:rPr>
        <w:t>2</w:t>
      </w:r>
      <w:r w:rsidR="00A56CF9" w:rsidRPr="00F20E2A">
        <w:rPr>
          <w:rFonts w:eastAsiaTheme="minorHAnsi"/>
          <w:sz w:val="26"/>
        </w:rPr>
        <w:t xml:space="preserve">018; </w:t>
      </w:r>
      <w:proofErr w:type="spellStart"/>
      <w:r w:rsidR="00A56CF9" w:rsidRPr="00F20E2A">
        <w:rPr>
          <w:sz w:val="26"/>
          <w:lang w:eastAsia="en-AU"/>
        </w:rPr>
        <w:t>Baldini</w:t>
      </w:r>
      <w:proofErr w:type="spellEnd"/>
      <w:r w:rsidR="00A56CF9" w:rsidRPr="00F20E2A">
        <w:rPr>
          <w:sz w:val="26"/>
          <w:lang w:eastAsia="en-AU"/>
        </w:rPr>
        <w:t xml:space="preserve">, </w:t>
      </w:r>
      <w:proofErr w:type="spellStart"/>
      <w:r w:rsidR="00A56CF9" w:rsidRPr="00F20E2A">
        <w:rPr>
          <w:sz w:val="26"/>
          <w:lang w:eastAsia="en-AU"/>
        </w:rPr>
        <w:t>Maso</w:t>
      </w:r>
      <w:proofErr w:type="spellEnd"/>
      <w:r w:rsidR="00A56CF9" w:rsidRPr="00F20E2A">
        <w:rPr>
          <w:sz w:val="26"/>
          <w:lang w:eastAsia="en-AU"/>
        </w:rPr>
        <w:t xml:space="preserve">, </w:t>
      </w:r>
      <w:proofErr w:type="spellStart"/>
      <w:r w:rsidR="00A56CF9" w:rsidRPr="00F20E2A">
        <w:rPr>
          <w:sz w:val="26"/>
          <w:lang w:eastAsia="en-AU"/>
        </w:rPr>
        <w:t>Liberatore</w:t>
      </w:r>
      <w:proofErr w:type="spellEnd"/>
      <w:r w:rsidR="00A56CF9" w:rsidRPr="00F20E2A">
        <w:rPr>
          <w:sz w:val="26"/>
          <w:lang w:eastAsia="en-AU"/>
        </w:rPr>
        <w:t xml:space="preserve">, </w:t>
      </w:r>
      <w:proofErr w:type="spellStart"/>
      <w:r w:rsidR="00A56CF9" w:rsidRPr="00F20E2A">
        <w:rPr>
          <w:sz w:val="26"/>
          <w:lang w:eastAsia="en-AU"/>
        </w:rPr>
        <w:t>Mazzi</w:t>
      </w:r>
      <w:proofErr w:type="spellEnd"/>
      <w:r w:rsidR="00A56CF9" w:rsidRPr="00F20E2A">
        <w:rPr>
          <w:sz w:val="26"/>
          <w:lang w:eastAsia="en-AU"/>
        </w:rPr>
        <w:t>,</w:t>
      </w:r>
      <w:r w:rsidR="00E97691" w:rsidRPr="00F20E2A">
        <w:rPr>
          <w:sz w:val="26"/>
          <w:lang w:eastAsia="en-AU"/>
        </w:rPr>
        <w:t xml:space="preserve"> </w:t>
      </w:r>
      <w:r w:rsidR="00EC7873" w:rsidRPr="00F20E2A">
        <w:rPr>
          <w:sz w:val="26"/>
          <w:lang w:eastAsia="en-AU"/>
        </w:rPr>
        <w:t>&amp;</w:t>
      </w:r>
      <w:r w:rsidR="00E97691" w:rsidRPr="00F20E2A">
        <w:rPr>
          <w:sz w:val="26"/>
          <w:lang w:eastAsia="en-AU"/>
        </w:rPr>
        <w:t xml:space="preserve"> </w:t>
      </w:r>
      <w:proofErr w:type="spellStart"/>
      <w:r w:rsidR="00A56CF9" w:rsidRPr="00F20E2A">
        <w:rPr>
          <w:sz w:val="26"/>
          <w:lang w:eastAsia="en-AU"/>
        </w:rPr>
        <w:t>Terzani</w:t>
      </w:r>
      <w:proofErr w:type="spellEnd"/>
      <w:r w:rsidR="003701F5" w:rsidRPr="00F20E2A">
        <w:rPr>
          <w:sz w:val="26"/>
          <w:lang w:eastAsia="en-AU"/>
        </w:rPr>
        <w:t>,</w:t>
      </w:r>
      <w:r w:rsidR="00E97691" w:rsidRPr="00F20E2A">
        <w:rPr>
          <w:sz w:val="26"/>
          <w:lang w:eastAsia="en-AU"/>
        </w:rPr>
        <w:t xml:space="preserve"> </w:t>
      </w:r>
      <w:r w:rsidR="003701F5" w:rsidRPr="00F20E2A">
        <w:rPr>
          <w:sz w:val="26"/>
          <w:lang w:eastAsia="en-AU"/>
        </w:rPr>
        <w:t>2</w:t>
      </w:r>
      <w:r w:rsidR="00A56CF9" w:rsidRPr="00F20E2A">
        <w:rPr>
          <w:sz w:val="26"/>
          <w:lang w:eastAsia="en-AU"/>
        </w:rPr>
        <w:t xml:space="preserve">018; </w:t>
      </w:r>
      <w:proofErr w:type="spellStart"/>
      <w:r w:rsidR="0000253E" w:rsidRPr="00F20E2A">
        <w:rPr>
          <w:sz w:val="26"/>
          <w:lang w:eastAsia="en-AU"/>
        </w:rPr>
        <w:t>Mahadeo</w:t>
      </w:r>
      <w:proofErr w:type="spellEnd"/>
      <w:r w:rsidR="0000253E" w:rsidRPr="00F20E2A">
        <w:rPr>
          <w:sz w:val="26"/>
          <w:lang w:eastAsia="en-AU"/>
        </w:rPr>
        <w:t>, Hanuman</w:t>
      </w:r>
      <w:r w:rsidR="00E97691" w:rsidRPr="00F20E2A">
        <w:rPr>
          <w:sz w:val="26"/>
          <w:lang w:eastAsia="en-AU"/>
        </w:rPr>
        <w:t xml:space="preserve">, </w:t>
      </w:r>
      <w:r w:rsidR="00EC7873" w:rsidRPr="00F20E2A">
        <w:rPr>
          <w:sz w:val="26"/>
          <w:lang w:eastAsia="en-AU"/>
        </w:rPr>
        <w:t>&amp;</w:t>
      </w:r>
      <w:r w:rsidR="00E97691" w:rsidRPr="00F20E2A">
        <w:rPr>
          <w:sz w:val="26"/>
          <w:lang w:eastAsia="en-AU"/>
        </w:rPr>
        <w:t xml:space="preserve"> </w:t>
      </w:r>
      <w:proofErr w:type="spellStart"/>
      <w:r w:rsidR="0000253E" w:rsidRPr="00F20E2A">
        <w:rPr>
          <w:sz w:val="26"/>
          <w:lang w:eastAsia="en-AU"/>
        </w:rPr>
        <w:t>Soobaroyen</w:t>
      </w:r>
      <w:proofErr w:type="spellEnd"/>
      <w:r w:rsidR="003701F5" w:rsidRPr="00F20E2A">
        <w:rPr>
          <w:sz w:val="26"/>
          <w:lang w:eastAsia="en-AU"/>
        </w:rPr>
        <w:t>,</w:t>
      </w:r>
      <w:r w:rsidR="00E97691" w:rsidRPr="00F20E2A">
        <w:rPr>
          <w:sz w:val="26"/>
          <w:lang w:eastAsia="en-AU"/>
        </w:rPr>
        <w:t xml:space="preserve"> </w:t>
      </w:r>
      <w:r w:rsidR="003701F5" w:rsidRPr="00F20E2A">
        <w:rPr>
          <w:sz w:val="26"/>
          <w:lang w:eastAsia="en-AU"/>
        </w:rPr>
        <w:t>2</w:t>
      </w:r>
      <w:r w:rsidR="0000253E" w:rsidRPr="00F20E2A">
        <w:rPr>
          <w:sz w:val="26"/>
          <w:lang w:eastAsia="en-AU"/>
        </w:rPr>
        <w:t xml:space="preserve">011; </w:t>
      </w:r>
      <w:r w:rsidR="00076C6B" w:rsidRPr="00F20E2A">
        <w:rPr>
          <w:sz w:val="26"/>
          <w:lang w:eastAsia="en-AU"/>
        </w:rPr>
        <w:t>Yin</w:t>
      </w:r>
      <w:r w:rsidR="00E97691" w:rsidRPr="00F20E2A">
        <w:rPr>
          <w:sz w:val="26"/>
          <w:lang w:eastAsia="en-AU"/>
        </w:rPr>
        <w:t xml:space="preserve"> </w:t>
      </w:r>
      <w:r w:rsidR="00EC7873" w:rsidRPr="00F20E2A">
        <w:rPr>
          <w:sz w:val="26"/>
          <w:lang w:eastAsia="en-AU"/>
        </w:rPr>
        <w:t>&amp;</w:t>
      </w:r>
      <w:r w:rsidR="00E97691" w:rsidRPr="00F20E2A">
        <w:rPr>
          <w:sz w:val="26"/>
          <w:lang w:eastAsia="en-AU"/>
        </w:rPr>
        <w:t xml:space="preserve"> </w:t>
      </w:r>
      <w:r w:rsidR="00076C6B" w:rsidRPr="00F20E2A">
        <w:rPr>
          <w:sz w:val="26"/>
          <w:lang w:eastAsia="en-AU"/>
        </w:rPr>
        <w:t>Zhang</w:t>
      </w:r>
      <w:r w:rsidR="003701F5" w:rsidRPr="00F20E2A">
        <w:rPr>
          <w:sz w:val="26"/>
          <w:lang w:eastAsia="en-AU"/>
        </w:rPr>
        <w:t>,</w:t>
      </w:r>
      <w:r w:rsidR="00E97691" w:rsidRPr="00F20E2A">
        <w:rPr>
          <w:sz w:val="26"/>
          <w:lang w:eastAsia="en-AU"/>
        </w:rPr>
        <w:t xml:space="preserve"> </w:t>
      </w:r>
      <w:r w:rsidR="003701F5" w:rsidRPr="00F20E2A">
        <w:rPr>
          <w:sz w:val="26"/>
          <w:lang w:eastAsia="en-AU"/>
        </w:rPr>
        <w:t>2</w:t>
      </w:r>
      <w:r w:rsidR="00076C6B" w:rsidRPr="00F20E2A">
        <w:rPr>
          <w:sz w:val="26"/>
          <w:lang w:eastAsia="en-AU"/>
        </w:rPr>
        <w:t xml:space="preserve">012; </w:t>
      </w:r>
      <w:r w:rsidR="009B0884" w:rsidRPr="00F20E2A">
        <w:rPr>
          <w:sz w:val="26"/>
          <w:lang w:eastAsia="en-AU"/>
        </w:rPr>
        <w:t>Lu</w:t>
      </w:r>
      <w:r w:rsidR="00E97691" w:rsidRPr="00F20E2A">
        <w:rPr>
          <w:sz w:val="26"/>
          <w:lang w:eastAsia="en-AU"/>
        </w:rPr>
        <w:t xml:space="preserve"> </w:t>
      </w:r>
      <w:r w:rsidR="00EC7873" w:rsidRPr="00F20E2A">
        <w:rPr>
          <w:sz w:val="26"/>
          <w:lang w:eastAsia="en-AU"/>
        </w:rPr>
        <w:t>&amp;</w:t>
      </w:r>
      <w:r w:rsidR="00E97691" w:rsidRPr="00F20E2A">
        <w:rPr>
          <w:sz w:val="26"/>
          <w:lang w:eastAsia="en-AU"/>
        </w:rPr>
        <w:t xml:space="preserve"> </w:t>
      </w:r>
      <w:proofErr w:type="spellStart"/>
      <w:r w:rsidR="009B0884" w:rsidRPr="00F20E2A">
        <w:rPr>
          <w:sz w:val="26"/>
          <w:lang w:eastAsia="en-AU"/>
        </w:rPr>
        <w:t>Abeysekera</w:t>
      </w:r>
      <w:proofErr w:type="spellEnd"/>
      <w:r w:rsidR="003701F5" w:rsidRPr="00F20E2A">
        <w:rPr>
          <w:sz w:val="26"/>
          <w:lang w:eastAsia="en-AU"/>
        </w:rPr>
        <w:t>,</w:t>
      </w:r>
      <w:r w:rsidR="00E97691" w:rsidRPr="00F20E2A">
        <w:rPr>
          <w:sz w:val="26"/>
          <w:lang w:eastAsia="en-AU"/>
        </w:rPr>
        <w:t xml:space="preserve"> </w:t>
      </w:r>
      <w:r w:rsidR="003701F5" w:rsidRPr="00F20E2A">
        <w:rPr>
          <w:sz w:val="26"/>
          <w:lang w:eastAsia="en-AU"/>
        </w:rPr>
        <w:t>2</w:t>
      </w:r>
      <w:r w:rsidR="009B0884" w:rsidRPr="00F20E2A">
        <w:rPr>
          <w:sz w:val="26"/>
          <w:lang w:eastAsia="en-AU"/>
        </w:rPr>
        <w:t>014;</w:t>
      </w:r>
      <w:r w:rsidR="009B0884" w:rsidRPr="00F20E2A">
        <w:rPr>
          <w:rFonts w:asciiTheme="minorHAnsi" w:eastAsiaTheme="minorHAnsi" w:hAnsiTheme="minorHAnsi" w:cstheme="minorBidi"/>
          <w:sz w:val="26"/>
          <w:szCs w:val="18"/>
        </w:rPr>
        <w:t xml:space="preserve"> </w:t>
      </w:r>
      <w:proofErr w:type="spellStart"/>
      <w:r w:rsidR="009B0884" w:rsidRPr="00F20E2A">
        <w:rPr>
          <w:sz w:val="26"/>
          <w:lang w:eastAsia="en-AU"/>
        </w:rPr>
        <w:t>Behram</w:t>
      </w:r>
      <w:proofErr w:type="spellEnd"/>
      <w:r w:rsidR="003701F5" w:rsidRPr="00F20E2A">
        <w:rPr>
          <w:sz w:val="26"/>
          <w:lang w:eastAsia="en-AU"/>
        </w:rPr>
        <w:t>,</w:t>
      </w:r>
      <w:r w:rsidR="00E97691" w:rsidRPr="00F40242">
        <w:rPr>
          <w:sz w:val="26"/>
          <w:lang w:eastAsia="en-AU"/>
        </w:rPr>
        <w:t xml:space="preserve"> </w:t>
      </w:r>
      <w:r w:rsidR="003701F5" w:rsidRPr="00F40242">
        <w:rPr>
          <w:sz w:val="26"/>
          <w:lang w:eastAsia="en-AU"/>
        </w:rPr>
        <w:t>2</w:t>
      </w:r>
      <w:r w:rsidR="009B0884" w:rsidRPr="00F40242">
        <w:rPr>
          <w:sz w:val="26"/>
          <w:lang w:eastAsia="en-AU"/>
        </w:rPr>
        <w:t>015</w:t>
      </w:r>
      <w:r w:rsidRPr="00F40242">
        <w:rPr>
          <w:sz w:val="26"/>
          <w:lang w:eastAsia="en-AU"/>
        </w:rPr>
        <w:t xml:space="preserve">). </w:t>
      </w:r>
      <w:r w:rsidR="009B0884" w:rsidRPr="00F40242">
        <w:rPr>
          <w:sz w:val="26"/>
          <w:lang w:eastAsia="en-AU"/>
        </w:rPr>
        <w:t>T</w:t>
      </w:r>
      <w:r w:rsidRPr="00F40242">
        <w:rPr>
          <w:sz w:val="26"/>
          <w:lang w:eastAsia="en-AU"/>
        </w:rPr>
        <w:t xml:space="preserve">hese studies </w:t>
      </w:r>
      <w:r w:rsidR="009B0884" w:rsidRPr="00F40242">
        <w:rPr>
          <w:sz w:val="26"/>
          <w:lang w:eastAsia="en-AU"/>
        </w:rPr>
        <w:t>and others (</w:t>
      </w:r>
      <w:proofErr w:type="spellStart"/>
      <w:r w:rsidR="009B0884" w:rsidRPr="00F40242">
        <w:rPr>
          <w:sz w:val="26"/>
          <w:lang w:eastAsia="en-AU"/>
        </w:rPr>
        <w:t>Claasen</w:t>
      </w:r>
      <w:proofErr w:type="spellEnd"/>
      <w:r w:rsidR="00E97691" w:rsidRPr="00F40242">
        <w:rPr>
          <w:sz w:val="26"/>
          <w:lang w:eastAsia="en-AU"/>
        </w:rPr>
        <w:t xml:space="preserve"> </w:t>
      </w:r>
      <w:r w:rsidR="00EC7873" w:rsidRPr="00F40242">
        <w:rPr>
          <w:sz w:val="26"/>
          <w:lang w:eastAsia="en-AU"/>
        </w:rPr>
        <w:t>&amp;</w:t>
      </w:r>
      <w:r w:rsidR="00E97691" w:rsidRPr="00F40242">
        <w:rPr>
          <w:sz w:val="26"/>
          <w:lang w:eastAsia="en-AU"/>
        </w:rPr>
        <w:t xml:space="preserve"> </w:t>
      </w:r>
      <w:proofErr w:type="spellStart"/>
      <w:r w:rsidR="009B0884" w:rsidRPr="00F40242">
        <w:rPr>
          <w:sz w:val="26"/>
          <w:lang w:eastAsia="en-AU"/>
        </w:rPr>
        <w:t>Roloff</w:t>
      </w:r>
      <w:proofErr w:type="spellEnd"/>
      <w:r w:rsidR="003701F5" w:rsidRPr="00F40242">
        <w:rPr>
          <w:sz w:val="26"/>
          <w:lang w:eastAsia="en-AU"/>
        </w:rPr>
        <w:t>,</w:t>
      </w:r>
      <w:r w:rsidR="00E97691" w:rsidRPr="00F40242">
        <w:rPr>
          <w:sz w:val="26"/>
          <w:lang w:eastAsia="en-AU"/>
        </w:rPr>
        <w:t xml:space="preserve"> </w:t>
      </w:r>
      <w:r w:rsidR="003701F5" w:rsidRPr="00F40242">
        <w:rPr>
          <w:sz w:val="26"/>
          <w:lang w:eastAsia="en-AU"/>
        </w:rPr>
        <w:t>2</w:t>
      </w:r>
      <w:r w:rsidR="009B0884" w:rsidRPr="00F40242">
        <w:rPr>
          <w:sz w:val="26"/>
          <w:lang w:eastAsia="en-AU"/>
        </w:rPr>
        <w:t xml:space="preserve">012; </w:t>
      </w:r>
      <w:proofErr w:type="spellStart"/>
      <w:r w:rsidR="00C01BD7" w:rsidRPr="00F40242">
        <w:rPr>
          <w:bCs/>
          <w:sz w:val="26"/>
          <w:lang w:eastAsia="en-AU"/>
        </w:rPr>
        <w:t>Omran</w:t>
      </w:r>
      <w:proofErr w:type="spellEnd"/>
      <w:r w:rsidR="00C01BD7" w:rsidRPr="00F40242">
        <w:rPr>
          <w:bCs/>
          <w:sz w:val="26"/>
          <w:lang w:eastAsia="en-AU"/>
        </w:rPr>
        <w:t xml:space="preserve"> &amp; </w:t>
      </w:r>
      <w:proofErr w:type="spellStart"/>
      <w:r w:rsidR="00C01BD7" w:rsidRPr="00F40242">
        <w:rPr>
          <w:bCs/>
          <w:sz w:val="26"/>
          <w:lang w:eastAsia="en-AU"/>
        </w:rPr>
        <w:t>Ramdhony</w:t>
      </w:r>
      <w:proofErr w:type="spellEnd"/>
      <w:r w:rsidR="00C01BD7" w:rsidRPr="00F40242">
        <w:rPr>
          <w:bCs/>
          <w:sz w:val="26"/>
          <w:lang w:eastAsia="en-AU"/>
        </w:rPr>
        <w:t>, 2</w:t>
      </w:r>
      <w:r w:rsidR="00C01BD7" w:rsidRPr="00F40242">
        <w:rPr>
          <w:sz w:val="26"/>
          <w:lang w:eastAsia="en-AU"/>
        </w:rPr>
        <w:t>015;</w:t>
      </w:r>
      <w:r w:rsidR="00C01BD7">
        <w:rPr>
          <w:rFonts w:asciiTheme="minorEastAsia" w:eastAsiaTheme="minorEastAsia" w:hAnsiTheme="minorEastAsia" w:hint="eastAsia"/>
          <w:sz w:val="26"/>
          <w:lang w:eastAsia="zh-TW"/>
        </w:rPr>
        <w:t xml:space="preserve"> </w:t>
      </w:r>
      <w:proofErr w:type="spellStart"/>
      <w:r w:rsidR="009B0884" w:rsidRPr="00F40242">
        <w:rPr>
          <w:sz w:val="26"/>
          <w:lang w:eastAsia="en-AU"/>
        </w:rPr>
        <w:t>Ramdhony</w:t>
      </w:r>
      <w:proofErr w:type="spellEnd"/>
      <w:r w:rsidR="003701F5" w:rsidRPr="00F40242">
        <w:rPr>
          <w:sz w:val="26"/>
          <w:lang w:eastAsia="en-AU"/>
        </w:rPr>
        <w:t>,</w:t>
      </w:r>
      <w:r w:rsidR="00E97691" w:rsidRPr="00F40242">
        <w:rPr>
          <w:sz w:val="26"/>
          <w:lang w:eastAsia="en-AU"/>
        </w:rPr>
        <w:t xml:space="preserve"> </w:t>
      </w:r>
      <w:r w:rsidR="003701F5" w:rsidRPr="00F40242">
        <w:rPr>
          <w:sz w:val="26"/>
          <w:lang w:eastAsia="en-AU"/>
        </w:rPr>
        <w:t>2</w:t>
      </w:r>
      <w:r w:rsidR="009B0884" w:rsidRPr="00F40242">
        <w:rPr>
          <w:sz w:val="26"/>
          <w:lang w:eastAsia="en-AU"/>
        </w:rPr>
        <w:t xml:space="preserve">015) </w:t>
      </w:r>
      <w:r w:rsidRPr="00F40242">
        <w:rPr>
          <w:sz w:val="26"/>
          <w:lang w:eastAsia="en-AU"/>
        </w:rPr>
        <w:t xml:space="preserve">have relied on the legitimacy theory to explain SED by </w:t>
      </w:r>
      <w:r w:rsidR="008E10C8" w:rsidRPr="00F40242">
        <w:rPr>
          <w:sz w:val="26"/>
          <w:lang w:eastAsia="en-AU"/>
        </w:rPr>
        <w:t>companies</w:t>
      </w:r>
      <w:r w:rsidR="009B0884" w:rsidRPr="00F40242">
        <w:rPr>
          <w:sz w:val="26"/>
          <w:lang w:eastAsia="en-AU"/>
        </w:rPr>
        <w:t>.</w:t>
      </w:r>
      <w:r w:rsidRPr="00F40242">
        <w:rPr>
          <w:sz w:val="26"/>
          <w:lang w:eastAsia="en-AU"/>
        </w:rPr>
        <w:t xml:space="preserve"> </w:t>
      </w:r>
      <w:r w:rsidR="00EA7F77" w:rsidRPr="00F40242">
        <w:rPr>
          <w:sz w:val="26"/>
        </w:rPr>
        <w:t xml:space="preserve">Legitimacy theory </w:t>
      </w:r>
      <w:r w:rsidR="006D187E" w:rsidRPr="00F40242">
        <w:rPr>
          <w:noProof/>
          <w:sz w:val="26"/>
        </w:rPr>
        <w:t>is based</w:t>
      </w:r>
      <w:r w:rsidR="006D187E" w:rsidRPr="00F40242">
        <w:rPr>
          <w:sz w:val="26"/>
        </w:rPr>
        <w:t xml:space="preserve"> on the premise that</w:t>
      </w:r>
      <w:r w:rsidR="00DA572C" w:rsidRPr="00F40242">
        <w:rPr>
          <w:sz w:val="26"/>
        </w:rPr>
        <w:t xml:space="preserve"> a company’s value system is congruent with society’s value system and</w:t>
      </w:r>
      <w:r w:rsidR="00E97691" w:rsidRPr="00F40242">
        <w:rPr>
          <w:sz w:val="26"/>
        </w:rPr>
        <w:t xml:space="preserve"> thus</w:t>
      </w:r>
      <w:r w:rsidR="00DA572C" w:rsidRPr="00F40242">
        <w:rPr>
          <w:sz w:val="26"/>
        </w:rPr>
        <w:t xml:space="preserve"> societ</w:t>
      </w:r>
      <w:r w:rsidR="00E97691" w:rsidRPr="00F40242">
        <w:rPr>
          <w:sz w:val="26"/>
        </w:rPr>
        <w:t>y’s</w:t>
      </w:r>
      <w:r w:rsidR="00DA572C" w:rsidRPr="00F40242">
        <w:rPr>
          <w:sz w:val="26"/>
        </w:rPr>
        <w:t xml:space="preserve"> expectation and firms’ objective</w:t>
      </w:r>
      <w:r w:rsidR="00E97691" w:rsidRPr="00F40242">
        <w:rPr>
          <w:sz w:val="26"/>
        </w:rPr>
        <w:t>s</w:t>
      </w:r>
      <w:r w:rsidR="00DA572C" w:rsidRPr="00F40242">
        <w:rPr>
          <w:sz w:val="26"/>
        </w:rPr>
        <w:t xml:space="preserve"> are </w:t>
      </w:r>
      <w:r w:rsidR="00E97691" w:rsidRPr="00F40242">
        <w:rPr>
          <w:sz w:val="26"/>
        </w:rPr>
        <w:t xml:space="preserve">the </w:t>
      </w:r>
      <w:r w:rsidR="00DA572C" w:rsidRPr="00F40242">
        <w:rPr>
          <w:sz w:val="26"/>
        </w:rPr>
        <w:t>same</w:t>
      </w:r>
      <w:r w:rsidR="006D187E" w:rsidRPr="00F40242">
        <w:rPr>
          <w:sz w:val="26"/>
        </w:rPr>
        <w:t xml:space="preserve"> </w:t>
      </w:r>
      <w:r w:rsidR="003414D2" w:rsidRPr="00F40242">
        <w:rPr>
          <w:sz w:val="26"/>
        </w:rPr>
        <w:t>(</w:t>
      </w:r>
      <w:proofErr w:type="spellStart"/>
      <w:r w:rsidR="003414D2" w:rsidRPr="00F40242">
        <w:rPr>
          <w:sz w:val="26"/>
        </w:rPr>
        <w:t>Lindblom</w:t>
      </w:r>
      <w:proofErr w:type="spellEnd"/>
      <w:r w:rsidR="003414D2" w:rsidRPr="00F40242">
        <w:rPr>
          <w:sz w:val="26"/>
        </w:rPr>
        <w:t>, 1994;</w:t>
      </w:r>
      <w:r w:rsidR="00DA572C" w:rsidRPr="00F40242">
        <w:rPr>
          <w:sz w:val="26"/>
        </w:rPr>
        <w:t xml:space="preserve"> </w:t>
      </w:r>
      <w:proofErr w:type="spellStart"/>
      <w:r w:rsidR="00DA572C" w:rsidRPr="00F40242">
        <w:rPr>
          <w:sz w:val="26"/>
        </w:rPr>
        <w:t>Suchman</w:t>
      </w:r>
      <w:proofErr w:type="spellEnd"/>
      <w:r w:rsidR="00DA572C" w:rsidRPr="00F40242">
        <w:rPr>
          <w:sz w:val="26"/>
        </w:rPr>
        <w:t>, 1995</w:t>
      </w:r>
      <w:r w:rsidR="003414D2" w:rsidRPr="00F40242">
        <w:rPr>
          <w:sz w:val="26"/>
        </w:rPr>
        <w:t>)</w:t>
      </w:r>
      <w:r w:rsidR="00EA7F77" w:rsidRPr="00F40242">
        <w:rPr>
          <w:sz w:val="26"/>
        </w:rPr>
        <w:t xml:space="preserve">. </w:t>
      </w:r>
      <w:proofErr w:type="spellStart"/>
      <w:r w:rsidR="00CB7E49" w:rsidRPr="00F40242">
        <w:rPr>
          <w:sz w:val="26"/>
        </w:rPr>
        <w:t>Lindblom</w:t>
      </w:r>
      <w:proofErr w:type="spellEnd"/>
      <w:r w:rsidR="00CB7E49" w:rsidRPr="00F40242">
        <w:rPr>
          <w:sz w:val="26"/>
        </w:rPr>
        <w:t xml:space="preserve"> (1</w:t>
      </w:r>
      <w:r w:rsidR="006B220A" w:rsidRPr="00F40242">
        <w:rPr>
          <w:sz w:val="26"/>
        </w:rPr>
        <w:t>99</w:t>
      </w:r>
      <w:r w:rsidR="00CB7E49" w:rsidRPr="00F40242">
        <w:rPr>
          <w:sz w:val="26"/>
        </w:rPr>
        <w:t>4) defines legitimacy as “</w:t>
      </w:r>
      <w:r w:rsidR="00C06999" w:rsidRPr="00F40242">
        <w:rPr>
          <w:sz w:val="26"/>
        </w:rPr>
        <w:t xml:space="preserve">a condition or a status which exists when an entity’s value system is congruent with the value system of the larger social system </w:t>
      </w:r>
      <w:r w:rsidR="003006D4">
        <w:rPr>
          <w:sz w:val="26"/>
        </w:rPr>
        <w:t>in</w:t>
      </w:r>
      <w:r w:rsidR="00C06999" w:rsidRPr="00F40242">
        <w:rPr>
          <w:sz w:val="26"/>
        </w:rPr>
        <w:t xml:space="preserve"> which the entity operates</w:t>
      </w:r>
      <w:r w:rsidR="00CB7E49" w:rsidRPr="00F40242">
        <w:rPr>
          <w:sz w:val="26"/>
        </w:rPr>
        <w:t>”</w:t>
      </w:r>
      <w:r w:rsidR="00C06999" w:rsidRPr="00F40242">
        <w:rPr>
          <w:sz w:val="26"/>
        </w:rPr>
        <w:t xml:space="preserve"> (p.</w:t>
      </w:r>
      <w:r w:rsidR="00E97691" w:rsidRPr="00F40242">
        <w:rPr>
          <w:sz w:val="26"/>
        </w:rPr>
        <w:t xml:space="preserve"> </w:t>
      </w:r>
      <w:r w:rsidR="00C06999" w:rsidRPr="00F40242">
        <w:rPr>
          <w:sz w:val="26"/>
        </w:rPr>
        <w:t xml:space="preserve">2). </w:t>
      </w:r>
      <w:r w:rsidR="00E97691" w:rsidRPr="00F40242">
        <w:rPr>
          <w:sz w:val="26"/>
        </w:rPr>
        <w:t>C</w:t>
      </w:r>
      <w:r w:rsidR="006D187E" w:rsidRPr="00F40242">
        <w:rPr>
          <w:sz w:val="26"/>
        </w:rPr>
        <w:t>orporate</w:t>
      </w:r>
      <w:r w:rsidR="00DA572C" w:rsidRPr="00F40242">
        <w:rPr>
          <w:sz w:val="26"/>
        </w:rPr>
        <w:t xml:space="preserve"> legitimacy</w:t>
      </w:r>
      <w:r w:rsidR="00FB3869" w:rsidRPr="00F40242">
        <w:rPr>
          <w:noProof/>
          <w:sz w:val="26"/>
        </w:rPr>
        <w:t>, therefore,</w:t>
      </w:r>
      <w:r w:rsidR="006D187E" w:rsidRPr="00F40242">
        <w:rPr>
          <w:sz w:val="26"/>
        </w:rPr>
        <w:t xml:space="preserve"> focuses on ensuring that the roles of firms are appropriate and meet the needs of society.</w:t>
      </w:r>
      <w:r w:rsidR="00C06999" w:rsidRPr="00F40242">
        <w:rPr>
          <w:sz w:val="26"/>
        </w:rPr>
        <w:t xml:space="preserve"> </w:t>
      </w:r>
      <w:r w:rsidR="00C06999" w:rsidRPr="00F40242">
        <w:rPr>
          <w:sz w:val="26"/>
          <w:lang w:eastAsia="en-AU"/>
        </w:rPr>
        <w:t xml:space="preserve">According to </w:t>
      </w:r>
      <w:proofErr w:type="spellStart"/>
      <w:r w:rsidR="00C06999" w:rsidRPr="00F40242">
        <w:rPr>
          <w:sz w:val="26"/>
          <w:lang w:eastAsia="en-AU"/>
        </w:rPr>
        <w:t>Gray</w:t>
      </w:r>
      <w:proofErr w:type="spellEnd"/>
      <w:r w:rsidR="00E93B6A" w:rsidRPr="00F40242">
        <w:rPr>
          <w:sz w:val="26"/>
          <w:lang w:eastAsia="en-AU"/>
        </w:rPr>
        <w:t xml:space="preserve">, </w:t>
      </w:r>
      <w:proofErr w:type="spellStart"/>
      <w:r w:rsidR="00E93B6A" w:rsidRPr="00F40242">
        <w:rPr>
          <w:sz w:val="26"/>
          <w:lang w:eastAsia="en-AU"/>
        </w:rPr>
        <w:t>Kouhy</w:t>
      </w:r>
      <w:proofErr w:type="spellEnd"/>
      <w:r w:rsidR="00E97691" w:rsidRPr="00F40242">
        <w:rPr>
          <w:sz w:val="26"/>
          <w:lang w:eastAsia="en-AU"/>
        </w:rPr>
        <w:t>,</w:t>
      </w:r>
      <w:r w:rsidR="00E93B6A" w:rsidRPr="00F40242">
        <w:rPr>
          <w:sz w:val="26"/>
          <w:lang w:eastAsia="en-AU"/>
        </w:rPr>
        <w:t xml:space="preserve"> and Lavers</w:t>
      </w:r>
      <w:r w:rsidR="00C06999" w:rsidRPr="00F40242">
        <w:rPr>
          <w:sz w:val="26"/>
          <w:lang w:eastAsia="en-AU"/>
        </w:rPr>
        <w:t xml:space="preserve"> (1995), legitimacy theory provides a framework for explaining the non-financial disclosure strategies of </w:t>
      </w:r>
      <w:r w:rsidR="008E10C8" w:rsidRPr="00F40242">
        <w:rPr>
          <w:noProof/>
          <w:sz w:val="26"/>
          <w:lang w:eastAsia="en-AU"/>
        </w:rPr>
        <w:t>companies</w:t>
      </w:r>
      <w:r w:rsidR="00FB3869" w:rsidRPr="00F40242">
        <w:rPr>
          <w:noProof/>
          <w:sz w:val="26"/>
          <w:lang w:eastAsia="en-AU"/>
        </w:rPr>
        <w:t>,</w:t>
      </w:r>
      <w:r w:rsidR="00C06999" w:rsidRPr="00F40242">
        <w:rPr>
          <w:sz w:val="26"/>
          <w:lang w:eastAsia="en-AU"/>
        </w:rPr>
        <w:t xml:space="preserve"> and this is empirically testable.</w:t>
      </w:r>
    </w:p>
    <w:p w14:paraId="167D2824" w14:textId="16E2905F" w:rsidR="00832F49" w:rsidRPr="00F40242" w:rsidRDefault="00E97691" w:rsidP="0011086F">
      <w:pPr>
        <w:spacing w:line="360" w:lineRule="exact"/>
        <w:ind w:firstLineChars="200" w:firstLine="520"/>
        <w:jc w:val="both"/>
        <w:rPr>
          <w:rFonts w:eastAsiaTheme="minorHAnsi"/>
          <w:sz w:val="26"/>
        </w:rPr>
      </w:pPr>
      <w:r w:rsidRPr="00F40242">
        <w:rPr>
          <w:rFonts w:eastAsiaTheme="minorHAnsi"/>
          <w:color w:val="000000"/>
          <w:sz w:val="26"/>
        </w:rPr>
        <w:t>The l</w:t>
      </w:r>
      <w:r w:rsidR="00832F49" w:rsidRPr="00F40242">
        <w:rPr>
          <w:rFonts w:eastAsiaTheme="minorHAnsi"/>
          <w:color w:val="000000"/>
          <w:sz w:val="26"/>
        </w:rPr>
        <w:t xml:space="preserve">iterature suggest that many authors uses </w:t>
      </w:r>
      <w:r w:rsidRPr="00F40242">
        <w:rPr>
          <w:rFonts w:eastAsiaTheme="minorHAnsi"/>
          <w:color w:val="000000"/>
          <w:sz w:val="26"/>
        </w:rPr>
        <w:t xml:space="preserve">a </w:t>
      </w:r>
      <w:r w:rsidR="00832F49" w:rsidRPr="00F40242">
        <w:rPr>
          <w:rFonts w:eastAsiaTheme="minorHAnsi"/>
          <w:color w:val="000000"/>
          <w:sz w:val="26"/>
        </w:rPr>
        <w:t>matrix to examine the drivers of differences in disclosures in different context. Legitimacy theory is a “system-oriented” theory that underlines the investigations of “the role of information and disclosure in the relationship(s) between organizations, the State, individuals, and groups</w:t>
      </w:r>
      <w:r w:rsidR="003701F5" w:rsidRPr="00F40242">
        <w:rPr>
          <w:rFonts w:eastAsiaTheme="minorHAnsi"/>
          <w:color w:val="000000"/>
          <w:sz w:val="26"/>
        </w:rPr>
        <w:t>”</w:t>
      </w:r>
      <w:r w:rsidR="00832F49" w:rsidRPr="00F40242">
        <w:rPr>
          <w:rFonts w:eastAsiaTheme="minorHAnsi"/>
          <w:color w:val="000000"/>
          <w:sz w:val="26"/>
        </w:rPr>
        <w:t xml:space="preserve"> </w:t>
      </w:r>
      <w:r w:rsidRPr="00F40242">
        <w:rPr>
          <w:rFonts w:eastAsiaTheme="minorHAnsi"/>
          <w:color w:val="000000"/>
          <w:sz w:val="26"/>
        </w:rPr>
        <w:t>(</w:t>
      </w:r>
      <w:proofErr w:type="spellStart"/>
      <w:r w:rsidR="00832F49" w:rsidRPr="00F40242">
        <w:rPr>
          <w:rFonts w:eastAsiaTheme="minorHAnsi"/>
          <w:color w:val="000000"/>
          <w:sz w:val="26"/>
        </w:rPr>
        <w:t>Gray</w:t>
      </w:r>
      <w:proofErr w:type="spellEnd"/>
      <w:r w:rsidR="00832F49" w:rsidRPr="00F40242">
        <w:rPr>
          <w:rFonts w:eastAsiaTheme="minorHAnsi"/>
          <w:color w:val="000000"/>
          <w:sz w:val="26"/>
        </w:rPr>
        <w:t>, Owen</w:t>
      </w:r>
      <w:r w:rsidRPr="00F40242">
        <w:rPr>
          <w:rFonts w:eastAsiaTheme="minorHAnsi"/>
          <w:color w:val="000000"/>
          <w:sz w:val="26"/>
        </w:rPr>
        <w:t>, &amp;</w:t>
      </w:r>
      <w:r w:rsidR="00832F49" w:rsidRPr="00F40242">
        <w:rPr>
          <w:rFonts w:eastAsiaTheme="minorHAnsi"/>
          <w:color w:val="000000"/>
          <w:sz w:val="26"/>
        </w:rPr>
        <w:t xml:space="preserve"> Adams</w:t>
      </w:r>
      <w:r w:rsidRPr="00F40242">
        <w:rPr>
          <w:rFonts w:eastAsiaTheme="minorHAnsi"/>
          <w:color w:val="000000"/>
          <w:sz w:val="26"/>
        </w:rPr>
        <w:t xml:space="preserve">, </w:t>
      </w:r>
      <w:r w:rsidR="00832F49" w:rsidRPr="00F40242">
        <w:rPr>
          <w:rFonts w:eastAsiaTheme="minorHAnsi"/>
          <w:color w:val="000000"/>
          <w:sz w:val="26"/>
        </w:rPr>
        <w:t>1</w:t>
      </w:r>
      <w:r w:rsidR="006B220A" w:rsidRPr="00F40242">
        <w:rPr>
          <w:rFonts w:eastAsiaTheme="minorHAnsi"/>
          <w:color w:val="000000"/>
          <w:sz w:val="26"/>
        </w:rPr>
        <w:t>9</w:t>
      </w:r>
      <w:r w:rsidR="00832F49" w:rsidRPr="00F40242">
        <w:rPr>
          <w:rFonts w:eastAsiaTheme="minorHAnsi"/>
          <w:color w:val="000000"/>
          <w:sz w:val="26"/>
        </w:rPr>
        <w:t>96, p.</w:t>
      </w:r>
      <w:r w:rsidR="00A212D0">
        <w:rPr>
          <w:rFonts w:asciiTheme="minorEastAsia" w:eastAsiaTheme="minorEastAsia" w:hAnsiTheme="minorEastAsia" w:hint="eastAsia"/>
          <w:color w:val="000000"/>
          <w:sz w:val="26"/>
          <w:lang w:eastAsia="zh-TW"/>
        </w:rPr>
        <w:t xml:space="preserve"> </w:t>
      </w:r>
      <w:r w:rsidR="00832F49" w:rsidRPr="00F40242">
        <w:rPr>
          <w:rFonts w:eastAsiaTheme="minorHAnsi"/>
          <w:color w:val="000000"/>
          <w:sz w:val="26"/>
        </w:rPr>
        <w:t>45). Deegan (2002) added that system</w:t>
      </w:r>
      <w:r w:rsidRPr="00F40242">
        <w:rPr>
          <w:rFonts w:eastAsiaTheme="minorHAnsi"/>
          <w:color w:val="000000"/>
          <w:sz w:val="26"/>
        </w:rPr>
        <w:t>-</w:t>
      </w:r>
      <w:r w:rsidR="00832F49" w:rsidRPr="00F40242">
        <w:rPr>
          <w:rFonts w:eastAsiaTheme="minorHAnsi"/>
          <w:color w:val="000000"/>
          <w:sz w:val="26"/>
        </w:rPr>
        <w:t xml:space="preserve">oriented theories identify disclosure as an </w:t>
      </w:r>
      <w:r w:rsidR="00964109" w:rsidRPr="00F40242">
        <w:rPr>
          <w:rFonts w:eastAsiaTheme="minorHAnsi"/>
          <w:color w:val="000000"/>
          <w:sz w:val="26"/>
        </w:rPr>
        <w:t>“</w:t>
      </w:r>
      <w:r w:rsidR="00832F49" w:rsidRPr="00F40242">
        <w:rPr>
          <w:rFonts w:eastAsiaTheme="minorHAnsi"/>
          <w:color w:val="000000"/>
          <w:sz w:val="26"/>
        </w:rPr>
        <w:t>important means by which management can influence external perceptions about their organization</w:t>
      </w:r>
      <w:r w:rsidRPr="00F40242">
        <w:rPr>
          <w:rFonts w:eastAsiaTheme="minorHAnsi"/>
          <w:color w:val="000000"/>
          <w:sz w:val="26"/>
        </w:rPr>
        <w:t>”</w:t>
      </w:r>
      <w:r w:rsidR="00832F49" w:rsidRPr="00F40242">
        <w:rPr>
          <w:rFonts w:eastAsiaTheme="minorHAnsi"/>
          <w:color w:val="000000"/>
          <w:sz w:val="26"/>
        </w:rPr>
        <w:t xml:space="preserve"> (p.</w:t>
      </w:r>
      <w:r w:rsidRPr="00F40242">
        <w:rPr>
          <w:rFonts w:eastAsiaTheme="minorHAnsi"/>
          <w:color w:val="000000"/>
          <w:sz w:val="26"/>
        </w:rPr>
        <w:t xml:space="preserve"> </w:t>
      </w:r>
      <w:r w:rsidR="00832F49" w:rsidRPr="00F40242">
        <w:rPr>
          <w:rFonts w:eastAsiaTheme="minorHAnsi"/>
          <w:color w:val="000000"/>
          <w:sz w:val="26"/>
        </w:rPr>
        <w:t>292). When business are espoused to the social, cultural and political practices through which social legitimacy is scrutinised and conferred (Patten, 199</w:t>
      </w:r>
      <w:r w:rsidR="00475D7E" w:rsidRPr="003006D4">
        <w:rPr>
          <w:rFonts w:eastAsiaTheme="minorEastAsia"/>
          <w:color w:val="000000"/>
          <w:sz w:val="26"/>
          <w:lang w:eastAsia="zh-TW"/>
        </w:rPr>
        <w:t>1</w:t>
      </w:r>
      <w:r w:rsidR="00832F49" w:rsidRPr="00F40242">
        <w:rPr>
          <w:rFonts w:eastAsiaTheme="minorHAnsi"/>
          <w:color w:val="000000"/>
          <w:sz w:val="26"/>
        </w:rPr>
        <w:t>), they are motivated to use disclosure to enhance their legitimacy. Therefore, differences in CSR disclosure</w:t>
      </w:r>
      <w:r w:rsidR="00361A80">
        <w:rPr>
          <w:rFonts w:eastAsiaTheme="minorHAnsi"/>
          <w:color w:val="000000"/>
          <w:sz w:val="26"/>
        </w:rPr>
        <w:t>s amount</w:t>
      </w:r>
      <w:r w:rsidR="00832F49" w:rsidRPr="00F40242">
        <w:rPr>
          <w:rFonts w:eastAsiaTheme="minorHAnsi"/>
          <w:color w:val="000000"/>
          <w:sz w:val="26"/>
        </w:rPr>
        <w:t xml:space="preserve"> are expected to be related </w:t>
      </w:r>
      <w:r w:rsidRPr="00F40242">
        <w:rPr>
          <w:rFonts w:eastAsiaTheme="minorHAnsi"/>
          <w:color w:val="000000"/>
          <w:sz w:val="26"/>
        </w:rPr>
        <w:t xml:space="preserve">to </w:t>
      </w:r>
      <w:r w:rsidR="00832F49" w:rsidRPr="00F40242">
        <w:rPr>
          <w:rFonts w:eastAsiaTheme="minorHAnsi"/>
          <w:color w:val="000000"/>
          <w:sz w:val="26"/>
        </w:rPr>
        <w:t>differences in socio</w:t>
      </w:r>
      <w:r w:rsidRPr="00F40242">
        <w:rPr>
          <w:rFonts w:eastAsiaTheme="minorHAnsi"/>
          <w:color w:val="000000"/>
          <w:sz w:val="26"/>
        </w:rPr>
        <w:t>-</w:t>
      </w:r>
      <w:r w:rsidR="00832F49" w:rsidRPr="00F40242">
        <w:rPr>
          <w:rFonts w:eastAsiaTheme="minorHAnsi"/>
          <w:color w:val="000000"/>
          <w:sz w:val="26"/>
        </w:rPr>
        <w:t>cultural experiences. Prior literature provide</w:t>
      </w:r>
      <w:r w:rsidRPr="00F40242">
        <w:rPr>
          <w:rFonts w:eastAsiaTheme="minorHAnsi"/>
          <w:color w:val="000000"/>
          <w:sz w:val="26"/>
        </w:rPr>
        <w:t>s</w:t>
      </w:r>
      <w:r w:rsidR="00832F49" w:rsidRPr="00F40242">
        <w:rPr>
          <w:rFonts w:eastAsiaTheme="minorHAnsi"/>
          <w:color w:val="000000"/>
          <w:sz w:val="26"/>
        </w:rPr>
        <w:t xml:space="preserve"> evidence that </w:t>
      </w:r>
      <w:r w:rsidR="006B3A6E" w:rsidRPr="00F40242">
        <w:rPr>
          <w:rFonts w:eastAsiaTheme="minorHAnsi"/>
          <w:color w:val="000000"/>
          <w:sz w:val="26"/>
        </w:rPr>
        <w:t>“</w:t>
      </w:r>
      <w:r w:rsidR="00832F49" w:rsidRPr="00F40242">
        <w:rPr>
          <w:rFonts w:eastAsiaTheme="minorHAnsi"/>
          <w:color w:val="000000"/>
          <w:sz w:val="26"/>
        </w:rPr>
        <w:t>corporate social and environmental disclosure strategies have been linked to legitimizing intentions</w:t>
      </w:r>
      <w:r w:rsidR="006B3A6E" w:rsidRPr="00F40242">
        <w:rPr>
          <w:rFonts w:eastAsiaTheme="minorHAnsi"/>
          <w:color w:val="000000"/>
          <w:sz w:val="26"/>
        </w:rPr>
        <w:t>”</w:t>
      </w:r>
      <w:r w:rsidR="00832F49" w:rsidRPr="00F40242">
        <w:rPr>
          <w:rFonts w:eastAsiaTheme="minorHAnsi"/>
          <w:color w:val="000000"/>
          <w:sz w:val="26"/>
        </w:rPr>
        <w:t xml:space="preserve"> (Deegan</w:t>
      </w:r>
      <w:r w:rsidRPr="00F40242">
        <w:rPr>
          <w:rFonts w:eastAsiaTheme="minorHAnsi"/>
          <w:color w:val="000000"/>
          <w:sz w:val="26"/>
        </w:rPr>
        <w:t>,</w:t>
      </w:r>
      <w:r w:rsidR="00832F49" w:rsidRPr="00F40242">
        <w:rPr>
          <w:rFonts w:eastAsiaTheme="minorHAnsi"/>
          <w:color w:val="000000"/>
          <w:sz w:val="26"/>
        </w:rPr>
        <w:t xml:space="preserve"> 2002, p.</w:t>
      </w:r>
      <w:r w:rsidRPr="00F40242">
        <w:rPr>
          <w:rFonts w:eastAsiaTheme="minorHAnsi"/>
          <w:color w:val="000000"/>
          <w:sz w:val="26"/>
        </w:rPr>
        <w:t xml:space="preserve"> </w:t>
      </w:r>
      <w:r w:rsidR="00832F49" w:rsidRPr="00F40242">
        <w:rPr>
          <w:rFonts w:eastAsiaTheme="minorHAnsi"/>
          <w:color w:val="000000"/>
          <w:sz w:val="26"/>
        </w:rPr>
        <w:t xml:space="preserve">297) and </w:t>
      </w:r>
      <w:r w:rsidRPr="00F40242">
        <w:rPr>
          <w:rFonts w:eastAsiaTheme="minorHAnsi"/>
          <w:color w:val="000000"/>
          <w:sz w:val="26"/>
        </w:rPr>
        <w:t xml:space="preserve">that </w:t>
      </w:r>
      <w:r w:rsidR="00832F49" w:rsidRPr="00F40242">
        <w:rPr>
          <w:rFonts w:eastAsiaTheme="minorHAnsi"/>
          <w:color w:val="000000"/>
          <w:sz w:val="26"/>
        </w:rPr>
        <w:t xml:space="preserve">differences in the volume of CSR disclosure </w:t>
      </w:r>
      <w:r w:rsidRPr="00F40242">
        <w:rPr>
          <w:rFonts w:eastAsiaTheme="minorHAnsi"/>
          <w:color w:val="000000"/>
          <w:sz w:val="26"/>
        </w:rPr>
        <w:t xml:space="preserve">are </w:t>
      </w:r>
      <w:r w:rsidR="00832F49" w:rsidRPr="00F40242">
        <w:rPr>
          <w:rFonts w:eastAsiaTheme="minorHAnsi"/>
          <w:color w:val="000000"/>
          <w:sz w:val="26"/>
        </w:rPr>
        <w:t>likely to be related with factors that capture different sociocultural exposures. In our study</w:t>
      </w:r>
      <w:r w:rsidRPr="00F40242">
        <w:rPr>
          <w:rFonts w:eastAsiaTheme="minorHAnsi"/>
          <w:color w:val="000000"/>
          <w:sz w:val="26"/>
        </w:rPr>
        <w:t>,</w:t>
      </w:r>
      <w:r w:rsidR="00832F49" w:rsidRPr="00F40242">
        <w:rPr>
          <w:rFonts w:eastAsiaTheme="minorHAnsi"/>
          <w:color w:val="000000"/>
          <w:sz w:val="26"/>
        </w:rPr>
        <w:t xml:space="preserve"> we attempt to investigate whether the use of disclosure as a legitimating device changes </w:t>
      </w:r>
      <w:r w:rsidRPr="00F40242">
        <w:rPr>
          <w:rFonts w:eastAsiaTheme="minorHAnsi"/>
          <w:color w:val="000000"/>
          <w:sz w:val="26"/>
        </w:rPr>
        <w:t xml:space="preserve">along </w:t>
      </w:r>
      <w:r w:rsidR="00832F49" w:rsidRPr="00F40242">
        <w:rPr>
          <w:rFonts w:eastAsiaTheme="minorHAnsi"/>
          <w:color w:val="000000"/>
          <w:sz w:val="26"/>
        </w:rPr>
        <w:t>with change</w:t>
      </w:r>
      <w:r w:rsidRPr="00F40242">
        <w:rPr>
          <w:rFonts w:eastAsiaTheme="minorHAnsi"/>
          <w:color w:val="000000"/>
          <w:sz w:val="26"/>
        </w:rPr>
        <w:t>s in</w:t>
      </w:r>
      <w:r w:rsidR="00832F49" w:rsidRPr="00F40242">
        <w:rPr>
          <w:rFonts w:eastAsiaTheme="minorHAnsi"/>
          <w:color w:val="000000"/>
          <w:sz w:val="26"/>
        </w:rPr>
        <w:t xml:space="preserve"> context.</w:t>
      </w:r>
    </w:p>
    <w:p w14:paraId="645DFF4B" w14:textId="1E6D77A4" w:rsidR="00B03123" w:rsidRPr="00F40242" w:rsidRDefault="00B03123" w:rsidP="0011086F">
      <w:pPr>
        <w:spacing w:line="360" w:lineRule="exact"/>
        <w:ind w:firstLineChars="200" w:firstLine="520"/>
        <w:jc w:val="both"/>
        <w:rPr>
          <w:bCs/>
          <w:sz w:val="26"/>
        </w:rPr>
      </w:pPr>
      <w:bookmarkStart w:id="2" w:name="_Toc323222188"/>
      <w:r w:rsidRPr="0011086F">
        <w:rPr>
          <w:sz w:val="26"/>
          <w:lang w:eastAsia="en-AU"/>
        </w:rPr>
        <w:t>We argue that</w:t>
      </w:r>
      <w:r w:rsidR="00E97691" w:rsidRPr="0011086F">
        <w:rPr>
          <w:sz w:val="26"/>
          <w:lang w:eastAsia="en-AU"/>
        </w:rPr>
        <w:t>,</w:t>
      </w:r>
      <w:r w:rsidRPr="0011086F">
        <w:rPr>
          <w:sz w:val="26"/>
          <w:lang w:eastAsia="en-AU"/>
        </w:rPr>
        <w:t xml:space="preserve"> given the prominent regional socio-cultural differences, corporate</w:t>
      </w:r>
      <w:r w:rsidRPr="00F40242">
        <w:rPr>
          <w:bCs/>
          <w:sz w:val="26"/>
        </w:rPr>
        <w:t xml:space="preserve"> non-financial disclosure strategies of a firm </w:t>
      </w:r>
      <w:r w:rsidR="00E97691" w:rsidRPr="00F40242">
        <w:rPr>
          <w:bCs/>
          <w:sz w:val="26"/>
        </w:rPr>
        <w:t>are</w:t>
      </w:r>
      <w:r w:rsidRPr="00F40242">
        <w:rPr>
          <w:bCs/>
          <w:sz w:val="26"/>
        </w:rPr>
        <w:t xml:space="preserve"> determined by </w:t>
      </w:r>
      <w:r w:rsidR="00E97691" w:rsidRPr="00F40242">
        <w:rPr>
          <w:bCs/>
          <w:sz w:val="26"/>
        </w:rPr>
        <w:t xml:space="preserve">a </w:t>
      </w:r>
      <w:r w:rsidRPr="00F40242">
        <w:rPr>
          <w:bCs/>
          <w:sz w:val="26"/>
        </w:rPr>
        <w:t xml:space="preserve">country’s socio-cultural setting. The objective of this paper is to investigate the determinants of non-financial disclosure of Indian publicly listed companies under the voluntary disclosure regime. Given the regional socio-cultural differences that exist, an understanding of the determinants of voluntary non-financial disclosure of companies in the emerging Asia region is pertinent. Based on legitimacy theory, we proceeded to test </w:t>
      </w:r>
      <w:r w:rsidR="00130F64">
        <w:rPr>
          <w:bCs/>
          <w:sz w:val="26"/>
        </w:rPr>
        <w:t xml:space="preserve">six </w:t>
      </w:r>
      <w:r w:rsidRPr="00F40242">
        <w:rPr>
          <w:bCs/>
          <w:sz w:val="26"/>
        </w:rPr>
        <w:t>hypothes</w:t>
      </w:r>
      <w:r w:rsidR="00130F64">
        <w:rPr>
          <w:bCs/>
          <w:sz w:val="26"/>
        </w:rPr>
        <w:t>e</w:t>
      </w:r>
      <w:r w:rsidRPr="00F40242">
        <w:rPr>
          <w:bCs/>
          <w:sz w:val="26"/>
        </w:rPr>
        <w:t>s</w:t>
      </w:r>
      <w:r w:rsidR="00E97691" w:rsidRPr="00F40242">
        <w:rPr>
          <w:bCs/>
          <w:sz w:val="26"/>
        </w:rPr>
        <w:t>,</w:t>
      </w:r>
      <w:r w:rsidRPr="00F40242">
        <w:rPr>
          <w:bCs/>
          <w:sz w:val="26"/>
        </w:rPr>
        <w:t xml:space="preserve"> and </w:t>
      </w:r>
      <w:r w:rsidR="00E97691" w:rsidRPr="00F40242">
        <w:rPr>
          <w:bCs/>
          <w:sz w:val="26"/>
        </w:rPr>
        <w:t xml:space="preserve">we </w:t>
      </w:r>
      <w:r w:rsidRPr="00F40242">
        <w:rPr>
          <w:bCs/>
          <w:sz w:val="26"/>
        </w:rPr>
        <w:t xml:space="preserve">find empirical evidence to show that the corporate disclosure strategies of a firm </w:t>
      </w:r>
      <w:r w:rsidR="00E97691" w:rsidRPr="00F40242">
        <w:rPr>
          <w:bCs/>
          <w:sz w:val="26"/>
        </w:rPr>
        <w:t>are</w:t>
      </w:r>
      <w:r w:rsidRPr="00F40242">
        <w:rPr>
          <w:bCs/>
          <w:sz w:val="26"/>
        </w:rPr>
        <w:t xml:space="preserve"> influenced, within the context of India’s publicly listed companies, by the country’s socio-cultural setting. </w:t>
      </w:r>
    </w:p>
    <w:p w14:paraId="34182223" w14:textId="3FA5FFD8" w:rsidR="00B03123" w:rsidRPr="00F40242" w:rsidRDefault="00B03123" w:rsidP="0011086F">
      <w:pPr>
        <w:spacing w:line="360" w:lineRule="exact"/>
        <w:ind w:firstLineChars="200" w:firstLine="520"/>
        <w:jc w:val="both"/>
        <w:rPr>
          <w:color w:val="000000"/>
          <w:sz w:val="26"/>
        </w:rPr>
      </w:pPr>
      <w:r w:rsidRPr="00F40242">
        <w:rPr>
          <w:color w:val="000000"/>
          <w:sz w:val="26"/>
        </w:rPr>
        <w:lastRenderedPageBreak/>
        <w:t xml:space="preserve">The current study extends the legitimacy theoretic framework developed by </w:t>
      </w:r>
      <w:proofErr w:type="spellStart"/>
      <w:r w:rsidRPr="00F40242">
        <w:rPr>
          <w:color w:val="000000"/>
          <w:sz w:val="26"/>
        </w:rPr>
        <w:t>Suchman</w:t>
      </w:r>
      <w:proofErr w:type="spellEnd"/>
      <w:r w:rsidRPr="00F40242">
        <w:rPr>
          <w:color w:val="000000"/>
          <w:sz w:val="26"/>
        </w:rPr>
        <w:t xml:space="preserve"> (1995) to empirically validat</w:t>
      </w:r>
      <w:r w:rsidR="000D11F3" w:rsidRPr="00F40242">
        <w:rPr>
          <w:color w:val="000000"/>
          <w:sz w:val="26"/>
        </w:rPr>
        <w:t>e</w:t>
      </w:r>
      <w:r w:rsidRPr="00F40242">
        <w:rPr>
          <w:color w:val="000000"/>
          <w:sz w:val="26"/>
        </w:rPr>
        <w:t xml:space="preserve"> the efficacy of the legitimacy theory in explaining the non-financial disclosure strategies of a firm within </w:t>
      </w:r>
      <w:r w:rsidR="000D11F3" w:rsidRPr="00F40242">
        <w:rPr>
          <w:color w:val="000000"/>
          <w:sz w:val="26"/>
        </w:rPr>
        <w:t xml:space="preserve">the </w:t>
      </w:r>
      <w:r w:rsidRPr="00F40242">
        <w:rPr>
          <w:color w:val="000000"/>
          <w:sz w:val="26"/>
        </w:rPr>
        <w:t>developing country context</w:t>
      </w:r>
      <w:r w:rsidR="000D11F3" w:rsidRPr="00F40242">
        <w:rPr>
          <w:color w:val="000000"/>
          <w:sz w:val="26"/>
        </w:rPr>
        <w:t xml:space="preserve"> of</w:t>
      </w:r>
      <w:r w:rsidRPr="00F40242">
        <w:rPr>
          <w:color w:val="000000"/>
          <w:sz w:val="26"/>
        </w:rPr>
        <w:t xml:space="preserve"> India’s publicly listed companies. </w:t>
      </w:r>
      <w:r w:rsidR="00CB7E49" w:rsidRPr="00F40242">
        <w:rPr>
          <w:color w:val="000000"/>
          <w:sz w:val="26"/>
        </w:rPr>
        <w:t xml:space="preserve">India is one of the largest and </w:t>
      </w:r>
      <w:r w:rsidR="000D11F3" w:rsidRPr="00F40242">
        <w:rPr>
          <w:color w:val="000000"/>
          <w:sz w:val="26"/>
        </w:rPr>
        <w:t xml:space="preserve">most </w:t>
      </w:r>
      <w:r w:rsidR="00CB7E49" w:rsidRPr="00F40242">
        <w:rPr>
          <w:color w:val="000000"/>
          <w:sz w:val="26"/>
        </w:rPr>
        <w:t xml:space="preserve">important emerging economies in </w:t>
      </w:r>
      <w:r w:rsidR="00CB7E49" w:rsidRPr="00F40242">
        <w:rPr>
          <w:noProof/>
          <w:color w:val="000000"/>
          <w:sz w:val="26"/>
        </w:rPr>
        <w:t>Asia</w:t>
      </w:r>
      <w:r w:rsidR="000D11F3" w:rsidRPr="00F40242">
        <w:rPr>
          <w:noProof/>
          <w:color w:val="000000"/>
          <w:sz w:val="26"/>
        </w:rPr>
        <w:t>,</w:t>
      </w:r>
      <w:r w:rsidR="00CB7E49" w:rsidRPr="00F40242">
        <w:rPr>
          <w:color w:val="000000"/>
          <w:sz w:val="26"/>
        </w:rPr>
        <w:t xml:space="preserve"> but </w:t>
      </w:r>
      <w:r w:rsidR="000D11F3" w:rsidRPr="00F40242">
        <w:rPr>
          <w:color w:val="000000"/>
          <w:sz w:val="26"/>
        </w:rPr>
        <w:t xml:space="preserve">it </w:t>
      </w:r>
      <w:r w:rsidR="00CB7E49" w:rsidRPr="00F40242">
        <w:rPr>
          <w:color w:val="000000"/>
          <w:sz w:val="26"/>
        </w:rPr>
        <w:t xml:space="preserve">has experienced recurring </w:t>
      </w:r>
      <w:r w:rsidR="000D11F3" w:rsidRPr="00F40242">
        <w:rPr>
          <w:color w:val="000000"/>
          <w:sz w:val="26"/>
        </w:rPr>
        <w:t>fluctuations in</w:t>
      </w:r>
      <w:r w:rsidR="00CB7E49" w:rsidRPr="00F40242">
        <w:rPr>
          <w:color w:val="000000"/>
          <w:sz w:val="26"/>
        </w:rPr>
        <w:t xml:space="preserve"> its economy. In recent </w:t>
      </w:r>
      <w:r w:rsidR="000D11F3" w:rsidRPr="00F40242">
        <w:rPr>
          <w:color w:val="000000"/>
          <w:sz w:val="26"/>
        </w:rPr>
        <w:t>years</w:t>
      </w:r>
      <w:r w:rsidR="00CB7E49" w:rsidRPr="00F40242">
        <w:rPr>
          <w:color w:val="000000"/>
          <w:sz w:val="26"/>
        </w:rPr>
        <w:t>, India has experienced</w:t>
      </w:r>
      <w:r w:rsidR="000D11F3" w:rsidRPr="00F40242">
        <w:rPr>
          <w:color w:val="000000"/>
          <w:sz w:val="26"/>
        </w:rPr>
        <w:t xml:space="preserve"> a</w:t>
      </w:r>
      <w:r w:rsidR="00CB7E49" w:rsidRPr="00F40242">
        <w:rPr>
          <w:color w:val="000000"/>
          <w:sz w:val="26"/>
        </w:rPr>
        <w:t xml:space="preserve"> volatile economic growth trajectory. </w:t>
      </w:r>
      <w:r w:rsidR="000D11F3" w:rsidRPr="00F40242">
        <w:rPr>
          <w:color w:val="000000"/>
          <w:sz w:val="26"/>
        </w:rPr>
        <w:t xml:space="preserve">According to </w:t>
      </w:r>
      <w:r w:rsidRPr="00F40242">
        <w:rPr>
          <w:color w:val="000000"/>
          <w:sz w:val="26"/>
        </w:rPr>
        <w:t xml:space="preserve">a recent </w:t>
      </w:r>
      <w:r w:rsidR="00CB7E49" w:rsidRPr="00F40242">
        <w:rPr>
          <w:color w:val="000000"/>
          <w:sz w:val="26"/>
        </w:rPr>
        <w:t>re</w:t>
      </w:r>
      <w:r w:rsidRPr="00F40242">
        <w:rPr>
          <w:color w:val="000000"/>
          <w:sz w:val="26"/>
        </w:rPr>
        <w:t xml:space="preserve">port by </w:t>
      </w:r>
      <w:r w:rsidRPr="00B60B97">
        <w:rPr>
          <w:sz w:val="26"/>
        </w:rPr>
        <w:t xml:space="preserve">the World Bank, the Indian economy </w:t>
      </w:r>
      <w:r w:rsidRPr="00F40242">
        <w:rPr>
          <w:rFonts w:eastAsia="Calibri"/>
          <w:sz w:val="26"/>
        </w:rPr>
        <w:t>grew by 8.5</w:t>
      </w:r>
      <w:r w:rsidRPr="00B60B97">
        <w:rPr>
          <w:rFonts w:eastAsia="Calibri"/>
          <w:sz w:val="26"/>
        </w:rPr>
        <w:t>% in 2009, peaking at 10.5% in 2010 but declining quite dramatically to 3.2% in 2013 (The World Bank</w:t>
      </w:r>
      <w:r w:rsidR="003701F5" w:rsidRPr="00B60B97">
        <w:rPr>
          <w:rFonts w:eastAsia="Calibri"/>
          <w:sz w:val="26"/>
        </w:rPr>
        <w:t>,</w:t>
      </w:r>
      <w:r w:rsidR="000D11F3" w:rsidRPr="00F40242">
        <w:rPr>
          <w:rFonts w:eastAsia="Calibri"/>
          <w:sz w:val="26"/>
        </w:rPr>
        <w:t xml:space="preserve"> </w:t>
      </w:r>
      <w:r w:rsidR="003701F5" w:rsidRPr="00B60B97">
        <w:rPr>
          <w:rFonts w:eastAsia="Calibri"/>
          <w:sz w:val="26"/>
        </w:rPr>
        <w:t>2</w:t>
      </w:r>
      <w:r w:rsidRPr="00B60B97">
        <w:rPr>
          <w:rFonts w:eastAsia="Calibri"/>
          <w:sz w:val="26"/>
        </w:rPr>
        <w:t>014)</w:t>
      </w:r>
      <w:r w:rsidRPr="00B60B97">
        <w:rPr>
          <w:sz w:val="26"/>
        </w:rPr>
        <w:t xml:space="preserve">. </w:t>
      </w:r>
      <w:r w:rsidR="000D11F3" w:rsidRPr="00F40242">
        <w:rPr>
          <w:noProof/>
          <w:sz w:val="26"/>
        </w:rPr>
        <w:t>Moreover</w:t>
      </w:r>
      <w:r w:rsidRPr="00B60B97">
        <w:rPr>
          <w:sz w:val="26"/>
        </w:rPr>
        <w:t>, India is one of the</w:t>
      </w:r>
      <w:r w:rsidRPr="00F40242">
        <w:rPr>
          <w:rFonts w:eastAsiaTheme="minorEastAsia"/>
          <w:spacing w:val="19"/>
          <w:position w:val="2"/>
          <w:sz w:val="26"/>
          <w:lang w:val="en-GB" w:eastAsia="en-AU"/>
        </w:rPr>
        <w:t xml:space="preserve"> </w:t>
      </w:r>
      <w:r w:rsidRPr="00F40242">
        <w:rPr>
          <w:rFonts w:eastAsiaTheme="minorEastAsia"/>
          <w:position w:val="2"/>
          <w:sz w:val="26"/>
          <w:lang w:val="en-GB" w:eastAsia="en-AU"/>
        </w:rPr>
        <w:t>la</w:t>
      </w:r>
      <w:r w:rsidRPr="00F40242">
        <w:rPr>
          <w:rFonts w:eastAsiaTheme="minorEastAsia"/>
          <w:spacing w:val="-2"/>
          <w:position w:val="2"/>
          <w:sz w:val="26"/>
          <w:lang w:val="en-GB" w:eastAsia="en-AU"/>
        </w:rPr>
        <w:t>r</w:t>
      </w:r>
      <w:r w:rsidRPr="00F40242">
        <w:rPr>
          <w:rFonts w:eastAsiaTheme="minorEastAsia"/>
          <w:spacing w:val="-1"/>
          <w:position w:val="2"/>
          <w:sz w:val="26"/>
          <w:lang w:val="en-GB" w:eastAsia="en-AU"/>
        </w:rPr>
        <w:t>ge</w:t>
      </w:r>
      <w:r w:rsidRPr="00F40242">
        <w:rPr>
          <w:rFonts w:eastAsiaTheme="minorEastAsia"/>
          <w:spacing w:val="-2"/>
          <w:position w:val="2"/>
          <w:sz w:val="26"/>
          <w:lang w:val="en-GB" w:eastAsia="en-AU"/>
        </w:rPr>
        <w:t>s</w:t>
      </w:r>
      <w:r w:rsidRPr="00F40242">
        <w:rPr>
          <w:rFonts w:eastAsiaTheme="minorEastAsia"/>
          <w:position w:val="2"/>
          <w:sz w:val="26"/>
          <w:lang w:val="en-GB" w:eastAsia="en-AU"/>
        </w:rPr>
        <w:t>t</w:t>
      </w:r>
      <w:r w:rsidRPr="00F40242">
        <w:rPr>
          <w:rFonts w:eastAsiaTheme="minorEastAsia"/>
          <w:spacing w:val="22"/>
          <w:position w:val="2"/>
          <w:sz w:val="26"/>
          <w:lang w:val="en-GB" w:eastAsia="en-AU"/>
        </w:rPr>
        <w:t xml:space="preserve"> </w:t>
      </w:r>
      <w:r w:rsidRPr="00F40242">
        <w:rPr>
          <w:rFonts w:eastAsiaTheme="minorEastAsia"/>
          <w:spacing w:val="-1"/>
          <w:position w:val="2"/>
          <w:sz w:val="26"/>
          <w:lang w:val="en-GB" w:eastAsia="en-AU"/>
        </w:rPr>
        <w:t>CO</w:t>
      </w:r>
      <w:r w:rsidRPr="00F40242">
        <w:rPr>
          <w:rFonts w:eastAsiaTheme="minorEastAsia"/>
          <w:sz w:val="26"/>
          <w:vertAlign w:val="subscript"/>
          <w:lang w:val="en-GB" w:eastAsia="en-AU"/>
        </w:rPr>
        <w:t>2</w:t>
      </w:r>
      <w:r w:rsidRPr="00F40242">
        <w:rPr>
          <w:rFonts w:eastAsiaTheme="minorEastAsia"/>
          <w:spacing w:val="19"/>
          <w:position w:val="2"/>
          <w:sz w:val="26"/>
          <w:lang w:val="en-GB" w:eastAsia="en-AU"/>
        </w:rPr>
        <w:t>-</w:t>
      </w:r>
      <w:r w:rsidRPr="00F40242">
        <w:rPr>
          <w:rFonts w:eastAsiaTheme="minorEastAsia"/>
          <w:spacing w:val="-1"/>
          <w:position w:val="2"/>
          <w:sz w:val="26"/>
          <w:lang w:val="en-GB" w:eastAsia="en-AU"/>
        </w:rPr>
        <w:t>e</w:t>
      </w:r>
      <w:r w:rsidRPr="00F40242">
        <w:rPr>
          <w:rFonts w:eastAsiaTheme="minorEastAsia"/>
          <w:spacing w:val="2"/>
          <w:position w:val="2"/>
          <w:sz w:val="26"/>
          <w:lang w:val="en-GB" w:eastAsia="en-AU"/>
        </w:rPr>
        <w:t>m</w:t>
      </w:r>
      <w:r w:rsidRPr="00F40242">
        <w:rPr>
          <w:rFonts w:eastAsiaTheme="minorEastAsia"/>
          <w:spacing w:val="-3"/>
          <w:position w:val="2"/>
          <w:sz w:val="26"/>
          <w:lang w:val="en-GB" w:eastAsia="en-AU"/>
        </w:rPr>
        <w:t>i</w:t>
      </w:r>
      <w:r w:rsidRPr="00F40242">
        <w:rPr>
          <w:rFonts w:eastAsiaTheme="minorEastAsia"/>
          <w:position w:val="2"/>
          <w:sz w:val="26"/>
          <w:lang w:val="en-GB" w:eastAsia="en-AU"/>
        </w:rPr>
        <w:t>t</w:t>
      </w:r>
      <w:r w:rsidRPr="00F40242">
        <w:rPr>
          <w:rFonts w:eastAsiaTheme="minorEastAsia"/>
          <w:spacing w:val="-2"/>
          <w:position w:val="2"/>
          <w:sz w:val="26"/>
          <w:lang w:val="en-GB" w:eastAsia="en-AU"/>
        </w:rPr>
        <w:t>t</w:t>
      </w:r>
      <w:r w:rsidRPr="00F40242">
        <w:rPr>
          <w:rFonts w:eastAsiaTheme="minorEastAsia"/>
          <w:position w:val="2"/>
          <w:sz w:val="26"/>
          <w:lang w:val="en-GB" w:eastAsia="en-AU"/>
        </w:rPr>
        <w:t>ing c</w:t>
      </w:r>
      <w:r w:rsidRPr="00F40242">
        <w:rPr>
          <w:rFonts w:eastAsiaTheme="minorEastAsia"/>
          <w:spacing w:val="-1"/>
          <w:position w:val="2"/>
          <w:sz w:val="26"/>
          <w:lang w:val="en-GB" w:eastAsia="en-AU"/>
        </w:rPr>
        <w:t>oun</w:t>
      </w:r>
      <w:r w:rsidRPr="00F40242">
        <w:rPr>
          <w:rFonts w:eastAsiaTheme="minorEastAsia"/>
          <w:position w:val="2"/>
          <w:sz w:val="26"/>
          <w:lang w:val="en-GB" w:eastAsia="en-AU"/>
        </w:rPr>
        <w:t>t</w:t>
      </w:r>
      <w:r w:rsidRPr="00F40242">
        <w:rPr>
          <w:rFonts w:eastAsiaTheme="minorEastAsia"/>
          <w:spacing w:val="-1"/>
          <w:position w:val="2"/>
          <w:sz w:val="26"/>
          <w:lang w:val="en-GB" w:eastAsia="en-AU"/>
        </w:rPr>
        <w:t>r</w:t>
      </w:r>
      <w:r w:rsidRPr="00F40242">
        <w:rPr>
          <w:rFonts w:eastAsiaTheme="minorEastAsia"/>
          <w:position w:val="2"/>
          <w:sz w:val="26"/>
          <w:lang w:val="en-GB" w:eastAsia="en-AU"/>
        </w:rPr>
        <w:t>i</w:t>
      </w:r>
      <w:r w:rsidRPr="00F40242">
        <w:rPr>
          <w:rFonts w:eastAsiaTheme="minorEastAsia"/>
          <w:spacing w:val="-3"/>
          <w:position w:val="2"/>
          <w:sz w:val="26"/>
          <w:lang w:val="en-GB" w:eastAsia="en-AU"/>
        </w:rPr>
        <w:t>e</w:t>
      </w:r>
      <w:r w:rsidRPr="00F40242">
        <w:rPr>
          <w:rFonts w:eastAsiaTheme="minorEastAsia"/>
          <w:position w:val="2"/>
          <w:sz w:val="26"/>
          <w:lang w:val="en-GB" w:eastAsia="en-AU"/>
        </w:rPr>
        <w:t>s</w:t>
      </w:r>
      <w:r w:rsidRPr="00F40242">
        <w:rPr>
          <w:rFonts w:eastAsiaTheme="minorEastAsia"/>
          <w:spacing w:val="21"/>
          <w:position w:val="2"/>
          <w:sz w:val="26"/>
          <w:lang w:val="en-GB" w:eastAsia="en-AU"/>
        </w:rPr>
        <w:t xml:space="preserve"> </w:t>
      </w:r>
      <w:r w:rsidRPr="00F40242">
        <w:rPr>
          <w:rFonts w:eastAsiaTheme="minorEastAsia"/>
          <w:position w:val="2"/>
          <w:sz w:val="26"/>
          <w:lang w:val="en-GB" w:eastAsia="en-AU"/>
        </w:rPr>
        <w:t>in</w:t>
      </w:r>
      <w:r w:rsidRPr="00F40242">
        <w:rPr>
          <w:rFonts w:eastAsiaTheme="minorEastAsia"/>
          <w:spacing w:val="19"/>
          <w:position w:val="2"/>
          <w:sz w:val="26"/>
          <w:lang w:val="en-GB" w:eastAsia="en-AU"/>
        </w:rPr>
        <w:t xml:space="preserve"> </w:t>
      </w:r>
      <w:r w:rsidRPr="00F40242">
        <w:rPr>
          <w:rFonts w:eastAsiaTheme="minorEastAsia"/>
          <w:position w:val="2"/>
          <w:sz w:val="26"/>
          <w:lang w:val="en-GB" w:eastAsia="en-AU"/>
        </w:rPr>
        <w:t>t</w:t>
      </w:r>
      <w:r w:rsidRPr="00F40242">
        <w:rPr>
          <w:rFonts w:eastAsiaTheme="minorEastAsia"/>
          <w:spacing w:val="-1"/>
          <w:position w:val="2"/>
          <w:sz w:val="26"/>
          <w:lang w:val="en-GB" w:eastAsia="en-AU"/>
        </w:rPr>
        <w:t>h</w:t>
      </w:r>
      <w:r w:rsidRPr="00F40242">
        <w:rPr>
          <w:rFonts w:eastAsiaTheme="minorEastAsia"/>
          <w:position w:val="2"/>
          <w:sz w:val="26"/>
          <w:lang w:val="en-GB" w:eastAsia="en-AU"/>
        </w:rPr>
        <w:t>e</w:t>
      </w:r>
      <w:r w:rsidRPr="00F40242">
        <w:rPr>
          <w:rFonts w:eastAsiaTheme="minorEastAsia"/>
          <w:spacing w:val="19"/>
          <w:position w:val="2"/>
          <w:sz w:val="26"/>
          <w:lang w:val="en-GB" w:eastAsia="en-AU"/>
        </w:rPr>
        <w:t xml:space="preserve"> </w:t>
      </w:r>
      <w:r w:rsidRPr="00F40242">
        <w:rPr>
          <w:rFonts w:eastAsiaTheme="minorEastAsia"/>
          <w:spacing w:val="-4"/>
          <w:position w:val="2"/>
          <w:sz w:val="26"/>
          <w:lang w:val="en-GB" w:eastAsia="en-AU"/>
        </w:rPr>
        <w:t>w</w:t>
      </w:r>
      <w:r w:rsidRPr="00F40242">
        <w:rPr>
          <w:rFonts w:eastAsiaTheme="minorEastAsia"/>
          <w:spacing w:val="-1"/>
          <w:position w:val="2"/>
          <w:sz w:val="26"/>
          <w:lang w:val="en-GB" w:eastAsia="en-AU"/>
        </w:rPr>
        <w:t>or</w:t>
      </w:r>
      <w:r w:rsidRPr="00F40242">
        <w:rPr>
          <w:rFonts w:eastAsiaTheme="minorEastAsia"/>
          <w:position w:val="2"/>
          <w:sz w:val="26"/>
          <w:lang w:val="en-GB" w:eastAsia="en-AU"/>
        </w:rPr>
        <w:t xml:space="preserve">ld. It </w:t>
      </w:r>
      <w:r w:rsidRPr="00F40242">
        <w:rPr>
          <w:rFonts w:eastAsiaTheme="minorEastAsia"/>
          <w:noProof/>
          <w:position w:val="2"/>
          <w:sz w:val="26"/>
          <w:lang w:val="en-GB" w:eastAsia="en-AU"/>
        </w:rPr>
        <w:t>is estimated</w:t>
      </w:r>
      <w:r w:rsidRPr="00F40242">
        <w:rPr>
          <w:rFonts w:eastAsiaTheme="minorEastAsia"/>
          <w:position w:val="2"/>
          <w:sz w:val="26"/>
          <w:lang w:val="en-GB" w:eastAsia="en-AU"/>
        </w:rPr>
        <w:t xml:space="preserve"> that India’s emissions </w:t>
      </w:r>
      <w:r w:rsidR="000D11F3" w:rsidRPr="00F40242">
        <w:rPr>
          <w:rFonts w:eastAsiaTheme="minorEastAsia"/>
          <w:noProof/>
          <w:position w:val="2"/>
          <w:sz w:val="26"/>
          <w:lang w:val="en-GB" w:eastAsia="en-AU"/>
        </w:rPr>
        <w:t>total</w:t>
      </w:r>
      <w:r w:rsidR="000D11F3" w:rsidRPr="00F40242">
        <w:rPr>
          <w:rFonts w:eastAsiaTheme="minorEastAsia"/>
          <w:position w:val="2"/>
          <w:sz w:val="26"/>
          <w:lang w:val="en-GB" w:eastAsia="en-AU"/>
        </w:rPr>
        <w:t xml:space="preserve"> </w:t>
      </w:r>
      <w:r w:rsidRPr="00F40242">
        <w:rPr>
          <w:rFonts w:eastAsiaTheme="minorEastAsia"/>
          <w:position w:val="2"/>
          <w:sz w:val="26"/>
          <w:lang w:val="en-GB" w:eastAsia="en-AU"/>
        </w:rPr>
        <w:t>about 6% of GDP</w:t>
      </w:r>
      <w:r w:rsidR="000D11F3" w:rsidRPr="00F40242">
        <w:rPr>
          <w:rFonts w:eastAsiaTheme="minorEastAsia"/>
          <w:position w:val="2"/>
          <w:sz w:val="26"/>
          <w:lang w:val="en-GB" w:eastAsia="en-AU"/>
        </w:rPr>
        <w:t>,</w:t>
      </w:r>
      <w:r w:rsidRPr="00F40242">
        <w:rPr>
          <w:rFonts w:eastAsiaTheme="minorEastAsia"/>
          <w:position w:val="2"/>
          <w:sz w:val="26"/>
          <w:lang w:val="en-GB" w:eastAsia="en-AU"/>
        </w:rPr>
        <w:t xml:space="preserve"> and this is projected to rise as the economy </w:t>
      </w:r>
      <w:r w:rsidR="000D11F3" w:rsidRPr="00F40242">
        <w:rPr>
          <w:rFonts w:eastAsiaTheme="minorEastAsia"/>
          <w:position w:val="2"/>
          <w:sz w:val="26"/>
          <w:lang w:val="en-GB" w:eastAsia="en-AU"/>
        </w:rPr>
        <w:t>grows</w:t>
      </w:r>
      <w:r w:rsidRPr="00F40242">
        <w:rPr>
          <w:rFonts w:eastAsiaTheme="minorEastAsia"/>
          <w:position w:val="2"/>
          <w:sz w:val="26"/>
          <w:lang w:val="en-GB" w:eastAsia="en-AU"/>
        </w:rPr>
        <w:t xml:space="preserve"> </w:t>
      </w:r>
      <w:r w:rsidRPr="00F40242">
        <w:rPr>
          <w:color w:val="000000"/>
          <w:sz w:val="26"/>
          <w:lang w:val="en-GB"/>
        </w:rPr>
        <w:t>(EC</w:t>
      </w:r>
      <w:r w:rsidR="003701F5" w:rsidRPr="00F40242">
        <w:rPr>
          <w:color w:val="000000"/>
          <w:sz w:val="26"/>
          <w:lang w:val="en-GB"/>
        </w:rPr>
        <w:t>,</w:t>
      </w:r>
      <w:r w:rsidR="000D11F3" w:rsidRPr="00F40242">
        <w:rPr>
          <w:color w:val="000000"/>
          <w:sz w:val="26"/>
          <w:lang w:val="en-GB"/>
        </w:rPr>
        <w:t xml:space="preserve"> </w:t>
      </w:r>
      <w:r w:rsidR="003701F5" w:rsidRPr="00F40242">
        <w:rPr>
          <w:color w:val="000000"/>
          <w:sz w:val="26"/>
          <w:lang w:val="en-GB"/>
        </w:rPr>
        <w:t>2</w:t>
      </w:r>
      <w:r w:rsidRPr="00F40242">
        <w:rPr>
          <w:color w:val="000000"/>
          <w:sz w:val="26"/>
          <w:lang w:val="en-GB"/>
        </w:rPr>
        <w:t>012).</w:t>
      </w:r>
      <w:r w:rsidR="00DA572C" w:rsidRPr="00F40242">
        <w:rPr>
          <w:color w:val="000000"/>
          <w:sz w:val="26"/>
          <w:lang w:val="en-GB"/>
        </w:rPr>
        <w:t xml:space="preserve"> </w:t>
      </w:r>
      <w:r w:rsidR="000D11F3" w:rsidRPr="00F40242">
        <w:rPr>
          <w:color w:val="000000"/>
          <w:sz w:val="26"/>
          <w:lang w:val="en-GB"/>
        </w:rPr>
        <w:t xml:space="preserve">Moreover, </w:t>
      </w:r>
      <w:r w:rsidR="00DA572C" w:rsidRPr="00F40242">
        <w:rPr>
          <w:color w:val="000000"/>
          <w:sz w:val="26"/>
          <w:lang w:val="en-GB"/>
        </w:rPr>
        <w:t>Indian SED practices are far behind the SED practices o</w:t>
      </w:r>
      <w:r w:rsidR="0091107C" w:rsidRPr="00F40242">
        <w:rPr>
          <w:color w:val="000000"/>
          <w:sz w:val="26"/>
          <w:lang w:val="en-GB"/>
        </w:rPr>
        <w:t>f</w:t>
      </w:r>
      <w:r w:rsidR="00DA572C" w:rsidRPr="00F40242">
        <w:rPr>
          <w:color w:val="000000"/>
          <w:sz w:val="26"/>
          <w:lang w:val="en-GB"/>
        </w:rPr>
        <w:t xml:space="preserve"> develop</w:t>
      </w:r>
      <w:r w:rsidR="0091107C" w:rsidRPr="00F40242">
        <w:rPr>
          <w:color w:val="000000"/>
          <w:sz w:val="26"/>
          <w:lang w:val="en-GB"/>
        </w:rPr>
        <w:t>ed countries (</w:t>
      </w:r>
      <w:proofErr w:type="spellStart"/>
      <w:r w:rsidR="0091107C" w:rsidRPr="00F40242">
        <w:rPr>
          <w:color w:val="000000"/>
          <w:sz w:val="26"/>
          <w:lang w:val="en-GB"/>
        </w:rPr>
        <w:t>Kansal</w:t>
      </w:r>
      <w:proofErr w:type="spellEnd"/>
      <w:r w:rsidR="0091107C" w:rsidRPr="00F40242">
        <w:rPr>
          <w:color w:val="000000"/>
          <w:sz w:val="26"/>
          <w:lang w:val="en-GB"/>
        </w:rPr>
        <w:t>,</w:t>
      </w:r>
      <w:r w:rsidR="0091107C" w:rsidRPr="00F40242">
        <w:rPr>
          <w:rFonts w:eastAsia="Calibri"/>
          <w:bCs/>
          <w:sz w:val="26"/>
          <w:lang w:eastAsia="en-AU"/>
        </w:rPr>
        <w:t xml:space="preserve"> Joshi</w:t>
      </w:r>
      <w:r w:rsidR="000D11F3" w:rsidRPr="00F40242">
        <w:rPr>
          <w:rFonts w:eastAsia="Calibri"/>
          <w:bCs/>
          <w:sz w:val="26"/>
          <w:lang w:eastAsia="en-AU"/>
        </w:rPr>
        <w:t xml:space="preserve">, </w:t>
      </w:r>
      <w:r w:rsidR="00EC7873" w:rsidRPr="00F40242">
        <w:rPr>
          <w:rFonts w:eastAsia="Calibri"/>
          <w:bCs/>
          <w:sz w:val="26"/>
          <w:lang w:eastAsia="en-AU"/>
        </w:rPr>
        <w:t>&amp;</w:t>
      </w:r>
      <w:r w:rsidR="000D11F3" w:rsidRPr="00F40242">
        <w:rPr>
          <w:rFonts w:eastAsia="Calibri"/>
          <w:bCs/>
          <w:sz w:val="26"/>
          <w:lang w:eastAsia="en-AU"/>
        </w:rPr>
        <w:t xml:space="preserve"> </w:t>
      </w:r>
      <w:proofErr w:type="spellStart"/>
      <w:r w:rsidR="0091107C" w:rsidRPr="00F40242">
        <w:rPr>
          <w:rFonts w:eastAsia="Calibri"/>
          <w:bCs/>
          <w:sz w:val="26"/>
          <w:lang w:eastAsia="en-AU"/>
        </w:rPr>
        <w:t>Batra</w:t>
      </w:r>
      <w:proofErr w:type="spellEnd"/>
      <w:r w:rsidR="003701F5" w:rsidRPr="00F40242">
        <w:rPr>
          <w:rFonts w:eastAsia="Calibri"/>
          <w:bCs/>
          <w:sz w:val="26"/>
          <w:lang w:eastAsia="en-AU"/>
        </w:rPr>
        <w:t>,</w:t>
      </w:r>
      <w:r w:rsidR="000D11F3" w:rsidRPr="00F40242">
        <w:rPr>
          <w:rFonts w:eastAsia="Calibri"/>
          <w:bCs/>
          <w:sz w:val="26"/>
          <w:lang w:eastAsia="en-AU"/>
        </w:rPr>
        <w:t xml:space="preserve"> </w:t>
      </w:r>
      <w:r w:rsidR="003701F5" w:rsidRPr="00F40242">
        <w:rPr>
          <w:rFonts w:eastAsia="Calibri"/>
          <w:bCs/>
          <w:sz w:val="26"/>
          <w:lang w:eastAsia="en-AU"/>
        </w:rPr>
        <w:t>2</w:t>
      </w:r>
      <w:r w:rsidR="0091107C" w:rsidRPr="00F40242">
        <w:rPr>
          <w:rFonts w:eastAsia="Calibri"/>
          <w:bCs/>
          <w:sz w:val="26"/>
          <w:lang w:eastAsia="en-AU"/>
        </w:rPr>
        <w:t>014)</w:t>
      </w:r>
      <w:r w:rsidR="00FC7804" w:rsidRPr="00F40242">
        <w:rPr>
          <w:rFonts w:eastAsia="Calibri"/>
          <w:bCs/>
          <w:sz w:val="26"/>
          <w:lang w:eastAsia="en-AU"/>
        </w:rPr>
        <w:t>.</w:t>
      </w:r>
    </w:p>
    <w:p w14:paraId="30E94FDE" w14:textId="2104600A" w:rsidR="00B03123" w:rsidRPr="00F40242" w:rsidRDefault="00B03123" w:rsidP="0011086F">
      <w:pPr>
        <w:spacing w:line="360" w:lineRule="exact"/>
        <w:ind w:firstLineChars="200" w:firstLine="520"/>
        <w:jc w:val="both"/>
        <w:rPr>
          <w:rFonts w:eastAsia="Calibri"/>
          <w:sz w:val="26"/>
          <w:lang w:val="en-GB"/>
        </w:rPr>
      </w:pPr>
      <w:r w:rsidRPr="00F40242">
        <w:rPr>
          <w:color w:val="000000"/>
          <w:sz w:val="26"/>
        </w:rPr>
        <w:t xml:space="preserve">We make three major contributions to the extant literature. First, we empirically validate the legitimacy theory for explaining non-financial disclosure by companies within a developing country context. </w:t>
      </w:r>
      <w:r w:rsidRPr="00F40242">
        <w:rPr>
          <w:rFonts w:eastAsia="Calibri"/>
          <w:noProof/>
          <w:sz w:val="26"/>
        </w:rPr>
        <w:t xml:space="preserve">Although some previous studies </w:t>
      </w:r>
      <w:r w:rsidRPr="00F40242">
        <w:rPr>
          <w:noProof/>
          <w:sz w:val="26"/>
          <w:lang w:eastAsia="en-AU"/>
        </w:rPr>
        <w:t>(</w:t>
      </w:r>
      <w:r w:rsidRPr="00F40242">
        <w:rPr>
          <w:noProof/>
          <w:sz w:val="26"/>
        </w:rPr>
        <w:t>Islam</w:t>
      </w:r>
      <w:r w:rsidR="000D11F3" w:rsidRPr="00F40242">
        <w:rPr>
          <w:noProof/>
          <w:sz w:val="26"/>
        </w:rPr>
        <w:t xml:space="preserve"> </w:t>
      </w:r>
      <w:r w:rsidR="00EC7873" w:rsidRPr="00F40242">
        <w:rPr>
          <w:noProof/>
          <w:sz w:val="26"/>
        </w:rPr>
        <w:t>&amp;</w:t>
      </w:r>
      <w:r w:rsidR="000D11F3" w:rsidRPr="00F40242">
        <w:rPr>
          <w:noProof/>
          <w:sz w:val="26"/>
        </w:rPr>
        <w:t xml:space="preserve"> </w:t>
      </w:r>
      <w:r w:rsidRPr="00F40242">
        <w:rPr>
          <w:noProof/>
          <w:sz w:val="26"/>
        </w:rPr>
        <w:t>Dellaportas</w:t>
      </w:r>
      <w:r w:rsidR="003701F5" w:rsidRPr="00F40242">
        <w:rPr>
          <w:noProof/>
          <w:sz w:val="26"/>
        </w:rPr>
        <w:t>,</w:t>
      </w:r>
      <w:r w:rsidR="000D11F3" w:rsidRPr="00F40242">
        <w:rPr>
          <w:noProof/>
          <w:sz w:val="26"/>
        </w:rPr>
        <w:t xml:space="preserve"> </w:t>
      </w:r>
      <w:r w:rsidR="003701F5" w:rsidRPr="00F40242">
        <w:rPr>
          <w:noProof/>
          <w:sz w:val="26"/>
        </w:rPr>
        <w:t>2</w:t>
      </w:r>
      <w:r w:rsidRPr="00F40242">
        <w:rPr>
          <w:noProof/>
          <w:sz w:val="26"/>
        </w:rPr>
        <w:t>011</w:t>
      </w:r>
      <w:r w:rsidRPr="00F40242">
        <w:rPr>
          <w:noProof/>
          <w:sz w:val="26"/>
          <w:lang w:eastAsia="en-AU"/>
        </w:rPr>
        <w:t>;</w:t>
      </w:r>
      <w:r w:rsidRPr="00F40242">
        <w:rPr>
          <w:rFonts w:eastAsia="Calibri"/>
          <w:noProof/>
          <w:sz w:val="26"/>
        </w:rPr>
        <w:t xml:space="preserve"> </w:t>
      </w:r>
      <w:r w:rsidR="00475521" w:rsidRPr="00F40242">
        <w:rPr>
          <w:bCs/>
          <w:noProof/>
          <w:sz w:val="26"/>
        </w:rPr>
        <w:t xml:space="preserve">Kansal, </w:t>
      </w:r>
      <w:hyperlink r:id="rId8" w:history="1">
        <w:r w:rsidR="00475521" w:rsidRPr="00F40242">
          <w:rPr>
            <w:rStyle w:val="ae"/>
            <w:bCs/>
            <w:noProof/>
            <w:sz w:val="26"/>
            <w:u w:val="none"/>
          </w:rPr>
          <w:t>Joshi</w:t>
        </w:r>
      </w:hyperlink>
      <w:r w:rsidR="00475521" w:rsidRPr="00F40242">
        <w:rPr>
          <w:rStyle w:val="ae"/>
          <w:bCs/>
          <w:noProof/>
          <w:sz w:val="26"/>
          <w:u w:val="none"/>
        </w:rPr>
        <w:t xml:space="preserve">, </w:t>
      </w:r>
      <w:r w:rsidR="00475521" w:rsidRPr="00F40242">
        <w:rPr>
          <w:bCs/>
          <w:noProof/>
          <w:sz w:val="26"/>
        </w:rPr>
        <w:t>&amp; Batra, 2014</w:t>
      </w:r>
      <w:r w:rsidR="00475521" w:rsidRPr="00F40242">
        <w:rPr>
          <w:noProof/>
          <w:sz w:val="26"/>
        </w:rPr>
        <w:t>;</w:t>
      </w:r>
      <w:r w:rsidR="00475521" w:rsidRPr="00F40242">
        <w:rPr>
          <w:rFonts w:eastAsia="Calibri"/>
          <w:noProof/>
          <w:sz w:val="26"/>
        </w:rPr>
        <w:t xml:space="preserve"> Li &amp; Zhang, 2010; </w:t>
      </w:r>
      <w:r w:rsidR="00475521" w:rsidRPr="00F40242">
        <w:rPr>
          <w:noProof/>
          <w:sz w:val="26"/>
        </w:rPr>
        <w:t xml:space="preserve">Lu &amp; Abeysekera, 2014; </w:t>
      </w:r>
      <w:r w:rsidRPr="00F40242">
        <w:rPr>
          <w:noProof/>
          <w:sz w:val="26"/>
        </w:rPr>
        <w:t>Mahadeo et al.</w:t>
      </w:r>
      <w:r w:rsidR="003701F5" w:rsidRPr="00F40242">
        <w:rPr>
          <w:noProof/>
          <w:sz w:val="26"/>
        </w:rPr>
        <w:t>,</w:t>
      </w:r>
      <w:r w:rsidR="000D11F3" w:rsidRPr="00F40242">
        <w:rPr>
          <w:noProof/>
          <w:sz w:val="26"/>
        </w:rPr>
        <w:t xml:space="preserve"> </w:t>
      </w:r>
      <w:r w:rsidR="003701F5" w:rsidRPr="00F40242">
        <w:rPr>
          <w:noProof/>
          <w:sz w:val="26"/>
        </w:rPr>
        <w:t>2</w:t>
      </w:r>
      <w:r w:rsidRPr="00F40242">
        <w:rPr>
          <w:noProof/>
          <w:sz w:val="26"/>
        </w:rPr>
        <w:t xml:space="preserve">011; </w:t>
      </w:r>
      <w:r w:rsidRPr="00F40242">
        <w:rPr>
          <w:rFonts w:eastAsia="Calibri"/>
          <w:noProof/>
          <w:sz w:val="26"/>
        </w:rPr>
        <w:t>Yin</w:t>
      </w:r>
      <w:r w:rsidR="000D11F3" w:rsidRPr="00F40242">
        <w:rPr>
          <w:rFonts w:eastAsia="Calibri"/>
          <w:noProof/>
          <w:sz w:val="26"/>
        </w:rPr>
        <w:t xml:space="preserve"> </w:t>
      </w:r>
      <w:r w:rsidR="00EC7873" w:rsidRPr="00F40242">
        <w:rPr>
          <w:rFonts w:eastAsia="Calibri"/>
          <w:noProof/>
          <w:sz w:val="26"/>
        </w:rPr>
        <w:t>&amp;</w:t>
      </w:r>
      <w:r w:rsidR="000D11F3" w:rsidRPr="00F40242">
        <w:rPr>
          <w:rFonts w:eastAsia="Calibri"/>
          <w:noProof/>
          <w:sz w:val="26"/>
        </w:rPr>
        <w:t xml:space="preserve"> </w:t>
      </w:r>
      <w:r w:rsidRPr="00F40242">
        <w:rPr>
          <w:rFonts w:eastAsia="Calibri"/>
          <w:noProof/>
          <w:sz w:val="26"/>
        </w:rPr>
        <w:t>Zhang</w:t>
      </w:r>
      <w:r w:rsidR="003701F5" w:rsidRPr="00F40242">
        <w:rPr>
          <w:rFonts w:eastAsia="Calibri"/>
          <w:noProof/>
          <w:sz w:val="26"/>
        </w:rPr>
        <w:t>,</w:t>
      </w:r>
      <w:r w:rsidR="000D11F3" w:rsidRPr="00F40242">
        <w:rPr>
          <w:rFonts w:eastAsia="Calibri"/>
          <w:noProof/>
          <w:sz w:val="26"/>
        </w:rPr>
        <w:t xml:space="preserve"> </w:t>
      </w:r>
      <w:r w:rsidR="003701F5" w:rsidRPr="00F40242">
        <w:rPr>
          <w:rFonts w:eastAsia="Calibri"/>
          <w:noProof/>
          <w:sz w:val="26"/>
        </w:rPr>
        <w:t>2</w:t>
      </w:r>
      <w:r w:rsidRPr="00F40242">
        <w:rPr>
          <w:rFonts w:eastAsia="Calibri"/>
          <w:noProof/>
          <w:sz w:val="26"/>
        </w:rPr>
        <w:t>012</w:t>
      </w:r>
      <w:r w:rsidRPr="00F40242">
        <w:rPr>
          <w:noProof/>
          <w:sz w:val="26"/>
          <w:lang w:eastAsia="en-AU"/>
        </w:rPr>
        <w:t xml:space="preserve">) have </w:t>
      </w:r>
      <w:r w:rsidR="000D11F3" w:rsidRPr="00F40242">
        <w:rPr>
          <w:noProof/>
          <w:sz w:val="26"/>
          <w:lang w:eastAsia="en-AU"/>
        </w:rPr>
        <w:t>examined</w:t>
      </w:r>
      <w:r w:rsidRPr="00F40242">
        <w:rPr>
          <w:noProof/>
          <w:sz w:val="26"/>
          <w:lang w:eastAsia="en-AU"/>
        </w:rPr>
        <w:t xml:space="preserve"> the </w:t>
      </w:r>
      <w:r w:rsidRPr="00F40242">
        <w:rPr>
          <w:rFonts w:eastAsia="Calibri"/>
          <w:noProof/>
          <w:sz w:val="26"/>
        </w:rPr>
        <w:t xml:space="preserve">underlying forces of corporate social and environmental disclosures in developing countries, </w:t>
      </w:r>
      <w:r w:rsidR="004F3459">
        <w:rPr>
          <w:rFonts w:eastAsia="Calibri"/>
          <w:noProof/>
          <w:sz w:val="26"/>
        </w:rPr>
        <w:t>but determinets are</w:t>
      </w:r>
      <w:r w:rsidRPr="00F40242">
        <w:rPr>
          <w:rFonts w:eastAsia="Calibri"/>
          <w:noProof/>
          <w:sz w:val="26"/>
        </w:rPr>
        <w:t xml:space="preserve"> not been explored within the context of </w:t>
      </w:r>
      <w:r w:rsidRPr="00F40242">
        <w:rPr>
          <w:rFonts w:eastAsia="Calibri"/>
          <w:noProof/>
          <w:color w:val="000000"/>
          <w:sz w:val="26"/>
          <w:lang w:val="en-US"/>
        </w:rPr>
        <w:t>legitimacy theory.</w:t>
      </w:r>
      <w:r w:rsidRPr="00F40242">
        <w:rPr>
          <w:rFonts w:eastAsia="Calibri"/>
          <w:color w:val="000000"/>
          <w:sz w:val="26"/>
          <w:lang w:val="en-US"/>
        </w:rPr>
        <w:t xml:space="preserve"> Therefore, this study makes the first attempt </w:t>
      </w:r>
      <w:r w:rsidR="000D11F3" w:rsidRPr="00F40242">
        <w:rPr>
          <w:rFonts w:eastAsia="Calibri"/>
          <w:color w:val="000000"/>
          <w:sz w:val="26"/>
          <w:lang w:val="en-US"/>
        </w:rPr>
        <w:t>to use</w:t>
      </w:r>
      <w:r w:rsidRPr="00F40242">
        <w:rPr>
          <w:rFonts w:eastAsia="Calibri"/>
          <w:color w:val="000000"/>
          <w:sz w:val="26"/>
          <w:lang w:val="en-US"/>
        </w:rPr>
        <w:t xml:space="preserve"> legitimacy theory to examine non-financial disclosure strategies of companies in a south Asian developing country context. Second, in contrast to previous studies, we focus on industries that are perceived to be socially and environmentally sensitive. By ensuring that the study covers companies that have different profiles and strategies</w:t>
      </w:r>
      <w:r w:rsidR="000D11F3" w:rsidRPr="00F40242">
        <w:rPr>
          <w:rFonts w:eastAsia="Calibri"/>
          <w:color w:val="000000"/>
          <w:sz w:val="26"/>
          <w:lang w:val="en-US"/>
        </w:rPr>
        <w:t>, we can</w:t>
      </w:r>
      <w:r w:rsidRPr="00F40242">
        <w:rPr>
          <w:rFonts w:eastAsia="Calibri"/>
          <w:color w:val="000000"/>
          <w:sz w:val="26"/>
          <w:lang w:val="en-US"/>
        </w:rPr>
        <w:t xml:space="preserve"> enable critical validation of the legitimacy theory by accounting for the within</w:t>
      </w:r>
      <w:r w:rsidR="000D11F3" w:rsidRPr="00F40242">
        <w:rPr>
          <w:rFonts w:eastAsia="Calibri"/>
          <w:color w:val="000000"/>
          <w:sz w:val="26"/>
          <w:lang w:val="en-US"/>
        </w:rPr>
        <w:t>-</w:t>
      </w:r>
      <w:r w:rsidRPr="00F40242">
        <w:rPr>
          <w:rFonts w:eastAsia="Calibri"/>
          <w:color w:val="000000"/>
          <w:sz w:val="26"/>
          <w:lang w:val="en-US"/>
        </w:rPr>
        <w:t xml:space="preserve"> and </w:t>
      </w:r>
      <w:r w:rsidRPr="00F40242">
        <w:rPr>
          <w:rFonts w:eastAsia="Calibri"/>
          <w:noProof/>
          <w:color w:val="000000"/>
          <w:sz w:val="26"/>
          <w:lang w:val="en-US"/>
        </w:rPr>
        <w:t>cross</w:t>
      </w:r>
      <w:r w:rsidR="00FB3869" w:rsidRPr="00F40242">
        <w:rPr>
          <w:rFonts w:eastAsia="Calibri"/>
          <w:noProof/>
          <w:color w:val="000000"/>
          <w:sz w:val="26"/>
          <w:lang w:val="en-US"/>
        </w:rPr>
        <w:t>-</w:t>
      </w:r>
      <w:r w:rsidRPr="00F40242">
        <w:rPr>
          <w:rFonts w:eastAsia="Calibri"/>
          <w:noProof/>
          <w:color w:val="000000"/>
          <w:sz w:val="26"/>
          <w:lang w:val="en-US"/>
        </w:rPr>
        <w:t>industry</w:t>
      </w:r>
      <w:r w:rsidRPr="00F40242">
        <w:rPr>
          <w:rFonts w:eastAsia="Calibri"/>
          <w:color w:val="000000"/>
          <w:sz w:val="26"/>
          <w:lang w:val="en-US"/>
        </w:rPr>
        <w:t xml:space="preserve"> effects on non-financial disclosure of companies. </w:t>
      </w:r>
      <w:r w:rsidRPr="00F40242">
        <w:rPr>
          <w:spacing w:val="3"/>
          <w:sz w:val="26"/>
          <w:lang w:eastAsia="en-AU"/>
        </w:rPr>
        <w:t>Third, this study ma</w:t>
      </w:r>
      <w:r w:rsidR="000D11F3" w:rsidRPr="00F40242">
        <w:rPr>
          <w:spacing w:val="3"/>
          <w:sz w:val="26"/>
          <w:lang w:eastAsia="en-AU"/>
        </w:rPr>
        <w:t>rks</w:t>
      </w:r>
      <w:r w:rsidRPr="00F40242">
        <w:rPr>
          <w:spacing w:val="3"/>
          <w:sz w:val="26"/>
          <w:lang w:eastAsia="en-AU"/>
        </w:rPr>
        <w:t xml:space="preserve"> </w:t>
      </w:r>
      <w:r w:rsidR="007F6E43" w:rsidRPr="00F40242">
        <w:rPr>
          <w:noProof/>
          <w:spacing w:val="3"/>
          <w:sz w:val="26"/>
          <w:lang w:eastAsia="en-AU"/>
        </w:rPr>
        <w:t>the</w:t>
      </w:r>
      <w:r w:rsidRPr="00F40242">
        <w:rPr>
          <w:noProof/>
          <w:spacing w:val="3"/>
          <w:sz w:val="26"/>
          <w:lang w:eastAsia="en-AU"/>
        </w:rPr>
        <w:t xml:space="preserve"> first</w:t>
      </w:r>
      <w:r w:rsidRPr="00F40242">
        <w:rPr>
          <w:spacing w:val="3"/>
          <w:sz w:val="26"/>
          <w:lang w:eastAsia="en-AU"/>
        </w:rPr>
        <w:t xml:space="preserve"> attempt to examine non-financial disclosure of one of the largest and </w:t>
      </w:r>
      <w:r w:rsidR="000D11F3" w:rsidRPr="00F40242">
        <w:rPr>
          <w:spacing w:val="3"/>
          <w:sz w:val="26"/>
          <w:lang w:eastAsia="en-AU"/>
        </w:rPr>
        <w:t>fastest-</w:t>
      </w:r>
      <w:r w:rsidRPr="00F40242">
        <w:rPr>
          <w:spacing w:val="3"/>
          <w:sz w:val="26"/>
          <w:lang w:eastAsia="en-AU"/>
        </w:rPr>
        <w:t xml:space="preserve">growing global economies. </w:t>
      </w:r>
      <w:r w:rsidRPr="00F40242">
        <w:rPr>
          <w:sz w:val="26"/>
        </w:rPr>
        <w:t>This study is valuable in providing new insights into how companies operating in such an economy pursue social and environmental disclosures</w:t>
      </w:r>
      <w:r w:rsidR="00645415">
        <w:rPr>
          <w:sz w:val="26"/>
        </w:rPr>
        <w:t>.</w:t>
      </w:r>
      <w:r w:rsidRPr="00F40242">
        <w:rPr>
          <w:sz w:val="26"/>
        </w:rPr>
        <w:t xml:space="preserve"> </w:t>
      </w:r>
      <w:r w:rsidR="00645415">
        <w:rPr>
          <w:sz w:val="26"/>
        </w:rPr>
        <w:t>I</w:t>
      </w:r>
      <w:r w:rsidRPr="00F40242">
        <w:rPr>
          <w:sz w:val="26"/>
        </w:rPr>
        <w:t xml:space="preserve">n recent </w:t>
      </w:r>
      <w:r w:rsidRPr="00F40242">
        <w:rPr>
          <w:noProof/>
          <w:sz w:val="26"/>
        </w:rPr>
        <w:t>times India</w:t>
      </w:r>
      <w:r w:rsidRPr="00F40242">
        <w:rPr>
          <w:sz w:val="26"/>
        </w:rPr>
        <w:t xml:space="preserve"> has implemented regulatory frameworks to improve the business climate. Embedding social and environmental criteria within the supply chain of companies, including its procurement practices, and adopting international quality standards and benchmarking are critical </w:t>
      </w:r>
      <w:r w:rsidR="000D11F3" w:rsidRPr="00F40242">
        <w:rPr>
          <w:sz w:val="26"/>
        </w:rPr>
        <w:t xml:space="preserve">steps </w:t>
      </w:r>
      <w:r w:rsidR="00FB3869" w:rsidRPr="00F40242">
        <w:rPr>
          <w:noProof/>
          <w:sz w:val="26"/>
        </w:rPr>
        <w:t>to</w:t>
      </w:r>
      <w:r w:rsidR="000D11F3" w:rsidRPr="00F40242">
        <w:rPr>
          <w:noProof/>
          <w:sz w:val="26"/>
        </w:rPr>
        <w:t>ward</w:t>
      </w:r>
      <w:r w:rsidRPr="00F40242">
        <w:rPr>
          <w:sz w:val="26"/>
        </w:rPr>
        <w:t xml:space="preserve"> improving sustainable practices of companies in India.</w:t>
      </w:r>
    </w:p>
    <w:p w14:paraId="646A6021" w14:textId="070652A0" w:rsidR="00B03123" w:rsidRPr="00F40242" w:rsidRDefault="00B03123" w:rsidP="0011086F">
      <w:pPr>
        <w:spacing w:line="360" w:lineRule="exact"/>
        <w:ind w:firstLineChars="200" w:firstLine="520"/>
        <w:jc w:val="both"/>
        <w:rPr>
          <w:sz w:val="26"/>
        </w:rPr>
      </w:pPr>
      <w:r w:rsidRPr="00F40242">
        <w:rPr>
          <w:sz w:val="26"/>
        </w:rPr>
        <w:t xml:space="preserve">The remainder of this paper </w:t>
      </w:r>
      <w:r w:rsidRPr="00F40242">
        <w:rPr>
          <w:noProof/>
          <w:sz w:val="26"/>
        </w:rPr>
        <w:t>is organised</w:t>
      </w:r>
      <w:r w:rsidRPr="00F40242">
        <w:rPr>
          <w:sz w:val="26"/>
        </w:rPr>
        <w:t xml:space="preserve"> as follows</w:t>
      </w:r>
      <w:r w:rsidR="000D11F3" w:rsidRPr="00F40242">
        <w:rPr>
          <w:sz w:val="26"/>
        </w:rPr>
        <w:t>.</w:t>
      </w:r>
      <w:r w:rsidRPr="00F40242">
        <w:rPr>
          <w:sz w:val="26"/>
        </w:rPr>
        <w:t xml:space="preserve"> Section 2 provides an overview of the literature on legitimacy theory and develops the hypothesised relationships. Section 3 describes the </w:t>
      </w:r>
      <w:r w:rsidR="00F03834" w:rsidRPr="00F40242">
        <w:rPr>
          <w:sz w:val="26"/>
        </w:rPr>
        <w:t xml:space="preserve">methodology employed in the analyses and the description of the data sources </w:t>
      </w:r>
      <w:r w:rsidR="00F03834" w:rsidRPr="00F40242">
        <w:rPr>
          <w:noProof/>
          <w:sz w:val="26"/>
        </w:rPr>
        <w:t>of</w:t>
      </w:r>
      <w:r w:rsidRPr="00F40242">
        <w:rPr>
          <w:sz w:val="26"/>
        </w:rPr>
        <w:t xml:space="preserve"> Indian publicly listed companies. Section 4</w:t>
      </w:r>
      <w:r w:rsidRPr="00F40242">
        <w:rPr>
          <w:rFonts w:eastAsia="Calibri"/>
          <w:sz w:val="26"/>
        </w:rPr>
        <w:t xml:space="preserve"> reports the empirical findings, while Section 5 discusses the empirical results</w:t>
      </w:r>
      <w:r w:rsidRPr="00F40242">
        <w:rPr>
          <w:sz w:val="26"/>
        </w:rPr>
        <w:t xml:space="preserve">. </w:t>
      </w:r>
      <w:r w:rsidR="000D11F3" w:rsidRPr="00F40242">
        <w:rPr>
          <w:sz w:val="26"/>
        </w:rPr>
        <w:t xml:space="preserve">Finally, </w:t>
      </w:r>
      <w:r w:rsidRPr="00F40242">
        <w:rPr>
          <w:sz w:val="26"/>
        </w:rPr>
        <w:t xml:space="preserve">Section </w:t>
      </w:r>
      <w:r w:rsidRPr="00F40242">
        <w:rPr>
          <w:sz w:val="26"/>
        </w:rPr>
        <w:lastRenderedPageBreak/>
        <w:t>6 summarises the main conclusions of the study and discusses the limitations and implications for future research</w:t>
      </w:r>
      <w:r w:rsidR="000D11F3" w:rsidRPr="00F40242">
        <w:rPr>
          <w:sz w:val="26"/>
        </w:rPr>
        <w:t>.</w:t>
      </w:r>
    </w:p>
    <w:bookmarkEnd w:id="2"/>
    <w:p w14:paraId="6894281F" w14:textId="77777777" w:rsidR="0011086F" w:rsidRDefault="0011086F" w:rsidP="0011086F">
      <w:pPr>
        <w:autoSpaceDE w:val="0"/>
        <w:autoSpaceDN w:val="0"/>
        <w:adjustRightInd w:val="0"/>
        <w:spacing w:line="360" w:lineRule="exact"/>
        <w:jc w:val="center"/>
        <w:rPr>
          <w:b/>
          <w:caps/>
          <w:color w:val="000000"/>
          <w:sz w:val="26"/>
        </w:rPr>
      </w:pPr>
    </w:p>
    <w:p w14:paraId="33CD9146" w14:textId="5E4DC53A" w:rsidR="00B03123" w:rsidRPr="00F40242" w:rsidRDefault="00B03123" w:rsidP="0011086F">
      <w:pPr>
        <w:autoSpaceDE w:val="0"/>
        <w:autoSpaceDN w:val="0"/>
        <w:adjustRightInd w:val="0"/>
        <w:jc w:val="center"/>
        <w:rPr>
          <w:b/>
          <w:caps/>
          <w:color w:val="000000"/>
          <w:sz w:val="26"/>
        </w:rPr>
      </w:pPr>
      <w:r w:rsidRPr="00F40242">
        <w:rPr>
          <w:b/>
          <w:caps/>
          <w:color w:val="000000"/>
          <w:sz w:val="26"/>
        </w:rPr>
        <w:t xml:space="preserve">Theoretical </w:t>
      </w:r>
      <w:r w:rsidR="00792A17" w:rsidRPr="00F40242">
        <w:rPr>
          <w:b/>
          <w:caps/>
          <w:color w:val="000000"/>
          <w:sz w:val="26"/>
        </w:rPr>
        <w:t>f</w:t>
      </w:r>
      <w:r w:rsidRPr="00F40242">
        <w:rPr>
          <w:b/>
          <w:caps/>
          <w:color w:val="000000"/>
          <w:sz w:val="26"/>
        </w:rPr>
        <w:t>ramework</w:t>
      </w:r>
    </w:p>
    <w:p w14:paraId="565B4779" w14:textId="16479742" w:rsidR="00752404" w:rsidRPr="00F40242" w:rsidRDefault="008314EE" w:rsidP="0011086F">
      <w:pPr>
        <w:spacing w:line="360" w:lineRule="exact"/>
        <w:ind w:firstLineChars="200" w:firstLine="520"/>
        <w:jc w:val="both"/>
        <w:rPr>
          <w:color w:val="000000"/>
          <w:sz w:val="26"/>
        </w:rPr>
      </w:pPr>
      <w:r w:rsidRPr="00F40242">
        <w:rPr>
          <w:noProof/>
          <w:color w:val="000000"/>
          <w:sz w:val="26"/>
        </w:rPr>
        <w:t>System-oriented theories, such as legitimacy and institutional theory</w:t>
      </w:r>
      <w:r w:rsidR="000D11F3" w:rsidRPr="00F40242">
        <w:rPr>
          <w:noProof/>
          <w:color w:val="000000"/>
          <w:sz w:val="26"/>
        </w:rPr>
        <w:t>, are</w:t>
      </w:r>
      <w:r w:rsidR="00F03834" w:rsidRPr="00F40242">
        <w:rPr>
          <w:noProof/>
          <w:color w:val="000000"/>
          <w:sz w:val="26"/>
        </w:rPr>
        <w:t xml:space="preserve"> based on the premise that the actions of a firm </w:t>
      </w:r>
      <w:r w:rsidR="000D11F3" w:rsidRPr="00F40242">
        <w:rPr>
          <w:noProof/>
          <w:color w:val="000000"/>
          <w:sz w:val="26"/>
        </w:rPr>
        <w:t xml:space="preserve">are </w:t>
      </w:r>
      <w:r w:rsidR="00F03834" w:rsidRPr="00F40242">
        <w:rPr>
          <w:noProof/>
          <w:color w:val="000000"/>
          <w:sz w:val="26"/>
        </w:rPr>
        <w:t xml:space="preserve">likely to </w:t>
      </w:r>
      <w:r w:rsidR="000D11F3" w:rsidRPr="00F40242">
        <w:rPr>
          <w:noProof/>
          <w:color w:val="000000"/>
          <w:sz w:val="26"/>
        </w:rPr>
        <w:t xml:space="preserve">have an </w:t>
      </w:r>
      <w:r w:rsidR="00F03834" w:rsidRPr="00F40242">
        <w:rPr>
          <w:noProof/>
          <w:color w:val="000000"/>
          <w:sz w:val="26"/>
        </w:rPr>
        <w:t>impact on society</w:t>
      </w:r>
      <w:r w:rsidR="000D11F3" w:rsidRPr="00F40242">
        <w:rPr>
          <w:noProof/>
          <w:color w:val="000000"/>
          <w:sz w:val="26"/>
        </w:rPr>
        <w:t>,</w:t>
      </w:r>
      <w:r w:rsidR="00F03834" w:rsidRPr="00F40242">
        <w:rPr>
          <w:noProof/>
          <w:color w:val="000000"/>
          <w:sz w:val="26"/>
        </w:rPr>
        <w:t xml:space="preserve"> an</w:t>
      </w:r>
      <w:r w:rsidR="000D11F3" w:rsidRPr="00F40242">
        <w:rPr>
          <w:noProof/>
          <w:color w:val="000000"/>
          <w:sz w:val="26"/>
        </w:rPr>
        <w:t>d</w:t>
      </w:r>
      <w:r w:rsidR="00F03834" w:rsidRPr="00F40242">
        <w:rPr>
          <w:noProof/>
          <w:color w:val="000000"/>
          <w:sz w:val="26"/>
        </w:rPr>
        <w:t xml:space="preserve"> vice versa</w:t>
      </w:r>
      <w:r w:rsidR="007F6E43" w:rsidRPr="00F40242">
        <w:rPr>
          <w:noProof/>
          <w:color w:val="000000"/>
          <w:sz w:val="26"/>
        </w:rPr>
        <w:t xml:space="preserve"> </w:t>
      </w:r>
      <w:r w:rsidRPr="00F40242">
        <w:rPr>
          <w:noProof/>
          <w:color w:val="000000"/>
          <w:sz w:val="26"/>
        </w:rPr>
        <w:t xml:space="preserve"> (Chen</w:t>
      </w:r>
      <w:r w:rsidR="000D11F3" w:rsidRPr="00F40242">
        <w:rPr>
          <w:noProof/>
          <w:color w:val="000000"/>
          <w:sz w:val="26"/>
        </w:rPr>
        <w:t xml:space="preserve"> </w:t>
      </w:r>
      <w:r w:rsidR="00EC7873" w:rsidRPr="00F40242">
        <w:rPr>
          <w:noProof/>
          <w:color w:val="000000"/>
          <w:sz w:val="26"/>
        </w:rPr>
        <w:t>&amp;</w:t>
      </w:r>
      <w:r w:rsidR="000D11F3" w:rsidRPr="00F40242">
        <w:rPr>
          <w:noProof/>
          <w:color w:val="000000"/>
          <w:sz w:val="26"/>
        </w:rPr>
        <w:t xml:space="preserve"> </w:t>
      </w:r>
      <w:r w:rsidRPr="00F40242">
        <w:rPr>
          <w:noProof/>
          <w:color w:val="000000"/>
          <w:sz w:val="26"/>
        </w:rPr>
        <w:t>Roberts</w:t>
      </w:r>
      <w:r w:rsidR="003701F5" w:rsidRPr="00F40242">
        <w:rPr>
          <w:noProof/>
          <w:color w:val="000000"/>
          <w:sz w:val="26"/>
        </w:rPr>
        <w:t>,</w:t>
      </w:r>
      <w:r w:rsidR="000D11F3" w:rsidRPr="00F40242">
        <w:rPr>
          <w:noProof/>
          <w:color w:val="000000"/>
          <w:sz w:val="26"/>
        </w:rPr>
        <w:t xml:space="preserve"> </w:t>
      </w:r>
      <w:r w:rsidR="003701F5" w:rsidRPr="00F40242">
        <w:rPr>
          <w:noProof/>
          <w:color w:val="000000"/>
          <w:sz w:val="26"/>
        </w:rPr>
        <w:t>2</w:t>
      </w:r>
      <w:r w:rsidRPr="00F40242">
        <w:rPr>
          <w:noProof/>
          <w:color w:val="000000"/>
          <w:sz w:val="26"/>
        </w:rPr>
        <w:t>010; Gray et al., 1995, 1996).</w:t>
      </w:r>
      <w:r w:rsidRPr="00F40242">
        <w:rPr>
          <w:color w:val="000000"/>
          <w:sz w:val="26"/>
        </w:rPr>
        <w:t xml:space="preserve"> </w:t>
      </w:r>
      <w:r w:rsidR="0091107C" w:rsidRPr="00F40242">
        <w:rPr>
          <w:color w:val="000000"/>
          <w:sz w:val="26"/>
        </w:rPr>
        <w:t xml:space="preserve">Although these theories have different levels of promise, perception and specificity, they have </w:t>
      </w:r>
      <w:r w:rsidR="00645415">
        <w:rPr>
          <w:color w:val="000000"/>
          <w:sz w:val="26"/>
        </w:rPr>
        <w:t xml:space="preserve">same </w:t>
      </w:r>
      <w:r w:rsidR="0091107C" w:rsidRPr="00F40242">
        <w:rPr>
          <w:color w:val="000000"/>
          <w:sz w:val="26"/>
        </w:rPr>
        <w:t>objectives to a great extent (Chen</w:t>
      </w:r>
      <w:r w:rsidR="000D11F3" w:rsidRPr="00F40242">
        <w:rPr>
          <w:color w:val="000000"/>
          <w:sz w:val="26"/>
        </w:rPr>
        <w:t xml:space="preserve"> </w:t>
      </w:r>
      <w:r w:rsidR="00EC7873" w:rsidRPr="00F40242">
        <w:rPr>
          <w:color w:val="000000"/>
          <w:sz w:val="26"/>
        </w:rPr>
        <w:t>&amp;</w:t>
      </w:r>
      <w:r w:rsidR="000D11F3" w:rsidRPr="00F40242">
        <w:rPr>
          <w:color w:val="000000"/>
          <w:sz w:val="26"/>
        </w:rPr>
        <w:t xml:space="preserve"> </w:t>
      </w:r>
      <w:r w:rsidR="0091107C" w:rsidRPr="00F40242">
        <w:rPr>
          <w:color w:val="000000"/>
          <w:sz w:val="26"/>
        </w:rPr>
        <w:t>Roberts</w:t>
      </w:r>
      <w:r w:rsidR="003701F5" w:rsidRPr="00F40242">
        <w:rPr>
          <w:color w:val="000000"/>
          <w:sz w:val="26"/>
        </w:rPr>
        <w:t>,</w:t>
      </w:r>
      <w:r w:rsidR="000D11F3" w:rsidRPr="00F40242">
        <w:rPr>
          <w:color w:val="000000"/>
          <w:sz w:val="26"/>
        </w:rPr>
        <w:t xml:space="preserve"> </w:t>
      </w:r>
      <w:r w:rsidR="003701F5" w:rsidRPr="00F40242">
        <w:rPr>
          <w:color w:val="000000"/>
          <w:sz w:val="26"/>
        </w:rPr>
        <w:t>2</w:t>
      </w:r>
      <w:r w:rsidR="0091107C" w:rsidRPr="00F40242">
        <w:rPr>
          <w:color w:val="000000"/>
          <w:sz w:val="26"/>
        </w:rPr>
        <w:t xml:space="preserve">010). </w:t>
      </w:r>
      <w:r w:rsidR="00F03834" w:rsidRPr="00F40242">
        <w:rPr>
          <w:color w:val="000000"/>
          <w:sz w:val="26"/>
        </w:rPr>
        <w:t xml:space="preserve">Given that there is no </w:t>
      </w:r>
      <w:r w:rsidR="000D11F3" w:rsidRPr="00F40242">
        <w:rPr>
          <w:color w:val="000000"/>
          <w:sz w:val="26"/>
        </w:rPr>
        <w:t xml:space="preserve">universally </w:t>
      </w:r>
      <w:r w:rsidR="00F03834" w:rsidRPr="00F40242">
        <w:rPr>
          <w:color w:val="000000"/>
          <w:sz w:val="26"/>
        </w:rPr>
        <w:t xml:space="preserve">accepted theory for explaining CSR practices of a firm, this study adopts the legitimacy and institutional theories of the firm as the foundational theories for explaining the </w:t>
      </w:r>
      <w:r w:rsidR="00F03834" w:rsidRPr="00F40242">
        <w:rPr>
          <w:noProof/>
          <w:color w:val="000000"/>
          <w:sz w:val="26"/>
        </w:rPr>
        <w:t>determinants</w:t>
      </w:r>
      <w:r w:rsidR="007F6E43" w:rsidRPr="00F40242">
        <w:rPr>
          <w:noProof/>
          <w:color w:val="000000"/>
          <w:sz w:val="26"/>
        </w:rPr>
        <w:t xml:space="preserve"> </w:t>
      </w:r>
      <w:r w:rsidR="00F03834" w:rsidRPr="00F40242">
        <w:rPr>
          <w:noProof/>
          <w:color w:val="000000"/>
          <w:sz w:val="26"/>
        </w:rPr>
        <w:t>of</w:t>
      </w:r>
      <w:r w:rsidR="00F03834" w:rsidRPr="00F40242">
        <w:rPr>
          <w:color w:val="000000"/>
          <w:sz w:val="26"/>
        </w:rPr>
        <w:t xml:space="preserve"> non-financial disclosure of publicly listed companies in India. </w:t>
      </w:r>
      <w:proofErr w:type="spellStart"/>
      <w:r w:rsidR="00752404" w:rsidRPr="00F40242">
        <w:rPr>
          <w:color w:val="000000"/>
          <w:sz w:val="26"/>
        </w:rPr>
        <w:t>Gray</w:t>
      </w:r>
      <w:proofErr w:type="spellEnd"/>
      <w:r w:rsidR="00752404" w:rsidRPr="00F40242">
        <w:rPr>
          <w:color w:val="000000"/>
          <w:sz w:val="26"/>
        </w:rPr>
        <w:t xml:space="preserve"> </w:t>
      </w:r>
      <w:r w:rsidR="00323005" w:rsidRPr="002262E0">
        <w:rPr>
          <w:rFonts w:eastAsiaTheme="minorEastAsia"/>
          <w:color w:val="000000"/>
          <w:sz w:val="26"/>
          <w:lang w:eastAsia="zh-TW"/>
        </w:rPr>
        <w:t xml:space="preserve">et al. </w:t>
      </w:r>
      <w:r w:rsidR="00752404" w:rsidRPr="00F40242">
        <w:rPr>
          <w:color w:val="000000"/>
          <w:sz w:val="26"/>
        </w:rPr>
        <w:t xml:space="preserve">(1995) </w:t>
      </w:r>
      <w:r w:rsidR="00F03834" w:rsidRPr="00F40242">
        <w:rPr>
          <w:color w:val="000000"/>
          <w:sz w:val="26"/>
        </w:rPr>
        <w:t>outlines the benefits of legitimacy theory and articulat</w:t>
      </w:r>
      <w:r w:rsidR="00645415">
        <w:rPr>
          <w:color w:val="000000"/>
          <w:sz w:val="26"/>
        </w:rPr>
        <w:t>e</w:t>
      </w:r>
      <w:r w:rsidR="00F03834" w:rsidRPr="00F40242">
        <w:rPr>
          <w:color w:val="000000"/>
          <w:sz w:val="26"/>
        </w:rPr>
        <w:t xml:space="preserve"> strategies to enhance the competitiveness of firms in the global marketplace. </w:t>
      </w:r>
    </w:p>
    <w:p w14:paraId="12AECB42" w14:textId="2873885B" w:rsidR="002430E8" w:rsidRPr="00F40242" w:rsidRDefault="00752404" w:rsidP="0011086F">
      <w:pPr>
        <w:spacing w:line="360" w:lineRule="exact"/>
        <w:ind w:firstLineChars="200" w:firstLine="520"/>
        <w:jc w:val="both"/>
        <w:rPr>
          <w:color w:val="000000"/>
          <w:sz w:val="26"/>
        </w:rPr>
      </w:pPr>
      <w:r w:rsidRPr="00F40242">
        <w:rPr>
          <w:color w:val="000000"/>
          <w:sz w:val="26"/>
        </w:rPr>
        <w:t xml:space="preserve">The </w:t>
      </w:r>
      <w:r w:rsidR="000D5D49" w:rsidRPr="00F40242">
        <w:rPr>
          <w:color w:val="000000"/>
          <w:sz w:val="26"/>
        </w:rPr>
        <w:t xml:space="preserve">relationship between firms and society can be explained using </w:t>
      </w:r>
      <w:r w:rsidR="000D11F3" w:rsidRPr="00F40242">
        <w:rPr>
          <w:color w:val="000000"/>
          <w:sz w:val="26"/>
        </w:rPr>
        <w:t xml:space="preserve">the </w:t>
      </w:r>
      <w:r w:rsidR="000D5D49" w:rsidRPr="00F40242">
        <w:rPr>
          <w:color w:val="000000"/>
          <w:sz w:val="26"/>
        </w:rPr>
        <w:t xml:space="preserve">legitimacy and institutional theories of the firm. </w:t>
      </w:r>
      <w:r w:rsidR="00A1362F" w:rsidRPr="00F40242">
        <w:rPr>
          <w:color w:val="000000"/>
          <w:sz w:val="26"/>
        </w:rPr>
        <w:t xml:space="preserve">Arguably, while firm decisions are traditionally made to ensure competitiveness in the </w:t>
      </w:r>
      <w:r w:rsidR="00A1362F" w:rsidRPr="00F40242">
        <w:rPr>
          <w:noProof/>
          <w:color w:val="000000"/>
          <w:sz w:val="26"/>
        </w:rPr>
        <w:t>marketplace</w:t>
      </w:r>
      <w:r w:rsidR="00A1362F" w:rsidRPr="00F40242">
        <w:rPr>
          <w:color w:val="000000"/>
          <w:sz w:val="26"/>
        </w:rPr>
        <w:t xml:space="preserve">, these actions are also likely to be defined by actions of society. For example, </w:t>
      </w:r>
      <w:proofErr w:type="spellStart"/>
      <w:r w:rsidR="00A1362F" w:rsidRPr="00F40242">
        <w:rPr>
          <w:color w:val="000000"/>
          <w:sz w:val="26"/>
        </w:rPr>
        <w:t>Amran</w:t>
      </w:r>
      <w:proofErr w:type="spellEnd"/>
      <w:r w:rsidR="00A1362F" w:rsidRPr="00F40242">
        <w:rPr>
          <w:color w:val="000000"/>
          <w:sz w:val="26"/>
        </w:rPr>
        <w:t xml:space="preserve"> and Devi (2008) argue that in recent times there h</w:t>
      </w:r>
      <w:r w:rsidR="00964109" w:rsidRPr="00F40242">
        <w:rPr>
          <w:color w:val="000000"/>
          <w:sz w:val="26"/>
        </w:rPr>
        <w:t>a</w:t>
      </w:r>
      <w:r w:rsidR="00A1362F" w:rsidRPr="00F40242">
        <w:rPr>
          <w:color w:val="000000"/>
          <w:sz w:val="26"/>
        </w:rPr>
        <w:t xml:space="preserve">s been </w:t>
      </w:r>
      <w:r w:rsidR="000D11F3" w:rsidRPr="00F40242">
        <w:rPr>
          <w:color w:val="000000"/>
          <w:sz w:val="26"/>
        </w:rPr>
        <w:t xml:space="preserve">a </w:t>
      </w:r>
      <w:r w:rsidR="00A1362F" w:rsidRPr="00F40242">
        <w:rPr>
          <w:color w:val="000000"/>
          <w:sz w:val="26"/>
        </w:rPr>
        <w:t xml:space="preserve">growing trend </w:t>
      </w:r>
      <w:r w:rsidR="000D11F3" w:rsidRPr="00F40242">
        <w:rPr>
          <w:color w:val="000000"/>
          <w:sz w:val="26"/>
        </w:rPr>
        <w:t xml:space="preserve">toward </w:t>
      </w:r>
      <w:r w:rsidR="00A1362F" w:rsidRPr="00F40242">
        <w:rPr>
          <w:color w:val="000000"/>
          <w:sz w:val="26"/>
        </w:rPr>
        <w:t>recognising the cognitive rather than the evaluative dimensions of human behaviour. Earlier</w:t>
      </w:r>
      <w:r w:rsidR="003E5DEB" w:rsidRPr="00F40242">
        <w:rPr>
          <w:color w:val="000000"/>
          <w:sz w:val="26"/>
        </w:rPr>
        <w:t xml:space="preserve">, De Villiers and van </w:t>
      </w:r>
      <w:proofErr w:type="spellStart"/>
      <w:r w:rsidR="003E5DEB" w:rsidRPr="00F40242">
        <w:rPr>
          <w:color w:val="000000"/>
          <w:sz w:val="26"/>
        </w:rPr>
        <w:t>Staden</w:t>
      </w:r>
      <w:proofErr w:type="spellEnd"/>
      <w:r w:rsidR="003E5DEB" w:rsidRPr="00F40242">
        <w:rPr>
          <w:color w:val="000000"/>
          <w:sz w:val="26"/>
        </w:rPr>
        <w:t xml:space="preserve"> (2006) conten</w:t>
      </w:r>
      <w:r w:rsidR="000D11F3" w:rsidRPr="00F40242">
        <w:rPr>
          <w:color w:val="000000"/>
          <w:sz w:val="26"/>
        </w:rPr>
        <w:t>d</w:t>
      </w:r>
      <w:r w:rsidR="003E5DEB" w:rsidRPr="00F40242">
        <w:rPr>
          <w:color w:val="000000"/>
          <w:sz w:val="26"/>
        </w:rPr>
        <w:t xml:space="preserve">ed that if a firm </w:t>
      </w:r>
      <w:r w:rsidR="00A1362F" w:rsidRPr="00F40242">
        <w:rPr>
          <w:color w:val="000000"/>
          <w:sz w:val="26"/>
        </w:rPr>
        <w:t xml:space="preserve">perceives that society demands a set of information, the firm is likely to respond by providing such information to ensure </w:t>
      </w:r>
      <w:r w:rsidR="000D11F3" w:rsidRPr="00F40242">
        <w:rPr>
          <w:color w:val="000000"/>
          <w:sz w:val="26"/>
        </w:rPr>
        <w:t>that the firm maintains its</w:t>
      </w:r>
      <w:r w:rsidR="00A1362F" w:rsidRPr="00F40242">
        <w:rPr>
          <w:color w:val="000000"/>
          <w:sz w:val="26"/>
        </w:rPr>
        <w:t xml:space="preserve"> legitimacy in society.</w:t>
      </w:r>
      <w:r w:rsidR="00797FEE" w:rsidRPr="00F40242">
        <w:rPr>
          <w:color w:val="000000"/>
          <w:sz w:val="26"/>
        </w:rPr>
        <w:t xml:space="preserve"> Notably, social expectations of</w:t>
      </w:r>
      <w:r w:rsidR="00725468" w:rsidRPr="00F40242">
        <w:rPr>
          <w:color w:val="000000"/>
          <w:sz w:val="26"/>
        </w:rPr>
        <w:t xml:space="preserve"> </w:t>
      </w:r>
      <w:r w:rsidR="00797FEE" w:rsidRPr="00F40242">
        <w:rPr>
          <w:color w:val="000000"/>
          <w:sz w:val="26"/>
        </w:rPr>
        <w:t xml:space="preserve">society </w:t>
      </w:r>
      <w:r w:rsidR="00797FEE" w:rsidRPr="00F40242">
        <w:rPr>
          <w:noProof/>
          <w:color w:val="000000"/>
          <w:sz w:val="26"/>
        </w:rPr>
        <w:t>vary</w:t>
      </w:r>
      <w:r w:rsidR="00797FEE" w:rsidRPr="00F40242">
        <w:rPr>
          <w:color w:val="000000"/>
          <w:sz w:val="26"/>
        </w:rPr>
        <w:t xml:space="preserve"> from one location to another</w:t>
      </w:r>
      <w:r w:rsidR="000D11F3" w:rsidRPr="00F40242">
        <w:rPr>
          <w:color w:val="000000"/>
          <w:sz w:val="26"/>
        </w:rPr>
        <w:t xml:space="preserve"> and from</w:t>
      </w:r>
      <w:r w:rsidR="00797FEE" w:rsidRPr="00F40242">
        <w:rPr>
          <w:color w:val="000000"/>
          <w:sz w:val="26"/>
        </w:rPr>
        <w:t xml:space="preserve"> one country to </w:t>
      </w:r>
      <w:r w:rsidR="00797FEE" w:rsidRPr="00F40242">
        <w:rPr>
          <w:noProof/>
          <w:color w:val="000000"/>
          <w:sz w:val="26"/>
        </w:rPr>
        <w:t xml:space="preserve">another </w:t>
      </w:r>
      <w:r w:rsidR="008314EE" w:rsidRPr="00F40242">
        <w:rPr>
          <w:color w:val="000000"/>
          <w:sz w:val="26"/>
        </w:rPr>
        <w:t xml:space="preserve">(Van Der </w:t>
      </w:r>
      <w:proofErr w:type="spellStart"/>
      <w:r w:rsidR="008314EE" w:rsidRPr="00F40242">
        <w:rPr>
          <w:color w:val="000000"/>
          <w:sz w:val="26"/>
        </w:rPr>
        <w:t>Laan</w:t>
      </w:r>
      <w:proofErr w:type="spellEnd"/>
      <w:r w:rsidR="008314EE" w:rsidRPr="00F40242">
        <w:rPr>
          <w:color w:val="000000"/>
          <w:sz w:val="26"/>
        </w:rPr>
        <w:t xml:space="preserve"> Smith, </w:t>
      </w:r>
      <w:proofErr w:type="spellStart"/>
      <w:r w:rsidR="008314EE" w:rsidRPr="00F40242">
        <w:rPr>
          <w:color w:val="000000"/>
          <w:sz w:val="26"/>
        </w:rPr>
        <w:t>Adhikari</w:t>
      </w:r>
      <w:proofErr w:type="spellEnd"/>
      <w:r w:rsidR="008314EE" w:rsidRPr="00F40242">
        <w:rPr>
          <w:color w:val="000000"/>
          <w:sz w:val="26"/>
        </w:rPr>
        <w:t>,</w:t>
      </w:r>
      <w:r w:rsidR="000D11F3" w:rsidRPr="00F40242">
        <w:rPr>
          <w:color w:val="000000"/>
          <w:sz w:val="26"/>
        </w:rPr>
        <w:t xml:space="preserve"> </w:t>
      </w:r>
      <w:r w:rsidR="00EC7873" w:rsidRPr="00F40242">
        <w:rPr>
          <w:color w:val="000000"/>
          <w:sz w:val="26"/>
        </w:rPr>
        <w:t>&amp;</w:t>
      </w:r>
      <w:r w:rsidR="000D11F3" w:rsidRPr="00F40242">
        <w:rPr>
          <w:color w:val="000000"/>
          <w:sz w:val="26"/>
        </w:rPr>
        <w:t xml:space="preserve"> </w:t>
      </w:r>
      <w:proofErr w:type="spellStart"/>
      <w:r w:rsidR="008314EE" w:rsidRPr="00F40242">
        <w:rPr>
          <w:color w:val="000000"/>
          <w:sz w:val="26"/>
        </w:rPr>
        <w:t>Tondkar</w:t>
      </w:r>
      <w:proofErr w:type="spellEnd"/>
      <w:r w:rsidR="003701F5" w:rsidRPr="00F40242">
        <w:rPr>
          <w:color w:val="000000"/>
          <w:sz w:val="26"/>
        </w:rPr>
        <w:t>,</w:t>
      </w:r>
      <w:r w:rsidR="000D11F3" w:rsidRPr="00F40242">
        <w:rPr>
          <w:color w:val="000000"/>
          <w:sz w:val="26"/>
        </w:rPr>
        <w:t xml:space="preserve"> </w:t>
      </w:r>
      <w:r w:rsidR="003701F5" w:rsidRPr="00F40242">
        <w:rPr>
          <w:color w:val="000000"/>
          <w:sz w:val="26"/>
        </w:rPr>
        <w:t>2</w:t>
      </w:r>
      <w:r w:rsidR="008314EE" w:rsidRPr="00F40242">
        <w:rPr>
          <w:color w:val="000000"/>
          <w:sz w:val="26"/>
        </w:rPr>
        <w:t xml:space="preserve">005). </w:t>
      </w:r>
      <w:r w:rsidR="007F6E43" w:rsidRPr="00F40242">
        <w:rPr>
          <w:noProof/>
          <w:color w:val="000000"/>
          <w:sz w:val="26"/>
        </w:rPr>
        <w:t>The i</w:t>
      </w:r>
      <w:r w:rsidR="008314EE" w:rsidRPr="00F40242">
        <w:rPr>
          <w:noProof/>
          <w:color w:val="000000"/>
          <w:sz w:val="26"/>
        </w:rPr>
        <w:t>nstitutional</w:t>
      </w:r>
      <w:r w:rsidR="008314EE" w:rsidRPr="00F40242">
        <w:rPr>
          <w:color w:val="000000"/>
          <w:sz w:val="26"/>
        </w:rPr>
        <w:t xml:space="preserve"> theory </w:t>
      </w:r>
      <w:r w:rsidR="00797FEE" w:rsidRPr="00F40242">
        <w:rPr>
          <w:color w:val="000000"/>
          <w:sz w:val="26"/>
        </w:rPr>
        <w:t xml:space="preserve">provides the </w:t>
      </w:r>
      <w:r w:rsidR="00797FEE" w:rsidRPr="00F40242">
        <w:rPr>
          <w:noProof/>
          <w:color w:val="000000"/>
          <w:sz w:val="26"/>
        </w:rPr>
        <w:t>basis for</w:t>
      </w:r>
      <w:r w:rsidR="00797FEE" w:rsidRPr="00F40242">
        <w:rPr>
          <w:color w:val="000000"/>
          <w:sz w:val="26"/>
        </w:rPr>
        <w:t xml:space="preserve"> </w:t>
      </w:r>
      <w:r w:rsidR="008314EE" w:rsidRPr="00F40242">
        <w:rPr>
          <w:color w:val="000000"/>
          <w:sz w:val="26"/>
        </w:rPr>
        <w:t xml:space="preserve">explaining the influence of culture </w:t>
      </w:r>
      <w:r w:rsidR="00797FEE" w:rsidRPr="00F40242">
        <w:rPr>
          <w:color w:val="000000"/>
          <w:sz w:val="26"/>
        </w:rPr>
        <w:t xml:space="preserve">on </w:t>
      </w:r>
      <w:r w:rsidR="008314EE" w:rsidRPr="00F40242">
        <w:rPr>
          <w:color w:val="000000"/>
          <w:sz w:val="26"/>
        </w:rPr>
        <w:t xml:space="preserve">CSR. </w:t>
      </w:r>
      <w:r w:rsidR="002430E8" w:rsidRPr="00F40242">
        <w:rPr>
          <w:color w:val="000000"/>
          <w:sz w:val="26"/>
        </w:rPr>
        <w:t xml:space="preserve">Legitimacy </w:t>
      </w:r>
      <w:r w:rsidR="002430E8" w:rsidRPr="00F40242">
        <w:rPr>
          <w:noProof/>
          <w:color w:val="000000"/>
          <w:sz w:val="26"/>
        </w:rPr>
        <w:t xml:space="preserve">is </w:t>
      </w:r>
      <w:r w:rsidR="00797FEE" w:rsidRPr="00F40242">
        <w:rPr>
          <w:noProof/>
          <w:color w:val="000000"/>
          <w:sz w:val="26"/>
        </w:rPr>
        <w:t>therefore perceived</w:t>
      </w:r>
      <w:r w:rsidR="00797FEE" w:rsidRPr="00F40242">
        <w:rPr>
          <w:color w:val="000000"/>
          <w:sz w:val="26"/>
        </w:rPr>
        <w:t xml:space="preserve"> as providing </w:t>
      </w:r>
      <w:r w:rsidR="002430E8" w:rsidRPr="00F40242">
        <w:rPr>
          <w:color w:val="000000"/>
          <w:sz w:val="26"/>
        </w:rPr>
        <w:t xml:space="preserve">congruency between </w:t>
      </w:r>
      <w:r w:rsidR="00797FEE" w:rsidRPr="00F40242">
        <w:rPr>
          <w:color w:val="000000"/>
          <w:sz w:val="26"/>
        </w:rPr>
        <w:t>a firm and its cultural environment</w:t>
      </w:r>
      <w:r w:rsidR="000D11F3" w:rsidRPr="00F40242">
        <w:rPr>
          <w:color w:val="000000"/>
          <w:sz w:val="26"/>
        </w:rPr>
        <w:t>,</w:t>
      </w:r>
      <w:r w:rsidR="00797FEE" w:rsidRPr="00F40242">
        <w:rPr>
          <w:color w:val="000000"/>
          <w:sz w:val="26"/>
        </w:rPr>
        <w:t xml:space="preserve"> with greater emphasis on </w:t>
      </w:r>
      <w:r w:rsidR="002430E8" w:rsidRPr="00F40242">
        <w:rPr>
          <w:color w:val="000000"/>
          <w:sz w:val="26"/>
        </w:rPr>
        <w:t xml:space="preserve">the cognitive rather than the evaluative </w:t>
      </w:r>
      <w:r w:rsidR="00797FEE" w:rsidRPr="00F40242">
        <w:rPr>
          <w:color w:val="000000"/>
          <w:sz w:val="26"/>
        </w:rPr>
        <w:t xml:space="preserve">dimensions of human behaviour </w:t>
      </w:r>
      <w:r w:rsidR="002430E8" w:rsidRPr="00F40242">
        <w:rPr>
          <w:color w:val="000000"/>
          <w:sz w:val="26"/>
        </w:rPr>
        <w:t>(</w:t>
      </w:r>
      <w:proofErr w:type="spellStart"/>
      <w:r w:rsidR="002430E8" w:rsidRPr="00F40242">
        <w:rPr>
          <w:color w:val="000000"/>
          <w:sz w:val="26"/>
        </w:rPr>
        <w:t>Amran</w:t>
      </w:r>
      <w:proofErr w:type="spellEnd"/>
      <w:r w:rsidR="000D11F3" w:rsidRPr="00F40242">
        <w:rPr>
          <w:color w:val="000000"/>
          <w:sz w:val="26"/>
        </w:rPr>
        <w:t xml:space="preserve"> </w:t>
      </w:r>
      <w:r w:rsidR="00EC7873" w:rsidRPr="00F40242">
        <w:rPr>
          <w:color w:val="000000"/>
          <w:sz w:val="26"/>
        </w:rPr>
        <w:t>&amp;</w:t>
      </w:r>
      <w:r w:rsidR="000D11F3" w:rsidRPr="00F40242">
        <w:rPr>
          <w:color w:val="000000"/>
          <w:sz w:val="26"/>
        </w:rPr>
        <w:t xml:space="preserve"> </w:t>
      </w:r>
      <w:r w:rsidR="002430E8" w:rsidRPr="00F40242">
        <w:rPr>
          <w:color w:val="000000"/>
          <w:sz w:val="26"/>
        </w:rPr>
        <w:t>Devi</w:t>
      </w:r>
      <w:r w:rsidR="003701F5" w:rsidRPr="00F40242">
        <w:rPr>
          <w:color w:val="000000"/>
          <w:sz w:val="26"/>
        </w:rPr>
        <w:t>,</w:t>
      </w:r>
      <w:r w:rsidR="000D11F3" w:rsidRPr="00F40242">
        <w:rPr>
          <w:color w:val="000000"/>
          <w:sz w:val="26"/>
        </w:rPr>
        <w:t xml:space="preserve"> </w:t>
      </w:r>
      <w:r w:rsidR="003701F5" w:rsidRPr="00F40242">
        <w:rPr>
          <w:color w:val="000000"/>
          <w:sz w:val="26"/>
        </w:rPr>
        <w:t>2</w:t>
      </w:r>
      <w:r w:rsidR="002430E8" w:rsidRPr="00F40242">
        <w:rPr>
          <w:color w:val="000000"/>
          <w:sz w:val="26"/>
        </w:rPr>
        <w:t xml:space="preserve">008). </w:t>
      </w:r>
      <w:r w:rsidR="00053CDC" w:rsidRPr="00F40242">
        <w:rPr>
          <w:color w:val="000000"/>
          <w:sz w:val="26"/>
        </w:rPr>
        <w:t xml:space="preserve">Therefore, legitimacy </w:t>
      </w:r>
      <w:r w:rsidR="002430E8" w:rsidRPr="00F40242">
        <w:rPr>
          <w:color w:val="000000"/>
          <w:sz w:val="26"/>
        </w:rPr>
        <w:t>and institutional theories are capable of explaining different societal expectation</w:t>
      </w:r>
      <w:r w:rsidR="000D11F3" w:rsidRPr="00F40242">
        <w:rPr>
          <w:color w:val="000000"/>
          <w:sz w:val="26"/>
        </w:rPr>
        <w:t>s</w:t>
      </w:r>
      <w:r w:rsidR="002430E8" w:rsidRPr="00F40242">
        <w:rPr>
          <w:color w:val="000000"/>
          <w:sz w:val="26"/>
        </w:rPr>
        <w:t xml:space="preserve"> and </w:t>
      </w:r>
      <w:r w:rsidR="000D11F3" w:rsidRPr="00F40242">
        <w:rPr>
          <w:color w:val="000000"/>
          <w:sz w:val="26"/>
        </w:rPr>
        <w:t xml:space="preserve">are thus </w:t>
      </w:r>
      <w:r w:rsidR="002430E8" w:rsidRPr="00F40242">
        <w:rPr>
          <w:color w:val="000000"/>
          <w:sz w:val="26"/>
        </w:rPr>
        <w:t xml:space="preserve">closely interconnected. </w:t>
      </w:r>
    </w:p>
    <w:p w14:paraId="308FBF5D" w14:textId="77777777" w:rsidR="00645415" w:rsidRDefault="00053CDC" w:rsidP="0011086F">
      <w:pPr>
        <w:spacing w:line="360" w:lineRule="exact"/>
        <w:ind w:firstLineChars="200" w:firstLine="520"/>
        <w:jc w:val="both"/>
        <w:rPr>
          <w:sz w:val="26"/>
        </w:rPr>
      </w:pPr>
      <w:r w:rsidRPr="00F40242">
        <w:rPr>
          <w:sz w:val="26"/>
        </w:rPr>
        <w:t xml:space="preserve">The theories linking CSR and </w:t>
      </w:r>
      <w:r w:rsidRPr="00F40242">
        <w:rPr>
          <w:noProof/>
          <w:sz w:val="26"/>
        </w:rPr>
        <w:t>it</w:t>
      </w:r>
      <w:r w:rsidR="007F6E43" w:rsidRPr="00F40242">
        <w:rPr>
          <w:noProof/>
          <w:sz w:val="26"/>
        </w:rPr>
        <w:t>s</w:t>
      </w:r>
      <w:r w:rsidRPr="00F40242">
        <w:rPr>
          <w:sz w:val="26"/>
        </w:rPr>
        <w:t xml:space="preserve"> determinants </w:t>
      </w:r>
      <w:r w:rsidRPr="00F40242">
        <w:rPr>
          <w:noProof/>
          <w:sz w:val="26"/>
        </w:rPr>
        <w:t>are depicted</w:t>
      </w:r>
      <w:r w:rsidRPr="00F40242">
        <w:rPr>
          <w:sz w:val="26"/>
        </w:rPr>
        <w:t xml:space="preserve"> in Figure 1. Figure 1 shows that each theoretical framework can be utilised to </w:t>
      </w:r>
      <w:r w:rsidR="008314EE" w:rsidRPr="00F40242">
        <w:rPr>
          <w:sz w:val="26"/>
        </w:rPr>
        <w:t xml:space="preserve">analyse the essential conditions of a complex social occurrence. </w:t>
      </w:r>
      <w:r w:rsidR="00173362" w:rsidRPr="00F40242">
        <w:rPr>
          <w:sz w:val="26"/>
        </w:rPr>
        <w:t>“</w:t>
      </w:r>
      <w:r w:rsidR="008314EE" w:rsidRPr="00F40242">
        <w:rPr>
          <w:sz w:val="26"/>
        </w:rPr>
        <w:t>Legitimacy theory appears to have a higher level of analysis than institutional theory, followed by resource dependence theory and stakeholder theory. However, they have a shared interest to explain how organisations survive in a changing society</w:t>
      </w:r>
      <w:r w:rsidR="000D11F3" w:rsidRPr="00F40242">
        <w:rPr>
          <w:sz w:val="26"/>
        </w:rPr>
        <w:t>”</w:t>
      </w:r>
      <w:r w:rsidR="003E5DEB" w:rsidRPr="00F40242">
        <w:rPr>
          <w:sz w:val="26"/>
        </w:rPr>
        <w:t xml:space="preserve"> (Chen</w:t>
      </w:r>
      <w:r w:rsidR="000D11F3" w:rsidRPr="00F40242">
        <w:rPr>
          <w:sz w:val="26"/>
        </w:rPr>
        <w:t xml:space="preserve"> </w:t>
      </w:r>
      <w:r w:rsidR="00EC7873" w:rsidRPr="00F40242">
        <w:rPr>
          <w:sz w:val="26"/>
        </w:rPr>
        <w:t>&amp;</w:t>
      </w:r>
      <w:r w:rsidR="000D11F3" w:rsidRPr="00F40242">
        <w:rPr>
          <w:sz w:val="26"/>
        </w:rPr>
        <w:t xml:space="preserve"> </w:t>
      </w:r>
      <w:r w:rsidR="003E5DEB" w:rsidRPr="00F40242">
        <w:rPr>
          <w:sz w:val="26"/>
        </w:rPr>
        <w:t>Robert</w:t>
      </w:r>
      <w:r w:rsidR="003701F5" w:rsidRPr="00F40242">
        <w:rPr>
          <w:sz w:val="26"/>
        </w:rPr>
        <w:t>,</w:t>
      </w:r>
      <w:r w:rsidR="000D11F3" w:rsidRPr="00F40242">
        <w:rPr>
          <w:sz w:val="26"/>
        </w:rPr>
        <w:t xml:space="preserve"> </w:t>
      </w:r>
      <w:r w:rsidR="003701F5" w:rsidRPr="00F40242">
        <w:rPr>
          <w:sz w:val="26"/>
        </w:rPr>
        <w:t>2</w:t>
      </w:r>
      <w:r w:rsidR="003E5DEB" w:rsidRPr="00F40242">
        <w:rPr>
          <w:sz w:val="26"/>
        </w:rPr>
        <w:t>010, p.</w:t>
      </w:r>
      <w:r w:rsidR="000D11F3" w:rsidRPr="00F40242">
        <w:rPr>
          <w:sz w:val="26"/>
        </w:rPr>
        <w:t xml:space="preserve"> </w:t>
      </w:r>
      <w:r w:rsidR="003E5DEB" w:rsidRPr="00F40242">
        <w:rPr>
          <w:sz w:val="26"/>
        </w:rPr>
        <w:t xml:space="preserve">653). </w:t>
      </w:r>
    </w:p>
    <w:p w14:paraId="277DC52A" w14:textId="0C666ADA" w:rsidR="008314EE" w:rsidRPr="00F40242" w:rsidRDefault="00173362" w:rsidP="0011086F">
      <w:pPr>
        <w:spacing w:line="360" w:lineRule="exact"/>
        <w:ind w:firstLineChars="200" w:firstLine="520"/>
        <w:jc w:val="both"/>
        <w:rPr>
          <w:b/>
          <w:sz w:val="26"/>
        </w:rPr>
      </w:pPr>
      <w:r w:rsidRPr="00F40242">
        <w:rPr>
          <w:color w:val="000000"/>
          <w:sz w:val="26"/>
        </w:rPr>
        <w:t>Considering the advantage of l</w:t>
      </w:r>
      <w:r w:rsidR="008314EE" w:rsidRPr="00F40242">
        <w:rPr>
          <w:color w:val="000000"/>
          <w:sz w:val="26"/>
        </w:rPr>
        <w:t xml:space="preserve">egitimacy theory </w:t>
      </w:r>
      <w:r w:rsidRPr="00F40242">
        <w:rPr>
          <w:color w:val="000000"/>
          <w:sz w:val="26"/>
        </w:rPr>
        <w:t>over other theories</w:t>
      </w:r>
      <w:r w:rsidR="0079275D" w:rsidRPr="00F40242">
        <w:rPr>
          <w:color w:val="000000"/>
          <w:sz w:val="26"/>
        </w:rPr>
        <w:t xml:space="preserve">, as illustrated by </w:t>
      </w:r>
      <w:proofErr w:type="spellStart"/>
      <w:r w:rsidR="008314EE" w:rsidRPr="00F40242">
        <w:rPr>
          <w:color w:val="000000"/>
          <w:sz w:val="26"/>
        </w:rPr>
        <w:t>Gray</w:t>
      </w:r>
      <w:proofErr w:type="spellEnd"/>
      <w:r w:rsidR="0079275D" w:rsidRPr="00F40242">
        <w:rPr>
          <w:color w:val="000000"/>
          <w:sz w:val="26"/>
        </w:rPr>
        <w:t xml:space="preserve"> </w:t>
      </w:r>
      <w:r w:rsidR="00323005">
        <w:rPr>
          <w:color w:val="000000"/>
          <w:sz w:val="26"/>
        </w:rPr>
        <w:t xml:space="preserve">et al. </w:t>
      </w:r>
      <w:r w:rsidR="0079275D" w:rsidRPr="00F40242">
        <w:rPr>
          <w:color w:val="000000"/>
          <w:sz w:val="26"/>
        </w:rPr>
        <w:t>(</w:t>
      </w:r>
      <w:r w:rsidR="008314EE" w:rsidRPr="00F40242">
        <w:rPr>
          <w:color w:val="000000"/>
          <w:sz w:val="26"/>
        </w:rPr>
        <w:t xml:space="preserve">1995), </w:t>
      </w:r>
      <w:r w:rsidRPr="00F40242">
        <w:rPr>
          <w:color w:val="000000"/>
          <w:sz w:val="26"/>
        </w:rPr>
        <w:t xml:space="preserve">we use </w:t>
      </w:r>
      <w:r w:rsidR="008314EE" w:rsidRPr="00F40242">
        <w:rPr>
          <w:color w:val="000000"/>
          <w:sz w:val="26"/>
        </w:rPr>
        <w:t xml:space="preserve">legitimacy theory as </w:t>
      </w:r>
      <w:r w:rsidRPr="00F40242">
        <w:rPr>
          <w:color w:val="000000"/>
          <w:sz w:val="26"/>
        </w:rPr>
        <w:t>our</w:t>
      </w:r>
      <w:r w:rsidR="008314EE" w:rsidRPr="00F40242">
        <w:rPr>
          <w:color w:val="000000"/>
          <w:sz w:val="26"/>
        </w:rPr>
        <w:t xml:space="preserve"> theoretical foundation</w:t>
      </w:r>
      <w:r w:rsidR="008314EE" w:rsidRPr="00477869">
        <w:rPr>
          <w:sz w:val="26"/>
        </w:rPr>
        <w:t xml:space="preserve">. </w:t>
      </w:r>
      <w:r w:rsidR="008314EE" w:rsidRPr="00477869">
        <w:rPr>
          <w:noProof/>
          <w:sz w:val="26"/>
        </w:rPr>
        <w:t>Several studies have used legitimacy theory to explain CSR practices (</w:t>
      </w:r>
      <w:r w:rsidR="00A56CF9" w:rsidRPr="00477869">
        <w:rPr>
          <w:sz w:val="26"/>
          <w:lang w:eastAsia="en-AU"/>
        </w:rPr>
        <w:t>Bachmann</w:t>
      </w:r>
      <w:r w:rsidR="0079275D" w:rsidRPr="00477869">
        <w:rPr>
          <w:sz w:val="26"/>
          <w:lang w:eastAsia="en-AU"/>
        </w:rPr>
        <w:t xml:space="preserve"> </w:t>
      </w:r>
      <w:r w:rsidR="00EC7873" w:rsidRPr="00477869">
        <w:rPr>
          <w:sz w:val="26"/>
          <w:lang w:eastAsia="en-AU"/>
        </w:rPr>
        <w:t>&amp;</w:t>
      </w:r>
      <w:r w:rsidR="0079275D" w:rsidRPr="00477869">
        <w:rPr>
          <w:sz w:val="26"/>
          <w:lang w:eastAsia="en-AU"/>
        </w:rPr>
        <w:t xml:space="preserve"> </w:t>
      </w:r>
      <w:proofErr w:type="spellStart"/>
      <w:r w:rsidR="00A56CF9" w:rsidRPr="00477869">
        <w:rPr>
          <w:sz w:val="26"/>
          <w:lang w:eastAsia="en-AU"/>
        </w:rPr>
        <w:t>Ingenhoff</w:t>
      </w:r>
      <w:proofErr w:type="spellEnd"/>
      <w:r w:rsidR="003701F5" w:rsidRPr="00477869">
        <w:rPr>
          <w:sz w:val="26"/>
          <w:lang w:eastAsia="en-AU"/>
        </w:rPr>
        <w:t>,</w:t>
      </w:r>
      <w:r w:rsidR="0079275D" w:rsidRPr="00477869">
        <w:rPr>
          <w:sz w:val="26"/>
          <w:lang w:eastAsia="en-AU"/>
        </w:rPr>
        <w:t xml:space="preserve"> </w:t>
      </w:r>
      <w:r w:rsidR="003701F5" w:rsidRPr="00477869">
        <w:rPr>
          <w:sz w:val="26"/>
          <w:lang w:eastAsia="en-AU"/>
        </w:rPr>
        <w:lastRenderedPageBreak/>
        <w:t>2</w:t>
      </w:r>
      <w:r w:rsidR="00A56CF9" w:rsidRPr="00477869">
        <w:rPr>
          <w:sz w:val="26"/>
          <w:lang w:eastAsia="en-AU"/>
        </w:rPr>
        <w:t xml:space="preserve">017; </w:t>
      </w:r>
      <w:r w:rsidR="00A56CF9" w:rsidRPr="00477869">
        <w:rPr>
          <w:noProof/>
          <w:sz w:val="26"/>
        </w:rPr>
        <w:t>Claasen</w:t>
      </w:r>
      <w:r w:rsidR="0079275D" w:rsidRPr="00477869">
        <w:rPr>
          <w:noProof/>
          <w:sz w:val="26"/>
        </w:rPr>
        <w:t xml:space="preserve"> </w:t>
      </w:r>
      <w:r w:rsidR="00EC7873" w:rsidRPr="00477869">
        <w:rPr>
          <w:noProof/>
          <w:sz w:val="26"/>
        </w:rPr>
        <w:t>&amp;</w:t>
      </w:r>
      <w:r w:rsidR="0079275D" w:rsidRPr="00477869">
        <w:rPr>
          <w:noProof/>
          <w:sz w:val="26"/>
        </w:rPr>
        <w:t xml:space="preserve"> </w:t>
      </w:r>
      <w:r w:rsidR="00A56CF9" w:rsidRPr="00477869">
        <w:rPr>
          <w:noProof/>
          <w:sz w:val="26"/>
        </w:rPr>
        <w:t>Roloff</w:t>
      </w:r>
      <w:r w:rsidR="003701F5" w:rsidRPr="00477869">
        <w:rPr>
          <w:noProof/>
          <w:sz w:val="26"/>
        </w:rPr>
        <w:t>,</w:t>
      </w:r>
      <w:r w:rsidR="0079275D" w:rsidRPr="00477869">
        <w:rPr>
          <w:noProof/>
          <w:sz w:val="26"/>
        </w:rPr>
        <w:t xml:space="preserve"> </w:t>
      </w:r>
      <w:r w:rsidR="003701F5" w:rsidRPr="00477869">
        <w:rPr>
          <w:noProof/>
          <w:sz w:val="26"/>
        </w:rPr>
        <w:t>2</w:t>
      </w:r>
      <w:r w:rsidR="00A56CF9" w:rsidRPr="00477869">
        <w:rPr>
          <w:noProof/>
          <w:sz w:val="26"/>
        </w:rPr>
        <w:t>012;</w:t>
      </w:r>
      <w:r w:rsidR="00A56CF9" w:rsidRPr="00477869">
        <w:rPr>
          <w:sz w:val="26"/>
          <w:lang w:eastAsia="en-AU"/>
        </w:rPr>
        <w:t xml:space="preserve"> </w:t>
      </w:r>
      <w:proofErr w:type="spellStart"/>
      <w:r w:rsidR="00A56CF9" w:rsidRPr="00477869">
        <w:rPr>
          <w:sz w:val="26"/>
        </w:rPr>
        <w:t>Dube</w:t>
      </w:r>
      <w:proofErr w:type="spellEnd"/>
      <w:r w:rsidR="0079275D" w:rsidRPr="00477869">
        <w:rPr>
          <w:sz w:val="26"/>
        </w:rPr>
        <w:t xml:space="preserve"> </w:t>
      </w:r>
      <w:r w:rsidR="00EC7873" w:rsidRPr="00477869">
        <w:rPr>
          <w:sz w:val="26"/>
        </w:rPr>
        <w:t>&amp;</w:t>
      </w:r>
      <w:r w:rsidR="0079275D" w:rsidRPr="00477869">
        <w:rPr>
          <w:sz w:val="26"/>
        </w:rPr>
        <w:t xml:space="preserve"> </w:t>
      </w:r>
      <w:proofErr w:type="spellStart"/>
      <w:r w:rsidR="00A56CF9" w:rsidRPr="00477869">
        <w:rPr>
          <w:sz w:val="26"/>
        </w:rPr>
        <w:t>Maroun</w:t>
      </w:r>
      <w:proofErr w:type="spellEnd"/>
      <w:r w:rsidR="003701F5" w:rsidRPr="00477869">
        <w:rPr>
          <w:sz w:val="26"/>
        </w:rPr>
        <w:t>,</w:t>
      </w:r>
      <w:r w:rsidR="0079275D" w:rsidRPr="00477869">
        <w:rPr>
          <w:sz w:val="26"/>
        </w:rPr>
        <w:t xml:space="preserve"> </w:t>
      </w:r>
      <w:r w:rsidR="003701F5" w:rsidRPr="00477869">
        <w:rPr>
          <w:sz w:val="26"/>
        </w:rPr>
        <w:t>2</w:t>
      </w:r>
      <w:r w:rsidR="00A56CF9" w:rsidRPr="00477869">
        <w:rPr>
          <w:sz w:val="26"/>
        </w:rPr>
        <w:t xml:space="preserve">017; </w:t>
      </w:r>
      <w:r w:rsidR="00A56CF9" w:rsidRPr="00477869">
        <w:rPr>
          <w:noProof/>
          <w:sz w:val="26"/>
        </w:rPr>
        <w:t>Mobus</w:t>
      </w:r>
      <w:r w:rsidR="003701F5" w:rsidRPr="00477869">
        <w:rPr>
          <w:noProof/>
          <w:sz w:val="26"/>
        </w:rPr>
        <w:t>,</w:t>
      </w:r>
      <w:r w:rsidR="0079275D" w:rsidRPr="00477869">
        <w:rPr>
          <w:noProof/>
          <w:sz w:val="26"/>
        </w:rPr>
        <w:t xml:space="preserve"> </w:t>
      </w:r>
      <w:r w:rsidR="003701F5" w:rsidRPr="00477869">
        <w:rPr>
          <w:noProof/>
          <w:sz w:val="26"/>
        </w:rPr>
        <w:t>2</w:t>
      </w:r>
      <w:r w:rsidR="00A56CF9" w:rsidRPr="00477869">
        <w:rPr>
          <w:noProof/>
          <w:sz w:val="26"/>
        </w:rPr>
        <w:t xml:space="preserve">005; </w:t>
      </w:r>
      <w:proofErr w:type="spellStart"/>
      <w:r w:rsidR="00A56CF9" w:rsidRPr="00477869">
        <w:rPr>
          <w:sz w:val="26"/>
          <w:lang w:eastAsia="en-AU"/>
        </w:rPr>
        <w:t>Nègre</w:t>
      </w:r>
      <w:proofErr w:type="spellEnd"/>
      <w:r w:rsidR="00A56CF9" w:rsidRPr="00477869">
        <w:rPr>
          <w:sz w:val="26"/>
          <w:lang w:eastAsia="en-AU"/>
        </w:rPr>
        <w:t xml:space="preserve">, </w:t>
      </w:r>
      <w:proofErr w:type="spellStart"/>
      <w:r w:rsidR="00A56CF9" w:rsidRPr="00477869">
        <w:rPr>
          <w:sz w:val="26"/>
          <w:lang w:eastAsia="en-AU"/>
        </w:rPr>
        <w:t>Verdier</w:t>
      </w:r>
      <w:proofErr w:type="spellEnd"/>
      <w:r w:rsidR="00A56CF9" w:rsidRPr="00477869">
        <w:rPr>
          <w:sz w:val="26"/>
          <w:lang w:eastAsia="en-AU"/>
        </w:rPr>
        <w:t>, Cho,</w:t>
      </w:r>
      <w:r w:rsidR="0079275D" w:rsidRPr="00477869">
        <w:rPr>
          <w:sz w:val="26"/>
          <w:lang w:eastAsia="en-AU"/>
        </w:rPr>
        <w:t xml:space="preserve"> </w:t>
      </w:r>
      <w:r w:rsidR="00EC7873" w:rsidRPr="00477869">
        <w:rPr>
          <w:sz w:val="26"/>
          <w:lang w:eastAsia="en-AU"/>
        </w:rPr>
        <w:t>&amp;</w:t>
      </w:r>
      <w:r w:rsidR="0079275D" w:rsidRPr="00477869">
        <w:rPr>
          <w:sz w:val="26"/>
          <w:lang w:eastAsia="en-AU"/>
        </w:rPr>
        <w:t xml:space="preserve"> </w:t>
      </w:r>
      <w:r w:rsidR="00A56CF9" w:rsidRPr="00477869">
        <w:rPr>
          <w:sz w:val="26"/>
          <w:lang w:eastAsia="en-AU"/>
        </w:rPr>
        <w:t>Patten</w:t>
      </w:r>
      <w:r w:rsidR="003701F5" w:rsidRPr="00477869">
        <w:rPr>
          <w:sz w:val="26"/>
          <w:lang w:eastAsia="en-AU"/>
        </w:rPr>
        <w:t>,</w:t>
      </w:r>
      <w:r w:rsidR="0079275D" w:rsidRPr="00477869">
        <w:rPr>
          <w:sz w:val="26"/>
          <w:lang w:eastAsia="en-AU"/>
        </w:rPr>
        <w:t xml:space="preserve"> </w:t>
      </w:r>
      <w:r w:rsidR="003701F5" w:rsidRPr="00477869">
        <w:rPr>
          <w:sz w:val="26"/>
          <w:lang w:eastAsia="en-AU"/>
        </w:rPr>
        <w:t>2</w:t>
      </w:r>
      <w:r w:rsidR="00A56CF9" w:rsidRPr="00477869">
        <w:rPr>
          <w:sz w:val="26"/>
          <w:lang w:eastAsia="en-AU"/>
        </w:rPr>
        <w:t>017; Scherer</w:t>
      </w:r>
      <w:r w:rsidR="003701F5" w:rsidRPr="00477869">
        <w:rPr>
          <w:sz w:val="26"/>
          <w:lang w:eastAsia="en-AU"/>
        </w:rPr>
        <w:t>,</w:t>
      </w:r>
      <w:r w:rsidR="0079275D" w:rsidRPr="00477869">
        <w:rPr>
          <w:sz w:val="26"/>
          <w:lang w:eastAsia="en-AU"/>
        </w:rPr>
        <w:t xml:space="preserve"> </w:t>
      </w:r>
      <w:r w:rsidR="003701F5" w:rsidRPr="00477869">
        <w:rPr>
          <w:sz w:val="26"/>
          <w:lang w:eastAsia="en-AU"/>
        </w:rPr>
        <w:t>2</w:t>
      </w:r>
      <w:r w:rsidR="00A56CF9" w:rsidRPr="00477869">
        <w:rPr>
          <w:sz w:val="26"/>
          <w:lang w:eastAsia="en-AU"/>
        </w:rPr>
        <w:t>018</w:t>
      </w:r>
      <w:r w:rsidR="008314EE" w:rsidRPr="00477869">
        <w:rPr>
          <w:noProof/>
          <w:sz w:val="26"/>
        </w:rPr>
        <w:t>)</w:t>
      </w:r>
      <w:r w:rsidR="0079275D" w:rsidRPr="00477869">
        <w:rPr>
          <w:noProof/>
          <w:sz w:val="26"/>
        </w:rPr>
        <w:t>,</w:t>
      </w:r>
      <w:r w:rsidR="008314EE" w:rsidRPr="00477869">
        <w:rPr>
          <w:noProof/>
          <w:sz w:val="26"/>
        </w:rPr>
        <w:t xml:space="preserve"> but there is a growing </w:t>
      </w:r>
      <w:r w:rsidR="0079275D" w:rsidRPr="00477869">
        <w:rPr>
          <w:noProof/>
          <w:sz w:val="26"/>
        </w:rPr>
        <w:t xml:space="preserve">body of </w:t>
      </w:r>
      <w:r w:rsidR="008314EE" w:rsidRPr="00477869">
        <w:rPr>
          <w:noProof/>
          <w:sz w:val="26"/>
        </w:rPr>
        <w:t>literature arguing that CSR practices are more cultur</w:t>
      </w:r>
      <w:r w:rsidR="0079275D" w:rsidRPr="00477869">
        <w:rPr>
          <w:noProof/>
          <w:sz w:val="26"/>
        </w:rPr>
        <w:t>ally</w:t>
      </w:r>
      <w:r w:rsidR="008314EE" w:rsidRPr="00477869">
        <w:rPr>
          <w:noProof/>
          <w:sz w:val="26"/>
        </w:rPr>
        <w:t xml:space="preserve"> or institutional</w:t>
      </w:r>
      <w:r w:rsidR="0079275D" w:rsidRPr="00477869">
        <w:rPr>
          <w:noProof/>
          <w:sz w:val="26"/>
        </w:rPr>
        <w:t>ly</w:t>
      </w:r>
      <w:r w:rsidR="008314EE" w:rsidRPr="00477869">
        <w:rPr>
          <w:noProof/>
          <w:sz w:val="26"/>
        </w:rPr>
        <w:t xml:space="preserve"> specific</w:t>
      </w:r>
      <w:r w:rsidR="00645415" w:rsidRPr="00477869">
        <w:rPr>
          <w:noProof/>
          <w:sz w:val="26"/>
        </w:rPr>
        <w:t xml:space="preserve"> than</w:t>
      </w:r>
      <w:r w:rsidR="00477869" w:rsidRPr="00477869">
        <w:rPr>
          <w:noProof/>
          <w:sz w:val="26"/>
        </w:rPr>
        <w:t xml:space="preserve"> general legitimacy</w:t>
      </w:r>
      <w:r w:rsidR="008314EE" w:rsidRPr="00477869">
        <w:rPr>
          <w:noProof/>
          <w:sz w:val="26"/>
        </w:rPr>
        <w:t xml:space="preserve"> </w:t>
      </w:r>
      <w:r w:rsidR="008314EE" w:rsidRPr="00F40242">
        <w:rPr>
          <w:noProof/>
          <w:color w:val="000000"/>
          <w:sz w:val="26"/>
        </w:rPr>
        <w:t>(Campbell</w:t>
      </w:r>
      <w:r w:rsidR="003701F5" w:rsidRPr="00F40242">
        <w:rPr>
          <w:noProof/>
          <w:color w:val="000000"/>
          <w:sz w:val="26"/>
        </w:rPr>
        <w:t>,</w:t>
      </w:r>
      <w:r w:rsidR="0079275D" w:rsidRPr="00F40242">
        <w:rPr>
          <w:noProof/>
          <w:color w:val="000000"/>
          <w:sz w:val="26"/>
        </w:rPr>
        <w:t xml:space="preserve"> </w:t>
      </w:r>
      <w:r w:rsidR="003701F5" w:rsidRPr="00F40242">
        <w:rPr>
          <w:noProof/>
          <w:color w:val="000000"/>
          <w:sz w:val="26"/>
        </w:rPr>
        <w:t>2</w:t>
      </w:r>
      <w:r w:rsidR="008314EE" w:rsidRPr="00F40242">
        <w:rPr>
          <w:noProof/>
          <w:color w:val="000000"/>
          <w:sz w:val="26"/>
        </w:rPr>
        <w:t>007).</w:t>
      </w:r>
      <w:r w:rsidR="008314EE" w:rsidRPr="00F40242">
        <w:rPr>
          <w:color w:val="000000"/>
          <w:sz w:val="26"/>
        </w:rPr>
        <w:t xml:space="preserve"> CSR is dependent on the external environment in which companies </w:t>
      </w:r>
      <w:r w:rsidR="008314EE" w:rsidRPr="00F40242">
        <w:rPr>
          <w:noProof/>
          <w:color w:val="000000"/>
          <w:sz w:val="26"/>
        </w:rPr>
        <w:t>are embedded</w:t>
      </w:r>
      <w:r w:rsidR="008314EE" w:rsidRPr="00F40242">
        <w:rPr>
          <w:color w:val="000000"/>
          <w:sz w:val="26"/>
        </w:rPr>
        <w:t xml:space="preserve"> (Marquis et al.</w:t>
      </w:r>
      <w:r w:rsidR="0079275D" w:rsidRPr="00F40242">
        <w:rPr>
          <w:color w:val="000000"/>
          <w:sz w:val="26"/>
        </w:rPr>
        <w:t>,</w:t>
      </w:r>
      <w:r w:rsidR="008314EE" w:rsidRPr="00F40242">
        <w:rPr>
          <w:color w:val="000000"/>
          <w:sz w:val="26"/>
        </w:rPr>
        <w:t xml:space="preserve"> 2007). Thus, understanding CSR practices requires an extensive view of</w:t>
      </w:r>
      <w:r w:rsidR="00FB3869" w:rsidRPr="00F40242">
        <w:rPr>
          <w:color w:val="000000"/>
          <w:sz w:val="26"/>
        </w:rPr>
        <w:t xml:space="preserve"> the</w:t>
      </w:r>
      <w:r w:rsidR="008314EE" w:rsidRPr="00F40242">
        <w:rPr>
          <w:color w:val="000000"/>
          <w:sz w:val="26"/>
        </w:rPr>
        <w:t xml:space="preserve"> </w:t>
      </w:r>
      <w:r w:rsidR="008314EE" w:rsidRPr="00F40242">
        <w:rPr>
          <w:noProof/>
          <w:color w:val="000000"/>
          <w:sz w:val="26"/>
        </w:rPr>
        <w:t>different</w:t>
      </w:r>
      <w:r w:rsidR="008314EE" w:rsidRPr="00F40242">
        <w:rPr>
          <w:color w:val="000000"/>
          <w:sz w:val="26"/>
        </w:rPr>
        <w:t xml:space="preserve"> context</w:t>
      </w:r>
      <w:r w:rsidR="001B1610" w:rsidRPr="00F40242">
        <w:rPr>
          <w:color w:val="000000"/>
          <w:sz w:val="26"/>
        </w:rPr>
        <w:t>s</w:t>
      </w:r>
      <w:r w:rsidR="008314EE" w:rsidRPr="00F40242">
        <w:rPr>
          <w:color w:val="000000"/>
          <w:sz w:val="26"/>
        </w:rPr>
        <w:t xml:space="preserve"> in which individual companies operate (Yin</w:t>
      </w:r>
      <w:r w:rsidR="001B1610" w:rsidRPr="00F40242">
        <w:rPr>
          <w:color w:val="000000"/>
          <w:sz w:val="26"/>
        </w:rPr>
        <w:t xml:space="preserve"> </w:t>
      </w:r>
      <w:r w:rsidR="00EC7873" w:rsidRPr="00F40242">
        <w:rPr>
          <w:color w:val="000000"/>
          <w:sz w:val="26"/>
        </w:rPr>
        <w:t>&amp;</w:t>
      </w:r>
      <w:r w:rsidR="001B1610" w:rsidRPr="00F40242">
        <w:rPr>
          <w:color w:val="000000"/>
          <w:sz w:val="26"/>
        </w:rPr>
        <w:t xml:space="preserve"> </w:t>
      </w:r>
      <w:r w:rsidR="008314EE" w:rsidRPr="00F40242">
        <w:rPr>
          <w:color w:val="000000"/>
          <w:sz w:val="26"/>
        </w:rPr>
        <w:t>Zhang</w:t>
      </w:r>
      <w:r w:rsidR="003701F5" w:rsidRPr="00F40242">
        <w:rPr>
          <w:color w:val="000000"/>
          <w:sz w:val="26"/>
        </w:rPr>
        <w:t>,</w:t>
      </w:r>
      <w:r w:rsidR="001B1610" w:rsidRPr="00F40242">
        <w:rPr>
          <w:color w:val="000000"/>
          <w:sz w:val="26"/>
        </w:rPr>
        <w:t xml:space="preserve"> </w:t>
      </w:r>
      <w:r w:rsidR="003701F5" w:rsidRPr="00F40242">
        <w:rPr>
          <w:color w:val="000000"/>
          <w:sz w:val="26"/>
        </w:rPr>
        <w:t>2</w:t>
      </w:r>
      <w:r w:rsidR="008314EE" w:rsidRPr="00F40242">
        <w:rPr>
          <w:color w:val="000000"/>
          <w:sz w:val="26"/>
        </w:rPr>
        <w:t xml:space="preserve">012). Prior studies point out that despite </w:t>
      </w:r>
      <w:r w:rsidR="001B1610" w:rsidRPr="00F40242">
        <w:rPr>
          <w:color w:val="000000"/>
          <w:sz w:val="26"/>
        </w:rPr>
        <w:t xml:space="preserve">the </w:t>
      </w:r>
      <w:r w:rsidR="008314EE" w:rsidRPr="00F40242">
        <w:rPr>
          <w:color w:val="000000"/>
          <w:sz w:val="26"/>
        </w:rPr>
        <w:t>increasing dominance of western CSR design</w:t>
      </w:r>
      <w:r w:rsidR="001B1610" w:rsidRPr="00F40242">
        <w:rPr>
          <w:color w:val="000000"/>
          <w:sz w:val="26"/>
        </w:rPr>
        <w:t>,</w:t>
      </w:r>
      <w:r w:rsidR="008314EE" w:rsidRPr="00F40242">
        <w:rPr>
          <w:color w:val="000000"/>
          <w:sz w:val="26"/>
        </w:rPr>
        <w:t xml:space="preserve"> much deviation </w:t>
      </w:r>
      <w:r w:rsidR="008314EE" w:rsidRPr="00F40242">
        <w:rPr>
          <w:noProof/>
          <w:color w:val="000000"/>
          <w:sz w:val="26"/>
        </w:rPr>
        <w:t>remains</w:t>
      </w:r>
      <w:r w:rsidR="008314EE" w:rsidRPr="00F40242">
        <w:rPr>
          <w:color w:val="000000"/>
          <w:sz w:val="26"/>
        </w:rPr>
        <w:t xml:space="preserve"> across context</w:t>
      </w:r>
      <w:r w:rsidR="001B1610" w:rsidRPr="00F40242">
        <w:rPr>
          <w:color w:val="000000"/>
          <w:sz w:val="26"/>
        </w:rPr>
        <w:t>s</w:t>
      </w:r>
      <w:r w:rsidR="008314EE" w:rsidRPr="00F40242">
        <w:rPr>
          <w:color w:val="000000"/>
          <w:sz w:val="26"/>
        </w:rPr>
        <w:t xml:space="preserve"> (Shafer et al.</w:t>
      </w:r>
      <w:r w:rsidR="003701F5" w:rsidRPr="00F40242">
        <w:rPr>
          <w:color w:val="000000"/>
          <w:sz w:val="26"/>
        </w:rPr>
        <w:t>,</w:t>
      </w:r>
      <w:r w:rsidR="001B1610" w:rsidRPr="00F40242">
        <w:rPr>
          <w:color w:val="000000"/>
          <w:sz w:val="26"/>
        </w:rPr>
        <w:t xml:space="preserve"> </w:t>
      </w:r>
      <w:r w:rsidR="003701F5" w:rsidRPr="00F40242">
        <w:rPr>
          <w:color w:val="000000"/>
          <w:sz w:val="26"/>
        </w:rPr>
        <w:t>2</w:t>
      </w:r>
      <w:r w:rsidR="008314EE" w:rsidRPr="00F40242">
        <w:rPr>
          <w:color w:val="000000"/>
          <w:sz w:val="26"/>
        </w:rPr>
        <w:t>007</w:t>
      </w:r>
      <w:r w:rsidR="00DA2BA3" w:rsidRPr="00F40242">
        <w:rPr>
          <w:color w:val="000000"/>
          <w:sz w:val="26"/>
        </w:rPr>
        <w:t>;</w:t>
      </w:r>
      <w:r w:rsidR="008314EE" w:rsidRPr="00F40242">
        <w:rPr>
          <w:color w:val="000000"/>
          <w:sz w:val="26"/>
        </w:rPr>
        <w:t xml:space="preserve"> Yin</w:t>
      </w:r>
      <w:r w:rsidR="001B1610" w:rsidRPr="00F40242">
        <w:rPr>
          <w:color w:val="000000"/>
          <w:sz w:val="26"/>
        </w:rPr>
        <w:t xml:space="preserve"> </w:t>
      </w:r>
      <w:r w:rsidR="00EC7873" w:rsidRPr="00F40242">
        <w:rPr>
          <w:color w:val="000000"/>
          <w:sz w:val="26"/>
        </w:rPr>
        <w:t>&amp;</w:t>
      </w:r>
      <w:r w:rsidR="001B1610" w:rsidRPr="00F40242">
        <w:rPr>
          <w:color w:val="000000"/>
          <w:sz w:val="26"/>
        </w:rPr>
        <w:t xml:space="preserve"> </w:t>
      </w:r>
      <w:r w:rsidR="008314EE" w:rsidRPr="00F40242">
        <w:rPr>
          <w:color w:val="000000"/>
          <w:sz w:val="26"/>
        </w:rPr>
        <w:t>Zhang</w:t>
      </w:r>
      <w:r w:rsidR="003701F5" w:rsidRPr="00F40242">
        <w:rPr>
          <w:color w:val="000000"/>
          <w:sz w:val="26"/>
        </w:rPr>
        <w:t>,</w:t>
      </w:r>
      <w:r w:rsidR="001B1610" w:rsidRPr="00F40242">
        <w:rPr>
          <w:color w:val="000000"/>
          <w:sz w:val="26"/>
        </w:rPr>
        <w:t xml:space="preserve"> </w:t>
      </w:r>
      <w:r w:rsidR="003701F5" w:rsidRPr="00F40242">
        <w:rPr>
          <w:color w:val="000000"/>
          <w:sz w:val="26"/>
        </w:rPr>
        <w:t>2</w:t>
      </w:r>
      <w:r w:rsidR="008314EE" w:rsidRPr="00F40242">
        <w:rPr>
          <w:color w:val="000000"/>
          <w:sz w:val="26"/>
        </w:rPr>
        <w:t xml:space="preserve">012). </w:t>
      </w:r>
      <w:r w:rsidR="002651B0" w:rsidRPr="00F40242">
        <w:rPr>
          <w:noProof/>
          <w:color w:val="000000"/>
          <w:sz w:val="26"/>
        </w:rPr>
        <w:t>Although there exist a growing number o</w:t>
      </w:r>
      <w:r w:rsidR="00116A0E" w:rsidRPr="00F40242">
        <w:rPr>
          <w:noProof/>
          <w:color w:val="000000"/>
          <w:sz w:val="26"/>
        </w:rPr>
        <w:t xml:space="preserve">f theoretical and empirical studies on non-financial disclosure of firms, the interrelationship  and determinantsof CSR in a developing country context remain unresolved </w:t>
      </w:r>
      <w:r w:rsidR="008314EE" w:rsidRPr="00F40242">
        <w:rPr>
          <w:noProof/>
          <w:color w:val="000000"/>
          <w:sz w:val="26"/>
        </w:rPr>
        <w:t>(B</w:t>
      </w:r>
      <w:r w:rsidR="00477869">
        <w:rPr>
          <w:noProof/>
          <w:color w:val="000000"/>
          <w:sz w:val="26"/>
        </w:rPr>
        <w:t>ela</w:t>
      </w:r>
      <w:r w:rsidR="008314EE" w:rsidRPr="00F40242">
        <w:rPr>
          <w:noProof/>
          <w:color w:val="000000"/>
          <w:sz w:val="26"/>
        </w:rPr>
        <w:t xml:space="preserve">l </w:t>
      </w:r>
      <w:r w:rsidR="001B1610" w:rsidRPr="00F40242">
        <w:rPr>
          <w:noProof/>
          <w:color w:val="000000"/>
          <w:sz w:val="26"/>
        </w:rPr>
        <w:t xml:space="preserve">&amp; </w:t>
      </w:r>
      <w:r w:rsidR="008314EE" w:rsidRPr="00F40242">
        <w:rPr>
          <w:noProof/>
          <w:color w:val="000000"/>
          <w:sz w:val="26"/>
        </w:rPr>
        <w:t>Owen</w:t>
      </w:r>
      <w:r w:rsidR="003701F5" w:rsidRPr="00F40242">
        <w:rPr>
          <w:noProof/>
          <w:color w:val="000000"/>
          <w:sz w:val="26"/>
        </w:rPr>
        <w:t>,</w:t>
      </w:r>
      <w:r w:rsidR="001B1610" w:rsidRPr="00F40242">
        <w:rPr>
          <w:noProof/>
          <w:color w:val="000000"/>
          <w:sz w:val="26"/>
        </w:rPr>
        <w:t xml:space="preserve"> </w:t>
      </w:r>
      <w:r w:rsidR="003701F5" w:rsidRPr="00F40242">
        <w:rPr>
          <w:noProof/>
          <w:color w:val="000000"/>
          <w:sz w:val="26"/>
        </w:rPr>
        <w:t>2</w:t>
      </w:r>
      <w:r w:rsidR="008314EE" w:rsidRPr="00F40242">
        <w:rPr>
          <w:noProof/>
          <w:color w:val="000000"/>
          <w:sz w:val="26"/>
        </w:rPr>
        <w:t>007; Jamali</w:t>
      </w:r>
      <w:r w:rsidR="001B1610" w:rsidRPr="00F40242">
        <w:rPr>
          <w:noProof/>
          <w:color w:val="000000"/>
          <w:sz w:val="26"/>
        </w:rPr>
        <w:t xml:space="preserve"> </w:t>
      </w:r>
      <w:r w:rsidR="00EC7873" w:rsidRPr="00F40242">
        <w:rPr>
          <w:noProof/>
          <w:color w:val="000000"/>
          <w:sz w:val="26"/>
        </w:rPr>
        <w:t>&amp;</w:t>
      </w:r>
      <w:r w:rsidR="001B1610" w:rsidRPr="00F40242">
        <w:rPr>
          <w:noProof/>
          <w:color w:val="000000"/>
          <w:sz w:val="26"/>
        </w:rPr>
        <w:t xml:space="preserve"> </w:t>
      </w:r>
      <w:r w:rsidR="00C56451" w:rsidRPr="00F40242">
        <w:rPr>
          <w:noProof/>
          <w:color w:val="000000"/>
          <w:sz w:val="26"/>
        </w:rPr>
        <w:t>Mirshak</w:t>
      </w:r>
      <w:r w:rsidR="003701F5" w:rsidRPr="00F40242">
        <w:rPr>
          <w:noProof/>
          <w:color w:val="000000"/>
          <w:sz w:val="26"/>
        </w:rPr>
        <w:t>,</w:t>
      </w:r>
      <w:r w:rsidR="001B1610" w:rsidRPr="00F40242">
        <w:rPr>
          <w:noProof/>
          <w:color w:val="000000"/>
          <w:sz w:val="26"/>
        </w:rPr>
        <w:t xml:space="preserve"> </w:t>
      </w:r>
      <w:r w:rsidR="003701F5" w:rsidRPr="00F40242">
        <w:rPr>
          <w:noProof/>
          <w:color w:val="000000"/>
          <w:sz w:val="26"/>
        </w:rPr>
        <w:t>2</w:t>
      </w:r>
      <w:r w:rsidR="008314EE" w:rsidRPr="00F40242">
        <w:rPr>
          <w:noProof/>
          <w:color w:val="000000"/>
          <w:sz w:val="26"/>
        </w:rPr>
        <w:t>007; Mahadeo et al.</w:t>
      </w:r>
      <w:r w:rsidR="003701F5" w:rsidRPr="00F40242">
        <w:rPr>
          <w:noProof/>
          <w:color w:val="000000"/>
          <w:sz w:val="26"/>
        </w:rPr>
        <w:t>,</w:t>
      </w:r>
      <w:r w:rsidR="001B1610" w:rsidRPr="00F40242">
        <w:rPr>
          <w:noProof/>
          <w:color w:val="000000"/>
          <w:sz w:val="26"/>
        </w:rPr>
        <w:t xml:space="preserve"> </w:t>
      </w:r>
      <w:r w:rsidR="003701F5" w:rsidRPr="00F40242">
        <w:rPr>
          <w:noProof/>
          <w:color w:val="000000"/>
          <w:sz w:val="26"/>
        </w:rPr>
        <w:t>2</w:t>
      </w:r>
      <w:r w:rsidR="008314EE" w:rsidRPr="00F40242">
        <w:rPr>
          <w:noProof/>
          <w:color w:val="000000"/>
          <w:sz w:val="26"/>
        </w:rPr>
        <w:t>011; Yin</w:t>
      </w:r>
      <w:r w:rsidR="001B1610" w:rsidRPr="00F40242">
        <w:rPr>
          <w:noProof/>
          <w:color w:val="000000"/>
          <w:sz w:val="26"/>
        </w:rPr>
        <w:t xml:space="preserve"> </w:t>
      </w:r>
      <w:r w:rsidR="00EC7873" w:rsidRPr="00F40242">
        <w:rPr>
          <w:noProof/>
          <w:color w:val="000000"/>
          <w:sz w:val="26"/>
        </w:rPr>
        <w:t>&amp;</w:t>
      </w:r>
      <w:r w:rsidR="001B1610" w:rsidRPr="00F40242">
        <w:rPr>
          <w:noProof/>
          <w:color w:val="000000"/>
          <w:sz w:val="26"/>
        </w:rPr>
        <w:t xml:space="preserve"> </w:t>
      </w:r>
      <w:r w:rsidR="008314EE" w:rsidRPr="00F40242">
        <w:rPr>
          <w:noProof/>
          <w:color w:val="000000"/>
          <w:sz w:val="26"/>
        </w:rPr>
        <w:t>Zhang</w:t>
      </w:r>
      <w:r w:rsidR="003701F5" w:rsidRPr="00F40242">
        <w:rPr>
          <w:noProof/>
          <w:color w:val="000000"/>
          <w:sz w:val="26"/>
        </w:rPr>
        <w:t>,</w:t>
      </w:r>
      <w:r w:rsidR="001B1610" w:rsidRPr="00F40242">
        <w:rPr>
          <w:noProof/>
          <w:color w:val="000000"/>
          <w:sz w:val="26"/>
        </w:rPr>
        <w:t xml:space="preserve"> </w:t>
      </w:r>
      <w:r w:rsidR="003701F5" w:rsidRPr="00F40242">
        <w:rPr>
          <w:noProof/>
          <w:color w:val="000000"/>
          <w:sz w:val="26"/>
        </w:rPr>
        <w:t>2</w:t>
      </w:r>
      <w:r w:rsidR="008314EE" w:rsidRPr="00F40242">
        <w:rPr>
          <w:noProof/>
          <w:color w:val="000000"/>
          <w:sz w:val="26"/>
        </w:rPr>
        <w:t>012).</w:t>
      </w:r>
      <w:r w:rsidR="00116A0E" w:rsidRPr="00F40242">
        <w:rPr>
          <w:color w:val="000000"/>
          <w:sz w:val="26"/>
        </w:rPr>
        <w:t xml:space="preserve"> This study aims to bridge th</w:t>
      </w:r>
      <w:r w:rsidR="001B1610" w:rsidRPr="00F40242">
        <w:rPr>
          <w:color w:val="000000"/>
          <w:sz w:val="26"/>
        </w:rPr>
        <w:t>is</w:t>
      </w:r>
      <w:r w:rsidR="00116A0E" w:rsidRPr="00F40242">
        <w:rPr>
          <w:color w:val="000000"/>
          <w:sz w:val="26"/>
        </w:rPr>
        <w:t xml:space="preserve"> knowledge gap by providing a comprehensive analysis of CSR disclosure within </w:t>
      </w:r>
      <w:r w:rsidR="001B1610" w:rsidRPr="00F40242">
        <w:rPr>
          <w:color w:val="000000"/>
          <w:sz w:val="26"/>
        </w:rPr>
        <w:t xml:space="preserve">the </w:t>
      </w:r>
      <w:r w:rsidR="00116A0E" w:rsidRPr="00F40242">
        <w:rPr>
          <w:noProof/>
          <w:color w:val="000000"/>
          <w:sz w:val="26"/>
        </w:rPr>
        <w:t>m</w:t>
      </w:r>
      <w:r w:rsidR="007F6E43" w:rsidRPr="00F40242">
        <w:rPr>
          <w:noProof/>
          <w:color w:val="000000"/>
          <w:sz w:val="26"/>
        </w:rPr>
        <w:t>a</w:t>
      </w:r>
      <w:r w:rsidR="00116A0E" w:rsidRPr="00F40242">
        <w:rPr>
          <w:noProof/>
          <w:color w:val="000000"/>
          <w:sz w:val="26"/>
        </w:rPr>
        <w:t>jor</w:t>
      </w:r>
      <w:r w:rsidR="00116A0E" w:rsidRPr="00F40242">
        <w:rPr>
          <w:color w:val="000000"/>
          <w:sz w:val="26"/>
        </w:rPr>
        <w:t xml:space="preserve"> developing country context</w:t>
      </w:r>
      <w:r w:rsidR="001B1610" w:rsidRPr="00F40242">
        <w:rPr>
          <w:color w:val="000000"/>
          <w:sz w:val="26"/>
        </w:rPr>
        <w:t xml:space="preserve"> of</w:t>
      </w:r>
      <w:r w:rsidR="00116A0E" w:rsidRPr="00F40242">
        <w:rPr>
          <w:color w:val="000000"/>
          <w:sz w:val="26"/>
        </w:rPr>
        <w:t xml:space="preserve"> India.</w:t>
      </w:r>
    </w:p>
    <w:p w14:paraId="56A60058" w14:textId="547F73BD" w:rsidR="00CB50C8" w:rsidRPr="005C3281" w:rsidRDefault="00475521" w:rsidP="002262E0">
      <w:pPr>
        <w:autoSpaceDE w:val="0"/>
        <w:autoSpaceDN w:val="0"/>
        <w:adjustRightInd w:val="0"/>
        <w:spacing w:line="360" w:lineRule="exact"/>
        <w:ind w:left="523" w:hangingChars="218" w:hanging="523"/>
        <w:jc w:val="both"/>
      </w:pPr>
      <w:r w:rsidRPr="005C3281">
        <w:rPr>
          <w:rFonts w:eastAsiaTheme="minorEastAsia"/>
          <w:i/>
          <w:lang w:eastAsia="zh-TW"/>
        </w:rPr>
        <w:t>N</w:t>
      </w:r>
      <w:r w:rsidR="007F64F8" w:rsidRPr="005C3281">
        <w:rPr>
          <w:i/>
          <w:noProof/>
          <w:lang w:val="en-US" w:eastAsia="zh-TW"/>
        </w:rPr>
        <w:drawing>
          <wp:anchor distT="0" distB="0" distL="114300" distR="114300" simplePos="0" relativeHeight="251658240" behindDoc="0" locked="0" layoutInCell="1" allowOverlap="1" wp14:anchorId="1F713C85" wp14:editId="43471F7C">
            <wp:simplePos x="0" y="0"/>
            <wp:positionH relativeFrom="column">
              <wp:posOffset>-57150</wp:posOffset>
            </wp:positionH>
            <wp:positionV relativeFrom="paragraph">
              <wp:posOffset>71120</wp:posOffset>
            </wp:positionV>
            <wp:extent cx="5731200" cy="3787200"/>
            <wp:effectExtent l="0" t="0" r="3175"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9">
                      <a:extLst>
                        <a:ext uri="{28A0092B-C50C-407E-A947-70E740481C1C}">
                          <a14:useLocalDpi xmlns:a14="http://schemas.microsoft.com/office/drawing/2010/main" val="0"/>
                        </a:ext>
                      </a:extLst>
                    </a:blip>
                    <a:stretch>
                      <a:fillRect/>
                    </a:stretch>
                  </pic:blipFill>
                  <pic:spPr>
                    <a:xfrm>
                      <a:off x="0" y="0"/>
                      <a:ext cx="5731200" cy="3787200"/>
                    </a:xfrm>
                    <a:prstGeom prst="rect">
                      <a:avLst/>
                    </a:prstGeom>
                  </pic:spPr>
                </pic:pic>
              </a:graphicData>
            </a:graphic>
            <wp14:sizeRelH relativeFrom="page">
              <wp14:pctWidth>0</wp14:pctWidth>
            </wp14:sizeRelH>
            <wp14:sizeRelV relativeFrom="page">
              <wp14:pctHeight>0</wp14:pctHeight>
            </wp14:sizeRelV>
          </wp:anchor>
        </w:drawing>
      </w:r>
      <w:r w:rsidRPr="005C3281">
        <w:rPr>
          <w:i/>
        </w:rPr>
        <w:t>ote.</w:t>
      </w:r>
      <w:r w:rsidRPr="005C3281">
        <w:t xml:space="preserve"> From “Toward a more coherent understanding of the organisation–society relationship: A theoretical consideration for social and environmental accounting research,” by J. C. Chen &amp; R. W. Roberts (2010). </w:t>
      </w:r>
      <w:r w:rsidRPr="005C3281">
        <w:rPr>
          <w:i/>
        </w:rPr>
        <w:t>Journal of Business Ethics, 97</w:t>
      </w:r>
      <w:r w:rsidRPr="005C3281">
        <w:t>(4), p. 653.</w:t>
      </w:r>
    </w:p>
    <w:p w14:paraId="38880495" w14:textId="1E09F3FF" w:rsidR="00475521" w:rsidRDefault="00475521" w:rsidP="002262E0">
      <w:pPr>
        <w:autoSpaceDE w:val="0"/>
        <w:autoSpaceDN w:val="0"/>
        <w:adjustRightInd w:val="0"/>
        <w:spacing w:line="360" w:lineRule="exact"/>
        <w:jc w:val="center"/>
        <w:rPr>
          <w:rFonts w:eastAsiaTheme="minorEastAsia"/>
          <w:b/>
          <w:sz w:val="26"/>
          <w:lang w:eastAsia="zh-TW"/>
        </w:rPr>
      </w:pPr>
      <w:r w:rsidRPr="002262E0">
        <w:rPr>
          <w:rFonts w:eastAsiaTheme="minorEastAsia" w:hint="eastAsia"/>
          <w:b/>
          <w:sz w:val="26"/>
          <w:lang w:eastAsia="zh-TW"/>
        </w:rPr>
        <w:t xml:space="preserve">Figure </w:t>
      </w:r>
      <w:proofErr w:type="gramStart"/>
      <w:r w:rsidRPr="002262E0">
        <w:rPr>
          <w:rFonts w:eastAsiaTheme="minorEastAsia" w:hint="eastAsia"/>
          <w:b/>
          <w:sz w:val="26"/>
          <w:lang w:eastAsia="zh-TW"/>
        </w:rPr>
        <w:t xml:space="preserve">1 </w:t>
      </w:r>
      <w:r w:rsidR="0011381C">
        <w:rPr>
          <w:rFonts w:eastAsiaTheme="minorEastAsia"/>
          <w:b/>
          <w:sz w:val="26"/>
          <w:lang w:eastAsia="zh-TW"/>
        </w:rPr>
        <w:t xml:space="preserve"> </w:t>
      </w:r>
      <w:r w:rsidRPr="002262E0">
        <w:rPr>
          <w:rFonts w:eastAsiaTheme="minorEastAsia"/>
          <w:b/>
          <w:sz w:val="26"/>
          <w:lang w:eastAsia="zh-TW"/>
        </w:rPr>
        <w:t>The</w:t>
      </w:r>
      <w:proofErr w:type="gramEnd"/>
      <w:r w:rsidRPr="002262E0">
        <w:rPr>
          <w:rFonts w:eastAsiaTheme="minorEastAsia"/>
          <w:b/>
          <w:sz w:val="26"/>
          <w:lang w:eastAsia="zh-TW"/>
        </w:rPr>
        <w:t xml:space="preserve"> Relationships </w:t>
      </w:r>
      <w:r>
        <w:rPr>
          <w:rFonts w:eastAsiaTheme="minorEastAsia"/>
          <w:b/>
          <w:sz w:val="26"/>
          <w:lang w:eastAsia="zh-TW"/>
        </w:rPr>
        <w:t>between</w:t>
      </w:r>
      <w:r w:rsidRPr="002262E0">
        <w:rPr>
          <w:rFonts w:eastAsiaTheme="minorEastAsia"/>
          <w:b/>
          <w:sz w:val="26"/>
          <w:lang w:eastAsia="zh-TW"/>
        </w:rPr>
        <w:t xml:space="preserve"> Three Theor</w:t>
      </w:r>
      <w:r>
        <w:rPr>
          <w:rFonts w:eastAsiaTheme="minorEastAsia"/>
          <w:b/>
          <w:sz w:val="26"/>
          <w:lang w:eastAsia="zh-TW"/>
        </w:rPr>
        <w:t>ies</w:t>
      </w:r>
    </w:p>
    <w:p w14:paraId="10950255" w14:textId="77777777" w:rsidR="002262E0" w:rsidRDefault="002262E0" w:rsidP="002262E0">
      <w:pPr>
        <w:autoSpaceDE w:val="0"/>
        <w:autoSpaceDN w:val="0"/>
        <w:adjustRightInd w:val="0"/>
        <w:spacing w:line="360" w:lineRule="exact"/>
        <w:jc w:val="center"/>
        <w:rPr>
          <w:rFonts w:eastAsiaTheme="minorEastAsia"/>
          <w:b/>
          <w:sz w:val="26"/>
          <w:lang w:eastAsia="zh-TW"/>
        </w:rPr>
      </w:pPr>
    </w:p>
    <w:p w14:paraId="72E9A1F2" w14:textId="6D447695" w:rsidR="00A22C75" w:rsidRPr="00F40242" w:rsidRDefault="00E334A2" w:rsidP="0011086F">
      <w:pPr>
        <w:spacing w:line="360" w:lineRule="exact"/>
        <w:ind w:firstLineChars="200" w:firstLine="520"/>
        <w:jc w:val="both"/>
        <w:rPr>
          <w:bCs/>
          <w:sz w:val="26"/>
        </w:rPr>
      </w:pPr>
      <w:r w:rsidRPr="00F40242">
        <w:rPr>
          <w:color w:val="000000"/>
          <w:sz w:val="26"/>
        </w:rPr>
        <w:t>A review of</w:t>
      </w:r>
      <w:r w:rsidR="00FB3869" w:rsidRPr="00F40242">
        <w:rPr>
          <w:color w:val="000000"/>
          <w:sz w:val="26"/>
        </w:rPr>
        <w:t xml:space="preserve"> the</w:t>
      </w:r>
      <w:r w:rsidRPr="00F40242">
        <w:rPr>
          <w:color w:val="000000"/>
          <w:sz w:val="26"/>
        </w:rPr>
        <w:t xml:space="preserve"> </w:t>
      </w:r>
      <w:r w:rsidRPr="00F40242">
        <w:rPr>
          <w:noProof/>
          <w:color w:val="000000"/>
          <w:sz w:val="26"/>
        </w:rPr>
        <w:t>literature</w:t>
      </w:r>
      <w:r w:rsidRPr="00F40242">
        <w:rPr>
          <w:color w:val="000000"/>
          <w:sz w:val="26"/>
        </w:rPr>
        <w:t xml:space="preserve"> has revealed three main strategies for sustaining legitimacy</w:t>
      </w:r>
      <w:r w:rsidRPr="00F40242">
        <w:rPr>
          <w:sz w:val="26"/>
        </w:rPr>
        <w:t>.</w:t>
      </w:r>
      <w:r w:rsidRPr="00F40242">
        <w:rPr>
          <w:color w:val="000000"/>
          <w:sz w:val="26"/>
        </w:rPr>
        <w:t xml:space="preserve"> </w:t>
      </w:r>
      <w:r w:rsidR="004623F5" w:rsidRPr="00F40242">
        <w:rPr>
          <w:color w:val="000000"/>
          <w:sz w:val="26"/>
        </w:rPr>
        <w:t xml:space="preserve">First, </w:t>
      </w:r>
      <w:r w:rsidR="00116A0E" w:rsidRPr="00F40242">
        <w:rPr>
          <w:color w:val="000000"/>
          <w:sz w:val="26"/>
        </w:rPr>
        <w:t xml:space="preserve">firms can adjust their output, goals and methods of operation to enhance their competitiveness in the ever-changing global economy. </w:t>
      </w:r>
      <w:r w:rsidR="004623F5" w:rsidRPr="00F40242">
        <w:rPr>
          <w:color w:val="000000"/>
          <w:sz w:val="26"/>
        </w:rPr>
        <w:t xml:space="preserve">Second, </w:t>
      </w:r>
      <w:r w:rsidR="0097564E" w:rsidRPr="00F40242">
        <w:rPr>
          <w:color w:val="000000"/>
          <w:sz w:val="26"/>
        </w:rPr>
        <w:t xml:space="preserve">firms can </w:t>
      </w:r>
      <w:r w:rsidR="0097564E" w:rsidRPr="00F40242">
        <w:rPr>
          <w:color w:val="000000"/>
          <w:sz w:val="26"/>
        </w:rPr>
        <w:lastRenderedPageBreak/>
        <w:t>enhance their social legitimacy by communicating their practices to consumers</w:t>
      </w:r>
      <w:r w:rsidR="00CE5B97" w:rsidRPr="00F40242">
        <w:rPr>
          <w:color w:val="000000"/>
          <w:sz w:val="26"/>
        </w:rPr>
        <w:t>,</w:t>
      </w:r>
      <w:r w:rsidR="0097564E" w:rsidRPr="00F40242">
        <w:rPr>
          <w:color w:val="000000"/>
          <w:sz w:val="26"/>
        </w:rPr>
        <w:t xml:space="preserve"> thus improving their image in the marketplace. </w:t>
      </w:r>
      <w:r w:rsidR="004623F5" w:rsidRPr="00F40242">
        <w:rPr>
          <w:noProof/>
          <w:color w:val="000000"/>
          <w:sz w:val="26"/>
        </w:rPr>
        <w:t xml:space="preserve">Third, </w:t>
      </w:r>
      <w:r w:rsidR="0097564E" w:rsidRPr="00F40242">
        <w:rPr>
          <w:noProof/>
          <w:color w:val="000000"/>
          <w:sz w:val="26"/>
        </w:rPr>
        <w:t xml:space="preserve">firms can use symbols to differentiate their product from competitors or link up with other firms </w:t>
      </w:r>
      <w:r w:rsidR="002C31EE" w:rsidRPr="00F40242">
        <w:rPr>
          <w:noProof/>
          <w:color w:val="000000"/>
          <w:sz w:val="26"/>
        </w:rPr>
        <w:t xml:space="preserve">with </w:t>
      </w:r>
      <w:r w:rsidR="0097564E" w:rsidRPr="00F40242">
        <w:rPr>
          <w:noProof/>
          <w:color w:val="000000"/>
          <w:sz w:val="26"/>
        </w:rPr>
        <w:t>social legitimacy as a means of enhancing their own image among consumers</w:t>
      </w:r>
      <w:r w:rsidR="00E83B25" w:rsidRPr="00F40242">
        <w:rPr>
          <w:noProof/>
          <w:color w:val="000000"/>
          <w:sz w:val="26"/>
        </w:rPr>
        <w:t xml:space="preserve"> </w:t>
      </w:r>
      <w:r w:rsidR="004623F5" w:rsidRPr="00F40242">
        <w:rPr>
          <w:noProof/>
          <w:color w:val="000000"/>
          <w:sz w:val="26"/>
        </w:rPr>
        <w:t xml:space="preserve">(Dowling </w:t>
      </w:r>
      <w:r w:rsidR="001F65E8">
        <w:rPr>
          <w:noProof/>
          <w:color w:val="000000"/>
          <w:sz w:val="26"/>
        </w:rPr>
        <w:t xml:space="preserve">&amp; </w:t>
      </w:r>
      <w:r w:rsidR="004623F5" w:rsidRPr="00F40242">
        <w:rPr>
          <w:noProof/>
          <w:color w:val="000000"/>
          <w:sz w:val="26"/>
        </w:rPr>
        <w:t>Pfeffer</w:t>
      </w:r>
      <w:r w:rsidR="005368D1">
        <w:rPr>
          <w:noProof/>
          <w:color w:val="000000"/>
          <w:sz w:val="26"/>
        </w:rPr>
        <w:t>,</w:t>
      </w:r>
      <w:r w:rsidR="004623F5" w:rsidRPr="00F40242">
        <w:rPr>
          <w:noProof/>
          <w:color w:val="000000"/>
          <w:sz w:val="26"/>
        </w:rPr>
        <w:t xml:space="preserve"> 1975).</w:t>
      </w:r>
      <w:r w:rsidR="004623F5" w:rsidRPr="00F40242">
        <w:rPr>
          <w:color w:val="000000"/>
          <w:sz w:val="26"/>
        </w:rPr>
        <w:t xml:space="preserve"> </w:t>
      </w:r>
      <w:r w:rsidR="00E83B25" w:rsidRPr="00F40242">
        <w:rPr>
          <w:color w:val="000000"/>
          <w:sz w:val="26"/>
        </w:rPr>
        <w:t xml:space="preserve">Some proponents of legitimacy </w:t>
      </w:r>
      <w:r w:rsidR="00E83B25" w:rsidRPr="00F40242">
        <w:rPr>
          <w:noProof/>
          <w:color w:val="000000"/>
          <w:sz w:val="26"/>
        </w:rPr>
        <w:t>theory</w:t>
      </w:r>
      <w:r w:rsidR="002C31EE" w:rsidRPr="00F40242">
        <w:rPr>
          <w:noProof/>
          <w:color w:val="000000"/>
          <w:sz w:val="26"/>
        </w:rPr>
        <w:t xml:space="preserve"> (e.g.,</w:t>
      </w:r>
      <w:r w:rsidR="00E83B25" w:rsidRPr="00F40242">
        <w:rPr>
          <w:color w:val="000000"/>
          <w:sz w:val="26"/>
        </w:rPr>
        <w:t xml:space="preserve"> </w:t>
      </w:r>
      <w:proofErr w:type="spellStart"/>
      <w:r w:rsidR="004623F5" w:rsidRPr="00F40242">
        <w:rPr>
          <w:color w:val="000000"/>
          <w:sz w:val="26"/>
        </w:rPr>
        <w:t>Bitektine</w:t>
      </w:r>
      <w:proofErr w:type="spellEnd"/>
      <w:r w:rsidR="002C31EE" w:rsidRPr="00F40242">
        <w:rPr>
          <w:color w:val="000000"/>
          <w:sz w:val="26"/>
        </w:rPr>
        <w:t xml:space="preserve">, </w:t>
      </w:r>
      <w:r w:rsidR="004623F5" w:rsidRPr="00F40242">
        <w:rPr>
          <w:color w:val="000000"/>
          <w:sz w:val="26"/>
        </w:rPr>
        <w:t>2011)</w:t>
      </w:r>
      <w:r w:rsidR="00E83B25" w:rsidRPr="00F40242">
        <w:rPr>
          <w:color w:val="000000"/>
          <w:sz w:val="26"/>
        </w:rPr>
        <w:t xml:space="preserve"> argue </w:t>
      </w:r>
      <w:r w:rsidR="00E83B25" w:rsidRPr="00F40242">
        <w:rPr>
          <w:noProof/>
          <w:color w:val="000000"/>
          <w:sz w:val="26"/>
        </w:rPr>
        <w:t>that</w:t>
      </w:r>
      <w:r w:rsidR="00832F49" w:rsidRPr="00F40242">
        <w:rPr>
          <w:noProof/>
          <w:color w:val="000000"/>
          <w:sz w:val="26"/>
        </w:rPr>
        <w:t xml:space="preserve"> </w:t>
      </w:r>
      <w:r w:rsidRPr="00F40242">
        <w:rPr>
          <w:sz w:val="26"/>
        </w:rPr>
        <w:t xml:space="preserve">a firm is </w:t>
      </w:r>
      <w:r w:rsidRPr="00F40242">
        <w:rPr>
          <w:color w:val="000000"/>
          <w:sz w:val="26"/>
        </w:rPr>
        <w:t xml:space="preserve">perceived as legitimate if it is acting </w:t>
      </w:r>
      <w:r w:rsidR="002C31EE" w:rsidRPr="00F40242">
        <w:rPr>
          <w:noProof/>
          <w:color w:val="000000"/>
          <w:sz w:val="26"/>
        </w:rPr>
        <w:t xml:space="preserve">according to </w:t>
      </w:r>
      <w:r w:rsidRPr="00F40242">
        <w:rPr>
          <w:color w:val="000000"/>
          <w:sz w:val="26"/>
        </w:rPr>
        <w:t xml:space="preserve">societal expectations or successfully manipulating expectations and perceptions of </w:t>
      </w:r>
      <w:r w:rsidR="00E83B25" w:rsidRPr="00F40242">
        <w:rPr>
          <w:color w:val="000000"/>
          <w:sz w:val="26"/>
        </w:rPr>
        <w:t xml:space="preserve">society concerning </w:t>
      </w:r>
      <w:r w:rsidRPr="00F40242">
        <w:rPr>
          <w:color w:val="000000"/>
          <w:sz w:val="26"/>
        </w:rPr>
        <w:t xml:space="preserve">the firm. </w:t>
      </w:r>
      <w:r w:rsidRPr="00F40242">
        <w:rPr>
          <w:sz w:val="26"/>
        </w:rPr>
        <w:t xml:space="preserve">For </w:t>
      </w:r>
      <w:proofErr w:type="spellStart"/>
      <w:r w:rsidRPr="00F40242">
        <w:rPr>
          <w:sz w:val="26"/>
        </w:rPr>
        <w:t>Branco</w:t>
      </w:r>
      <w:proofErr w:type="spellEnd"/>
      <w:r w:rsidRPr="00F40242">
        <w:rPr>
          <w:sz w:val="26"/>
        </w:rPr>
        <w:t xml:space="preserve"> and Rodrigues (2008), legitimacy arises from a firm having embedded itself in the social environment in which it </w:t>
      </w:r>
      <w:r w:rsidRPr="00F40242">
        <w:rPr>
          <w:noProof/>
          <w:sz w:val="26"/>
        </w:rPr>
        <w:t>operates</w:t>
      </w:r>
      <w:r w:rsidR="002C31EE" w:rsidRPr="00F40242">
        <w:rPr>
          <w:noProof/>
          <w:sz w:val="26"/>
        </w:rPr>
        <w:t>;</w:t>
      </w:r>
      <w:r w:rsidRPr="00F40242">
        <w:rPr>
          <w:bCs/>
          <w:sz w:val="26"/>
        </w:rPr>
        <w:t xml:space="preserve"> as a </w:t>
      </w:r>
      <w:r w:rsidRPr="00F40242">
        <w:rPr>
          <w:bCs/>
          <w:noProof/>
          <w:sz w:val="26"/>
        </w:rPr>
        <w:t>result</w:t>
      </w:r>
      <w:r w:rsidR="00FB3869" w:rsidRPr="00F40242">
        <w:rPr>
          <w:bCs/>
          <w:noProof/>
          <w:sz w:val="26"/>
        </w:rPr>
        <w:t>,</w:t>
      </w:r>
      <w:r w:rsidRPr="00F40242">
        <w:rPr>
          <w:bCs/>
          <w:sz w:val="26"/>
        </w:rPr>
        <w:t xml:space="preserve"> its performance and expectations are affected by the environment. </w:t>
      </w:r>
      <w:r w:rsidRPr="00F40242">
        <w:rPr>
          <w:bCs/>
          <w:noProof/>
          <w:sz w:val="26"/>
        </w:rPr>
        <w:t>Th</w:t>
      </w:r>
      <w:r w:rsidR="00CD711D" w:rsidRPr="00F40242">
        <w:rPr>
          <w:bCs/>
          <w:noProof/>
          <w:sz w:val="26"/>
        </w:rPr>
        <w:t>is boundary, therefore, determines the firm</w:t>
      </w:r>
      <w:r w:rsidR="002C31EE" w:rsidRPr="00F40242">
        <w:rPr>
          <w:bCs/>
          <w:noProof/>
          <w:sz w:val="26"/>
        </w:rPr>
        <w:t>’</w:t>
      </w:r>
      <w:r w:rsidR="00CD711D" w:rsidRPr="00F40242">
        <w:rPr>
          <w:bCs/>
          <w:noProof/>
          <w:sz w:val="26"/>
        </w:rPr>
        <w:t xml:space="preserve">s </w:t>
      </w:r>
      <w:r w:rsidR="00477869">
        <w:rPr>
          <w:bCs/>
          <w:noProof/>
          <w:sz w:val="26"/>
        </w:rPr>
        <w:t xml:space="preserve">survival and </w:t>
      </w:r>
      <w:r w:rsidR="00CD711D" w:rsidRPr="00F40242">
        <w:rPr>
          <w:bCs/>
          <w:noProof/>
          <w:sz w:val="26"/>
        </w:rPr>
        <w:t>success</w:t>
      </w:r>
      <w:r w:rsidRPr="00F40242">
        <w:rPr>
          <w:bCs/>
          <w:sz w:val="26"/>
        </w:rPr>
        <w:t xml:space="preserve">. Cormier and </w:t>
      </w:r>
      <w:proofErr w:type="spellStart"/>
      <w:r w:rsidRPr="00F40242">
        <w:rPr>
          <w:bCs/>
          <w:sz w:val="26"/>
        </w:rPr>
        <w:t>Magnan</w:t>
      </w:r>
      <w:proofErr w:type="spellEnd"/>
      <w:r w:rsidRPr="00F40242">
        <w:rPr>
          <w:bCs/>
          <w:sz w:val="26"/>
        </w:rPr>
        <w:t xml:space="preserve"> (2003) and later </w:t>
      </w:r>
      <w:proofErr w:type="spellStart"/>
      <w:r w:rsidRPr="00F40242">
        <w:rPr>
          <w:bCs/>
          <w:sz w:val="26"/>
        </w:rPr>
        <w:t>Branco</w:t>
      </w:r>
      <w:proofErr w:type="spellEnd"/>
      <w:r w:rsidRPr="00F40242">
        <w:rPr>
          <w:bCs/>
          <w:sz w:val="26"/>
        </w:rPr>
        <w:t xml:space="preserve"> and Rodri</w:t>
      </w:r>
      <w:r w:rsidR="002C31EE" w:rsidRPr="00F40242">
        <w:rPr>
          <w:bCs/>
          <w:sz w:val="26"/>
        </w:rPr>
        <w:t>g</w:t>
      </w:r>
      <w:r w:rsidRPr="00F40242">
        <w:rPr>
          <w:bCs/>
          <w:sz w:val="26"/>
        </w:rPr>
        <w:t xml:space="preserve">ues (2008) argue that the corporate </w:t>
      </w:r>
      <w:r w:rsidR="00D828CE" w:rsidRPr="00F40242">
        <w:rPr>
          <w:bCs/>
          <w:sz w:val="26"/>
        </w:rPr>
        <w:t xml:space="preserve">non-financial </w:t>
      </w:r>
      <w:r w:rsidRPr="00F40242">
        <w:rPr>
          <w:bCs/>
          <w:sz w:val="26"/>
        </w:rPr>
        <w:t xml:space="preserve">disclosure strategies of a firm </w:t>
      </w:r>
      <w:r w:rsidR="00FB3869" w:rsidRPr="00F40242">
        <w:rPr>
          <w:bCs/>
          <w:noProof/>
          <w:sz w:val="26"/>
        </w:rPr>
        <w:t>are</w:t>
      </w:r>
      <w:r w:rsidRPr="00F40242">
        <w:rPr>
          <w:bCs/>
          <w:sz w:val="26"/>
        </w:rPr>
        <w:t xml:space="preserve"> determined irrespective of the country’s socio-cultural setting. </w:t>
      </w:r>
    </w:p>
    <w:p w14:paraId="2C5D5E6A" w14:textId="177A9C1E" w:rsidR="00844A0A" w:rsidRPr="00F40242" w:rsidRDefault="00A22C75" w:rsidP="0011086F">
      <w:pPr>
        <w:spacing w:line="360" w:lineRule="exact"/>
        <w:ind w:firstLineChars="200" w:firstLine="520"/>
        <w:jc w:val="both"/>
        <w:rPr>
          <w:rFonts w:eastAsia="Calibri"/>
          <w:noProof/>
          <w:sz w:val="26"/>
        </w:rPr>
      </w:pPr>
      <w:r w:rsidRPr="00F40242">
        <w:rPr>
          <w:color w:val="000000"/>
          <w:sz w:val="26"/>
        </w:rPr>
        <w:t xml:space="preserve">The seminal work of </w:t>
      </w:r>
      <w:proofErr w:type="spellStart"/>
      <w:r w:rsidRPr="00F40242">
        <w:rPr>
          <w:color w:val="000000"/>
          <w:sz w:val="26"/>
        </w:rPr>
        <w:t>Suchman</w:t>
      </w:r>
      <w:proofErr w:type="spellEnd"/>
      <w:r w:rsidRPr="00F40242">
        <w:rPr>
          <w:color w:val="000000"/>
          <w:sz w:val="26"/>
        </w:rPr>
        <w:t xml:space="preserve"> (1995) integrates the extant literature and employs the legitimacy theory popularised by </w:t>
      </w:r>
      <w:proofErr w:type="spellStart"/>
      <w:r w:rsidRPr="00F40242">
        <w:rPr>
          <w:color w:val="000000"/>
          <w:sz w:val="26"/>
        </w:rPr>
        <w:t>Lindblom</w:t>
      </w:r>
      <w:proofErr w:type="spellEnd"/>
      <w:r w:rsidRPr="00F40242">
        <w:rPr>
          <w:color w:val="000000"/>
          <w:sz w:val="26"/>
        </w:rPr>
        <w:t xml:space="preserve"> (1994</w:t>
      </w:r>
      <w:r w:rsidR="00B713B4" w:rsidRPr="00F40242">
        <w:rPr>
          <w:color w:val="000000"/>
          <w:sz w:val="26"/>
        </w:rPr>
        <w:t>)</w:t>
      </w:r>
      <w:r w:rsidRPr="00F40242">
        <w:rPr>
          <w:color w:val="000000"/>
          <w:sz w:val="26"/>
        </w:rPr>
        <w:t xml:space="preserve"> to explain the factors influencing disclosure by </w:t>
      </w:r>
      <w:r w:rsidR="008E10C8" w:rsidRPr="00F40242">
        <w:rPr>
          <w:color w:val="000000"/>
          <w:sz w:val="26"/>
        </w:rPr>
        <w:t>companies</w:t>
      </w:r>
      <w:r w:rsidRPr="00F40242">
        <w:rPr>
          <w:color w:val="000000"/>
          <w:sz w:val="26"/>
        </w:rPr>
        <w:t xml:space="preserve">. We adopt </w:t>
      </w:r>
      <w:proofErr w:type="spellStart"/>
      <w:r w:rsidRPr="00F40242">
        <w:rPr>
          <w:color w:val="000000"/>
          <w:sz w:val="26"/>
        </w:rPr>
        <w:t>Suchman</w:t>
      </w:r>
      <w:r w:rsidR="002C31EE" w:rsidRPr="00F40242">
        <w:rPr>
          <w:color w:val="000000"/>
          <w:sz w:val="26"/>
        </w:rPr>
        <w:t>’s</w:t>
      </w:r>
      <w:proofErr w:type="spellEnd"/>
      <w:r w:rsidRPr="00F40242">
        <w:rPr>
          <w:color w:val="000000"/>
          <w:sz w:val="26"/>
        </w:rPr>
        <w:t xml:space="preserve"> (1995) definition of legitimacy </w:t>
      </w:r>
      <w:r w:rsidR="002C31EE" w:rsidRPr="00F40242">
        <w:rPr>
          <w:color w:val="000000"/>
          <w:sz w:val="26"/>
        </w:rPr>
        <w:t>as “a</w:t>
      </w:r>
      <w:r w:rsidRPr="00F40242">
        <w:rPr>
          <w:color w:val="000000"/>
          <w:sz w:val="26"/>
        </w:rPr>
        <w:t xml:space="preserve"> generalised perception or assumption that the actions of an entity are desirable, proper, or appropriate within some socially constructed</w:t>
      </w:r>
      <w:r w:rsidR="00FB3869" w:rsidRPr="00F40242">
        <w:rPr>
          <w:color w:val="000000"/>
          <w:sz w:val="26"/>
        </w:rPr>
        <w:t xml:space="preserve"> </w:t>
      </w:r>
      <w:r w:rsidRPr="00F40242">
        <w:rPr>
          <w:noProof/>
          <w:color w:val="000000"/>
          <w:sz w:val="26"/>
        </w:rPr>
        <w:t>system</w:t>
      </w:r>
      <w:r w:rsidRPr="00F40242">
        <w:rPr>
          <w:color w:val="000000"/>
          <w:sz w:val="26"/>
        </w:rPr>
        <w:t xml:space="preserve"> of norms, values, beliefs, and definitions”. </w:t>
      </w:r>
      <w:r w:rsidR="00E334A2" w:rsidRPr="00F40242">
        <w:rPr>
          <w:color w:val="000000"/>
          <w:sz w:val="26"/>
        </w:rPr>
        <w:t xml:space="preserve">While a growing number of studies have provided alternative means for sustaining legitimacy, there is no </w:t>
      </w:r>
      <w:r w:rsidR="00E334A2" w:rsidRPr="00F40242">
        <w:rPr>
          <w:noProof/>
          <w:color w:val="000000"/>
          <w:sz w:val="26"/>
        </w:rPr>
        <w:t>consensus</w:t>
      </w:r>
      <w:r w:rsidR="00E334A2" w:rsidRPr="00F40242">
        <w:rPr>
          <w:color w:val="000000"/>
          <w:sz w:val="26"/>
        </w:rPr>
        <w:t xml:space="preserve"> </w:t>
      </w:r>
      <w:r w:rsidR="002C31EE" w:rsidRPr="00F40242">
        <w:rPr>
          <w:color w:val="000000"/>
          <w:sz w:val="26"/>
        </w:rPr>
        <w:t>regarding</w:t>
      </w:r>
      <w:r w:rsidR="0040342F" w:rsidRPr="00F40242">
        <w:rPr>
          <w:color w:val="000000"/>
          <w:sz w:val="26"/>
        </w:rPr>
        <w:t xml:space="preserve"> </w:t>
      </w:r>
      <w:r w:rsidR="00E334A2" w:rsidRPr="00F40242">
        <w:rPr>
          <w:color w:val="000000"/>
          <w:sz w:val="26"/>
        </w:rPr>
        <w:t xml:space="preserve">what it entails. </w:t>
      </w:r>
      <w:r w:rsidR="002C31EE" w:rsidRPr="00F40242">
        <w:rPr>
          <w:color w:val="000000"/>
          <w:sz w:val="26"/>
        </w:rPr>
        <w:t>Moreover</w:t>
      </w:r>
      <w:r w:rsidR="00021542" w:rsidRPr="00F40242">
        <w:rPr>
          <w:color w:val="000000"/>
          <w:sz w:val="26"/>
        </w:rPr>
        <w:t xml:space="preserve">, there is still no consensus </w:t>
      </w:r>
      <w:r w:rsidR="002C31EE" w:rsidRPr="00F40242">
        <w:rPr>
          <w:color w:val="000000"/>
          <w:sz w:val="26"/>
        </w:rPr>
        <w:t xml:space="preserve">regarding </w:t>
      </w:r>
      <w:r w:rsidR="00E334A2" w:rsidRPr="00F40242">
        <w:rPr>
          <w:rFonts w:eastAsia="Calibri"/>
          <w:sz w:val="26"/>
        </w:rPr>
        <w:t xml:space="preserve">whether legitimacy can provide a </w:t>
      </w:r>
      <w:r w:rsidR="004623F5" w:rsidRPr="00F40242">
        <w:rPr>
          <w:rFonts w:eastAsia="Calibri"/>
          <w:sz w:val="26"/>
        </w:rPr>
        <w:t>comprehensive</w:t>
      </w:r>
      <w:r w:rsidR="00E334A2" w:rsidRPr="00F40242">
        <w:rPr>
          <w:rFonts w:eastAsia="Calibri"/>
          <w:sz w:val="26"/>
        </w:rPr>
        <w:t xml:space="preserve"> explanation of </w:t>
      </w:r>
      <w:r w:rsidR="00021542" w:rsidRPr="00F40242">
        <w:rPr>
          <w:rFonts w:eastAsia="Calibri"/>
          <w:sz w:val="26"/>
        </w:rPr>
        <w:t xml:space="preserve">non-financial disclosures of a </w:t>
      </w:r>
      <w:r w:rsidR="00021542" w:rsidRPr="00F40242">
        <w:rPr>
          <w:rFonts w:eastAsia="Calibri"/>
          <w:noProof/>
          <w:sz w:val="26"/>
        </w:rPr>
        <w:t>firm</w:t>
      </w:r>
      <w:r w:rsidR="0040342F" w:rsidRPr="00F40242">
        <w:rPr>
          <w:rFonts w:eastAsia="Calibri"/>
          <w:sz w:val="26"/>
        </w:rPr>
        <w:t xml:space="preserve">. </w:t>
      </w:r>
      <w:r w:rsidR="007A415C" w:rsidRPr="00F40242">
        <w:rPr>
          <w:rFonts w:eastAsia="Calibri"/>
          <w:sz w:val="26"/>
        </w:rPr>
        <w:t>Co</w:t>
      </w:r>
      <w:r w:rsidR="00477869">
        <w:rPr>
          <w:rFonts w:eastAsia="Calibri"/>
          <w:sz w:val="26"/>
        </w:rPr>
        <w:t>r</w:t>
      </w:r>
      <w:r w:rsidR="007A415C" w:rsidRPr="00F40242">
        <w:rPr>
          <w:rFonts w:eastAsia="Calibri"/>
          <w:sz w:val="26"/>
        </w:rPr>
        <w:t xml:space="preserve">mier and </w:t>
      </w:r>
      <w:proofErr w:type="spellStart"/>
      <w:r w:rsidR="007A415C" w:rsidRPr="00F40242">
        <w:rPr>
          <w:rFonts w:eastAsia="Calibri"/>
          <w:sz w:val="26"/>
        </w:rPr>
        <w:t>Magnan</w:t>
      </w:r>
      <w:proofErr w:type="spellEnd"/>
      <w:r w:rsidR="007A415C" w:rsidRPr="00F40242">
        <w:rPr>
          <w:rFonts w:eastAsia="Calibri"/>
          <w:sz w:val="26"/>
        </w:rPr>
        <w:t xml:space="preserve"> (2003) examined the environmental disclosure practices of French </w:t>
      </w:r>
      <w:r w:rsidR="008E10C8" w:rsidRPr="00F40242">
        <w:rPr>
          <w:rFonts w:eastAsia="Calibri"/>
          <w:sz w:val="26"/>
        </w:rPr>
        <w:t>companies</w:t>
      </w:r>
      <w:r w:rsidR="007A415C" w:rsidRPr="00F40242">
        <w:rPr>
          <w:rFonts w:eastAsia="Calibri"/>
          <w:sz w:val="26"/>
        </w:rPr>
        <w:t xml:space="preserve"> and found that corporate disclosure strategies </w:t>
      </w:r>
      <w:r w:rsidR="007A415C" w:rsidRPr="00F40242">
        <w:rPr>
          <w:rFonts w:eastAsia="Calibri"/>
          <w:noProof/>
          <w:sz w:val="26"/>
        </w:rPr>
        <w:t>are influenced</w:t>
      </w:r>
      <w:r w:rsidR="007A415C" w:rsidRPr="00F40242">
        <w:rPr>
          <w:rFonts w:eastAsia="Calibri"/>
          <w:sz w:val="26"/>
        </w:rPr>
        <w:t xml:space="preserve"> by the prevailing environment within which a firm operates. </w:t>
      </w:r>
      <w:r w:rsidR="007A415C" w:rsidRPr="00F40242">
        <w:rPr>
          <w:rFonts w:eastAsia="Calibri"/>
          <w:noProof/>
          <w:sz w:val="26"/>
        </w:rPr>
        <w:t xml:space="preserve">In a related study, </w:t>
      </w:r>
      <w:r w:rsidR="00021542" w:rsidRPr="00F40242">
        <w:rPr>
          <w:rFonts w:eastAsia="Calibri"/>
          <w:noProof/>
          <w:sz w:val="26"/>
        </w:rPr>
        <w:t xml:space="preserve">based on social legitimacy theory, Branco and Rodrigues (2008) argue that </w:t>
      </w:r>
      <w:r w:rsidR="00A56CF9" w:rsidRPr="00F40242">
        <w:rPr>
          <w:rFonts w:eastAsia="Calibri"/>
          <w:noProof/>
          <w:sz w:val="26"/>
        </w:rPr>
        <w:t xml:space="preserve">as </w:t>
      </w:r>
      <w:r w:rsidR="00021542" w:rsidRPr="00F40242">
        <w:rPr>
          <w:rFonts w:eastAsia="Calibri"/>
          <w:noProof/>
          <w:sz w:val="26"/>
        </w:rPr>
        <w:t>firms are embedded within their social environments</w:t>
      </w:r>
      <w:r w:rsidR="002C31EE" w:rsidRPr="00F40242">
        <w:rPr>
          <w:rFonts w:eastAsia="Calibri"/>
          <w:noProof/>
          <w:sz w:val="26"/>
        </w:rPr>
        <w:t>,</w:t>
      </w:r>
      <w:r w:rsidR="00021542" w:rsidRPr="00F40242">
        <w:rPr>
          <w:rFonts w:eastAsia="Calibri"/>
          <w:noProof/>
          <w:sz w:val="26"/>
        </w:rPr>
        <w:t xml:space="preserve"> their operations are influenced by their interface</w:t>
      </w:r>
      <w:r w:rsidR="007A415C" w:rsidRPr="00F40242">
        <w:rPr>
          <w:rFonts w:eastAsia="Calibri"/>
          <w:noProof/>
          <w:sz w:val="26"/>
        </w:rPr>
        <w:t>.</w:t>
      </w:r>
      <w:r w:rsidR="007A415C" w:rsidRPr="00F40242">
        <w:rPr>
          <w:rFonts w:eastAsia="Calibri"/>
          <w:sz w:val="26"/>
        </w:rPr>
        <w:t xml:space="preserve"> </w:t>
      </w:r>
      <w:r w:rsidR="00021542" w:rsidRPr="00F40242">
        <w:rPr>
          <w:rFonts w:eastAsia="Calibri"/>
          <w:sz w:val="26"/>
        </w:rPr>
        <w:t xml:space="preserve">However, </w:t>
      </w:r>
      <w:proofErr w:type="spellStart"/>
      <w:r w:rsidR="00AA3E6A" w:rsidRPr="00F40242">
        <w:rPr>
          <w:rFonts w:eastAsia="Calibri"/>
          <w:sz w:val="26"/>
        </w:rPr>
        <w:t>Behram</w:t>
      </w:r>
      <w:proofErr w:type="spellEnd"/>
      <w:r w:rsidR="00AA3E6A" w:rsidRPr="00F40242">
        <w:rPr>
          <w:rFonts w:eastAsia="Calibri"/>
          <w:sz w:val="26"/>
        </w:rPr>
        <w:t xml:space="preserve"> (2015) fail</w:t>
      </w:r>
      <w:r w:rsidR="002C31EE" w:rsidRPr="00F40242">
        <w:rPr>
          <w:rFonts w:eastAsia="Calibri"/>
          <w:sz w:val="26"/>
        </w:rPr>
        <w:t>s</w:t>
      </w:r>
      <w:r w:rsidR="00AA3E6A" w:rsidRPr="00F40242">
        <w:rPr>
          <w:rFonts w:eastAsia="Calibri"/>
          <w:sz w:val="26"/>
        </w:rPr>
        <w:t xml:space="preserve"> to confirm legitimacy theory as an explicator of environmental disclosure </w:t>
      </w:r>
      <w:r w:rsidR="00021542" w:rsidRPr="00F40242">
        <w:rPr>
          <w:rFonts w:eastAsia="Calibri"/>
          <w:sz w:val="26"/>
        </w:rPr>
        <w:t xml:space="preserve">of firms in </w:t>
      </w:r>
      <w:r w:rsidR="00AA3E6A" w:rsidRPr="00F40242">
        <w:rPr>
          <w:rFonts w:eastAsia="Calibri"/>
          <w:sz w:val="26"/>
        </w:rPr>
        <w:t>Turkey.</w:t>
      </w:r>
      <w:r w:rsidR="00A45D61" w:rsidRPr="00F40242">
        <w:rPr>
          <w:rFonts w:asciiTheme="minorHAnsi" w:eastAsiaTheme="minorHAnsi" w:hAnsiTheme="minorHAnsi" w:cstheme="minorBidi"/>
          <w:b/>
          <w:sz w:val="26"/>
          <w:szCs w:val="18"/>
        </w:rPr>
        <w:t xml:space="preserve"> </w:t>
      </w:r>
      <w:proofErr w:type="spellStart"/>
      <w:r w:rsidR="00021542" w:rsidRPr="00F40242">
        <w:rPr>
          <w:rFonts w:eastAsia="Calibri"/>
          <w:sz w:val="26"/>
        </w:rPr>
        <w:t>Muttakin</w:t>
      </w:r>
      <w:proofErr w:type="spellEnd"/>
      <w:r w:rsidR="00021542" w:rsidRPr="00F40242">
        <w:rPr>
          <w:rFonts w:eastAsia="Calibri"/>
          <w:sz w:val="26"/>
        </w:rPr>
        <w:t xml:space="preserve"> and Khan (2014), in the</w:t>
      </w:r>
      <w:r w:rsidR="002C31EE" w:rsidRPr="00F40242">
        <w:rPr>
          <w:rFonts w:eastAsia="Calibri"/>
          <w:sz w:val="26"/>
        </w:rPr>
        <w:t>ir</w:t>
      </w:r>
      <w:r w:rsidR="00021542" w:rsidRPr="00F40242">
        <w:rPr>
          <w:rFonts w:eastAsia="Calibri"/>
          <w:sz w:val="26"/>
        </w:rPr>
        <w:t xml:space="preserve"> study of firm operations in </w:t>
      </w:r>
      <w:r w:rsidR="00021542" w:rsidRPr="00F40242">
        <w:rPr>
          <w:rFonts w:eastAsia="Calibri"/>
          <w:noProof/>
          <w:sz w:val="26"/>
        </w:rPr>
        <w:t>Bangladesh</w:t>
      </w:r>
      <w:r w:rsidR="00CD711D" w:rsidRPr="00F40242">
        <w:rPr>
          <w:rFonts w:eastAsia="Calibri"/>
          <w:noProof/>
          <w:sz w:val="26"/>
        </w:rPr>
        <w:t>,</w:t>
      </w:r>
      <w:r w:rsidR="00021542" w:rsidRPr="00F40242">
        <w:rPr>
          <w:rFonts w:eastAsia="Calibri"/>
          <w:sz w:val="26"/>
        </w:rPr>
        <w:t xml:space="preserve"> found that </w:t>
      </w:r>
      <w:r w:rsidR="00A45D61" w:rsidRPr="00F40242">
        <w:rPr>
          <w:rFonts w:eastAsiaTheme="minorHAnsi"/>
          <w:sz w:val="26"/>
        </w:rPr>
        <w:t xml:space="preserve">firm and industry characteristics </w:t>
      </w:r>
      <w:r w:rsidR="00021542" w:rsidRPr="00F40242">
        <w:rPr>
          <w:rFonts w:eastAsiaTheme="minorHAnsi"/>
          <w:sz w:val="26"/>
        </w:rPr>
        <w:t xml:space="preserve">do not account for </w:t>
      </w:r>
      <w:r w:rsidR="00A45D61" w:rsidRPr="00F40242">
        <w:rPr>
          <w:rFonts w:eastAsiaTheme="minorHAnsi"/>
          <w:sz w:val="26"/>
        </w:rPr>
        <w:t>corporate social responsibility disclosure</w:t>
      </w:r>
      <w:r w:rsidR="00021542" w:rsidRPr="00F40242">
        <w:rPr>
          <w:rFonts w:eastAsiaTheme="minorHAnsi"/>
          <w:sz w:val="26"/>
        </w:rPr>
        <w:t>s.</w:t>
      </w:r>
      <w:r w:rsidR="00CD711D" w:rsidRPr="00F40242">
        <w:rPr>
          <w:rFonts w:eastAsia="Calibri"/>
          <w:noProof/>
          <w:sz w:val="26"/>
        </w:rPr>
        <w:t xml:space="preserve"> </w:t>
      </w:r>
      <w:r w:rsidR="00021542" w:rsidRPr="00F40242">
        <w:rPr>
          <w:rFonts w:eastAsiaTheme="minorHAnsi"/>
          <w:noProof/>
          <w:sz w:val="26"/>
        </w:rPr>
        <w:t>Rather,</w:t>
      </w:r>
      <w:r w:rsidR="00A45D61" w:rsidRPr="00F40242">
        <w:rPr>
          <w:rFonts w:eastAsia="Calibri"/>
          <w:sz w:val="26"/>
        </w:rPr>
        <w:t xml:space="preserve"> </w:t>
      </w:r>
      <w:r w:rsidR="00021542" w:rsidRPr="00F40242">
        <w:rPr>
          <w:rFonts w:eastAsia="Calibri"/>
          <w:noProof/>
          <w:sz w:val="26"/>
        </w:rPr>
        <w:t xml:space="preserve">the </w:t>
      </w:r>
      <w:r w:rsidR="00A45D61" w:rsidRPr="00F40242">
        <w:rPr>
          <w:rFonts w:eastAsia="Calibri"/>
          <w:sz w:val="26"/>
        </w:rPr>
        <w:t xml:space="preserve">CSR disclosure </w:t>
      </w:r>
      <w:r w:rsidR="00021542" w:rsidRPr="00F40242">
        <w:rPr>
          <w:rFonts w:eastAsia="Calibri"/>
          <w:sz w:val="26"/>
        </w:rPr>
        <w:t xml:space="preserve">of firms in Bangladesh </w:t>
      </w:r>
      <w:r w:rsidR="00021542" w:rsidRPr="00F40242">
        <w:rPr>
          <w:rFonts w:eastAsia="Calibri"/>
          <w:noProof/>
          <w:sz w:val="26"/>
        </w:rPr>
        <w:t>is determined</w:t>
      </w:r>
      <w:r w:rsidR="00021542" w:rsidRPr="00F40242">
        <w:rPr>
          <w:rFonts w:eastAsia="Calibri"/>
          <w:sz w:val="26"/>
        </w:rPr>
        <w:t xml:space="preserve"> by the pressures exerted by </w:t>
      </w:r>
      <w:r w:rsidR="00A45D61" w:rsidRPr="00F40242">
        <w:rPr>
          <w:rFonts w:eastAsia="Calibri"/>
          <w:sz w:val="26"/>
        </w:rPr>
        <w:t>stakeholder groups</w:t>
      </w:r>
      <w:r w:rsidR="006E5E4F" w:rsidRPr="00F40242">
        <w:rPr>
          <w:rFonts w:eastAsia="Calibri"/>
          <w:sz w:val="26"/>
        </w:rPr>
        <w:t xml:space="preserve">. </w:t>
      </w:r>
      <w:r w:rsidR="0040342F" w:rsidRPr="00F40242">
        <w:rPr>
          <w:rFonts w:eastAsia="Calibri"/>
          <w:noProof/>
          <w:sz w:val="26"/>
        </w:rPr>
        <w:t xml:space="preserve">Some authors have argued that the </w:t>
      </w:r>
      <w:r w:rsidR="0040342F" w:rsidRPr="00F40242">
        <w:rPr>
          <w:noProof/>
          <w:sz w:val="26"/>
        </w:rPr>
        <w:t xml:space="preserve">driving force of </w:t>
      </w:r>
      <w:r w:rsidR="007A415C" w:rsidRPr="00F40242">
        <w:rPr>
          <w:noProof/>
          <w:sz w:val="26"/>
        </w:rPr>
        <w:t>social and environmental disclosure</w:t>
      </w:r>
      <w:r w:rsidR="005E56F4" w:rsidRPr="00F40242">
        <w:rPr>
          <w:noProof/>
          <w:sz w:val="26"/>
        </w:rPr>
        <w:t xml:space="preserve"> in emerging countries </w:t>
      </w:r>
      <w:r w:rsidR="002C31EE" w:rsidRPr="00F40242">
        <w:rPr>
          <w:noProof/>
          <w:sz w:val="26"/>
        </w:rPr>
        <w:t xml:space="preserve">is </w:t>
      </w:r>
      <w:r w:rsidR="005E56F4" w:rsidRPr="00F40242">
        <w:rPr>
          <w:noProof/>
          <w:sz w:val="26"/>
        </w:rPr>
        <w:t>pressure from powerful international lending institutions (Rahaman, Lawrence</w:t>
      </w:r>
      <w:r w:rsidR="002C31EE" w:rsidRPr="00F40242">
        <w:rPr>
          <w:noProof/>
          <w:sz w:val="26"/>
        </w:rPr>
        <w:t xml:space="preserve">, </w:t>
      </w:r>
      <w:r w:rsidR="00EC7873" w:rsidRPr="00F40242">
        <w:rPr>
          <w:noProof/>
          <w:sz w:val="26"/>
        </w:rPr>
        <w:t>&amp;</w:t>
      </w:r>
      <w:r w:rsidR="002C31EE" w:rsidRPr="00F40242">
        <w:rPr>
          <w:noProof/>
          <w:sz w:val="26"/>
        </w:rPr>
        <w:t xml:space="preserve"> </w:t>
      </w:r>
      <w:r w:rsidR="005E56F4" w:rsidRPr="00F40242">
        <w:rPr>
          <w:noProof/>
          <w:sz w:val="26"/>
        </w:rPr>
        <w:t>Roper</w:t>
      </w:r>
      <w:r w:rsidR="003701F5" w:rsidRPr="00F40242">
        <w:rPr>
          <w:noProof/>
          <w:sz w:val="26"/>
        </w:rPr>
        <w:t>,</w:t>
      </w:r>
      <w:r w:rsidR="002C31EE" w:rsidRPr="00F40242">
        <w:rPr>
          <w:noProof/>
          <w:sz w:val="26"/>
        </w:rPr>
        <w:t xml:space="preserve"> </w:t>
      </w:r>
      <w:r w:rsidR="003701F5" w:rsidRPr="00F40242">
        <w:rPr>
          <w:noProof/>
          <w:sz w:val="26"/>
        </w:rPr>
        <w:t>2</w:t>
      </w:r>
      <w:r w:rsidR="005E56F4" w:rsidRPr="00F40242">
        <w:rPr>
          <w:noProof/>
          <w:sz w:val="26"/>
        </w:rPr>
        <w:t xml:space="preserve">004), </w:t>
      </w:r>
      <w:r w:rsidR="005F6540" w:rsidRPr="00F40242">
        <w:rPr>
          <w:noProof/>
          <w:sz w:val="26"/>
        </w:rPr>
        <w:t>specific</w:t>
      </w:r>
      <w:r w:rsidR="005E56F4" w:rsidRPr="00F40242">
        <w:rPr>
          <w:noProof/>
          <w:sz w:val="26"/>
        </w:rPr>
        <w:t xml:space="preserve"> stakeholder</w:t>
      </w:r>
      <w:r w:rsidR="00844A0A" w:rsidRPr="00F40242">
        <w:rPr>
          <w:noProof/>
          <w:sz w:val="26"/>
        </w:rPr>
        <w:t>s (Belal</w:t>
      </w:r>
      <w:r w:rsidR="002C31EE" w:rsidRPr="00F40242">
        <w:rPr>
          <w:noProof/>
          <w:sz w:val="26"/>
        </w:rPr>
        <w:t xml:space="preserve"> </w:t>
      </w:r>
      <w:r w:rsidR="00EC7873" w:rsidRPr="00F40242">
        <w:rPr>
          <w:noProof/>
          <w:sz w:val="26"/>
        </w:rPr>
        <w:t>&amp;</w:t>
      </w:r>
      <w:r w:rsidR="002C31EE" w:rsidRPr="00F40242">
        <w:rPr>
          <w:noProof/>
          <w:sz w:val="26"/>
        </w:rPr>
        <w:t xml:space="preserve"> </w:t>
      </w:r>
      <w:r w:rsidR="00844A0A" w:rsidRPr="00F40242">
        <w:rPr>
          <w:noProof/>
          <w:sz w:val="26"/>
        </w:rPr>
        <w:t>Owen</w:t>
      </w:r>
      <w:r w:rsidR="003701F5" w:rsidRPr="00F40242">
        <w:rPr>
          <w:noProof/>
          <w:sz w:val="26"/>
        </w:rPr>
        <w:t>,</w:t>
      </w:r>
      <w:r w:rsidR="002C31EE" w:rsidRPr="00F40242">
        <w:rPr>
          <w:noProof/>
          <w:sz w:val="26"/>
        </w:rPr>
        <w:t xml:space="preserve"> </w:t>
      </w:r>
      <w:r w:rsidR="003701F5" w:rsidRPr="00F40242">
        <w:rPr>
          <w:noProof/>
          <w:sz w:val="26"/>
        </w:rPr>
        <w:t>2</w:t>
      </w:r>
      <w:r w:rsidR="00844A0A" w:rsidRPr="00F40242">
        <w:rPr>
          <w:noProof/>
          <w:sz w:val="26"/>
        </w:rPr>
        <w:t>007)</w:t>
      </w:r>
      <w:r w:rsidR="005E56F4" w:rsidRPr="00F40242">
        <w:rPr>
          <w:noProof/>
          <w:sz w:val="26"/>
        </w:rPr>
        <w:t xml:space="preserve">, </w:t>
      </w:r>
      <w:r w:rsidR="002C31EE" w:rsidRPr="00F40242">
        <w:rPr>
          <w:noProof/>
          <w:sz w:val="26"/>
        </w:rPr>
        <w:t xml:space="preserve">and </w:t>
      </w:r>
      <w:r w:rsidR="005E56F4" w:rsidRPr="00F40242">
        <w:rPr>
          <w:noProof/>
          <w:sz w:val="26"/>
        </w:rPr>
        <w:t>‘outside forces’ (</w:t>
      </w:r>
      <w:r w:rsidR="00844A0A" w:rsidRPr="00F40242">
        <w:rPr>
          <w:rFonts w:eastAsia="Calibri"/>
          <w:noProof/>
          <w:sz w:val="26"/>
        </w:rPr>
        <w:t>Islam</w:t>
      </w:r>
      <w:r w:rsidR="002C31EE" w:rsidRPr="00F40242">
        <w:rPr>
          <w:rFonts w:eastAsia="Calibri"/>
          <w:noProof/>
          <w:sz w:val="26"/>
        </w:rPr>
        <w:t xml:space="preserve"> </w:t>
      </w:r>
      <w:r w:rsidR="00EC7873" w:rsidRPr="00F40242">
        <w:rPr>
          <w:rFonts w:eastAsia="Calibri"/>
          <w:noProof/>
          <w:sz w:val="26"/>
        </w:rPr>
        <w:t>&amp;</w:t>
      </w:r>
      <w:r w:rsidR="002C31EE" w:rsidRPr="00F40242">
        <w:rPr>
          <w:rFonts w:eastAsia="Calibri"/>
          <w:noProof/>
          <w:sz w:val="26"/>
        </w:rPr>
        <w:t xml:space="preserve"> </w:t>
      </w:r>
      <w:r w:rsidR="00844A0A" w:rsidRPr="00F40242">
        <w:rPr>
          <w:rFonts w:eastAsia="Calibri"/>
          <w:noProof/>
          <w:sz w:val="26"/>
        </w:rPr>
        <w:t>Deegan</w:t>
      </w:r>
      <w:r w:rsidR="003701F5" w:rsidRPr="00F40242">
        <w:rPr>
          <w:rFonts w:eastAsia="Calibri"/>
          <w:noProof/>
          <w:sz w:val="26"/>
        </w:rPr>
        <w:t>,</w:t>
      </w:r>
      <w:r w:rsidR="002C31EE" w:rsidRPr="00F40242">
        <w:rPr>
          <w:rFonts w:eastAsia="Calibri"/>
          <w:noProof/>
          <w:sz w:val="26"/>
        </w:rPr>
        <w:t xml:space="preserve"> </w:t>
      </w:r>
      <w:r w:rsidR="003701F5" w:rsidRPr="00F40242">
        <w:rPr>
          <w:rFonts w:eastAsia="Calibri"/>
          <w:noProof/>
          <w:sz w:val="26"/>
        </w:rPr>
        <w:t>2</w:t>
      </w:r>
      <w:r w:rsidR="00844A0A" w:rsidRPr="00F40242">
        <w:rPr>
          <w:rFonts w:eastAsia="Calibri"/>
          <w:noProof/>
          <w:sz w:val="26"/>
        </w:rPr>
        <w:t>008</w:t>
      </w:r>
      <w:r w:rsidR="005E56F4" w:rsidRPr="00F40242">
        <w:rPr>
          <w:noProof/>
          <w:sz w:val="26"/>
        </w:rPr>
        <w:t>)</w:t>
      </w:r>
      <w:r w:rsidR="002C31EE" w:rsidRPr="00F40242">
        <w:rPr>
          <w:noProof/>
          <w:sz w:val="26"/>
        </w:rPr>
        <w:t>. P</w:t>
      </w:r>
      <w:r w:rsidR="005F6540" w:rsidRPr="00F40242">
        <w:rPr>
          <w:noProof/>
          <w:sz w:val="26"/>
        </w:rPr>
        <w:t xml:space="preserve">ressures other than </w:t>
      </w:r>
      <w:r w:rsidR="002C31EE" w:rsidRPr="00F40242">
        <w:rPr>
          <w:noProof/>
          <w:sz w:val="26"/>
        </w:rPr>
        <w:t xml:space="preserve">those </w:t>
      </w:r>
      <w:r w:rsidR="005F6540" w:rsidRPr="00F40242">
        <w:rPr>
          <w:noProof/>
          <w:sz w:val="26"/>
        </w:rPr>
        <w:t xml:space="preserve">of </w:t>
      </w:r>
      <w:r w:rsidR="005E56F4" w:rsidRPr="00F40242">
        <w:rPr>
          <w:noProof/>
          <w:sz w:val="26"/>
        </w:rPr>
        <w:t>consumer</w:t>
      </w:r>
      <w:r w:rsidR="005F6540" w:rsidRPr="00F40242">
        <w:rPr>
          <w:noProof/>
          <w:sz w:val="26"/>
        </w:rPr>
        <w:t xml:space="preserve">s may include </w:t>
      </w:r>
      <w:r w:rsidR="002C31EE" w:rsidRPr="00F40242">
        <w:rPr>
          <w:noProof/>
          <w:sz w:val="26"/>
        </w:rPr>
        <w:t>pressures from</w:t>
      </w:r>
      <w:r w:rsidR="005F6540" w:rsidRPr="00F40242">
        <w:rPr>
          <w:noProof/>
          <w:sz w:val="26"/>
        </w:rPr>
        <w:t xml:space="preserve"> </w:t>
      </w:r>
      <w:r w:rsidR="005E56F4" w:rsidRPr="00F40242">
        <w:rPr>
          <w:noProof/>
          <w:sz w:val="26"/>
        </w:rPr>
        <w:t>non-government</w:t>
      </w:r>
      <w:r w:rsidR="005F6540" w:rsidRPr="00F40242">
        <w:rPr>
          <w:noProof/>
          <w:sz w:val="26"/>
        </w:rPr>
        <w:t>al</w:t>
      </w:r>
      <w:r w:rsidR="005E56F4" w:rsidRPr="00F40242">
        <w:rPr>
          <w:noProof/>
          <w:sz w:val="26"/>
        </w:rPr>
        <w:t xml:space="preserve"> organisation</w:t>
      </w:r>
      <w:r w:rsidR="005F6540" w:rsidRPr="00F40242">
        <w:rPr>
          <w:noProof/>
          <w:sz w:val="26"/>
        </w:rPr>
        <w:t>s</w:t>
      </w:r>
      <w:r w:rsidR="005E56F4" w:rsidRPr="00F40242">
        <w:rPr>
          <w:noProof/>
          <w:sz w:val="26"/>
        </w:rPr>
        <w:t xml:space="preserve"> or civil society groups, which </w:t>
      </w:r>
      <w:r w:rsidR="005F6540" w:rsidRPr="00F40242">
        <w:rPr>
          <w:noProof/>
          <w:sz w:val="26"/>
        </w:rPr>
        <w:t xml:space="preserve">are </w:t>
      </w:r>
      <w:r w:rsidR="005E56F4" w:rsidRPr="00F40242">
        <w:rPr>
          <w:noProof/>
          <w:sz w:val="26"/>
        </w:rPr>
        <w:t xml:space="preserve">often the driving force behind </w:t>
      </w:r>
      <w:r w:rsidR="00334FBE" w:rsidRPr="00F40242">
        <w:rPr>
          <w:noProof/>
          <w:sz w:val="26"/>
        </w:rPr>
        <w:t xml:space="preserve">social and environmental disclosures in </w:t>
      </w:r>
      <w:r w:rsidR="005E56F4" w:rsidRPr="00F40242">
        <w:rPr>
          <w:noProof/>
          <w:sz w:val="26"/>
        </w:rPr>
        <w:t xml:space="preserve">developed countries </w:t>
      </w:r>
      <w:r w:rsidR="00844A0A" w:rsidRPr="00F40242">
        <w:rPr>
          <w:noProof/>
          <w:sz w:val="26"/>
        </w:rPr>
        <w:t>(</w:t>
      </w:r>
      <w:r w:rsidR="00844A0A" w:rsidRPr="00F40242">
        <w:rPr>
          <w:rFonts w:eastAsia="Calibri"/>
          <w:noProof/>
          <w:sz w:val="26"/>
        </w:rPr>
        <w:t>Islam</w:t>
      </w:r>
      <w:r w:rsidR="002C31EE" w:rsidRPr="00F40242">
        <w:rPr>
          <w:rFonts w:eastAsia="Calibri"/>
          <w:noProof/>
          <w:sz w:val="26"/>
        </w:rPr>
        <w:t xml:space="preserve"> </w:t>
      </w:r>
      <w:r w:rsidR="00EC7873" w:rsidRPr="00F40242">
        <w:rPr>
          <w:rFonts w:eastAsia="Calibri"/>
          <w:noProof/>
          <w:sz w:val="26"/>
        </w:rPr>
        <w:t>&amp;</w:t>
      </w:r>
      <w:r w:rsidR="002C31EE" w:rsidRPr="00F40242">
        <w:rPr>
          <w:rFonts w:eastAsia="Calibri"/>
          <w:noProof/>
          <w:sz w:val="26"/>
        </w:rPr>
        <w:t xml:space="preserve"> </w:t>
      </w:r>
      <w:r w:rsidR="00844A0A" w:rsidRPr="00F40242">
        <w:rPr>
          <w:rFonts w:eastAsia="Calibri"/>
          <w:noProof/>
          <w:sz w:val="26"/>
        </w:rPr>
        <w:t>Deegan</w:t>
      </w:r>
      <w:r w:rsidR="003701F5" w:rsidRPr="00F40242">
        <w:rPr>
          <w:rFonts w:eastAsia="Calibri"/>
          <w:noProof/>
          <w:sz w:val="26"/>
        </w:rPr>
        <w:t>,</w:t>
      </w:r>
      <w:r w:rsidR="002C31EE" w:rsidRPr="00F40242">
        <w:rPr>
          <w:rFonts w:eastAsia="Calibri"/>
          <w:noProof/>
          <w:sz w:val="26"/>
        </w:rPr>
        <w:t xml:space="preserve"> </w:t>
      </w:r>
      <w:r w:rsidR="003701F5" w:rsidRPr="00F40242">
        <w:rPr>
          <w:rFonts w:eastAsia="Calibri"/>
          <w:noProof/>
          <w:sz w:val="26"/>
        </w:rPr>
        <w:t>2</w:t>
      </w:r>
      <w:r w:rsidR="00844A0A" w:rsidRPr="00F40242">
        <w:rPr>
          <w:rFonts w:eastAsia="Calibri"/>
          <w:noProof/>
          <w:sz w:val="26"/>
        </w:rPr>
        <w:t>008).</w:t>
      </w:r>
    </w:p>
    <w:p w14:paraId="700F8019" w14:textId="231E204C" w:rsidR="0011086F" w:rsidRDefault="00844A0A" w:rsidP="0011086F">
      <w:pPr>
        <w:spacing w:line="360" w:lineRule="exact"/>
        <w:ind w:firstLineChars="200" w:firstLine="520"/>
        <w:jc w:val="both"/>
        <w:rPr>
          <w:rFonts w:eastAsia="Calibri"/>
          <w:sz w:val="26"/>
        </w:rPr>
      </w:pPr>
      <w:r w:rsidRPr="00F40242">
        <w:rPr>
          <w:noProof/>
          <w:sz w:val="26"/>
        </w:rPr>
        <w:lastRenderedPageBreak/>
        <w:t xml:space="preserve">As Islam and Dellaportas (2011) </w:t>
      </w:r>
      <w:r w:rsidR="0040342F" w:rsidRPr="00F40242">
        <w:rPr>
          <w:rFonts w:eastAsia="Calibri"/>
          <w:noProof/>
          <w:sz w:val="26"/>
        </w:rPr>
        <w:t>observed, within</w:t>
      </w:r>
      <w:r w:rsidR="00260152" w:rsidRPr="00F40242">
        <w:rPr>
          <w:rFonts w:eastAsia="Calibri"/>
          <w:noProof/>
          <w:sz w:val="26"/>
        </w:rPr>
        <w:t xml:space="preserve"> the </w:t>
      </w:r>
      <w:r w:rsidR="0040342F" w:rsidRPr="00F40242">
        <w:rPr>
          <w:rFonts w:eastAsia="Calibri"/>
          <w:noProof/>
          <w:sz w:val="26"/>
        </w:rPr>
        <w:t xml:space="preserve">context of developing countries, there exists a multitude of social, political, economic and cultural factors </w:t>
      </w:r>
      <w:r w:rsidR="00334FBE" w:rsidRPr="00F40242">
        <w:rPr>
          <w:rFonts w:eastAsia="Calibri"/>
          <w:noProof/>
          <w:sz w:val="26"/>
        </w:rPr>
        <w:t xml:space="preserve">that impact </w:t>
      </w:r>
      <w:r w:rsidR="002C31EE" w:rsidRPr="00F40242">
        <w:rPr>
          <w:rFonts w:eastAsia="Calibri"/>
          <w:noProof/>
          <w:sz w:val="26"/>
        </w:rPr>
        <w:t xml:space="preserve">the </w:t>
      </w:r>
      <w:r w:rsidR="00334FBE" w:rsidRPr="00F40242">
        <w:rPr>
          <w:rFonts w:eastAsia="Calibri"/>
          <w:noProof/>
          <w:sz w:val="26"/>
        </w:rPr>
        <w:t>decision making of firms</w:t>
      </w:r>
      <w:r w:rsidR="002C31EE" w:rsidRPr="00F40242">
        <w:rPr>
          <w:rFonts w:eastAsia="Calibri"/>
          <w:noProof/>
          <w:sz w:val="26"/>
        </w:rPr>
        <w:t>. T</w:t>
      </w:r>
      <w:r w:rsidR="00334FBE" w:rsidRPr="00F40242">
        <w:rPr>
          <w:rFonts w:eastAsia="Calibri"/>
          <w:noProof/>
          <w:sz w:val="26"/>
        </w:rPr>
        <w:t xml:space="preserve">hese many include </w:t>
      </w:r>
      <w:r w:rsidR="0040342F" w:rsidRPr="00F40242">
        <w:rPr>
          <w:rFonts w:eastAsia="Calibri"/>
          <w:noProof/>
          <w:sz w:val="26"/>
        </w:rPr>
        <w:t xml:space="preserve">the pattern of corporate ownership, business law and regulation, </w:t>
      </w:r>
      <w:r w:rsidR="002C31EE" w:rsidRPr="00F40242">
        <w:rPr>
          <w:rFonts w:eastAsia="Calibri"/>
          <w:noProof/>
          <w:sz w:val="26"/>
        </w:rPr>
        <w:t xml:space="preserve">and </w:t>
      </w:r>
      <w:r w:rsidR="0040342F" w:rsidRPr="00F40242">
        <w:rPr>
          <w:rFonts w:eastAsia="Calibri"/>
          <w:noProof/>
          <w:sz w:val="26"/>
        </w:rPr>
        <w:t xml:space="preserve">state intervention in commercial </w:t>
      </w:r>
      <w:r w:rsidR="00334FBE" w:rsidRPr="00F40242">
        <w:rPr>
          <w:rFonts w:eastAsia="Calibri"/>
          <w:noProof/>
          <w:sz w:val="26"/>
        </w:rPr>
        <w:t xml:space="preserve">and private </w:t>
      </w:r>
      <w:r w:rsidR="0040342F" w:rsidRPr="00F40242">
        <w:rPr>
          <w:rFonts w:eastAsia="Calibri"/>
          <w:noProof/>
          <w:sz w:val="26"/>
        </w:rPr>
        <w:t>activities,</w:t>
      </w:r>
      <w:r w:rsidR="002C31EE" w:rsidRPr="00F40242">
        <w:rPr>
          <w:rFonts w:eastAsia="Calibri"/>
          <w:noProof/>
          <w:sz w:val="26"/>
        </w:rPr>
        <w:t xml:space="preserve"> which</w:t>
      </w:r>
      <w:r w:rsidR="00334FBE" w:rsidRPr="00F40242">
        <w:rPr>
          <w:rFonts w:eastAsia="Calibri"/>
          <w:noProof/>
          <w:sz w:val="26"/>
        </w:rPr>
        <w:t xml:space="preserve"> in turn influence</w:t>
      </w:r>
      <w:r w:rsidR="00CD711D" w:rsidRPr="00F40242">
        <w:rPr>
          <w:rFonts w:eastAsia="Calibri"/>
          <w:noProof/>
          <w:sz w:val="26"/>
        </w:rPr>
        <w:t xml:space="preserve"> </w:t>
      </w:r>
      <w:r w:rsidR="00334FBE" w:rsidRPr="00F40242">
        <w:rPr>
          <w:rFonts w:eastAsia="Calibri"/>
          <w:noProof/>
          <w:sz w:val="26"/>
        </w:rPr>
        <w:t>the</w:t>
      </w:r>
      <w:r w:rsidR="0040342F" w:rsidRPr="00F40242">
        <w:rPr>
          <w:rFonts w:eastAsia="Calibri"/>
          <w:noProof/>
          <w:sz w:val="26"/>
        </w:rPr>
        <w:t xml:space="preserve"> decision</w:t>
      </w:r>
      <w:r w:rsidR="00CD711D" w:rsidRPr="00F40242">
        <w:rPr>
          <w:rFonts w:eastAsia="Calibri"/>
          <w:noProof/>
          <w:sz w:val="26"/>
        </w:rPr>
        <w:t>-</w:t>
      </w:r>
      <w:r w:rsidR="0040342F" w:rsidRPr="00F40242">
        <w:rPr>
          <w:rFonts w:eastAsia="Calibri"/>
          <w:noProof/>
          <w:sz w:val="26"/>
        </w:rPr>
        <w:t xml:space="preserve">making </w:t>
      </w:r>
      <w:r w:rsidR="00334FBE" w:rsidRPr="00F40242">
        <w:rPr>
          <w:rFonts w:eastAsia="Calibri"/>
          <w:noProof/>
          <w:sz w:val="26"/>
        </w:rPr>
        <w:t>process as it relates to social and environmental disclosures</w:t>
      </w:r>
      <w:r w:rsidR="0040342F" w:rsidRPr="00F40242">
        <w:rPr>
          <w:rFonts w:eastAsia="Calibri"/>
          <w:noProof/>
          <w:sz w:val="26"/>
        </w:rPr>
        <w:t>.</w:t>
      </w:r>
      <w:r w:rsidR="0040342F" w:rsidRPr="00F40242">
        <w:rPr>
          <w:rFonts w:eastAsia="Calibri"/>
          <w:sz w:val="26"/>
        </w:rPr>
        <w:t xml:space="preserve"> </w:t>
      </w:r>
      <w:r w:rsidR="0040342F" w:rsidRPr="00F40242">
        <w:rPr>
          <w:sz w:val="26"/>
        </w:rPr>
        <w:t xml:space="preserve">Other factors that influence </w:t>
      </w:r>
      <w:r w:rsidR="00334FBE" w:rsidRPr="00F40242">
        <w:rPr>
          <w:sz w:val="26"/>
        </w:rPr>
        <w:t xml:space="preserve">non-financial disclosure are </w:t>
      </w:r>
      <w:r w:rsidR="0040342F" w:rsidRPr="00F40242">
        <w:rPr>
          <w:rFonts w:eastAsia="Calibri"/>
          <w:sz w:val="26"/>
        </w:rPr>
        <w:t>religious or ethnic considerations, the degree of public concern about the environment, the prominence of civil society (</w:t>
      </w:r>
      <w:proofErr w:type="spellStart"/>
      <w:r w:rsidR="0040342F" w:rsidRPr="00F40242">
        <w:rPr>
          <w:rFonts w:eastAsia="Calibri"/>
          <w:sz w:val="26"/>
        </w:rPr>
        <w:t>Jamali</w:t>
      </w:r>
      <w:proofErr w:type="spellEnd"/>
      <w:r w:rsidR="002C31EE" w:rsidRPr="00F40242">
        <w:rPr>
          <w:rFonts w:eastAsia="Calibri"/>
          <w:sz w:val="26"/>
        </w:rPr>
        <w:t xml:space="preserve"> </w:t>
      </w:r>
      <w:r w:rsidR="00EC7873" w:rsidRPr="00F40242">
        <w:rPr>
          <w:rFonts w:eastAsia="Calibri"/>
          <w:sz w:val="26"/>
        </w:rPr>
        <w:t>&amp;</w:t>
      </w:r>
      <w:r w:rsidR="002C31EE" w:rsidRPr="00F40242">
        <w:rPr>
          <w:rFonts w:eastAsia="Calibri"/>
          <w:sz w:val="26"/>
        </w:rPr>
        <w:t xml:space="preserve"> </w:t>
      </w:r>
      <w:proofErr w:type="spellStart"/>
      <w:r w:rsidR="0040342F" w:rsidRPr="00F40242">
        <w:rPr>
          <w:rFonts w:eastAsia="Calibri"/>
          <w:sz w:val="26"/>
        </w:rPr>
        <w:t>Mirshak</w:t>
      </w:r>
      <w:proofErr w:type="spellEnd"/>
      <w:r w:rsidR="003701F5" w:rsidRPr="00F40242">
        <w:rPr>
          <w:rFonts w:eastAsia="Calibri"/>
          <w:sz w:val="26"/>
        </w:rPr>
        <w:t>,</w:t>
      </w:r>
      <w:r w:rsidR="002C31EE" w:rsidRPr="00F40242">
        <w:rPr>
          <w:rFonts w:eastAsia="Calibri"/>
          <w:sz w:val="26"/>
        </w:rPr>
        <w:t xml:space="preserve"> </w:t>
      </w:r>
      <w:r w:rsidR="003701F5" w:rsidRPr="00F40242">
        <w:rPr>
          <w:rFonts w:eastAsia="Calibri"/>
          <w:sz w:val="26"/>
        </w:rPr>
        <w:t>2</w:t>
      </w:r>
      <w:r w:rsidR="0040342F" w:rsidRPr="00F40242">
        <w:rPr>
          <w:rFonts w:eastAsia="Calibri"/>
          <w:sz w:val="26"/>
        </w:rPr>
        <w:t>007) and attitudes to</w:t>
      </w:r>
      <w:r w:rsidR="002C31EE" w:rsidRPr="00F40242">
        <w:rPr>
          <w:rFonts w:eastAsia="Calibri"/>
          <w:sz w:val="26"/>
        </w:rPr>
        <w:t>ward</w:t>
      </w:r>
      <w:r w:rsidR="0040342F" w:rsidRPr="00F40242">
        <w:rPr>
          <w:rFonts w:eastAsia="Calibri"/>
          <w:sz w:val="26"/>
        </w:rPr>
        <w:t xml:space="preserve"> philanthropy or social responsibility (</w:t>
      </w:r>
      <w:proofErr w:type="spellStart"/>
      <w:r w:rsidR="001B68CA" w:rsidRPr="00F40242">
        <w:rPr>
          <w:rFonts w:eastAsia="Calibri"/>
          <w:sz w:val="26"/>
        </w:rPr>
        <w:t>Mahadeo</w:t>
      </w:r>
      <w:proofErr w:type="spellEnd"/>
      <w:r w:rsidR="001B68CA" w:rsidRPr="00F40242">
        <w:rPr>
          <w:rFonts w:eastAsia="Calibri"/>
          <w:sz w:val="26"/>
        </w:rPr>
        <w:t xml:space="preserve"> et al.</w:t>
      </w:r>
      <w:r w:rsidR="003701F5" w:rsidRPr="00F40242">
        <w:rPr>
          <w:rFonts w:eastAsia="Calibri"/>
          <w:sz w:val="26"/>
        </w:rPr>
        <w:t>,</w:t>
      </w:r>
      <w:r w:rsidR="002C31EE" w:rsidRPr="00F40242">
        <w:rPr>
          <w:rFonts w:eastAsia="Calibri"/>
          <w:sz w:val="26"/>
        </w:rPr>
        <w:t xml:space="preserve"> </w:t>
      </w:r>
      <w:r w:rsidR="003701F5" w:rsidRPr="00F40242">
        <w:rPr>
          <w:rFonts w:eastAsia="Calibri"/>
          <w:sz w:val="26"/>
        </w:rPr>
        <w:t>2</w:t>
      </w:r>
      <w:r w:rsidR="001B68CA" w:rsidRPr="00F40242">
        <w:rPr>
          <w:rFonts w:eastAsia="Calibri"/>
          <w:sz w:val="26"/>
        </w:rPr>
        <w:t>011</w:t>
      </w:r>
      <w:r w:rsidR="0040342F" w:rsidRPr="00F40242">
        <w:rPr>
          <w:rFonts w:eastAsia="Calibri"/>
          <w:sz w:val="26"/>
        </w:rPr>
        <w:t xml:space="preserve">). </w:t>
      </w:r>
      <w:r w:rsidR="00334FBE" w:rsidRPr="00F40242">
        <w:rPr>
          <w:rFonts w:eastAsia="Calibri"/>
          <w:sz w:val="26"/>
        </w:rPr>
        <w:t xml:space="preserve">Despite this, there is </w:t>
      </w:r>
      <w:r w:rsidR="002C31EE" w:rsidRPr="00F40242">
        <w:rPr>
          <w:rFonts w:eastAsia="Calibri"/>
          <w:sz w:val="26"/>
        </w:rPr>
        <w:t xml:space="preserve">a </w:t>
      </w:r>
      <w:r w:rsidR="00334FBE" w:rsidRPr="00F40242">
        <w:rPr>
          <w:rFonts w:eastAsia="Calibri"/>
          <w:noProof/>
          <w:sz w:val="26"/>
        </w:rPr>
        <w:t>dearth</w:t>
      </w:r>
      <w:r w:rsidR="00334FBE" w:rsidRPr="00F40242">
        <w:rPr>
          <w:rFonts w:eastAsia="Calibri"/>
          <w:sz w:val="26"/>
        </w:rPr>
        <w:t xml:space="preserve"> of studies examining the </w:t>
      </w:r>
      <w:r w:rsidR="0040342F" w:rsidRPr="00F40242">
        <w:rPr>
          <w:rFonts w:eastAsia="Calibri"/>
          <w:sz w:val="26"/>
        </w:rPr>
        <w:t xml:space="preserve">determinants of social and environmental disclosure in </w:t>
      </w:r>
      <w:r w:rsidR="00334FBE" w:rsidRPr="00F40242">
        <w:rPr>
          <w:rFonts w:eastAsia="Calibri"/>
          <w:sz w:val="26"/>
        </w:rPr>
        <w:t xml:space="preserve">developing countries </w:t>
      </w:r>
      <w:r w:rsidR="0040342F" w:rsidRPr="00F40242">
        <w:rPr>
          <w:rFonts w:eastAsia="Calibri"/>
          <w:sz w:val="26"/>
        </w:rPr>
        <w:t>(</w:t>
      </w:r>
      <w:proofErr w:type="spellStart"/>
      <w:r w:rsidR="0040342F" w:rsidRPr="00F40242">
        <w:rPr>
          <w:sz w:val="26"/>
        </w:rPr>
        <w:t>Belal</w:t>
      </w:r>
      <w:proofErr w:type="spellEnd"/>
      <w:r w:rsidR="002C31EE" w:rsidRPr="00F40242">
        <w:rPr>
          <w:sz w:val="26"/>
        </w:rPr>
        <w:t xml:space="preserve"> </w:t>
      </w:r>
      <w:r w:rsidR="00EC7873" w:rsidRPr="00F40242">
        <w:rPr>
          <w:sz w:val="26"/>
        </w:rPr>
        <w:t>&amp;</w:t>
      </w:r>
      <w:r w:rsidR="002C31EE" w:rsidRPr="00F40242">
        <w:rPr>
          <w:sz w:val="26"/>
        </w:rPr>
        <w:t xml:space="preserve"> </w:t>
      </w:r>
      <w:proofErr w:type="spellStart"/>
      <w:r w:rsidR="0040342F" w:rsidRPr="00F40242">
        <w:rPr>
          <w:sz w:val="26"/>
        </w:rPr>
        <w:t>Momin</w:t>
      </w:r>
      <w:proofErr w:type="spellEnd"/>
      <w:r w:rsidR="003701F5" w:rsidRPr="00F40242">
        <w:rPr>
          <w:sz w:val="26"/>
        </w:rPr>
        <w:t>,</w:t>
      </w:r>
      <w:r w:rsidR="002C31EE" w:rsidRPr="00F40242">
        <w:rPr>
          <w:sz w:val="26"/>
        </w:rPr>
        <w:t xml:space="preserve"> </w:t>
      </w:r>
      <w:r w:rsidR="003701F5" w:rsidRPr="00F40242">
        <w:rPr>
          <w:sz w:val="26"/>
        </w:rPr>
        <w:t>2</w:t>
      </w:r>
      <w:r w:rsidR="0040342F" w:rsidRPr="00F40242">
        <w:rPr>
          <w:sz w:val="26"/>
        </w:rPr>
        <w:t xml:space="preserve">009; </w:t>
      </w:r>
      <w:proofErr w:type="spellStart"/>
      <w:r w:rsidR="0040342F" w:rsidRPr="00F40242">
        <w:rPr>
          <w:rFonts w:eastAsia="Calibri"/>
          <w:sz w:val="26"/>
        </w:rPr>
        <w:t>Jamali</w:t>
      </w:r>
      <w:proofErr w:type="spellEnd"/>
      <w:r w:rsidR="002C31EE" w:rsidRPr="00F40242">
        <w:rPr>
          <w:rFonts w:eastAsia="Calibri"/>
          <w:sz w:val="26"/>
        </w:rPr>
        <w:t xml:space="preserve"> </w:t>
      </w:r>
      <w:r w:rsidR="00EC7873" w:rsidRPr="00F40242">
        <w:rPr>
          <w:rFonts w:eastAsia="Calibri"/>
          <w:sz w:val="26"/>
        </w:rPr>
        <w:t>&amp;</w:t>
      </w:r>
      <w:r w:rsidR="002C31EE" w:rsidRPr="00F40242">
        <w:rPr>
          <w:rFonts w:eastAsia="Calibri"/>
          <w:sz w:val="26"/>
        </w:rPr>
        <w:t xml:space="preserve"> </w:t>
      </w:r>
      <w:proofErr w:type="spellStart"/>
      <w:r w:rsidR="0040342F" w:rsidRPr="00F40242">
        <w:rPr>
          <w:rFonts w:eastAsia="Calibri"/>
          <w:sz w:val="26"/>
        </w:rPr>
        <w:t>Mirshak</w:t>
      </w:r>
      <w:proofErr w:type="spellEnd"/>
      <w:r w:rsidR="003701F5" w:rsidRPr="00F40242">
        <w:rPr>
          <w:rFonts w:eastAsia="Calibri"/>
          <w:sz w:val="26"/>
        </w:rPr>
        <w:t>,</w:t>
      </w:r>
      <w:r w:rsidR="002C31EE" w:rsidRPr="00F40242">
        <w:rPr>
          <w:rFonts w:eastAsia="Calibri"/>
          <w:sz w:val="26"/>
        </w:rPr>
        <w:t xml:space="preserve"> </w:t>
      </w:r>
      <w:r w:rsidR="003701F5" w:rsidRPr="00F40242">
        <w:rPr>
          <w:rFonts w:eastAsia="Calibri"/>
          <w:sz w:val="26"/>
        </w:rPr>
        <w:t>2</w:t>
      </w:r>
      <w:r w:rsidR="0040342F" w:rsidRPr="00F40242">
        <w:rPr>
          <w:rFonts w:eastAsia="Calibri"/>
          <w:sz w:val="26"/>
        </w:rPr>
        <w:t>007)</w:t>
      </w:r>
      <w:r w:rsidR="00334FBE" w:rsidRPr="00F40242">
        <w:rPr>
          <w:rFonts w:eastAsia="Calibri"/>
          <w:sz w:val="26"/>
        </w:rPr>
        <w:t xml:space="preserve">. Given the importance of social and environmental disclosure of a firm, </w:t>
      </w:r>
      <w:r w:rsidR="00604FEA" w:rsidRPr="00F40242">
        <w:rPr>
          <w:rFonts w:eastAsia="Calibri"/>
          <w:sz w:val="26"/>
        </w:rPr>
        <w:t>as well as</w:t>
      </w:r>
      <w:r w:rsidR="00334FBE" w:rsidRPr="00F40242">
        <w:rPr>
          <w:rFonts w:eastAsia="Calibri"/>
          <w:sz w:val="26"/>
        </w:rPr>
        <w:t xml:space="preserve"> the fact that these </w:t>
      </w:r>
      <w:r w:rsidR="00334FBE" w:rsidRPr="00F40242">
        <w:rPr>
          <w:rFonts w:eastAsia="Calibri"/>
          <w:noProof/>
          <w:sz w:val="26"/>
        </w:rPr>
        <w:t>di</w:t>
      </w:r>
      <w:r w:rsidR="00CD711D" w:rsidRPr="00F40242">
        <w:rPr>
          <w:rFonts w:eastAsia="Calibri"/>
          <w:noProof/>
          <w:sz w:val="26"/>
        </w:rPr>
        <w:t>s</w:t>
      </w:r>
      <w:r w:rsidR="00334FBE" w:rsidRPr="00F40242">
        <w:rPr>
          <w:rFonts w:eastAsia="Calibri"/>
          <w:noProof/>
          <w:sz w:val="26"/>
        </w:rPr>
        <w:t>closures</w:t>
      </w:r>
      <w:r w:rsidR="00334FBE" w:rsidRPr="00F40242">
        <w:rPr>
          <w:rFonts w:eastAsia="Calibri"/>
          <w:sz w:val="26"/>
        </w:rPr>
        <w:t xml:space="preserve"> in emerging economies differ from those of developed countries</w:t>
      </w:r>
      <w:r w:rsidR="00604FEA" w:rsidRPr="00F40242">
        <w:rPr>
          <w:rFonts w:eastAsia="Calibri"/>
          <w:sz w:val="26"/>
        </w:rPr>
        <w:t>, in</w:t>
      </w:r>
      <w:r w:rsidR="00334FBE" w:rsidRPr="00F40242">
        <w:rPr>
          <w:rFonts w:eastAsia="Calibri"/>
          <w:sz w:val="26"/>
        </w:rPr>
        <w:t xml:space="preserve"> which most empirical studies have </w:t>
      </w:r>
      <w:r w:rsidR="00334FBE" w:rsidRPr="00F40242">
        <w:rPr>
          <w:rFonts w:eastAsia="Calibri"/>
          <w:noProof/>
          <w:sz w:val="26"/>
        </w:rPr>
        <w:t>been conducted</w:t>
      </w:r>
      <w:r w:rsidR="00334FBE" w:rsidRPr="00F40242">
        <w:rPr>
          <w:rFonts w:eastAsia="Calibri"/>
          <w:sz w:val="26"/>
        </w:rPr>
        <w:t xml:space="preserve"> (</w:t>
      </w:r>
      <w:proofErr w:type="spellStart"/>
      <w:r w:rsidR="001B68CA" w:rsidRPr="00F40242">
        <w:rPr>
          <w:rFonts w:eastAsia="Calibri"/>
          <w:noProof/>
          <w:sz w:val="26"/>
        </w:rPr>
        <w:t>Belal</w:t>
      </w:r>
      <w:proofErr w:type="spellEnd"/>
      <w:r w:rsidR="00604FEA" w:rsidRPr="00F40242">
        <w:rPr>
          <w:rFonts w:eastAsia="Calibri"/>
          <w:noProof/>
          <w:sz w:val="26"/>
        </w:rPr>
        <w:t xml:space="preserve"> </w:t>
      </w:r>
      <w:r w:rsidR="00EC7873" w:rsidRPr="00F40242">
        <w:rPr>
          <w:rFonts w:eastAsia="Calibri"/>
          <w:noProof/>
          <w:sz w:val="26"/>
        </w:rPr>
        <w:t>&amp;</w:t>
      </w:r>
      <w:r w:rsidR="00604FEA" w:rsidRPr="00F40242">
        <w:rPr>
          <w:rFonts w:eastAsia="Calibri"/>
          <w:noProof/>
          <w:sz w:val="26"/>
        </w:rPr>
        <w:t xml:space="preserve"> </w:t>
      </w:r>
      <w:r w:rsidR="001B68CA" w:rsidRPr="00F40242">
        <w:rPr>
          <w:rFonts w:eastAsia="Calibri"/>
          <w:noProof/>
          <w:sz w:val="26"/>
        </w:rPr>
        <w:t>Momin</w:t>
      </w:r>
      <w:r w:rsidR="003701F5" w:rsidRPr="00F40242">
        <w:rPr>
          <w:rFonts w:eastAsia="Calibri"/>
          <w:noProof/>
          <w:sz w:val="26"/>
        </w:rPr>
        <w:t>,</w:t>
      </w:r>
      <w:r w:rsidR="00604FEA" w:rsidRPr="00F40242">
        <w:rPr>
          <w:rFonts w:eastAsia="Calibri"/>
          <w:noProof/>
          <w:sz w:val="26"/>
        </w:rPr>
        <w:t xml:space="preserve"> </w:t>
      </w:r>
      <w:r w:rsidR="003701F5" w:rsidRPr="00F40242">
        <w:rPr>
          <w:rFonts w:eastAsia="Calibri"/>
          <w:noProof/>
          <w:sz w:val="26"/>
        </w:rPr>
        <w:t>2</w:t>
      </w:r>
      <w:r w:rsidR="001B68CA" w:rsidRPr="00F40242">
        <w:rPr>
          <w:rFonts w:eastAsia="Calibri"/>
          <w:noProof/>
          <w:sz w:val="26"/>
        </w:rPr>
        <w:t>009</w:t>
      </w:r>
      <w:r w:rsidRPr="00F40242">
        <w:rPr>
          <w:rFonts w:eastAsia="Calibri"/>
          <w:noProof/>
          <w:sz w:val="26"/>
        </w:rPr>
        <w:t xml:space="preserve">; </w:t>
      </w:r>
      <w:r w:rsidRPr="00F40242">
        <w:rPr>
          <w:noProof/>
          <w:sz w:val="26"/>
        </w:rPr>
        <w:t>Islam</w:t>
      </w:r>
      <w:r w:rsidR="00604FEA" w:rsidRPr="00F40242">
        <w:rPr>
          <w:noProof/>
          <w:sz w:val="26"/>
        </w:rPr>
        <w:t xml:space="preserve"> </w:t>
      </w:r>
      <w:r w:rsidR="00EC7873" w:rsidRPr="00F40242">
        <w:rPr>
          <w:noProof/>
          <w:sz w:val="26"/>
        </w:rPr>
        <w:t>&amp;</w:t>
      </w:r>
      <w:r w:rsidR="00604FEA" w:rsidRPr="00F40242">
        <w:rPr>
          <w:noProof/>
          <w:sz w:val="26"/>
        </w:rPr>
        <w:t xml:space="preserve"> </w:t>
      </w:r>
      <w:r w:rsidRPr="00F40242">
        <w:rPr>
          <w:noProof/>
          <w:sz w:val="26"/>
        </w:rPr>
        <w:t>Dellaportas</w:t>
      </w:r>
      <w:r w:rsidR="003701F5" w:rsidRPr="00F40242">
        <w:rPr>
          <w:noProof/>
          <w:sz w:val="26"/>
        </w:rPr>
        <w:t>,</w:t>
      </w:r>
      <w:r w:rsidR="00604FEA" w:rsidRPr="00F40242">
        <w:rPr>
          <w:noProof/>
          <w:sz w:val="26"/>
        </w:rPr>
        <w:t xml:space="preserve"> </w:t>
      </w:r>
      <w:r w:rsidR="003701F5" w:rsidRPr="00F40242">
        <w:rPr>
          <w:noProof/>
          <w:sz w:val="26"/>
        </w:rPr>
        <w:t>2</w:t>
      </w:r>
      <w:r w:rsidRPr="00F40242">
        <w:rPr>
          <w:noProof/>
          <w:sz w:val="26"/>
        </w:rPr>
        <w:t>011;</w:t>
      </w:r>
      <w:r w:rsidRPr="00F40242">
        <w:rPr>
          <w:rFonts w:eastAsia="Calibri"/>
          <w:sz w:val="26"/>
        </w:rPr>
        <w:t xml:space="preserve"> </w:t>
      </w:r>
      <w:proofErr w:type="spellStart"/>
      <w:r w:rsidRPr="00F40242">
        <w:rPr>
          <w:rFonts w:eastAsia="Calibri"/>
          <w:sz w:val="26"/>
        </w:rPr>
        <w:t>Mahadeo</w:t>
      </w:r>
      <w:proofErr w:type="spellEnd"/>
      <w:r w:rsidRPr="00F40242">
        <w:rPr>
          <w:rFonts w:eastAsia="Calibri"/>
          <w:sz w:val="26"/>
        </w:rPr>
        <w:t xml:space="preserve"> et al.</w:t>
      </w:r>
      <w:r w:rsidR="003701F5" w:rsidRPr="00F40242">
        <w:rPr>
          <w:rFonts w:eastAsia="Calibri"/>
          <w:sz w:val="26"/>
        </w:rPr>
        <w:t>,</w:t>
      </w:r>
      <w:r w:rsidR="00604FEA" w:rsidRPr="00F40242">
        <w:rPr>
          <w:rFonts w:eastAsia="Calibri"/>
          <w:sz w:val="26"/>
        </w:rPr>
        <w:t xml:space="preserve"> </w:t>
      </w:r>
      <w:r w:rsidR="003701F5" w:rsidRPr="00F40242">
        <w:rPr>
          <w:rFonts w:eastAsia="Calibri"/>
          <w:sz w:val="26"/>
        </w:rPr>
        <w:t>2</w:t>
      </w:r>
      <w:r w:rsidRPr="00F40242">
        <w:rPr>
          <w:rFonts w:eastAsia="Calibri"/>
          <w:sz w:val="26"/>
        </w:rPr>
        <w:t>011</w:t>
      </w:r>
      <w:r w:rsidRPr="00F40242">
        <w:rPr>
          <w:noProof/>
          <w:sz w:val="26"/>
        </w:rPr>
        <w:t>)</w:t>
      </w:r>
      <w:r w:rsidR="002D27EA" w:rsidRPr="00F40242">
        <w:rPr>
          <w:rFonts w:eastAsia="Calibri"/>
          <w:noProof/>
          <w:sz w:val="26"/>
        </w:rPr>
        <w:t xml:space="preserve">, </w:t>
      </w:r>
      <w:r w:rsidR="00334FBE" w:rsidRPr="00F40242">
        <w:rPr>
          <w:rFonts w:eastAsia="Calibri"/>
          <w:noProof/>
          <w:sz w:val="26"/>
        </w:rPr>
        <w:t xml:space="preserve">there is </w:t>
      </w:r>
      <w:r w:rsidR="00604FEA" w:rsidRPr="00F40242">
        <w:rPr>
          <w:rFonts w:eastAsia="Calibri"/>
          <w:noProof/>
          <w:sz w:val="26"/>
        </w:rPr>
        <w:t>a need for further study in this areas. Thus,</w:t>
      </w:r>
      <w:r w:rsidR="00334FBE" w:rsidRPr="00F40242">
        <w:rPr>
          <w:rFonts w:eastAsia="Calibri"/>
          <w:noProof/>
          <w:sz w:val="26"/>
        </w:rPr>
        <w:t xml:space="preserve"> the focus of the current study is to provide a</w:t>
      </w:r>
      <w:r w:rsidR="0080393F" w:rsidRPr="00F40242">
        <w:rPr>
          <w:rFonts w:eastAsia="Calibri"/>
          <w:noProof/>
          <w:sz w:val="26"/>
        </w:rPr>
        <w:t xml:space="preserve"> </w:t>
      </w:r>
      <w:r w:rsidR="00334FBE" w:rsidRPr="00F40242">
        <w:rPr>
          <w:rFonts w:eastAsia="Calibri"/>
          <w:noProof/>
          <w:sz w:val="26"/>
        </w:rPr>
        <w:t>comprehensive analysis of the determinants of social and environmental disclosures of firms within a developing country context</w:t>
      </w:r>
      <w:r w:rsidR="00604FEA" w:rsidRPr="00F40242">
        <w:rPr>
          <w:rFonts w:eastAsia="Calibri"/>
          <w:noProof/>
          <w:sz w:val="26"/>
        </w:rPr>
        <w:t>,</w:t>
      </w:r>
      <w:r w:rsidR="00334FBE" w:rsidRPr="00F40242">
        <w:rPr>
          <w:rFonts w:eastAsia="Calibri"/>
          <w:noProof/>
          <w:sz w:val="26"/>
        </w:rPr>
        <w:t xml:space="preserve"> which has </w:t>
      </w:r>
      <w:r w:rsidR="00604FEA" w:rsidRPr="00F40242">
        <w:rPr>
          <w:rFonts w:eastAsia="Calibri"/>
          <w:noProof/>
          <w:sz w:val="26"/>
        </w:rPr>
        <w:t xml:space="preserve">thus far </w:t>
      </w:r>
      <w:r w:rsidR="00334FBE" w:rsidRPr="00F40242">
        <w:rPr>
          <w:rFonts w:eastAsia="Calibri"/>
          <w:noProof/>
          <w:sz w:val="26"/>
        </w:rPr>
        <w:t xml:space="preserve">been </w:t>
      </w:r>
      <w:r w:rsidR="00604FEA" w:rsidRPr="00F40242">
        <w:rPr>
          <w:rFonts w:eastAsia="Calibri"/>
          <w:noProof/>
          <w:sz w:val="26"/>
        </w:rPr>
        <w:t>lacking</w:t>
      </w:r>
      <w:r w:rsidR="00334FBE" w:rsidRPr="00F40242">
        <w:rPr>
          <w:rFonts w:eastAsia="Calibri"/>
          <w:noProof/>
          <w:sz w:val="26"/>
        </w:rPr>
        <w:t xml:space="preserve"> in the empirical literature.</w:t>
      </w:r>
      <w:r w:rsidR="00334FBE" w:rsidRPr="00F40242">
        <w:rPr>
          <w:rFonts w:eastAsia="Calibri"/>
          <w:sz w:val="26"/>
        </w:rPr>
        <w:t xml:space="preserve"> </w:t>
      </w:r>
    </w:p>
    <w:p w14:paraId="0372D1A0" w14:textId="77777777" w:rsidR="0011086F" w:rsidRDefault="0011086F" w:rsidP="0011086F">
      <w:pPr>
        <w:spacing w:line="360" w:lineRule="exact"/>
        <w:ind w:firstLineChars="200" w:firstLine="521"/>
        <w:jc w:val="center"/>
        <w:rPr>
          <w:rFonts w:eastAsia="Calibri"/>
          <w:b/>
          <w:caps/>
          <w:sz w:val="26"/>
        </w:rPr>
      </w:pPr>
    </w:p>
    <w:p w14:paraId="3214C769" w14:textId="2B7A0732" w:rsidR="00BA3BDF" w:rsidRPr="0011086F" w:rsidRDefault="00792A17" w:rsidP="00B95A3A">
      <w:pPr>
        <w:spacing w:line="360" w:lineRule="exact"/>
        <w:ind w:firstLineChars="200" w:firstLine="521"/>
        <w:jc w:val="center"/>
        <w:rPr>
          <w:rFonts w:eastAsia="Calibri"/>
          <w:b/>
          <w:sz w:val="26"/>
        </w:rPr>
      </w:pPr>
      <w:r w:rsidRPr="0011086F">
        <w:rPr>
          <w:rFonts w:eastAsia="Calibri"/>
          <w:b/>
          <w:caps/>
          <w:sz w:val="26"/>
        </w:rPr>
        <w:t>H</w:t>
      </w:r>
      <w:r w:rsidR="00245584" w:rsidRPr="0011086F">
        <w:rPr>
          <w:rFonts w:eastAsia="Calibri"/>
          <w:b/>
          <w:caps/>
          <w:sz w:val="26"/>
        </w:rPr>
        <w:t>ypothes</w:t>
      </w:r>
      <w:r w:rsidR="001565E4" w:rsidRPr="0011086F">
        <w:rPr>
          <w:rFonts w:eastAsia="Calibri"/>
          <w:b/>
          <w:caps/>
          <w:sz w:val="26"/>
        </w:rPr>
        <w:t>is development</w:t>
      </w:r>
    </w:p>
    <w:p w14:paraId="1586A2F0" w14:textId="69344E11" w:rsidR="005B720A" w:rsidRPr="0011086F" w:rsidRDefault="0072600A" w:rsidP="00B95A3A">
      <w:pPr>
        <w:autoSpaceDE w:val="0"/>
        <w:autoSpaceDN w:val="0"/>
        <w:adjustRightInd w:val="0"/>
        <w:spacing w:line="360" w:lineRule="exact"/>
        <w:jc w:val="both"/>
        <w:rPr>
          <w:rFonts w:eastAsia="Calibri"/>
          <w:b/>
          <w:sz w:val="26"/>
        </w:rPr>
      </w:pPr>
      <w:r w:rsidRPr="0011086F">
        <w:rPr>
          <w:rFonts w:eastAsia="Calibri"/>
          <w:b/>
          <w:iCs/>
          <w:sz w:val="26"/>
        </w:rPr>
        <w:t xml:space="preserve">Context </w:t>
      </w:r>
      <w:r w:rsidR="0042159F">
        <w:rPr>
          <w:rFonts w:eastAsiaTheme="minorEastAsia"/>
          <w:b/>
          <w:iCs/>
          <w:sz w:val="26"/>
          <w:lang w:eastAsia="zh-TW"/>
        </w:rPr>
        <w:t>a</w:t>
      </w:r>
      <w:r w:rsidR="0042159F" w:rsidRPr="0011086F">
        <w:rPr>
          <w:rFonts w:eastAsia="Calibri"/>
          <w:b/>
          <w:iCs/>
          <w:sz w:val="26"/>
        </w:rPr>
        <w:t xml:space="preserve">nd </w:t>
      </w:r>
      <w:r w:rsidR="0011086F" w:rsidRPr="0011086F">
        <w:rPr>
          <w:rFonts w:eastAsia="Calibri"/>
          <w:b/>
          <w:iCs/>
          <w:sz w:val="26"/>
        </w:rPr>
        <w:t xml:space="preserve">Determinants </w:t>
      </w:r>
      <w:r w:rsidR="0011086F">
        <w:rPr>
          <w:rFonts w:eastAsiaTheme="minorEastAsia" w:hint="eastAsia"/>
          <w:b/>
          <w:iCs/>
          <w:sz w:val="26"/>
          <w:lang w:eastAsia="zh-TW"/>
        </w:rPr>
        <w:t>o</w:t>
      </w:r>
      <w:r w:rsidR="0011086F" w:rsidRPr="0011086F">
        <w:rPr>
          <w:rFonts w:eastAsia="Calibri"/>
          <w:b/>
          <w:iCs/>
          <w:sz w:val="26"/>
        </w:rPr>
        <w:t>f Non-Financial Disclosure</w:t>
      </w:r>
      <w:r w:rsidR="005B720A" w:rsidRPr="0011086F">
        <w:rPr>
          <w:rFonts w:eastAsia="Calibri"/>
          <w:b/>
          <w:iCs/>
          <w:sz w:val="26"/>
        </w:rPr>
        <w:t xml:space="preserve"> </w:t>
      </w:r>
    </w:p>
    <w:p w14:paraId="1370BACE" w14:textId="283AFBF5" w:rsidR="0011086F" w:rsidRDefault="002864B0" w:rsidP="0011086F">
      <w:pPr>
        <w:autoSpaceDE w:val="0"/>
        <w:autoSpaceDN w:val="0"/>
        <w:adjustRightInd w:val="0"/>
        <w:spacing w:line="360" w:lineRule="exact"/>
        <w:ind w:firstLineChars="200" w:firstLine="520"/>
        <w:jc w:val="both"/>
        <w:rPr>
          <w:sz w:val="26"/>
        </w:rPr>
      </w:pPr>
      <w:r w:rsidRPr="00F40242">
        <w:rPr>
          <w:rFonts w:eastAsia="Calibri"/>
          <w:noProof/>
          <w:sz w:val="26"/>
        </w:rPr>
        <w:t xml:space="preserve">A review of the extant literature has revealed the growing importance of evaluating social and environmental disclosures within a national context </w:t>
      </w:r>
      <w:r w:rsidR="002D27EA" w:rsidRPr="00F40242">
        <w:rPr>
          <w:rFonts w:eastAsia="Calibri"/>
          <w:noProof/>
          <w:sz w:val="26"/>
        </w:rPr>
        <w:t>(Haniffa</w:t>
      </w:r>
      <w:r w:rsidR="00604FEA" w:rsidRPr="00F40242">
        <w:rPr>
          <w:rFonts w:eastAsia="Calibri"/>
          <w:noProof/>
          <w:sz w:val="26"/>
        </w:rPr>
        <w:t xml:space="preserve"> </w:t>
      </w:r>
      <w:r w:rsidR="00EC7873" w:rsidRPr="00F40242">
        <w:rPr>
          <w:rFonts w:eastAsia="Calibri"/>
          <w:noProof/>
          <w:sz w:val="26"/>
        </w:rPr>
        <w:t>&amp;</w:t>
      </w:r>
      <w:r w:rsidR="00604FEA" w:rsidRPr="00F40242">
        <w:rPr>
          <w:rFonts w:eastAsia="Calibri"/>
          <w:noProof/>
          <w:sz w:val="26"/>
        </w:rPr>
        <w:t xml:space="preserve"> </w:t>
      </w:r>
      <w:r w:rsidR="002D27EA" w:rsidRPr="00F40242">
        <w:rPr>
          <w:rFonts w:eastAsia="Calibri"/>
          <w:noProof/>
          <w:sz w:val="26"/>
        </w:rPr>
        <w:t>Cooke</w:t>
      </w:r>
      <w:r w:rsidR="003701F5" w:rsidRPr="00F40242">
        <w:rPr>
          <w:rFonts w:eastAsia="Calibri"/>
          <w:noProof/>
          <w:sz w:val="26"/>
        </w:rPr>
        <w:t>,</w:t>
      </w:r>
      <w:r w:rsidR="00604FEA" w:rsidRPr="00F40242">
        <w:rPr>
          <w:rFonts w:eastAsia="Calibri"/>
          <w:noProof/>
          <w:sz w:val="26"/>
        </w:rPr>
        <w:t xml:space="preserve"> </w:t>
      </w:r>
      <w:r w:rsidR="003701F5" w:rsidRPr="00F40242">
        <w:rPr>
          <w:rFonts w:eastAsia="Calibri"/>
          <w:noProof/>
          <w:sz w:val="26"/>
        </w:rPr>
        <w:t>2</w:t>
      </w:r>
      <w:r w:rsidR="002D27EA" w:rsidRPr="00F40242">
        <w:rPr>
          <w:rFonts w:eastAsia="Calibri"/>
          <w:noProof/>
          <w:sz w:val="26"/>
        </w:rPr>
        <w:t>005</w:t>
      </w:r>
      <w:r w:rsidRPr="00F40242">
        <w:rPr>
          <w:rFonts w:eastAsia="Calibri"/>
          <w:noProof/>
          <w:sz w:val="26"/>
        </w:rPr>
        <w:t>)</w:t>
      </w:r>
      <w:r w:rsidR="002D27EA" w:rsidRPr="00F40242">
        <w:rPr>
          <w:rFonts w:eastAsia="Calibri"/>
          <w:noProof/>
          <w:sz w:val="26"/>
        </w:rPr>
        <w:t>.</w:t>
      </w:r>
      <w:r w:rsidR="004F13BD" w:rsidRPr="00F40242">
        <w:rPr>
          <w:rFonts w:eastAsia="Calibri"/>
          <w:sz w:val="26"/>
        </w:rPr>
        <w:t xml:space="preserve"> </w:t>
      </w:r>
      <w:r w:rsidR="004F13BD" w:rsidRPr="00F40242">
        <w:rPr>
          <w:bCs/>
          <w:sz w:val="26"/>
        </w:rPr>
        <w:t>T</w:t>
      </w:r>
      <w:r w:rsidR="00312B51" w:rsidRPr="00F40242">
        <w:rPr>
          <w:bCs/>
          <w:sz w:val="26"/>
        </w:rPr>
        <w:t xml:space="preserve">he theoretical </w:t>
      </w:r>
      <w:r w:rsidR="004F13BD" w:rsidRPr="00F40242">
        <w:rPr>
          <w:bCs/>
          <w:sz w:val="26"/>
        </w:rPr>
        <w:t>arguments predict</w:t>
      </w:r>
      <w:r w:rsidR="00CD711D" w:rsidRPr="00F40242">
        <w:rPr>
          <w:bCs/>
          <w:sz w:val="26"/>
        </w:rPr>
        <w:t xml:space="preserve"> the</w:t>
      </w:r>
      <w:r w:rsidR="004F13BD" w:rsidRPr="00F40242">
        <w:rPr>
          <w:bCs/>
          <w:sz w:val="26"/>
        </w:rPr>
        <w:t xml:space="preserve"> </w:t>
      </w:r>
      <w:r w:rsidR="004F13BD" w:rsidRPr="00F40242">
        <w:rPr>
          <w:bCs/>
          <w:noProof/>
          <w:sz w:val="26"/>
        </w:rPr>
        <w:t>association</w:t>
      </w:r>
      <w:r w:rsidR="004F13BD" w:rsidRPr="00F40242">
        <w:rPr>
          <w:bCs/>
          <w:sz w:val="26"/>
        </w:rPr>
        <w:t xml:space="preserve"> between disclosure and a range of firm characteristics.</w:t>
      </w:r>
      <w:r w:rsidR="006733B6" w:rsidRPr="00F40242">
        <w:rPr>
          <w:bCs/>
          <w:sz w:val="26"/>
        </w:rPr>
        <w:t xml:space="preserve"> </w:t>
      </w:r>
      <w:r w:rsidR="00794164" w:rsidRPr="00F40242">
        <w:rPr>
          <w:bCs/>
          <w:sz w:val="26"/>
        </w:rPr>
        <w:t>Utilising the tenets of legitimacy theory, we explicate the relationships between social and environmental disclosures and key factors deduced from the extant literature</w:t>
      </w:r>
      <w:r w:rsidR="00604FEA" w:rsidRPr="00F40242">
        <w:rPr>
          <w:bCs/>
          <w:sz w:val="26"/>
        </w:rPr>
        <w:t>, including</w:t>
      </w:r>
      <w:r w:rsidR="00794164" w:rsidRPr="00F40242">
        <w:rPr>
          <w:bCs/>
          <w:sz w:val="26"/>
        </w:rPr>
        <w:t xml:space="preserve"> </w:t>
      </w:r>
      <w:r w:rsidR="001A50D7" w:rsidRPr="00F40242">
        <w:rPr>
          <w:rFonts w:eastAsia="Calibri"/>
          <w:sz w:val="26"/>
          <w:lang w:eastAsia="en-AU"/>
        </w:rPr>
        <w:t xml:space="preserve">international experience, </w:t>
      </w:r>
      <w:r w:rsidR="00945B4B" w:rsidRPr="00F40242">
        <w:rPr>
          <w:rFonts w:eastAsia="Calibri"/>
          <w:sz w:val="26"/>
          <w:lang w:eastAsia="en-AU"/>
        </w:rPr>
        <w:t xml:space="preserve">consumer proximity, </w:t>
      </w:r>
      <w:r w:rsidR="00060BD2" w:rsidRPr="00F40242">
        <w:rPr>
          <w:rFonts w:eastAsia="Calibri"/>
          <w:sz w:val="26"/>
          <w:lang w:eastAsia="en-AU"/>
        </w:rPr>
        <w:t>size, industry,</w:t>
      </w:r>
      <w:r w:rsidR="008F616A" w:rsidRPr="00F40242">
        <w:rPr>
          <w:rFonts w:eastAsia="Calibri"/>
          <w:sz w:val="26"/>
          <w:lang w:eastAsia="en-AU"/>
        </w:rPr>
        <w:t xml:space="preserve"> </w:t>
      </w:r>
      <w:r w:rsidR="00060BD2" w:rsidRPr="00F40242">
        <w:rPr>
          <w:rFonts w:eastAsia="Calibri"/>
          <w:sz w:val="26"/>
          <w:lang w:eastAsia="en-AU"/>
        </w:rPr>
        <w:t>profitability and</w:t>
      </w:r>
      <w:r w:rsidR="004B5797" w:rsidRPr="00F40242">
        <w:rPr>
          <w:rFonts w:eastAsia="Calibri"/>
          <w:sz w:val="26"/>
          <w:lang w:eastAsia="en-AU"/>
        </w:rPr>
        <w:t xml:space="preserve"> </w:t>
      </w:r>
      <w:r w:rsidR="00060BD2" w:rsidRPr="00F40242">
        <w:rPr>
          <w:rFonts w:eastAsia="Calibri"/>
          <w:sz w:val="26"/>
          <w:lang w:eastAsia="en-AU"/>
        </w:rPr>
        <w:t>leverage</w:t>
      </w:r>
      <w:r w:rsidR="006733B6" w:rsidRPr="00F40242">
        <w:rPr>
          <w:rFonts w:eastAsia="Calibri"/>
          <w:sz w:val="26"/>
          <w:lang w:eastAsia="en-AU"/>
        </w:rPr>
        <w:t xml:space="preserve">. </w:t>
      </w:r>
      <w:r w:rsidR="00794164" w:rsidRPr="00F40242">
        <w:rPr>
          <w:rFonts w:eastAsia="Calibri"/>
          <w:sz w:val="26"/>
          <w:lang w:eastAsia="en-AU"/>
        </w:rPr>
        <w:t xml:space="preserve">Given the dearth of studies on the Indian economy, this study extends the legitimacy theory by examining other key drivers of social and environmental disclosures. These factors may include the role of </w:t>
      </w:r>
      <w:r w:rsidR="00060BD2" w:rsidRPr="00F40242">
        <w:rPr>
          <w:sz w:val="26"/>
          <w:lang w:eastAsia="en-AU"/>
        </w:rPr>
        <w:t xml:space="preserve">sustainability </w:t>
      </w:r>
      <w:r w:rsidR="00B371C0" w:rsidRPr="00F40242">
        <w:rPr>
          <w:sz w:val="26"/>
          <w:lang w:eastAsia="en-AU"/>
        </w:rPr>
        <w:t>committee</w:t>
      </w:r>
      <w:r w:rsidR="00604FEA" w:rsidRPr="00F40242">
        <w:rPr>
          <w:sz w:val="26"/>
          <w:lang w:eastAsia="en-AU"/>
        </w:rPr>
        <w:t>s</w:t>
      </w:r>
      <w:r w:rsidR="00794164" w:rsidRPr="00F40242">
        <w:rPr>
          <w:sz w:val="26"/>
          <w:lang w:eastAsia="en-AU"/>
        </w:rPr>
        <w:t xml:space="preserve"> </w:t>
      </w:r>
      <w:r w:rsidR="00794164" w:rsidRPr="00F40242">
        <w:rPr>
          <w:noProof/>
          <w:sz w:val="26"/>
          <w:lang w:eastAsia="en-AU"/>
        </w:rPr>
        <w:t>and</w:t>
      </w:r>
      <w:r w:rsidR="00C527E9" w:rsidRPr="00F40242">
        <w:rPr>
          <w:noProof/>
          <w:sz w:val="26"/>
          <w:lang w:eastAsia="en-AU"/>
        </w:rPr>
        <w:t xml:space="preserve"> </w:t>
      </w:r>
      <w:r w:rsidR="00060BD2" w:rsidRPr="00F40242">
        <w:rPr>
          <w:sz w:val="26"/>
          <w:lang w:eastAsia="en-AU"/>
        </w:rPr>
        <w:t>board composition</w:t>
      </w:r>
      <w:r w:rsidR="00604FEA" w:rsidRPr="00F40242">
        <w:rPr>
          <w:sz w:val="26"/>
          <w:lang w:eastAsia="en-AU"/>
        </w:rPr>
        <w:t>, particularly with regard to</w:t>
      </w:r>
      <w:r w:rsidR="00060BD2" w:rsidRPr="00F40242">
        <w:rPr>
          <w:sz w:val="26"/>
          <w:lang w:eastAsia="en-AU"/>
        </w:rPr>
        <w:t xml:space="preserve"> members on social and environmental </w:t>
      </w:r>
      <w:r w:rsidR="00B371C0" w:rsidRPr="00F40242">
        <w:rPr>
          <w:sz w:val="26"/>
          <w:lang w:eastAsia="en-AU"/>
        </w:rPr>
        <w:t>duties</w:t>
      </w:r>
      <w:r w:rsidR="004B5797" w:rsidRPr="00F40242">
        <w:rPr>
          <w:sz w:val="26"/>
          <w:lang w:eastAsia="en-AU"/>
        </w:rPr>
        <w:t xml:space="preserve">. </w:t>
      </w:r>
      <w:r w:rsidR="00794164" w:rsidRPr="00F40242">
        <w:rPr>
          <w:sz w:val="26"/>
        </w:rPr>
        <w:t xml:space="preserve">The relationship between SED and key determinants </w:t>
      </w:r>
      <w:r w:rsidR="00604FEA" w:rsidRPr="00F40242">
        <w:rPr>
          <w:noProof/>
          <w:sz w:val="26"/>
        </w:rPr>
        <w:t xml:space="preserve">is </w:t>
      </w:r>
      <w:r w:rsidR="00794164" w:rsidRPr="00F40242">
        <w:rPr>
          <w:noProof/>
          <w:sz w:val="26"/>
        </w:rPr>
        <w:t>discussed</w:t>
      </w:r>
      <w:r w:rsidR="00794164" w:rsidRPr="00F40242">
        <w:rPr>
          <w:sz w:val="26"/>
        </w:rPr>
        <w:t xml:space="preserve"> below.</w:t>
      </w:r>
      <w:bookmarkStart w:id="3" w:name="_Toc323222257"/>
    </w:p>
    <w:p w14:paraId="02917610" w14:textId="77777777" w:rsidR="006B1EBC" w:rsidRDefault="006B1EBC" w:rsidP="0011086F">
      <w:pPr>
        <w:autoSpaceDE w:val="0"/>
        <w:autoSpaceDN w:val="0"/>
        <w:adjustRightInd w:val="0"/>
        <w:spacing w:line="360" w:lineRule="exact"/>
        <w:ind w:firstLineChars="200" w:firstLine="520"/>
        <w:jc w:val="both"/>
        <w:rPr>
          <w:sz w:val="26"/>
          <w:lang w:eastAsia="en-AU"/>
        </w:rPr>
      </w:pPr>
    </w:p>
    <w:p w14:paraId="38E35EC5" w14:textId="3125D532" w:rsidR="00945B4B" w:rsidRPr="0011086F" w:rsidRDefault="00945B4B" w:rsidP="00050AB9">
      <w:pPr>
        <w:autoSpaceDE w:val="0"/>
        <w:autoSpaceDN w:val="0"/>
        <w:adjustRightInd w:val="0"/>
        <w:jc w:val="both"/>
        <w:rPr>
          <w:sz w:val="26"/>
          <w:lang w:eastAsia="en-AU"/>
        </w:rPr>
      </w:pPr>
      <w:r w:rsidRPr="0011086F">
        <w:rPr>
          <w:rFonts w:eastAsia="Calibri"/>
          <w:b/>
          <w:sz w:val="26"/>
          <w:lang w:eastAsia="en-AU"/>
        </w:rPr>
        <w:t>International Experience</w:t>
      </w:r>
    </w:p>
    <w:p w14:paraId="5DF7A926" w14:textId="30122B06" w:rsidR="007B6103" w:rsidRPr="00F40242" w:rsidRDefault="00794164" w:rsidP="0011086F">
      <w:pPr>
        <w:spacing w:line="360" w:lineRule="exact"/>
        <w:ind w:firstLineChars="200" w:firstLine="520"/>
        <w:jc w:val="both"/>
        <w:rPr>
          <w:rFonts w:eastAsiaTheme="minorHAnsi"/>
          <w:sz w:val="26"/>
        </w:rPr>
      </w:pPr>
      <w:r w:rsidRPr="00F40242">
        <w:rPr>
          <w:sz w:val="26"/>
          <w:szCs w:val="25"/>
          <w:lang w:eastAsia="en-AU"/>
        </w:rPr>
        <w:t xml:space="preserve">Based on legitimacy </w:t>
      </w:r>
      <w:r w:rsidR="003E3C7F" w:rsidRPr="00F40242">
        <w:rPr>
          <w:sz w:val="26"/>
          <w:szCs w:val="25"/>
          <w:lang w:eastAsia="en-AU"/>
        </w:rPr>
        <w:t>theory</w:t>
      </w:r>
      <w:r w:rsidRPr="00F40242">
        <w:rPr>
          <w:sz w:val="26"/>
          <w:szCs w:val="25"/>
          <w:lang w:eastAsia="en-AU"/>
        </w:rPr>
        <w:t xml:space="preserve">, it </w:t>
      </w:r>
      <w:r w:rsidRPr="00F40242">
        <w:rPr>
          <w:noProof/>
          <w:sz w:val="26"/>
          <w:szCs w:val="25"/>
          <w:lang w:eastAsia="en-AU"/>
        </w:rPr>
        <w:t>is argued</w:t>
      </w:r>
      <w:r w:rsidRPr="00F40242">
        <w:rPr>
          <w:sz w:val="26"/>
          <w:szCs w:val="25"/>
          <w:lang w:eastAsia="en-AU"/>
        </w:rPr>
        <w:t xml:space="preserve"> </w:t>
      </w:r>
      <w:r w:rsidRPr="00F40242">
        <w:rPr>
          <w:noProof/>
          <w:sz w:val="26"/>
          <w:szCs w:val="25"/>
          <w:lang w:eastAsia="en-AU"/>
        </w:rPr>
        <w:t>that</w:t>
      </w:r>
      <w:r w:rsidR="008C0B77" w:rsidRPr="00F40242">
        <w:rPr>
          <w:noProof/>
          <w:sz w:val="26"/>
          <w:szCs w:val="25"/>
          <w:lang w:eastAsia="en-AU"/>
        </w:rPr>
        <w:t xml:space="preserve"> </w:t>
      </w:r>
      <w:r w:rsidR="003E3C7F" w:rsidRPr="00F40242">
        <w:rPr>
          <w:sz w:val="26"/>
          <w:szCs w:val="25"/>
          <w:lang w:eastAsia="en-AU"/>
        </w:rPr>
        <w:t xml:space="preserve">companies with international experience </w:t>
      </w:r>
      <w:r w:rsidRPr="00F40242">
        <w:rPr>
          <w:sz w:val="26"/>
          <w:szCs w:val="25"/>
          <w:lang w:eastAsia="en-AU"/>
        </w:rPr>
        <w:t xml:space="preserve">tend to </w:t>
      </w:r>
      <w:r w:rsidR="003E3C7F" w:rsidRPr="00F40242">
        <w:rPr>
          <w:noProof/>
          <w:sz w:val="26"/>
          <w:szCs w:val="25"/>
          <w:lang w:eastAsia="en-AU"/>
        </w:rPr>
        <w:t>recogni</w:t>
      </w:r>
      <w:r w:rsidR="00FB3869" w:rsidRPr="00F40242">
        <w:rPr>
          <w:noProof/>
          <w:sz w:val="26"/>
          <w:szCs w:val="25"/>
          <w:lang w:eastAsia="en-AU"/>
        </w:rPr>
        <w:t>s</w:t>
      </w:r>
      <w:r w:rsidR="003E3C7F" w:rsidRPr="00F40242">
        <w:rPr>
          <w:noProof/>
          <w:sz w:val="26"/>
          <w:szCs w:val="25"/>
          <w:lang w:eastAsia="en-AU"/>
        </w:rPr>
        <w:t>e</w:t>
      </w:r>
      <w:r w:rsidR="003E3C7F" w:rsidRPr="00F40242">
        <w:rPr>
          <w:sz w:val="26"/>
          <w:szCs w:val="25"/>
          <w:lang w:eastAsia="en-AU"/>
        </w:rPr>
        <w:t xml:space="preserve"> </w:t>
      </w:r>
      <w:r w:rsidRPr="00F40242">
        <w:rPr>
          <w:sz w:val="26"/>
          <w:szCs w:val="25"/>
          <w:lang w:eastAsia="en-AU"/>
        </w:rPr>
        <w:t xml:space="preserve">the </w:t>
      </w:r>
      <w:r w:rsidR="00604FEA" w:rsidRPr="00F40242">
        <w:rPr>
          <w:sz w:val="26"/>
          <w:szCs w:val="25"/>
          <w:lang w:eastAsia="en-AU"/>
        </w:rPr>
        <w:t xml:space="preserve">impact </w:t>
      </w:r>
      <w:r w:rsidRPr="00F40242">
        <w:rPr>
          <w:sz w:val="26"/>
          <w:szCs w:val="25"/>
          <w:lang w:eastAsia="en-AU"/>
        </w:rPr>
        <w:t xml:space="preserve">of </w:t>
      </w:r>
      <w:r w:rsidR="003E3C7F" w:rsidRPr="00F40242">
        <w:rPr>
          <w:sz w:val="26"/>
          <w:szCs w:val="25"/>
          <w:lang w:eastAsia="en-AU"/>
        </w:rPr>
        <w:t>social and environmental disclosure</w:t>
      </w:r>
      <w:r w:rsidRPr="00F40242">
        <w:rPr>
          <w:sz w:val="26"/>
          <w:szCs w:val="25"/>
          <w:lang w:eastAsia="en-AU"/>
        </w:rPr>
        <w:t xml:space="preserve">s on firm performance and </w:t>
      </w:r>
      <w:r w:rsidR="00604FEA" w:rsidRPr="00F40242">
        <w:rPr>
          <w:sz w:val="26"/>
          <w:szCs w:val="25"/>
          <w:lang w:eastAsia="en-AU"/>
        </w:rPr>
        <w:t>efforts to meet</w:t>
      </w:r>
      <w:r w:rsidRPr="00F40242">
        <w:rPr>
          <w:sz w:val="26"/>
          <w:szCs w:val="25"/>
          <w:lang w:eastAsia="en-AU"/>
        </w:rPr>
        <w:t xml:space="preserve"> standards set by </w:t>
      </w:r>
      <w:r w:rsidRPr="00F40242">
        <w:rPr>
          <w:noProof/>
          <w:sz w:val="26"/>
          <w:szCs w:val="25"/>
          <w:lang w:eastAsia="en-AU"/>
        </w:rPr>
        <w:t>the</w:t>
      </w:r>
      <w:r w:rsidR="00BC26F2" w:rsidRPr="00F40242">
        <w:rPr>
          <w:noProof/>
          <w:sz w:val="26"/>
          <w:szCs w:val="25"/>
          <w:lang w:eastAsia="en-AU"/>
        </w:rPr>
        <w:t xml:space="preserve"> </w:t>
      </w:r>
      <w:r w:rsidR="00244214" w:rsidRPr="00F40242">
        <w:rPr>
          <w:sz w:val="26"/>
          <w:szCs w:val="25"/>
          <w:lang w:eastAsia="en-AU"/>
        </w:rPr>
        <w:t xml:space="preserve">host </w:t>
      </w:r>
      <w:r w:rsidRPr="00F40242">
        <w:rPr>
          <w:sz w:val="26"/>
          <w:szCs w:val="25"/>
          <w:lang w:eastAsia="en-AU"/>
        </w:rPr>
        <w:t xml:space="preserve">country </w:t>
      </w:r>
      <w:r w:rsidR="003E3C7F" w:rsidRPr="00F40242">
        <w:rPr>
          <w:sz w:val="26"/>
          <w:szCs w:val="25"/>
          <w:lang w:eastAsia="en-AU"/>
        </w:rPr>
        <w:t>(Bansal</w:t>
      </w:r>
      <w:r w:rsidR="00604FEA" w:rsidRPr="00F40242">
        <w:rPr>
          <w:sz w:val="26"/>
          <w:szCs w:val="25"/>
          <w:lang w:eastAsia="en-AU"/>
        </w:rPr>
        <w:t xml:space="preserve"> </w:t>
      </w:r>
      <w:r w:rsidR="00EC7873" w:rsidRPr="00F40242">
        <w:rPr>
          <w:sz w:val="26"/>
          <w:szCs w:val="25"/>
          <w:lang w:eastAsia="en-AU"/>
        </w:rPr>
        <w:t>&amp;</w:t>
      </w:r>
      <w:r w:rsidR="00604FEA" w:rsidRPr="00F40242">
        <w:rPr>
          <w:sz w:val="26"/>
          <w:szCs w:val="25"/>
          <w:lang w:eastAsia="en-AU"/>
        </w:rPr>
        <w:t xml:space="preserve"> </w:t>
      </w:r>
      <w:r w:rsidR="003E3C7F" w:rsidRPr="00F40242">
        <w:rPr>
          <w:sz w:val="26"/>
          <w:szCs w:val="25"/>
          <w:lang w:eastAsia="en-AU"/>
        </w:rPr>
        <w:t>Roth</w:t>
      </w:r>
      <w:r w:rsidR="003701F5" w:rsidRPr="00F40242">
        <w:rPr>
          <w:sz w:val="26"/>
          <w:szCs w:val="25"/>
          <w:lang w:eastAsia="en-AU"/>
        </w:rPr>
        <w:t>,</w:t>
      </w:r>
      <w:r w:rsidR="00604FEA" w:rsidRPr="00F40242">
        <w:rPr>
          <w:sz w:val="26"/>
          <w:szCs w:val="25"/>
          <w:lang w:eastAsia="en-AU"/>
        </w:rPr>
        <w:t xml:space="preserve"> </w:t>
      </w:r>
      <w:r w:rsidR="003701F5" w:rsidRPr="00F40242">
        <w:rPr>
          <w:sz w:val="26"/>
          <w:szCs w:val="25"/>
          <w:lang w:eastAsia="en-AU"/>
        </w:rPr>
        <w:t>2</w:t>
      </w:r>
      <w:r w:rsidR="003E3C7F" w:rsidRPr="00F40242">
        <w:rPr>
          <w:sz w:val="26"/>
          <w:szCs w:val="25"/>
          <w:lang w:eastAsia="en-AU"/>
        </w:rPr>
        <w:t xml:space="preserve">000). </w:t>
      </w:r>
      <w:r w:rsidRPr="00F40242">
        <w:rPr>
          <w:sz w:val="26"/>
          <w:szCs w:val="25"/>
          <w:lang w:eastAsia="en-AU"/>
        </w:rPr>
        <w:t xml:space="preserve">As argued by Bansal (2005) a manager that </w:t>
      </w:r>
      <w:r w:rsidR="00604FEA" w:rsidRPr="00F40242">
        <w:rPr>
          <w:sz w:val="26"/>
          <w:szCs w:val="25"/>
          <w:lang w:eastAsia="en-AU"/>
        </w:rPr>
        <w:t>with</w:t>
      </w:r>
      <w:r w:rsidRPr="00F40242">
        <w:rPr>
          <w:sz w:val="26"/>
          <w:szCs w:val="25"/>
          <w:lang w:eastAsia="en-AU"/>
        </w:rPr>
        <w:t xml:space="preserve"> </w:t>
      </w:r>
      <w:r w:rsidRPr="00F40242">
        <w:rPr>
          <w:sz w:val="26"/>
          <w:lang w:eastAsia="en-AU"/>
        </w:rPr>
        <w:t xml:space="preserve">international </w:t>
      </w:r>
      <w:r w:rsidR="007C2990" w:rsidRPr="00F40242">
        <w:rPr>
          <w:sz w:val="26"/>
          <w:lang w:eastAsia="en-AU"/>
        </w:rPr>
        <w:t xml:space="preserve">experience </w:t>
      </w:r>
      <w:r w:rsidR="00604FEA" w:rsidRPr="00F40242">
        <w:rPr>
          <w:sz w:val="26"/>
          <w:lang w:eastAsia="en-AU"/>
        </w:rPr>
        <w:t xml:space="preserve">from </w:t>
      </w:r>
      <w:r w:rsidR="00604FEA" w:rsidRPr="00477869">
        <w:rPr>
          <w:sz w:val="26"/>
          <w:lang w:eastAsia="en-AU"/>
        </w:rPr>
        <w:t xml:space="preserve">either </w:t>
      </w:r>
      <w:r w:rsidR="00604FEA" w:rsidRPr="00477869">
        <w:rPr>
          <w:sz w:val="26"/>
          <w:lang w:eastAsia="en-AU"/>
        </w:rPr>
        <w:lastRenderedPageBreak/>
        <w:t>operating in or depending on</w:t>
      </w:r>
      <w:r w:rsidRPr="00477869">
        <w:rPr>
          <w:sz w:val="26"/>
          <w:lang w:eastAsia="en-AU"/>
        </w:rPr>
        <w:t xml:space="preserve"> </w:t>
      </w:r>
      <w:r w:rsidRPr="00477869">
        <w:rPr>
          <w:noProof/>
          <w:sz w:val="26"/>
          <w:lang w:eastAsia="en-AU"/>
        </w:rPr>
        <w:t>forei</w:t>
      </w:r>
      <w:r w:rsidR="00CD711D" w:rsidRPr="00477869">
        <w:rPr>
          <w:noProof/>
          <w:sz w:val="26"/>
          <w:lang w:eastAsia="en-AU"/>
        </w:rPr>
        <w:t>gn</w:t>
      </w:r>
      <w:r w:rsidRPr="00477869">
        <w:rPr>
          <w:sz w:val="26"/>
          <w:lang w:eastAsia="en-AU"/>
        </w:rPr>
        <w:t xml:space="preserve"> markets </w:t>
      </w:r>
      <w:r w:rsidR="00604FEA" w:rsidRPr="00477869">
        <w:rPr>
          <w:sz w:val="26"/>
          <w:lang w:eastAsia="en-AU"/>
        </w:rPr>
        <w:t xml:space="preserve">will be </w:t>
      </w:r>
      <w:r w:rsidRPr="00477869">
        <w:rPr>
          <w:sz w:val="26"/>
          <w:lang w:eastAsia="en-AU"/>
        </w:rPr>
        <w:t xml:space="preserve">likely to engage in SED. </w:t>
      </w:r>
      <w:r w:rsidR="003070B2" w:rsidRPr="00477869">
        <w:rPr>
          <w:sz w:val="26"/>
          <w:lang w:eastAsia="en-AU"/>
        </w:rPr>
        <w:t>Resource based theory (Bansal</w:t>
      </w:r>
      <w:r w:rsidR="003701F5" w:rsidRPr="00477869">
        <w:rPr>
          <w:sz w:val="26"/>
          <w:lang w:eastAsia="en-AU"/>
        </w:rPr>
        <w:t>,</w:t>
      </w:r>
      <w:r w:rsidR="00604FEA" w:rsidRPr="00477869">
        <w:rPr>
          <w:sz w:val="26"/>
          <w:lang w:eastAsia="en-AU"/>
        </w:rPr>
        <w:t xml:space="preserve"> </w:t>
      </w:r>
      <w:r w:rsidR="003701F5" w:rsidRPr="00477869">
        <w:rPr>
          <w:sz w:val="26"/>
          <w:lang w:eastAsia="en-AU"/>
        </w:rPr>
        <w:t>2</w:t>
      </w:r>
      <w:r w:rsidR="003070B2" w:rsidRPr="00477869">
        <w:rPr>
          <w:sz w:val="26"/>
          <w:lang w:eastAsia="en-AU"/>
        </w:rPr>
        <w:t>005) and social</w:t>
      </w:r>
      <w:r w:rsidR="00604FEA" w:rsidRPr="00477869">
        <w:rPr>
          <w:sz w:val="26"/>
          <w:lang w:eastAsia="en-AU"/>
        </w:rPr>
        <w:t xml:space="preserve"> and </w:t>
      </w:r>
      <w:r w:rsidR="003070B2" w:rsidRPr="00477869">
        <w:rPr>
          <w:sz w:val="26"/>
          <w:lang w:eastAsia="en-AU"/>
        </w:rPr>
        <w:t xml:space="preserve">political theories (Choi, 1999) can also be used to explain the significance of international experience as a factor </w:t>
      </w:r>
      <w:r w:rsidR="00604FEA" w:rsidRPr="00477869">
        <w:rPr>
          <w:sz w:val="26"/>
          <w:lang w:eastAsia="en-AU"/>
        </w:rPr>
        <w:t>that</w:t>
      </w:r>
      <w:r w:rsidR="003070B2" w:rsidRPr="00477869">
        <w:rPr>
          <w:sz w:val="26"/>
          <w:lang w:eastAsia="en-AU"/>
        </w:rPr>
        <w:t xml:space="preserve"> determines SED. </w:t>
      </w:r>
      <w:r w:rsidR="00E65B6E" w:rsidRPr="00477869">
        <w:rPr>
          <w:rFonts w:eastAsiaTheme="minorHAnsi"/>
          <w:sz w:val="26"/>
        </w:rPr>
        <w:t>Social and political theories are based on ‘social contract</w:t>
      </w:r>
      <w:r w:rsidR="00604FEA" w:rsidRPr="00477869">
        <w:rPr>
          <w:rFonts w:eastAsiaTheme="minorHAnsi"/>
          <w:sz w:val="26"/>
        </w:rPr>
        <w:t>s</w:t>
      </w:r>
      <w:r w:rsidR="00E65B6E" w:rsidRPr="00477869">
        <w:rPr>
          <w:rFonts w:eastAsiaTheme="minorHAnsi"/>
          <w:sz w:val="26"/>
        </w:rPr>
        <w:t xml:space="preserve">’, </w:t>
      </w:r>
      <w:r w:rsidR="00604FEA" w:rsidRPr="00477869">
        <w:rPr>
          <w:rFonts w:eastAsiaTheme="minorHAnsi"/>
          <w:sz w:val="26"/>
        </w:rPr>
        <w:t>suggesting</w:t>
      </w:r>
      <w:r w:rsidR="00E65B6E" w:rsidRPr="00477869">
        <w:rPr>
          <w:rFonts w:eastAsiaTheme="minorHAnsi"/>
          <w:sz w:val="26"/>
        </w:rPr>
        <w:t xml:space="preserve"> that generally organisations rel</w:t>
      </w:r>
      <w:r w:rsidR="00604FEA" w:rsidRPr="00477869">
        <w:rPr>
          <w:rFonts w:eastAsiaTheme="minorHAnsi"/>
          <w:sz w:val="26"/>
        </w:rPr>
        <w:t>y</w:t>
      </w:r>
      <w:r w:rsidR="00E65B6E" w:rsidRPr="00477869">
        <w:rPr>
          <w:rFonts w:eastAsiaTheme="minorHAnsi"/>
          <w:sz w:val="26"/>
        </w:rPr>
        <w:t xml:space="preserve"> on society’s support. It is perceived</w:t>
      </w:r>
      <w:r w:rsidR="00477869" w:rsidRPr="00477869">
        <w:rPr>
          <w:rFonts w:eastAsiaTheme="minorHAnsi"/>
          <w:sz w:val="26"/>
        </w:rPr>
        <w:t xml:space="preserve"> by the advocates of legitimacy theory</w:t>
      </w:r>
      <w:r w:rsidR="00E65B6E" w:rsidRPr="00477869">
        <w:rPr>
          <w:rFonts w:eastAsiaTheme="minorHAnsi"/>
          <w:sz w:val="26"/>
        </w:rPr>
        <w:t xml:space="preserve"> that if organisational activities are not congruent with the society’s goal, then society may withdraw its endorsement of the organisation, leading to </w:t>
      </w:r>
      <w:r w:rsidR="00604FEA" w:rsidRPr="00477869">
        <w:rPr>
          <w:rFonts w:eastAsiaTheme="minorHAnsi"/>
          <w:sz w:val="26"/>
        </w:rPr>
        <w:t>the demise of that organisation</w:t>
      </w:r>
      <w:r w:rsidR="00E65B6E" w:rsidRPr="00477869">
        <w:rPr>
          <w:rFonts w:eastAsiaTheme="minorHAnsi"/>
          <w:sz w:val="26"/>
        </w:rPr>
        <w:t xml:space="preserve">. An experienced manager will understand this and </w:t>
      </w:r>
      <w:r w:rsidR="00604FEA" w:rsidRPr="00477869">
        <w:rPr>
          <w:rFonts w:eastAsiaTheme="minorHAnsi"/>
          <w:sz w:val="26"/>
        </w:rPr>
        <w:t xml:space="preserve">will </w:t>
      </w:r>
      <w:r w:rsidR="00E65B6E" w:rsidRPr="00477869">
        <w:rPr>
          <w:rFonts w:eastAsiaTheme="minorHAnsi"/>
          <w:sz w:val="26"/>
        </w:rPr>
        <w:t>be willing to receive continual soci</w:t>
      </w:r>
      <w:r w:rsidR="00604FEA" w:rsidRPr="00477869">
        <w:rPr>
          <w:rFonts w:eastAsiaTheme="minorHAnsi"/>
          <w:sz w:val="26"/>
        </w:rPr>
        <w:t>al</w:t>
      </w:r>
      <w:r w:rsidR="00E65B6E" w:rsidRPr="00477869">
        <w:rPr>
          <w:rFonts w:eastAsiaTheme="minorHAnsi"/>
          <w:sz w:val="26"/>
        </w:rPr>
        <w:t xml:space="preserve"> support through </w:t>
      </w:r>
      <w:r w:rsidR="00E65B6E" w:rsidRPr="00477869">
        <w:rPr>
          <w:rFonts w:eastAsiaTheme="minorHAnsi"/>
          <w:sz w:val="26"/>
          <w:lang w:eastAsia="en-AU"/>
        </w:rPr>
        <w:t xml:space="preserve">SED. </w:t>
      </w:r>
      <w:r w:rsidR="0049487E" w:rsidRPr="00477869">
        <w:rPr>
          <w:sz w:val="26"/>
          <w:lang w:eastAsia="en-AU"/>
        </w:rPr>
        <w:t>SED</w:t>
      </w:r>
      <w:r w:rsidR="007C2990" w:rsidRPr="00477869">
        <w:rPr>
          <w:sz w:val="26"/>
          <w:lang w:eastAsia="en-AU"/>
        </w:rPr>
        <w:t xml:space="preserve"> practices of a country will </w:t>
      </w:r>
      <w:r w:rsidR="00604FEA" w:rsidRPr="00477869">
        <w:rPr>
          <w:sz w:val="26"/>
          <w:lang w:eastAsia="en-AU"/>
        </w:rPr>
        <w:t xml:space="preserve">certainly </w:t>
      </w:r>
      <w:r w:rsidR="007C2990" w:rsidRPr="00477869">
        <w:rPr>
          <w:sz w:val="26"/>
          <w:lang w:eastAsia="en-AU"/>
        </w:rPr>
        <w:t>be affected by</w:t>
      </w:r>
      <w:r w:rsidR="00244214" w:rsidRPr="00477869">
        <w:rPr>
          <w:sz w:val="26"/>
          <w:lang w:eastAsia="en-AU"/>
        </w:rPr>
        <w:t xml:space="preserve"> the defined role of a company and </w:t>
      </w:r>
      <w:r w:rsidR="007C2990" w:rsidRPr="00477869">
        <w:rPr>
          <w:sz w:val="26"/>
          <w:lang w:eastAsia="en-AU"/>
        </w:rPr>
        <w:t>its stakeholders</w:t>
      </w:r>
      <w:r w:rsidR="007F4D7E" w:rsidRPr="00477869">
        <w:rPr>
          <w:sz w:val="26"/>
          <w:lang w:eastAsia="en-AU"/>
        </w:rPr>
        <w:t xml:space="preserve"> </w:t>
      </w:r>
      <w:r w:rsidR="00604FEA" w:rsidRPr="00477869">
        <w:rPr>
          <w:sz w:val="26"/>
          <w:lang w:eastAsia="en-AU"/>
        </w:rPr>
        <w:t xml:space="preserve">in </w:t>
      </w:r>
      <w:r w:rsidR="007F4D7E" w:rsidRPr="00477869">
        <w:rPr>
          <w:sz w:val="26"/>
          <w:lang w:eastAsia="en-AU"/>
        </w:rPr>
        <w:t>that country.</w:t>
      </w:r>
      <w:r w:rsidR="00121F50" w:rsidRPr="00477869">
        <w:rPr>
          <w:sz w:val="26"/>
          <w:lang w:eastAsia="en-AU"/>
        </w:rPr>
        <w:t xml:space="preserve"> Companies operating in foreign counties have to address the dissimilarity of the customer needs </w:t>
      </w:r>
      <w:r w:rsidR="00604FEA" w:rsidRPr="00477869">
        <w:rPr>
          <w:sz w:val="26"/>
          <w:lang w:eastAsia="en-AU"/>
        </w:rPr>
        <w:t xml:space="preserve">that are </w:t>
      </w:r>
      <w:r w:rsidR="00121F50" w:rsidRPr="00477869">
        <w:rPr>
          <w:sz w:val="26"/>
          <w:lang w:eastAsia="en-AU"/>
        </w:rPr>
        <w:t>impacted by that country’s culture and custom</w:t>
      </w:r>
      <w:r w:rsidR="00604FEA" w:rsidRPr="00477869">
        <w:rPr>
          <w:sz w:val="26"/>
          <w:lang w:eastAsia="en-AU"/>
        </w:rPr>
        <w:t>s</w:t>
      </w:r>
      <w:r w:rsidR="00121F50" w:rsidRPr="00477869">
        <w:rPr>
          <w:sz w:val="26"/>
          <w:lang w:eastAsia="en-AU"/>
        </w:rPr>
        <w:t>.</w:t>
      </w:r>
      <w:r w:rsidR="007C2990" w:rsidRPr="00477869">
        <w:rPr>
          <w:sz w:val="26"/>
          <w:lang w:eastAsia="en-AU"/>
        </w:rPr>
        <w:t xml:space="preserve"> </w:t>
      </w:r>
      <w:r w:rsidR="00121F50" w:rsidRPr="00477869">
        <w:rPr>
          <w:sz w:val="26"/>
          <w:lang w:eastAsia="en-AU"/>
        </w:rPr>
        <w:t>They also have to consider the different legislations governing business in various countries.</w:t>
      </w:r>
      <w:r w:rsidR="00587450" w:rsidRPr="00477869">
        <w:rPr>
          <w:sz w:val="26"/>
          <w:lang w:eastAsia="en-AU"/>
        </w:rPr>
        <w:t xml:space="preserve"> </w:t>
      </w:r>
      <w:r w:rsidR="007C2990" w:rsidRPr="00477869">
        <w:rPr>
          <w:sz w:val="26"/>
          <w:lang w:eastAsia="en-AU"/>
        </w:rPr>
        <w:t xml:space="preserve">Companies </w:t>
      </w:r>
      <w:r w:rsidR="007C2990" w:rsidRPr="00477869">
        <w:rPr>
          <w:noProof/>
          <w:sz w:val="26"/>
          <w:lang w:eastAsia="en-AU"/>
        </w:rPr>
        <w:t>are also exposed</w:t>
      </w:r>
      <w:r w:rsidR="007C2990" w:rsidRPr="00477869">
        <w:rPr>
          <w:sz w:val="26"/>
          <w:lang w:eastAsia="en-AU"/>
        </w:rPr>
        <w:t xml:space="preserve"> to a greater extent to the laws, rules and regulations governing trade within different countries. One </w:t>
      </w:r>
      <w:r w:rsidR="00604FEA" w:rsidRPr="00477869">
        <w:rPr>
          <w:sz w:val="26"/>
          <w:lang w:eastAsia="en-AU"/>
        </w:rPr>
        <w:t xml:space="preserve">can </w:t>
      </w:r>
      <w:r w:rsidR="007C2990" w:rsidRPr="00477869">
        <w:rPr>
          <w:sz w:val="26"/>
          <w:lang w:eastAsia="en-AU"/>
        </w:rPr>
        <w:t>expect that</w:t>
      </w:r>
      <w:r w:rsidR="00825746" w:rsidRPr="00477869">
        <w:rPr>
          <w:sz w:val="26"/>
          <w:lang w:eastAsia="en-AU"/>
        </w:rPr>
        <w:t>,</w:t>
      </w:r>
      <w:r w:rsidR="007C2990" w:rsidRPr="00477869">
        <w:rPr>
          <w:sz w:val="26"/>
          <w:lang w:eastAsia="en-AU"/>
        </w:rPr>
        <w:t xml:space="preserve"> </w:t>
      </w:r>
      <w:r w:rsidR="007C2990" w:rsidRPr="00477869">
        <w:rPr>
          <w:noProof/>
          <w:sz w:val="26"/>
          <w:lang w:eastAsia="en-AU"/>
        </w:rPr>
        <w:t>in developing economies</w:t>
      </w:r>
      <w:r w:rsidR="00825746" w:rsidRPr="00477869">
        <w:rPr>
          <w:noProof/>
          <w:sz w:val="26"/>
          <w:lang w:eastAsia="en-AU"/>
        </w:rPr>
        <w:t>,</w:t>
      </w:r>
      <w:r w:rsidR="007C2990" w:rsidRPr="00477869">
        <w:rPr>
          <w:sz w:val="26"/>
          <w:lang w:eastAsia="en-AU"/>
        </w:rPr>
        <w:t xml:space="preserve"> a company with</w:t>
      </w:r>
      <w:r w:rsidR="00825746" w:rsidRPr="00477869">
        <w:rPr>
          <w:sz w:val="26"/>
          <w:lang w:eastAsia="en-AU"/>
        </w:rPr>
        <w:t xml:space="preserve"> a</w:t>
      </w:r>
      <w:r w:rsidR="007C2990" w:rsidRPr="00477869">
        <w:rPr>
          <w:sz w:val="26"/>
          <w:lang w:eastAsia="en-AU"/>
        </w:rPr>
        <w:t xml:space="preserve"> </w:t>
      </w:r>
      <w:r w:rsidR="007C2990" w:rsidRPr="00477869">
        <w:rPr>
          <w:noProof/>
          <w:sz w:val="26"/>
          <w:lang w:eastAsia="en-AU"/>
        </w:rPr>
        <w:t>greater</w:t>
      </w:r>
      <w:r w:rsidR="007C2990" w:rsidRPr="00477869">
        <w:rPr>
          <w:sz w:val="26"/>
          <w:lang w:eastAsia="en-AU"/>
        </w:rPr>
        <w:t xml:space="preserve"> volume of </w:t>
      </w:r>
      <w:r w:rsidR="001651D3" w:rsidRPr="00477869">
        <w:rPr>
          <w:sz w:val="26"/>
          <w:lang w:eastAsia="en-AU"/>
        </w:rPr>
        <w:t>international business is open to more stakeholder pressure and global scrutiny.</w:t>
      </w:r>
      <w:r w:rsidR="007C2990" w:rsidRPr="00477869">
        <w:rPr>
          <w:sz w:val="26"/>
          <w:lang w:eastAsia="en-AU"/>
        </w:rPr>
        <w:t xml:space="preserve"> </w:t>
      </w:r>
      <w:r w:rsidR="001651D3" w:rsidRPr="00477869">
        <w:rPr>
          <w:sz w:val="26"/>
          <w:lang w:eastAsia="en-AU"/>
        </w:rPr>
        <w:t xml:space="preserve">This increased stakeholder pressure and scrutiny </w:t>
      </w:r>
      <w:r w:rsidR="00477869">
        <w:rPr>
          <w:sz w:val="26"/>
          <w:lang w:eastAsia="en-AU"/>
        </w:rPr>
        <w:t>will</w:t>
      </w:r>
      <w:r w:rsidR="00587450" w:rsidRPr="00477869">
        <w:rPr>
          <w:sz w:val="26"/>
          <w:lang w:eastAsia="en-AU"/>
        </w:rPr>
        <w:t xml:space="preserve"> </w:t>
      </w:r>
      <w:r w:rsidR="00477869" w:rsidRPr="00477869">
        <w:rPr>
          <w:sz w:val="26"/>
          <w:lang w:eastAsia="en-AU"/>
        </w:rPr>
        <w:t>stimul</w:t>
      </w:r>
      <w:r w:rsidR="00477869">
        <w:rPr>
          <w:sz w:val="26"/>
          <w:lang w:eastAsia="en-AU"/>
        </w:rPr>
        <w:t>ate</w:t>
      </w:r>
      <w:r w:rsidR="00587450" w:rsidRPr="00477869">
        <w:rPr>
          <w:sz w:val="26"/>
          <w:lang w:eastAsia="en-AU"/>
        </w:rPr>
        <w:t xml:space="preserve"> more CSR activities and disclosure.</w:t>
      </w:r>
      <w:r w:rsidR="001651D3" w:rsidRPr="00477869">
        <w:rPr>
          <w:sz w:val="26"/>
          <w:lang w:eastAsia="en-AU"/>
        </w:rPr>
        <w:t xml:space="preserve"> </w:t>
      </w:r>
      <w:r w:rsidR="007B6103" w:rsidRPr="00477869">
        <w:rPr>
          <w:rFonts w:eastAsiaTheme="minorHAnsi"/>
          <w:sz w:val="26"/>
        </w:rPr>
        <w:t xml:space="preserve">Bansal (2005) </w:t>
      </w:r>
      <w:r w:rsidR="007B6103" w:rsidRPr="00F40242">
        <w:rPr>
          <w:rFonts w:eastAsiaTheme="minorHAnsi"/>
          <w:sz w:val="26"/>
        </w:rPr>
        <w:t>reported th</w:t>
      </w:r>
      <w:r w:rsidR="00B17844" w:rsidRPr="00F40242">
        <w:rPr>
          <w:rFonts w:eastAsiaTheme="minorHAnsi"/>
          <w:sz w:val="26"/>
        </w:rPr>
        <w:t>at</w:t>
      </w:r>
      <w:r w:rsidR="007B6103" w:rsidRPr="00F40242">
        <w:rPr>
          <w:rFonts w:eastAsia="Calibri"/>
          <w:sz w:val="26"/>
          <w:lang w:eastAsia="en-AU"/>
        </w:rPr>
        <w:t xml:space="preserve"> </w:t>
      </w:r>
      <w:r w:rsidR="00FF2E74" w:rsidRPr="00F40242">
        <w:rPr>
          <w:rFonts w:eastAsia="Calibri"/>
          <w:sz w:val="26"/>
          <w:lang w:eastAsia="en-AU"/>
        </w:rPr>
        <w:t>i</w:t>
      </w:r>
      <w:r w:rsidR="00FF2E74" w:rsidRPr="00F40242">
        <w:rPr>
          <w:rFonts w:eastAsiaTheme="minorHAnsi"/>
          <w:sz w:val="26"/>
        </w:rPr>
        <w:t>nternational e</w:t>
      </w:r>
      <w:r w:rsidR="007B6103" w:rsidRPr="00F40242">
        <w:rPr>
          <w:rFonts w:eastAsiaTheme="minorHAnsi"/>
          <w:sz w:val="26"/>
        </w:rPr>
        <w:t xml:space="preserve">xperience </w:t>
      </w:r>
      <w:r w:rsidR="007B6103" w:rsidRPr="00F40242">
        <w:rPr>
          <w:rFonts w:eastAsiaTheme="minorHAnsi"/>
          <w:noProof/>
          <w:sz w:val="26"/>
        </w:rPr>
        <w:t>is</w:t>
      </w:r>
      <w:r w:rsidR="007B6103" w:rsidRPr="00F40242">
        <w:rPr>
          <w:rFonts w:eastAsiaTheme="minorHAnsi"/>
          <w:b/>
          <w:noProof/>
          <w:sz w:val="26"/>
        </w:rPr>
        <w:t xml:space="preserve"> </w:t>
      </w:r>
      <w:r w:rsidR="007B6103" w:rsidRPr="00F40242">
        <w:rPr>
          <w:rFonts w:eastAsiaTheme="minorHAnsi"/>
          <w:noProof/>
          <w:sz w:val="26"/>
        </w:rPr>
        <w:t>positively related</w:t>
      </w:r>
      <w:r w:rsidR="007B6103" w:rsidRPr="00F40242">
        <w:rPr>
          <w:rFonts w:eastAsiaTheme="minorHAnsi"/>
          <w:sz w:val="26"/>
        </w:rPr>
        <w:t xml:space="preserve"> with </w:t>
      </w:r>
      <w:r w:rsidR="007B6103" w:rsidRPr="00F40242">
        <w:rPr>
          <w:rFonts w:eastAsiaTheme="minorHAnsi"/>
          <w:noProof/>
          <w:sz w:val="26"/>
        </w:rPr>
        <w:t>SED</w:t>
      </w:r>
      <w:r w:rsidR="00CD711D" w:rsidRPr="00F40242">
        <w:rPr>
          <w:rFonts w:eastAsiaTheme="minorHAnsi"/>
          <w:noProof/>
          <w:sz w:val="26"/>
        </w:rPr>
        <w:t>,</w:t>
      </w:r>
      <w:r w:rsidR="007B6103" w:rsidRPr="00F40242">
        <w:rPr>
          <w:rFonts w:eastAsiaTheme="minorHAnsi"/>
          <w:sz w:val="26"/>
        </w:rPr>
        <w:t xml:space="preserve"> but </w:t>
      </w:r>
      <w:proofErr w:type="spellStart"/>
      <w:r w:rsidR="00B17844" w:rsidRPr="00F40242">
        <w:rPr>
          <w:sz w:val="26"/>
          <w:lang w:eastAsia="en-AU"/>
        </w:rPr>
        <w:t>Branco</w:t>
      </w:r>
      <w:proofErr w:type="spellEnd"/>
      <w:r w:rsidR="00B17844" w:rsidRPr="00F40242">
        <w:rPr>
          <w:sz w:val="26"/>
          <w:lang w:eastAsia="en-AU"/>
        </w:rPr>
        <w:t xml:space="preserve"> and Rodrigues (2008) </w:t>
      </w:r>
      <w:r w:rsidR="00604FEA" w:rsidRPr="00F40242">
        <w:rPr>
          <w:sz w:val="26"/>
          <w:lang w:eastAsia="en-AU"/>
        </w:rPr>
        <w:t xml:space="preserve">and </w:t>
      </w:r>
      <w:r w:rsidR="00B17844" w:rsidRPr="00F40242">
        <w:rPr>
          <w:sz w:val="26"/>
          <w:lang w:eastAsia="en-AU"/>
        </w:rPr>
        <w:t>C</w:t>
      </w:r>
      <w:r w:rsidR="00B17844" w:rsidRPr="00F40242">
        <w:rPr>
          <w:sz w:val="26"/>
        </w:rPr>
        <w:t>hoi (1999)</w:t>
      </w:r>
      <w:r w:rsidR="00B17844" w:rsidRPr="00F40242">
        <w:rPr>
          <w:rFonts w:eastAsiaTheme="minorHAnsi"/>
          <w:sz w:val="26"/>
        </w:rPr>
        <w:t xml:space="preserve"> </w:t>
      </w:r>
      <w:r w:rsidR="007B6103" w:rsidRPr="00F40242">
        <w:rPr>
          <w:rFonts w:eastAsiaTheme="minorHAnsi"/>
          <w:sz w:val="26"/>
        </w:rPr>
        <w:t>failed to find any relationship between the two. Based on above discussion</w:t>
      </w:r>
      <w:r w:rsidR="00604FEA" w:rsidRPr="00F40242">
        <w:rPr>
          <w:rFonts w:eastAsiaTheme="minorHAnsi"/>
          <w:sz w:val="26"/>
        </w:rPr>
        <w:t>,</w:t>
      </w:r>
      <w:r w:rsidR="007B6103" w:rsidRPr="00F40242">
        <w:rPr>
          <w:rFonts w:eastAsiaTheme="minorHAnsi"/>
          <w:sz w:val="26"/>
        </w:rPr>
        <w:t xml:space="preserve"> we propose:</w:t>
      </w:r>
    </w:p>
    <w:p w14:paraId="15EB5F07" w14:textId="263C9757" w:rsidR="0011086F" w:rsidRDefault="007C2990" w:rsidP="006B1EBC">
      <w:pPr>
        <w:autoSpaceDE w:val="0"/>
        <w:autoSpaceDN w:val="0"/>
        <w:adjustRightInd w:val="0"/>
        <w:spacing w:line="360" w:lineRule="exact"/>
        <w:jc w:val="both"/>
        <w:rPr>
          <w:sz w:val="26"/>
          <w:lang w:eastAsia="en-AU"/>
        </w:rPr>
      </w:pPr>
      <w:r w:rsidRPr="0011086F">
        <w:rPr>
          <w:b/>
          <w:sz w:val="26"/>
        </w:rPr>
        <w:t>H</w:t>
      </w:r>
      <w:r w:rsidRPr="0011086F">
        <w:rPr>
          <w:b/>
          <w:sz w:val="26"/>
          <w:vertAlign w:val="subscript"/>
        </w:rPr>
        <w:t>1</w:t>
      </w:r>
      <w:r w:rsidRPr="0011086F">
        <w:rPr>
          <w:sz w:val="26"/>
        </w:rPr>
        <w:t>:</w:t>
      </w:r>
      <w:r w:rsidRPr="00F40242">
        <w:rPr>
          <w:sz w:val="26"/>
        </w:rPr>
        <w:t xml:space="preserve"> There </w:t>
      </w:r>
      <w:r w:rsidR="0049487E" w:rsidRPr="00F40242">
        <w:rPr>
          <w:sz w:val="26"/>
        </w:rPr>
        <w:t xml:space="preserve">is </w:t>
      </w:r>
      <w:r w:rsidRPr="00F40242">
        <w:rPr>
          <w:sz w:val="26"/>
        </w:rPr>
        <w:t xml:space="preserve">a positive </w:t>
      </w:r>
      <w:r w:rsidR="00024C35" w:rsidRPr="00F40242">
        <w:rPr>
          <w:sz w:val="26"/>
        </w:rPr>
        <w:t xml:space="preserve">association </w:t>
      </w:r>
      <w:r w:rsidRPr="00F40242">
        <w:rPr>
          <w:sz w:val="26"/>
        </w:rPr>
        <w:t>between the degree of international activity</w:t>
      </w:r>
      <w:r w:rsidRPr="00F40242">
        <w:rPr>
          <w:sz w:val="26"/>
          <w:lang w:eastAsia="en-AU"/>
        </w:rPr>
        <w:t xml:space="preserve"> and SE</w:t>
      </w:r>
      <w:r w:rsidR="0049487E" w:rsidRPr="00F40242">
        <w:rPr>
          <w:sz w:val="26"/>
          <w:lang w:eastAsia="en-AU"/>
        </w:rPr>
        <w:t>D</w:t>
      </w:r>
      <w:r w:rsidR="00604FEA" w:rsidRPr="00F40242">
        <w:rPr>
          <w:sz w:val="26"/>
          <w:lang w:eastAsia="en-AU"/>
        </w:rPr>
        <w:t>.</w:t>
      </w:r>
      <w:r w:rsidRPr="00F40242">
        <w:rPr>
          <w:sz w:val="26"/>
          <w:lang w:eastAsia="en-AU"/>
        </w:rPr>
        <w:t xml:space="preserve"> </w:t>
      </w:r>
    </w:p>
    <w:p w14:paraId="50479BE4" w14:textId="77777777" w:rsidR="006B1EBC" w:rsidRDefault="006B1EBC" w:rsidP="0011086F">
      <w:pPr>
        <w:spacing w:line="360" w:lineRule="exact"/>
        <w:jc w:val="both"/>
        <w:rPr>
          <w:b/>
          <w:bCs/>
          <w:sz w:val="26"/>
        </w:rPr>
      </w:pPr>
    </w:p>
    <w:p w14:paraId="1332DB48" w14:textId="414DB176" w:rsidR="00C70A18" w:rsidRPr="0011086F" w:rsidRDefault="00C70A18" w:rsidP="00050AB9">
      <w:pPr>
        <w:autoSpaceDE w:val="0"/>
        <w:autoSpaceDN w:val="0"/>
        <w:adjustRightInd w:val="0"/>
        <w:jc w:val="both"/>
        <w:rPr>
          <w:sz w:val="26"/>
          <w:lang w:eastAsia="en-AU"/>
        </w:rPr>
      </w:pPr>
      <w:r w:rsidRPr="0011086F">
        <w:rPr>
          <w:b/>
          <w:bCs/>
          <w:sz w:val="26"/>
          <w:lang w:val="en-US"/>
        </w:rPr>
        <w:t xml:space="preserve">Size of </w:t>
      </w:r>
      <w:r w:rsidR="002262E0" w:rsidRPr="0011086F">
        <w:rPr>
          <w:b/>
          <w:bCs/>
          <w:sz w:val="26"/>
          <w:lang w:val="en-US"/>
        </w:rPr>
        <w:t xml:space="preserve">the </w:t>
      </w:r>
      <w:r w:rsidRPr="00050AB9">
        <w:rPr>
          <w:rFonts w:eastAsia="Calibri"/>
          <w:b/>
          <w:iCs/>
          <w:sz w:val="26"/>
        </w:rPr>
        <w:t>Reporting</w:t>
      </w:r>
      <w:r w:rsidRPr="0011086F">
        <w:rPr>
          <w:b/>
          <w:bCs/>
          <w:sz w:val="26"/>
          <w:lang w:val="en-US"/>
        </w:rPr>
        <w:t xml:space="preserve"> Entity </w:t>
      </w:r>
    </w:p>
    <w:p w14:paraId="4A3BE5B7" w14:textId="24D0BC47" w:rsidR="00FF2E74" w:rsidRPr="00F40242" w:rsidRDefault="00CD711D" w:rsidP="0011086F">
      <w:pPr>
        <w:autoSpaceDE w:val="0"/>
        <w:autoSpaceDN w:val="0"/>
        <w:adjustRightInd w:val="0"/>
        <w:spacing w:line="360" w:lineRule="exact"/>
        <w:ind w:firstLineChars="200" w:firstLine="520"/>
        <w:jc w:val="both"/>
        <w:rPr>
          <w:sz w:val="26"/>
        </w:rPr>
      </w:pPr>
      <w:r w:rsidRPr="00F40242">
        <w:rPr>
          <w:noProof/>
          <w:sz w:val="26"/>
        </w:rPr>
        <w:t xml:space="preserve">Legitimacy theory argues </w:t>
      </w:r>
      <w:r w:rsidR="00726A1A" w:rsidRPr="00F40242">
        <w:rPr>
          <w:noProof/>
          <w:sz w:val="26"/>
        </w:rPr>
        <w:t xml:space="preserve">that there is an association between </w:t>
      </w:r>
      <w:r w:rsidR="00604FEA" w:rsidRPr="00F40242">
        <w:rPr>
          <w:noProof/>
          <w:sz w:val="26"/>
        </w:rPr>
        <w:t xml:space="preserve">a </w:t>
      </w:r>
      <w:r w:rsidR="00726A1A" w:rsidRPr="00F40242">
        <w:rPr>
          <w:noProof/>
          <w:sz w:val="26"/>
        </w:rPr>
        <w:t>company</w:t>
      </w:r>
      <w:r w:rsidR="00604FEA" w:rsidRPr="00F40242">
        <w:rPr>
          <w:noProof/>
          <w:sz w:val="26"/>
        </w:rPr>
        <w:t>’s</w:t>
      </w:r>
      <w:r w:rsidR="00726A1A" w:rsidRPr="00F40242">
        <w:rPr>
          <w:noProof/>
          <w:sz w:val="26"/>
        </w:rPr>
        <w:t xml:space="preserve"> size and its disclosure of social and environmental information.</w:t>
      </w:r>
      <w:r w:rsidR="00FF2E74" w:rsidRPr="00F40242">
        <w:rPr>
          <w:sz w:val="26"/>
        </w:rPr>
        <w:t xml:space="preserve"> </w:t>
      </w:r>
      <w:r w:rsidR="00604FEA" w:rsidRPr="00F40242">
        <w:rPr>
          <w:sz w:val="26"/>
        </w:rPr>
        <w:t>The s</w:t>
      </w:r>
      <w:r w:rsidR="00226E85" w:rsidRPr="00F40242">
        <w:rPr>
          <w:sz w:val="26"/>
        </w:rPr>
        <w:t xml:space="preserve">ize of a company is the most important publicly visible </w:t>
      </w:r>
      <w:r w:rsidR="00477869">
        <w:rPr>
          <w:sz w:val="26"/>
        </w:rPr>
        <w:t>feature</w:t>
      </w:r>
      <w:r w:rsidR="00226E85" w:rsidRPr="00F40242">
        <w:rPr>
          <w:sz w:val="26"/>
        </w:rPr>
        <w:t xml:space="preserve">. </w:t>
      </w:r>
      <w:r w:rsidR="007F4D7E" w:rsidRPr="00F40242">
        <w:rPr>
          <w:rFonts w:eastAsia="Calibri"/>
          <w:sz w:val="26"/>
        </w:rPr>
        <w:t>The social and environmental activities of larger companies</w:t>
      </w:r>
      <w:r w:rsidR="00226E85" w:rsidRPr="00F40242">
        <w:rPr>
          <w:rFonts w:eastAsia="Calibri"/>
          <w:sz w:val="26"/>
        </w:rPr>
        <w:t xml:space="preserve"> normally</w:t>
      </w:r>
      <w:r w:rsidR="007F4D7E" w:rsidRPr="00F40242">
        <w:rPr>
          <w:rFonts w:eastAsia="Calibri"/>
          <w:sz w:val="26"/>
        </w:rPr>
        <w:t xml:space="preserve"> </w:t>
      </w:r>
      <w:r w:rsidR="009778B9" w:rsidRPr="00F40242">
        <w:rPr>
          <w:rFonts w:eastAsia="Calibri"/>
          <w:sz w:val="26"/>
        </w:rPr>
        <w:t>attract more</w:t>
      </w:r>
      <w:r w:rsidR="00226E85" w:rsidRPr="00F40242">
        <w:rPr>
          <w:rFonts w:eastAsia="Calibri"/>
          <w:sz w:val="26"/>
        </w:rPr>
        <w:t xml:space="preserve"> scrutiny</w:t>
      </w:r>
      <w:r w:rsidR="00A77298" w:rsidRPr="00F40242">
        <w:rPr>
          <w:rFonts w:eastAsia="Calibri"/>
          <w:sz w:val="26"/>
        </w:rPr>
        <w:t xml:space="preserve"> and public attention </w:t>
      </w:r>
      <w:r w:rsidR="009778B9" w:rsidRPr="00F40242">
        <w:rPr>
          <w:rFonts w:eastAsia="Calibri"/>
          <w:sz w:val="26"/>
        </w:rPr>
        <w:t>and even</w:t>
      </w:r>
      <w:r w:rsidR="00A77298" w:rsidRPr="00F40242">
        <w:rPr>
          <w:rFonts w:eastAsia="Calibri"/>
          <w:sz w:val="26"/>
        </w:rPr>
        <w:t xml:space="preserve"> governmental </w:t>
      </w:r>
      <w:r w:rsidR="009778B9" w:rsidRPr="00F40242">
        <w:rPr>
          <w:rFonts w:eastAsia="Calibri"/>
          <w:sz w:val="26"/>
        </w:rPr>
        <w:t>investigation</w:t>
      </w:r>
      <w:r w:rsidR="00A77298" w:rsidRPr="00F40242">
        <w:rPr>
          <w:rFonts w:eastAsia="Calibri"/>
          <w:sz w:val="26"/>
        </w:rPr>
        <w:t xml:space="preserve">. Larger companies use corporate communication via SED to gain, maintain or improve their legitimacy and to </w:t>
      </w:r>
      <w:r w:rsidR="00604FEA" w:rsidRPr="00F40242">
        <w:rPr>
          <w:rFonts w:eastAsia="Calibri"/>
          <w:sz w:val="26"/>
        </w:rPr>
        <w:t>successfully associate</w:t>
      </w:r>
      <w:r w:rsidR="00A77298" w:rsidRPr="00F40242">
        <w:rPr>
          <w:rFonts w:eastAsia="Calibri"/>
          <w:sz w:val="26"/>
        </w:rPr>
        <w:t xml:space="preserve"> with various stakeholder groups.</w:t>
      </w:r>
      <w:r w:rsidR="00ED45B9" w:rsidRPr="00F40242">
        <w:rPr>
          <w:rFonts w:eastAsia="Calibri"/>
          <w:sz w:val="26"/>
        </w:rPr>
        <w:t xml:space="preserve"> It is expected that</w:t>
      </w:r>
      <w:r w:rsidR="00604FEA" w:rsidRPr="00F40242">
        <w:rPr>
          <w:rFonts w:eastAsia="Calibri"/>
          <w:sz w:val="26"/>
        </w:rPr>
        <w:t>,</w:t>
      </w:r>
      <w:r w:rsidR="00ED45B9" w:rsidRPr="00F40242">
        <w:rPr>
          <w:rFonts w:eastAsia="Calibri"/>
          <w:sz w:val="26"/>
        </w:rPr>
        <w:t xml:space="preserve"> t</w:t>
      </w:r>
      <w:r w:rsidR="009778B9" w:rsidRPr="00F40242">
        <w:rPr>
          <w:rFonts w:eastAsia="Calibri"/>
          <w:sz w:val="26"/>
        </w:rPr>
        <w:t>o legitimise their activit</w:t>
      </w:r>
      <w:r w:rsidR="00ED45B9" w:rsidRPr="00F40242">
        <w:rPr>
          <w:rFonts w:eastAsia="Calibri"/>
          <w:sz w:val="26"/>
        </w:rPr>
        <w:t>ies</w:t>
      </w:r>
      <w:r w:rsidR="00604FEA" w:rsidRPr="00F40242">
        <w:rPr>
          <w:rFonts w:eastAsia="Calibri"/>
          <w:sz w:val="26"/>
        </w:rPr>
        <w:t>,</w:t>
      </w:r>
      <w:r w:rsidR="00ED45B9" w:rsidRPr="00F40242">
        <w:rPr>
          <w:rFonts w:eastAsia="Calibri"/>
          <w:sz w:val="26"/>
        </w:rPr>
        <w:t xml:space="preserve"> companies will report their perceived social duties and accountability in a more systematic way.</w:t>
      </w:r>
      <w:r w:rsidR="00FF2E74" w:rsidRPr="00F40242">
        <w:rPr>
          <w:rFonts w:eastAsia="Calibri"/>
          <w:sz w:val="26"/>
        </w:rPr>
        <w:t xml:space="preserve"> </w:t>
      </w:r>
      <w:r w:rsidR="00ED45B9" w:rsidRPr="00F40242">
        <w:rPr>
          <w:rFonts w:eastAsia="Calibri"/>
          <w:sz w:val="26"/>
        </w:rPr>
        <w:t>Prior empirical studies have demonstrated a positive relationship between</w:t>
      </w:r>
      <w:r w:rsidR="009778B9" w:rsidRPr="00F40242">
        <w:rPr>
          <w:rFonts w:eastAsia="Calibri"/>
          <w:noProof/>
          <w:sz w:val="26"/>
        </w:rPr>
        <w:t xml:space="preserve"> company siz</w:t>
      </w:r>
      <w:r w:rsidR="00ED45B9" w:rsidRPr="00F40242">
        <w:rPr>
          <w:rFonts w:eastAsia="Calibri"/>
          <w:noProof/>
          <w:sz w:val="26"/>
        </w:rPr>
        <w:t>e and SED</w:t>
      </w:r>
      <w:r w:rsidR="00604FEA" w:rsidRPr="00F40242">
        <w:rPr>
          <w:rFonts w:eastAsia="Calibri"/>
          <w:noProof/>
          <w:sz w:val="26"/>
        </w:rPr>
        <w:t>, indicating</w:t>
      </w:r>
      <w:r w:rsidR="00A56E6F" w:rsidRPr="00F40242">
        <w:rPr>
          <w:rFonts w:eastAsia="Calibri"/>
          <w:noProof/>
          <w:sz w:val="26"/>
        </w:rPr>
        <w:t xml:space="preserve"> that larger companies disclos</w:t>
      </w:r>
      <w:r w:rsidR="00604FEA" w:rsidRPr="00F40242">
        <w:rPr>
          <w:rFonts w:eastAsia="Calibri"/>
          <w:noProof/>
          <w:sz w:val="26"/>
        </w:rPr>
        <w:t>e</w:t>
      </w:r>
      <w:r w:rsidR="00A56E6F" w:rsidRPr="00F40242">
        <w:rPr>
          <w:rFonts w:eastAsia="Calibri"/>
          <w:noProof/>
          <w:sz w:val="26"/>
        </w:rPr>
        <w:t xml:space="preserve"> more than smaller ones (</w:t>
      </w:r>
      <w:r w:rsidR="00604FEA" w:rsidRPr="00F40242">
        <w:rPr>
          <w:rFonts w:eastAsia="Calibri"/>
          <w:noProof/>
          <w:sz w:val="26"/>
        </w:rPr>
        <w:t>e.g.,</w:t>
      </w:r>
      <w:r w:rsidR="00A56E6F" w:rsidRPr="00F40242">
        <w:rPr>
          <w:rFonts w:eastAsia="Calibri"/>
          <w:noProof/>
          <w:sz w:val="26"/>
        </w:rPr>
        <w:t xml:space="preserve"> </w:t>
      </w:r>
      <w:r w:rsidR="00B026E2" w:rsidRPr="00F40242">
        <w:rPr>
          <w:noProof/>
          <w:sz w:val="26"/>
        </w:rPr>
        <w:t>Aras</w:t>
      </w:r>
      <w:r w:rsidR="00E93B6A" w:rsidRPr="00F40242">
        <w:rPr>
          <w:noProof/>
          <w:sz w:val="26"/>
        </w:rPr>
        <w:t>, Aybars</w:t>
      </w:r>
      <w:r w:rsidR="00604FEA" w:rsidRPr="00F40242">
        <w:rPr>
          <w:noProof/>
          <w:sz w:val="26"/>
        </w:rPr>
        <w:t xml:space="preserve">, </w:t>
      </w:r>
      <w:r w:rsidR="00EC7873" w:rsidRPr="00F40242">
        <w:rPr>
          <w:noProof/>
          <w:sz w:val="26"/>
        </w:rPr>
        <w:t>&amp;</w:t>
      </w:r>
      <w:r w:rsidR="00604FEA" w:rsidRPr="00F40242">
        <w:rPr>
          <w:noProof/>
          <w:sz w:val="26"/>
        </w:rPr>
        <w:t xml:space="preserve"> </w:t>
      </w:r>
      <w:r w:rsidR="00E93B6A" w:rsidRPr="00F40242">
        <w:rPr>
          <w:noProof/>
          <w:sz w:val="26"/>
        </w:rPr>
        <w:t>Kutlu</w:t>
      </w:r>
      <w:r w:rsidR="003701F5" w:rsidRPr="00F40242">
        <w:rPr>
          <w:noProof/>
          <w:sz w:val="26"/>
        </w:rPr>
        <w:t>,</w:t>
      </w:r>
      <w:r w:rsidR="00604FEA" w:rsidRPr="00F40242">
        <w:rPr>
          <w:noProof/>
          <w:sz w:val="26"/>
        </w:rPr>
        <w:t xml:space="preserve"> </w:t>
      </w:r>
      <w:r w:rsidR="003701F5" w:rsidRPr="00F40242">
        <w:rPr>
          <w:noProof/>
          <w:sz w:val="26"/>
        </w:rPr>
        <w:t>2</w:t>
      </w:r>
      <w:r w:rsidR="00B026E2" w:rsidRPr="00F40242">
        <w:rPr>
          <w:noProof/>
          <w:sz w:val="26"/>
        </w:rPr>
        <w:t>010;</w:t>
      </w:r>
      <w:r w:rsidR="00C70A18" w:rsidRPr="00F40242">
        <w:rPr>
          <w:noProof/>
          <w:sz w:val="26"/>
        </w:rPr>
        <w:t xml:space="preserve"> Branco</w:t>
      </w:r>
      <w:r w:rsidR="00604FEA" w:rsidRPr="00F40242">
        <w:rPr>
          <w:noProof/>
          <w:sz w:val="26"/>
        </w:rPr>
        <w:t xml:space="preserve"> </w:t>
      </w:r>
      <w:r w:rsidR="00EC7873" w:rsidRPr="00F40242">
        <w:rPr>
          <w:noProof/>
          <w:sz w:val="26"/>
        </w:rPr>
        <w:t>&amp;</w:t>
      </w:r>
      <w:r w:rsidR="00604FEA" w:rsidRPr="00F40242">
        <w:rPr>
          <w:noProof/>
          <w:sz w:val="26"/>
        </w:rPr>
        <w:t xml:space="preserve"> </w:t>
      </w:r>
      <w:r w:rsidR="00C70A18" w:rsidRPr="00F40242">
        <w:rPr>
          <w:noProof/>
          <w:sz w:val="26"/>
        </w:rPr>
        <w:t>Rodrigues</w:t>
      </w:r>
      <w:r w:rsidR="003701F5" w:rsidRPr="00F40242">
        <w:rPr>
          <w:noProof/>
          <w:sz w:val="26"/>
        </w:rPr>
        <w:t>,</w:t>
      </w:r>
      <w:r w:rsidR="00604FEA" w:rsidRPr="00F40242">
        <w:rPr>
          <w:noProof/>
          <w:sz w:val="26"/>
        </w:rPr>
        <w:t xml:space="preserve"> </w:t>
      </w:r>
      <w:r w:rsidR="003701F5" w:rsidRPr="00F40242">
        <w:rPr>
          <w:noProof/>
          <w:sz w:val="26"/>
        </w:rPr>
        <w:t>2</w:t>
      </w:r>
      <w:r w:rsidR="00C70A18" w:rsidRPr="00F40242">
        <w:rPr>
          <w:noProof/>
          <w:sz w:val="26"/>
        </w:rPr>
        <w:t>008; Hackston</w:t>
      </w:r>
      <w:r w:rsidR="00604FEA" w:rsidRPr="00F40242">
        <w:rPr>
          <w:noProof/>
          <w:sz w:val="26"/>
        </w:rPr>
        <w:t xml:space="preserve"> </w:t>
      </w:r>
      <w:r w:rsidR="00EC7873" w:rsidRPr="00F40242">
        <w:rPr>
          <w:noProof/>
          <w:sz w:val="26"/>
        </w:rPr>
        <w:t>&amp;</w:t>
      </w:r>
      <w:r w:rsidR="00604FEA" w:rsidRPr="00F40242">
        <w:rPr>
          <w:noProof/>
          <w:sz w:val="26"/>
        </w:rPr>
        <w:t xml:space="preserve"> </w:t>
      </w:r>
      <w:r w:rsidR="00C70A18" w:rsidRPr="00F40242">
        <w:rPr>
          <w:noProof/>
          <w:sz w:val="26"/>
        </w:rPr>
        <w:t xml:space="preserve">Milne, 1996; </w:t>
      </w:r>
      <w:r w:rsidR="001E786C" w:rsidRPr="00F40242">
        <w:rPr>
          <w:noProof/>
          <w:sz w:val="26"/>
        </w:rPr>
        <w:t>Lu</w:t>
      </w:r>
      <w:r w:rsidR="00604FEA" w:rsidRPr="00F40242">
        <w:rPr>
          <w:noProof/>
          <w:sz w:val="26"/>
        </w:rPr>
        <w:t xml:space="preserve"> </w:t>
      </w:r>
      <w:r w:rsidR="00EC7873" w:rsidRPr="00F40242">
        <w:rPr>
          <w:noProof/>
          <w:sz w:val="26"/>
        </w:rPr>
        <w:t>&amp;</w:t>
      </w:r>
      <w:r w:rsidR="00604FEA" w:rsidRPr="00F40242">
        <w:rPr>
          <w:noProof/>
          <w:sz w:val="26"/>
        </w:rPr>
        <w:t xml:space="preserve"> </w:t>
      </w:r>
      <w:r w:rsidR="001E786C" w:rsidRPr="00F40242">
        <w:rPr>
          <w:noProof/>
          <w:sz w:val="26"/>
        </w:rPr>
        <w:t>Abeysekera</w:t>
      </w:r>
      <w:r w:rsidR="003701F5" w:rsidRPr="00F40242">
        <w:rPr>
          <w:noProof/>
          <w:sz w:val="26"/>
        </w:rPr>
        <w:t>,</w:t>
      </w:r>
      <w:r w:rsidR="00604FEA" w:rsidRPr="00F40242">
        <w:rPr>
          <w:noProof/>
          <w:sz w:val="26"/>
        </w:rPr>
        <w:t xml:space="preserve"> </w:t>
      </w:r>
      <w:r w:rsidR="003701F5" w:rsidRPr="00F40242">
        <w:rPr>
          <w:noProof/>
          <w:sz w:val="26"/>
        </w:rPr>
        <w:t>2</w:t>
      </w:r>
      <w:r w:rsidR="001E786C" w:rsidRPr="00F40242">
        <w:rPr>
          <w:noProof/>
          <w:sz w:val="26"/>
        </w:rPr>
        <w:t xml:space="preserve">014; </w:t>
      </w:r>
      <w:r w:rsidR="00C70A18" w:rsidRPr="00F40242">
        <w:rPr>
          <w:noProof/>
          <w:sz w:val="26"/>
        </w:rPr>
        <w:t xml:space="preserve">Mahadeo </w:t>
      </w:r>
      <w:r w:rsidR="007736B1">
        <w:rPr>
          <w:noProof/>
          <w:sz w:val="26"/>
        </w:rPr>
        <w:t>et al.</w:t>
      </w:r>
      <w:r w:rsidR="003701F5" w:rsidRPr="00F40242">
        <w:rPr>
          <w:noProof/>
          <w:sz w:val="26"/>
        </w:rPr>
        <w:t>,</w:t>
      </w:r>
      <w:r w:rsidR="00604FEA" w:rsidRPr="00F40242">
        <w:rPr>
          <w:noProof/>
          <w:sz w:val="26"/>
        </w:rPr>
        <w:t xml:space="preserve"> </w:t>
      </w:r>
      <w:r w:rsidR="003701F5" w:rsidRPr="00F40242">
        <w:rPr>
          <w:noProof/>
          <w:sz w:val="26"/>
        </w:rPr>
        <w:t>2</w:t>
      </w:r>
      <w:r w:rsidR="00C70A18" w:rsidRPr="00F40242">
        <w:rPr>
          <w:noProof/>
          <w:sz w:val="26"/>
        </w:rPr>
        <w:t>011</w:t>
      </w:r>
      <w:r w:rsidR="001E786C" w:rsidRPr="00F40242">
        <w:rPr>
          <w:noProof/>
          <w:sz w:val="26"/>
        </w:rPr>
        <w:t>; Muttakin</w:t>
      </w:r>
      <w:r w:rsidR="00604FEA" w:rsidRPr="00F40242">
        <w:rPr>
          <w:noProof/>
          <w:sz w:val="26"/>
        </w:rPr>
        <w:t xml:space="preserve"> </w:t>
      </w:r>
      <w:r w:rsidR="00EC7873" w:rsidRPr="00F40242">
        <w:rPr>
          <w:noProof/>
          <w:sz w:val="26"/>
        </w:rPr>
        <w:t>&amp;</w:t>
      </w:r>
      <w:r w:rsidR="00604FEA" w:rsidRPr="00F40242">
        <w:rPr>
          <w:noProof/>
          <w:sz w:val="26"/>
        </w:rPr>
        <w:t xml:space="preserve"> </w:t>
      </w:r>
      <w:r w:rsidR="001E786C" w:rsidRPr="00F40242">
        <w:rPr>
          <w:noProof/>
          <w:sz w:val="26"/>
        </w:rPr>
        <w:t>Khan</w:t>
      </w:r>
      <w:r w:rsidR="003701F5" w:rsidRPr="00F40242">
        <w:rPr>
          <w:noProof/>
          <w:sz w:val="26"/>
        </w:rPr>
        <w:t>,</w:t>
      </w:r>
      <w:r w:rsidR="00604FEA" w:rsidRPr="00F40242">
        <w:rPr>
          <w:noProof/>
          <w:sz w:val="26"/>
        </w:rPr>
        <w:t xml:space="preserve"> </w:t>
      </w:r>
      <w:r w:rsidR="003701F5" w:rsidRPr="00F40242">
        <w:rPr>
          <w:noProof/>
          <w:sz w:val="26"/>
        </w:rPr>
        <w:t>2</w:t>
      </w:r>
      <w:r w:rsidR="001E786C" w:rsidRPr="00F40242">
        <w:rPr>
          <w:noProof/>
          <w:sz w:val="26"/>
        </w:rPr>
        <w:t xml:space="preserve">014; </w:t>
      </w:r>
      <w:r w:rsidR="001E786C" w:rsidRPr="00F40242">
        <w:rPr>
          <w:bCs/>
          <w:noProof/>
          <w:sz w:val="26"/>
        </w:rPr>
        <w:t>Omran</w:t>
      </w:r>
      <w:r w:rsidR="00604FEA" w:rsidRPr="00F40242">
        <w:rPr>
          <w:bCs/>
          <w:noProof/>
          <w:sz w:val="26"/>
        </w:rPr>
        <w:t xml:space="preserve"> </w:t>
      </w:r>
      <w:r w:rsidR="00EC7873" w:rsidRPr="00F40242">
        <w:rPr>
          <w:bCs/>
          <w:noProof/>
          <w:sz w:val="26"/>
        </w:rPr>
        <w:t>&amp;</w:t>
      </w:r>
      <w:r w:rsidR="00604FEA" w:rsidRPr="00F40242">
        <w:rPr>
          <w:bCs/>
          <w:noProof/>
          <w:sz w:val="26"/>
        </w:rPr>
        <w:t xml:space="preserve"> </w:t>
      </w:r>
      <w:r w:rsidR="001E786C" w:rsidRPr="00F40242">
        <w:rPr>
          <w:bCs/>
          <w:noProof/>
          <w:sz w:val="26"/>
        </w:rPr>
        <w:t>Ramdhony</w:t>
      </w:r>
      <w:r w:rsidR="003701F5" w:rsidRPr="00F40242">
        <w:rPr>
          <w:bCs/>
          <w:noProof/>
          <w:sz w:val="26"/>
        </w:rPr>
        <w:t>,</w:t>
      </w:r>
      <w:r w:rsidR="00604FEA" w:rsidRPr="00F40242">
        <w:rPr>
          <w:bCs/>
          <w:noProof/>
          <w:sz w:val="26"/>
        </w:rPr>
        <w:t xml:space="preserve"> </w:t>
      </w:r>
      <w:r w:rsidR="003701F5" w:rsidRPr="00F40242">
        <w:rPr>
          <w:bCs/>
          <w:noProof/>
          <w:sz w:val="26"/>
        </w:rPr>
        <w:t>2</w:t>
      </w:r>
      <w:r w:rsidR="001E786C" w:rsidRPr="00F40242">
        <w:rPr>
          <w:noProof/>
          <w:sz w:val="26"/>
        </w:rPr>
        <w:t>015</w:t>
      </w:r>
      <w:r w:rsidR="00B026E2" w:rsidRPr="00F40242">
        <w:rPr>
          <w:noProof/>
          <w:sz w:val="26"/>
        </w:rPr>
        <w:t>; Reverte</w:t>
      </w:r>
      <w:r w:rsidR="003701F5" w:rsidRPr="00F40242">
        <w:rPr>
          <w:noProof/>
          <w:sz w:val="26"/>
        </w:rPr>
        <w:t>,</w:t>
      </w:r>
      <w:r w:rsidR="00604FEA" w:rsidRPr="00F40242">
        <w:rPr>
          <w:noProof/>
          <w:sz w:val="26"/>
        </w:rPr>
        <w:t xml:space="preserve"> </w:t>
      </w:r>
      <w:r w:rsidR="003701F5" w:rsidRPr="00F40242">
        <w:rPr>
          <w:noProof/>
          <w:sz w:val="26"/>
        </w:rPr>
        <w:t>2</w:t>
      </w:r>
      <w:r w:rsidR="00B026E2" w:rsidRPr="00F40242">
        <w:rPr>
          <w:noProof/>
          <w:sz w:val="26"/>
        </w:rPr>
        <w:t>009).</w:t>
      </w:r>
      <w:r w:rsidR="00C70A18" w:rsidRPr="00F40242">
        <w:rPr>
          <w:sz w:val="26"/>
        </w:rPr>
        <w:t xml:space="preserve"> </w:t>
      </w:r>
    </w:p>
    <w:p w14:paraId="184CC7DB" w14:textId="77777777" w:rsidR="003C4831" w:rsidRPr="00F40242" w:rsidRDefault="003C4831" w:rsidP="0011086F">
      <w:pPr>
        <w:autoSpaceDE w:val="0"/>
        <w:autoSpaceDN w:val="0"/>
        <w:adjustRightInd w:val="0"/>
        <w:spacing w:line="360" w:lineRule="exact"/>
        <w:jc w:val="both"/>
        <w:rPr>
          <w:sz w:val="26"/>
        </w:rPr>
      </w:pPr>
    </w:p>
    <w:p w14:paraId="3722E2CA" w14:textId="6DD63867" w:rsidR="0093222D" w:rsidRPr="00F40242" w:rsidRDefault="00C70A18" w:rsidP="0011086F">
      <w:pPr>
        <w:autoSpaceDE w:val="0"/>
        <w:autoSpaceDN w:val="0"/>
        <w:adjustRightInd w:val="0"/>
        <w:spacing w:line="360" w:lineRule="exact"/>
        <w:ind w:firstLineChars="200" w:firstLine="520"/>
        <w:jc w:val="both"/>
        <w:rPr>
          <w:sz w:val="26"/>
          <w:lang w:eastAsia="en-AU"/>
        </w:rPr>
      </w:pPr>
      <w:r w:rsidRPr="00F40242">
        <w:rPr>
          <w:noProof/>
          <w:sz w:val="26"/>
        </w:rPr>
        <w:lastRenderedPageBreak/>
        <w:t xml:space="preserve">A positive </w:t>
      </w:r>
      <w:r w:rsidR="005F4849" w:rsidRPr="00F40242">
        <w:rPr>
          <w:noProof/>
          <w:sz w:val="26"/>
        </w:rPr>
        <w:t>association</w:t>
      </w:r>
      <w:r w:rsidRPr="00F40242">
        <w:rPr>
          <w:noProof/>
          <w:sz w:val="26"/>
        </w:rPr>
        <w:t xml:space="preserve"> </w:t>
      </w:r>
      <w:r w:rsidR="00604FEA" w:rsidRPr="00F40242">
        <w:rPr>
          <w:noProof/>
          <w:sz w:val="26"/>
        </w:rPr>
        <w:t>between</w:t>
      </w:r>
      <w:r w:rsidR="005F4849" w:rsidRPr="00F40242">
        <w:rPr>
          <w:noProof/>
          <w:sz w:val="26"/>
        </w:rPr>
        <w:t xml:space="preserve"> company size </w:t>
      </w:r>
      <w:r w:rsidR="00604FEA" w:rsidRPr="00F40242">
        <w:rPr>
          <w:noProof/>
          <w:sz w:val="26"/>
        </w:rPr>
        <w:t xml:space="preserve">and </w:t>
      </w:r>
      <w:r w:rsidR="005F4849" w:rsidRPr="00F40242">
        <w:rPr>
          <w:noProof/>
          <w:sz w:val="26"/>
        </w:rPr>
        <w:t>SED</w:t>
      </w:r>
      <w:r w:rsidRPr="00F40242">
        <w:rPr>
          <w:noProof/>
          <w:sz w:val="26"/>
        </w:rPr>
        <w:t xml:space="preserve"> was </w:t>
      </w:r>
      <w:r w:rsidR="00A56E6F" w:rsidRPr="00F40242">
        <w:rPr>
          <w:noProof/>
          <w:sz w:val="26"/>
        </w:rPr>
        <w:t>reported</w:t>
      </w:r>
      <w:r w:rsidRPr="00F40242">
        <w:rPr>
          <w:noProof/>
          <w:sz w:val="26"/>
        </w:rPr>
        <w:t xml:space="preserve"> by </w:t>
      </w:r>
      <w:r w:rsidR="00FF2E74" w:rsidRPr="00F40242">
        <w:rPr>
          <w:noProof/>
          <w:sz w:val="26"/>
        </w:rPr>
        <w:t>various</w:t>
      </w:r>
      <w:r w:rsidRPr="00F40242">
        <w:rPr>
          <w:noProof/>
          <w:sz w:val="26"/>
        </w:rPr>
        <w:t xml:space="preserve"> </w:t>
      </w:r>
      <w:r w:rsidR="00A56E6F" w:rsidRPr="00F40242">
        <w:rPr>
          <w:noProof/>
          <w:sz w:val="26"/>
        </w:rPr>
        <w:t>prior studies</w:t>
      </w:r>
      <w:r w:rsidRPr="00F40242">
        <w:rPr>
          <w:noProof/>
          <w:sz w:val="26"/>
        </w:rPr>
        <w:t xml:space="preserve"> (Branco</w:t>
      </w:r>
      <w:r w:rsidR="00604FEA" w:rsidRPr="00F40242">
        <w:rPr>
          <w:noProof/>
          <w:sz w:val="26"/>
        </w:rPr>
        <w:t xml:space="preserve"> </w:t>
      </w:r>
      <w:r w:rsidR="00EC7873" w:rsidRPr="00F40242">
        <w:rPr>
          <w:noProof/>
          <w:sz w:val="26"/>
        </w:rPr>
        <w:t>&amp;</w:t>
      </w:r>
      <w:r w:rsidR="00604FEA" w:rsidRPr="00F40242">
        <w:rPr>
          <w:noProof/>
          <w:sz w:val="26"/>
        </w:rPr>
        <w:t xml:space="preserve"> </w:t>
      </w:r>
      <w:r w:rsidRPr="00F40242">
        <w:rPr>
          <w:noProof/>
          <w:sz w:val="26"/>
        </w:rPr>
        <w:t>Rodrigues</w:t>
      </w:r>
      <w:r w:rsidR="003701F5" w:rsidRPr="00F40242">
        <w:rPr>
          <w:noProof/>
          <w:sz w:val="26"/>
        </w:rPr>
        <w:t>,</w:t>
      </w:r>
      <w:r w:rsidR="00604FEA" w:rsidRPr="00F40242">
        <w:rPr>
          <w:noProof/>
          <w:sz w:val="26"/>
        </w:rPr>
        <w:t xml:space="preserve"> </w:t>
      </w:r>
      <w:r w:rsidR="003701F5" w:rsidRPr="00F40242">
        <w:rPr>
          <w:noProof/>
          <w:sz w:val="26"/>
        </w:rPr>
        <w:t>2</w:t>
      </w:r>
      <w:r w:rsidRPr="00F40242">
        <w:rPr>
          <w:noProof/>
          <w:sz w:val="26"/>
        </w:rPr>
        <w:t xml:space="preserve">008; </w:t>
      </w:r>
      <w:r w:rsidR="00FF2E74" w:rsidRPr="00F40242">
        <w:rPr>
          <w:noProof/>
          <w:sz w:val="26"/>
        </w:rPr>
        <w:t>Deegan</w:t>
      </w:r>
      <w:r w:rsidR="00604FEA" w:rsidRPr="00F40242">
        <w:rPr>
          <w:noProof/>
          <w:sz w:val="26"/>
        </w:rPr>
        <w:t xml:space="preserve"> </w:t>
      </w:r>
      <w:r w:rsidR="00EC7873" w:rsidRPr="00F40242">
        <w:rPr>
          <w:noProof/>
          <w:sz w:val="26"/>
        </w:rPr>
        <w:t>&amp;</w:t>
      </w:r>
      <w:r w:rsidR="00604FEA" w:rsidRPr="00F40242">
        <w:rPr>
          <w:noProof/>
          <w:sz w:val="26"/>
        </w:rPr>
        <w:t xml:space="preserve"> </w:t>
      </w:r>
      <w:r w:rsidR="00FF2E74" w:rsidRPr="00F40242">
        <w:rPr>
          <w:noProof/>
          <w:sz w:val="26"/>
        </w:rPr>
        <w:t>Gordon, 1996; Hackston</w:t>
      </w:r>
      <w:r w:rsidR="00604FEA" w:rsidRPr="00F40242">
        <w:rPr>
          <w:noProof/>
          <w:sz w:val="26"/>
        </w:rPr>
        <w:t xml:space="preserve"> </w:t>
      </w:r>
      <w:r w:rsidR="00EC7873" w:rsidRPr="00F40242">
        <w:rPr>
          <w:noProof/>
          <w:sz w:val="26"/>
        </w:rPr>
        <w:t>&amp;</w:t>
      </w:r>
      <w:r w:rsidR="00604FEA" w:rsidRPr="00F40242">
        <w:rPr>
          <w:noProof/>
          <w:sz w:val="26"/>
        </w:rPr>
        <w:t xml:space="preserve"> </w:t>
      </w:r>
      <w:r w:rsidR="00FF2E74" w:rsidRPr="00F40242">
        <w:rPr>
          <w:noProof/>
          <w:sz w:val="26"/>
        </w:rPr>
        <w:t xml:space="preserve">Milne, 1996; </w:t>
      </w:r>
      <w:r w:rsidR="000B260E" w:rsidRPr="00F40242">
        <w:rPr>
          <w:bCs/>
          <w:noProof/>
          <w:sz w:val="26"/>
        </w:rPr>
        <w:t>Kansal</w:t>
      </w:r>
      <w:r w:rsidR="000B260E" w:rsidRPr="00F40242">
        <w:rPr>
          <w:noProof/>
          <w:sz w:val="26"/>
        </w:rPr>
        <w:t xml:space="preserve"> </w:t>
      </w:r>
      <w:r w:rsidR="000B260E">
        <w:rPr>
          <w:noProof/>
          <w:sz w:val="26"/>
        </w:rPr>
        <w:t>et al.</w:t>
      </w:r>
      <w:r w:rsidR="000B260E" w:rsidRPr="00F40242">
        <w:rPr>
          <w:noProof/>
          <w:sz w:val="26"/>
        </w:rPr>
        <w:t>, 2</w:t>
      </w:r>
      <w:r w:rsidR="000B260E" w:rsidRPr="00F40242">
        <w:rPr>
          <w:bCs/>
          <w:noProof/>
          <w:sz w:val="26"/>
        </w:rPr>
        <w:t xml:space="preserve">014; </w:t>
      </w:r>
      <w:r w:rsidR="001E786C" w:rsidRPr="00F40242">
        <w:rPr>
          <w:noProof/>
          <w:sz w:val="26"/>
        </w:rPr>
        <w:t>Lu</w:t>
      </w:r>
      <w:r w:rsidR="00604FEA" w:rsidRPr="00F40242">
        <w:rPr>
          <w:noProof/>
          <w:sz w:val="26"/>
        </w:rPr>
        <w:t xml:space="preserve"> </w:t>
      </w:r>
      <w:r w:rsidR="00EC7873" w:rsidRPr="00F40242">
        <w:rPr>
          <w:noProof/>
          <w:sz w:val="26"/>
        </w:rPr>
        <w:t>&amp;</w:t>
      </w:r>
      <w:r w:rsidR="00604FEA" w:rsidRPr="00F40242">
        <w:rPr>
          <w:noProof/>
          <w:sz w:val="26"/>
        </w:rPr>
        <w:t xml:space="preserve"> </w:t>
      </w:r>
      <w:r w:rsidR="001E786C" w:rsidRPr="00F40242">
        <w:rPr>
          <w:noProof/>
          <w:sz w:val="26"/>
        </w:rPr>
        <w:t>Abeysekera</w:t>
      </w:r>
      <w:r w:rsidR="003701F5" w:rsidRPr="00F40242">
        <w:rPr>
          <w:noProof/>
          <w:sz w:val="26"/>
        </w:rPr>
        <w:t>,</w:t>
      </w:r>
      <w:r w:rsidR="00604FEA" w:rsidRPr="00F40242">
        <w:rPr>
          <w:noProof/>
          <w:sz w:val="26"/>
        </w:rPr>
        <w:t xml:space="preserve"> </w:t>
      </w:r>
      <w:r w:rsidR="003701F5" w:rsidRPr="00F40242">
        <w:rPr>
          <w:noProof/>
          <w:sz w:val="26"/>
        </w:rPr>
        <w:t>2</w:t>
      </w:r>
      <w:r w:rsidR="001E786C" w:rsidRPr="00F40242">
        <w:rPr>
          <w:noProof/>
          <w:sz w:val="26"/>
        </w:rPr>
        <w:t xml:space="preserve">014; Mahadeo </w:t>
      </w:r>
      <w:r w:rsidR="007736B1">
        <w:rPr>
          <w:noProof/>
          <w:sz w:val="26"/>
        </w:rPr>
        <w:t>et al.</w:t>
      </w:r>
      <w:r w:rsidR="003701F5" w:rsidRPr="00F40242">
        <w:rPr>
          <w:noProof/>
          <w:sz w:val="26"/>
        </w:rPr>
        <w:t>,</w:t>
      </w:r>
      <w:r w:rsidR="00604FEA" w:rsidRPr="00F40242">
        <w:rPr>
          <w:noProof/>
          <w:sz w:val="26"/>
        </w:rPr>
        <w:t xml:space="preserve"> </w:t>
      </w:r>
      <w:r w:rsidR="003701F5" w:rsidRPr="00F40242">
        <w:rPr>
          <w:noProof/>
          <w:sz w:val="26"/>
        </w:rPr>
        <w:t>2</w:t>
      </w:r>
      <w:r w:rsidR="001E786C" w:rsidRPr="00F40242">
        <w:rPr>
          <w:noProof/>
          <w:sz w:val="26"/>
        </w:rPr>
        <w:t>011; Muttakin</w:t>
      </w:r>
      <w:r w:rsidR="00604FEA" w:rsidRPr="00F40242">
        <w:rPr>
          <w:noProof/>
          <w:sz w:val="26"/>
        </w:rPr>
        <w:t xml:space="preserve"> </w:t>
      </w:r>
      <w:r w:rsidR="00EC7873" w:rsidRPr="00F40242">
        <w:rPr>
          <w:noProof/>
          <w:sz w:val="26"/>
        </w:rPr>
        <w:t>&amp;</w:t>
      </w:r>
      <w:r w:rsidR="00604FEA" w:rsidRPr="00F40242">
        <w:rPr>
          <w:noProof/>
          <w:sz w:val="26"/>
        </w:rPr>
        <w:t xml:space="preserve"> </w:t>
      </w:r>
      <w:r w:rsidR="001E786C" w:rsidRPr="00F40242">
        <w:rPr>
          <w:noProof/>
          <w:sz w:val="26"/>
        </w:rPr>
        <w:t>Khan</w:t>
      </w:r>
      <w:r w:rsidR="003701F5" w:rsidRPr="00F40242">
        <w:rPr>
          <w:noProof/>
          <w:sz w:val="26"/>
        </w:rPr>
        <w:t>,</w:t>
      </w:r>
      <w:r w:rsidR="00604FEA" w:rsidRPr="00F40242">
        <w:rPr>
          <w:noProof/>
          <w:sz w:val="26"/>
        </w:rPr>
        <w:t xml:space="preserve"> </w:t>
      </w:r>
      <w:r w:rsidR="003701F5" w:rsidRPr="00F40242">
        <w:rPr>
          <w:noProof/>
          <w:sz w:val="26"/>
        </w:rPr>
        <w:t>2</w:t>
      </w:r>
      <w:r w:rsidR="001E786C" w:rsidRPr="00F40242">
        <w:rPr>
          <w:noProof/>
          <w:sz w:val="26"/>
        </w:rPr>
        <w:t xml:space="preserve">014; </w:t>
      </w:r>
      <w:r w:rsidR="001E786C" w:rsidRPr="00F40242">
        <w:rPr>
          <w:bCs/>
          <w:noProof/>
          <w:sz w:val="26"/>
        </w:rPr>
        <w:t>Omran</w:t>
      </w:r>
      <w:r w:rsidR="00604FEA" w:rsidRPr="00F40242">
        <w:rPr>
          <w:bCs/>
          <w:noProof/>
          <w:sz w:val="26"/>
        </w:rPr>
        <w:t xml:space="preserve"> </w:t>
      </w:r>
      <w:r w:rsidR="00EC7873" w:rsidRPr="00F40242">
        <w:rPr>
          <w:bCs/>
          <w:noProof/>
          <w:sz w:val="26"/>
        </w:rPr>
        <w:t>&amp;</w:t>
      </w:r>
      <w:r w:rsidR="00604FEA" w:rsidRPr="00F40242">
        <w:rPr>
          <w:bCs/>
          <w:noProof/>
          <w:sz w:val="26"/>
        </w:rPr>
        <w:t xml:space="preserve"> </w:t>
      </w:r>
      <w:r w:rsidR="001E786C" w:rsidRPr="00F40242">
        <w:rPr>
          <w:bCs/>
          <w:noProof/>
          <w:sz w:val="26"/>
        </w:rPr>
        <w:t>Ramdhony</w:t>
      </w:r>
      <w:r w:rsidR="003701F5" w:rsidRPr="00F40242">
        <w:rPr>
          <w:bCs/>
          <w:noProof/>
          <w:sz w:val="26"/>
        </w:rPr>
        <w:t>,</w:t>
      </w:r>
      <w:r w:rsidR="00604FEA" w:rsidRPr="00F40242">
        <w:rPr>
          <w:bCs/>
          <w:noProof/>
          <w:sz w:val="26"/>
        </w:rPr>
        <w:t xml:space="preserve"> </w:t>
      </w:r>
      <w:r w:rsidR="003701F5" w:rsidRPr="00F40242">
        <w:rPr>
          <w:bCs/>
          <w:noProof/>
          <w:sz w:val="26"/>
        </w:rPr>
        <w:t>2</w:t>
      </w:r>
      <w:r w:rsidR="001E786C" w:rsidRPr="00F40242">
        <w:rPr>
          <w:noProof/>
          <w:sz w:val="26"/>
        </w:rPr>
        <w:t>015</w:t>
      </w:r>
      <w:r w:rsidRPr="00F40242">
        <w:rPr>
          <w:noProof/>
          <w:sz w:val="26"/>
        </w:rPr>
        <w:t>).</w:t>
      </w:r>
      <w:r w:rsidRPr="00F40242">
        <w:rPr>
          <w:sz w:val="26"/>
        </w:rPr>
        <w:t xml:space="preserve"> </w:t>
      </w:r>
      <w:r w:rsidR="00A56E6F" w:rsidRPr="00F40242">
        <w:rPr>
          <w:sz w:val="26"/>
        </w:rPr>
        <w:t>Based on prior research</w:t>
      </w:r>
      <w:r w:rsidR="00604FEA" w:rsidRPr="00F40242">
        <w:rPr>
          <w:sz w:val="26"/>
        </w:rPr>
        <w:t>,</w:t>
      </w:r>
      <w:r w:rsidR="00A56E6F" w:rsidRPr="00F40242">
        <w:rPr>
          <w:sz w:val="26"/>
        </w:rPr>
        <w:t xml:space="preserve"> the current study also predicts that the positive association </w:t>
      </w:r>
      <w:r w:rsidR="00604FEA" w:rsidRPr="00F40242">
        <w:rPr>
          <w:sz w:val="26"/>
        </w:rPr>
        <w:t xml:space="preserve">between </w:t>
      </w:r>
      <w:r w:rsidR="00A56E6F" w:rsidRPr="00F40242">
        <w:rPr>
          <w:sz w:val="26"/>
        </w:rPr>
        <w:t xml:space="preserve">SED and </w:t>
      </w:r>
      <w:r w:rsidR="00604FEA" w:rsidRPr="00F40242">
        <w:rPr>
          <w:sz w:val="26"/>
        </w:rPr>
        <w:t>company size</w:t>
      </w:r>
      <w:r w:rsidR="00A56E6F" w:rsidRPr="00F40242">
        <w:rPr>
          <w:sz w:val="26"/>
        </w:rPr>
        <w:t xml:space="preserve"> is also</w:t>
      </w:r>
      <w:r w:rsidRPr="00F40242">
        <w:rPr>
          <w:bCs/>
          <w:sz w:val="26"/>
        </w:rPr>
        <w:t xml:space="preserve"> applicable to </w:t>
      </w:r>
      <w:r w:rsidR="008E10C8" w:rsidRPr="00F40242">
        <w:rPr>
          <w:sz w:val="26"/>
          <w:lang w:eastAsia="en-AU"/>
        </w:rPr>
        <w:t>companies</w:t>
      </w:r>
      <w:r w:rsidRPr="00F40242">
        <w:rPr>
          <w:sz w:val="26"/>
          <w:lang w:eastAsia="en-AU"/>
        </w:rPr>
        <w:t xml:space="preserve"> in emerging economies. </w:t>
      </w:r>
      <w:r w:rsidR="0093222D" w:rsidRPr="00F40242">
        <w:rPr>
          <w:sz w:val="26"/>
          <w:lang w:eastAsia="en-AU"/>
        </w:rPr>
        <w:t xml:space="preserve">However, </w:t>
      </w:r>
      <w:proofErr w:type="spellStart"/>
      <w:r w:rsidR="0093222D" w:rsidRPr="00F40242">
        <w:rPr>
          <w:bCs/>
          <w:sz w:val="26"/>
          <w:lang w:eastAsia="en-AU"/>
        </w:rPr>
        <w:t>Kansal</w:t>
      </w:r>
      <w:proofErr w:type="spellEnd"/>
      <w:r w:rsidR="0093222D" w:rsidRPr="00F40242">
        <w:rPr>
          <w:sz w:val="26"/>
          <w:lang w:eastAsia="en-AU"/>
        </w:rPr>
        <w:t xml:space="preserve"> </w:t>
      </w:r>
      <w:r w:rsidR="007736B1">
        <w:rPr>
          <w:sz w:val="26"/>
          <w:lang w:eastAsia="en-AU"/>
        </w:rPr>
        <w:t>et al.</w:t>
      </w:r>
      <w:r w:rsidR="0093222D" w:rsidRPr="00F40242">
        <w:rPr>
          <w:sz w:val="26"/>
          <w:lang w:eastAsia="en-AU"/>
        </w:rPr>
        <w:t xml:space="preserve"> </w:t>
      </w:r>
      <w:r w:rsidR="00D176F0" w:rsidRPr="00F40242">
        <w:rPr>
          <w:sz w:val="26"/>
          <w:lang w:eastAsia="en-AU"/>
        </w:rPr>
        <w:t>(</w:t>
      </w:r>
      <w:r w:rsidR="0093222D" w:rsidRPr="00F40242">
        <w:rPr>
          <w:bCs/>
          <w:sz w:val="26"/>
          <w:lang w:eastAsia="en-AU"/>
        </w:rPr>
        <w:t>2014</w:t>
      </w:r>
      <w:r w:rsidR="00D176F0" w:rsidRPr="00F40242">
        <w:rPr>
          <w:bCs/>
          <w:sz w:val="26"/>
          <w:lang w:eastAsia="en-AU"/>
        </w:rPr>
        <w:t>)</w:t>
      </w:r>
      <w:r w:rsidR="0093222D" w:rsidRPr="00F40242">
        <w:rPr>
          <w:bCs/>
          <w:sz w:val="26"/>
          <w:lang w:eastAsia="en-AU"/>
        </w:rPr>
        <w:t xml:space="preserve"> reported a negative association between </w:t>
      </w:r>
      <w:r w:rsidR="0093222D" w:rsidRPr="00F40242">
        <w:rPr>
          <w:sz w:val="26"/>
        </w:rPr>
        <w:t>SED and company size in</w:t>
      </w:r>
      <w:r w:rsidR="00CD711D" w:rsidRPr="00F40242">
        <w:rPr>
          <w:sz w:val="26"/>
        </w:rPr>
        <w:t xml:space="preserve"> the</w:t>
      </w:r>
      <w:r w:rsidR="0093222D" w:rsidRPr="00F40242">
        <w:rPr>
          <w:sz w:val="26"/>
        </w:rPr>
        <w:t xml:space="preserve"> </w:t>
      </w:r>
      <w:r w:rsidR="0093222D" w:rsidRPr="00F40242">
        <w:rPr>
          <w:noProof/>
          <w:sz w:val="26"/>
        </w:rPr>
        <w:t>Indian</w:t>
      </w:r>
      <w:r w:rsidR="0093222D" w:rsidRPr="00F40242">
        <w:rPr>
          <w:sz w:val="26"/>
        </w:rPr>
        <w:t xml:space="preserve"> context.</w:t>
      </w:r>
      <w:r w:rsidR="0093222D" w:rsidRPr="00F40242">
        <w:rPr>
          <w:bCs/>
          <w:sz w:val="26"/>
          <w:lang w:eastAsia="en-AU"/>
        </w:rPr>
        <w:t xml:space="preserve"> Despite</w:t>
      </w:r>
      <w:r w:rsidR="00604FEA" w:rsidRPr="00F40242">
        <w:rPr>
          <w:bCs/>
          <w:sz w:val="26"/>
          <w:lang w:eastAsia="en-AU"/>
        </w:rPr>
        <w:t xml:space="preserve"> this</w:t>
      </w:r>
      <w:r w:rsidR="0093222D" w:rsidRPr="00F40242">
        <w:rPr>
          <w:bCs/>
          <w:sz w:val="26"/>
          <w:lang w:eastAsia="en-AU"/>
        </w:rPr>
        <w:t xml:space="preserve">, </w:t>
      </w:r>
      <w:r w:rsidR="00604FEA" w:rsidRPr="00F40242">
        <w:rPr>
          <w:bCs/>
          <w:sz w:val="26"/>
          <w:lang w:eastAsia="en-AU"/>
        </w:rPr>
        <w:t xml:space="preserve">and </w:t>
      </w:r>
      <w:r w:rsidR="0093222D" w:rsidRPr="00F40242">
        <w:rPr>
          <w:sz w:val="26"/>
          <w:lang w:eastAsia="en-AU"/>
        </w:rPr>
        <w:t>c</w:t>
      </w:r>
      <w:r w:rsidRPr="00F40242">
        <w:rPr>
          <w:sz w:val="26"/>
          <w:lang w:eastAsia="en-AU"/>
        </w:rPr>
        <w:t>o</w:t>
      </w:r>
      <w:r w:rsidR="00FC7258" w:rsidRPr="00F40242">
        <w:rPr>
          <w:sz w:val="26"/>
          <w:lang w:eastAsia="en-AU"/>
        </w:rPr>
        <w:t>n</w:t>
      </w:r>
      <w:r w:rsidRPr="00F40242">
        <w:rPr>
          <w:sz w:val="26"/>
          <w:lang w:eastAsia="en-AU"/>
        </w:rPr>
        <w:t xml:space="preserve">sistent with the findings of previous research </w:t>
      </w:r>
      <w:r w:rsidR="00132E1E" w:rsidRPr="00F40242">
        <w:rPr>
          <w:sz w:val="26"/>
          <w:lang w:eastAsia="en-AU"/>
        </w:rPr>
        <w:t>in emerging countr</w:t>
      </w:r>
      <w:r w:rsidR="00604FEA" w:rsidRPr="00F40242">
        <w:rPr>
          <w:sz w:val="26"/>
          <w:lang w:eastAsia="en-AU"/>
        </w:rPr>
        <w:t>ies</w:t>
      </w:r>
      <w:r w:rsidR="00132E1E" w:rsidRPr="00F40242">
        <w:rPr>
          <w:sz w:val="26"/>
          <w:lang w:eastAsia="en-AU"/>
        </w:rPr>
        <w:t xml:space="preserve"> </w:t>
      </w:r>
      <w:r w:rsidRPr="00F40242">
        <w:rPr>
          <w:sz w:val="26"/>
          <w:lang w:eastAsia="en-AU"/>
        </w:rPr>
        <w:t>(</w:t>
      </w:r>
      <w:r w:rsidR="00132E1E" w:rsidRPr="00F40242">
        <w:rPr>
          <w:sz w:val="26"/>
          <w:lang w:eastAsia="en-AU"/>
        </w:rPr>
        <w:t>Lu</w:t>
      </w:r>
      <w:r w:rsidR="00604FEA" w:rsidRPr="00F40242">
        <w:rPr>
          <w:sz w:val="26"/>
          <w:lang w:eastAsia="en-AU"/>
        </w:rPr>
        <w:t xml:space="preserve"> </w:t>
      </w:r>
      <w:r w:rsidR="00EC7873" w:rsidRPr="00F40242">
        <w:rPr>
          <w:sz w:val="26"/>
          <w:lang w:eastAsia="en-AU"/>
        </w:rPr>
        <w:t>&amp;</w:t>
      </w:r>
      <w:r w:rsidR="00604FEA" w:rsidRPr="00F40242">
        <w:rPr>
          <w:sz w:val="26"/>
          <w:lang w:eastAsia="en-AU"/>
        </w:rPr>
        <w:t xml:space="preserve"> </w:t>
      </w:r>
      <w:proofErr w:type="spellStart"/>
      <w:r w:rsidR="00132E1E" w:rsidRPr="00F40242">
        <w:rPr>
          <w:sz w:val="26"/>
          <w:lang w:eastAsia="en-AU"/>
        </w:rPr>
        <w:t>Abeysekera</w:t>
      </w:r>
      <w:proofErr w:type="spellEnd"/>
      <w:r w:rsidR="003701F5" w:rsidRPr="00F40242">
        <w:rPr>
          <w:sz w:val="26"/>
          <w:lang w:eastAsia="en-AU"/>
        </w:rPr>
        <w:t>,</w:t>
      </w:r>
      <w:r w:rsidR="00604FEA" w:rsidRPr="00F40242">
        <w:rPr>
          <w:sz w:val="26"/>
          <w:lang w:eastAsia="en-AU"/>
        </w:rPr>
        <w:t xml:space="preserve"> </w:t>
      </w:r>
      <w:r w:rsidR="003701F5" w:rsidRPr="00F40242">
        <w:rPr>
          <w:sz w:val="26"/>
          <w:lang w:eastAsia="en-AU"/>
        </w:rPr>
        <w:t>2</w:t>
      </w:r>
      <w:r w:rsidR="00132E1E" w:rsidRPr="00F40242">
        <w:rPr>
          <w:sz w:val="26"/>
          <w:lang w:eastAsia="en-AU"/>
        </w:rPr>
        <w:t xml:space="preserve">014; </w:t>
      </w:r>
      <w:proofErr w:type="spellStart"/>
      <w:r w:rsidR="00132E1E" w:rsidRPr="00F40242">
        <w:rPr>
          <w:sz w:val="26"/>
          <w:lang w:eastAsia="en-AU"/>
        </w:rPr>
        <w:t>Mahadeo</w:t>
      </w:r>
      <w:proofErr w:type="spellEnd"/>
      <w:r w:rsidR="00132E1E" w:rsidRPr="00F40242">
        <w:rPr>
          <w:sz w:val="26"/>
          <w:lang w:eastAsia="en-AU"/>
        </w:rPr>
        <w:t xml:space="preserve"> et al.</w:t>
      </w:r>
      <w:r w:rsidR="003701F5" w:rsidRPr="00F40242">
        <w:rPr>
          <w:sz w:val="26"/>
          <w:lang w:eastAsia="en-AU"/>
        </w:rPr>
        <w:t>,</w:t>
      </w:r>
      <w:r w:rsidR="00604FEA" w:rsidRPr="00F40242">
        <w:rPr>
          <w:sz w:val="26"/>
          <w:lang w:eastAsia="en-AU"/>
        </w:rPr>
        <w:t xml:space="preserve"> </w:t>
      </w:r>
      <w:r w:rsidR="003701F5" w:rsidRPr="00F40242">
        <w:rPr>
          <w:sz w:val="26"/>
          <w:lang w:eastAsia="en-AU"/>
        </w:rPr>
        <w:t>2</w:t>
      </w:r>
      <w:r w:rsidR="00132E1E" w:rsidRPr="00F40242">
        <w:rPr>
          <w:sz w:val="26"/>
          <w:lang w:eastAsia="en-AU"/>
        </w:rPr>
        <w:t xml:space="preserve">011; </w:t>
      </w:r>
      <w:proofErr w:type="spellStart"/>
      <w:r w:rsidR="00132E1E" w:rsidRPr="00F40242">
        <w:rPr>
          <w:sz w:val="26"/>
          <w:lang w:eastAsia="en-AU"/>
        </w:rPr>
        <w:t>Muttakin</w:t>
      </w:r>
      <w:proofErr w:type="spellEnd"/>
      <w:r w:rsidR="00604FEA" w:rsidRPr="00F40242">
        <w:rPr>
          <w:sz w:val="26"/>
          <w:lang w:eastAsia="en-AU"/>
        </w:rPr>
        <w:t xml:space="preserve"> </w:t>
      </w:r>
      <w:r w:rsidR="00EC7873" w:rsidRPr="00F40242">
        <w:rPr>
          <w:sz w:val="26"/>
          <w:lang w:eastAsia="en-AU"/>
        </w:rPr>
        <w:t>&amp;</w:t>
      </w:r>
      <w:r w:rsidR="00604FEA" w:rsidRPr="00F40242">
        <w:rPr>
          <w:sz w:val="26"/>
          <w:lang w:eastAsia="en-AU"/>
        </w:rPr>
        <w:t xml:space="preserve"> </w:t>
      </w:r>
      <w:r w:rsidR="00132E1E" w:rsidRPr="00F40242">
        <w:rPr>
          <w:sz w:val="26"/>
          <w:lang w:eastAsia="en-AU"/>
        </w:rPr>
        <w:t>Khan</w:t>
      </w:r>
      <w:r w:rsidR="003701F5" w:rsidRPr="00F40242">
        <w:rPr>
          <w:sz w:val="26"/>
          <w:lang w:eastAsia="en-AU"/>
        </w:rPr>
        <w:t>,</w:t>
      </w:r>
      <w:r w:rsidR="00604FEA" w:rsidRPr="00F40242">
        <w:rPr>
          <w:sz w:val="26"/>
          <w:lang w:eastAsia="en-AU"/>
        </w:rPr>
        <w:t xml:space="preserve"> </w:t>
      </w:r>
      <w:r w:rsidR="003701F5" w:rsidRPr="00F40242">
        <w:rPr>
          <w:sz w:val="26"/>
          <w:lang w:eastAsia="en-AU"/>
        </w:rPr>
        <w:t>2</w:t>
      </w:r>
      <w:r w:rsidR="00132E1E" w:rsidRPr="00F40242">
        <w:rPr>
          <w:sz w:val="26"/>
          <w:lang w:eastAsia="en-AU"/>
        </w:rPr>
        <w:t xml:space="preserve">014; </w:t>
      </w:r>
      <w:proofErr w:type="spellStart"/>
      <w:r w:rsidR="00132E1E" w:rsidRPr="00F40242">
        <w:rPr>
          <w:bCs/>
          <w:sz w:val="26"/>
          <w:lang w:eastAsia="en-AU"/>
        </w:rPr>
        <w:t>Omran</w:t>
      </w:r>
      <w:proofErr w:type="spellEnd"/>
      <w:r w:rsidR="00604FEA" w:rsidRPr="00F40242">
        <w:rPr>
          <w:bCs/>
          <w:sz w:val="26"/>
          <w:lang w:eastAsia="en-AU"/>
        </w:rPr>
        <w:t xml:space="preserve"> </w:t>
      </w:r>
      <w:r w:rsidR="00EC7873" w:rsidRPr="00F40242">
        <w:rPr>
          <w:bCs/>
          <w:sz w:val="26"/>
          <w:lang w:eastAsia="en-AU"/>
        </w:rPr>
        <w:t>&amp;</w:t>
      </w:r>
      <w:r w:rsidR="00604FEA" w:rsidRPr="00F40242">
        <w:rPr>
          <w:bCs/>
          <w:sz w:val="26"/>
          <w:lang w:eastAsia="en-AU"/>
        </w:rPr>
        <w:t xml:space="preserve"> </w:t>
      </w:r>
      <w:proofErr w:type="spellStart"/>
      <w:r w:rsidR="00132E1E" w:rsidRPr="00F40242">
        <w:rPr>
          <w:bCs/>
          <w:sz w:val="26"/>
          <w:lang w:eastAsia="en-AU"/>
        </w:rPr>
        <w:t>Ramdhony</w:t>
      </w:r>
      <w:proofErr w:type="spellEnd"/>
      <w:r w:rsidR="003701F5" w:rsidRPr="00F40242">
        <w:rPr>
          <w:bCs/>
          <w:sz w:val="26"/>
          <w:lang w:eastAsia="en-AU"/>
        </w:rPr>
        <w:t>,</w:t>
      </w:r>
      <w:r w:rsidR="00604FEA" w:rsidRPr="00F40242">
        <w:rPr>
          <w:bCs/>
          <w:sz w:val="26"/>
          <w:lang w:eastAsia="en-AU"/>
        </w:rPr>
        <w:t xml:space="preserve"> </w:t>
      </w:r>
      <w:r w:rsidR="003701F5" w:rsidRPr="00F40242">
        <w:rPr>
          <w:bCs/>
          <w:sz w:val="26"/>
          <w:lang w:eastAsia="en-AU"/>
        </w:rPr>
        <w:t>2</w:t>
      </w:r>
      <w:r w:rsidR="00132E1E" w:rsidRPr="00F40242">
        <w:rPr>
          <w:sz w:val="26"/>
          <w:lang w:eastAsia="en-AU"/>
        </w:rPr>
        <w:t>015</w:t>
      </w:r>
      <w:r w:rsidR="0093222D" w:rsidRPr="00F40242">
        <w:rPr>
          <w:sz w:val="26"/>
          <w:lang w:eastAsia="en-AU"/>
        </w:rPr>
        <w:t xml:space="preserve">) our study </w:t>
      </w:r>
      <w:r w:rsidR="0093222D" w:rsidRPr="00F40242">
        <w:rPr>
          <w:noProof/>
          <w:sz w:val="26"/>
          <w:lang w:eastAsia="en-AU"/>
        </w:rPr>
        <w:t>hypoth</w:t>
      </w:r>
      <w:r w:rsidR="00CD711D" w:rsidRPr="00F40242">
        <w:rPr>
          <w:noProof/>
          <w:sz w:val="26"/>
          <w:lang w:eastAsia="en-AU"/>
        </w:rPr>
        <w:t>es</w:t>
      </w:r>
      <w:r w:rsidR="0093222D" w:rsidRPr="00F40242">
        <w:rPr>
          <w:noProof/>
          <w:sz w:val="26"/>
          <w:lang w:eastAsia="en-AU"/>
        </w:rPr>
        <w:t>ise</w:t>
      </w:r>
      <w:r w:rsidR="00604FEA" w:rsidRPr="00F40242">
        <w:rPr>
          <w:noProof/>
          <w:sz w:val="26"/>
          <w:lang w:eastAsia="en-AU"/>
        </w:rPr>
        <w:t>s</w:t>
      </w:r>
      <w:r w:rsidR="0093222D" w:rsidRPr="00F40242">
        <w:rPr>
          <w:sz w:val="26"/>
          <w:lang w:eastAsia="en-AU"/>
        </w:rPr>
        <w:t xml:space="preserve"> that</w:t>
      </w:r>
      <w:r w:rsidR="00A7216E" w:rsidRPr="00F40242">
        <w:rPr>
          <w:sz w:val="26"/>
          <w:lang w:eastAsia="en-AU"/>
        </w:rPr>
        <w:t>:</w:t>
      </w:r>
    </w:p>
    <w:p w14:paraId="3038CD3E" w14:textId="7E71BEFC" w:rsidR="0011086F" w:rsidRDefault="00C70A18" w:rsidP="006B1EBC">
      <w:pPr>
        <w:autoSpaceDE w:val="0"/>
        <w:autoSpaceDN w:val="0"/>
        <w:adjustRightInd w:val="0"/>
        <w:spacing w:line="360" w:lineRule="exact"/>
        <w:jc w:val="both"/>
        <w:rPr>
          <w:sz w:val="26"/>
          <w:lang w:eastAsia="en-AU"/>
        </w:rPr>
      </w:pPr>
      <w:r w:rsidRPr="00F40242">
        <w:rPr>
          <w:b/>
          <w:sz w:val="26"/>
          <w:lang w:eastAsia="en-AU"/>
        </w:rPr>
        <w:t>H</w:t>
      </w:r>
      <w:r w:rsidR="007C2990" w:rsidRPr="00F40242">
        <w:rPr>
          <w:b/>
          <w:sz w:val="26"/>
          <w:vertAlign w:val="subscript"/>
          <w:lang w:eastAsia="en-AU"/>
        </w:rPr>
        <w:t>2</w:t>
      </w:r>
      <w:r w:rsidRPr="00F40242">
        <w:rPr>
          <w:b/>
          <w:sz w:val="26"/>
          <w:lang w:eastAsia="en-AU"/>
        </w:rPr>
        <w:t>:</w:t>
      </w:r>
      <w:r w:rsidRPr="00F40242">
        <w:rPr>
          <w:sz w:val="26"/>
          <w:lang w:eastAsia="en-AU"/>
        </w:rPr>
        <w:t xml:space="preserve"> There </w:t>
      </w:r>
      <w:r w:rsidR="0049487E" w:rsidRPr="00F40242">
        <w:rPr>
          <w:sz w:val="26"/>
          <w:lang w:eastAsia="en-AU"/>
        </w:rPr>
        <w:t xml:space="preserve">is </w:t>
      </w:r>
      <w:r w:rsidRPr="00F40242">
        <w:rPr>
          <w:sz w:val="26"/>
          <w:lang w:eastAsia="en-AU"/>
        </w:rPr>
        <w:t xml:space="preserve">a positive association between </w:t>
      </w:r>
      <w:r w:rsidR="0093222D" w:rsidRPr="00F40242">
        <w:rPr>
          <w:sz w:val="26"/>
          <w:lang w:eastAsia="en-AU"/>
        </w:rPr>
        <w:t>company</w:t>
      </w:r>
      <w:r w:rsidRPr="00F40242">
        <w:rPr>
          <w:sz w:val="26"/>
          <w:lang w:eastAsia="en-AU"/>
        </w:rPr>
        <w:t xml:space="preserve"> size and SE</w:t>
      </w:r>
      <w:r w:rsidR="0049487E" w:rsidRPr="00F40242">
        <w:rPr>
          <w:sz w:val="26"/>
          <w:lang w:eastAsia="en-AU"/>
        </w:rPr>
        <w:t>D</w:t>
      </w:r>
      <w:r w:rsidR="00604FEA" w:rsidRPr="00F40242">
        <w:rPr>
          <w:sz w:val="26"/>
          <w:lang w:eastAsia="en-AU"/>
        </w:rPr>
        <w:t>.</w:t>
      </w:r>
      <w:r w:rsidR="007C2990" w:rsidRPr="00F40242">
        <w:rPr>
          <w:sz w:val="26"/>
          <w:lang w:eastAsia="en-AU"/>
        </w:rPr>
        <w:t xml:space="preserve"> </w:t>
      </w:r>
    </w:p>
    <w:p w14:paraId="4BCB8464" w14:textId="77777777" w:rsidR="006B1EBC" w:rsidRDefault="006B1EBC" w:rsidP="006B1EBC">
      <w:pPr>
        <w:autoSpaceDE w:val="0"/>
        <w:autoSpaceDN w:val="0"/>
        <w:adjustRightInd w:val="0"/>
        <w:spacing w:line="360" w:lineRule="exact"/>
        <w:jc w:val="both"/>
        <w:rPr>
          <w:sz w:val="26"/>
          <w:lang w:eastAsia="en-AU"/>
        </w:rPr>
      </w:pPr>
    </w:p>
    <w:p w14:paraId="1C05343F" w14:textId="2302746A" w:rsidR="00C70A18" w:rsidRPr="0011086F" w:rsidRDefault="00C70A18" w:rsidP="00050AB9">
      <w:pPr>
        <w:autoSpaceDE w:val="0"/>
        <w:autoSpaceDN w:val="0"/>
        <w:adjustRightInd w:val="0"/>
        <w:jc w:val="both"/>
        <w:rPr>
          <w:sz w:val="26"/>
          <w:lang w:eastAsia="en-AU"/>
        </w:rPr>
      </w:pPr>
      <w:r w:rsidRPr="00050AB9">
        <w:rPr>
          <w:rFonts w:eastAsia="Calibri"/>
          <w:b/>
          <w:iCs/>
          <w:sz w:val="26"/>
        </w:rPr>
        <w:t>Profitability</w:t>
      </w:r>
    </w:p>
    <w:p w14:paraId="0B2DB55A" w14:textId="7AE8549C" w:rsidR="00D94DFE" w:rsidRPr="00F40242" w:rsidRDefault="00470B57" w:rsidP="0011086F">
      <w:pPr>
        <w:autoSpaceDE w:val="0"/>
        <w:autoSpaceDN w:val="0"/>
        <w:adjustRightInd w:val="0"/>
        <w:spacing w:line="360" w:lineRule="exact"/>
        <w:ind w:firstLineChars="200" w:firstLine="520"/>
        <w:jc w:val="both"/>
        <w:rPr>
          <w:sz w:val="26"/>
        </w:rPr>
      </w:pPr>
      <w:r w:rsidRPr="00F40242">
        <w:rPr>
          <w:sz w:val="26"/>
        </w:rPr>
        <w:t>Legitimacy theory propose</w:t>
      </w:r>
      <w:r w:rsidR="00D47F4B" w:rsidRPr="00F40242">
        <w:rPr>
          <w:sz w:val="26"/>
        </w:rPr>
        <w:t>s</w:t>
      </w:r>
      <w:r w:rsidRPr="00F40242">
        <w:rPr>
          <w:sz w:val="26"/>
        </w:rPr>
        <w:t xml:space="preserve"> that a positive or negative association between profitability and SED m</w:t>
      </w:r>
      <w:r w:rsidR="00445CE5">
        <w:rPr>
          <w:sz w:val="26"/>
        </w:rPr>
        <w:t>ay exist</w:t>
      </w:r>
      <w:r w:rsidRPr="00F40242">
        <w:rPr>
          <w:sz w:val="26"/>
        </w:rPr>
        <w:t xml:space="preserve"> (</w:t>
      </w:r>
      <w:proofErr w:type="spellStart"/>
      <w:r w:rsidRPr="00F40242">
        <w:rPr>
          <w:sz w:val="26"/>
        </w:rPr>
        <w:t>Neu</w:t>
      </w:r>
      <w:proofErr w:type="spellEnd"/>
      <w:r w:rsidRPr="00F40242">
        <w:rPr>
          <w:sz w:val="26"/>
        </w:rPr>
        <w:t xml:space="preserve"> et al., 1998). </w:t>
      </w:r>
      <w:r w:rsidR="00F8279A" w:rsidRPr="00F40242">
        <w:rPr>
          <w:sz w:val="26"/>
        </w:rPr>
        <w:t xml:space="preserve">A profitable company would be keen to satisfy its social stakeholders by reassuring them that financial returns </w:t>
      </w:r>
      <w:r w:rsidR="00F8279A" w:rsidRPr="00F40242">
        <w:rPr>
          <w:noProof/>
          <w:sz w:val="26"/>
        </w:rPr>
        <w:t>were not achieved</w:t>
      </w:r>
      <w:r w:rsidR="00F8279A" w:rsidRPr="00F40242">
        <w:rPr>
          <w:sz w:val="26"/>
        </w:rPr>
        <w:t xml:space="preserve"> at the expense of social concern</w:t>
      </w:r>
      <w:r w:rsidR="00844A0A" w:rsidRPr="00F40242">
        <w:rPr>
          <w:sz w:val="26"/>
        </w:rPr>
        <w:t>s (</w:t>
      </w:r>
      <w:proofErr w:type="spellStart"/>
      <w:r w:rsidR="00844A0A" w:rsidRPr="00F40242">
        <w:rPr>
          <w:sz w:val="26"/>
        </w:rPr>
        <w:t>Haniffa</w:t>
      </w:r>
      <w:proofErr w:type="spellEnd"/>
      <w:r w:rsidR="00844A0A" w:rsidRPr="00F40242">
        <w:rPr>
          <w:sz w:val="26"/>
        </w:rPr>
        <w:t xml:space="preserve"> </w:t>
      </w:r>
      <w:r w:rsidR="00D47F4B" w:rsidRPr="00F40242">
        <w:rPr>
          <w:sz w:val="26"/>
        </w:rPr>
        <w:t xml:space="preserve">&amp; </w:t>
      </w:r>
      <w:r w:rsidR="00844A0A" w:rsidRPr="00F40242">
        <w:rPr>
          <w:sz w:val="26"/>
        </w:rPr>
        <w:t>Coke</w:t>
      </w:r>
      <w:r w:rsidR="003701F5" w:rsidRPr="00F40242">
        <w:rPr>
          <w:sz w:val="26"/>
        </w:rPr>
        <w:t>,</w:t>
      </w:r>
      <w:r w:rsidR="00D47F4B" w:rsidRPr="00F40242">
        <w:rPr>
          <w:sz w:val="26"/>
        </w:rPr>
        <w:t xml:space="preserve"> </w:t>
      </w:r>
      <w:r w:rsidR="003701F5" w:rsidRPr="00F40242">
        <w:rPr>
          <w:sz w:val="26"/>
        </w:rPr>
        <w:t>2</w:t>
      </w:r>
      <w:r w:rsidR="00844A0A" w:rsidRPr="00F40242">
        <w:rPr>
          <w:sz w:val="26"/>
        </w:rPr>
        <w:t>005).</w:t>
      </w:r>
      <w:r w:rsidR="00F8279A" w:rsidRPr="00F40242">
        <w:rPr>
          <w:sz w:val="26"/>
        </w:rPr>
        <w:t xml:space="preserve"> </w:t>
      </w:r>
      <w:r w:rsidR="00DB7EA9" w:rsidRPr="00F40242">
        <w:rPr>
          <w:sz w:val="26"/>
        </w:rPr>
        <w:t xml:space="preserve">On the other hand, </w:t>
      </w:r>
      <w:proofErr w:type="spellStart"/>
      <w:r w:rsidR="00DB7EA9" w:rsidRPr="00F40242">
        <w:rPr>
          <w:sz w:val="26"/>
        </w:rPr>
        <w:t>Reverte</w:t>
      </w:r>
      <w:proofErr w:type="spellEnd"/>
      <w:r w:rsidR="00DB7EA9" w:rsidRPr="00F40242">
        <w:rPr>
          <w:sz w:val="26"/>
        </w:rPr>
        <w:t xml:space="preserve"> (2009) commented </w:t>
      </w:r>
      <w:r w:rsidRPr="00F40242">
        <w:rPr>
          <w:sz w:val="26"/>
        </w:rPr>
        <w:t xml:space="preserve">that a company </w:t>
      </w:r>
      <w:r w:rsidR="00D94DFE" w:rsidRPr="00F40242">
        <w:rPr>
          <w:sz w:val="26"/>
        </w:rPr>
        <w:t xml:space="preserve">that is incurring </w:t>
      </w:r>
      <w:r w:rsidRPr="00F40242">
        <w:rPr>
          <w:sz w:val="26"/>
        </w:rPr>
        <w:t>financial loss</w:t>
      </w:r>
      <w:r w:rsidR="00D94DFE" w:rsidRPr="00F40242">
        <w:rPr>
          <w:sz w:val="26"/>
        </w:rPr>
        <w:t xml:space="preserve"> </w:t>
      </w:r>
      <w:r w:rsidR="00DB7EA9" w:rsidRPr="00F40242">
        <w:rPr>
          <w:noProof/>
          <w:sz w:val="26"/>
        </w:rPr>
        <w:t>m</w:t>
      </w:r>
      <w:r w:rsidR="00CD711D" w:rsidRPr="00F40242">
        <w:rPr>
          <w:noProof/>
          <w:sz w:val="26"/>
        </w:rPr>
        <w:t>ight</w:t>
      </w:r>
      <w:r w:rsidR="00DB7EA9" w:rsidRPr="00F40242">
        <w:rPr>
          <w:sz w:val="26"/>
        </w:rPr>
        <w:t xml:space="preserve"> </w:t>
      </w:r>
      <w:r w:rsidR="00445CE5" w:rsidRPr="00F40242">
        <w:rPr>
          <w:sz w:val="26"/>
        </w:rPr>
        <w:t>attempt</w:t>
      </w:r>
      <w:r w:rsidRPr="00F40242">
        <w:rPr>
          <w:sz w:val="26"/>
        </w:rPr>
        <w:t xml:space="preserve"> </w:t>
      </w:r>
      <w:r w:rsidR="00AF5C4C" w:rsidRPr="00F40242">
        <w:rPr>
          <w:sz w:val="26"/>
        </w:rPr>
        <w:t xml:space="preserve">to </w:t>
      </w:r>
      <w:r w:rsidRPr="00F40242">
        <w:rPr>
          <w:sz w:val="26"/>
        </w:rPr>
        <w:t xml:space="preserve">turn </w:t>
      </w:r>
      <w:r w:rsidR="00445CE5">
        <w:rPr>
          <w:sz w:val="26"/>
        </w:rPr>
        <w:t>stakeholders attention</w:t>
      </w:r>
      <w:r w:rsidR="00D94DFE" w:rsidRPr="00F40242">
        <w:rPr>
          <w:sz w:val="26"/>
        </w:rPr>
        <w:t xml:space="preserve"> </w:t>
      </w:r>
      <w:r w:rsidRPr="00F40242">
        <w:rPr>
          <w:sz w:val="26"/>
        </w:rPr>
        <w:t>away</w:t>
      </w:r>
      <w:r w:rsidR="00D94DFE" w:rsidRPr="00F40242">
        <w:rPr>
          <w:sz w:val="26"/>
        </w:rPr>
        <w:t xml:space="preserve"> from its monetary difficulties and to persuade it</w:t>
      </w:r>
      <w:r w:rsidR="00AF5C4C" w:rsidRPr="00F40242">
        <w:rPr>
          <w:sz w:val="26"/>
        </w:rPr>
        <w:t>s</w:t>
      </w:r>
      <w:r w:rsidR="00D94DFE" w:rsidRPr="00F40242">
        <w:rPr>
          <w:sz w:val="26"/>
        </w:rPr>
        <w:t xml:space="preserve"> stakeholder</w:t>
      </w:r>
      <w:r w:rsidR="00AF5C4C" w:rsidRPr="00F40242">
        <w:rPr>
          <w:sz w:val="26"/>
        </w:rPr>
        <w:t>s and especially its shareholders</w:t>
      </w:r>
      <w:r w:rsidR="00D94DFE" w:rsidRPr="00F40242">
        <w:rPr>
          <w:sz w:val="26"/>
        </w:rPr>
        <w:t xml:space="preserve"> that its recent CSR undertakings will create future profit</w:t>
      </w:r>
      <w:r w:rsidR="00AF5C4C" w:rsidRPr="00F40242">
        <w:rPr>
          <w:sz w:val="26"/>
        </w:rPr>
        <w:t>s</w:t>
      </w:r>
      <w:r w:rsidR="00D94DFE" w:rsidRPr="00F40242">
        <w:rPr>
          <w:sz w:val="26"/>
        </w:rPr>
        <w:t>.</w:t>
      </w:r>
    </w:p>
    <w:p w14:paraId="33D64647" w14:textId="2EA901D4" w:rsidR="00993E32" w:rsidRPr="00F40242" w:rsidRDefault="00DB7EA9" w:rsidP="0011086F">
      <w:pPr>
        <w:autoSpaceDE w:val="0"/>
        <w:autoSpaceDN w:val="0"/>
        <w:adjustRightInd w:val="0"/>
        <w:spacing w:line="360" w:lineRule="exact"/>
        <w:ind w:firstLineChars="200" w:firstLine="520"/>
        <w:jc w:val="both"/>
        <w:rPr>
          <w:sz w:val="26"/>
        </w:rPr>
      </w:pPr>
      <w:r w:rsidRPr="00F40242">
        <w:rPr>
          <w:sz w:val="26"/>
        </w:rPr>
        <w:t xml:space="preserve">A mixed relationship between profitability and SED </w:t>
      </w:r>
      <w:r w:rsidRPr="00F40242">
        <w:rPr>
          <w:noProof/>
          <w:sz w:val="26"/>
        </w:rPr>
        <w:t xml:space="preserve">is </w:t>
      </w:r>
      <w:r w:rsidR="00AF5C4C" w:rsidRPr="00F40242">
        <w:rPr>
          <w:noProof/>
          <w:sz w:val="26"/>
        </w:rPr>
        <w:t>identified</w:t>
      </w:r>
      <w:r w:rsidR="00AF5C4C" w:rsidRPr="00F40242">
        <w:rPr>
          <w:sz w:val="26"/>
        </w:rPr>
        <w:t xml:space="preserve"> </w:t>
      </w:r>
      <w:r w:rsidRPr="00F40242">
        <w:rPr>
          <w:sz w:val="26"/>
        </w:rPr>
        <w:t>by e</w:t>
      </w:r>
      <w:r w:rsidR="00C70A18" w:rsidRPr="00F40242">
        <w:rPr>
          <w:sz w:val="26"/>
        </w:rPr>
        <w:t xml:space="preserve">mpirical </w:t>
      </w:r>
      <w:r w:rsidRPr="00F40242">
        <w:rPr>
          <w:sz w:val="26"/>
        </w:rPr>
        <w:t>studies in developed</w:t>
      </w:r>
      <w:r w:rsidR="007273BB" w:rsidRPr="00F40242">
        <w:rPr>
          <w:sz w:val="26"/>
        </w:rPr>
        <w:t xml:space="preserve"> and developing</w:t>
      </w:r>
      <w:r w:rsidRPr="00F40242">
        <w:rPr>
          <w:sz w:val="26"/>
        </w:rPr>
        <w:t xml:space="preserve"> countries. </w:t>
      </w:r>
      <w:r w:rsidRPr="00F40242">
        <w:rPr>
          <w:noProof/>
          <w:sz w:val="26"/>
        </w:rPr>
        <w:t xml:space="preserve">A positive association between profitability and SED is reported by </w:t>
      </w:r>
      <w:r w:rsidR="007273BB" w:rsidRPr="00F40242">
        <w:rPr>
          <w:noProof/>
          <w:sz w:val="26"/>
        </w:rPr>
        <w:t xml:space="preserve">Crisóstomo et al. </w:t>
      </w:r>
      <w:r w:rsidR="000E1774" w:rsidRPr="00F40242">
        <w:rPr>
          <w:noProof/>
          <w:sz w:val="26"/>
        </w:rPr>
        <w:t>(</w:t>
      </w:r>
      <w:r w:rsidR="007273BB" w:rsidRPr="00F40242">
        <w:rPr>
          <w:noProof/>
          <w:sz w:val="26"/>
        </w:rPr>
        <w:t>2011</w:t>
      </w:r>
      <w:r w:rsidR="000E1774" w:rsidRPr="00F40242">
        <w:rPr>
          <w:noProof/>
          <w:sz w:val="26"/>
        </w:rPr>
        <w:t>)</w:t>
      </w:r>
      <w:r w:rsidR="007273BB" w:rsidRPr="00F40242">
        <w:rPr>
          <w:noProof/>
          <w:sz w:val="26"/>
        </w:rPr>
        <w:t>, Haniffa and Coke (2005), Kansal et al. (2014), Lu and Abeysekera (2014)</w:t>
      </w:r>
      <w:r w:rsidR="000E1774" w:rsidRPr="00F40242">
        <w:rPr>
          <w:noProof/>
          <w:sz w:val="26"/>
        </w:rPr>
        <w:t>, Oeyono et al. (2011)</w:t>
      </w:r>
      <w:r w:rsidR="007273BB" w:rsidRPr="00F40242">
        <w:rPr>
          <w:noProof/>
          <w:sz w:val="26"/>
        </w:rPr>
        <w:t xml:space="preserve"> and Roberts (1992), </w:t>
      </w:r>
      <w:r w:rsidR="00D94DFE" w:rsidRPr="00F40242">
        <w:rPr>
          <w:noProof/>
          <w:sz w:val="26"/>
        </w:rPr>
        <w:t xml:space="preserve">whereas Wallace and Naser (1995) reported a negative asociation between </w:t>
      </w:r>
      <w:r w:rsidR="00B80424" w:rsidRPr="00F40242">
        <w:rPr>
          <w:noProof/>
          <w:sz w:val="26"/>
        </w:rPr>
        <w:t>profit</w:t>
      </w:r>
      <w:r w:rsidR="00445CE5">
        <w:rPr>
          <w:noProof/>
          <w:sz w:val="26"/>
        </w:rPr>
        <w:t>ability</w:t>
      </w:r>
      <w:r w:rsidR="00B80424" w:rsidRPr="00F40242">
        <w:rPr>
          <w:noProof/>
          <w:sz w:val="26"/>
        </w:rPr>
        <w:t xml:space="preserve"> and SED.</w:t>
      </w:r>
      <w:r w:rsidR="00D94DFE" w:rsidRPr="00F40242">
        <w:rPr>
          <w:noProof/>
          <w:sz w:val="26"/>
        </w:rPr>
        <w:t xml:space="preserve"> </w:t>
      </w:r>
      <w:r w:rsidR="00CD711D" w:rsidRPr="00F40242">
        <w:rPr>
          <w:noProof/>
          <w:sz w:val="26"/>
        </w:rPr>
        <w:t>Other studies found no association between SED and profitability</w:t>
      </w:r>
      <w:r w:rsidR="000E1774" w:rsidRPr="00F40242">
        <w:rPr>
          <w:sz w:val="26"/>
        </w:rPr>
        <w:t xml:space="preserve"> (Adams</w:t>
      </w:r>
      <w:r w:rsidR="003701F5" w:rsidRPr="00F40242">
        <w:rPr>
          <w:sz w:val="26"/>
        </w:rPr>
        <w:t>,</w:t>
      </w:r>
      <w:r w:rsidR="00AF5C4C" w:rsidRPr="00F40242">
        <w:rPr>
          <w:sz w:val="26"/>
        </w:rPr>
        <w:t xml:space="preserve"> </w:t>
      </w:r>
      <w:r w:rsidR="003701F5" w:rsidRPr="00F40242">
        <w:rPr>
          <w:sz w:val="26"/>
        </w:rPr>
        <w:t>2</w:t>
      </w:r>
      <w:r w:rsidR="000E1774" w:rsidRPr="00F40242">
        <w:rPr>
          <w:sz w:val="26"/>
        </w:rPr>
        <w:t>002; Aras et al.</w:t>
      </w:r>
      <w:r w:rsidR="003701F5" w:rsidRPr="00F40242">
        <w:rPr>
          <w:sz w:val="26"/>
        </w:rPr>
        <w:t>,</w:t>
      </w:r>
      <w:r w:rsidR="00AF5C4C" w:rsidRPr="00F40242">
        <w:rPr>
          <w:sz w:val="26"/>
        </w:rPr>
        <w:t xml:space="preserve"> </w:t>
      </w:r>
      <w:r w:rsidR="003701F5" w:rsidRPr="00F40242">
        <w:rPr>
          <w:sz w:val="26"/>
        </w:rPr>
        <w:t>2</w:t>
      </w:r>
      <w:r w:rsidR="000E1774" w:rsidRPr="00F40242">
        <w:rPr>
          <w:sz w:val="26"/>
        </w:rPr>
        <w:t>01</w:t>
      </w:r>
      <w:r w:rsidR="00844A0A" w:rsidRPr="00F40242">
        <w:rPr>
          <w:sz w:val="26"/>
        </w:rPr>
        <w:t xml:space="preserve">0; </w:t>
      </w:r>
      <w:r w:rsidR="00844A0A" w:rsidRPr="00F40242">
        <w:rPr>
          <w:rFonts w:eastAsiaTheme="minorHAnsi"/>
          <w:noProof/>
          <w:color w:val="000000"/>
          <w:sz w:val="26"/>
        </w:rPr>
        <w:t>Branco</w:t>
      </w:r>
      <w:r w:rsidR="00AF5C4C" w:rsidRPr="00F40242">
        <w:rPr>
          <w:rFonts w:eastAsiaTheme="minorHAnsi"/>
          <w:noProof/>
          <w:color w:val="000000"/>
          <w:sz w:val="26"/>
        </w:rPr>
        <w:t xml:space="preserve"> </w:t>
      </w:r>
      <w:r w:rsidR="00EC7873" w:rsidRPr="00F40242">
        <w:rPr>
          <w:rFonts w:eastAsiaTheme="minorHAnsi"/>
          <w:noProof/>
          <w:color w:val="000000"/>
          <w:sz w:val="26"/>
        </w:rPr>
        <w:t>&amp;</w:t>
      </w:r>
      <w:r w:rsidR="00AF5C4C" w:rsidRPr="00F40242">
        <w:rPr>
          <w:rFonts w:eastAsiaTheme="minorHAnsi"/>
          <w:noProof/>
          <w:color w:val="000000"/>
          <w:sz w:val="26"/>
        </w:rPr>
        <w:t xml:space="preserve"> </w:t>
      </w:r>
      <w:r w:rsidR="00844A0A" w:rsidRPr="00F40242">
        <w:rPr>
          <w:rFonts w:eastAsiaTheme="minorHAnsi"/>
          <w:noProof/>
          <w:color w:val="000000"/>
          <w:sz w:val="26"/>
        </w:rPr>
        <w:t>Rodrigues</w:t>
      </w:r>
      <w:r w:rsidR="003701F5" w:rsidRPr="00F40242">
        <w:rPr>
          <w:rFonts w:eastAsiaTheme="minorHAnsi"/>
          <w:noProof/>
          <w:color w:val="000000"/>
          <w:sz w:val="26"/>
        </w:rPr>
        <w:t>,</w:t>
      </w:r>
      <w:r w:rsidR="00AF5C4C" w:rsidRPr="00F40242">
        <w:rPr>
          <w:rFonts w:eastAsiaTheme="minorHAnsi"/>
          <w:noProof/>
          <w:color w:val="000000"/>
          <w:sz w:val="26"/>
        </w:rPr>
        <w:t xml:space="preserve"> </w:t>
      </w:r>
      <w:r w:rsidR="003701F5" w:rsidRPr="00F40242">
        <w:rPr>
          <w:rFonts w:eastAsiaTheme="minorHAnsi"/>
          <w:noProof/>
          <w:color w:val="000000"/>
          <w:sz w:val="26"/>
        </w:rPr>
        <w:t>2</w:t>
      </w:r>
      <w:r w:rsidR="00844A0A" w:rsidRPr="00F40242">
        <w:rPr>
          <w:rFonts w:eastAsiaTheme="minorHAnsi"/>
          <w:noProof/>
          <w:color w:val="000000"/>
          <w:sz w:val="26"/>
        </w:rPr>
        <w:t xml:space="preserve">008; </w:t>
      </w:r>
      <w:r w:rsidR="00844A0A" w:rsidRPr="00F40242">
        <w:rPr>
          <w:noProof/>
          <w:color w:val="000000"/>
          <w:sz w:val="26"/>
        </w:rPr>
        <w:t>Hackston</w:t>
      </w:r>
      <w:r w:rsidR="00AF5C4C" w:rsidRPr="00F40242">
        <w:rPr>
          <w:noProof/>
          <w:color w:val="000000"/>
          <w:sz w:val="26"/>
        </w:rPr>
        <w:t xml:space="preserve"> </w:t>
      </w:r>
      <w:r w:rsidR="00EC7873" w:rsidRPr="00F40242">
        <w:rPr>
          <w:noProof/>
          <w:color w:val="000000"/>
          <w:sz w:val="26"/>
        </w:rPr>
        <w:t>&amp;</w:t>
      </w:r>
      <w:r w:rsidR="00AF5C4C" w:rsidRPr="00F40242">
        <w:rPr>
          <w:noProof/>
          <w:color w:val="000000"/>
          <w:sz w:val="26"/>
        </w:rPr>
        <w:t xml:space="preserve"> </w:t>
      </w:r>
      <w:r w:rsidR="00844A0A" w:rsidRPr="00F40242">
        <w:rPr>
          <w:noProof/>
          <w:color w:val="000000"/>
          <w:sz w:val="26"/>
        </w:rPr>
        <w:t xml:space="preserve">Milne, 1996; </w:t>
      </w:r>
      <w:r w:rsidR="00E81F69" w:rsidRPr="00F40242">
        <w:rPr>
          <w:noProof/>
          <w:color w:val="000000"/>
          <w:sz w:val="26"/>
        </w:rPr>
        <w:t xml:space="preserve">Mahadeo et al., 2011; </w:t>
      </w:r>
      <w:r w:rsidR="00844A0A" w:rsidRPr="00F40242">
        <w:rPr>
          <w:rFonts w:eastAsiaTheme="minorHAnsi"/>
          <w:noProof/>
          <w:color w:val="000000"/>
          <w:sz w:val="26"/>
        </w:rPr>
        <w:t>Reverte</w:t>
      </w:r>
      <w:r w:rsidR="003701F5" w:rsidRPr="00F40242">
        <w:rPr>
          <w:rFonts w:eastAsiaTheme="minorHAnsi"/>
          <w:noProof/>
          <w:color w:val="000000"/>
          <w:sz w:val="26"/>
        </w:rPr>
        <w:t>,</w:t>
      </w:r>
      <w:r w:rsidR="00AF5C4C" w:rsidRPr="00F40242">
        <w:rPr>
          <w:rFonts w:eastAsiaTheme="minorHAnsi"/>
          <w:noProof/>
          <w:color w:val="000000"/>
          <w:sz w:val="26"/>
        </w:rPr>
        <w:t xml:space="preserve"> </w:t>
      </w:r>
      <w:r w:rsidR="003701F5" w:rsidRPr="00F40242">
        <w:rPr>
          <w:rFonts w:eastAsiaTheme="minorHAnsi"/>
          <w:noProof/>
          <w:color w:val="000000"/>
          <w:sz w:val="26"/>
        </w:rPr>
        <w:t>2</w:t>
      </w:r>
      <w:r w:rsidR="00844A0A" w:rsidRPr="00F40242">
        <w:rPr>
          <w:rFonts w:eastAsiaTheme="minorHAnsi"/>
          <w:noProof/>
          <w:color w:val="000000"/>
          <w:sz w:val="26"/>
        </w:rPr>
        <w:t>009.</w:t>
      </w:r>
      <w:r w:rsidR="00E81F69">
        <w:rPr>
          <w:rFonts w:eastAsiaTheme="minorHAnsi"/>
          <w:noProof/>
          <w:color w:val="000000"/>
          <w:sz w:val="26"/>
        </w:rPr>
        <w:t>)</w:t>
      </w:r>
      <w:r w:rsidR="00844A0A" w:rsidRPr="00F40242">
        <w:rPr>
          <w:rFonts w:asciiTheme="minorHAnsi" w:eastAsiaTheme="minorHAnsi" w:hAnsiTheme="minorHAnsi" w:cstheme="minorBidi"/>
          <w:noProof/>
          <w:color w:val="000000"/>
          <w:sz w:val="26"/>
          <w:szCs w:val="22"/>
        </w:rPr>
        <w:t xml:space="preserve"> </w:t>
      </w:r>
      <w:r w:rsidR="000E1774" w:rsidRPr="00F40242">
        <w:rPr>
          <w:sz w:val="26"/>
        </w:rPr>
        <w:t xml:space="preserve">Based on the inconclusive results </w:t>
      </w:r>
      <w:r w:rsidR="00B80424" w:rsidRPr="00F40242">
        <w:rPr>
          <w:sz w:val="26"/>
        </w:rPr>
        <w:t xml:space="preserve">from </w:t>
      </w:r>
      <w:r w:rsidR="00AF5C4C" w:rsidRPr="00F40242">
        <w:rPr>
          <w:sz w:val="26"/>
        </w:rPr>
        <w:t xml:space="preserve">the </w:t>
      </w:r>
      <w:r w:rsidR="00B80424" w:rsidRPr="00F40242">
        <w:rPr>
          <w:sz w:val="26"/>
        </w:rPr>
        <w:t>literature</w:t>
      </w:r>
      <w:r w:rsidR="000E1774" w:rsidRPr="00F40242">
        <w:rPr>
          <w:sz w:val="26"/>
        </w:rPr>
        <w:t xml:space="preserve">, </w:t>
      </w:r>
      <w:r w:rsidR="00B80424" w:rsidRPr="00F40242">
        <w:rPr>
          <w:sz w:val="26"/>
        </w:rPr>
        <w:t xml:space="preserve">it </w:t>
      </w:r>
      <w:r w:rsidR="000E1774" w:rsidRPr="00F40242">
        <w:rPr>
          <w:sz w:val="26"/>
        </w:rPr>
        <w:t>may</w:t>
      </w:r>
      <w:r w:rsidR="00B80424" w:rsidRPr="00F40242">
        <w:rPr>
          <w:sz w:val="26"/>
        </w:rPr>
        <w:t xml:space="preserve"> be assume</w:t>
      </w:r>
      <w:r w:rsidR="00AF5C4C" w:rsidRPr="00F40242">
        <w:rPr>
          <w:sz w:val="26"/>
        </w:rPr>
        <w:t>d</w:t>
      </w:r>
      <w:r w:rsidR="00B80424" w:rsidRPr="00F40242">
        <w:rPr>
          <w:sz w:val="26"/>
        </w:rPr>
        <w:t xml:space="preserve"> that there will be a positive, negative, or no association between company profit</w:t>
      </w:r>
      <w:r w:rsidR="00445CE5">
        <w:rPr>
          <w:sz w:val="26"/>
        </w:rPr>
        <w:t>ability</w:t>
      </w:r>
      <w:r w:rsidR="00B80424" w:rsidRPr="00F40242">
        <w:rPr>
          <w:sz w:val="26"/>
        </w:rPr>
        <w:t xml:space="preserve"> and SED.</w:t>
      </w:r>
      <w:r w:rsidR="00993E32" w:rsidRPr="00F40242">
        <w:rPr>
          <w:sz w:val="26"/>
        </w:rPr>
        <w:t xml:space="preserve"> Therefore, we hypothes</w:t>
      </w:r>
      <w:r w:rsidR="00AF5C4C" w:rsidRPr="00F40242">
        <w:rPr>
          <w:sz w:val="26"/>
        </w:rPr>
        <w:t>ise</w:t>
      </w:r>
      <w:r w:rsidR="00993E32" w:rsidRPr="00F40242">
        <w:rPr>
          <w:sz w:val="26"/>
        </w:rPr>
        <w:t xml:space="preserve"> </w:t>
      </w:r>
      <w:r w:rsidR="00B80424" w:rsidRPr="00F40242">
        <w:rPr>
          <w:sz w:val="26"/>
        </w:rPr>
        <w:t>that</w:t>
      </w:r>
      <w:r w:rsidR="00993E32" w:rsidRPr="00F40242">
        <w:rPr>
          <w:sz w:val="26"/>
        </w:rPr>
        <w:t>:</w:t>
      </w:r>
    </w:p>
    <w:p w14:paraId="7300D9AB" w14:textId="67DA740F" w:rsidR="0011086F" w:rsidRDefault="00C70A18" w:rsidP="006B1EBC">
      <w:pPr>
        <w:autoSpaceDE w:val="0"/>
        <w:autoSpaceDN w:val="0"/>
        <w:adjustRightInd w:val="0"/>
        <w:spacing w:line="360" w:lineRule="exact"/>
        <w:jc w:val="both"/>
        <w:rPr>
          <w:sz w:val="26"/>
          <w:lang w:eastAsia="en-AU"/>
        </w:rPr>
      </w:pPr>
      <w:r w:rsidRPr="00F40242">
        <w:rPr>
          <w:b/>
          <w:sz w:val="26"/>
          <w:lang w:eastAsia="en-AU"/>
        </w:rPr>
        <w:t>H</w:t>
      </w:r>
      <w:r w:rsidR="007C2990" w:rsidRPr="00F40242">
        <w:rPr>
          <w:b/>
          <w:sz w:val="26"/>
          <w:vertAlign w:val="subscript"/>
          <w:lang w:eastAsia="en-AU"/>
        </w:rPr>
        <w:t>3</w:t>
      </w:r>
      <w:r w:rsidRPr="00F40242">
        <w:rPr>
          <w:sz w:val="26"/>
          <w:lang w:eastAsia="en-AU"/>
        </w:rPr>
        <w:t xml:space="preserve">: There is a positive </w:t>
      </w:r>
      <w:r w:rsidR="00B80424" w:rsidRPr="00F40242">
        <w:rPr>
          <w:sz w:val="26"/>
          <w:lang w:eastAsia="en-AU"/>
        </w:rPr>
        <w:t>relation</w:t>
      </w:r>
      <w:r w:rsidRPr="00F40242">
        <w:rPr>
          <w:sz w:val="26"/>
          <w:lang w:eastAsia="en-AU"/>
        </w:rPr>
        <w:t xml:space="preserve"> between </w:t>
      </w:r>
      <w:r w:rsidR="00B80424" w:rsidRPr="00F40242">
        <w:rPr>
          <w:sz w:val="26"/>
          <w:lang w:eastAsia="en-AU"/>
        </w:rPr>
        <w:t>company profit</w:t>
      </w:r>
      <w:r w:rsidR="00445CE5">
        <w:rPr>
          <w:sz w:val="26"/>
          <w:lang w:eastAsia="en-AU"/>
        </w:rPr>
        <w:t>ability</w:t>
      </w:r>
      <w:r w:rsidR="00B80424" w:rsidRPr="00F40242">
        <w:rPr>
          <w:sz w:val="26"/>
          <w:lang w:eastAsia="en-AU"/>
        </w:rPr>
        <w:t xml:space="preserve"> </w:t>
      </w:r>
      <w:r w:rsidRPr="00F40242">
        <w:rPr>
          <w:sz w:val="26"/>
          <w:lang w:eastAsia="en-AU"/>
        </w:rPr>
        <w:t xml:space="preserve">and </w:t>
      </w:r>
      <w:r w:rsidR="0049487E" w:rsidRPr="00F40242">
        <w:rPr>
          <w:sz w:val="26"/>
          <w:lang w:eastAsia="en-AU"/>
        </w:rPr>
        <w:t>SED</w:t>
      </w:r>
      <w:r w:rsidRPr="00F40242">
        <w:rPr>
          <w:sz w:val="26"/>
          <w:lang w:eastAsia="en-AU"/>
        </w:rPr>
        <w:t>.</w:t>
      </w:r>
    </w:p>
    <w:p w14:paraId="4547D0F0" w14:textId="77777777" w:rsidR="006B1EBC" w:rsidRDefault="006B1EBC" w:rsidP="006B1EBC">
      <w:pPr>
        <w:autoSpaceDE w:val="0"/>
        <w:autoSpaceDN w:val="0"/>
        <w:adjustRightInd w:val="0"/>
        <w:spacing w:line="360" w:lineRule="exact"/>
        <w:jc w:val="both"/>
        <w:rPr>
          <w:sz w:val="26"/>
          <w:lang w:eastAsia="en-AU"/>
        </w:rPr>
      </w:pPr>
    </w:p>
    <w:p w14:paraId="0F858964" w14:textId="7FE799B6" w:rsidR="00C70A18" w:rsidRPr="0011086F" w:rsidRDefault="00B9258A" w:rsidP="00050AB9">
      <w:pPr>
        <w:autoSpaceDE w:val="0"/>
        <w:autoSpaceDN w:val="0"/>
        <w:adjustRightInd w:val="0"/>
        <w:jc w:val="both"/>
        <w:rPr>
          <w:sz w:val="26"/>
          <w:lang w:eastAsia="en-AU"/>
        </w:rPr>
      </w:pPr>
      <w:r w:rsidRPr="0011086F">
        <w:rPr>
          <w:b/>
          <w:bCs/>
          <w:sz w:val="26"/>
          <w:lang w:val="en-US"/>
        </w:rPr>
        <w:t>Industry</w:t>
      </w:r>
      <w:r w:rsidR="00993E32" w:rsidRPr="0011086F">
        <w:rPr>
          <w:b/>
          <w:bCs/>
          <w:sz w:val="26"/>
          <w:lang w:val="en-US"/>
        </w:rPr>
        <w:t xml:space="preserve"> </w:t>
      </w:r>
      <w:r w:rsidR="00993E32" w:rsidRPr="00050AB9">
        <w:rPr>
          <w:rFonts w:eastAsia="Calibri"/>
          <w:b/>
          <w:iCs/>
          <w:sz w:val="26"/>
        </w:rPr>
        <w:t>C</w:t>
      </w:r>
      <w:r w:rsidR="008E10C8" w:rsidRPr="00050AB9">
        <w:rPr>
          <w:rFonts w:eastAsia="Calibri"/>
          <w:b/>
          <w:iCs/>
          <w:sz w:val="26"/>
        </w:rPr>
        <w:t>ategory</w:t>
      </w:r>
    </w:p>
    <w:p w14:paraId="543DED12" w14:textId="5C30E805" w:rsidR="00A95B94" w:rsidRPr="00445CE5" w:rsidRDefault="00A95B94" w:rsidP="0011086F">
      <w:pPr>
        <w:autoSpaceDE w:val="0"/>
        <w:autoSpaceDN w:val="0"/>
        <w:adjustRightInd w:val="0"/>
        <w:spacing w:line="360" w:lineRule="exact"/>
        <w:ind w:firstLineChars="200" w:firstLine="520"/>
        <w:jc w:val="both"/>
        <w:rPr>
          <w:rFonts w:eastAsia="Calibri"/>
          <w:sz w:val="26"/>
        </w:rPr>
      </w:pPr>
      <w:r w:rsidRPr="00445CE5">
        <w:rPr>
          <w:rFonts w:eastAsia="Calibri"/>
          <w:noProof/>
          <w:sz w:val="26"/>
        </w:rPr>
        <w:t>Proponent</w:t>
      </w:r>
      <w:r w:rsidR="00B9258A" w:rsidRPr="00445CE5">
        <w:rPr>
          <w:rFonts w:eastAsia="Calibri"/>
          <w:noProof/>
          <w:sz w:val="26"/>
        </w:rPr>
        <w:t xml:space="preserve">s of </w:t>
      </w:r>
      <w:r w:rsidR="00993E32" w:rsidRPr="00445CE5">
        <w:rPr>
          <w:rFonts w:eastAsia="Calibri"/>
          <w:noProof/>
          <w:sz w:val="26"/>
        </w:rPr>
        <w:t xml:space="preserve">legitimacy theory argue that companies operating </w:t>
      </w:r>
      <w:r w:rsidR="008D1DB8" w:rsidRPr="00445CE5">
        <w:rPr>
          <w:rFonts w:eastAsia="Calibri"/>
          <w:noProof/>
          <w:sz w:val="26"/>
        </w:rPr>
        <w:t>in an industry in which</w:t>
      </w:r>
      <w:r w:rsidR="00993E32" w:rsidRPr="00445CE5">
        <w:rPr>
          <w:rFonts w:eastAsia="Calibri"/>
          <w:noProof/>
          <w:sz w:val="26"/>
        </w:rPr>
        <w:t xml:space="preserve"> activities are perceived to have a more significant and evident impact on society will </w:t>
      </w:r>
      <w:r w:rsidR="00EB300D" w:rsidRPr="00445CE5">
        <w:rPr>
          <w:rFonts w:eastAsia="Calibri"/>
          <w:noProof/>
          <w:sz w:val="26"/>
        </w:rPr>
        <w:t xml:space="preserve">enrich their SED activities to ‘compensate’ </w:t>
      </w:r>
      <w:r w:rsidR="008D1DB8" w:rsidRPr="00445CE5">
        <w:rPr>
          <w:rFonts w:eastAsia="Calibri"/>
          <w:noProof/>
          <w:sz w:val="26"/>
        </w:rPr>
        <w:t xml:space="preserve">for </w:t>
      </w:r>
      <w:r w:rsidR="00EB300D" w:rsidRPr="00445CE5">
        <w:rPr>
          <w:rFonts w:eastAsia="Calibri"/>
          <w:noProof/>
          <w:sz w:val="26"/>
        </w:rPr>
        <w:t>the effects of their activities</w:t>
      </w:r>
      <w:r w:rsidR="00844A0A" w:rsidRPr="00445CE5">
        <w:rPr>
          <w:rFonts w:eastAsia="Calibri"/>
          <w:noProof/>
          <w:sz w:val="26"/>
        </w:rPr>
        <w:t xml:space="preserve"> (</w:t>
      </w:r>
      <w:r w:rsidR="00844A0A" w:rsidRPr="00445CE5">
        <w:rPr>
          <w:rFonts w:eastAsiaTheme="minorHAnsi"/>
          <w:noProof/>
          <w:sz w:val="26"/>
        </w:rPr>
        <w:t>Branco</w:t>
      </w:r>
      <w:r w:rsidR="008D1DB8" w:rsidRPr="00445CE5">
        <w:rPr>
          <w:rFonts w:eastAsiaTheme="minorHAnsi"/>
          <w:noProof/>
          <w:sz w:val="26"/>
        </w:rPr>
        <w:t xml:space="preserve"> </w:t>
      </w:r>
      <w:r w:rsidR="00EC7873" w:rsidRPr="00445CE5">
        <w:rPr>
          <w:rFonts w:eastAsiaTheme="minorHAnsi"/>
          <w:noProof/>
          <w:sz w:val="26"/>
        </w:rPr>
        <w:t>&amp;</w:t>
      </w:r>
      <w:r w:rsidR="008D1DB8" w:rsidRPr="00445CE5">
        <w:rPr>
          <w:rFonts w:eastAsiaTheme="minorHAnsi"/>
          <w:noProof/>
          <w:sz w:val="26"/>
        </w:rPr>
        <w:t xml:space="preserve"> </w:t>
      </w:r>
      <w:r w:rsidR="00844A0A" w:rsidRPr="00445CE5">
        <w:rPr>
          <w:rFonts w:eastAsiaTheme="minorHAnsi"/>
          <w:noProof/>
          <w:sz w:val="26"/>
        </w:rPr>
        <w:t>Rodrigues</w:t>
      </w:r>
      <w:r w:rsidR="003701F5" w:rsidRPr="00445CE5">
        <w:rPr>
          <w:rFonts w:eastAsiaTheme="minorHAnsi"/>
          <w:noProof/>
          <w:sz w:val="26"/>
        </w:rPr>
        <w:t>,</w:t>
      </w:r>
      <w:r w:rsidR="008D1DB8" w:rsidRPr="00445CE5">
        <w:rPr>
          <w:rFonts w:eastAsiaTheme="minorHAnsi"/>
          <w:noProof/>
          <w:sz w:val="26"/>
        </w:rPr>
        <w:t xml:space="preserve"> </w:t>
      </w:r>
      <w:r w:rsidR="003701F5" w:rsidRPr="00445CE5">
        <w:rPr>
          <w:rFonts w:eastAsiaTheme="minorHAnsi"/>
          <w:noProof/>
          <w:sz w:val="26"/>
        </w:rPr>
        <w:t>2</w:t>
      </w:r>
      <w:r w:rsidR="00844A0A" w:rsidRPr="00445CE5">
        <w:rPr>
          <w:rFonts w:eastAsiaTheme="minorHAnsi"/>
          <w:noProof/>
          <w:sz w:val="26"/>
        </w:rPr>
        <w:t xml:space="preserve">008; Mahadeo </w:t>
      </w:r>
      <w:r w:rsidR="007736B1">
        <w:rPr>
          <w:rFonts w:eastAsiaTheme="minorHAnsi"/>
          <w:noProof/>
          <w:sz w:val="26"/>
        </w:rPr>
        <w:t>et al.</w:t>
      </w:r>
      <w:r w:rsidR="003701F5" w:rsidRPr="00445CE5">
        <w:rPr>
          <w:rFonts w:eastAsiaTheme="minorHAnsi"/>
          <w:noProof/>
          <w:sz w:val="26"/>
        </w:rPr>
        <w:t>,</w:t>
      </w:r>
      <w:r w:rsidR="008D1DB8" w:rsidRPr="00445CE5">
        <w:rPr>
          <w:rFonts w:eastAsiaTheme="minorHAnsi"/>
          <w:noProof/>
          <w:sz w:val="26"/>
        </w:rPr>
        <w:t xml:space="preserve"> </w:t>
      </w:r>
      <w:r w:rsidR="003701F5" w:rsidRPr="00445CE5">
        <w:rPr>
          <w:rFonts w:eastAsiaTheme="minorHAnsi"/>
          <w:noProof/>
          <w:sz w:val="26"/>
        </w:rPr>
        <w:t>2</w:t>
      </w:r>
      <w:r w:rsidR="00844A0A" w:rsidRPr="00445CE5">
        <w:rPr>
          <w:rFonts w:eastAsiaTheme="minorHAnsi"/>
          <w:noProof/>
          <w:sz w:val="26"/>
        </w:rPr>
        <w:t>011; Reverte</w:t>
      </w:r>
      <w:r w:rsidR="003701F5" w:rsidRPr="00445CE5">
        <w:rPr>
          <w:rFonts w:eastAsiaTheme="minorHAnsi"/>
          <w:noProof/>
          <w:sz w:val="26"/>
        </w:rPr>
        <w:t>,</w:t>
      </w:r>
      <w:r w:rsidR="008D1DB8" w:rsidRPr="00445CE5">
        <w:rPr>
          <w:rFonts w:eastAsiaTheme="minorHAnsi"/>
          <w:noProof/>
          <w:sz w:val="26"/>
        </w:rPr>
        <w:t xml:space="preserve"> </w:t>
      </w:r>
      <w:r w:rsidR="003701F5" w:rsidRPr="00445CE5">
        <w:rPr>
          <w:rFonts w:eastAsiaTheme="minorHAnsi"/>
          <w:noProof/>
          <w:sz w:val="26"/>
        </w:rPr>
        <w:t>2</w:t>
      </w:r>
      <w:r w:rsidR="00844A0A" w:rsidRPr="00445CE5">
        <w:rPr>
          <w:rFonts w:eastAsiaTheme="minorHAnsi"/>
          <w:noProof/>
          <w:sz w:val="26"/>
        </w:rPr>
        <w:t>009).</w:t>
      </w:r>
      <w:r w:rsidR="00844A0A" w:rsidRPr="00445CE5">
        <w:rPr>
          <w:rFonts w:asciiTheme="minorHAnsi" w:eastAsiaTheme="minorHAnsi" w:hAnsiTheme="minorHAnsi" w:cstheme="minorBidi"/>
          <w:noProof/>
          <w:sz w:val="26"/>
          <w:szCs w:val="22"/>
        </w:rPr>
        <w:t xml:space="preserve"> </w:t>
      </w:r>
      <w:r w:rsidR="00C70A18" w:rsidRPr="00445CE5">
        <w:rPr>
          <w:sz w:val="26"/>
        </w:rPr>
        <w:t xml:space="preserve">“Industries with high public visibility, or a potentially more important environmental impact, or having less </w:t>
      </w:r>
      <w:r w:rsidR="00C70A18" w:rsidRPr="00445CE5">
        <w:rPr>
          <w:sz w:val="26"/>
        </w:rPr>
        <w:lastRenderedPageBreak/>
        <w:t>favourable public images were fou</w:t>
      </w:r>
      <w:r w:rsidR="00FC7258" w:rsidRPr="00445CE5">
        <w:rPr>
          <w:sz w:val="26"/>
        </w:rPr>
        <w:t>n</w:t>
      </w:r>
      <w:r w:rsidR="00C70A18" w:rsidRPr="00445CE5">
        <w:rPr>
          <w:sz w:val="26"/>
        </w:rPr>
        <w:t>d to disclose more social responsibility information than their counterparts</w:t>
      </w:r>
      <w:r w:rsidR="003070B2" w:rsidRPr="00445CE5">
        <w:rPr>
          <w:sz w:val="26"/>
        </w:rPr>
        <w:t>”</w:t>
      </w:r>
      <w:r w:rsidR="003748A0" w:rsidRPr="00445CE5">
        <w:rPr>
          <w:sz w:val="26"/>
        </w:rPr>
        <w:t xml:space="preserve"> (</w:t>
      </w:r>
      <w:proofErr w:type="spellStart"/>
      <w:r w:rsidR="003748A0" w:rsidRPr="00445CE5">
        <w:rPr>
          <w:noProof/>
          <w:sz w:val="26"/>
        </w:rPr>
        <w:t>Branco</w:t>
      </w:r>
      <w:proofErr w:type="spellEnd"/>
      <w:r w:rsidR="008D1DB8" w:rsidRPr="00445CE5">
        <w:rPr>
          <w:noProof/>
          <w:sz w:val="26"/>
        </w:rPr>
        <w:t xml:space="preserve"> </w:t>
      </w:r>
      <w:r w:rsidR="00EC7873" w:rsidRPr="00445CE5">
        <w:rPr>
          <w:noProof/>
          <w:sz w:val="26"/>
        </w:rPr>
        <w:t>&amp;</w:t>
      </w:r>
      <w:r w:rsidR="008D1DB8" w:rsidRPr="00445CE5">
        <w:rPr>
          <w:noProof/>
          <w:sz w:val="26"/>
        </w:rPr>
        <w:t xml:space="preserve"> </w:t>
      </w:r>
      <w:r w:rsidR="003748A0" w:rsidRPr="00445CE5">
        <w:rPr>
          <w:noProof/>
          <w:sz w:val="26"/>
        </w:rPr>
        <w:t>Rodrigues</w:t>
      </w:r>
      <w:r w:rsidR="003701F5" w:rsidRPr="00445CE5">
        <w:rPr>
          <w:noProof/>
          <w:sz w:val="26"/>
        </w:rPr>
        <w:t>,</w:t>
      </w:r>
      <w:r w:rsidR="008D1DB8" w:rsidRPr="00445CE5">
        <w:rPr>
          <w:noProof/>
          <w:sz w:val="26"/>
        </w:rPr>
        <w:t xml:space="preserve"> </w:t>
      </w:r>
      <w:r w:rsidR="003701F5" w:rsidRPr="00445CE5">
        <w:rPr>
          <w:noProof/>
          <w:sz w:val="26"/>
        </w:rPr>
        <w:t>2</w:t>
      </w:r>
      <w:r w:rsidR="003748A0" w:rsidRPr="00445CE5">
        <w:rPr>
          <w:noProof/>
          <w:sz w:val="26"/>
        </w:rPr>
        <w:t xml:space="preserve">008, </w:t>
      </w:r>
      <w:r w:rsidR="00D26593" w:rsidRPr="00445CE5">
        <w:rPr>
          <w:noProof/>
          <w:sz w:val="26"/>
        </w:rPr>
        <w:t>p.</w:t>
      </w:r>
      <w:r w:rsidR="00343A4F">
        <w:rPr>
          <w:noProof/>
          <w:sz w:val="26"/>
        </w:rPr>
        <w:t xml:space="preserve"> </w:t>
      </w:r>
      <w:r w:rsidR="003748A0" w:rsidRPr="00445CE5">
        <w:rPr>
          <w:noProof/>
          <w:sz w:val="26"/>
        </w:rPr>
        <w:t xml:space="preserve">688). </w:t>
      </w:r>
      <w:r w:rsidR="00EB300D" w:rsidRPr="00445CE5">
        <w:rPr>
          <w:rFonts w:eastAsia="Calibri"/>
          <w:sz w:val="26"/>
        </w:rPr>
        <w:t xml:space="preserve">The adverse selection argument, advocated by </w:t>
      </w:r>
      <w:proofErr w:type="spellStart"/>
      <w:r w:rsidR="00EB300D" w:rsidRPr="00445CE5">
        <w:rPr>
          <w:rFonts w:eastAsia="Calibri"/>
          <w:sz w:val="26"/>
        </w:rPr>
        <w:t>Oyelere</w:t>
      </w:r>
      <w:proofErr w:type="spellEnd"/>
      <w:r w:rsidR="00EB300D" w:rsidRPr="00445CE5">
        <w:rPr>
          <w:rFonts w:eastAsia="Calibri"/>
          <w:sz w:val="26"/>
        </w:rPr>
        <w:t xml:space="preserve">, </w:t>
      </w:r>
      <w:proofErr w:type="spellStart"/>
      <w:r w:rsidR="00EB300D" w:rsidRPr="00445CE5">
        <w:rPr>
          <w:rFonts w:eastAsia="Calibri"/>
          <w:sz w:val="26"/>
        </w:rPr>
        <w:t>Laswad</w:t>
      </w:r>
      <w:proofErr w:type="spellEnd"/>
      <w:r w:rsidR="008D1DB8" w:rsidRPr="00445CE5">
        <w:rPr>
          <w:rFonts w:eastAsia="Calibri"/>
          <w:sz w:val="26"/>
        </w:rPr>
        <w:t xml:space="preserve">, </w:t>
      </w:r>
      <w:r w:rsidR="00EC7873" w:rsidRPr="00445CE5">
        <w:rPr>
          <w:rFonts w:eastAsia="Calibri"/>
          <w:sz w:val="26"/>
        </w:rPr>
        <w:t>&amp;</w:t>
      </w:r>
      <w:r w:rsidR="008D1DB8" w:rsidRPr="00445CE5">
        <w:rPr>
          <w:rFonts w:eastAsia="Calibri"/>
          <w:sz w:val="26"/>
        </w:rPr>
        <w:t xml:space="preserve"> </w:t>
      </w:r>
      <w:r w:rsidR="00EB300D" w:rsidRPr="00445CE5">
        <w:rPr>
          <w:rFonts w:eastAsia="Calibri"/>
          <w:sz w:val="26"/>
        </w:rPr>
        <w:t>Fisher (2003)</w:t>
      </w:r>
      <w:r w:rsidR="008D1DB8" w:rsidRPr="00445CE5">
        <w:rPr>
          <w:rFonts w:eastAsia="Calibri"/>
          <w:sz w:val="26"/>
        </w:rPr>
        <w:t>,</w:t>
      </w:r>
      <w:r w:rsidR="00EB300D" w:rsidRPr="00445CE5">
        <w:rPr>
          <w:rFonts w:eastAsia="Calibri"/>
          <w:sz w:val="26"/>
        </w:rPr>
        <w:t xml:space="preserve"> also suggest</w:t>
      </w:r>
      <w:r w:rsidR="008D1DB8" w:rsidRPr="00445CE5">
        <w:rPr>
          <w:rFonts w:eastAsia="Calibri"/>
          <w:sz w:val="26"/>
        </w:rPr>
        <w:t>s</w:t>
      </w:r>
      <w:r w:rsidR="00EB300D" w:rsidRPr="00445CE5">
        <w:rPr>
          <w:rFonts w:eastAsia="Calibri"/>
          <w:sz w:val="26"/>
        </w:rPr>
        <w:t xml:space="preserve"> that</w:t>
      </w:r>
      <w:r w:rsidR="00863426" w:rsidRPr="00445CE5">
        <w:rPr>
          <w:rFonts w:eastAsia="Calibri"/>
          <w:sz w:val="26"/>
        </w:rPr>
        <w:t xml:space="preserve"> if a company within an industry does not follow the disclosure practices of that industry, the market may interpret this noncompliance as if the company is hiding bad news.</w:t>
      </w:r>
    </w:p>
    <w:p w14:paraId="5C52AC8D" w14:textId="371D5990" w:rsidR="00863426" w:rsidRPr="00F40242" w:rsidRDefault="00A95B94" w:rsidP="0011086F">
      <w:pPr>
        <w:autoSpaceDE w:val="0"/>
        <w:autoSpaceDN w:val="0"/>
        <w:adjustRightInd w:val="0"/>
        <w:spacing w:line="360" w:lineRule="exact"/>
        <w:ind w:firstLineChars="200" w:firstLine="520"/>
        <w:jc w:val="both"/>
        <w:rPr>
          <w:sz w:val="26"/>
        </w:rPr>
      </w:pPr>
      <w:r w:rsidRPr="0011086F">
        <w:rPr>
          <w:rFonts w:eastAsia="Calibri"/>
          <w:noProof/>
          <w:color w:val="000000"/>
          <w:sz w:val="26"/>
        </w:rPr>
        <w:t>Prior authors (Adams</w:t>
      </w:r>
      <w:r w:rsidR="003701F5" w:rsidRPr="0011086F">
        <w:rPr>
          <w:rFonts w:eastAsia="Calibri"/>
          <w:noProof/>
          <w:color w:val="000000"/>
          <w:sz w:val="26"/>
        </w:rPr>
        <w:t>,</w:t>
      </w:r>
      <w:r w:rsidR="008D1DB8" w:rsidRPr="0011086F">
        <w:rPr>
          <w:rFonts w:eastAsia="Calibri"/>
          <w:noProof/>
          <w:color w:val="000000"/>
          <w:sz w:val="26"/>
        </w:rPr>
        <w:t xml:space="preserve"> </w:t>
      </w:r>
      <w:r w:rsidR="003701F5" w:rsidRPr="0011086F">
        <w:rPr>
          <w:rFonts w:eastAsia="Calibri"/>
          <w:noProof/>
          <w:color w:val="000000"/>
          <w:sz w:val="26"/>
        </w:rPr>
        <w:t>2</w:t>
      </w:r>
      <w:r w:rsidRPr="0011086F">
        <w:rPr>
          <w:rFonts w:eastAsia="Calibri"/>
          <w:noProof/>
          <w:color w:val="000000"/>
          <w:sz w:val="26"/>
        </w:rPr>
        <w:t>002; Deegan</w:t>
      </w:r>
      <w:r w:rsidR="008D1DB8" w:rsidRPr="0011086F">
        <w:rPr>
          <w:rFonts w:eastAsia="Calibri"/>
          <w:noProof/>
          <w:color w:val="000000"/>
          <w:sz w:val="26"/>
        </w:rPr>
        <w:t xml:space="preserve"> </w:t>
      </w:r>
      <w:r w:rsidR="00EC7873" w:rsidRPr="0011086F">
        <w:rPr>
          <w:rFonts w:eastAsia="Calibri"/>
          <w:noProof/>
          <w:color w:val="000000"/>
          <w:sz w:val="26"/>
        </w:rPr>
        <w:t>&amp;</w:t>
      </w:r>
      <w:r w:rsidR="008D1DB8" w:rsidRPr="0011086F">
        <w:rPr>
          <w:rFonts w:eastAsia="Calibri"/>
          <w:noProof/>
          <w:color w:val="000000"/>
          <w:sz w:val="26"/>
        </w:rPr>
        <w:t xml:space="preserve"> </w:t>
      </w:r>
      <w:r w:rsidRPr="0011086F">
        <w:rPr>
          <w:rFonts w:eastAsia="Calibri"/>
          <w:noProof/>
          <w:color w:val="000000"/>
          <w:sz w:val="26"/>
        </w:rPr>
        <w:t>Gordon, 1996; Hackston</w:t>
      </w:r>
      <w:r w:rsidR="008D1DB8" w:rsidRPr="0011086F">
        <w:rPr>
          <w:rFonts w:eastAsia="Calibri"/>
          <w:noProof/>
          <w:color w:val="000000"/>
          <w:sz w:val="26"/>
        </w:rPr>
        <w:t xml:space="preserve"> </w:t>
      </w:r>
      <w:r w:rsidR="00EC7873" w:rsidRPr="0011086F">
        <w:rPr>
          <w:rFonts w:eastAsia="Calibri"/>
          <w:noProof/>
          <w:color w:val="000000"/>
          <w:sz w:val="26"/>
        </w:rPr>
        <w:t>&amp;</w:t>
      </w:r>
      <w:r w:rsidR="008D1DB8" w:rsidRPr="0011086F">
        <w:rPr>
          <w:rFonts w:eastAsia="Calibri"/>
          <w:noProof/>
          <w:color w:val="000000"/>
          <w:sz w:val="26"/>
        </w:rPr>
        <w:t xml:space="preserve"> </w:t>
      </w:r>
      <w:r w:rsidRPr="0011086F">
        <w:rPr>
          <w:rFonts w:eastAsia="Calibri"/>
          <w:noProof/>
          <w:color w:val="000000"/>
          <w:sz w:val="26"/>
        </w:rPr>
        <w:t>Milne, 1</w:t>
      </w:r>
      <w:r w:rsidR="00445CE5">
        <w:rPr>
          <w:rFonts w:eastAsia="Calibri"/>
          <w:noProof/>
          <w:color w:val="000000"/>
          <w:sz w:val="26"/>
        </w:rPr>
        <w:t>996</w:t>
      </w:r>
      <w:r w:rsidRPr="00F40242">
        <w:rPr>
          <w:sz w:val="26"/>
        </w:rPr>
        <w:t>) advocated tha</w:t>
      </w:r>
      <w:r w:rsidR="00863426" w:rsidRPr="00F40242">
        <w:rPr>
          <w:sz w:val="26"/>
        </w:rPr>
        <w:t xml:space="preserve">t industry category </w:t>
      </w:r>
      <w:r w:rsidR="00863426" w:rsidRPr="00F40242">
        <w:rPr>
          <w:noProof/>
          <w:sz w:val="26"/>
        </w:rPr>
        <w:t>is associated</w:t>
      </w:r>
      <w:r w:rsidR="00863426" w:rsidRPr="00F40242">
        <w:rPr>
          <w:sz w:val="26"/>
        </w:rPr>
        <w:t xml:space="preserve"> with SED. </w:t>
      </w:r>
      <w:r w:rsidR="00863426" w:rsidRPr="00F40242">
        <w:rPr>
          <w:noProof/>
          <w:sz w:val="26"/>
        </w:rPr>
        <w:t>Prior empirical studies</w:t>
      </w:r>
      <w:r w:rsidR="00613DE3" w:rsidRPr="00F40242">
        <w:rPr>
          <w:noProof/>
          <w:sz w:val="26"/>
        </w:rPr>
        <w:t xml:space="preserve"> in developed and developing countries</w:t>
      </w:r>
      <w:r w:rsidR="00CD711D" w:rsidRPr="00F40242">
        <w:rPr>
          <w:noProof/>
          <w:sz w:val="26"/>
        </w:rPr>
        <w:t xml:space="preserve"> have reported a positive association between SED and industry category (</w:t>
      </w:r>
      <w:r w:rsidR="00863426" w:rsidRPr="00F40242">
        <w:rPr>
          <w:noProof/>
          <w:sz w:val="26"/>
        </w:rPr>
        <w:t>Deegan</w:t>
      </w:r>
      <w:r w:rsidR="00D73086" w:rsidRPr="00F40242">
        <w:rPr>
          <w:noProof/>
          <w:sz w:val="26"/>
        </w:rPr>
        <w:t xml:space="preserve"> </w:t>
      </w:r>
      <w:r w:rsidR="00EC7873" w:rsidRPr="00F40242">
        <w:rPr>
          <w:noProof/>
          <w:sz w:val="26"/>
        </w:rPr>
        <w:t>&amp;</w:t>
      </w:r>
      <w:r w:rsidR="00D73086" w:rsidRPr="00F40242">
        <w:rPr>
          <w:noProof/>
          <w:sz w:val="26"/>
        </w:rPr>
        <w:t xml:space="preserve"> </w:t>
      </w:r>
      <w:r w:rsidR="00863426" w:rsidRPr="00F40242">
        <w:rPr>
          <w:noProof/>
          <w:sz w:val="26"/>
        </w:rPr>
        <w:t>Gordon</w:t>
      </w:r>
      <w:r w:rsidR="00CD711D" w:rsidRPr="00F40242">
        <w:rPr>
          <w:noProof/>
          <w:sz w:val="26"/>
        </w:rPr>
        <w:t xml:space="preserve">, </w:t>
      </w:r>
      <w:r w:rsidR="00613DE3" w:rsidRPr="00F40242">
        <w:rPr>
          <w:noProof/>
          <w:sz w:val="26"/>
        </w:rPr>
        <w:t>1</w:t>
      </w:r>
      <w:r w:rsidR="00863426" w:rsidRPr="00F40242">
        <w:rPr>
          <w:noProof/>
          <w:sz w:val="26"/>
        </w:rPr>
        <w:t>996</w:t>
      </w:r>
      <w:r w:rsidR="00CD711D" w:rsidRPr="00F40242">
        <w:rPr>
          <w:noProof/>
          <w:sz w:val="26"/>
        </w:rPr>
        <w:t>;</w:t>
      </w:r>
      <w:r w:rsidR="00863426" w:rsidRPr="00F40242">
        <w:rPr>
          <w:noProof/>
          <w:sz w:val="26"/>
        </w:rPr>
        <w:t xml:space="preserve"> Gray et al.</w:t>
      </w:r>
      <w:r w:rsidR="00CD711D" w:rsidRPr="00F40242">
        <w:rPr>
          <w:noProof/>
          <w:sz w:val="26"/>
        </w:rPr>
        <w:t>,</w:t>
      </w:r>
      <w:r w:rsidR="00613DE3" w:rsidRPr="00F40242">
        <w:rPr>
          <w:noProof/>
          <w:sz w:val="26"/>
        </w:rPr>
        <w:t xml:space="preserve"> </w:t>
      </w:r>
      <w:r w:rsidR="00863426" w:rsidRPr="00F40242">
        <w:rPr>
          <w:noProof/>
          <w:sz w:val="26"/>
        </w:rPr>
        <w:t>1995</w:t>
      </w:r>
      <w:r w:rsidR="00CD711D" w:rsidRPr="00F40242">
        <w:rPr>
          <w:noProof/>
          <w:sz w:val="26"/>
        </w:rPr>
        <w:t>;</w:t>
      </w:r>
      <w:r w:rsidR="00613DE3" w:rsidRPr="00F40242">
        <w:rPr>
          <w:noProof/>
          <w:sz w:val="26"/>
        </w:rPr>
        <w:t xml:space="preserve"> Hackston</w:t>
      </w:r>
      <w:r w:rsidR="00D73086" w:rsidRPr="00F40242">
        <w:rPr>
          <w:noProof/>
          <w:sz w:val="26"/>
        </w:rPr>
        <w:t xml:space="preserve"> </w:t>
      </w:r>
      <w:r w:rsidR="00EC7873" w:rsidRPr="00F40242">
        <w:rPr>
          <w:noProof/>
          <w:sz w:val="26"/>
        </w:rPr>
        <w:t>&amp;</w:t>
      </w:r>
      <w:r w:rsidR="00D73086" w:rsidRPr="00F40242">
        <w:rPr>
          <w:noProof/>
          <w:sz w:val="26"/>
        </w:rPr>
        <w:t xml:space="preserve"> </w:t>
      </w:r>
      <w:r w:rsidR="00613DE3" w:rsidRPr="00F40242">
        <w:rPr>
          <w:noProof/>
          <w:sz w:val="26"/>
        </w:rPr>
        <w:t>Milne</w:t>
      </w:r>
      <w:r w:rsidR="00CD711D" w:rsidRPr="00F40242">
        <w:rPr>
          <w:noProof/>
          <w:sz w:val="26"/>
        </w:rPr>
        <w:t xml:space="preserve">, </w:t>
      </w:r>
      <w:r w:rsidR="00863426" w:rsidRPr="00F40242">
        <w:rPr>
          <w:noProof/>
          <w:sz w:val="26"/>
        </w:rPr>
        <w:t>1996</w:t>
      </w:r>
      <w:r w:rsidR="00CD711D" w:rsidRPr="00F40242">
        <w:rPr>
          <w:noProof/>
          <w:sz w:val="26"/>
        </w:rPr>
        <w:t xml:space="preserve">; </w:t>
      </w:r>
      <w:r w:rsidR="00613DE3" w:rsidRPr="00F40242">
        <w:rPr>
          <w:bCs/>
          <w:noProof/>
          <w:sz w:val="26"/>
        </w:rPr>
        <w:t>Kansal</w:t>
      </w:r>
      <w:r w:rsidR="00613DE3" w:rsidRPr="00F40242">
        <w:rPr>
          <w:noProof/>
          <w:sz w:val="26"/>
        </w:rPr>
        <w:t xml:space="preserve"> </w:t>
      </w:r>
      <w:r w:rsidR="007736B1">
        <w:rPr>
          <w:noProof/>
          <w:sz w:val="26"/>
        </w:rPr>
        <w:t>et al.</w:t>
      </w:r>
      <w:r w:rsidR="003701F5" w:rsidRPr="00F40242">
        <w:rPr>
          <w:noProof/>
          <w:sz w:val="26"/>
        </w:rPr>
        <w:t>,</w:t>
      </w:r>
      <w:r w:rsidR="00D73086" w:rsidRPr="00F40242">
        <w:rPr>
          <w:noProof/>
          <w:sz w:val="26"/>
        </w:rPr>
        <w:t xml:space="preserve"> </w:t>
      </w:r>
      <w:r w:rsidR="003701F5" w:rsidRPr="00F40242">
        <w:rPr>
          <w:noProof/>
          <w:sz w:val="26"/>
        </w:rPr>
        <w:t>2</w:t>
      </w:r>
      <w:r w:rsidR="00613DE3" w:rsidRPr="00F40242">
        <w:rPr>
          <w:bCs/>
          <w:noProof/>
          <w:sz w:val="26"/>
        </w:rPr>
        <w:t>014</w:t>
      </w:r>
      <w:r w:rsidR="00CD711D" w:rsidRPr="00F40242">
        <w:rPr>
          <w:bCs/>
          <w:noProof/>
          <w:sz w:val="26"/>
        </w:rPr>
        <w:t>;</w:t>
      </w:r>
      <w:r w:rsidR="00613DE3" w:rsidRPr="00F40242">
        <w:rPr>
          <w:bCs/>
          <w:noProof/>
          <w:sz w:val="26"/>
        </w:rPr>
        <w:t xml:space="preserve"> </w:t>
      </w:r>
      <w:r w:rsidR="00613DE3" w:rsidRPr="00F40242">
        <w:rPr>
          <w:noProof/>
          <w:sz w:val="26"/>
        </w:rPr>
        <w:t>Lu</w:t>
      </w:r>
      <w:r w:rsidR="00D73086" w:rsidRPr="00F40242">
        <w:rPr>
          <w:noProof/>
          <w:sz w:val="26"/>
        </w:rPr>
        <w:t xml:space="preserve"> </w:t>
      </w:r>
      <w:r w:rsidR="00EC7873" w:rsidRPr="00F40242">
        <w:rPr>
          <w:noProof/>
          <w:sz w:val="26"/>
        </w:rPr>
        <w:t>&amp;</w:t>
      </w:r>
      <w:r w:rsidR="00D73086" w:rsidRPr="00F40242">
        <w:rPr>
          <w:noProof/>
          <w:sz w:val="26"/>
        </w:rPr>
        <w:t xml:space="preserve"> </w:t>
      </w:r>
      <w:r w:rsidR="00613DE3" w:rsidRPr="00F40242">
        <w:rPr>
          <w:noProof/>
          <w:sz w:val="26"/>
        </w:rPr>
        <w:t>Abeysekera</w:t>
      </w:r>
      <w:r w:rsidR="003701F5" w:rsidRPr="00F40242">
        <w:rPr>
          <w:noProof/>
          <w:sz w:val="26"/>
        </w:rPr>
        <w:t>,</w:t>
      </w:r>
      <w:r w:rsidR="00D73086" w:rsidRPr="00F40242">
        <w:rPr>
          <w:noProof/>
          <w:sz w:val="26"/>
        </w:rPr>
        <w:t xml:space="preserve"> </w:t>
      </w:r>
      <w:r w:rsidR="003701F5" w:rsidRPr="00F40242">
        <w:rPr>
          <w:noProof/>
          <w:sz w:val="26"/>
        </w:rPr>
        <w:t>2</w:t>
      </w:r>
      <w:r w:rsidR="00613DE3" w:rsidRPr="00F40242">
        <w:rPr>
          <w:noProof/>
          <w:sz w:val="26"/>
        </w:rPr>
        <w:t>014</w:t>
      </w:r>
      <w:r w:rsidR="00CD711D" w:rsidRPr="00F40242">
        <w:rPr>
          <w:noProof/>
          <w:sz w:val="26"/>
        </w:rPr>
        <w:t>;</w:t>
      </w:r>
      <w:r w:rsidR="00613DE3" w:rsidRPr="00F40242">
        <w:rPr>
          <w:noProof/>
          <w:sz w:val="26"/>
        </w:rPr>
        <w:t xml:space="preserve"> Muttakin</w:t>
      </w:r>
      <w:r w:rsidR="00D73086" w:rsidRPr="00F40242">
        <w:rPr>
          <w:noProof/>
          <w:sz w:val="26"/>
        </w:rPr>
        <w:t xml:space="preserve"> </w:t>
      </w:r>
      <w:r w:rsidR="00EC7873" w:rsidRPr="00F40242">
        <w:rPr>
          <w:noProof/>
          <w:sz w:val="26"/>
        </w:rPr>
        <w:t>&amp;</w:t>
      </w:r>
      <w:r w:rsidR="00D73086" w:rsidRPr="00F40242">
        <w:rPr>
          <w:noProof/>
          <w:sz w:val="26"/>
        </w:rPr>
        <w:t xml:space="preserve"> </w:t>
      </w:r>
      <w:r w:rsidR="00613DE3" w:rsidRPr="00F40242">
        <w:rPr>
          <w:noProof/>
          <w:sz w:val="26"/>
        </w:rPr>
        <w:t>Khan</w:t>
      </w:r>
      <w:r w:rsidR="003701F5" w:rsidRPr="00F40242">
        <w:rPr>
          <w:noProof/>
          <w:sz w:val="26"/>
        </w:rPr>
        <w:t>,</w:t>
      </w:r>
      <w:r w:rsidR="00D73086" w:rsidRPr="00F40242">
        <w:rPr>
          <w:noProof/>
          <w:sz w:val="26"/>
        </w:rPr>
        <w:t xml:space="preserve"> </w:t>
      </w:r>
      <w:r w:rsidR="003701F5" w:rsidRPr="00F40242">
        <w:rPr>
          <w:noProof/>
          <w:sz w:val="26"/>
        </w:rPr>
        <w:t>2</w:t>
      </w:r>
      <w:r w:rsidR="00613DE3" w:rsidRPr="00F40242">
        <w:rPr>
          <w:noProof/>
          <w:sz w:val="26"/>
        </w:rPr>
        <w:t>014).</w:t>
      </w:r>
      <w:r w:rsidR="00613DE3" w:rsidRPr="00F40242">
        <w:rPr>
          <w:sz w:val="26"/>
        </w:rPr>
        <w:t xml:space="preserve"> However, a non-significant association was reported by </w:t>
      </w:r>
      <w:proofErr w:type="spellStart"/>
      <w:r w:rsidR="00613DE3" w:rsidRPr="00F40242">
        <w:rPr>
          <w:sz w:val="26"/>
        </w:rPr>
        <w:t>Branco</w:t>
      </w:r>
      <w:proofErr w:type="spellEnd"/>
      <w:r w:rsidR="00613DE3" w:rsidRPr="00F40242">
        <w:rPr>
          <w:sz w:val="26"/>
        </w:rPr>
        <w:t xml:space="preserve"> </w:t>
      </w:r>
      <w:r w:rsidR="00035DE3" w:rsidRPr="00F40242">
        <w:rPr>
          <w:sz w:val="26"/>
        </w:rPr>
        <w:t>and</w:t>
      </w:r>
      <w:r w:rsidR="00613DE3" w:rsidRPr="00F40242">
        <w:rPr>
          <w:sz w:val="26"/>
        </w:rPr>
        <w:t xml:space="preserve"> Rodrigues (2008) </w:t>
      </w:r>
      <w:r w:rsidR="00035DE3" w:rsidRPr="00F40242">
        <w:rPr>
          <w:sz w:val="26"/>
        </w:rPr>
        <w:t>and</w:t>
      </w:r>
      <w:r w:rsidR="00613DE3" w:rsidRPr="00F40242">
        <w:rPr>
          <w:sz w:val="26"/>
        </w:rPr>
        <w:t xml:space="preserve"> </w:t>
      </w:r>
      <w:proofErr w:type="spellStart"/>
      <w:r w:rsidR="00613DE3" w:rsidRPr="00F40242">
        <w:rPr>
          <w:sz w:val="26"/>
        </w:rPr>
        <w:t>Mahadeo</w:t>
      </w:r>
      <w:proofErr w:type="spellEnd"/>
      <w:r w:rsidR="00613DE3" w:rsidRPr="00F40242">
        <w:rPr>
          <w:sz w:val="26"/>
        </w:rPr>
        <w:t xml:space="preserve"> et al. (2011)</w:t>
      </w:r>
      <w:r w:rsidR="00D73086" w:rsidRPr="00F40242">
        <w:rPr>
          <w:sz w:val="26"/>
        </w:rPr>
        <w:t>, who studied</w:t>
      </w:r>
      <w:r w:rsidR="00613DE3" w:rsidRPr="00F40242">
        <w:rPr>
          <w:sz w:val="26"/>
        </w:rPr>
        <w:t xml:space="preserve"> this relationship in </w:t>
      </w:r>
      <w:r w:rsidR="00D73086" w:rsidRPr="00F40242">
        <w:rPr>
          <w:sz w:val="26"/>
        </w:rPr>
        <w:t xml:space="preserve">a </w:t>
      </w:r>
      <w:r w:rsidR="00613DE3" w:rsidRPr="00F40242">
        <w:rPr>
          <w:sz w:val="26"/>
        </w:rPr>
        <w:t xml:space="preserve">developing country context. </w:t>
      </w:r>
      <w:r w:rsidR="00D73086" w:rsidRPr="00F40242">
        <w:rPr>
          <w:sz w:val="26"/>
        </w:rPr>
        <w:t>T</w:t>
      </w:r>
      <w:r w:rsidR="002D48A8" w:rsidRPr="00F40242">
        <w:rPr>
          <w:sz w:val="26"/>
        </w:rPr>
        <w:t xml:space="preserve">he positive association </w:t>
      </w:r>
      <w:r w:rsidR="00D73086" w:rsidRPr="00F40242">
        <w:rPr>
          <w:sz w:val="26"/>
        </w:rPr>
        <w:t xml:space="preserve">between </w:t>
      </w:r>
      <w:r w:rsidR="002D48A8" w:rsidRPr="00F40242">
        <w:rPr>
          <w:sz w:val="26"/>
        </w:rPr>
        <w:t xml:space="preserve">SED and industry category </w:t>
      </w:r>
      <w:r w:rsidR="00D73086" w:rsidRPr="00F40242">
        <w:rPr>
          <w:sz w:val="26"/>
        </w:rPr>
        <w:t xml:space="preserve">reported </w:t>
      </w:r>
      <w:r w:rsidR="002D48A8" w:rsidRPr="00F40242">
        <w:rPr>
          <w:sz w:val="26"/>
        </w:rPr>
        <w:t xml:space="preserve">by </w:t>
      </w:r>
      <w:proofErr w:type="spellStart"/>
      <w:r w:rsidR="002D48A8" w:rsidRPr="00F40242">
        <w:rPr>
          <w:sz w:val="26"/>
        </w:rPr>
        <w:t>Kansal</w:t>
      </w:r>
      <w:proofErr w:type="spellEnd"/>
      <w:r w:rsidR="002D48A8" w:rsidRPr="00F40242">
        <w:rPr>
          <w:sz w:val="26"/>
        </w:rPr>
        <w:t xml:space="preserve"> et</w:t>
      </w:r>
      <w:r w:rsidR="00D73086" w:rsidRPr="00F40242">
        <w:rPr>
          <w:sz w:val="26"/>
        </w:rPr>
        <w:t xml:space="preserve"> </w:t>
      </w:r>
      <w:r w:rsidR="002D48A8" w:rsidRPr="00F40242">
        <w:rPr>
          <w:sz w:val="26"/>
        </w:rPr>
        <w:t>al. (2014) suggest</w:t>
      </w:r>
      <w:r w:rsidR="00D73086" w:rsidRPr="00F40242">
        <w:rPr>
          <w:sz w:val="26"/>
        </w:rPr>
        <w:t>s</w:t>
      </w:r>
      <w:r w:rsidR="002D48A8" w:rsidRPr="00F40242">
        <w:rPr>
          <w:sz w:val="26"/>
        </w:rPr>
        <w:t xml:space="preserve"> that the SED</w:t>
      </w:r>
      <w:r w:rsidR="00445CE5">
        <w:rPr>
          <w:sz w:val="26"/>
        </w:rPr>
        <w:t>-</w:t>
      </w:r>
      <w:r w:rsidR="002D48A8" w:rsidRPr="00F40242">
        <w:rPr>
          <w:sz w:val="26"/>
        </w:rPr>
        <w:t xml:space="preserve">industry category association found in developed countries may also </w:t>
      </w:r>
      <w:r w:rsidR="00C8544A">
        <w:rPr>
          <w:sz w:val="26"/>
        </w:rPr>
        <w:t xml:space="preserve">be found </w:t>
      </w:r>
      <w:r w:rsidR="002D48A8" w:rsidRPr="00F40242">
        <w:rPr>
          <w:sz w:val="26"/>
        </w:rPr>
        <w:t>within emerging countries. Therefore</w:t>
      </w:r>
      <w:r w:rsidR="00D73086" w:rsidRPr="00F40242">
        <w:rPr>
          <w:sz w:val="26"/>
        </w:rPr>
        <w:t>,</w:t>
      </w:r>
      <w:r w:rsidR="002D48A8" w:rsidRPr="00F40242">
        <w:rPr>
          <w:sz w:val="26"/>
        </w:rPr>
        <w:t xml:space="preserve"> we propose:</w:t>
      </w:r>
    </w:p>
    <w:p w14:paraId="0B877D8C" w14:textId="79D4B974" w:rsidR="00D306A2" w:rsidRDefault="00C70A18" w:rsidP="006B1EBC">
      <w:pPr>
        <w:autoSpaceDE w:val="0"/>
        <w:autoSpaceDN w:val="0"/>
        <w:adjustRightInd w:val="0"/>
        <w:spacing w:line="360" w:lineRule="exact"/>
        <w:jc w:val="both"/>
        <w:rPr>
          <w:sz w:val="26"/>
          <w:lang w:eastAsia="en-AU"/>
        </w:rPr>
      </w:pPr>
      <w:r w:rsidRPr="00F40242">
        <w:rPr>
          <w:b/>
          <w:sz w:val="26"/>
          <w:lang w:eastAsia="en-AU"/>
        </w:rPr>
        <w:t>H</w:t>
      </w:r>
      <w:r w:rsidR="007C2990" w:rsidRPr="00F40242">
        <w:rPr>
          <w:b/>
          <w:sz w:val="26"/>
          <w:vertAlign w:val="subscript"/>
          <w:lang w:eastAsia="en-AU"/>
        </w:rPr>
        <w:t>4</w:t>
      </w:r>
      <w:r w:rsidRPr="00F40242">
        <w:rPr>
          <w:b/>
          <w:sz w:val="26"/>
          <w:lang w:eastAsia="en-AU"/>
        </w:rPr>
        <w:t>:</w:t>
      </w:r>
      <w:r w:rsidRPr="00F40242">
        <w:rPr>
          <w:sz w:val="26"/>
          <w:lang w:eastAsia="en-AU"/>
        </w:rPr>
        <w:t xml:space="preserve"> There is a positive association between industry </w:t>
      </w:r>
      <w:r w:rsidR="008E10C8" w:rsidRPr="00F40242">
        <w:rPr>
          <w:sz w:val="26"/>
          <w:lang w:eastAsia="en-AU"/>
        </w:rPr>
        <w:t>category</w:t>
      </w:r>
      <w:r w:rsidRPr="00F40242">
        <w:rPr>
          <w:sz w:val="26"/>
          <w:lang w:eastAsia="en-AU"/>
        </w:rPr>
        <w:t xml:space="preserve"> and the extent of </w:t>
      </w:r>
      <w:r w:rsidR="0049487E" w:rsidRPr="00F40242">
        <w:rPr>
          <w:sz w:val="26"/>
          <w:lang w:eastAsia="en-AU"/>
        </w:rPr>
        <w:t>SED</w:t>
      </w:r>
      <w:r w:rsidRPr="00F40242">
        <w:rPr>
          <w:sz w:val="26"/>
          <w:lang w:eastAsia="en-AU"/>
        </w:rPr>
        <w:t>.</w:t>
      </w:r>
    </w:p>
    <w:p w14:paraId="70DB844F" w14:textId="77777777" w:rsidR="006B1EBC" w:rsidRPr="0011086F" w:rsidRDefault="006B1EBC" w:rsidP="006B1EBC">
      <w:pPr>
        <w:autoSpaceDE w:val="0"/>
        <w:autoSpaceDN w:val="0"/>
        <w:adjustRightInd w:val="0"/>
        <w:spacing w:line="360" w:lineRule="exact"/>
        <w:jc w:val="both"/>
        <w:rPr>
          <w:sz w:val="26"/>
          <w:lang w:eastAsia="en-AU"/>
        </w:rPr>
      </w:pPr>
    </w:p>
    <w:p w14:paraId="746B61B9" w14:textId="37F73E35" w:rsidR="0049487E" w:rsidRPr="0011086F" w:rsidRDefault="00D306A2" w:rsidP="00050AB9">
      <w:pPr>
        <w:autoSpaceDE w:val="0"/>
        <w:autoSpaceDN w:val="0"/>
        <w:adjustRightInd w:val="0"/>
        <w:jc w:val="both"/>
        <w:rPr>
          <w:b/>
          <w:sz w:val="26"/>
          <w:lang w:eastAsia="en-AU"/>
        </w:rPr>
      </w:pPr>
      <w:r w:rsidRPr="0011086F">
        <w:rPr>
          <w:b/>
          <w:sz w:val="26"/>
          <w:lang w:eastAsia="en-AU"/>
        </w:rPr>
        <w:t xml:space="preserve">Consumer </w:t>
      </w:r>
      <w:r w:rsidRPr="00050AB9">
        <w:rPr>
          <w:rFonts w:eastAsia="Calibri"/>
          <w:b/>
          <w:iCs/>
          <w:sz w:val="26"/>
        </w:rPr>
        <w:t>Proximity</w:t>
      </w:r>
    </w:p>
    <w:p w14:paraId="0651FB78" w14:textId="330B7F4B" w:rsidR="00D04CBE" w:rsidRPr="00F40242" w:rsidRDefault="00D31912" w:rsidP="0011086F">
      <w:pPr>
        <w:autoSpaceDE w:val="0"/>
        <w:autoSpaceDN w:val="0"/>
        <w:adjustRightInd w:val="0"/>
        <w:spacing w:line="360" w:lineRule="exact"/>
        <w:ind w:firstLineChars="200" w:firstLine="520"/>
        <w:jc w:val="both"/>
        <w:rPr>
          <w:sz w:val="26"/>
          <w:lang w:eastAsia="en-AU"/>
        </w:rPr>
      </w:pPr>
      <w:r w:rsidRPr="00F40242">
        <w:rPr>
          <w:sz w:val="26"/>
          <w:lang w:eastAsia="en-AU"/>
        </w:rPr>
        <w:t>The legitimac</w:t>
      </w:r>
      <w:r w:rsidR="002D48A8" w:rsidRPr="00F40242">
        <w:rPr>
          <w:sz w:val="26"/>
          <w:lang w:eastAsia="en-AU"/>
        </w:rPr>
        <w:t xml:space="preserve">y theoretical framework leads to anticipation </w:t>
      </w:r>
      <w:r w:rsidR="00D73086" w:rsidRPr="00F40242">
        <w:rPr>
          <w:sz w:val="26"/>
          <w:lang w:eastAsia="en-AU"/>
        </w:rPr>
        <w:t xml:space="preserve">of the fact </w:t>
      </w:r>
      <w:r w:rsidR="002D48A8" w:rsidRPr="00F40242">
        <w:rPr>
          <w:sz w:val="26"/>
          <w:lang w:eastAsia="en-AU"/>
        </w:rPr>
        <w:t xml:space="preserve">that </w:t>
      </w:r>
      <w:r w:rsidRPr="00F40242">
        <w:rPr>
          <w:sz w:val="26"/>
          <w:lang w:eastAsia="en-AU"/>
        </w:rPr>
        <w:t>greater social an</w:t>
      </w:r>
      <w:r w:rsidR="00B36580" w:rsidRPr="00F40242">
        <w:rPr>
          <w:sz w:val="26"/>
          <w:lang w:eastAsia="en-AU"/>
        </w:rPr>
        <w:t xml:space="preserve">d environmental visibility is </w:t>
      </w:r>
      <w:r w:rsidR="00C8544A">
        <w:rPr>
          <w:sz w:val="26"/>
          <w:lang w:eastAsia="en-AU"/>
        </w:rPr>
        <w:t>associated with</w:t>
      </w:r>
      <w:r w:rsidR="00B36580" w:rsidRPr="00F40242">
        <w:rPr>
          <w:sz w:val="26"/>
          <w:lang w:eastAsia="en-AU"/>
        </w:rPr>
        <w:t xml:space="preserve"> the greater level of SED.</w:t>
      </w:r>
      <w:r w:rsidRPr="00F40242">
        <w:rPr>
          <w:sz w:val="26"/>
          <w:lang w:eastAsia="en-AU"/>
        </w:rPr>
        <w:t xml:space="preserve"> </w:t>
      </w:r>
      <w:r w:rsidR="00B36580" w:rsidRPr="00F40242">
        <w:rPr>
          <w:sz w:val="26"/>
          <w:lang w:eastAsia="en-AU"/>
        </w:rPr>
        <w:t>Reported results of prior empirical SED studies in this regard are consistent with such</w:t>
      </w:r>
      <w:r w:rsidR="00D73086" w:rsidRPr="00F40242">
        <w:rPr>
          <w:sz w:val="26"/>
          <w:lang w:eastAsia="en-AU"/>
        </w:rPr>
        <w:t xml:space="preserve"> an</w:t>
      </w:r>
      <w:r w:rsidR="00B36580" w:rsidRPr="00F40242">
        <w:rPr>
          <w:sz w:val="26"/>
          <w:lang w:eastAsia="en-AU"/>
        </w:rPr>
        <w:t xml:space="preserve"> expectation</w:t>
      </w:r>
      <w:r w:rsidR="00C8544A">
        <w:rPr>
          <w:sz w:val="26"/>
          <w:lang w:eastAsia="en-AU"/>
        </w:rPr>
        <w:t>.</w:t>
      </w:r>
      <w:r w:rsidRPr="00F40242">
        <w:rPr>
          <w:sz w:val="26"/>
          <w:lang w:eastAsia="en-AU"/>
        </w:rPr>
        <w:t xml:space="preserve"> </w:t>
      </w:r>
      <w:r w:rsidR="00C8544A">
        <w:rPr>
          <w:sz w:val="26"/>
          <w:lang w:eastAsia="en-AU"/>
        </w:rPr>
        <w:t>A</w:t>
      </w:r>
      <w:r w:rsidR="00D73086" w:rsidRPr="00F40242">
        <w:rPr>
          <w:sz w:val="26"/>
          <w:lang w:eastAsia="en-AU"/>
        </w:rPr>
        <w:t xml:space="preserve"> </w:t>
      </w:r>
      <w:r w:rsidRPr="00F40242">
        <w:rPr>
          <w:noProof/>
          <w:sz w:val="26"/>
          <w:lang w:eastAsia="en-AU"/>
        </w:rPr>
        <w:t>significant</w:t>
      </w:r>
      <w:r w:rsidRPr="00F40242">
        <w:rPr>
          <w:sz w:val="26"/>
          <w:lang w:eastAsia="en-AU"/>
        </w:rPr>
        <w:t xml:space="preserve"> positive relationship is reported by</w:t>
      </w:r>
      <w:r w:rsidR="003139BA" w:rsidRPr="00F40242">
        <w:rPr>
          <w:sz w:val="26"/>
          <w:lang w:eastAsia="en-AU"/>
        </w:rPr>
        <w:t xml:space="preserve"> </w:t>
      </w:r>
      <w:proofErr w:type="spellStart"/>
      <w:r w:rsidR="003139BA" w:rsidRPr="00F40242">
        <w:rPr>
          <w:sz w:val="26"/>
          <w:lang w:eastAsia="en-AU"/>
        </w:rPr>
        <w:t>Branco</w:t>
      </w:r>
      <w:proofErr w:type="spellEnd"/>
      <w:r w:rsidR="003139BA" w:rsidRPr="00F40242">
        <w:rPr>
          <w:sz w:val="26"/>
          <w:lang w:eastAsia="en-AU"/>
        </w:rPr>
        <w:t xml:space="preserve"> and Rodrigues </w:t>
      </w:r>
      <w:r w:rsidR="00F05659" w:rsidRPr="00F40242">
        <w:rPr>
          <w:sz w:val="26"/>
          <w:lang w:eastAsia="en-AU"/>
        </w:rPr>
        <w:t>(</w:t>
      </w:r>
      <w:r w:rsidR="003139BA" w:rsidRPr="00F40242">
        <w:rPr>
          <w:sz w:val="26"/>
          <w:lang w:eastAsia="en-AU"/>
        </w:rPr>
        <w:t>2008</w:t>
      </w:r>
      <w:r w:rsidRPr="00F40242">
        <w:rPr>
          <w:sz w:val="26"/>
          <w:lang w:eastAsia="en-AU"/>
        </w:rPr>
        <w:t>) and suggestin</w:t>
      </w:r>
      <w:r w:rsidR="00B36580" w:rsidRPr="00F40242">
        <w:rPr>
          <w:sz w:val="26"/>
          <w:lang w:eastAsia="en-AU"/>
        </w:rPr>
        <w:t>g that companies are disclosing more</w:t>
      </w:r>
      <w:r w:rsidR="004E0BD4" w:rsidRPr="00F40242">
        <w:rPr>
          <w:sz w:val="26"/>
          <w:lang w:eastAsia="en-AU"/>
        </w:rPr>
        <w:t xml:space="preserve"> non-financial information although they have a limited social and environmental impact. If a company is close to </w:t>
      </w:r>
      <w:r w:rsidR="004E2D82" w:rsidRPr="00F40242">
        <w:rPr>
          <w:sz w:val="26"/>
          <w:lang w:eastAsia="en-AU"/>
        </w:rPr>
        <w:t xml:space="preserve">the </w:t>
      </w:r>
      <w:r w:rsidR="004E0BD4" w:rsidRPr="00F40242">
        <w:rPr>
          <w:sz w:val="26"/>
          <w:lang w:eastAsia="en-AU"/>
        </w:rPr>
        <w:t>consumer</w:t>
      </w:r>
      <w:r w:rsidR="00F05659" w:rsidRPr="00F40242">
        <w:rPr>
          <w:sz w:val="26"/>
          <w:lang w:eastAsia="en-AU"/>
        </w:rPr>
        <w:t xml:space="preserve"> group</w:t>
      </w:r>
      <w:r w:rsidR="004E2D82" w:rsidRPr="00F40242">
        <w:rPr>
          <w:sz w:val="26"/>
          <w:lang w:eastAsia="en-AU"/>
        </w:rPr>
        <w:t>s</w:t>
      </w:r>
      <w:r w:rsidR="004E0BD4" w:rsidRPr="00F40242">
        <w:rPr>
          <w:sz w:val="26"/>
          <w:lang w:eastAsia="en-AU"/>
        </w:rPr>
        <w:t xml:space="preserve">, it is apparent that </w:t>
      </w:r>
      <w:r w:rsidR="004E2D82" w:rsidRPr="00F40242">
        <w:rPr>
          <w:sz w:val="26"/>
          <w:lang w:eastAsia="en-AU"/>
        </w:rPr>
        <w:t xml:space="preserve">the company name will be recognised by the </w:t>
      </w:r>
      <w:r w:rsidR="00D73086" w:rsidRPr="00F40242">
        <w:rPr>
          <w:sz w:val="26"/>
          <w:lang w:eastAsia="en-AU"/>
        </w:rPr>
        <w:t>consumers</w:t>
      </w:r>
      <w:r w:rsidR="004E2D82" w:rsidRPr="00F40242">
        <w:rPr>
          <w:sz w:val="26"/>
          <w:lang w:eastAsia="en-AU"/>
        </w:rPr>
        <w:t>.</w:t>
      </w:r>
      <w:r w:rsidR="004E0BD4" w:rsidRPr="00F40242">
        <w:rPr>
          <w:sz w:val="26"/>
          <w:lang w:eastAsia="en-AU"/>
        </w:rPr>
        <w:t xml:space="preserve"> </w:t>
      </w:r>
      <w:r w:rsidR="00D04CBE" w:rsidRPr="00F40242">
        <w:rPr>
          <w:sz w:val="26"/>
          <w:lang w:eastAsia="en-AU"/>
        </w:rPr>
        <w:t xml:space="preserve">A company will be more socially visible if it is closer to the individual consumer. </w:t>
      </w:r>
      <w:r w:rsidR="004E0BD4" w:rsidRPr="00F40242">
        <w:rPr>
          <w:sz w:val="26"/>
          <w:lang w:eastAsia="en-AU"/>
        </w:rPr>
        <w:t>Therefor</w:t>
      </w:r>
      <w:r w:rsidR="00C801BC" w:rsidRPr="00F40242">
        <w:rPr>
          <w:sz w:val="26"/>
          <w:lang w:eastAsia="en-AU"/>
        </w:rPr>
        <w:t>e</w:t>
      </w:r>
      <w:r w:rsidR="004E0BD4" w:rsidRPr="00F40242">
        <w:rPr>
          <w:sz w:val="26"/>
          <w:lang w:eastAsia="en-AU"/>
        </w:rPr>
        <w:t>,</w:t>
      </w:r>
      <w:r w:rsidR="00C801BC" w:rsidRPr="00F40242">
        <w:rPr>
          <w:sz w:val="26"/>
          <w:lang w:eastAsia="en-AU"/>
        </w:rPr>
        <w:t xml:space="preserve"> </w:t>
      </w:r>
      <w:r w:rsidR="00D73086" w:rsidRPr="00F40242">
        <w:rPr>
          <w:sz w:val="26"/>
          <w:lang w:eastAsia="en-AU"/>
        </w:rPr>
        <w:t>it is probable that a more socially visible company will</w:t>
      </w:r>
      <w:r w:rsidR="00C801BC" w:rsidRPr="00F40242">
        <w:rPr>
          <w:sz w:val="26"/>
          <w:lang w:eastAsia="en-AU"/>
        </w:rPr>
        <w:t xml:space="preserve"> disclose more SED. </w:t>
      </w:r>
      <w:r w:rsidR="00D04CBE" w:rsidRPr="00F40242">
        <w:rPr>
          <w:sz w:val="26"/>
          <w:lang w:eastAsia="en-AU"/>
        </w:rPr>
        <w:t xml:space="preserve">Our study </w:t>
      </w:r>
      <w:r w:rsidR="00C801BC" w:rsidRPr="00F40242">
        <w:rPr>
          <w:sz w:val="26"/>
          <w:lang w:eastAsia="en-AU"/>
        </w:rPr>
        <w:t>used a binary measure of high profile and low profile.</w:t>
      </w:r>
      <w:r w:rsidR="00AF41C4" w:rsidRPr="00F40242">
        <w:rPr>
          <w:sz w:val="26"/>
          <w:lang w:eastAsia="en-AU"/>
        </w:rPr>
        <w:t xml:space="preserve"> </w:t>
      </w:r>
      <w:r w:rsidR="00D73086" w:rsidRPr="00F40242">
        <w:rPr>
          <w:sz w:val="26"/>
          <w:lang w:eastAsia="en-AU"/>
        </w:rPr>
        <w:t>C</w:t>
      </w:r>
      <w:r w:rsidR="005609E1" w:rsidRPr="00F40242">
        <w:rPr>
          <w:sz w:val="26"/>
          <w:lang w:eastAsia="en-AU"/>
        </w:rPr>
        <w:t xml:space="preserve">ompanies </w:t>
      </w:r>
      <w:r w:rsidR="00D73086" w:rsidRPr="00F40242">
        <w:rPr>
          <w:sz w:val="26"/>
          <w:lang w:eastAsia="en-AU"/>
        </w:rPr>
        <w:t>that are</w:t>
      </w:r>
      <w:r w:rsidR="005609E1" w:rsidRPr="00F40242">
        <w:rPr>
          <w:sz w:val="26"/>
          <w:lang w:eastAsia="en-AU"/>
        </w:rPr>
        <w:t xml:space="preserve"> household names and well known to the </w:t>
      </w:r>
      <w:r w:rsidR="00D73086" w:rsidRPr="00F40242">
        <w:rPr>
          <w:sz w:val="26"/>
          <w:lang w:eastAsia="en-AU"/>
        </w:rPr>
        <w:t xml:space="preserve">end </w:t>
      </w:r>
      <w:r w:rsidR="005609E1" w:rsidRPr="00F40242">
        <w:rPr>
          <w:sz w:val="26"/>
          <w:lang w:eastAsia="en-AU"/>
        </w:rPr>
        <w:t xml:space="preserve">consumer and whose names are anticipated to be known to </w:t>
      </w:r>
      <w:r w:rsidR="00D73086" w:rsidRPr="00F40242">
        <w:rPr>
          <w:sz w:val="26"/>
          <w:lang w:eastAsia="en-AU"/>
        </w:rPr>
        <w:t>the maximum number of consumers</w:t>
      </w:r>
      <w:r w:rsidR="005609E1" w:rsidRPr="00F40242">
        <w:rPr>
          <w:sz w:val="26"/>
          <w:lang w:eastAsia="en-AU"/>
        </w:rPr>
        <w:t xml:space="preserve"> are considered high profile. Therefore, we hypothes</w:t>
      </w:r>
      <w:r w:rsidR="00D73086" w:rsidRPr="00F40242">
        <w:rPr>
          <w:sz w:val="26"/>
          <w:lang w:eastAsia="en-AU"/>
        </w:rPr>
        <w:t>ise</w:t>
      </w:r>
      <w:r w:rsidR="005609E1" w:rsidRPr="00F40242">
        <w:rPr>
          <w:sz w:val="26"/>
          <w:lang w:eastAsia="en-AU"/>
        </w:rPr>
        <w:t xml:space="preserve"> that there is a relationship between SED and </w:t>
      </w:r>
      <w:r w:rsidR="00D73086" w:rsidRPr="00F40242">
        <w:rPr>
          <w:sz w:val="26"/>
          <w:lang w:eastAsia="en-AU"/>
        </w:rPr>
        <w:t xml:space="preserve">the </w:t>
      </w:r>
      <w:r w:rsidR="005609E1" w:rsidRPr="00F40242">
        <w:rPr>
          <w:sz w:val="26"/>
          <w:lang w:eastAsia="en-AU"/>
        </w:rPr>
        <w:t xml:space="preserve">measure of a company’s closeness to it ultimate consumers. </w:t>
      </w:r>
    </w:p>
    <w:p w14:paraId="5A842A0A" w14:textId="14C6F5F1" w:rsidR="0011086F" w:rsidRDefault="007C2990" w:rsidP="006B1EBC">
      <w:pPr>
        <w:autoSpaceDE w:val="0"/>
        <w:autoSpaceDN w:val="0"/>
        <w:adjustRightInd w:val="0"/>
        <w:spacing w:line="360" w:lineRule="exact"/>
        <w:jc w:val="both"/>
        <w:rPr>
          <w:sz w:val="26"/>
          <w:lang w:eastAsia="en-AU"/>
        </w:rPr>
      </w:pPr>
      <w:r w:rsidRPr="00F40242">
        <w:rPr>
          <w:b/>
          <w:sz w:val="26"/>
          <w:lang w:eastAsia="en-AU"/>
        </w:rPr>
        <w:t>H</w:t>
      </w:r>
      <w:r w:rsidRPr="00F40242">
        <w:rPr>
          <w:b/>
          <w:sz w:val="26"/>
          <w:vertAlign w:val="subscript"/>
          <w:lang w:eastAsia="en-AU"/>
        </w:rPr>
        <w:t>5</w:t>
      </w:r>
      <w:r w:rsidRPr="00F40242">
        <w:rPr>
          <w:sz w:val="26"/>
          <w:lang w:eastAsia="en-AU"/>
        </w:rPr>
        <w:t xml:space="preserve">: There </w:t>
      </w:r>
      <w:r w:rsidR="0049487E" w:rsidRPr="00F40242">
        <w:rPr>
          <w:sz w:val="26"/>
          <w:lang w:eastAsia="en-AU"/>
        </w:rPr>
        <w:t xml:space="preserve">is </w:t>
      </w:r>
      <w:r w:rsidRPr="00F40242">
        <w:rPr>
          <w:sz w:val="26"/>
          <w:lang w:eastAsia="en-AU"/>
        </w:rPr>
        <w:t xml:space="preserve">a positive </w:t>
      </w:r>
      <w:r w:rsidR="00024C35" w:rsidRPr="00F40242">
        <w:rPr>
          <w:sz w:val="26"/>
          <w:lang w:eastAsia="en-AU"/>
        </w:rPr>
        <w:t xml:space="preserve">association </w:t>
      </w:r>
      <w:r w:rsidRPr="00F40242">
        <w:rPr>
          <w:sz w:val="26"/>
          <w:lang w:eastAsia="en-AU"/>
        </w:rPr>
        <w:t>between SE</w:t>
      </w:r>
      <w:r w:rsidR="00151201" w:rsidRPr="00F40242">
        <w:rPr>
          <w:sz w:val="26"/>
          <w:lang w:eastAsia="en-AU"/>
        </w:rPr>
        <w:t>D</w:t>
      </w:r>
      <w:r w:rsidRPr="00F40242">
        <w:rPr>
          <w:sz w:val="26"/>
          <w:lang w:eastAsia="en-AU"/>
        </w:rPr>
        <w:t xml:space="preserve"> and the consumer</w:t>
      </w:r>
      <w:r w:rsidR="00AF41C4" w:rsidRPr="00F40242">
        <w:rPr>
          <w:sz w:val="26"/>
          <w:lang w:eastAsia="en-AU"/>
        </w:rPr>
        <w:t xml:space="preserve"> </w:t>
      </w:r>
      <w:r w:rsidRPr="00F40242">
        <w:rPr>
          <w:noProof/>
          <w:sz w:val="26"/>
          <w:lang w:eastAsia="en-AU"/>
        </w:rPr>
        <w:t>proximity measure</w:t>
      </w:r>
      <w:r w:rsidR="00024C35" w:rsidRPr="00F40242">
        <w:rPr>
          <w:sz w:val="26"/>
          <w:lang w:eastAsia="en-AU"/>
        </w:rPr>
        <w:t>.</w:t>
      </w:r>
      <w:bookmarkStart w:id="4" w:name="_Toc323222261"/>
      <w:bookmarkEnd w:id="3"/>
    </w:p>
    <w:p w14:paraId="784FBDA5" w14:textId="77777777" w:rsidR="006B1EBC" w:rsidRDefault="006B1EBC" w:rsidP="006B1EBC">
      <w:pPr>
        <w:autoSpaceDE w:val="0"/>
        <w:autoSpaceDN w:val="0"/>
        <w:adjustRightInd w:val="0"/>
        <w:spacing w:line="360" w:lineRule="exact"/>
        <w:jc w:val="both"/>
        <w:rPr>
          <w:sz w:val="26"/>
          <w:lang w:eastAsia="en-AU"/>
        </w:rPr>
      </w:pPr>
    </w:p>
    <w:p w14:paraId="1EEE49AE" w14:textId="4FB7D571" w:rsidR="00332400" w:rsidRPr="0011086F" w:rsidRDefault="00F05659" w:rsidP="00050AB9">
      <w:pPr>
        <w:autoSpaceDE w:val="0"/>
        <w:autoSpaceDN w:val="0"/>
        <w:adjustRightInd w:val="0"/>
        <w:jc w:val="both"/>
        <w:rPr>
          <w:b/>
          <w:sz w:val="26"/>
          <w:lang w:eastAsia="en-AU"/>
        </w:rPr>
      </w:pPr>
      <w:r w:rsidRPr="0011086F">
        <w:rPr>
          <w:b/>
          <w:sz w:val="26"/>
        </w:rPr>
        <w:t xml:space="preserve">Reporting </w:t>
      </w:r>
      <w:r w:rsidR="00D73086" w:rsidRPr="0011086F">
        <w:rPr>
          <w:b/>
          <w:sz w:val="26"/>
        </w:rPr>
        <w:t xml:space="preserve">an </w:t>
      </w:r>
      <w:r w:rsidRPr="00050AB9">
        <w:rPr>
          <w:rFonts w:eastAsia="Calibri"/>
          <w:b/>
          <w:iCs/>
          <w:sz w:val="26"/>
        </w:rPr>
        <w:t>Entity’s</w:t>
      </w:r>
      <w:r w:rsidRPr="0011086F">
        <w:rPr>
          <w:b/>
          <w:sz w:val="26"/>
        </w:rPr>
        <w:t xml:space="preserve"> Age</w:t>
      </w:r>
    </w:p>
    <w:bookmarkEnd w:id="4"/>
    <w:p w14:paraId="46955556" w14:textId="6C1FD348" w:rsidR="00EC36BC" w:rsidRPr="00F40242" w:rsidRDefault="00074E75" w:rsidP="0011086F">
      <w:pPr>
        <w:autoSpaceDE w:val="0"/>
        <w:autoSpaceDN w:val="0"/>
        <w:adjustRightInd w:val="0"/>
        <w:spacing w:line="360" w:lineRule="exact"/>
        <w:ind w:firstLineChars="200" w:firstLine="520"/>
        <w:jc w:val="both"/>
        <w:rPr>
          <w:rFonts w:eastAsiaTheme="minorHAnsi"/>
          <w:color w:val="000000"/>
          <w:sz w:val="26"/>
        </w:rPr>
      </w:pPr>
      <w:r w:rsidRPr="00F40242">
        <w:rPr>
          <w:sz w:val="26"/>
          <w:lang w:eastAsia="en-AU"/>
        </w:rPr>
        <w:t>L</w:t>
      </w:r>
      <w:r w:rsidR="00EC36BC" w:rsidRPr="00F40242">
        <w:rPr>
          <w:sz w:val="26"/>
          <w:lang w:eastAsia="en-AU"/>
        </w:rPr>
        <w:t xml:space="preserve">egitimacy theory leads to the expectation that </w:t>
      </w:r>
      <w:r w:rsidR="00EC36BC" w:rsidRPr="00F40242">
        <w:rPr>
          <w:rFonts w:eastAsiaTheme="minorHAnsi"/>
          <w:color w:val="000000"/>
          <w:sz w:val="26"/>
        </w:rPr>
        <w:t xml:space="preserve">long-established companies are likely to disclose more social and environmental information to legitimise their existence in the society. </w:t>
      </w:r>
    </w:p>
    <w:p w14:paraId="0421858B" w14:textId="37DB369C" w:rsidR="00312B51" w:rsidRPr="00F40242" w:rsidRDefault="00EC36BC" w:rsidP="006B1EBC">
      <w:pPr>
        <w:autoSpaceDE w:val="0"/>
        <w:autoSpaceDN w:val="0"/>
        <w:adjustRightInd w:val="0"/>
        <w:spacing w:line="360" w:lineRule="exact"/>
        <w:ind w:firstLineChars="200" w:firstLine="520"/>
        <w:jc w:val="both"/>
        <w:rPr>
          <w:sz w:val="26"/>
          <w:lang w:eastAsia="en-AU"/>
        </w:rPr>
      </w:pPr>
      <w:r w:rsidRPr="00F40242">
        <w:rPr>
          <w:rFonts w:eastAsiaTheme="minorHAnsi"/>
          <w:color w:val="000000"/>
          <w:sz w:val="26"/>
        </w:rPr>
        <w:lastRenderedPageBreak/>
        <w:t>Previous empirical research (</w:t>
      </w:r>
      <w:proofErr w:type="spellStart"/>
      <w:r w:rsidRPr="00F40242">
        <w:rPr>
          <w:rFonts w:eastAsia="Calibri"/>
          <w:sz w:val="26"/>
        </w:rPr>
        <w:t>Gray</w:t>
      </w:r>
      <w:proofErr w:type="spellEnd"/>
      <w:r w:rsidRPr="00F40242">
        <w:rPr>
          <w:rFonts w:eastAsia="Calibri"/>
          <w:sz w:val="26"/>
        </w:rPr>
        <w:t xml:space="preserve"> et al., 1995</w:t>
      </w:r>
      <w:r w:rsidR="000018C5" w:rsidRPr="00F40242">
        <w:rPr>
          <w:rFonts w:eastAsia="Calibri"/>
          <w:sz w:val="26"/>
        </w:rPr>
        <w:t>;</w:t>
      </w:r>
      <w:r w:rsidR="000018C5" w:rsidRPr="000018C5">
        <w:rPr>
          <w:rFonts w:eastAsia="Calibri"/>
          <w:sz w:val="26"/>
        </w:rPr>
        <w:t xml:space="preserve"> </w:t>
      </w:r>
      <w:r w:rsidR="000018C5" w:rsidRPr="00F40242">
        <w:rPr>
          <w:rFonts w:eastAsia="Calibri"/>
          <w:sz w:val="26"/>
        </w:rPr>
        <w:t>Robert, 1992</w:t>
      </w:r>
      <w:r w:rsidRPr="00F40242">
        <w:rPr>
          <w:rFonts w:eastAsia="Calibri"/>
          <w:sz w:val="26"/>
        </w:rPr>
        <w:t>)</w:t>
      </w:r>
      <w:r w:rsidRPr="00F40242">
        <w:rPr>
          <w:rFonts w:eastAsiaTheme="minorHAnsi"/>
          <w:color w:val="000000"/>
          <w:sz w:val="26"/>
        </w:rPr>
        <w:t xml:space="preserve"> advocated that </w:t>
      </w:r>
      <w:r w:rsidR="00D73086" w:rsidRPr="00F40242">
        <w:rPr>
          <w:rFonts w:eastAsiaTheme="minorHAnsi"/>
          <w:color w:val="000000"/>
          <w:sz w:val="26"/>
        </w:rPr>
        <w:t xml:space="preserve">the </w:t>
      </w:r>
      <w:r w:rsidRPr="00F40242">
        <w:rPr>
          <w:rFonts w:eastAsiaTheme="minorHAnsi"/>
          <w:color w:val="000000"/>
          <w:sz w:val="26"/>
        </w:rPr>
        <w:t xml:space="preserve">SED of a company </w:t>
      </w:r>
      <w:r w:rsidRPr="00F40242">
        <w:rPr>
          <w:rFonts w:eastAsiaTheme="minorHAnsi"/>
          <w:noProof/>
          <w:color w:val="000000"/>
          <w:sz w:val="26"/>
        </w:rPr>
        <w:t>is influenced</w:t>
      </w:r>
      <w:r w:rsidRPr="00F40242">
        <w:rPr>
          <w:rFonts w:eastAsiaTheme="minorHAnsi"/>
          <w:color w:val="000000"/>
          <w:sz w:val="26"/>
        </w:rPr>
        <w:t xml:space="preserve"> by the age of that company. Some </w:t>
      </w:r>
      <w:r w:rsidRPr="00F40242">
        <w:rPr>
          <w:rFonts w:eastAsiaTheme="minorHAnsi"/>
          <w:sz w:val="26"/>
        </w:rPr>
        <w:t>authors (Cormier et al.</w:t>
      </w:r>
      <w:r w:rsidR="003701F5" w:rsidRPr="00F40242">
        <w:rPr>
          <w:rFonts w:eastAsiaTheme="minorHAnsi"/>
          <w:sz w:val="26"/>
        </w:rPr>
        <w:t>,</w:t>
      </w:r>
      <w:r w:rsidR="00D73086" w:rsidRPr="00F40242">
        <w:rPr>
          <w:rFonts w:eastAsiaTheme="minorHAnsi"/>
          <w:sz w:val="26"/>
        </w:rPr>
        <w:t xml:space="preserve"> </w:t>
      </w:r>
      <w:r w:rsidR="003701F5" w:rsidRPr="00F40242">
        <w:rPr>
          <w:rFonts w:eastAsiaTheme="minorHAnsi"/>
          <w:sz w:val="26"/>
        </w:rPr>
        <w:t>2</w:t>
      </w:r>
      <w:r w:rsidRPr="00F40242">
        <w:rPr>
          <w:rFonts w:eastAsiaTheme="minorHAnsi"/>
          <w:sz w:val="26"/>
        </w:rPr>
        <w:t xml:space="preserve">005; </w:t>
      </w:r>
      <w:proofErr w:type="spellStart"/>
      <w:r w:rsidRPr="00F40242">
        <w:rPr>
          <w:rFonts w:eastAsiaTheme="minorHAnsi"/>
          <w:bCs/>
          <w:sz w:val="26"/>
        </w:rPr>
        <w:t>Kansal</w:t>
      </w:r>
      <w:proofErr w:type="spellEnd"/>
      <w:r w:rsidRPr="00F40242">
        <w:rPr>
          <w:rFonts w:eastAsiaTheme="minorHAnsi"/>
          <w:sz w:val="26"/>
        </w:rPr>
        <w:t xml:space="preserve"> </w:t>
      </w:r>
      <w:r w:rsidR="007736B1">
        <w:rPr>
          <w:rFonts w:eastAsiaTheme="minorHAnsi"/>
          <w:sz w:val="26"/>
        </w:rPr>
        <w:t>et al.</w:t>
      </w:r>
      <w:r w:rsidR="003701F5" w:rsidRPr="00F40242">
        <w:rPr>
          <w:rFonts w:eastAsiaTheme="minorHAnsi"/>
          <w:sz w:val="26"/>
        </w:rPr>
        <w:t>,</w:t>
      </w:r>
      <w:r w:rsidR="00D73086" w:rsidRPr="00F40242">
        <w:rPr>
          <w:rFonts w:eastAsiaTheme="minorHAnsi"/>
          <w:sz w:val="26"/>
        </w:rPr>
        <w:t xml:space="preserve"> </w:t>
      </w:r>
      <w:r w:rsidR="003701F5" w:rsidRPr="00F40242">
        <w:rPr>
          <w:rFonts w:eastAsiaTheme="minorHAnsi"/>
          <w:sz w:val="26"/>
        </w:rPr>
        <w:t>2</w:t>
      </w:r>
      <w:r w:rsidRPr="00F40242">
        <w:rPr>
          <w:rFonts w:eastAsiaTheme="minorHAnsi"/>
          <w:bCs/>
          <w:sz w:val="26"/>
        </w:rPr>
        <w:t>014</w:t>
      </w:r>
      <w:r w:rsidRPr="00F40242">
        <w:rPr>
          <w:rFonts w:eastAsiaTheme="minorHAnsi"/>
          <w:sz w:val="26"/>
        </w:rPr>
        <w:t>) reported a positive relationship, whereas others (</w:t>
      </w:r>
      <w:proofErr w:type="spellStart"/>
      <w:r w:rsidRPr="00F40242">
        <w:rPr>
          <w:rFonts w:eastAsia="Calibri"/>
          <w:sz w:val="26"/>
        </w:rPr>
        <w:t>Gray</w:t>
      </w:r>
      <w:proofErr w:type="spellEnd"/>
      <w:r w:rsidRPr="00F40242">
        <w:rPr>
          <w:rFonts w:eastAsia="Calibri"/>
          <w:sz w:val="26"/>
        </w:rPr>
        <w:t xml:space="preserve"> et al., 1995</w:t>
      </w:r>
      <w:r w:rsidRPr="00F40242">
        <w:rPr>
          <w:rFonts w:eastAsiaTheme="minorHAnsi"/>
          <w:sz w:val="26"/>
        </w:rPr>
        <w:t xml:space="preserve"> Rahman et al.</w:t>
      </w:r>
      <w:r w:rsidR="003701F5" w:rsidRPr="00F40242">
        <w:rPr>
          <w:rFonts w:eastAsiaTheme="minorHAnsi"/>
          <w:sz w:val="26"/>
        </w:rPr>
        <w:t>,</w:t>
      </w:r>
      <w:r w:rsidR="00D73086" w:rsidRPr="00F40242">
        <w:rPr>
          <w:rFonts w:eastAsiaTheme="minorHAnsi"/>
          <w:sz w:val="26"/>
        </w:rPr>
        <w:t xml:space="preserve"> </w:t>
      </w:r>
      <w:r w:rsidR="003701F5" w:rsidRPr="00F40242">
        <w:rPr>
          <w:rFonts w:eastAsiaTheme="minorHAnsi"/>
          <w:sz w:val="26"/>
        </w:rPr>
        <w:t>2</w:t>
      </w:r>
      <w:r w:rsidRPr="00F40242">
        <w:rPr>
          <w:rFonts w:eastAsiaTheme="minorHAnsi"/>
          <w:sz w:val="26"/>
        </w:rPr>
        <w:t>0</w:t>
      </w:r>
      <w:r w:rsidR="00C8544A">
        <w:rPr>
          <w:rFonts w:eastAsiaTheme="minorHAnsi"/>
          <w:sz w:val="26"/>
        </w:rPr>
        <w:t>04</w:t>
      </w:r>
      <w:r w:rsidR="000018C5" w:rsidRPr="00F40242">
        <w:rPr>
          <w:rFonts w:eastAsia="Calibri"/>
          <w:sz w:val="26"/>
        </w:rPr>
        <w:t>;</w:t>
      </w:r>
      <w:r w:rsidR="000018C5" w:rsidRPr="000018C5">
        <w:rPr>
          <w:rFonts w:eastAsia="Calibri"/>
          <w:sz w:val="26"/>
        </w:rPr>
        <w:t xml:space="preserve"> </w:t>
      </w:r>
      <w:r w:rsidR="000018C5" w:rsidRPr="00F40242">
        <w:rPr>
          <w:rFonts w:eastAsia="Calibri"/>
          <w:sz w:val="26"/>
        </w:rPr>
        <w:t>Robert, 1992</w:t>
      </w:r>
      <w:r w:rsidRPr="00F40242">
        <w:rPr>
          <w:rFonts w:eastAsiaTheme="minorHAnsi"/>
          <w:sz w:val="26"/>
        </w:rPr>
        <w:t xml:space="preserve">) found no </w:t>
      </w:r>
      <w:r w:rsidRPr="00F40242">
        <w:rPr>
          <w:rFonts w:eastAsia="Calibri"/>
          <w:sz w:val="26"/>
        </w:rPr>
        <w:t xml:space="preserve">conclusive evidence </w:t>
      </w:r>
      <w:r w:rsidR="00CD36FE" w:rsidRPr="00F40242">
        <w:rPr>
          <w:rFonts w:eastAsia="Calibri"/>
          <w:noProof/>
          <w:sz w:val="26"/>
        </w:rPr>
        <w:t>of</w:t>
      </w:r>
      <w:r w:rsidR="00FB3869" w:rsidRPr="00F40242">
        <w:rPr>
          <w:rFonts w:eastAsia="Calibri"/>
          <w:noProof/>
          <w:sz w:val="26"/>
        </w:rPr>
        <w:t xml:space="preserve"> </w:t>
      </w:r>
      <w:r w:rsidR="00D73086" w:rsidRPr="00F40242">
        <w:rPr>
          <w:rFonts w:eastAsia="Calibri"/>
          <w:sz w:val="26"/>
        </w:rPr>
        <w:t xml:space="preserve">an </w:t>
      </w:r>
      <w:r w:rsidRPr="00F40242">
        <w:rPr>
          <w:rFonts w:eastAsia="Calibri"/>
          <w:sz w:val="26"/>
        </w:rPr>
        <w:t xml:space="preserve">association between age and level of SED. </w:t>
      </w:r>
      <w:r w:rsidR="00074E75" w:rsidRPr="00F40242">
        <w:rPr>
          <w:rFonts w:eastAsia="Calibri"/>
          <w:sz w:val="26"/>
        </w:rPr>
        <w:t xml:space="preserve">This inconclusive empirical result is partly due to the </w:t>
      </w:r>
      <w:r w:rsidR="00D73086" w:rsidRPr="00F40242">
        <w:rPr>
          <w:rFonts w:eastAsia="Calibri"/>
          <w:sz w:val="26"/>
        </w:rPr>
        <w:t>fact that the</w:t>
      </w:r>
      <w:r w:rsidR="00EE5117" w:rsidRPr="00F40242">
        <w:rPr>
          <w:rFonts w:eastAsia="Calibri"/>
          <w:sz w:val="26"/>
        </w:rPr>
        <w:t xml:space="preserve"> association between firm age and SED has been examined in different </w:t>
      </w:r>
      <w:r w:rsidR="00EE5117" w:rsidRPr="00F40242">
        <w:rPr>
          <w:rFonts w:eastAsia="Calibri"/>
          <w:noProof/>
          <w:sz w:val="26"/>
        </w:rPr>
        <w:t>period</w:t>
      </w:r>
      <w:r w:rsidR="00D73086" w:rsidRPr="00F40242">
        <w:rPr>
          <w:rFonts w:eastAsia="Calibri"/>
          <w:noProof/>
          <w:sz w:val="26"/>
        </w:rPr>
        <w:t>s</w:t>
      </w:r>
      <w:r w:rsidR="00EE5117" w:rsidRPr="00F40242">
        <w:rPr>
          <w:rFonts w:eastAsia="Calibri"/>
          <w:sz w:val="26"/>
        </w:rPr>
        <w:t xml:space="preserve"> using different sampling and measurement techniques. It is </w:t>
      </w:r>
      <w:r w:rsidR="00D73086" w:rsidRPr="00F40242">
        <w:rPr>
          <w:rFonts w:eastAsia="Calibri"/>
          <w:sz w:val="26"/>
        </w:rPr>
        <w:t xml:space="preserve">very </w:t>
      </w:r>
      <w:r w:rsidR="00EE5117" w:rsidRPr="00F40242">
        <w:rPr>
          <w:rFonts w:eastAsia="Calibri"/>
          <w:sz w:val="26"/>
        </w:rPr>
        <w:t xml:space="preserve">difficult to draw any firm conclusion about the existence of any relationship without systematic investigation using multiple measures and standardised techniques (replication studies) (Lindsay, 1995). </w:t>
      </w:r>
      <w:r w:rsidR="00EF1667" w:rsidRPr="00F40242">
        <w:rPr>
          <w:rFonts w:eastAsia="Calibri"/>
          <w:sz w:val="26"/>
        </w:rPr>
        <w:t xml:space="preserve">Due to inconclusive prior empirical </w:t>
      </w:r>
      <w:r w:rsidR="00EF1667" w:rsidRPr="00F40242">
        <w:rPr>
          <w:rFonts w:eastAsia="Calibri"/>
          <w:noProof/>
          <w:sz w:val="26"/>
        </w:rPr>
        <w:t>results</w:t>
      </w:r>
      <w:r w:rsidR="00CD711D" w:rsidRPr="00F40242">
        <w:rPr>
          <w:rFonts w:eastAsia="Calibri"/>
          <w:noProof/>
          <w:sz w:val="26"/>
        </w:rPr>
        <w:t>,</w:t>
      </w:r>
      <w:r w:rsidR="00EF1667" w:rsidRPr="00F40242">
        <w:rPr>
          <w:rFonts w:eastAsia="Calibri"/>
          <w:sz w:val="26"/>
        </w:rPr>
        <w:t xml:space="preserve"> we </w:t>
      </w:r>
      <w:r w:rsidR="00D73086" w:rsidRPr="00F40242">
        <w:rPr>
          <w:rFonts w:eastAsia="Calibri"/>
          <w:sz w:val="26"/>
        </w:rPr>
        <w:t xml:space="preserve">might </w:t>
      </w:r>
      <w:r w:rsidR="00EF1667" w:rsidRPr="00F40242">
        <w:rPr>
          <w:rFonts w:eastAsia="Calibri"/>
          <w:sz w:val="26"/>
        </w:rPr>
        <w:t xml:space="preserve">expect </w:t>
      </w:r>
      <w:r w:rsidR="00D73086" w:rsidRPr="00F40242">
        <w:rPr>
          <w:rFonts w:eastAsia="Calibri"/>
          <w:sz w:val="26"/>
        </w:rPr>
        <w:t xml:space="preserve">a </w:t>
      </w:r>
      <w:r w:rsidR="00EF1667" w:rsidRPr="00F40242">
        <w:rPr>
          <w:rFonts w:eastAsia="Calibri"/>
          <w:sz w:val="26"/>
        </w:rPr>
        <w:t xml:space="preserve">positive, </w:t>
      </w:r>
      <w:r w:rsidR="00D73086" w:rsidRPr="00F40242">
        <w:rPr>
          <w:rFonts w:eastAsia="Calibri"/>
          <w:sz w:val="26"/>
        </w:rPr>
        <w:t xml:space="preserve">a </w:t>
      </w:r>
      <w:r w:rsidR="00EF1667" w:rsidRPr="00F40242">
        <w:rPr>
          <w:rFonts w:eastAsia="Calibri"/>
          <w:sz w:val="26"/>
        </w:rPr>
        <w:t>negative or even no association between SED and age of the firm. Therefore, we hypothesise</w:t>
      </w:r>
      <w:r w:rsidR="00C03210">
        <w:rPr>
          <w:rFonts w:eastAsia="Calibri"/>
          <w:sz w:val="26"/>
        </w:rPr>
        <w:t>-</w:t>
      </w:r>
    </w:p>
    <w:p w14:paraId="3DF240E4" w14:textId="132CEC11" w:rsidR="00AF2997" w:rsidRDefault="00312B51" w:rsidP="006B1EBC">
      <w:pPr>
        <w:autoSpaceDE w:val="0"/>
        <w:autoSpaceDN w:val="0"/>
        <w:adjustRightInd w:val="0"/>
        <w:spacing w:line="360" w:lineRule="exact"/>
        <w:jc w:val="both"/>
        <w:rPr>
          <w:sz w:val="26"/>
          <w:lang w:eastAsia="en-AU"/>
        </w:rPr>
      </w:pPr>
      <w:r w:rsidRPr="00F40242">
        <w:rPr>
          <w:b/>
          <w:sz w:val="26"/>
          <w:lang w:eastAsia="en-AU"/>
        </w:rPr>
        <w:t>H</w:t>
      </w:r>
      <w:r w:rsidR="007C2990" w:rsidRPr="00F40242">
        <w:rPr>
          <w:b/>
          <w:sz w:val="26"/>
          <w:vertAlign w:val="subscript"/>
          <w:lang w:eastAsia="en-AU"/>
        </w:rPr>
        <w:t>6</w:t>
      </w:r>
      <w:r w:rsidRPr="00F40242">
        <w:rPr>
          <w:sz w:val="26"/>
          <w:lang w:eastAsia="en-AU"/>
        </w:rPr>
        <w:t xml:space="preserve">: There is a positive association between </w:t>
      </w:r>
      <w:r w:rsidR="00D73086" w:rsidRPr="00F40242">
        <w:rPr>
          <w:sz w:val="26"/>
          <w:lang w:eastAsia="en-AU"/>
        </w:rPr>
        <w:t xml:space="preserve">the </w:t>
      </w:r>
      <w:r w:rsidRPr="00F40242">
        <w:rPr>
          <w:sz w:val="26"/>
          <w:lang w:eastAsia="en-AU"/>
        </w:rPr>
        <w:t>age</w:t>
      </w:r>
      <w:r w:rsidRPr="00F40242">
        <w:rPr>
          <w:sz w:val="26"/>
        </w:rPr>
        <w:t xml:space="preserve"> of the reporting entity </w:t>
      </w:r>
      <w:r w:rsidRPr="00F40242">
        <w:rPr>
          <w:sz w:val="26"/>
          <w:lang w:eastAsia="en-AU"/>
        </w:rPr>
        <w:t xml:space="preserve">and </w:t>
      </w:r>
      <w:r w:rsidR="0049487E" w:rsidRPr="00F40242">
        <w:rPr>
          <w:sz w:val="26"/>
          <w:lang w:eastAsia="en-AU"/>
        </w:rPr>
        <w:t>SED</w:t>
      </w:r>
      <w:r w:rsidRPr="00F40242">
        <w:rPr>
          <w:sz w:val="26"/>
          <w:lang w:eastAsia="en-AU"/>
        </w:rPr>
        <w:t>.</w:t>
      </w:r>
    </w:p>
    <w:p w14:paraId="5C1A0A20" w14:textId="77777777" w:rsidR="006B1EBC" w:rsidRPr="006B1EBC" w:rsidRDefault="006B1EBC" w:rsidP="006B1EBC">
      <w:pPr>
        <w:autoSpaceDE w:val="0"/>
        <w:autoSpaceDN w:val="0"/>
        <w:adjustRightInd w:val="0"/>
        <w:spacing w:line="360" w:lineRule="exact"/>
        <w:jc w:val="both"/>
        <w:rPr>
          <w:sz w:val="26"/>
          <w:lang w:eastAsia="en-AU"/>
        </w:rPr>
      </w:pPr>
    </w:p>
    <w:p w14:paraId="650D9CAE" w14:textId="614B745A" w:rsidR="00AF41C4" w:rsidRPr="006B1EBC" w:rsidRDefault="00AF2997" w:rsidP="00050AB9">
      <w:pPr>
        <w:autoSpaceDE w:val="0"/>
        <w:autoSpaceDN w:val="0"/>
        <w:adjustRightInd w:val="0"/>
        <w:jc w:val="both"/>
        <w:rPr>
          <w:b/>
          <w:sz w:val="26"/>
        </w:rPr>
      </w:pPr>
      <w:r w:rsidRPr="00F40242">
        <w:rPr>
          <w:b/>
          <w:sz w:val="26"/>
          <w:lang w:eastAsia="en-AU"/>
        </w:rPr>
        <w:t>R</w:t>
      </w:r>
      <w:r w:rsidR="00792A17" w:rsidRPr="00F40242">
        <w:rPr>
          <w:b/>
          <w:sz w:val="26"/>
          <w:lang w:eastAsia="en-AU"/>
        </w:rPr>
        <w:t xml:space="preserve">esearch </w:t>
      </w:r>
      <w:r w:rsidR="00050AB9" w:rsidRPr="00F40242">
        <w:rPr>
          <w:b/>
          <w:sz w:val="26"/>
          <w:lang w:eastAsia="en-AU"/>
        </w:rPr>
        <w:t xml:space="preserve">Design </w:t>
      </w:r>
      <w:r w:rsidR="000018C5" w:rsidRPr="00F40242">
        <w:rPr>
          <w:b/>
          <w:sz w:val="26"/>
          <w:lang w:eastAsia="en-AU"/>
        </w:rPr>
        <w:t xml:space="preserve">and </w:t>
      </w:r>
      <w:r w:rsidR="00050AB9">
        <w:rPr>
          <w:b/>
          <w:sz w:val="26"/>
        </w:rPr>
        <w:t>Model Specification</w:t>
      </w:r>
    </w:p>
    <w:p w14:paraId="0A523AE2" w14:textId="6F540195" w:rsidR="0072600A" w:rsidRPr="006B1EBC" w:rsidRDefault="00050AB9" w:rsidP="00050AB9">
      <w:pPr>
        <w:autoSpaceDE w:val="0"/>
        <w:autoSpaceDN w:val="0"/>
        <w:adjustRightInd w:val="0"/>
        <w:jc w:val="both"/>
        <w:rPr>
          <w:b/>
          <w:bCs/>
          <w:sz w:val="26"/>
          <w:lang w:val="en-US"/>
        </w:rPr>
      </w:pPr>
      <w:r w:rsidRPr="006B1EBC">
        <w:rPr>
          <w:b/>
          <w:bCs/>
          <w:iCs/>
          <w:sz w:val="26"/>
        </w:rPr>
        <w:t xml:space="preserve">Models </w:t>
      </w:r>
      <w:r>
        <w:rPr>
          <w:b/>
          <w:bCs/>
          <w:iCs/>
          <w:sz w:val="26"/>
        </w:rPr>
        <w:t>fo</w:t>
      </w:r>
      <w:r w:rsidRPr="006B1EBC">
        <w:rPr>
          <w:b/>
          <w:bCs/>
          <w:iCs/>
          <w:sz w:val="26"/>
        </w:rPr>
        <w:t xml:space="preserve">r </w:t>
      </w:r>
      <w:r>
        <w:rPr>
          <w:b/>
          <w:bCs/>
          <w:iCs/>
          <w:sz w:val="26"/>
        </w:rPr>
        <w:t>t</w:t>
      </w:r>
      <w:r w:rsidRPr="006B1EBC">
        <w:rPr>
          <w:b/>
          <w:bCs/>
          <w:iCs/>
          <w:sz w:val="26"/>
        </w:rPr>
        <w:t xml:space="preserve">he determinants </w:t>
      </w:r>
      <w:r>
        <w:rPr>
          <w:b/>
          <w:bCs/>
          <w:iCs/>
          <w:sz w:val="26"/>
        </w:rPr>
        <w:t>o</w:t>
      </w:r>
      <w:r w:rsidRPr="006B1EBC">
        <w:rPr>
          <w:b/>
          <w:bCs/>
          <w:iCs/>
          <w:sz w:val="26"/>
        </w:rPr>
        <w:t>f non-disclosures</w:t>
      </w:r>
    </w:p>
    <w:p w14:paraId="7AAA6B71" w14:textId="2A74E545" w:rsidR="008C0B77" w:rsidRPr="00F40242" w:rsidRDefault="0072600A" w:rsidP="006B1EBC">
      <w:pPr>
        <w:autoSpaceDE w:val="0"/>
        <w:autoSpaceDN w:val="0"/>
        <w:adjustRightInd w:val="0"/>
        <w:spacing w:line="360" w:lineRule="exact"/>
        <w:ind w:firstLineChars="200" w:firstLine="520"/>
        <w:jc w:val="both"/>
        <w:rPr>
          <w:sz w:val="26"/>
        </w:rPr>
      </w:pPr>
      <w:r w:rsidRPr="00F40242">
        <w:rPr>
          <w:sz w:val="26"/>
        </w:rPr>
        <w:t xml:space="preserve">To test the </w:t>
      </w:r>
      <w:r w:rsidRPr="00F40242">
        <w:rPr>
          <w:noProof/>
          <w:sz w:val="26"/>
        </w:rPr>
        <w:t>hypotheses</w:t>
      </w:r>
      <w:r w:rsidR="00CD36FE" w:rsidRPr="00F40242">
        <w:rPr>
          <w:noProof/>
          <w:sz w:val="26"/>
        </w:rPr>
        <w:t>,</w:t>
      </w:r>
      <w:r w:rsidRPr="00F40242">
        <w:rPr>
          <w:sz w:val="26"/>
        </w:rPr>
        <w:t xml:space="preserve"> </w:t>
      </w:r>
      <w:r w:rsidR="00FB57FA" w:rsidRPr="00F40242">
        <w:rPr>
          <w:sz w:val="26"/>
        </w:rPr>
        <w:t xml:space="preserve">we </w:t>
      </w:r>
      <w:r w:rsidRPr="00F40242">
        <w:rPr>
          <w:sz w:val="26"/>
        </w:rPr>
        <w:t>follow</w:t>
      </w:r>
      <w:r w:rsidR="00FB57FA" w:rsidRPr="00F40242">
        <w:rPr>
          <w:sz w:val="26"/>
        </w:rPr>
        <w:t xml:space="preserve"> a</w:t>
      </w:r>
      <w:r w:rsidRPr="00F40242">
        <w:rPr>
          <w:sz w:val="26"/>
        </w:rPr>
        <w:t xml:space="preserve"> Multivariate Ordinary Least Squares</w:t>
      </w:r>
      <w:r w:rsidR="00D73086" w:rsidRPr="00F40242">
        <w:rPr>
          <w:sz w:val="26"/>
        </w:rPr>
        <w:t xml:space="preserve"> </w:t>
      </w:r>
      <w:r w:rsidRPr="00F40242">
        <w:rPr>
          <w:sz w:val="26"/>
        </w:rPr>
        <w:t>(</w:t>
      </w:r>
      <w:r w:rsidR="00FB57FA" w:rsidRPr="00F40242">
        <w:rPr>
          <w:sz w:val="26"/>
        </w:rPr>
        <w:t>M</w:t>
      </w:r>
      <w:r w:rsidRPr="00F40242">
        <w:rPr>
          <w:sz w:val="26"/>
        </w:rPr>
        <w:t>OLS) model</w:t>
      </w:r>
      <w:r w:rsidR="00FB57FA" w:rsidRPr="00F40242">
        <w:rPr>
          <w:sz w:val="26"/>
        </w:rPr>
        <w:t>ling framework</w:t>
      </w:r>
      <w:r w:rsidRPr="00F40242">
        <w:rPr>
          <w:sz w:val="26"/>
        </w:rPr>
        <w:t xml:space="preserve">. </w:t>
      </w:r>
      <w:r w:rsidR="00CD711D" w:rsidRPr="00F40242">
        <w:rPr>
          <w:noProof/>
          <w:sz w:val="26"/>
        </w:rPr>
        <w:t xml:space="preserve">Data on </w:t>
      </w:r>
      <w:r w:rsidR="00C03210">
        <w:rPr>
          <w:noProof/>
          <w:sz w:val="26"/>
        </w:rPr>
        <w:t>i</w:t>
      </w:r>
      <w:r w:rsidRPr="00F40242">
        <w:rPr>
          <w:noProof/>
          <w:sz w:val="26"/>
        </w:rPr>
        <w:t>nternational experience</w:t>
      </w:r>
      <w:r w:rsidR="00D73086" w:rsidRPr="00F40242">
        <w:rPr>
          <w:noProof/>
          <w:sz w:val="26"/>
        </w:rPr>
        <w:t xml:space="preserve"> </w:t>
      </w:r>
      <w:r w:rsidRPr="00F40242">
        <w:rPr>
          <w:noProof/>
          <w:sz w:val="26"/>
        </w:rPr>
        <w:t>(IE)</w:t>
      </w:r>
      <w:r w:rsidR="00FB57FA" w:rsidRPr="00F40242">
        <w:rPr>
          <w:noProof/>
          <w:sz w:val="26"/>
        </w:rPr>
        <w:t xml:space="preserve">, </w:t>
      </w:r>
      <w:r w:rsidRPr="00F40242">
        <w:rPr>
          <w:noProof/>
          <w:sz w:val="26"/>
        </w:rPr>
        <w:t>size of the reporting entity</w:t>
      </w:r>
      <w:r w:rsidR="00D73086" w:rsidRPr="00F40242">
        <w:rPr>
          <w:noProof/>
          <w:sz w:val="26"/>
        </w:rPr>
        <w:t xml:space="preserve"> </w:t>
      </w:r>
      <w:r w:rsidRPr="00F40242">
        <w:rPr>
          <w:noProof/>
          <w:sz w:val="26"/>
        </w:rPr>
        <w:t>(TA), profitability (ROTA), industry</w:t>
      </w:r>
      <w:r w:rsidR="00FB57FA" w:rsidRPr="00F40242">
        <w:rPr>
          <w:noProof/>
          <w:sz w:val="26"/>
        </w:rPr>
        <w:t xml:space="preserve"> where the </w:t>
      </w:r>
      <w:r w:rsidRPr="00F40242">
        <w:rPr>
          <w:noProof/>
          <w:sz w:val="26"/>
        </w:rPr>
        <w:t>company operates</w:t>
      </w:r>
      <w:r w:rsidR="00D73086" w:rsidRPr="00F40242">
        <w:rPr>
          <w:noProof/>
          <w:sz w:val="26"/>
        </w:rPr>
        <w:t xml:space="preserve"> </w:t>
      </w:r>
      <w:r w:rsidRPr="00F40242">
        <w:rPr>
          <w:noProof/>
          <w:sz w:val="26"/>
        </w:rPr>
        <w:t>(IOC), age of the reporting entity</w:t>
      </w:r>
      <w:r w:rsidR="00D73086" w:rsidRPr="00F40242">
        <w:rPr>
          <w:noProof/>
          <w:sz w:val="26"/>
        </w:rPr>
        <w:t xml:space="preserve"> </w:t>
      </w:r>
      <w:r w:rsidRPr="00F40242">
        <w:rPr>
          <w:noProof/>
          <w:sz w:val="26"/>
        </w:rPr>
        <w:t xml:space="preserve">(ARE), </w:t>
      </w:r>
      <w:r w:rsidR="00C03210">
        <w:rPr>
          <w:noProof/>
          <w:sz w:val="26"/>
        </w:rPr>
        <w:t>c</w:t>
      </w:r>
      <w:r w:rsidRPr="00F40242">
        <w:rPr>
          <w:noProof/>
          <w:sz w:val="26"/>
        </w:rPr>
        <w:t>onsumer proximity</w:t>
      </w:r>
      <w:r w:rsidR="00D73086" w:rsidRPr="00F40242">
        <w:rPr>
          <w:noProof/>
          <w:sz w:val="26"/>
        </w:rPr>
        <w:t xml:space="preserve"> </w:t>
      </w:r>
      <w:r w:rsidRPr="00F40242">
        <w:rPr>
          <w:noProof/>
          <w:sz w:val="26"/>
        </w:rPr>
        <w:t>(CP) an</w:t>
      </w:r>
      <w:r w:rsidR="000F5F77" w:rsidRPr="00F40242">
        <w:rPr>
          <w:noProof/>
          <w:sz w:val="26"/>
        </w:rPr>
        <w:t xml:space="preserve">d </w:t>
      </w:r>
      <w:r w:rsidR="00C03210">
        <w:rPr>
          <w:noProof/>
          <w:sz w:val="26"/>
        </w:rPr>
        <w:t>l</w:t>
      </w:r>
      <w:r w:rsidR="000F5F77" w:rsidRPr="00F40242">
        <w:rPr>
          <w:noProof/>
          <w:sz w:val="26"/>
        </w:rPr>
        <w:t>everage</w:t>
      </w:r>
      <w:r w:rsidR="00D73086" w:rsidRPr="00F40242">
        <w:rPr>
          <w:noProof/>
          <w:sz w:val="26"/>
        </w:rPr>
        <w:t xml:space="preserve"> </w:t>
      </w:r>
      <w:r w:rsidR="000F5F77" w:rsidRPr="00F40242">
        <w:rPr>
          <w:noProof/>
          <w:sz w:val="26"/>
        </w:rPr>
        <w:t xml:space="preserve">(LEV) were </w:t>
      </w:r>
      <w:r w:rsidR="00CD711D" w:rsidRPr="00F40242">
        <w:rPr>
          <w:noProof/>
          <w:sz w:val="26"/>
        </w:rPr>
        <w:t xml:space="preserve"> obtained</w:t>
      </w:r>
      <w:r w:rsidR="000F5F77" w:rsidRPr="00F40242">
        <w:rPr>
          <w:noProof/>
          <w:sz w:val="26"/>
        </w:rPr>
        <w:t xml:space="preserve"> from company’s annual reports or website.</w:t>
      </w:r>
      <w:r w:rsidR="000F5F77" w:rsidRPr="00F40242">
        <w:rPr>
          <w:sz w:val="26"/>
        </w:rPr>
        <w:t xml:space="preserve"> </w:t>
      </w:r>
    </w:p>
    <w:p w14:paraId="063782EA" w14:textId="77777777" w:rsidR="006B1EBC" w:rsidRDefault="006B1EBC" w:rsidP="0011086F">
      <w:pPr>
        <w:autoSpaceDE w:val="0"/>
        <w:autoSpaceDN w:val="0"/>
        <w:adjustRightInd w:val="0"/>
        <w:spacing w:line="360" w:lineRule="exact"/>
        <w:jc w:val="both"/>
        <w:rPr>
          <w:sz w:val="26"/>
        </w:rPr>
      </w:pPr>
    </w:p>
    <w:p w14:paraId="09070738" w14:textId="15DACEAD" w:rsidR="00602CD6" w:rsidRPr="00F40242" w:rsidRDefault="00FB57FA" w:rsidP="0011086F">
      <w:pPr>
        <w:autoSpaceDE w:val="0"/>
        <w:autoSpaceDN w:val="0"/>
        <w:adjustRightInd w:val="0"/>
        <w:spacing w:line="360" w:lineRule="exact"/>
        <w:jc w:val="both"/>
        <w:rPr>
          <w:sz w:val="26"/>
        </w:rPr>
      </w:pPr>
      <w:r w:rsidRPr="00F40242">
        <w:rPr>
          <w:sz w:val="26"/>
        </w:rPr>
        <w:t>The empirical model was specified as follows:</w:t>
      </w:r>
    </w:p>
    <w:p w14:paraId="587EFD21" w14:textId="77777777" w:rsidR="000803DE" w:rsidRPr="00F40242" w:rsidRDefault="002919B2" w:rsidP="0011086F">
      <w:pPr>
        <w:autoSpaceDE w:val="0"/>
        <w:autoSpaceDN w:val="0"/>
        <w:adjustRightInd w:val="0"/>
        <w:spacing w:line="360" w:lineRule="exact"/>
        <w:jc w:val="both"/>
        <w:rPr>
          <w:sz w:val="26"/>
        </w:rPr>
      </w:pPr>
      <m:oMathPara>
        <m:oMathParaPr>
          <m:jc m:val="left"/>
        </m:oMathParaPr>
        <m:oMath>
          <m:sSub>
            <m:sSubPr>
              <m:ctrlPr>
                <w:rPr>
                  <w:rFonts w:ascii="Cambria Math" w:hAnsi="Cambria Math"/>
                  <w:sz w:val="26"/>
                </w:rPr>
              </m:ctrlPr>
            </m:sSubPr>
            <m:e>
              <m:r>
                <w:rPr>
                  <w:rFonts w:ascii="Cambria Math" w:hAnsi="Cambria Math"/>
                  <w:sz w:val="26"/>
                </w:rPr>
                <m:t>DI</m:t>
              </m:r>
            </m:e>
            <m:sub>
              <m:r>
                <w:rPr>
                  <w:rFonts w:ascii="Cambria Math" w:hAnsi="Cambria Math"/>
                  <w:sz w:val="26"/>
                </w:rPr>
                <m:t>ij</m:t>
              </m:r>
            </m:sub>
          </m:sSub>
          <m:r>
            <m:rPr>
              <m:sty m:val="p"/>
            </m:rPr>
            <w:rPr>
              <w:rFonts w:ascii="Cambria Math" w:hAnsi="Cambria Math"/>
              <w:sz w:val="26"/>
            </w:rPr>
            <m:t xml:space="preserve"> = </m:t>
          </m:r>
          <m:sSub>
            <m:sSubPr>
              <m:ctrlPr>
                <w:rPr>
                  <w:rFonts w:ascii="Cambria Math" w:hAnsi="Cambria Math"/>
                  <w:sz w:val="26"/>
                </w:rPr>
              </m:ctrlPr>
            </m:sSubPr>
            <m:e>
              <m:r>
                <w:rPr>
                  <w:rFonts w:ascii="Cambria Math" w:hAnsi="Cambria Math"/>
                  <w:sz w:val="26"/>
                </w:rPr>
                <m:t>β</m:t>
              </m:r>
            </m:e>
            <m:sub>
              <m:r>
                <w:rPr>
                  <w:rFonts w:ascii="Cambria Math" w:hAnsi="Cambria Math"/>
                  <w:sz w:val="26"/>
                </w:rPr>
                <m:t>0i</m:t>
              </m:r>
            </m:sub>
          </m:sSub>
          <m:r>
            <m:rPr>
              <m:sty m:val="p"/>
            </m:rPr>
            <w:rPr>
              <w:rFonts w:ascii="Cambria Math" w:hAnsi="Cambria Math"/>
              <w:sz w:val="26"/>
            </w:rPr>
            <m:t xml:space="preserve"> + </m:t>
          </m:r>
          <m:sSub>
            <m:sSubPr>
              <m:ctrlPr>
                <w:rPr>
                  <w:rFonts w:ascii="Cambria Math" w:hAnsi="Cambria Math"/>
                  <w:sz w:val="26"/>
                </w:rPr>
              </m:ctrlPr>
            </m:sSubPr>
            <m:e>
              <m:r>
                <w:rPr>
                  <w:rFonts w:ascii="Cambria Math" w:hAnsi="Cambria Math"/>
                  <w:sz w:val="26"/>
                </w:rPr>
                <m:t>β</m:t>
              </m:r>
            </m:e>
            <m:sub>
              <m:r>
                <w:rPr>
                  <w:rFonts w:ascii="Cambria Math" w:hAnsi="Cambria Math"/>
                  <w:sz w:val="26"/>
                </w:rPr>
                <m:t>1i</m:t>
              </m:r>
            </m:sub>
          </m:sSub>
          <m:r>
            <m:rPr>
              <m:sty m:val="p"/>
            </m:rPr>
            <w:rPr>
              <w:rFonts w:ascii="Cambria Math" w:hAnsi="Cambria Math"/>
              <w:sz w:val="26"/>
            </w:rPr>
            <m:t xml:space="preserve"> </m:t>
          </m:r>
          <m:d>
            <m:dPr>
              <m:ctrlPr>
                <w:rPr>
                  <w:rFonts w:ascii="Cambria Math" w:hAnsi="Cambria Math"/>
                  <w:sz w:val="26"/>
                </w:rPr>
              </m:ctrlPr>
            </m:dPr>
            <m:e>
              <m:sSub>
                <m:sSubPr>
                  <m:ctrlPr>
                    <w:rPr>
                      <w:rFonts w:ascii="Cambria Math" w:hAnsi="Cambria Math"/>
                      <w:sz w:val="26"/>
                    </w:rPr>
                  </m:ctrlPr>
                </m:sSubPr>
                <m:e>
                  <m:r>
                    <w:rPr>
                      <w:rFonts w:ascii="Cambria Math" w:hAnsi="Cambria Math"/>
                      <w:sz w:val="26"/>
                    </w:rPr>
                    <m:t>IE</m:t>
                  </m:r>
                </m:e>
                <m:sub>
                  <m:r>
                    <w:rPr>
                      <w:rFonts w:ascii="Cambria Math" w:hAnsi="Cambria Math"/>
                      <w:sz w:val="26"/>
                    </w:rPr>
                    <m:t>j</m:t>
                  </m:r>
                </m:sub>
              </m:sSub>
            </m:e>
          </m:d>
          <m:r>
            <m:rPr>
              <m:sty m:val="p"/>
            </m:rPr>
            <w:rPr>
              <w:rFonts w:ascii="Cambria Math" w:hAnsi="Cambria Math"/>
              <w:sz w:val="26"/>
            </w:rPr>
            <m:t xml:space="preserve">+ </m:t>
          </m:r>
          <m:sSub>
            <m:sSubPr>
              <m:ctrlPr>
                <w:rPr>
                  <w:rFonts w:ascii="Cambria Math" w:hAnsi="Cambria Math"/>
                  <w:sz w:val="26"/>
                </w:rPr>
              </m:ctrlPr>
            </m:sSubPr>
            <m:e>
              <m:r>
                <w:rPr>
                  <w:rFonts w:ascii="Cambria Math" w:hAnsi="Cambria Math"/>
                  <w:sz w:val="26"/>
                </w:rPr>
                <m:t>β</m:t>
              </m:r>
            </m:e>
            <m:sub>
              <m:r>
                <w:rPr>
                  <w:rFonts w:ascii="Cambria Math" w:hAnsi="Cambria Math"/>
                  <w:sz w:val="26"/>
                </w:rPr>
                <m:t>2i</m:t>
              </m:r>
            </m:sub>
          </m:sSub>
          <m:r>
            <m:rPr>
              <m:sty m:val="p"/>
            </m:rPr>
            <w:rPr>
              <w:rFonts w:ascii="Cambria Math" w:hAnsi="Cambria Math"/>
              <w:sz w:val="26"/>
            </w:rPr>
            <m:t xml:space="preserve"> </m:t>
          </m:r>
          <m:d>
            <m:dPr>
              <m:ctrlPr>
                <w:rPr>
                  <w:rFonts w:ascii="Cambria Math" w:hAnsi="Cambria Math"/>
                  <w:sz w:val="26"/>
                </w:rPr>
              </m:ctrlPr>
            </m:dPr>
            <m:e>
              <m:sSub>
                <m:sSubPr>
                  <m:ctrlPr>
                    <w:rPr>
                      <w:rFonts w:ascii="Cambria Math" w:hAnsi="Cambria Math"/>
                      <w:sz w:val="26"/>
                    </w:rPr>
                  </m:ctrlPr>
                </m:sSubPr>
                <m:e>
                  <m:r>
                    <w:rPr>
                      <w:rFonts w:ascii="Cambria Math" w:hAnsi="Cambria Math"/>
                      <w:sz w:val="26"/>
                    </w:rPr>
                    <m:t>TA</m:t>
                  </m:r>
                </m:e>
                <m:sub>
                  <m:r>
                    <w:rPr>
                      <w:rFonts w:ascii="Cambria Math" w:hAnsi="Cambria Math"/>
                      <w:sz w:val="26"/>
                    </w:rPr>
                    <m:t>j</m:t>
                  </m:r>
                </m:sub>
              </m:sSub>
            </m:e>
          </m:d>
          <m:r>
            <m:rPr>
              <m:sty m:val="p"/>
            </m:rPr>
            <w:rPr>
              <w:rFonts w:ascii="Cambria Math" w:hAnsi="Cambria Math"/>
              <w:sz w:val="26"/>
            </w:rPr>
            <m:t xml:space="preserve">+ </m:t>
          </m:r>
          <m:sSub>
            <m:sSubPr>
              <m:ctrlPr>
                <w:rPr>
                  <w:rFonts w:ascii="Cambria Math" w:hAnsi="Cambria Math"/>
                  <w:sz w:val="26"/>
                </w:rPr>
              </m:ctrlPr>
            </m:sSubPr>
            <m:e>
              <m:r>
                <w:rPr>
                  <w:rFonts w:ascii="Cambria Math" w:hAnsi="Cambria Math"/>
                  <w:sz w:val="26"/>
                </w:rPr>
                <m:t>β</m:t>
              </m:r>
            </m:e>
            <m:sub>
              <m:r>
                <w:rPr>
                  <w:rFonts w:ascii="Cambria Math" w:hAnsi="Cambria Math"/>
                  <w:sz w:val="26"/>
                </w:rPr>
                <m:t>3i</m:t>
              </m:r>
            </m:sub>
          </m:sSub>
          <m:r>
            <m:rPr>
              <m:sty m:val="p"/>
            </m:rPr>
            <w:rPr>
              <w:rFonts w:ascii="Cambria Math" w:hAnsi="Cambria Math"/>
              <w:sz w:val="26"/>
            </w:rPr>
            <m:t xml:space="preserve"> </m:t>
          </m:r>
          <m:d>
            <m:dPr>
              <m:ctrlPr>
                <w:rPr>
                  <w:rFonts w:ascii="Cambria Math" w:hAnsi="Cambria Math"/>
                  <w:sz w:val="26"/>
                </w:rPr>
              </m:ctrlPr>
            </m:dPr>
            <m:e>
              <m:sSub>
                <m:sSubPr>
                  <m:ctrlPr>
                    <w:rPr>
                      <w:rFonts w:ascii="Cambria Math" w:hAnsi="Cambria Math"/>
                      <w:sz w:val="26"/>
                    </w:rPr>
                  </m:ctrlPr>
                </m:sSubPr>
                <m:e>
                  <m:r>
                    <w:rPr>
                      <w:rFonts w:ascii="Cambria Math" w:hAnsi="Cambria Math"/>
                      <w:sz w:val="26"/>
                    </w:rPr>
                    <m:t>ROA</m:t>
                  </m:r>
                </m:e>
                <m:sub>
                  <m:r>
                    <w:rPr>
                      <w:rFonts w:ascii="Cambria Math" w:hAnsi="Cambria Math"/>
                      <w:sz w:val="26"/>
                    </w:rPr>
                    <m:t>j</m:t>
                  </m:r>
                </m:sub>
              </m:sSub>
            </m:e>
          </m:d>
          <m:r>
            <m:rPr>
              <m:sty m:val="p"/>
            </m:rPr>
            <w:rPr>
              <w:rFonts w:ascii="Cambria Math" w:hAnsi="Cambria Math"/>
              <w:sz w:val="26"/>
            </w:rPr>
            <m:t xml:space="preserve">+ </m:t>
          </m:r>
          <m:sSub>
            <m:sSubPr>
              <m:ctrlPr>
                <w:rPr>
                  <w:rFonts w:ascii="Cambria Math" w:hAnsi="Cambria Math"/>
                  <w:sz w:val="26"/>
                </w:rPr>
              </m:ctrlPr>
            </m:sSubPr>
            <m:e>
              <m:r>
                <w:rPr>
                  <w:rFonts w:ascii="Cambria Math" w:hAnsi="Cambria Math"/>
                  <w:sz w:val="26"/>
                </w:rPr>
                <m:t>β</m:t>
              </m:r>
            </m:e>
            <m:sub>
              <m:r>
                <w:rPr>
                  <w:rFonts w:ascii="Cambria Math" w:hAnsi="Cambria Math"/>
                  <w:sz w:val="26"/>
                </w:rPr>
                <m:t>4i</m:t>
              </m:r>
            </m:sub>
          </m:sSub>
          <m:r>
            <m:rPr>
              <m:sty m:val="p"/>
            </m:rPr>
            <w:rPr>
              <w:rFonts w:ascii="Cambria Math" w:hAnsi="Cambria Math"/>
              <w:sz w:val="26"/>
            </w:rPr>
            <m:t xml:space="preserve"> </m:t>
          </m:r>
          <m:d>
            <m:dPr>
              <m:ctrlPr>
                <w:rPr>
                  <w:rFonts w:ascii="Cambria Math" w:hAnsi="Cambria Math"/>
                  <w:sz w:val="26"/>
                </w:rPr>
              </m:ctrlPr>
            </m:dPr>
            <m:e>
              <m:sSub>
                <m:sSubPr>
                  <m:ctrlPr>
                    <w:rPr>
                      <w:rFonts w:ascii="Cambria Math" w:hAnsi="Cambria Math"/>
                      <w:sz w:val="26"/>
                    </w:rPr>
                  </m:ctrlPr>
                </m:sSubPr>
                <m:e>
                  <m:r>
                    <w:rPr>
                      <w:rFonts w:ascii="Cambria Math" w:hAnsi="Cambria Math"/>
                      <w:sz w:val="26"/>
                    </w:rPr>
                    <m:t>IOC</m:t>
                  </m:r>
                </m:e>
                <m:sub>
                  <m:r>
                    <w:rPr>
                      <w:rFonts w:ascii="Cambria Math" w:hAnsi="Cambria Math"/>
                      <w:sz w:val="26"/>
                    </w:rPr>
                    <m:t>j</m:t>
                  </m:r>
                </m:sub>
              </m:sSub>
            </m:e>
          </m:d>
        </m:oMath>
      </m:oMathPara>
    </w:p>
    <w:p w14:paraId="1AC1C6F6" w14:textId="77777777" w:rsidR="000803DE" w:rsidRPr="00F40242" w:rsidRDefault="000803DE" w:rsidP="0011086F">
      <w:pPr>
        <w:autoSpaceDE w:val="0"/>
        <w:autoSpaceDN w:val="0"/>
        <w:adjustRightInd w:val="0"/>
        <w:spacing w:line="360" w:lineRule="exact"/>
        <w:ind w:left="1134"/>
        <w:jc w:val="both"/>
        <w:rPr>
          <w:sz w:val="26"/>
        </w:rPr>
      </w:pPr>
      <m:oMath>
        <m:r>
          <m:rPr>
            <m:sty m:val="p"/>
          </m:rPr>
          <w:rPr>
            <w:rFonts w:ascii="Cambria Math" w:hAnsi="Cambria Math"/>
            <w:sz w:val="26"/>
          </w:rPr>
          <m:t xml:space="preserve">+ </m:t>
        </m:r>
        <m:sSub>
          <m:sSubPr>
            <m:ctrlPr>
              <w:rPr>
                <w:rFonts w:ascii="Cambria Math" w:hAnsi="Cambria Math"/>
                <w:sz w:val="26"/>
              </w:rPr>
            </m:ctrlPr>
          </m:sSubPr>
          <m:e>
            <m:r>
              <w:rPr>
                <w:rFonts w:ascii="Cambria Math" w:hAnsi="Cambria Math"/>
                <w:sz w:val="26"/>
              </w:rPr>
              <m:t>β</m:t>
            </m:r>
          </m:e>
          <m:sub>
            <m:r>
              <w:rPr>
                <w:rFonts w:ascii="Cambria Math" w:hAnsi="Cambria Math"/>
                <w:sz w:val="26"/>
              </w:rPr>
              <m:t>5i</m:t>
            </m:r>
          </m:sub>
        </m:sSub>
        <m:r>
          <m:rPr>
            <m:sty m:val="p"/>
          </m:rPr>
          <w:rPr>
            <w:rFonts w:ascii="Cambria Math" w:hAnsi="Cambria Math"/>
            <w:sz w:val="26"/>
          </w:rPr>
          <m:t xml:space="preserve"> (</m:t>
        </m:r>
        <m:sSub>
          <m:sSubPr>
            <m:ctrlPr>
              <w:rPr>
                <w:rFonts w:ascii="Cambria Math" w:hAnsi="Cambria Math"/>
                <w:sz w:val="26"/>
              </w:rPr>
            </m:ctrlPr>
          </m:sSubPr>
          <m:e>
            <m:r>
              <w:rPr>
                <w:rFonts w:ascii="Cambria Math" w:hAnsi="Cambria Math"/>
                <w:sz w:val="26"/>
              </w:rPr>
              <m:t>CP</m:t>
            </m:r>
          </m:e>
          <m:sub>
            <m:r>
              <w:rPr>
                <w:rFonts w:ascii="Cambria Math" w:hAnsi="Cambria Math"/>
                <w:sz w:val="26"/>
              </w:rPr>
              <m:t>j</m:t>
            </m:r>
          </m:sub>
        </m:sSub>
        <m:r>
          <m:rPr>
            <m:sty m:val="p"/>
          </m:rPr>
          <w:rPr>
            <w:rFonts w:ascii="Cambria Math" w:hAnsi="Cambria Math"/>
            <w:sz w:val="26"/>
          </w:rPr>
          <m:t xml:space="preserve">) + </m:t>
        </m:r>
        <m:sSub>
          <m:sSubPr>
            <m:ctrlPr>
              <w:rPr>
                <w:rFonts w:ascii="Cambria Math" w:hAnsi="Cambria Math"/>
                <w:sz w:val="26"/>
              </w:rPr>
            </m:ctrlPr>
          </m:sSubPr>
          <m:e>
            <m:r>
              <w:rPr>
                <w:rFonts w:ascii="Cambria Math" w:hAnsi="Cambria Math"/>
                <w:sz w:val="26"/>
              </w:rPr>
              <m:t>β</m:t>
            </m:r>
          </m:e>
          <m:sub>
            <m:r>
              <w:rPr>
                <w:rFonts w:ascii="Cambria Math" w:hAnsi="Cambria Math"/>
                <w:sz w:val="26"/>
              </w:rPr>
              <m:t>6i</m:t>
            </m:r>
          </m:sub>
        </m:sSub>
        <m:r>
          <m:rPr>
            <m:sty m:val="p"/>
          </m:rPr>
          <w:rPr>
            <w:rFonts w:ascii="Cambria Math" w:hAnsi="Cambria Math"/>
            <w:sz w:val="26"/>
          </w:rPr>
          <m:t xml:space="preserve"> (</m:t>
        </m:r>
        <m:sSub>
          <m:sSubPr>
            <m:ctrlPr>
              <w:rPr>
                <w:rFonts w:ascii="Cambria Math" w:hAnsi="Cambria Math"/>
                <w:sz w:val="26"/>
              </w:rPr>
            </m:ctrlPr>
          </m:sSubPr>
          <m:e>
            <m:r>
              <w:rPr>
                <w:rFonts w:ascii="Cambria Math" w:hAnsi="Cambria Math"/>
                <w:sz w:val="26"/>
              </w:rPr>
              <m:t>AGE</m:t>
            </m:r>
          </m:e>
          <m:sub>
            <m:r>
              <w:rPr>
                <w:rFonts w:ascii="Cambria Math" w:hAnsi="Cambria Math"/>
                <w:sz w:val="26"/>
              </w:rPr>
              <m:t>j</m:t>
            </m:r>
          </m:sub>
        </m:sSub>
        <m:r>
          <m:rPr>
            <m:sty m:val="p"/>
          </m:rPr>
          <w:rPr>
            <w:rFonts w:ascii="Cambria Math" w:hAnsi="Cambria Math"/>
            <w:sz w:val="26"/>
          </w:rPr>
          <m:t xml:space="preserve">) + </m:t>
        </m:r>
        <m:sSub>
          <m:sSubPr>
            <m:ctrlPr>
              <w:rPr>
                <w:rFonts w:ascii="Cambria Math" w:hAnsi="Cambria Math"/>
                <w:sz w:val="26"/>
              </w:rPr>
            </m:ctrlPr>
          </m:sSubPr>
          <m:e>
            <m:r>
              <w:rPr>
                <w:rFonts w:ascii="Cambria Math" w:hAnsi="Cambria Math"/>
                <w:sz w:val="26"/>
              </w:rPr>
              <m:t>β</m:t>
            </m:r>
          </m:e>
          <m:sub>
            <m:r>
              <w:rPr>
                <w:rFonts w:ascii="Cambria Math" w:hAnsi="Cambria Math"/>
                <w:sz w:val="26"/>
              </w:rPr>
              <m:t>7i</m:t>
            </m:r>
          </m:sub>
        </m:sSub>
        <m:r>
          <m:rPr>
            <m:sty m:val="p"/>
          </m:rPr>
          <w:rPr>
            <w:rFonts w:ascii="Cambria Math" w:hAnsi="Cambria Math"/>
            <w:sz w:val="26"/>
          </w:rPr>
          <m:t xml:space="preserve"> (</m:t>
        </m:r>
        <m:sSub>
          <m:sSubPr>
            <m:ctrlPr>
              <w:rPr>
                <w:rFonts w:ascii="Cambria Math" w:hAnsi="Cambria Math"/>
                <w:sz w:val="26"/>
              </w:rPr>
            </m:ctrlPr>
          </m:sSubPr>
          <m:e>
            <m:r>
              <w:rPr>
                <w:rFonts w:ascii="Cambria Math" w:hAnsi="Cambria Math"/>
                <w:sz w:val="26"/>
              </w:rPr>
              <m:t>LEV</m:t>
            </m:r>
          </m:e>
          <m:sub>
            <m:r>
              <w:rPr>
                <w:rFonts w:ascii="Cambria Math" w:hAnsi="Cambria Math"/>
                <w:sz w:val="26"/>
              </w:rPr>
              <m:t>j</m:t>
            </m:r>
          </m:sub>
        </m:sSub>
        <m:r>
          <m:rPr>
            <m:sty m:val="p"/>
          </m:rPr>
          <w:rPr>
            <w:rFonts w:ascii="Cambria Math" w:hAnsi="Cambria Math"/>
            <w:sz w:val="26"/>
          </w:rPr>
          <m:t>)</m:t>
        </m:r>
      </m:oMath>
      <w:r w:rsidRPr="00F40242">
        <w:rPr>
          <w:sz w:val="26"/>
        </w:rPr>
        <w:tab/>
      </w:r>
      <w:r w:rsidRPr="00F40242">
        <w:rPr>
          <w:sz w:val="26"/>
        </w:rPr>
        <w:tab/>
      </w:r>
      <w:r w:rsidRPr="00F40242">
        <w:rPr>
          <w:sz w:val="26"/>
        </w:rPr>
        <w:tab/>
      </w:r>
      <w:r w:rsidRPr="00F40242">
        <w:rPr>
          <w:sz w:val="26"/>
        </w:rPr>
        <w:tab/>
      </w:r>
      <w:r w:rsidRPr="00F40242">
        <w:rPr>
          <w:sz w:val="26"/>
        </w:rPr>
        <w:tab/>
        <w:t>(1)</w:t>
      </w:r>
    </w:p>
    <w:p w14:paraId="72BA931B" w14:textId="77777777" w:rsidR="008C0B77" w:rsidRPr="00F40242" w:rsidRDefault="008C0B77" w:rsidP="0011086F">
      <w:pPr>
        <w:autoSpaceDE w:val="0"/>
        <w:autoSpaceDN w:val="0"/>
        <w:adjustRightInd w:val="0"/>
        <w:spacing w:line="360" w:lineRule="exact"/>
        <w:jc w:val="both"/>
        <w:rPr>
          <w:noProof/>
          <w:sz w:val="26"/>
        </w:rPr>
      </w:pPr>
    </w:p>
    <w:p w14:paraId="43DBE115" w14:textId="1F6B85AF" w:rsidR="00A22C40" w:rsidRPr="00F40242" w:rsidRDefault="00FB57FA" w:rsidP="006B1EBC">
      <w:pPr>
        <w:autoSpaceDE w:val="0"/>
        <w:autoSpaceDN w:val="0"/>
        <w:adjustRightInd w:val="0"/>
        <w:spacing w:line="360" w:lineRule="exact"/>
        <w:ind w:firstLineChars="200" w:firstLine="520"/>
        <w:jc w:val="both"/>
        <w:rPr>
          <w:sz w:val="26"/>
        </w:rPr>
      </w:pPr>
      <w:r w:rsidRPr="00F40242">
        <w:rPr>
          <w:noProof/>
          <w:sz w:val="26"/>
        </w:rPr>
        <w:t>w</w:t>
      </w:r>
      <w:r w:rsidR="0072600A" w:rsidRPr="00F40242">
        <w:rPr>
          <w:noProof/>
          <w:sz w:val="26"/>
        </w:rPr>
        <w:t>here</w:t>
      </w:r>
      <w:r w:rsidR="00083390" w:rsidRPr="00F40242">
        <w:rPr>
          <w:noProof/>
          <w:sz w:val="26"/>
        </w:rPr>
        <w:t xml:space="preserve"> D</w:t>
      </w:r>
      <w:r w:rsidR="0072600A" w:rsidRPr="00F40242">
        <w:rPr>
          <w:noProof/>
          <w:sz w:val="26"/>
        </w:rPr>
        <w:t>I</w:t>
      </w:r>
      <w:r w:rsidR="0072600A" w:rsidRPr="00F40242">
        <w:rPr>
          <w:noProof/>
          <w:sz w:val="26"/>
          <w:vertAlign w:val="subscript"/>
        </w:rPr>
        <w:t>i</w:t>
      </w:r>
      <w:r w:rsidR="00E21FF3" w:rsidRPr="00F40242">
        <w:rPr>
          <w:noProof/>
          <w:sz w:val="26"/>
          <w:vertAlign w:val="subscript"/>
        </w:rPr>
        <w:t>j</w:t>
      </w:r>
      <w:r w:rsidR="0072600A" w:rsidRPr="00F40242">
        <w:rPr>
          <w:noProof/>
          <w:sz w:val="26"/>
          <w:vertAlign w:val="subscript"/>
        </w:rPr>
        <w:t xml:space="preserve"> </w:t>
      </w:r>
      <w:r w:rsidR="00E21FF3" w:rsidRPr="00F40242">
        <w:rPr>
          <w:noProof/>
          <w:sz w:val="26"/>
        </w:rPr>
        <w:t xml:space="preserve">denotes </w:t>
      </w:r>
      <w:r w:rsidR="0072600A" w:rsidRPr="00F40242">
        <w:rPr>
          <w:noProof/>
          <w:sz w:val="26"/>
        </w:rPr>
        <w:t>disclosure index</w:t>
      </w:r>
      <w:r w:rsidR="00D73086" w:rsidRPr="00F40242">
        <w:rPr>
          <w:noProof/>
          <w:sz w:val="26"/>
        </w:rPr>
        <w:t>,</w:t>
      </w:r>
      <w:r w:rsidR="0072600A" w:rsidRPr="00F40242">
        <w:rPr>
          <w:noProof/>
          <w:sz w:val="26"/>
        </w:rPr>
        <w:t xml:space="preserve"> </w:t>
      </w:r>
      <w:r w:rsidR="00E21FF3" w:rsidRPr="00F40242">
        <w:rPr>
          <w:noProof/>
          <w:sz w:val="26"/>
        </w:rPr>
        <w:t xml:space="preserve">with subscript </w:t>
      </w:r>
      <w:r w:rsidR="00E21FF3" w:rsidRPr="00F40242">
        <w:rPr>
          <w:i/>
          <w:noProof/>
          <w:sz w:val="26"/>
        </w:rPr>
        <w:t>i</w:t>
      </w:r>
      <w:r w:rsidR="00E21FF3" w:rsidRPr="00F40242">
        <w:rPr>
          <w:noProof/>
          <w:sz w:val="26"/>
        </w:rPr>
        <w:t>=1</w:t>
      </w:r>
      <w:r w:rsidR="003701F5" w:rsidRPr="00F40242">
        <w:rPr>
          <w:noProof/>
          <w:sz w:val="26"/>
        </w:rPr>
        <w:t>,</w:t>
      </w:r>
      <w:r w:rsidR="00D73086" w:rsidRPr="00F40242">
        <w:rPr>
          <w:noProof/>
          <w:sz w:val="26"/>
        </w:rPr>
        <w:t xml:space="preserve"> </w:t>
      </w:r>
      <w:r w:rsidR="003701F5" w:rsidRPr="00F40242">
        <w:rPr>
          <w:noProof/>
          <w:sz w:val="26"/>
        </w:rPr>
        <w:t>2</w:t>
      </w:r>
      <w:r w:rsidR="00E21FF3" w:rsidRPr="00F40242">
        <w:rPr>
          <w:noProof/>
          <w:sz w:val="26"/>
        </w:rPr>
        <w:t xml:space="preserve"> and 3 denoting </w:t>
      </w:r>
      <w:r w:rsidR="0072600A" w:rsidRPr="00F40242">
        <w:rPr>
          <w:noProof/>
          <w:sz w:val="26"/>
        </w:rPr>
        <w:t xml:space="preserve">social </w:t>
      </w:r>
      <w:r w:rsidR="00E21FF3" w:rsidRPr="00F40242">
        <w:rPr>
          <w:noProof/>
          <w:sz w:val="26"/>
        </w:rPr>
        <w:t>disclosure, environmental disclosure and total disclosure (aggregation of social and environmental disclosure)</w:t>
      </w:r>
      <w:r w:rsidR="00D73086" w:rsidRPr="00F40242">
        <w:rPr>
          <w:noProof/>
          <w:sz w:val="26"/>
        </w:rPr>
        <w:t>, respectively,</w:t>
      </w:r>
      <w:r w:rsidR="00CD7EB4" w:rsidRPr="00F40242">
        <w:rPr>
          <w:noProof/>
          <w:sz w:val="26"/>
        </w:rPr>
        <w:t xml:space="preserve"> </w:t>
      </w:r>
      <w:r w:rsidR="00E21FF3" w:rsidRPr="00F40242">
        <w:rPr>
          <w:noProof/>
          <w:sz w:val="26"/>
        </w:rPr>
        <w:t>and subscript j denotes company</w:t>
      </w:r>
      <w:r w:rsidR="00CD711D" w:rsidRPr="00F40242">
        <w:rPr>
          <w:noProof/>
          <w:sz w:val="26"/>
        </w:rPr>
        <w:t xml:space="preserve">. </w:t>
      </w:r>
      <w:r w:rsidR="0072600A" w:rsidRPr="00F40242">
        <w:rPr>
          <w:noProof/>
          <w:sz w:val="26"/>
        </w:rPr>
        <w:t>IE</w:t>
      </w:r>
      <w:r w:rsidR="0072600A" w:rsidRPr="00F40242">
        <w:rPr>
          <w:noProof/>
          <w:sz w:val="26"/>
          <w:vertAlign w:val="subscript"/>
        </w:rPr>
        <w:t xml:space="preserve">i </w:t>
      </w:r>
      <w:r w:rsidR="00E21FF3" w:rsidRPr="00F40242">
        <w:rPr>
          <w:noProof/>
          <w:sz w:val="26"/>
        </w:rPr>
        <w:t xml:space="preserve">denotes international </w:t>
      </w:r>
      <w:r w:rsidR="0072600A" w:rsidRPr="00F40242">
        <w:rPr>
          <w:noProof/>
          <w:sz w:val="26"/>
        </w:rPr>
        <w:t>experience</w:t>
      </w:r>
      <w:r w:rsidR="00E21FF3" w:rsidRPr="00F40242">
        <w:rPr>
          <w:noProof/>
          <w:sz w:val="26"/>
        </w:rPr>
        <w:t xml:space="preserve"> as measured by export share,</w:t>
      </w:r>
      <w:r w:rsidR="00D73086" w:rsidRPr="00F40242">
        <w:rPr>
          <w:noProof/>
          <w:sz w:val="26"/>
        </w:rPr>
        <w:t xml:space="preserve"> and</w:t>
      </w:r>
      <w:r w:rsidR="00E21FF3" w:rsidRPr="00F40242">
        <w:rPr>
          <w:noProof/>
          <w:sz w:val="26"/>
        </w:rPr>
        <w:t xml:space="preserve"> </w:t>
      </w:r>
      <w:r w:rsidR="0072600A" w:rsidRPr="00F40242">
        <w:rPr>
          <w:noProof/>
          <w:sz w:val="26"/>
        </w:rPr>
        <w:t>TA</w:t>
      </w:r>
      <w:r w:rsidR="0072600A" w:rsidRPr="00F40242">
        <w:rPr>
          <w:noProof/>
          <w:sz w:val="26"/>
          <w:vertAlign w:val="subscript"/>
        </w:rPr>
        <w:t>i</w:t>
      </w:r>
      <w:r w:rsidR="0072600A" w:rsidRPr="00F40242">
        <w:rPr>
          <w:noProof/>
          <w:sz w:val="26"/>
        </w:rPr>
        <w:t xml:space="preserve"> </w:t>
      </w:r>
      <w:r w:rsidR="00E21FF3" w:rsidRPr="00F40242">
        <w:rPr>
          <w:noProof/>
          <w:sz w:val="26"/>
        </w:rPr>
        <w:t>denotes</w:t>
      </w:r>
      <w:r w:rsidR="00CD711D" w:rsidRPr="00F40242">
        <w:rPr>
          <w:noProof/>
          <w:sz w:val="26"/>
        </w:rPr>
        <w:t xml:space="preserve"> the</w:t>
      </w:r>
      <w:r w:rsidR="00E21FF3" w:rsidRPr="00F40242">
        <w:rPr>
          <w:noProof/>
          <w:sz w:val="26"/>
        </w:rPr>
        <w:t xml:space="preserve"> size of the company as measured by the logarithm of </w:t>
      </w:r>
      <w:r w:rsidR="0072600A" w:rsidRPr="00F40242">
        <w:rPr>
          <w:noProof/>
          <w:sz w:val="26"/>
        </w:rPr>
        <w:t xml:space="preserve">total assets of the </w:t>
      </w:r>
      <w:r w:rsidR="00A477B7" w:rsidRPr="00F40242">
        <w:rPr>
          <w:noProof/>
          <w:sz w:val="26"/>
        </w:rPr>
        <w:t>company</w:t>
      </w:r>
      <w:r w:rsidR="00CD711D" w:rsidRPr="00F40242">
        <w:rPr>
          <w:noProof/>
          <w:sz w:val="26"/>
        </w:rPr>
        <w:t xml:space="preserve">. </w:t>
      </w:r>
      <w:r w:rsidR="00151201" w:rsidRPr="00F40242">
        <w:rPr>
          <w:noProof/>
          <w:sz w:val="26"/>
        </w:rPr>
        <w:t>RO</w:t>
      </w:r>
      <w:r w:rsidR="0072600A" w:rsidRPr="00F40242">
        <w:rPr>
          <w:noProof/>
          <w:sz w:val="26"/>
        </w:rPr>
        <w:t>A</w:t>
      </w:r>
      <w:r w:rsidR="0072600A" w:rsidRPr="00F40242">
        <w:rPr>
          <w:noProof/>
          <w:sz w:val="26"/>
          <w:vertAlign w:val="subscript"/>
        </w:rPr>
        <w:t xml:space="preserve">i </w:t>
      </w:r>
      <w:r w:rsidR="00A477B7" w:rsidRPr="00F40242">
        <w:rPr>
          <w:noProof/>
          <w:sz w:val="26"/>
        </w:rPr>
        <w:t>denote</w:t>
      </w:r>
      <w:r w:rsidR="00D94F5E" w:rsidRPr="00F40242">
        <w:rPr>
          <w:noProof/>
          <w:sz w:val="26"/>
        </w:rPr>
        <w:t>s return on assets as measured by net profit to the book value of the company’s total assts</w:t>
      </w:r>
      <w:r w:rsidR="00CD7EB4" w:rsidRPr="00F40242">
        <w:rPr>
          <w:noProof/>
          <w:sz w:val="26"/>
        </w:rPr>
        <w:t>,</w:t>
      </w:r>
      <w:r w:rsidR="000F5F77" w:rsidRPr="00F40242">
        <w:rPr>
          <w:noProof/>
          <w:sz w:val="26"/>
        </w:rPr>
        <w:t xml:space="preserve"> </w:t>
      </w:r>
      <w:r w:rsidR="00D73086" w:rsidRPr="00F40242">
        <w:rPr>
          <w:noProof/>
          <w:sz w:val="26"/>
        </w:rPr>
        <w:t xml:space="preserve">and </w:t>
      </w:r>
      <w:r w:rsidR="00A477B7" w:rsidRPr="00F40242">
        <w:rPr>
          <w:noProof/>
          <w:sz w:val="26"/>
        </w:rPr>
        <w:t>IOC</w:t>
      </w:r>
      <w:r w:rsidR="00A477B7" w:rsidRPr="00F40242">
        <w:rPr>
          <w:noProof/>
          <w:sz w:val="26"/>
          <w:vertAlign w:val="subscript"/>
        </w:rPr>
        <w:t>j</w:t>
      </w:r>
      <w:r w:rsidR="00A477B7" w:rsidRPr="00F40242">
        <w:rPr>
          <w:noProof/>
          <w:sz w:val="26"/>
        </w:rPr>
        <w:t xml:space="preserve"> is a dummy variable for industry categorisation of</w:t>
      </w:r>
      <w:r w:rsidR="00CD711D" w:rsidRPr="00F40242">
        <w:rPr>
          <w:noProof/>
          <w:sz w:val="26"/>
        </w:rPr>
        <w:t xml:space="preserve"> the</w:t>
      </w:r>
      <w:r w:rsidR="00A477B7" w:rsidRPr="00F40242">
        <w:rPr>
          <w:noProof/>
          <w:sz w:val="26"/>
        </w:rPr>
        <w:t xml:space="preserve"> company</w:t>
      </w:r>
      <w:r w:rsidR="00D73086" w:rsidRPr="00F40242">
        <w:rPr>
          <w:noProof/>
          <w:sz w:val="26"/>
        </w:rPr>
        <w:t>,</w:t>
      </w:r>
      <w:r w:rsidR="00A477B7" w:rsidRPr="00F40242">
        <w:rPr>
          <w:noProof/>
          <w:sz w:val="26"/>
        </w:rPr>
        <w:t xml:space="preserve"> with IOC equal to 1 if the company operates within any of the </w:t>
      </w:r>
      <w:r w:rsidR="00393B90" w:rsidRPr="00F40242">
        <w:rPr>
          <w:noProof/>
          <w:sz w:val="26"/>
        </w:rPr>
        <w:t>three</w:t>
      </w:r>
      <w:r w:rsidR="00C03210">
        <w:rPr>
          <w:noProof/>
          <w:sz w:val="26"/>
        </w:rPr>
        <w:t xml:space="preserve"> (chemical, industrial transport, forest &amp; paper)</w:t>
      </w:r>
      <w:r w:rsidR="00A477B7" w:rsidRPr="00F40242">
        <w:rPr>
          <w:noProof/>
          <w:sz w:val="26"/>
        </w:rPr>
        <w:t xml:space="preserve"> industries</w:t>
      </w:r>
      <w:r w:rsidR="00CD711D" w:rsidRPr="00F40242">
        <w:rPr>
          <w:noProof/>
          <w:sz w:val="26"/>
        </w:rPr>
        <w:t xml:space="preserve">. </w:t>
      </w:r>
      <w:r w:rsidR="00A477B7" w:rsidRPr="00F40242">
        <w:rPr>
          <w:noProof/>
          <w:sz w:val="26"/>
        </w:rPr>
        <w:t>A</w:t>
      </w:r>
      <w:r w:rsidR="00151201" w:rsidRPr="00F40242">
        <w:rPr>
          <w:noProof/>
          <w:sz w:val="26"/>
        </w:rPr>
        <w:t>G</w:t>
      </w:r>
      <w:r w:rsidR="00A477B7" w:rsidRPr="00F40242">
        <w:rPr>
          <w:noProof/>
          <w:sz w:val="26"/>
        </w:rPr>
        <w:t>E</w:t>
      </w:r>
      <w:r w:rsidR="00A477B7" w:rsidRPr="00F40242">
        <w:rPr>
          <w:noProof/>
          <w:sz w:val="26"/>
          <w:vertAlign w:val="subscript"/>
        </w:rPr>
        <w:t>j</w:t>
      </w:r>
      <w:r w:rsidR="00A477B7" w:rsidRPr="00F40242">
        <w:rPr>
          <w:noProof/>
          <w:sz w:val="26"/>
        </w:rPr>
        <w:t xml:space="preserve"> denotes</w:t>
      </w:r>
      <w:r w:rsidR="00D73086" w:rsidRPr="00F40242">
        <w:rPr>
          <w:noProof/>
          <w:sz w:val="26"/>
        </w:rPr>
        <w:t xml:space="preserve"> company</w:t>
      </w:r>
      <w:r w:rsidR="00A477B7" w:rsidRPr="00F40242">
        <w:rPr>
          <w:noProof/>
          <w:sz w:val="26"/>
        </w:rPr>
        <w:t xml:space="preserve"> </w:t>
      </w:r>
      <w:r w:rsidR="0072600A" w:rsidRPr="00F40242">
        <w:rPr>
          <w:noProof/>
          <w:sz w:val="26"/>
        </w:rPr>
        <w:t>age in years</w:t>
      </w:r>
      <w:r w:rsidR="00A477B7" w:rsidRPr="00F40242">
        <w:rPr>
          <w:noProof/>
          <w:sz w:val="26"/>
        </w:rPr>
        <w:t xml:space="preserve"> and is derived based on </w:t>
      </w:r>
      <w:r w:rsidR="0072600A" w:rsidRPr="00F40242">
        <w:rPr>
          <w:noProof/>
          <w:sz w:val="26"/>
        </w:rPr>
        <w:t>the date of incorporation</w:t>
      </w:r>
      <w:r w:rsidR="00D73086" w:rsidRPr="00F40242">
        <w:rPr>
          <w:noProof/>
          <w:sz w:val="26"/>
        </w:rPr>
        <w:t>.</w:t>
      </w:r>
      <w:r w:rsidR="0072600A" w:rsidRPr="00F40242">
        <w:rPr>
          <w:noProof/>
          <w:sz w:val="26"/>
        </w:rPr>
        <w:t xml:space="preserve"> </w:t>
      </w:r>
      <w:r w:rsidR="00A477B7" w:rsidRPr="00F40242">
        <w:rPr>
          <w:noProof/>
          <w:sz w:val="26"/>
        </w:rPr>
        <w:t xml:space="preserve">CPj is a dummy variable for </w:t>
      </w:r>
      <w:r w:rsidR="0072600A" w:rsidRPr="00F40242">
        <w:rPr>
          <w:noProof/>
          <w:sz w:val="26"/>
        </w:rPr>
        <w:t>Consumer proximity</w:t>
      </w:r>
      <w:r w:rsidR="00CD36FE" w:rsidRPr="00F40242">
        <w:rPr>
          <w:noProof/>
          <w:sz w:val="26"/>
        </w:rPr>
        <w:t>,</w:t>
      </w:r>
      <w:r w:rsidR="00A477B7" w:rsidRPr="00F40242">
        <w:rPr>
          <w:noProof/>
          <w:sz w:val="26"/>
        </w:rPr>
        <w:t xml:space="preserve"> equal to 1 if the company operations </w:t>
      </w:r>
      <w:r w:rsidR="00D73086" w:rsidRPr="00F40242">
        <w:rPr>
          <w:noProof/>
          <w:sz w:val="26"/>
        </w:rPr>
        <w:t xml:space="preserve">are </w:t>
      </w:r>
      <w:r w:rsidR="00A477B7" w:rsidRPr="00F40242">
        <w:rPr>
          <w:noProof/>
          <w:sz w:val="26"/>
        </w:rPr>
        <w:t>high profile and 0 otherwise</w:t>
      </w:r>
      <w:r w:rsidR="00CD711D" w:rsidRPr="00F40242">
        <w:rPr>
          <w:noProof/>
          <w:sz w:val="26"/>
        </w:rPr>
        <w:t xml:space="preserve">. </w:t>
      </w:r>
      <w:r w:rsidR="00A477B7" w:rsidRPr="00F40242">
        <w:rPr>
          <w:noProof/>
          <w:sz w:val="26"/>
        </w:rPr>
        <w:t>LEV</w:t>
      </w:r>
      <w:r w:rsidR="00A477B7" w:rsidRPr="00F40242">
        <w:rPr>
          <w:noProof/>
          <w:sz w:val="26"/>
          <w:vertAlign w:val="subscript"/>
        </w:rPr>
        <w:t>j</w:t>
      </w:r>
      <w:r w:rsidR="00A477B7" w:rsidRPr="00F40242">
        <w:rPr>
          <w:noProof/>
          <w:sz w:val="26"/>
        </w:rPr>
        <w:t xml:space="preserve"> denotes a dummy variable for </w:t>
      </w:r>
      <w:r w:rsidR="00C03210">
        <w:rPr>
          <w:noProof/>
          <w:sz w:val="26"/>
        </w:rPr>
        <w:t>l</w:t>
      </w:r>
      <w:r w:rsidR="0072600A" w:rsidRPr="00F40242">
        <w:rPr>
          <w:noProof/>
          <w:sz w:val="26"/>
        </w:rPr>
        <w:t xml:space="preserve">everage </w:t>
      </w:r>
      <w:r w:rsidR="00A477B7" w:rsidRPr="00F40242">
        <w:rPr>
          <w:noProof/>
          <w:sz w:val="26"/>
        </w:rPr>
        <w:t>of the company</w:t>
      </w:r>
      <w:r w:rsidR="00D54EB1" w:rsidRPr="00F40242">
        <w:rPr>
          <w:noProof/>
          <w:sz w:val="26"/>
        </w:rPr>
        <w:t xml:space="preserve"> and is measured as the </w:t>
      </w:r>
      <w:r w:rsidR="0072600A" w:rsidRPr="00F40242">
        <w:rPr>
          <w:noProof/>
          <w:sz w:val="26"/>
        </w:rPr>
        <w:t>total debt</w:t>
      </w:r>
      <w:r w:rsidR="00D54EB1" w:rsidRPr="00F40242">
        <w:rPr>
          <w:noProof/>
          <w:sz w:val="26"/>
        </w:rPr>
        <w:t xml:space="preserve"> to </w:t>
      </w:r>
      <w:r w:rsidR="0072600A" w:rsidRPr="00F40242">
        <w:rPr>
          <w:noProof/>
          <w:sz w:val="26"/>
        </w:rPr>
        <w:t xml:space="preserve">total assets </w:t>
      </w:r>
      <w:r w:rsidR="00D54EB1" w:rsidRPr="00F40242">
        <w:rPr>
          <w:noProof/>
          <w:sz w:val="26"/>
        </w:rPr>
        <w:t>ratio.</w:t>
      </w:r>
      <w:r w:rsidR="00D54EB1" w:rsidRPr="00F40242">
        <w:rPr>
          <w:sz w:val="26"/>
        </w:rPr>
        <w:t xml:space="preserve"> </w:t>
      </w:r>
    </w:p>
    <w:p w14:paraId="00D996E3" w14:textId="77777777" w:rsidR="006B1EBC" w:rsidRDefault="006B1EBC" w:rsidP="0011086F">
      <w:pPr>
        <w:autoSpaceDE w:val="0"/>
        <w:autoSpaceDN w:val="0"/>
        <w:adjustRightInd w:val="0"/>
        <w:spacing w:line="360" w:lineRule="exact"/>
        <w:jc w:val="both"/>
        <w:rPr>
          <w:b/>
          <w:sz w:val="26"/>
        </w:rPr>
      </w:pPr>
    </w:p>
    <w:p w14:paraId="725AB93A" w14:textId="0C98772E" w:rsidR="00617D44" w:rsidRPr="006B1EBC" w:rsidRDefault="00617D44" w:rsidP="00050AB9">
      <w:pPr>
        <w:autoSpaceDE w:val="0"/>
        <w:autoSpaceDN w:val="0"/>
        <w:adjustRightInd w:val="0"/>
        <w:jc w:val="both"/>
        <w:rPr>
          <w:b/>
          <w:sz w:val="26"/>
        </w:rPr>
      </w:pPr>
      <w:r w:rsidRPr="006B1EBC">
        <w:rPr>
          <w:b/>
          <w:sz w:val="26"/>
        </w:rPr>
        <w:t xml:space="preserve">Control </w:t>
      </w:r>
      <w:r w:rsidR="00050AB9" w:rsidRPr="006B1EBC">
        <w:rPr>
          <w:b/>
          <w:sz w:val="26"/>
        </w:rPr>
        <w:t>Variables</w:t>
      </w:r>
    </w:p>
    <w:p w14:paraId="106B5396" w14:textId="1B659E7B" w:rsidR="0078024B" w:rsidRDefault="00D73086" w:rsidP="006B1EBC">
      <w:pPr>
        <w:spacing w:line="360" w:lineRule="exact"/>
        <w:ind w:firstLineChars="200" w:firstLine="520"/>
        <w:jc w:val="both"/>
        <w:rPr>
          <w:sz w:val="26"/>
        </w:rPr>
      </w:pPr>
      <w:r w:rsidRPr="00F40242">
        <w:rPr>
          <w:sz w:val="26"/>
        </w:rPr>
        <w:t xml:space="preserve">The </w:t>
      </w:r>
      <w:r w:rsidR="00075259" w:rsidRPr="00F40242">
        <w:rPr>
          <w:sz w:val="26"/>
        </w:rPr>
        <w:t>SED literature has considered control variables propose</w:t>
      </w:r>
      <w:r w:rsidR="00D94F5E" w:rsidRPr="00F40242">
        <w:rPr>
          <w:sz w:val="26"/>
        </w:rPr>
        <w:t>d to explain the further probable influence</w:t>
      </w:r>
      <w:r w:rsidR="00C03210">
        <w:rPr>
          <w:sz w:val="26"/>
        </w:rPr>
        <w:t xml:space="preserve"> of other factors</w:t>
      </w:r>
      <w:r w:rsidR="00D94F5E" w:rsidRPr="00F40242">
        <w:rPr>
          <w:sz w:val="26"/>
        </w:rPr>
        <w:t xml:space="preserve"> on SED practices.</w:t>
      </w:r>
      <w:r w:rsidR="00075259" w:rsidRPr="00F40242">
        <w:rPr>
          <w:sz w:val="26"/>
        </w:rPr>
        <w:t xml:space="preserve"> Corporate social responsibility activities and disclosures are dependent on the availability of financial resources within a company (</w:t>
      </w:r>
      <w:proofErr w:type="spellStart"/>
      <w:r w:rsidR="00830932" w:rsidRPr="00F40242">
        <w:rPr>
          <w:sz w:val="26"/>
        </w:rPr>
        <w:t>Brammer</w:t>
      </w:r>
      <w:proofErr w:type="spellEnd"/>
      <w:r w:rsidR="00830932" w:rsidRPr="00F40242">
        <w:rPr>
          <w:sz w:val="26"/>
        </w:rPr>
        <w:t xml:space="preserve"> &amp; </w:t>
      </w:r>
      <w:proofErr w:type="spellStart"/>
      <w:r w:rsidR="00830932" w:rsidRPr="00F40242">
        <w:rPr>
          <w:sz w:val="26"/>
        </w:rPr>
        <w:t>Pavelin</w:t>
      </w:r>
      <w:proofErr w:type="spellEnd"/>
      <w:r w:rsidR="00830932" w:rsidRPr="00F40242">
        <w:rPr>
          <w:sz w:val="26"/>
        </w:rPr>
        <w:t>, 2008</w:t>
      </w:r>
      <w:r w:rsidR="00830932">
        <w:rPr>
          <w:sz w:val="26"/>
        </w:rPr>
        <w:t xml:space="preserve">; </w:t>
      </w:r>
      <w:r w:rsidR="00075259" w:rsidRPr="00F40242">
        <w:rPr>
          <w:sz w:val="26"/>
        </w:rPr>
        <w:t>Roberts, 1992).</w:t>
      </w:r>
      <w:r w:rsidR="003F01E0" w:rsidRPr="00F40242">
        <w:rPr>
          <w:sz w:val="26"/>
        </w:rPr>
        <w:t xml:space="preserve"> </w:t>
      </w:r>
      <w:r w:rsidR="00E91182" w:rsidRPr="00F40242">
        <w:rPr>
          <w:sz w:val="26"/>
        </w:rPr>
        <w:t xml:space="preserve">Following </w:t>
      </w:r>
      <w:proofErr w:type="spellStart"/>
      <w:r w:rsidR="00E91182" w:rsidRPr="00F40242">
        <w:rPr>
          <w:sz w:val="26"/>
        </w:rPr>
        <w:t>Branco</w:t>
      </w:r>
      <w:proofErr w:type="spellEnd"/>
      <w:r w:rsidR="00E91182" w:rsidRPr="00F40242">
        <w:rPr>
          <w:sz w:val="26"/>
        </w:rPr>
        <w:t xml:space="preserve"> and Rodrigues (2008) leverage is considered a control variable to apprehend the availability of economic resources within a company. Leverage explain</w:t>
      </w:r>
      <w:r w:rsidRPr="00F40242">
        <w:rPr>
          <w:sz w:val="26"/>
        </w:rPr>
        <w:t>s</w:t>
      </w:r>
      <w:r w:rsidR="00E91182" w:rsidRPr="00F40242">
        <w:rPr>
          <w:sz w:val="26"/>
        </w:rPr>
        <w:t xml:space="preserve"> the degree of financial risk </w:t>
      </w:r>
      <w:r w:rsidRPr="00F40242">
        <w:rPr>
          <w:sz w:val="26"/>
        </w:rPr>
        <w:t>to which a company is exposed</w:t>
      </w:r>
      <w:r w:rsidR="00E91182" w:rsidRPr="00F40242">
        <w:rPr>
          <w:sz w:val="26"/>
        </w:rPr>
        <w:t>. Pragmatic legitimacy</w:t>
      </w:r>
      <w:r w:rsidR="00692948" w:rsidRPr="00F40242">
        <w:rPr>
          <w:sz w:val="26"/>
        </w:rPr>
        <w:t xml:space="preserve"> </w:t>
      </w:r>
      <w:r w:rsidR="00027D6D" w:rsidRPr="00F40242">
        <w:rPr>
          <w:sz w:val="26"/>
        </w:rPr>
        <w:t xml:space="preserve">refers to the fact </w:t>
      </w:r>
      <w:r w:rsidR="00E91182" w:rsidRPr="00F40242">
        <w:rPr>
          <w:sz w:val="26"/>
        </w:rPr>
        <w:t>that</w:t>
      </w:r>
      <w:r w:rsidR="00692948" w:rsidRPr="00F40242">
        <w:rPr>
          <w:sz w:val="26"/>
        </w:rPr>
        <w:t xml:space="preserve"> a company needs to cope with the perception of its prime stakeholders (lenders) to safeguard its existence. </w:t>
      </w:r>
      <w:r w:rsidR="009D2D5C" w:rsidRPr="00F40242">
        <w:rPr>
          <w:sz w:val="26"/>
        </w:rPr>
        <w:t>Companies with high leverage normally report and communicate more corporate information</w:t>
      </w:r>
      <w:r w:rsidR="00027D6D" w:rsidRPr="00F40242">
        <w:rPr>
          <w:sz w:val="26"/>
        </w:rPr>
        <w:t>,</w:t>
      </w:r>
      <w:r w:rsidR="009D2D5C" w:rsidRPr="00F40242">
        <w:rPr>
          <w:sz w:val="26"/>
        </w:rPr>
        <w:t xml:space="preserve"> including SED </w:t>
      </w:r>
      <w:r w:rsidR="009C6DFC" w:rsidRPr="00F40242">
        <w:rPr>
          <w:sz w:val="26"/>
        </w:rPr>
        <w:t>(</w:t>
      </w:r>
      <w:proofErr w:type="spellStart"/>
      <w:r w:rsidR="009C6DFC" w:rsidRPr="00F40242">
        <w:rPr>
          <w:sz w:val="26"/>
        </w:rPr>
        <w:t>Haniffa</w:t>
      </w:r>
      <w:proofErr w:type="spellEnd"/>
      <w:r w:rsidR="00027D6D" w:rsidRPr="00F40242">
        <w:rPr>
          <w:sz w:val="26"/>
        </w:rPr>
        <w:t xml:space="preserve"> </w:t>
      </w:r>
      <w:r w:rsidR="00EC7873" w:rsidRPr="00F40242">
        <w:rPr>
          <w:sz w:val="26"/>
        </w:rPr>
        <w:t>&amp;</w:t>
      </w:r>
      <w:r w:rsidR="00027D6D" w:rsidRPr="00F40242">
        <w:rPr>
          <w:sz w:val="26"/>
        </w:rPr>
        <w:t xml:space="preserve"> </w:t>
      </w:r>
      <w:r w:rsidR="009C6DFC" w:rsidRPr="00F40242">
        <w:rPr>
          <w:sz w:val="26"/>
        </w:rPr>
        <w:t>Cooke</w:t>
      </w:r>
      <w:r w:rsidR="003701F5" w:rsidRPr="00F40242">
        <w:rPr>
          <w:sz w:val="26"/>
        </w:rPr>
        <w:t>,</w:t>
      </w:r>
      <w:r w:rsidR="00027D6D" w:rsidRPr="00F40242">
        <w:rPr>
          <w:sz w:val="26"/>
        </w:rPr>
        <w:t xml:space="preserve"> </w:t>
      </w:r>
      <w:r w:rsidR="003701F5" w:rsidRPr="00F40242">
        <w:rPr>
          <w:sz w:val="26"/>
        </w:rPr>
        <w:t>2</w:t>
      </w:r>
      <w:r w:rsidR="009C6DFC" w:rsidRPr="00F40242">
        <w:rPr>
          <w:sz w:val="26"/>
        </w:rPr>
        <w:t xml:space="preserve">005; </w:t>
      </w:r>
      <w:proofErr w:type="spellStart"/>
      <w:r w:rsidR="009C6DFC" w:rsidRPr="00F40242">
        <w:rPr>
          <w:sz w:val="26"/>
        </w:rPr>
        <w:t>Reverte</w:t>
      </w:r>
      <w:proofErr w:type="spellEnd"/>
      <w:r w:rsidR="003701F5" w:rsidRPr="00F40242">
        <w:rPr>
          <w:sz w:val="26"/>
        </w:rPr>
        <w:t>,</w:t>
      </w:r>
      <w:r w:rsidR="00027D6D" w:rsidRPr="00F40242">
        <w:rPr>
          <w:sz w:val="26"/>
        </w:rPr>
        <w:t xml:space="preserve"> </w:t>
      </w:r>
      <w:r w:rsidR="003701F5" w:rsidRPr="00F40242">
        <w:rPr>
          <w:sz w:val="26"/>
        </w:rPr>
        <w:t>2</w:t>
      </w:r>
      <w:r w:rsidR="009C6DFC" w:rsidRPr="00F40242">
        <w:rPr>
          <w:sz w:val="26"/>
        </w:rPr>
        <w:t>009). With additional SED</w:t>
      </w:r>
      <w:r w:rsidR="00027D6D" w:rsidRPr="00F40242">
        <w:rPr>
          <w:sz w:val="26"/>
        </w:rPr>
        <w:t>,</w:t>
      </w:r>
      <w:r w:rsidR="009C6DFC" w:rsidRPr="00F40242">
        <w:rPr>
          <w:sz w:val="26"/>
        </w:rPr>
        <w:t xml:space="preserve"> companies may also demonstrate to other stakeholders that</w:t>
      </w:r>
      <w:r w:rsidR="00027D6D" w:rsidRPr="00F40242">
        <w:rPr>
          <w:sz w:val="26"/>
        </w:rPr>
        <w:t>,</w:t>
      </w:r>
      <w:r w:rsidR="00B4625B" w:rsidRPr="00F40242">
        <w:rPr>
          <w:sz w:val="26"/>
        </w:rPr>
        <w:t xml:space="preserve"> as a corporate citizen, </w:t>
      </w:r>
      <w:r w:rsidR="00027D6D" w:rsidRPr="00F40242">
        <w:rPr>
          <w:sz w:val="26"/>
        </w:rPr>
        <w:t>the company</w:t>
      </w:r>
      <w:r w:rsidR="00B4625B" w:rsidRPr="00F40242">
        <w:rPr>
          <w:sz w:val="26"/>
        </w:rPr>
        <w:t xml:space="preserve"> takes into account societal concerns, in spite of their high financial risk. The evidence is so far very mixed </w:t>
      </w:r>
      <w:r w:rsidR="00027D6D" w:rsidRPr="00F40242">
        <w:rPr>
          <w:sz w:val="26"/>
        </w:rPr>
        <w:t>and inconclusive with regard to</w:t>
      </w:r>
      <w:r w:rsidR="00B4625B" w:rsidRPr="00F40242">
        <w:rPr>
          <w:sz w:val="26"/>
        </w:rPr>
        <w:t xml:space="preserve"> leverage. A positive relationship was reported by </w:t>
      </w:r>
      <w:proofErr w:type="spellStart"/>
      <w:r w:rsidR="00B4625B" w:rsidRPr="00F40242">
        <w:rPr>
          <w:sz w:val="26"/>
        </w:rPr>
        <w:t>Mahadeo</w:t>
      </w:r>
      <w:proofErr w:type="spellEnd"/>
      <w:r w:rsidR="00B4625B" w:rsidRPr="00F40242">
        <w:rPr>
          <w:sz w:val="26"/>
        </w:rPr>
        <w:t xml:space="preserve"> et al. (2011)</w:t>
      </w:r>
      <w:r w:rsidR="0078024B" w:rsidRPr="00F40242">
        <w:rPr>
          <w:sz w:val="26"/>
        </w:rPr>
        <w:t xml:space="preserve"> an</w:t>
      </w:r>
      <w:r w:rsidR="0022557D" w:rsidRPr="00F40242">
        <w:rPr>
          <w:sz w:val="26"/>
        </w:rPr>
        <w:t xml:space="preserve">d </w:t>
      </w:r>
      <w:proofErr w:type="spellStart"/>
      <w:r w:rsidR="0022557D" w:rsidRPr="00F40242">
        <w:rPr>
          <w:sz w:val="26"/>
        </w:rPr>
        <w:t>Khlif</w:t>
      </w:r>
      <w:proofErr w:type="spellEnd"/>
      <w:r w:rsidR="0022557D" w:rsidRPr="00F40242">
        <w:rPr>
          <w:sz w:val="26"/>
        </w:rPr>
        <w:t xml:space="preserve"> and </w:t>
      </w:r>
      <w:proofErr w:type="spellStart"/>
      <w:r w:rsidR="0022557D" w:rsidRPr="00F40242">
        <w:rPr>
          <w:sz w:val="26"/>
        </w:rPr>
        <w:t>Souissi</w:t>
      </w:r>
      <w:proofErr w:type="spellEnd"/>
      <w:r w:rsidR="0022557D" w:rsidRPr="00F40242">
        <w:rPr>
          <w:sz w:val="26"/>
        </w:rPr>
        <w:t xml:space="preserve"> (2010)</w:t>
      </w:r>
      <w:r w:rsidR="0078024B" w:rsidRPr="00F40242">
        <w:rPr>
          <w:rFonts w:eastAsiaTheme="minorHAnsi"/>
          <w:sz w:val="26"/>
        </w:rPr>
        <w:t>;</w:t>
      </w:r>
      <w:r w:rsidR="00B4625B" w:rsidRPr="00F40242">
        <w:rPr>
          <w:sz w:val="26"/>
        </w:rPr>
        <w:t xml:space="preserve"> a negative relationship </w:t>
      </w:r>
      <w:r w:rsidR="00027D6D" w:rsidRPr="00F40242">
        <w:rPr>
          <w:sz w:val="26"/>
        </w:rPr>
        <w:t xml:space="preserve">was reported </w:t>
      </w:r>
      <w:r w:rsidR="00B4625B" w:rsidRPr="00F40242">
        <w:rPr>
          <w:sz w:val="26"/>
        </w:rPr>
        <w:t xml:space="preserve">by </w:t>
      </w:r>
      <w:proofErr w:type="spellStart"/>
      <w:r w:rsidR="00B4625B" w:rsidRPr="00F40242">
        <w:rPr>
          <w:sz w:val="26"/>
        </w:rPr>
        <w:t>Branco</w:t>
      </w:r>
      <w:proofErr w:type="spellEnd"/>
      <w:r w:rsidR="00B4625B" w:rsidRPr="00F40242">
        <w:rPr>
          <w:sz w:val="26"/>
        </w:rPr>
        <w:t xml:space="preserve"> and Rodrigues (2008)</w:t>
      </w:r>
      <w:r w:rsidR="00027D6D" w:rsidRPr="00F40242">
        <w:rPr>
          <w:sz w:val="26"/>
        </w:rPr>
        <w:t>; and</w:t>
      </w:r>
      <w:r w:rsidR="00B4625B" w:rsidRPr="00F40242">
        <w:rPr>
          <w:sz w:val="26"/>
        </w:rPr>
        <w:t xml:space="preserve"> </w:t>
      </w:r>
      <w:r w:rsidR="00B4625B" w:rsidRPr="00F40242">
        <w:rPr>
          <w:noProof/>
          <w:sz w:val="26"/>
        </w:rPr>
        <w:t>whil</w:t>
      </w:r>
      <w:r w:rsidR="00CD711D" w:rsidRPr="00F40242">
        <w:rPr>
          <w:noProof/>
          <w:sz w:val="26"/>
        </w:rPr>
        <w:t>e</w:t>
      </w:r>
      <w:r w:rsidR="00B4625B" w:rsidRPr="00F40242">
        <w:rPr>
          <w:sz w:val="26"/>
        </w:rPr>
        <w:t xml:space="preserve"> </w:t>
      </w:r>
      <w:proofErr w:type="spellStart"/>
      <w:r w:rsidR="00B4625B" w:rsidRPr="00F40242">
        <w:rPr>
          <w:sz w:val="26"/>
        </w:rPr>
        <w:t>Haniffa</w:t>
      </w:r>
      <w:proofErr w:type="spellEnd"/>
      <w:r w:rsidR="00B4625B" w:rsidRPr="00F40242">
        <w:rPr>
          <w:sz w:val="26"/>
        </w:rPr>
        <w:t xml:space="preserve"> and Cooke (2005)</w:t>
      </w:r>
      <w:r w:rsidR="00964109" w:rsidRPr="00F40242">
        <w:rPr>
          <w:sz w:val="26"/>
        </w:rPr>
        <w:t>,</w:t>
      </w:r>
      <w:r w:rsidR="0078024B" w:rsidRPr="00F40242">
        <w:rPr>
          <w:sz w:val="26"/>
        </w:rPr>
        <w:t xml:space="preserve"> </w:t>
      </w:r>
      <w:proofErr w:type="spellStart"/>
      <w:r w:rsidR="0078024B" w:rsidRPr="00F40242">
        <w:rPr>
          <w:sz w:val="26"/>
        </w:rPr>
        <w:t>Kansal</w:t>
      </w:r>
      <w:proofErr w:type="spellEnd"/>
      <w:r w:rsidR="0078024B" w:rsidRPr="00F40242">
        <w:rPr>
          <w:sz w:val="26"/>
        </w:rPr>
        <w:t xml:space="preserve"> et al. (2014)</w:t>
      </w:r>
      <w:r w:rsidR="00964109" w:rsidRPr="00F40242">
        <w:rPr>
          <w:sz w:val="26"/>
        </w:rPr>
        <w:t>,</w:t>
      </w:r>
      <w:r w:rsidR="00B4625B" w:rsidRPr="00F40242">
        <w:rPr>
          <w:sz w:val="26"/>
        </w:rPr>
        <w:t xml:space="preserve"> and </w:t>
      </w:r>
      <w:proofErr w:type="spellStart"/>
      <w:r w:rsidR="00B4625B" w:rsidRPr="00F40242">
        <w:rPr>
          <w:sz w:val="26"/>
        </w:rPr>
        <w:t>Reverte</w:t>
      </w:r>
      <w:proofErr w:type="spellEnd"/>
      <w:r w:rsidR="00B4625B" w:rsidRPr="00F40242">
        <w:rPr>
          <w:sz w:val="26"/>
        </w:rPr>
        <w:t xml:space="preserve"> (2009) reported </w:t>
      </w:r>
      <w:r w:rsidR="00027D6D" w:rsidRPr="00F40242">
        <w:rPr>
          <w:sz w:val="26"/>
        </w:rPr>
        <w:t xml:space="preserve">a </w:t>
      </w:r>
      <w:r w:rsidR="00B4625B" w:rsidRPr="00F40242">
        <w:rPr>
          <w:sz w:val="26"/>
        </w:rPr>
        <w:t>statistically non-significant relationship.</w:t>
      </w:r>
      <w:r w:rsidR="0078024B" w:rsidRPr="00F40242">
        <w:rPr>
          <w:sz w:val="26"/>
        </w:rPr>
        <w:t xml:space="preserve"> </w:t>
      </w:r>
      <w:r w:rsidR="0078024B" w:rsidRPr="00F40242">
        <w:rPr>
          <w:noProof/>
          <w:sz w:val="26"/>
        </w:rPr>
        <w:t>Observing this inconclusiveness in the literature</w:t>
      </w:r>
      <w:r w:rsidR="0078024B" w:rsidRPr="00F40242">
        <w:rPr>
          <w:sz w:val="26"/>
        </w:rPr>
        <w:t xml:space="preserve">, the association between leverage and SED </w:t>
      </w:r>
      <w:r w:rsidR="0078024B" w:rsidRPr="00F40242">
        <w:rPr>
          <w:noProof/>
          <w:sz w:val="26"/>
        </w:rPr>
        <w:t>is tested</w:t>
      </w:r>
      <w:r w:rsidR="0078024B" w:rsidRPr="00F40242">
        <w:rPr>
          <w:sz w:val="26"/>
        </w:rPr>
        <w:t xml:space="preserve"> without any presumed association sign in our study. </w:t>
      </w:r>
    </w:p>
    <w:p w14:paraId="7BDE8E41" w14:textId="77777777" w:rsidR="006B1EBC" w:rsidRPr="00F40242" w:rsidRDefault="006B1EBC" w:rsidP="006B1EBC">
      <w:pPr>
        <w:spacing w:line="360" w:lineRule="exact"/>
        <w:ind w:firstLineChars="200" w:firstLine="520"/>
        <w:jc w:val="both"/>
        <w:rPr>
          <w:sz w:val="26"/>
        </w:rPr>
      </w:pPr>
    </w:p>
    <w:p w14:paraId="17618646" w14:textId="64B314B3" w:rsidR="003A0EFA" w:rsidRPr="006B1EBC" w:rsidRDefault="00981DEE" w:rsidP="00050AB9">
      <w:pPr>
        <w:autoSpaceDE w:val="0"/>
        <w:autoSpaceDN w:val="0"/>
        <w:adjustRightInd w:val="0"/>
        <w:jc w:val="both"/>
        <w:rPr>
          <w:b/>
          <w:sz w:val="26"/>
        </w:rPr>
      </w:pPr>
      <w:r w:rsidRPr="006B1EBC">
        <w:rPr>
          <w:b/>
          <w:sz w:val="26"/>
        </w:rPr>
        <w:t>S</w:t>
      </w:r>
      <w:r w:rsidR="003A0EFA" w:rsidRPr="006B1EBC">
        <w:rPr>
          <w:b/>
          <w:sz w:val="26"/>
        </w:rPr>
        <w:t xml:space="preserve">ample </w:t>
      </w:r>
      <w:r w:rsidR="00050AB9" w:rsidRPr="006B1EBC">
        <w:rPr>
          <w:b/>
          <w:sz w:val="26"/>
        </w:rPr>
        <w:t>Selection</w:t>
      </w:r>
    </w:p>
    <w:p w14:paraId="1368DBC3" w14:textId="36E12F84" w:rsidR="003A0EFA" w:rsidRPr="00396D33" w:rsidRDefault="003A0EFA" w:rsidP="006B1EBC">
      <w:pPr>
        <w:pStyle w:val="Default"/>
        <w:spacing w:line="360" w:lineRule="exact"/>
        <w:ind w:firstLineChars="200" w:firstLine="520"/>
        <w:jc w:val="both"/>
        <w:rPr>
          <w:rFonts w:ascii="Times New Roman" w:hAnsi="Times New Roman" w:cs="Times New Roman"/>
          <w:color w:val="auto"/>
          <w:sz w:val="26"/>
        </w:rPr>
      </w:pPr>
      <w:r w:rsidRPr="00F40242">
        <w:rPr>
          <w:rFonts w:ascii="Times New Roman" w:hAnsi="Times New Roman" w:cs="Times New Roman"/>
          <w:sz w:val="26"/>
        </w:rPr>
        <w:t xml:space="preserve">This study utilised data </w:t>
      </w:r>
      <w:r w:rsidR="00CD36FE" w:rsidRPr="00F40242">
        <w:rPr>
          <w:rFonts w:ascii="Times New Roman" w:hAnsi="Times New Roman" w:cs="Times New Roman"/>
          <w:noProof/>
          <w:sz w:val="26"/>
        </w:rPr>
        <w:t>from</w:t>
      </w:r>
      <w:r w:rsidRPr="00F40242">
        <w:rPr>
          <w:rFonts w:ascii="Times New Roman" w:hAnsi="Times New Roman" w:cs="Times New Roman"/>
          <w:sz w:val="26"/>
        </w:rPr>
        <w:t xml:space="preserve"> companies listed on the Indian Stock Exchange. All listed companies </w:t>
      </w:r>
      <w:r w:rsidR="00027D6D" w:rsidRPr="00F40242">
        <w:rPr>
          <w:rFonts w:ascii="Times New Roman" w:hAnsi="Times New Roman" w:cs="Times New Roman"/>
          <w:sz w:val="26"/>
        </w:rPr>
        <w:t xml:space="preserve">on </w:t>
      </w:r>
      <w:r w:rsidRPr="00F40242">
        <w:rPr>
          <w:rFonts w:ascii="Times New Roman" w:hAnsi="Times New Roman" w:cs="Times New Roman"/>
          <w:sz w:val="26"/>
        </w:rPr>
        <w:t xml:space="preserve">the stock exchange </w:t>
      </w:r>
      <w:r w:rsidRPr="00F40242">
        <w:rPr>
          <w:rFonts w:ascii="Times New Roman" w:hAnsi="Times New Roman" w:cs="Times New Roman"/>
          <w:noProof/>
          <w:sz w:val="26"/>
        </w:rPr>
        <w:t>ar</w:t>
      </w:r>
      <w:r w:rsidR="00CD7EB4" w:rsidRPr="00F40242">
        <w:rPr>
          <w:rFonts w:ascii="Times New Roman" w:hAnsi="Times New Roman" w:cs="Times New Roman"/>
          <w:noProof/>
          <w:sz w:val="26"/>
        </w:rPr>
        <w:t>e exposed</w:t>
      </w:r>
      <w:r w:rsidR="00CD7EB4" w:rsidRPr="00F40242">
        <w:rPr>
          <w:rFonts w:ascii="Times New Roman" w:hAnsi="Times New Roman" w:cs="Times New Roman"/>
          <w:sz w:val="26"/>
        </w:rPr>
        <w:t xml:space="preserve"> to a set of requirements and standards of financial and non-financial disclosure </w:t>
      </w:r>
      <w:r w:rsidR="00C4575D" w:rsidRPr="00F40242">
        <w:rPr>
          <w:rFonts w:ascii="Times New Roman" w:hAnsi="Times New Roman" w:cs="Times New Roman"/>
          <w:sz w:val="26"/>
        </w:rPr>
        <w:t xml:space="preserve">by the </w:t>
      </w:r>
      <w:r w:rsidR="00CD7EB4" w:rsidRPr="00F40242">
        <w:rPr>
          <w:rFonts w:ascii="Times New Roman" w:hAnsi="Times New Roman" w:cs="Times New Roman"/>
          <w:sz w:val="26"/>
        </w:rPr>
        <w:t>Indian securities authorities</w:t>
      </w:r>
      <w:r w:rsidR="00C4575D" w:rsidRPr="00F40242">
        <w:rPr>
          <w:rFonts w:ascii="Times New Roman" w:hAnsi="Times New Roman" w:cs="Times New Roman"/>
          <w:sz w:val="26"/>
        </w:rPr>
        <w:t>.</w:t>
      </w:r>
      <w:r w:rsidR="00CD7EB4" w:rsidRPr="00F40242">
        <w:rPr>
          <w:rFonts w:ascii="Times New Roman" w:hAnsi="Times New Roman" w:cs="Times New Roman"/>
          <w:sz w:val="26"/>
        </w:rPr>
        <w:t xml:space="preserve"> </w:t>
      </w:r>
      <w:r w:rsidRPr="00F40242">
        <w:rPr>
          <w:rFonts w:ascii="Times New Roman" w:hAnsi="Times New Roman" w:cs="Times New Roman"/>
          <w:sz w:val="26"/>
        </w:rPr>
        <w:t xml:space="preserve">Following </w:t>
      </w:r>
      <w:proofErr w:type="spellStart"/>
      <w:r w:rsidRPr="00F40242">
        <w:rPr>
          <w:rFonts w:ascii="Times New Roman" w:hAnsi="Times New Roman" w:cs="Times New Roman"/>
          <w:sz w:val="26"/>
        </w:rPr>
        <w:t>Branco</w:t>
      </w:r>
      <w:proofErr w:type="spellEnd"/>
      <w:r w:rsidRPr="00F40242">
        <w:rPr>
          <w:rFonts w:ascii="Times New Roman" w:hAnsi="Times New Roman" w:cs="Times New Roman"/>
          <w:sz w:val="26"/>
        </w:rPr>
        <w:t xml:space="preserve"> and Rodrigues (2008) and </w:t>
      </w:r>
      <w:proofErr w:type="spellStart"/>
      <w:r w:rsidRPr="00F40242">
        <w:rPr>
          <w:rFonts w:ascii="Times New Roman" w:hAnsi="Times New Roman" w:cs="Times New Roman"/>
          <w:sz w:val="26"/>
        </w:rPr>
        <w:t>Mahadeo</w:t>
      </w:r>
      <w:proofErr w:type="spellEnd"/>
      <w:r w:rsidRPr="00F40242">
        <w:rPr>
          <w:rFonts w:ascii="Times New Roman" w:hAnsi="Times New Roman" w:cs="Times New Roman"/>
          <w:sz w:val="26"/>
        </w:rPr>
        <w:t xml:space="preserve"> et al. (2011), we obtain non-financial disclosures from the annual reports. Companies </w:t>
      </w:r>
      <w:r w:rsidRPr="00F40242">
        <w:rPr>
          <w:rFonts w:ascii="Times New Roman" w:hAnsi="Times New Roman" w:cs="Times New Roman"/>
          <w:noProof/>
          <w:sz w:val="26"/>
        </w:rPr>
        <w:t>were classified</w:t>
      </w:r>
      <w:r w:rsidRPr="00F40242">
        <w:rPr>
          <w:rFonts w:ascii="Times New Roman" w:hAnsi="Times New Roman" w:cs="Times New Roman"/>
          <w:sz w:val="26"/>
        </w:rPr>
        <w:t xml:space="preserve"> according to various criteria in various earlier studies. </w:t>
      </w:r>
      <w:r w:rsidRPr="00F40242">
        <w:rPr>
          <w:rFonts w:ascii="Times New Roman" w:hAnsi="Times New Roman" w:cs="Times New Roman"/>
          <w:noProof/>
          <w:sz w:val="26"/>
        </w:rPr>
        <w:t>Usually</w:t>
      </w:r>
      <w:r w:rsidR="00CD36FE" w:rsidRPr="00F40242">
        <w:rPr>
          <w:rFonts w:ascii="Times New Roman" w:hAnsi="Times New Roman" w:cs="Times New Roman"/>
          <w:noProof/>
          <w:sz w:val="26"/>
        </w:rPr>
        <w:t>,</w:t>
      </w:r>
      <w:r w:rsidRPr="00F40242">
        <w:rPr>
          <w:rFonts w:ascii="Times New Roman" w:hAnsi="Times New Roman" w:cs="Times New Roman"/>
          <w:sz w:val="26"/>
        </w:rPr>
        <w:t xml:space="preserve"> companies </w:t>
      </w:r>
      <w:r w:rsidRPr="00F40242">
        <w:rPr>
          <w:rFonts w:ascii="Times New Roman" w:hAnsi="Times New Roman" w:cs="Times New Roman"/>
          <w:noProof/>
          <w:sz w:val="26"/>
        </w:rPr>
        <w:t>are grouped</w:t>
      </w:r>
      <w:r w:rsidRPr="00F40242">
        <w:rPr>
          <w:rFonts w:ascii="Times New Roman" w:hAnsi="Times New Roman" w:cs="Times New Roman"/>
          <w:sz w:val="26"/>
        </w:rPr>
        <w:t xml:space="preserve"> as high profil</w:t>
      </w:r>
      <w:r w:rsidR="00C4575D" w:rsidRPr="00F40242">
        <w:rPr>
          <w:rFonts w:ascii="Times New Roman" w:hAnsi="Times New Roman" w:cs="Times New Roman"/>
          <w:sz w:val="26"/>
        </w:rPr>
        <w:t xml:space="preserve">e or low profile companies (Roberts, 1992; </w:t>
      </w:r>
      <w:proofErr w:type="spellStart"/>
      <w:r w:rsidR="00C4575D" w:rsidRPr="00F40242">
        <w:rPr>
          <w:rFonts w:ascii="Times New Roman" w:hAnsi="Times New Roman" w:cs="Times New Roman"/>
          <w:sz w:val="26"/>
        </w:rPr>
        <w:t>Hackston</w:t>
      </w:r>
      <w:proofErr w:type="spellEnd"/>
      <w:r w:rsidR="00027D6D" w:rsidRPr="00F40242">
        <w:rPr>
          <w:rFonts w:ascii="Times New Roman" w:hAnsi="Times New Roman" w:cs="Times New Roman"/>
          <w:sz w:val="26"/>
        </w:rPr>
        <w:t xml:space="preserve"> </w:t>
      </w:r>
      <w:r w:rsidR="00EC7873" w:rsidRPr="00F40242">
        <w:rPr>
          <w:rFonts w:ascii="Times New Roman" w:hAnsi="Times New Roman" w:cs="Times New Roman"/>
          <w:sz w:val="26"/>
        </w:rPr>
        <w:t>&amp;</w:t>
      </w:r>
      <w:r w:rsidR="00027D6D" w:rsidRPr="00F40242">
        <w:rPr>
          <w:rFonts w:ascii="Times New Roman" w:hAnsi="Times New Roman" w:cs="Times New Roman"/>
          <w:sz w:val="26"/>
        </w:rPr>
        <w:t xml:space="preserve"> </w:t>
      </w:r>
      <w:r w:rsidR="00C4575D" w:rsidRPr="00F40242">
        <w:rPr>
          <w:rFonts w:ascii="Times New Roman" w:hAnsi="Times New Roman" w:cs="Times New Roman"/>
          <w:sz w:val="26"/>
        </w:rPr>
        <w:t xml:space="preserve">Milne, 1996). </w:t>
      </w:r>
      <w:r w:rsidRPr="00F40242">
        <w:rPr>
          <w:rFonts w:ascii="Times New Roman" w:hAnsi="Times New Roman" w:cs="Times New Roman"/>
          <w:sz w:val="26"/>
        </w:rPr>
        <w:t xml:space="preserve">Industrial sectors </w:t>
      </w:r>
      <w:r w:rsidR="00027D6D" w:rsidRPr="00F40242">
        <w:rPr>
          <w:rFonts w:ascii="Times New Roman" w:hAnsi="Times New Roman" w:cs="Times New Roman"/>
          <w:sz w:val="26"/>
        </w:rPr>
        <w:t>identified</w:t>
      </w:r>
      <w:r w:rsidRPr="00F40242">
        <w:rPr>
          <w:rFonts w:ascii="Times New Roman" w:hAnsi="Times New Roman" w:cs="Times New Roman"/>
          <w:sz w:val="26"/>
        </w:rPr>
        <w:t xml:space="preserve"> as </w:t>
      </w:r>
      <w:r w:rsidR="00027D6D" w:rsidRPr="00F40242">
        <w:rPr>
          <w:rFonts w:ascii="Times New Roman" w:hAnsi="Times New Roman" w:cs="Times New Roman"/>
          <w:sz w:val="26"/>
        </w:rPr>
        <w:t>“</w:t>
      </w:r>
      <w:r w:rsidRPr="00F40242">
        <w:rPr>
          <w:rFonts w:ascii="Times New Roman" w:hAnsi="Times New Roman" w:cs="Times New Roman"/>
          <w:sz w:val="26"/>
        </w:rPr>
        <w:t>high profile</w:t>
      </w:r>
      <w:r w:rsidR="00027D6D" w:rsidRPr="00F40242">
        <w:rPr>
          <w:rFonts w:ascii="Times New Roman" w:hAnsi="Times New Roman" w:cs="Times New Roman"/>
          <w:sz w:val="26"/>
        </w:rPr>
        <w:t>”,</w:t>
      </w:r>
      <w:r w:rsidRPr="00F40242">
        <w:rPr>
          <w:rFonts w:ascii="Times New Roman" w:hAnsi="Times New Roman" w:cs="Times New Roman"/>
          <w:sz w:val="26"/>
        </w:rPr>
        <w:t xml:space="preserve"> such as forest and paper, automobile</w:t>
      </w:r>
      <w:r w:rsidR="00027D6D" w:rsidRPr="00F40242">
        <w:rPr>
          <w:rFonts w:ascii="Times New Roman" w:hAnsi="Times New Roman" w:cs="Times New Roman"/>
          <w:sz w:val="26"/>
        </w:rPr>
        <w:t>s</w:t>
      </w:r>
      <w:r w:rsidRPr="00F40242">
        <w:rPr>
          <w:rFonts w:ascii="Times New Roman" w:hAnsi="Times New Roman" w:cs="Times New Roman"/>
          <w:sz w:val="26"/>
        </w:rPr>
        <w:t xml:space="preserve">, airlines, mining, metal, oil, </w:t>
      </w:r>
      <w:r w:rsidR="00027D6D" w:rsidRPr="00F40242">
        <w:rPr>
          <w:rFonts w:ascii="Times New Roman" w:hAnsi="Times New Roman" w:cs="Times New Roman"/>
          <w:sz w:val="26"/>
        </w:rPr>
        <w:t xml:space="preserve">and </w:t>
      </w:r>
      <w:r w:rsidRPr="00F40242">
        <w:rPr>
          <w:rFonts w:ascii="Times New Roman" w:hAnsi="Times New Roman" w:cs="Times New Roman"/>
          <w:sz w:val="26"/>
        </w:rPr>
        <w:t>chemicals</w:t>
      </w:r>
      <w:r w:rsidR="00027D6D" w:rsidRPr="00F40242">
        <w:rPr>
          <w:rFonts w:ascii="Times New Roman" w:hAnsi="Times New Roman" w:cs="Times New Roman"/>
          <w:sz w:val="26"/>
        </w:rPr>
        <w:t>,</w:t>
      </w:r>
      <w:r w:rsidRPr="00F40242">
        <w:rPr>
          <w:rFonts w:ascii="Times New Roman" w:hAnsi="Times New Roman" w:cs="Times New Roman"/>
          <w:sz w:val="26"/>
        </w:rPr>
        <w:t xml:space="preserve"> </w:t>
      </w:r>
      <w:r w:rsidRPr="00F40242">
        <w:rPr>
          <w:rFonts w:ascii="Times New Roman" w:hAnsi="Times New Roman" w:cs="Times New Roman"/>
          <w:noProof/>
          <w:sz w:val="26"/>
        </w:rPr>
        <w:t>are recogni</w:t>
      </w:r>
      <w:r w:rsidR="00CD36FE" w:rsidRPr="00F40242">
        <w:rPr>
          <w:rFonts w:ascii="Times New Roman" w:hAnsi="Times New Roman" w:cs="Times New Roman"/>
          <w:noProof/>
          <w:sz w:val="26"/>
        </w:rPr>
        <w:t>s</w:t>
      </w:r>
      <w:r w:rsidRPr="00F40242">
        <w:rPr>
          <w:rFonts w:ascii="Times New Roman" w:hAnsi="Times New Roman" w:cs="Times New Roman"/>
          <w:noProof/>
          <w:sz w:val="26"/>
        </w:rPr>
        <w:t>ed</w:t>
      </w:r>
      <w:r w:rsidRPr="00F40242">
        <w:rPr>
          <w:rFonts w:ascii="Times New Roman" w:hAnsi="Times New Roman" w:cs="Times New Roman"/>
          <w:sz w:val="26"/>
        </w:rPr>
        <w:t xml:space="preserve"> as having consumer prominence, intense competition and high political risk (Roberts, 1992). </w:t>
      </w:r>
      <w:r w:rsidR="00C4575D" w:rsidRPr="00F40242">
        <w:rPr>
          <w:rFonts w:ascii="Times New Roman" w:hAnsi="Times New Roman" w:cs="Times New Roman"/>
          <w:sz w:val="26"/>
        </w:rPr>
        <w:t xml:space="preserve">Companies </w:t>
      </w:r>
      <w:r w:rsidR="00027D6D" w:rsidRPr="00F40242">
        <w:rPr>
          <w:rFonts w:ascii="Times New Roman" w:hAnsi="Times New Roman" w:cs="Times New Roman"/>
          <w:noProof/>
          <w:sz w:val="26"/>
        </w:rPr>
        <w:t xml:space="preserve">have been </w:t>
      </w:r>
      <w:r w:rsidR="00C4575D" w:rsidRPr="00F40242">
        <w:rPr>
          <w:rFonts w:ascii="Times New Roman" w:hAnsi="Times New Roman" w:cs="Times New Roman"/>
          <w:noProof/>
          <w:sz w:val="26"/>
        </w:rPr>
        <w:t>grouped</w:t>
      </w:r>
      <w:r w:rsidR="00C4575D" w:rsidRPr="00F40242">
        <w:rPr>
          <w:rFonts w:ascii="Times New Roman" w:hAnsi="Times New Roman" w:cs="Times New Roman"/>
          <w:sz w:val="26"/>
        </w:rPr>
        <w:t xml:space="preserve"> according to environmental sensitivity by prior</w:t>
      </w:r>
      <w:r w:rsidRPr="00F40242">
        <w:rPr>
          <w:rFonts w:ascii="Times New Roman" w:hAnsi="Times New Roman" w:cs="Times New Roman"/>
          <w:sz w:val="26"/>
        </w:rPr>
        <w:t xml:space="preserve"> </w:t>
      </w:r>
      <w:r w:rsidR="00C4575D" w:rsidRPr="00F40242">
        <w:rPr>
          <w:rFonts w:ascii="Times New Roman" w:hAnsi="Times New Roman" w:cs="Times New Roman"/>
          <w:sz w:val="26"/>
        </w:rPr>
        <w:t>a</w:t>
      </w:r>
      <w:r w:rsidRPr="00F40242">
        <w:rPr>
          <w:rFonts w:ascii="Times New Roman" w:hAnsi="Times New Roman" w:cs="Times New Roman"/>
          <w:sz w:val="26"/>
        </w:rPr>
        <w:t>uthors (</w:t>
      </w:r>
      <w:r w:rsidR="00830932" w:rsidRPr="00F40242">
        <w:rPr>
          <w:rFonts w:ascii="Times New Roman" w:hAnsi="Times New Roman" w:cs="Times New Roman"/>
          <w:sz w:val="26"/>
        </w:rPr>
        <w:t>Cho &amp; Patten, 2007</w:t>
      </w:r>
      <w:r w:rsidR="00830932">
        <w:rPr>
          <w:rFonts w:ascii="Times New Roman" w:hAnsi="Times New Roman" w:cs="Times New Roman"/>
          <w:sz w:val="26"/>
        </w:rPr>
        <w:t xml:space="preserve">; </w:t>
      </w:r>
      <w:r w:rsidRPr="00F40242">
        <w:rPr>
          <w:rFonts w:ascii="Times New Roman" w:hAnsi="Times New Roman" w:cs="Times New Roman"/>
          <w:sz w:val="26"/>
        </w:rPr>
        <w:t xml:space="preserve">Deegan </w:t>
      </w:r>
      <w:r w:rsidR="00830932">
        <w:rPr>
          <w:rFonts w:ascii="Times New Roman" w:hAnsi="Times New Roman" w:cs="Times New Roman"/>
          <w:sz w:val="26"/>
        </w:rPr>
        <w:t>&amp;</w:t>
      </w:r>
      <w:r w:rsidR="00C4575D" w:rsidRPr="00F40242">
        <w:rPr>
          <w:rFonts w:ascii="Times New Roman" w:hAnsi="Times New Roman" w:cs="Times New Roman"/>
          <w:sz w:val="26"/>
        </w:rPr>
        <w:t xml:space="preserve"> Gordon, 1996; Wilmshurst</w:t>
      </w:r>
      <w:r w:rsidR="00027D6D" w:rsidRPr="00F40242">
        <w:rPr>
          <w:rFonts w:ascii="Times New Roman" w:hAnsi="Times New Roman" w:cs="Times New Roman"/>
          <w:sz w:val="26"/>
        </w:rPr>
        <w:t xml:space="preserve"> </w:t>
      </w:r>
      <w:r w:rsidR="00EC7873" w:rsidRPr="00F40242">
        <w:rPr>
          <w:rFonts w:ascii="Times New Roman" w:hAnsi="Times New Roman" w:cs="Times New Roman"/>
          <w:sz w:val="26"/>
        </w:rPr>
        <w:t>&amp;</w:t>
      </w:r>
      <w:r w:rsidR="00027D6D" w:rsidRPr="00F40242">
        <w:rPr>
          <w:rFonts w:ascii="Times New Roman" w:hAnsi="Times New Roman" w:cs="Times New Roman"/>
          <w:sz w:val="26"/>
        </w:rPr>
        <w:t xml:space="preserve"> </w:t>
      </w:r>
      <w:r w:rsidR="00C4575D" w:rsidRPr="00F40242">
        <w:rPr>
          <w:rFonts w:ascii="Times New Roman" w:hAnsi="Times New Roman" w:cs="Times New Roman"/>
          <w:sz w:val="26"/>
        </w:rPr>
        <w:t>Frost</w:t>
      </w:r>
      <w:r w:rsidR="003701F5" w:rsidRPr="00F40242">
        <w:rPr>
          <w:rFonts w:ascii="Times New Roman" w:hAnsi="Times New Roman" w:cs="Times New Roman"/>
          <w:sz w:val="26"/>
        </w:rPr>
        <w:t>,</w:t>
      </w:r>
      <w:r w:rsidR="00027D6D" w:rsidRPr="00F40242">
        <w:rPr>
          <w:rFonts w:ascii="Times New Roman" w:hAnsi="Times New Roman" w:cs="Times New Roman"/>
          <w:sz w:val="26"/>
        </w:rPr>
        <w:t xml:space="preserve"> </w:t>
      </w:r>
      <w:r w:rsidR="003701F5" w:rsidRPr="00F40242">
        <w:rPr>
          <w:rFonts w:ascii="Times New Roman" w:hAnsi="Times New Roman" w:cs="Times New Roman"/>
          <w:sz w:val="26"/>
        </w:rPr>
        <w:t>2</w:t>
      </w:r>
      <w:r w:rsidR="00C4575D" w:rsidRPr="00F40242">
        <w:rPr>
          <w:rFonts w:ascii="Times New Roman" w:hAnsi="Times New Roman" w:cs="Times New Roman"/>
          <w:sz w:val="26"/>
        </w:rPr>
        <w:t xml:space="preserve">000;). </w:t>
      </w:r>
      <w:r w:rsidRPr="00F40242">
        <w:rPr>
          <w:rFonts w:ascii="Times New Roman" w:hAnsi="Times New Roman" w:cs="Times New Roman"/>
          <w:sz w:val="26"/>
        </w:rPr>
        <w:t xml:space="preserve">Industries with more risk of being </w:t>
      </w:r>
      <w:r w:rsidRPr="00F40242">
        <w:rPr>
          <w:rFonts w:ascii="Times New Roman" w:hAnsi="Times New Roman" w:cs="Times New Roman"/>
          <w:noProof/>
          <w:sz w:val="26"/>
        </w:rPr>
        <w:t>critici</w:t>
      </w:r>
      <w:r w:rsidR="00CD36FE" w:rsidRPr="00F40242">
        <w:rPr>
          <w:rFonts w:ascii="Times New Roman" w:hAnsi="Times New Roman" w:cs="Times New Roman"/>
          <w:noProof/>
          <w:sz w:val="26"/>
        </w:rPr>
        <w:t>s</w:t>
      </w:r>
      <w:r w:rsidRPr="00F40242">
        <w:rPr>
          <w:rFonts w:ascii="Times New Roman" w:hAnsi="Times New Roman" w:cs="Times New Roman"/>
          <w:noProof/>
          <w:sz w:val="26"/>
        </w:rPr>
        <w:t>ed</w:t>
      </w:r>
      <w:r w:rsidRPr="00F40242">
        <w:rPr>
          <w:rFonts w:ascii="Times New Roman" w:hAnsi="Times New Roman" w:cs="Times New Roman"/>
          <w:sz w:val="26"/>
        </w:rPr>
        <w:t xml:space="preserve"> on environmental issues because of their activities</w:t>
      </w:r>
      <w:r w:rsidR="00027D6D" w:rsidRPr="00F40242">
        <w:rPr>
          <w:rFonts w:ascii="Times New Roman" w:hAnsi="Times New Roman" w:cs="Times New Roman"/>
          <w:sz w:val="26"/>
        </w:rPr>
        <w:t>,</w:t>
      </w:r>
      <w:r w:rsidRPr="00F40242">
        <w:rPr>
          <w:rFonts w:ascii="Times New Roman" w:hAnsi="Times New Roman" w:cs="Times New Roman"/>
          <w:sz w:val="26"/>
        </w:rPr>
        <w:t xml:space="preserve"> </w:t>
      </w:r>
      <w:r w:rsidR="00027D6D" w:rsidRPr="00F40242">
        <w:rPr>
          <w:rFonts w:ascii="Times New Roman" w:hAnsi="Times New Roman" w:cs="Times New Roman"/>
          <w:sz w:val="26"/>
        </w:rPr>
        <w:t>including those involved in</w:t>
      </w:r>
      <w:r w:rsidRPr="00F40242">
        <w:rPr>
          <w:rFonts w:ascii="Times New Roman" w:hAnsi="Times New Roman" w:cs="Times New Roman"/>
          <w:sz w:val="26"/>
        </w:rPr>
        <w:t xml:space="preserve"> natural resource extraction or pollution</w:t>
      </w:r>
      <w:r w:rsidR="00027D6D" w:rsidRPr="00F40242">
        <w:rPr>
          <w:rFonts w:ascii="Times New Roman" w:hAnsi="Times New Roman" w:cs="Times New Roman"/>
          <w:sz w:val="26"/>
        </w:rPr>
        <w:t>,</w:t>
      </w:r>
      <w:r w:rsidRPr="00F40242">
        <w:rPr>
          <w:rFonts w:ascii="Times New Roman" w:hAnsi="Times New Roman" w:cs="Times New Roman"/>
          <w:sz w:val="26"/>
        </w:rPr>
        <w:t xml:space="preserve"> such as oil exploration, chemical and allied products, metals, mining, industrial engineering and </w:t>
      </w:r>
      <w:r w:rsidRPr="00F40242">
        <w:rPr>
          <w:rFonts w:ascii="Times New Roman" w:hAnsi="Times New Roman" w:cs="Times New Roman"/>
          <w:noProof/>
          <w:sz w:val="26"/>
        </w:rPr>
        <w:t>transport</w:t>
      </w:r>
      <w:r w:rsidR="00027D6D" w:rsidRPr="00F40242">
        <w:rPr>
          <w:rFonts w:ascii="Times New Roman" w:hAnsi="Times New Roman" w:cs="Times New Roman"/>
          <w:noProof/>
          <w:sz w:val="26"/>
        </w:rPr>
        <w:t>,</w:t>
      </w:r>
      <w:r w:rsidRPr="00F40242">
        <w:rPr>
          <w:rFonts w:ascii="Times New Roman" w:hAnsi="Times New Roman" w:cs="Times New Roman"/>
          <w:noProof/>
          <w:sz w:val="26"/>
        </w:rPr>
        <w:t xml:space="preserve"> are categorised</w:t>
      </w:r>
      <w:r w:rsidRPr="00F40242">
        <w:rPr>
          <w:rFonts w:ascii="Times New Roman" w:hAnsi="Times New Roman" w:cs="Times New Roman"/>
          <w:sz w:val="26"/>
        </w:rPr>
        <w:t xml:space="preserve"> as more environmentally sensitive industries. Therefore, high profile, more </w:t>
      </w:r>
      <w:r w:rsidRPr="00F40242">
        <w:rPr>
          <w:rFonts w:ascii="Times New Roman" w:hAnsi="Times New Roman" w:cs="Times New Roman"/>
          <w:sz w:val="26"/>
        </w:rPr>
        <w:lastRenderedPageBreak/>
        <w:t xml:space="preserve">environmentally sensitive industries </w:t>
      </w:r>
      <w:r w:rsidRPr="00F40242">
        <w:rPr>
          <w:rFonts w:ascii="Times New Roman" w:hAnsi="Times New Roman" w:cs="Times New Roman"/>
          <w:noProof/>
          <w:sz w:val="26"/>
        </w:rPr>
        <w:t>are chosen</w:t>
      </w:r>
      <w:r w:rsidRPr="00F40242">
        <w:rPr>
          <w:rFonts w:ascii="Times New Roman" w:hAnsi="Times New Roman" w:cs="Times New Roman"/>
          <w:sz w:val="26"/>
        </w:rPr>
        <w:t xml:space="preserve"> for the current study. </w:t>
      </w:r>
      <w:r w:rsidRPr="00396D33">
        <w:rPr>
          <w:rFonts w:ascii="Times New Roman" w:hAnsi="Times New Roman" w:cs="Times New Roman"/>
          <w:color w:val="auto"/>
          <w:sz w:val="26"/>
        </w:rPr>
        <w:t>To collect social and environmental disclosure data sample</w:t>
      </w:r>
      <w:r w:rsidR="00027D6D" w:rsidRPr="00396D33">
        <w:rPr>
          <w:rFonts w:ascii="Times New Roman" w:hAnsi="Times New Roman" w:cs="Times New Roman"/>
          <w:color w:val="auto"/>
          <w:sz w:val="26"/>
        </w:rPr>
        <w:t>s,</w:t>
      </w:r>
      <w:r w:rsidRPr="00396D33">
        <w:rPr>
          <w:rFonts w:ascii="Times New Roman" w:hAnsi="Times New Roman" w:cs="Times New Roman"/>
          <w:color w:val="auto"/>
          <w:sz w:val="26"/>
        </w:rPr>
        <w:t xml:space="preserve"> </w:t>
      </w:r>
      <w:r w:rsidR="00027D6D" w:rsidRPr="00396D33">
        <w:rPr>
          <w:rFonts w:ascii="Times New Roman" w:hAnsi="Times New Roman" w:cs="Times New Roman"/>
          <w:color w:val="auto"/>
          <w:sz w:val="26"/>
        </w:rPr>
        <w:t>firms’ annual reports from three years</w:t>
      </w:r>
      <w:r w:rsidRPr="00396D33">
        <w:rPr>
          <w:rFonts w:ascii="Times New Roman" w:hAnsi="Times New Roman" w:cs="Times New Roman"/>
          <w:color w:val="auto"/>
          <w:sz w:val="26"/>
        </w:rPr>
        <w:t xml:space="preserve"> </w:t>
      </w:r>
      <w:r w:rsidR="000324CB" w:rsidRPr="00396D33">
        <w:rPr>
          <w:rFonts w:ascii="Times New Roman" w:hAnsi="Times New Roman" w:cs="Times New Roman"/>
          <w:color w:val="auto"/>
          <w:sz w:val="26"/>
        </w:rPr>
        <w:t>three years (</w:t>
      </w:r>
      <w:r w:rsidRPr="00396D33">
        <w:rPr>
          <w:rFonts w:ascii="Times New Roman" w:hAnsi="Times New Roman" w:cs="Times New Roman"/>
          <w:color w:val="auto"/>
          <w:sz w:val="26"/>
        </w:rPr>
        <w:t>2006</w:t>
      </w:r>
      <w:r w:rsidR="003701F5" w:rsidRPr="00396D33">
        <w:rPr>
          <w:rFonts w:ascii="Times New Roman" w:hAnsi="Times New Roman" w:cs="Times New Roman"/>
          <w:color w:val="auto"/>
          <w:sz w:val="26"/>
        </w:rPr>
        <w:t>,</w:t>
      </w:r>
      <w:r w:rsidR="00027D6D" w:rsidRPr="00396D33">
        <w:rPr>
          <w:rFonts w:ascii="Times New Roman" w:hAnsi="Times New Roman" w:cs="Times New Roman"/>
          <w:color w:val="auto"/>
          <w:sz w:val="26"/>
        </w:rPr>
        <w:t xml:space="preserve"> </w:t>
      </w:r>
      <w:r w:rsidR="003701F5" w:rsidRPr="00396D33">
        <w:rPr>
          <w:rFonts w:ascii="Times New Roman" w:hAnsi="Times New Roman" w:cs="Times New Roman"/>
          <w:color w:val="auto"/>
          <w:sz w:val="26"/>
        </w:rPr>
        <w:t>2</w:t>
      </w:r>
      <w:r w:rsidRPr="00396D33">
        <w:rPr>
          <w:rFonts w:ascii="Times New Roman" w:hAnsi="Times New Roman" w:cs="Times New Roman"/>
          <w:color w:val="auto"/>
          <w:sz w:val="26"/>
        </w:rPr>
        <w:t>012</w:t>
      </w:r>
      <w:r w:rsidR="00BD51DD" w:rsidRPr="00396D33">
        <w:rPr>
          <w:rFonts w:ascii="Times New Roman" w:hAnsi="Times New Roman" w:cs="Times New Roman"/>
          <w:color w:val="auto"/>
          <w:sz w:val="26"/>
        </w:rPr>
        <w:t xml:space="preserve"> </w:t>
      </w:r>
      <w:r w:rsidR="0046350B" w:rsidRPr="00396D33">
        <w:rPr>
          <w:rFonts w:ascii="Times New Roman" w:hAnsi="Times New Roman" w:cs="Times New Roman"/>
          <w:color w:val="auto"/>
          <w:sz w:val="26"/>
        </w:rPr>
        <w:t>and 2014</w:t>
      </w:r>
      <w:r w:rsidR="000324CB" w:rsidRPr="00396D33">
        <w:rPr>
          <w:rFonts w:ascii="Times New Roman" w:hAnsi="Times New Roman" w:cs="Times New Roman"/>
          <w:color w:val="auto"/>
          <w:sz w:val="26"/>
        </w:rPr>
        <w:t>)</w:t>
      </w:r>
      <w:r w:rsidR="00027D6D" w:rsidRPr="00396D33">
        <w:rPr>
          <w:rFonts w:ascii="Times New Roman" w:hAnsi="Times New Roman" w:cs="Times New Roman"/>
          <w:color w:val="auto"/>
          <w:sz w:val="26"/>
        </w:rPr>
        <w:t>,</w:t>
      </w:r>
      <w:r w:rsidRPr="00396D33">
        <w:rPr>
          <w:rFonts w:ascii="Times New Roman" w:hAnsi="Times New Roman" w:cs="Times New Roman"/>
          <w:color w:val="auto"/>
          <w:sz w:val="26"/>
        </w:rPr>
        <w:t xml:space="preserve"> </w:t>
      </w:r>
      <w:r w:rsidR="000324CB" w:rsidRPr="00396D33">
        <w:rPr>
          <w:rFonts w:ascii="Times New Roman" w:hAnsi="Times New Roman" w:cs="Times New Roman"/>
          <w:color w:val="auto"/>
          <w:sz w:val="26"/>
        </w:rPr>
        <w:t>covering a period of eight years</w:t>
      </w:r>
      <w:r w:rsidR="00027D6D" w:rsidRPr="00396D33">
        <w:rPr>
          <w:rFonts w:ascii="Times New Roman" w:hAnsi="Times New Roman" w:cs="Times New Roman"/>
          <w:color w:val="auto"/>
          <w:sz w:val="26"/>
        </w:rPr>
        <w:t>,</w:t>
      </w:r>
      <w:r w:rsidR="000324CB" w:rsidRPr="00396D33">
        <w:rPr>
          <w:rFonts w:ascii="Times New Roman" w:hAnsi="Times New Roman" w:cs="Times New Roman"/>
          <w:color w:val="auto"/>
          <w:sz w:val="26"/>
        </w:rPr>
        <w:t xml:space="preserve"> </w:t>
      </w:r>
      <w:r w:rsidRPr="00396D33">
        <w:rPr>
          <w:rFonts w:ascii="Times New Roman" w:hAnsi="Times New Roman" w:cs="Times New Roman"/>
          <w:color w:val="auto"/>
          <w:sz w:val="26"/>
        </w:rPr>
        <w:t xml:space="preserve">were used in this study. The annual report is extensively regarded as the prime means </w:t>
      </w:r>
      <w:r w:rsidR="00CD711D" w:rsidRPr="00396D33">
        <w:rPr>
          <w:rFonts w:ascii="Times New Roman" w:hAnsi="Times New Roman" w:cs="Times New Roman"/>
          <w:noProof/>
          <w:color w:val="auto"/>
          <w:sz w:val="26"/>
        </w:rPr>
        <w:t xml:space="preserve">of </w:t>
      </w:r>
      <w:r w:rsidRPr="00396D33">
        <w:rPr>
          <w:rFonts w:ascii="Times New Roman" w:hAnsi="Times New Roman" w:cs="Times New Roman"/>
          <w:color w:val="auto"/>
          <w:sz w:val="26"/>
        </w:rPr>
        <w:t>corporate communication (</w:t>
      </w:r>
      <w:r w:rsidR="00027D6D" w:rsidRPr="00396D33">
        <w:rPr>
          <w:rFonts w:ascii="Times New Roman" w:hAnsi="Times New Roman" w:cs="Times New Roman"/>
          <w:color w:val="auto"/>
          <w:sz w:val="26"/>
        </w:rPr>
        <w:t xml:space="preserve">both </w:t>
      </w:r>
      <w:r w:rsidRPr="00396D33">
        <w:rPr>
          <w:rFonts w:ascii="Times New Roman" w:hAnsi="Times New Roman" w:cs="Times New Roman"/>
          <w:color w:val="auto"/>
          <w:sz w:val="26"/>
        </w:rPr>
        <w:t xml:space="preserve">financial and </w:t>
      </w:r>
      <w:r w:rsidRPr="00396D33">
        <w:rPr>
          <w:rFonts w:ascii="Times New Roman" w:hAnsi="Times New Roman" w:cs="Times New Roman"/>
          <w:noProof/>
          <w:color w:val="auto"/>
          <w:sz w:val="26"/>
        </w:rPr>
        <w:t>no</w:t>
      </w:r>
      <w:r w:rsidR="00CD36FE" w:rsidRPr="00396D33">
        <w:rPr>
          <w:rFonts w:ascii="Times New Roman" w:hAnsi="Times New Roman" w:cs="Times New Roman"/>
          <w:noProof/>
          <w:color w:val="auto"/>
          <w:sz w:val="26"/>
        </w:rPr>
        <w:t>n</w:t>
      </w:r>
      <w:r w:rsidRPr="00396D33">
        <w:rPr>
          <w:rFonts w:ascii="Times New Roman" w:hAnsi="Times New Roman" w:cs="Times New Roman"/>
          <w:noProof/>
          <w:color w:val="auto"/>
          <w:sz w:val="26"/>
        </w:rPr>
        <w:t>financial</w:t>
      </w:r>
      <w:r w:rsidRPr="00396D33">
        <w:rPr>
          <w:rFonts w:ascii="Times New Roman" w:hAnsi="Times New Roman" w:cs="Times New Roman"/>
          <w:color w:val="auto"/>
          <w:sz w:val="26"/>
        </w:rPr>
        <w:t xml:space="preserve">) with the stakeholder about the companies’ activities (Wiseman, 1982) and has been the source </w:t>
      </w:r>
      <w:r w:rsidR="00CD36FE" w:rsidRPr="00396D33">
        <w:rPr>
          <w:rFonts w:ascii="Times New Roman" w:hAnsi="Times New Roman" w:cs="Times New Roman"/>
          <w:noProof/>
          <w:color w:val="auto"/>
          <w:sz w:val="26"/>
        </w:rPr>
        <w:t>of</w:t>
      </w:r>
      <w:r w:rsidR="00523E27" w:rsidRPr="00396D33">
        <w:rPr>
          <w:rFonts w:ascii="Times New Roman" w:hAnsi="Times New Roman" w:cs="Times New Roman"/>
          <w:noProof/>
          <w:color w:val="auto"/>
          <w:sz w:val="26"/>
        </w:rPr>
        <w:t xml:space="preserve"> </w:t>
      </w:r>
      <w:r w:rsidRPr="00396D33">
        <w:rPr>
          <w:rFonts w:ascii="Times New Roman" w:hAnsi="Times New Roman" w:cs="Times New Roman"/>
          <w:color w:val="auto"/>
          <w:sz w:val="26"/>
        </w:rPr>
        <w:t>data for almost all previous social and environmental disclosure studies (Lu</w:t>
      </w:r>
      <w:r w:rsidR="00027D6D" w:rsidRPr="00396D33">
        <w:rPr>
          <w:rFonts w:ascii="Times New Roman" w:hAnsi="Times New Roman" w:cs="Times New Roman"/>
          <w:color w:val="auto"/>
          <w:sz w:val="26"/>
        </w:rPr>
        <w:t xml:space="preserve"> </w:t>
      </w:r>
      <w:r w:rsidR="00EC7873" w:rsidRPr="00396D33">
        <w:rPr>
          <w:rFonts w:ascii="Times New Roman" w:hAnsi="Times New Roman" w:cs="Times New Roman"/>
          <w:color w:val="auto"/>
          <w:sz w:val="26"/>
        </w:rPr>
        <w:t>&amp;</w:t>
      </w:r>
      <w:r w:rsidR="00027D6D" w:rsidRPr="00396D33">
        <w:rPr>
          <w:rFonts w:ascii="Times New Roman" w:hAnsi="Times New Roman" w:cs="Times New Roman"/>
          <w:color w:val="auto"/>
          <w:sz w:val="26"/>
        </w:rPr>
        <w:t xml:space="preserve"> </w:t>
      </w:r>
      <w:proofErr w:type="spellStart"/>
      <w:r w:rsidRPr="00396D33">
        <w:rPr>
          <w:rFonts w:ascii="Times New Roman" w:hAnsi="Times New Roman" w:cs="Times New Roman"/>
          <w:color w:val="auto"/>
          <w:sz w:val="26"/>
        </w:rPr>
        <w:t>Abeysekera</w:t>
      </w:r>
      <w:proofErr w:type="spellEnd"/>
      <w:r w:rsidR="003701F5" w:rsidRPr="00396D33">
        <w:rPr>
          <w:rFonts w:ascii="Times New Roman" w:hAnsi="Times New Roman" w:cs="Times New Roman"/>
          <w:color w:val="auto"/>
          <w:sz w:val="26"/>
        </w:rPr>
        <w:t>,</w:t>
      </w:r>
      <w:r w:rsidR="00027D6D" w:rsidRPr="00396D33">
        <w:rPr>
          <w:rFonts w:ascii="Times New Roman" w:hAnsi="Times New Roman" w:cs="Times New Roman"/>
          <w:color w:val="auto"/>
          <w:sz w:val="26"/>
        </w:rPr>
        <w:t xml:space="preserve"> </w:t>
      </w:r>
      <w:r w:rsidR="003701F5" w:rsidRPr="00396D33">
        <w:rPr>
          <w:rFonts w:ascii="Times New Roman" w:hAnsi="Times New Roman" w:cs="Times New Roman"/>
          <w:color w:val="auto"/>
          <w:sz w:val="26"/>
        </w:rPr>
        <w:t>2</w:t>
      </w:r>
      <w:r w:rsidRPr="00396D33">
        <w:rPr>
          <w:rFonts w:ascii="Times New Roman" w:hAnsi="Times New Roman" w:cs="Times New Roman"/>
          <w:color w:val="auto"/>
          <w:sz w:val="26"/>
        </w:rPr>
        <w:t xml:space="preserve">014). </w:t>
      </w:r>
    </w:p>
    <w:p w14:paraId="019B017D" w14:textId="1037A1AA" w:rsidR="006B1EBC" w:rsidRDefault="003A0EFA" w:rsidP="006B1EBC">
      <w:pPr>
        <w:pStyle w:val="Default"/>
        <w:spacing w:line="360" w:lineRule="exact"/>
        <w:ind w:firstLineChars="200" w:firstLine="520"/>
        <w:jc w:val="both"/>
        <w:rPr>
          <w:rFonts w:ascii="Times New Roman" w:hAnsi="Times New Roman" w:cs="Times New Roman"/>
          <w:sz w:val="26"/>
        </w:rPr>
      </w:pPr>
      <w:r w:rsidRPr="00396D33">
        <w:rPr>
          <w:rFonts w:ascii="Times New Roman" w:hAnsi="Times New Roman" w:cs="Times New Roman"/>
          <w:color w:val="auto"/>
          <w:sz w:val="26"/>
        </w:rPr>
        <w:t xml:space="preserve">The final sample for analysis consisted of </w:t>
      </w:r>
      <w:r w:rsidR="005E6BB7" w:rsidRPr="00396D33">
        <w:rPr>
          <w:rFonts w:ascii="Times New Roman" w:hAnsi="Times New Roman" w:cs="Times New Roman"/>
          <w:color w:val="auto"/>
          <w:sz w:val="26"/>
        </w:rPr>
        <w:t>312</w:t>
      </w:r>
      <w:r w:rsidRPr="00396D33">
        <w:rPr>
          <w:rFonts w:ascii="Times New Roman" w:hAnsi="Times New Roman" w:cs="Times New Roman"/>
          <w:color w:val="auto"/>
          <w:sz w:val="26"/>
        </w:rPr>
        <w:t xml:space="preserve"> Indian annual reports. Annual reports of publicly listed Indian companies </w:t>
      </w:r>
      <w:r w:rsidRPr="00396D33">
        <w:rPr>
          <w:rFonts w:ascii="Times New Roman" w:hAnsi="Times New Roman" w:cs="Times New Roman"/>
          <w:noProof/>
          <w:color w:val="auto"/>
          <w:sz w:val="26"/>
        </w:rPr>
        <w:t>were collected</w:t>
      </w:r>
      <w:r w:rsidRPr="00396D33">
        <w:rPr>
          <w:rFonts w:ascii="Times New Roman" w:hAnsi="Times New Roman" w:cs="Times New Roman"/>
          <w:color w:val="auto"/>
          <w:sz w:val="26"/>
        </w:rPr>
        <w:t xml:space="preserve"> for the accounting year</w:t>
      </w:r>
      <w:r w:rsidR="00027D6D" w:rsidRPr="00396D33">
        <w:rPr>
          <w:rFonts w:ascii="Times New Roman" w:hAnsi="Times New Roman" w:cs="Times New Roman"/>
          <w:color w:val="auto"/>
          <w:sz w:val="26"/>
        </w:rPr>
        <w:t>s</w:t>
      </w:r>
      <w:r w:rsidRPr="00396D33">
        <w:rPr>
          <w:rFonts w:ascii="Times New Roman" w:hAnsi="Times New Roman" w:cs="Times New Roman"/>
          <w:color w:val="auto"/>
          <w:sz w:val="26"/>
        </w:rPr>
        <w:t xml:space="preserve"> </w:t>
      </w:r>
      <w:r w:rsidR="00BD51DD" w:rsidRPr="00396D33">
        <w:rPr>
          <w:rFonts w:ascii="Times New Roman" w:hAnsi="Times New Roman" w:cs="Times New Roman"/>
          <w:color w:val="auto"/>
          <w:sz w:val="26"/>
        </w:rPr>
        <w:t>2006</w:t>
      </w:r>
      <w:r w:rsidR="003701F5" w:rsidRPr="00396D33">
        <w:rPr>
          <w:rFonts w:ascii="Times New Roman" w:hAnsi="Times New Roman" w:cs="Times New Roman"/>
          <w:color w:val="auto"/>
          <w:sz w:val="26"/>
        </w:rPr>
        <w:t>,</w:t>
      </w:r>
      <w:r w:rsidR="00027D6D" w:rsidRPr="00396D33">
        <w:rPr>
          <w:rFonts w:ascii="Times New Roman" w:hAnsi="Times New Roman" w:cs="Times New Roman"/>
          <w:color w:val="auto"/>
          <w:sz w:val="26"/>
        </w:rPr>
        <w:t xml:space="preserve"> </w:t>
      </w:r>
      <w:r w:rsidR="003701F5" w:rsidRPr="00396D33">
        <w:rPr>
          <w:rFonts w:ascii="Times New Roman" w:hAnsi="Times New Roman" w:cs="Times New Roman"/>
          <w:color w:val="auto"/>
          <w:sz w:val="26"/>
        </w:rPr>
        <w:t>2</w:t>
      </w:r>
      <w:r w:rsidR="005E6BB7" w:rsidRPr="00396D33">
        <w:rPr>
          <w:rFonts w:ascii="Times New Roman" w:hAnsi="Times New Roman" w:cs="Times New Roman"/>
          <w:color w:val="auto"/>
          <w:sz w:val="26"/>
        </w:rPr>
        <w:t>012</w:t>
      </w:r>
      <w:r w:rsidRPr="00396D33">
        <w:rPr>
          <w:rFonts w:ascii="Times New Roman" w:hAnsi="Times New Roman" w:cs="Times New Roman"/>
          <w:color w:val="auto"/>
          <w:sz w:val="26"/>
        </w:rPr>
        <w:t xml:space="preserve"> and 201</w:t>
      </w:r>
      <w:r w:rsidR="005E6BB7" w:rsidRPr="00396D33">
        <w:rPr>
          <w:rFonts w:ascii="Times New Roman" w:hAnsi="Times New Roman" w:cs="Times New Roman"/>
          <w:color w:val="auto"/>
          <w:sz w:val="26"/>
        </w:rPr>
        <w:t>4</w:t>
      </w:r>
      <w:r w:rsidRPr="00396D33">
        <w:rPr>
          <w:rFonts w:ascii="Times New Roman" w:hAnsi="Times New Roman" w:cs="Times New Roman"/>
          <w:color w:val="auto"/>
          <w:sz w:val="26"/>
        </w:rPr>
        <w:t xml:space="preserve">. </w:t>
      </w:r>
      <w:r w:rsidR="005E6BB7" w:rsidRPr="00396D33">
        <w:rPr>
          <w:rFonts w:ascii="Times New Roman" w:hAnsi="Times New Roman" w:cs="Times New Roman"/>
          <w:color w:val="auto"/>
          <w:sz w:val="26"/>
        </w:rPr>
        <w:t>These years were chosen to capture the pre</w:t>
      </w:r>
      <w:r w:rsidR="00027D6D" w:rsidRPr="00396D33">
        <w:rPr>
          <w:rFonts w:ascii="Times New Roman" w:hAnsi="Times New Roman" w:cs="Times New Roman"/>
          <w:color w:val="auto"/>
          <w:sz w:val="26"/>
        </w:rPr>
        <w:t>-</w:t>
      </w:r>
      <w:r w:rsidR="005E6BB7" w:rsidRPr="00396D33">
        <w:rPr>
          <w:rFonts w:ascii="Times New Roman" w:hAnsi="Times New Roman" w:cs="Times New Roman"/>
          <w:color w:val="auto"/>
          <w:sz w:val="26"/>
        </w:rPr>
        <w:t xml:space="preserve"> and post</w:t>
      </w:r>
      <w:r w:rsidR="00027D6D" w:rsidRPr="00396D33">
        <w:rPr>
          <w:rFonts w:ascii="Times New Roman" w:hAnsi="Times New Roman" w:cs="Times New Roman"/>
          <w:color w:val="auto"/>
          <w:sz w:val="26"/>
        </w:rPr>
        <w:t>-</w:t>
      </w:r>
      <w:r w:rsidR="000324CB" w:rsidRPr="00396D33">
        <w:rPr>
          <w:rFonts w:ascii="Times New Roman" w:hAnsi="Times New Roman" w:cs="Times New Roman"/>
          <w:color w:val="auto"/>
          <w:sz w:val="26"/>
        </w:rPr>
        <w:t xml:space="preserve">global financial crisis </w:t>
      </w:r>
      <w:r w:rsidR="00027D6D" w:rsidRPr="00396D33">
        <w:rPr>
          <w:rFonts w:ascii="Times New Roman" w:hAnsi="Times New Roman" w:cs="Times New Roman"/>
          <w:color w:val="auto"/>
          <w:sz w:val="26"/>
        </w:rPr>
        <w:t xml:space="preserve">periods </w:t>
      </w:r>
      <w:r w:rsidR="000324CB" w:rsidRPr="00396D33">
        <w:rPr>
          <w:rFonts w:ascii="Times New Roman" w:hAnsi="Times New Roman" w:cs="Times New Roman"/>
          <w:color w:val="auto"/>
          <w:sz w:val="26"/>
        </w:rPr>
        <w:t>as well as pre</w:t>
      </w:r>
      <w:r w:rsidR="00027D6D" w:rsidRPr="00396D33">
        <w:rPr>
          <w:rFonts w:ascii="Times New Roman" w:hAnsi="Times New Roman" w:cs="Times New Roman"/>
          <w:color w:val="auto"/>
          <w:sz w:val="26"/>
        </w:rPr>
        <w:t>-</w:t>
      </w:r>
      <w:r w:rsidR="000324CB" w:rsidRPr="00396D33">
        <w:rPr>
          <w:rFonts w:ascii="Times New Roman" w:hAnsi="Times New Roman" w:cs="Times New Roman"/>
          <w:color w:val="auto"/>
          <w:sz w:val="26"/>
        </w:rPr>
        <w:t xml:space="preserve"> and post</w:t>
      </w:r>
      <w:r w:rsidR="00027D6D" w:rsidRPr="00396D33">
        <w:rPr>
          <w:rFonts w:ascii="Times New Roman" w:hAnsi="Times New Roman" w:cs="Times New Roman"/>
          <w:color w:val="auto"/>
          <w:sz w:val="26"/>
        </w:rPr>
        <w:t>-</w:t>
      </w:r>
      <w:r w:rsidR="005E6BB7" w:rsidRPr="00396D33">
        <w:rPr>
          <w:rFonts w:ascii="Times New Roman" w:hAnsi="Times New Roman" w:cs="Times New Roman"/>
          <w:color w:val="auto"/>
          <w:sz w:val="26"/>
        </w:rPr>
        <w:t xml:space="preserve">mandatory CSR regime </w:t>
      </w:r>
      <w:r w:rsidR="00027D6D" w:rsidRPr="00396D33">
        <w:rPr>
          <w:rFonts w:ascii="Times New Roman" w:hAnsi="Times New Roman" w:cs="Times New Roman"/>
          <w:color w:val="auto"/>
          <w:sz w:val="26"/>
        </w:rPr>
        <w:t xml:space="preserve">periods, </w:t>
      </w:r>
      <w:r w:rsidR="005E6BB7" w:rsidRPr="00396D33">
        <w:rPr>
          <w:rFonts w:ascii="Times New Roman" w:hAnsi="Times New Roman" w:cs="Times New Roman"/>
          <w:color w:val="auto"/>
          <w:sz w:val="26"/>
        </w:rPr>
        <w:t xml:space="preserve">as </w:t>
      </w:r>
      <w:r w:rsidR="00027D6D" w:rsidRPr="00396D33">
        <w:rPr>
          <w:rFonts w:ascii="Times New Roman" w:hAnsi="Times New Roman" w:cs="Times New Roman"/>
          <w:color w:val="auto"/>
          <w:sz w:val="26"/>
        </w:rPr>
        <w:t xml:space="preserve">the </w:t>
      </w:r>
      <w:r w:rsidR="005E6BB7" w:rsidRPr="00396D33">
        <w:rPr>
          <w:rFonts w:ascii="Times New Roman" w:hAnsi="Times New Roman" w:cs="Times New Roman"/>
          <w:color w:val="auto"/>
          <w:sz w:val="26"/>
        </w:rPr>
        <w:t xml:space="preserve">Indian Companies Act </w:t>
      </w:r>
      <w:r w:rsidR="00027D6D" w:rsidRPr="00396D33">
        <w:rPr>
          <w:rFonts w:ascii="Times New Roman" w:hAnsi="Times New Roman" w:cs="Times New Roman"/>
          <w:color w:val="auto"/>
          <w:sz w:val="26"/>
        </w:rPr>
        <w:t xml:space="preserve">of </w:t>
      </w:r>
      <w:r w:rsidR="005E6BB7" w:rsidRPr="00396D33">
        <w:rPr>
          <w:rFonts w:ascii="Times New Roman" w:hAnsi="Times New Roman" w:cs="Times New Roman"/>
          <w:color w:val="auto"/>
          <w:sz w:val="26"/>
        </w:rPr>
        <w:t xml:space="preserve">2013 legislated mandatory CSR in 2013. </w:t>
      </w:r>
      <w:r w:rsidRPr="00396D33">
        <w:rPr>
          <w:rFonts w:ascii="Times New Roman" w:hAnsi="Times New Roman" w:cs="Times New Roman"/>
          <w:color w:val="auto"/>
          <w:sz w:val="26"/>
        </w:rPr>
        <w:t>The chosen industr</w:t>
      </w:r>
      <w:r w:rsidR="00027D6D" w:rsidRPr="00396D33">
        <w:rPr>
          <w:rFonts w:ascii="Times New Roman" w:hAnsi="Times New Roman" w:cs="Times New Roman"/>
          <w:color w:val="auto"/>
          <w:sz w:val="26"/>
        </w:rPr>
        <w:t>y</w:t>
      </w:r>
      <w:r w:rsidRPr="00396D33">
        <w:rPr>
          <w:rFonts w:ascii="Times New Roman" w:hAnsi="Times New Roman" w:cs="Times New Roman"/>
          <w:color w:val="auto"/>
          <w:sz w:val="26"/>
        </w:rPr>
        <w:t xml:space="preserve"> </w:t>
      </w:r>
      <w:r w:rsidRPr="00F40242">
        <w:rPr>
          <w:rFonts w:ascii="Times New Roman" w:hAnsi="Times New Roman" w:cs="Times New Roman"/>
          <w:sz w:val="26"/>
        </w:rPr>
        <w:t>group</w:t>
      </w:r>
      <w:r w:rsidR="00027D6D" w:rsidRPr="00F40242">
        <w:rPr>
          <w:rFonts w:ascii="Times New Roman" w:hAnsi="Times New Roman" w:cs="Times New Roman"/>
          <w:sz w:val="26"/>
        </w:rPr>
        <w:t>s</w:t>
      </w:r>
      <w:r w:rsidRPr="00F40242">
        <w:rPr>
          <w:rFonts w:ascii="Times New Roman" w:hAnsi="Times New Roman" w:cs="Times New Roman"/>
          <w:sz w:val="26"/>
        </w:rPr>
        <w:t xml:space="preserve"> were (</w:t>
      </w:r>
      <w:proofErr w:type="spellStart"/>
      <w:r w:rsidRPr="00F40242">
        <w:rPr>
          <w:rFonts w:ascii="Times New Roman" w:hAnsi="Times New Roman" w:cs="Times New Roman"/>
          <w:sz w:val="26"/>
        </w:rPr>
        <w:t>i</w:t>
      </w:r>
      <w:proofErr w:type="spellEnd"/>
      <w:r w:rsidRPr="00F40242">
        <w:rPr>
          <w:rFonts w:ascii="Times New Roman" w:hAnsi="Times New Roman" w:cs="Times New Roman"/>
          <w:sz w:val="26"/>
        </w:rPr>
        <w:t>)</w:t>
      </w:r>
      <w:r w:rsidR="00027D6D" w:rsidRPr="00F40242">
        <w:rPr>
          <w:rFonts w:ascii="Times New Roman" w:hAnsi="Times New Roman" w:cs="Times New Roman"/>
          <w:sz w:val="26"/>
        </w:rPr>
        <w:t xml:space="preserve"> </w:t>
      </w:r>
      <w:r w:rsidRPr="00F40242">
        <w:rPr>
          <w:rFonts w:ascii="Times New Roman" w:hAnsi="Times New Roman" w:cs="Times New Roman"/>
          <w:sz w:val="26"/>
        </w:rPr>
        <w:t>Chemical, (ii)</w:t>
      </w:r>
      <w:r w:rsidR="00027D6D" w:rsidRPr="00F40242">
        <w:rPr>
          <w:rFonts w:ascii="Times New Roman" w:hAnsi="Times New Roman" w:cs="Times New Roman"/>
          <w:sz w:val="26"/>
        </w:rPr>
        <w:t xml:space="preserve"> </w:t>
      </w:r>
      <w:r w:rsidRPr="00F40242">
        <w:rPr>
          <w:rFonts w:ascii="Times New Roman" w:hAnsi="Times New Roman" w:cs="Times New Roman"/>
          <w:sz w:val="26"/>
        </w:rPr>
        <w:t xml:space="preserve">Forestry and Paper, </w:t>
      </w:r>
      <w:r w:rsidR="00155AD7" w:rsidRPr="00F40242">
        <w:rPr>
          <w:rFonts w:ascii="Times New Roman" w:hAnsi="Times New Roman" w:cs="Times New Roman"/>
          <w:sz w:val="26"/>
        </w:rPr>
        <w:t>(iii)</w:t>
      </w:r>
      <w:r w:rsidR="00027D6D" w:rsidRPr="00F40242">
        <w:rPr>
          <w:rFonts w:ascii="Times New Roman" w:hAnsi="Times New Roman" w:cs="Times New Roman"/>
          <w:sz w:val="26"/>
        </w:rPr>
        <w:t xml:space="preserve"> </w:t>
      </w:r>
      <w:r w:rsidR="00155AD7" w:rsidRPr="00F40242">
        <w:rPr>
          <w:rFonts w:ascii="Times New Roman" w:hAnsi="Times New Roman" w:cs="Times New Roman"/>
          <w:sz w:val="26"/>
        </w:rPr>
        <w:t xml:space="preserve">Industrial Transport and </w:t>
      </w:r>
      <w:r w:rsidRPr="00F40242">
        <w:rPr>
          <w:rFonts w:ascii="Times New Roman" w:hAnsi="Times New Roman" w:cs="Times New Roman"/>
          <w:sz w:val="26"/>
        </w:rPr>
        <w:t>(iv)</w:t>
      </w:r>
      <w:r w:rsidR="00027D6D" w:rsidRPr="00F40242">
        <w:rPr>
          <w:rFonts w:ascii="Times New Roman" w:hAnsi="Times New Roman" w:cs="Times New Roman"/>
          <w:sz w:val="26"/>
        </w:rPr>
        <w:t xml:space="preserve"> </w:t>
      </w:r>
      <w:r w:rsidR="0057649C" w:rsidRPr="00F40242">
        <w:rPr>
          <w:rFonts w:ascii="Times New Roman" w:hAnsi="Times New Roman" w:cs="Times New Roman"/>
          <w:sz w:val="26"/>
        </w:rPr>
        <w:t>O</w:t>
      </w:r>
      <w:r w:rsidR="005E6BB7" w:rsidRPr="00F40242">
        <w:rPr>
          <w:rFonts w:ascii="Times New Roman" w:hAnsi="Times New Roman" w:cs="Times New Roman"/>
          <w:sz w:val="26"/>
        </w:rPr>
        <w:t>ther</w:t>
      </w:r>
      <w:r w:rsidRPr="00F40242">
        <w:rPr>
          <w:rFonts w:ascii="Times New Roman" w:hAnsi="Times New Roman" w:cs="Times New Roman"/>
          <w:sz w:val="26"/>
        </w:rPr>
        <w:t xml:space="preserve">. </w:t>
      </w:r>
      <w:r w:rsidR="00027D6D" w:rsidRPr="00F40242">
        <w:rPr>
          <w:rFonts w:ascii="Times New Roman" w:hAnsi="Times New Roman" w:cs="Times New Roman"/>
          <w:sz w:val="26"/>
        </w:rPr>
        <w:t>The g</w:t>
      </w:r>
      <w:r w:rsidR="00155AD7" w:rsidRPr="00F40242">
        <w:rPr>
          <w:rFonts w:ascii="Times New Roman" w:hAnsi="Times New Roman" w:cs="Times New Roman"/>
          <w:sz w:val="26"/>
        </w:rPr>
        <w:t xml:space="preserve">eneral social perception is that companies operating </w:t>
      </w:r>
      <w:r w:rsidR="00027D6D" w:rsidRPr="00F40242">
        <w:rPr>
          <w:rFonts w:ascii="Times New Roman" w:hAnsi="Times New Roman" w:cs="Times New Roman"/>
          <w:noProof/>
          <w:sz w:val="26"/>
        </w:rPr>
        <w:t xml:space="preserve">in </w:t>
      </w:r>
      <w:r w:rsidR="00155AD7" w:rsidRPr="00F40242">
        <w:rPr>
          <w:rFonts w:ascii="Times New Roman" w:hAnsi="Times New Roman" w:cs="Times New Roman"/>
          <w:sz w:val="26"/>
        </w:rPr>
        <w:t xml:space="preserve">these industries are more likely to be considered environmentally sensitive (Elkington, 1994). Industries were selected based on this perception in our study. We randomly selected companies from these industries. </w:t>
      </w:r>
      <w:r w:rsidR="0080601E" w:rsidRPr="00F40242">
        <w:rPr>
          <w:rFonts w:ascii="Times New Roman" w:hAnsi="Times New Roman" w:cs="Times New Roman"/>
          <w:sz w:val="26"/>
        </w:rPr>
        <w:t xml:space="preserve">We use Data Stream </w:t>
      </w:r>
      <w:r w:rsidR="00F374EA" w:rsidRPr="00F40242">
        <w:rPr>
          <w:rFonts w:ascii="Times New Roman" w:hAnsi="Times New Roman" w:cs="Times New Roman"/>
          <w:sz w:val="26"/>
        </w:rPr>
        <w:t>5.0</w:t>
      </w:r>
      <w:r w:rsidR="00753636" w:rsidRPr="00F40242">
        <w:rPr>
          <w:rFonts w:ascii="Times New Roman" w:hAnsi="Times New Roman" w:cs="Times New Roman"/>
          <w:sz w:val="26"/>
        </w:rPr>
        <w:t xml:space="preserve"> (</w:t>
      </w:r>
      <w:r w:rsidR="00027D6D" w:rsidRPr="00F40242">
        <w:rPr>
          <w:rFonts w:ascii="Times New Roman" w:hAnsi="Times New Roman" w:cs="Times New Roman"/>
          <w:sz w:val="26"/>
        </w:rPr>
        <w:t>e</w:t>
      </w:r>
      <w:r w:rsidR="00753636" w:rsidRPr="00F40242">
        <w:rPr>
          <w:rFonts w:ascii="Times New Roman" w:hAnsi="Times New Roman" w:cs="Times New Roman"/>
          <w:sz w:val="26"/>
        </w:rPr>
        <w:t>lectronic database)</w:t>
      </w:r>
      <w:r w:rsidR="00F374EA" w:rsidRPr="00F40242">
        <w:rPr>
          <w:rFonts w:ascii="Times New Roman" w:hAnsi="Times New Roman" w:cs="Times New Roman"/>
          <w:sz w:val="26"/>
        </w:rPr>
        <w:t xml:space="preserve"> for the companies and their industry groupings. Organisational and other related </w:t>
      </w:r>
      <w:r w:rsidR="00F374EA" w:rsidRPr="00F40242">
        <w:rPr>
          <w:rFonts w:ascii="Times New Roman" w:hAnsi="Times New Roman" w:cs="Times New Roman"/>
          <w:noProof/>
          <w:sz w:val="26"/>
        </w:rPr>
        <w:t>website</w:t>
      </w:r>
      <w:r w:rsidR="00CD711D" w:rsidRPr="00F40242">
        <w:rPr>
          <w:rFonts w:ascii="Times New Roman" w:hAnsi="Times New Roman" w:cs="Times New Roman"/>
          <w:noProof/>
          <w:sz w:val="26"/>
        </w:rPr>
        <w:t>s</w:t>
      </w:r>
      <w:r w:rsidR="00F374EA" w:rsidRPr="00F40242">
        <w:rPr>
          <w:rFonts w:ascii="Times New Roman" w:hAnsi="Times New Roman" w:cs="Times New Roman"/>
          <w:sz w:val="26"/>
        </w:rPr>
        <w:t xml:space="preserve"> </w:t>
      </w:r>
      <w:r w:rsidR="00F374EA" w:rsidRPr="00F40242">
        <w:rPr>
          <w:rFonts w:ascii="Times New Roman" w:hAnsi="Times New Roman" w:cs="Times New Roman"/>
          <w:noProof/>
          <w:sz w:val="26"/>
        </w:rPr>
        <w:t>were used</w:t>
      </w:r>
      <w:r w:rsidR="00F374EA" w:rsidRPr="00F40242">
        <w:rPr>
          <w:rFonts w:ascii="Times New Roman" w:hAnsi="Times New Roman" w:cs="Times New Roman"/>
          <w:sz w:val="26"/>
        </w:rPr>
        <w:t xml:space="preserve"> for annual report collection. </w:t>
      </w:r>
      <w:r w:rsidR="00155AD7" w:rsidRPr="00F40242">
        <w:rPr>
          <w:rFonts w:ascii="Times New Roman" w:hAnsi="Times New Roman" w:cs="Times New Roman"/>
          <w:sz w:val="26"/>
        </w:rPr>
        <w:t>Table 1 presents</w:t>
      </w:r>
      <w:r w:rsidR="0080601E" w:rsidRPr="00F40242">
        <w:rPr>
          <w:rFonts w:ascii="Times New Roman" w:hAnsi="Times New Roman" w:cs="Times New Roman"/>
          <w:sz w:val="26"/>
        </w:rPr>
        <w:t xml:space="preserve"> the sample distribution according to industry classification.</w:t>
      </w:r>
    </w:p>
    <w:p w14:paraId="648EE6B0" w14:textId="77777777" w:rsidR="006B1EBC" w:rsidRDefault="006B1EBC" w:rsidP="006B1EBC">
      <w:pPr>
        <w:pStyle w:val="Default"/>
        <w:spacing w:line="360" w:lineRule="exact"/>
        <w:jc w:val="both"/>
        <w:rPr>
          <w:rFonts w:ascii="Times New Roman" w:hAnsi="Times New Roman"/>
          <w:b/>
          <w:sz w:val="26"/>
        </w:rPr>
      </w:pPr>
    </w:p>
    <w:p w14:paraId="3435ED43" w14:textId="411374CD" w:rsidR="004461D9" w:rsidRPr="00B95A3A" w:rsidRDefault="004461D9" w:rsidP="00B95A3A">
      <w:pPr>
        <w:pStyle w:val="Default"/>
        <w:spacing w:line="360" w:lineRule="exact"/>
        <w:jc w:val="center"/>
        <w:rPr>
          <w:rFonts w:ascii="Times New Roman" w:hAnsi="Times New Roman" w:cs="Times New Roman"/>
          <w:b/>
          <w:sz w:val="26"/>
        </w:rPr>
      </w:pPr>
      <w:r w:rsidRPr="00B95A3A">
        <w:rPr>
          <w:rFonts w:ascii="Times New Roman" w:hAnsi="Times New Roman"/>
          <w:b/>
          <w:sz w:val="26"/>
        </w:rPr>
        <w:t xml:space="preserve">Table </w:t>
      </w:r>
      <w:proofErr w:type="gramStart"/>
      <w:r w:rsidRPr="00B95A3A">
        <w:rPr>
          <w:rFonts w:ascii="Times New Roman" w:hAnsi="Times New Roman"/>
          <w:b/>
          <w:sz w:val="26"/>
        </w:rPr>
        <w:t>1</w:t>
      </w:r>
      <w:r w:rsidR="00830932">
        <w:rPr>
          <w:rFonts w:ascii="Times New Roman" w:hAnsi="Times New Roman"/>
          <w:b/>
          <w:sz w:val="26"/>
        </w:rPr>
        <w:t xml:space="preserve"> </w:t>
      </w:r>
      <w:r w:rsidR="00B95A3A" w:rsidRPr="00B95A3A">
        <w:rPr>
          <w:rFonts w:ascii="Times New Roman" w:hAnsi="Times New Roman" w:cs="Times New Roman" w:hint="eastAsia"/>
          <w:b/>
          <w:sz w:val="26"/>
          <w:lang w:eastAsia="zh-TW"/>
        </w:rPr>
        <w:t xml:space="preserve"> </w:t>
      </w:r>
      <w:r w:rsidRPr="00B95A3A">
        <w:rPr>
          <w:rFonts w:ascii="Times New Roman" w:hAnsi="Times New Roman"/>
          <w:b/>
          <w:sz w:val="26"/>
        </w:rPr>
        <w:t>Distribution</w:t>
      </w:r>
      <w:proofErr w:type="gramEnd"/>
      <w:r w:rsidRPr="00B95A3A">
        <w:rPr>
          <w:rFonts w:ascii="Times New Roman" w:hAnsi="Times New Roman"/>
          <w:b/>
          <w:sz w:val="26"/>
        </w:rPr>
        <w:t xml:space="preserve"> of Sample According to Industry and Size</w:t>
      </w:r>
    </w:p>
    <w:tbl>
      <w:tblPr>
        <w:tblStyle w:val="13"/>
        <w:tblW w:w="5000" w:type="pct"/>
        <w:tblLook w:val="01E0" w:firstRow="1" w:lastRow="1" w:firstColumn="1" w:lastColumn="1" w:noHBand="0" w:noVBand="0"/>
      </w:tblPr>
      <w:tblGrid>
        <w:gridCol w:w="2555"/>
        <w:gridCol w:w="1617"/>
        <w:gridCol w:w="1619"/>
        <w:gridCol w:w="1865"/>
        <w:gridCol w:w="1370"/>
      </w:tblGrid>
      <w:tr w:rsidR="000803DE" w:rsidRPr="00331F4B" w14:paraId="2B0DF2F4" w14:textId="77777777" w:rsidTr="008D2090">
        <w:tc>
          <w:tcPr>
            <w:tcW w:w="1415" w:type="pct"/>
            <w:tcBorders>
              <w:top w:val="single" w:sz="4" w:space="0" w:color="auto"/>
              <w:bottom w:val="single" w:sz="4" w:space="0" w:color="auto"/>
            </w:tcBorders>
            <w:vAlign w:val="center"/>
          </w:tcPr>
          <w:p w14:paraId="069EDA6E" w14:textId="16293B09" w:rsidR="000803DE" w:rsidRPr="00331F4B" w:rsidRDefault="000803DE" w:rsidP="00331F4B">
            <w:pPr>
              <w:autoSpaceDE w:val="0"/>
              <w:autoSpaceDN w:val="0"/>
              <w:adjustRightInd w:val="0"/>
              <w:spacing w:line="360" w:lineRule="exact"/>
              <w:jc w:val="center"/>
              <w:rPr>
                <w:b/>
              </w:rPr>
            </w:pPr>
            <w:r w:rsidRPr="00331F4B">
              <w:rPr>
                <w:b/>
              </w:rPr>
              <w:t>Industry</w:t>
            </w:r>
          </w:p>
        </w:tc>
        <w:tc>
          <w:tcPr>
            <w:tcW w:w="896" w:type="pct"/>
            <w:tcBorders>
              <w:top w:val="single" w:sz="4" w:space="0" w:color="auto"/>
              <w:bottom w:val="single" w:sz="4" w:space="0" w:color="auto"/>
            </w:tcBorders>
            <w:vAlign w:val="center"/>
          </w:tcPr>
          <w:p w14:paraId="172E743F" w14:textId="77777777" w:rsidR="000803DE" w:rsidRPr="00331F4B" w:rsidRDefault="000803DE" w:rsidP="00331F4B">
            <w:pPr>
              <w:autoSpaceDE w:val="0"/>
              <w:autoSpaceDN w:val="0"/>
              <w:adjustRightInd w:val="0"/>
              <w:spacing w:line="360" w:lineRule="exact"/>
              <w:ind w:left="-108"/>
              <w:jc w:val="center"/>
              <w:rPr>
                <w:b/>
              </w:rPr>
            </w:pPr>
            <w:r w:rsidRPr="00331F4B">
              <w:rPr>
                <w:b/>
              </w:rPr>
              <w:t>Total</w:t>
            </w:r>
          </w:p>
        </w:tc>
        <w:tc>
          <w:tcPr>
            <w:tcW w:w="897" w:type="pct"/>
            <w:tcBorders>
              <w:top w:val="single" w:sz="4" w:space="0" w:color="auto"/>
              <w:bottom w:val="single" w:sz="4" w:space="0" w:color="auto"/>
            </w:tcBorders>
            <w:vAlign w:val="center"/>
          </w:tcPr>
          <w:p w14:paraId="48C8905E" w14:textId="7877A40F" w:rsidR="000803DE" w:rsidRPr="00331F4B" w:rsidRDefault="000803DE" w:rsidP="008D2090">
            <w:pPr>
              <w:autoSpaceDE w:val="0"/>
              <w:autoSpaceDN w:val="0"/>
              <w:adjustRightInd w:val="0"/>
              <w:spacing w:line="360" w:lineRule="exact"/>
              <w:ind w:left="-108"/>
              <w:jc w:val="center"/>
              <w:rPr>
                <w:b/>
              </w:rPr>
            </w:pPr>
            <w:r w:rsidRPr="00331F4B">
              <w:rPr>
                <w:b/>
              </w:rPr>
              <w:t>2014</w:t>
            </w:r>
            <w:r w:rsidR="008D2090">
              <w:rPr>
                <w:b/>
              </w:rPr>
              <w:t xml:space="preserve"> </w:t>
            </w:r>
            <w:r w:rsidRPr="00331F4B">
              <w:rPr>
                <w:b/>
              </w:rPr>
              <w:t>Number</w:t>
            </w:r>
          </w:p>
        </w:tc>
        <w:tc>
          <w:tcPr>
            <w:tcW w:w="1033" w:type="pct"/>
            <w:tcBorders>
              <w:top w:val="single" w:sz="4" w:space="0" w:color="auto"/>
              <w:bottom w:val="single" w:sz="4" w:space="0" w:color="auto"/>
            </w:tcBorders>
            <w:vAlign w:val="center"/>
          </w:tcPr>
          <w:p w14:paraId="1C1914C1" w14:textId="7AA2CD1A" w:rsidR="000803DE" w:rsidRPr="00331F4B" w:rsidRDefault="000803DE" w:rsidP="008D2090">
            <w:pPr>
              <w:autoSpaceDE w:val="0"/>
              <w:autoSpaceDN w:val="0"/>
              <w:adjustRightInd w:val="0"/>
              <w:spacing w:line="360" w:lineRule="exact"/>
              <w:ind w:left="-108"/>
              <w:jc w:val="center"/>
              <w:rPr>
                <w:b/>
              </w:rPr>
            </w:pPr>
            <w:r w:rsidRPr="00331F4B">
              <w:rPr>
                <w:b/>
              </w:rPr>
              <w:t>2012</w:t>
            </w:r>
            <w:r w:rsidR="008D2090">
              <w:rPr>
                <w:b/>
              </w:rPr>
              <w:t xml:space="preserve"> </w:t>
            </w:r>
            <w:r w:rsidRPr="00331F4B">
              <w:rPr>
                <w:b/>
              </w:rPr>
              <w:t>Number</w:t>
            </w:r>
          </w:p>
        </w:tc>
        <w:tc>
          <w:tcPr>
            <w:tcW w:w="759" w:type="pct"/>
            <w:tcBorders>
              <w:top w:val="single" w:sz="4" w:space="0" w:color="auto"/>
              <w:bottom w:val="single" w:sz="4" w:space="0" w:color="auto"/>
            </w:tcBorders>
            <w:vAlign w:val="center"/>
          </w:tcPr>
          <w:p w14:paraId="093E0336" w14:textId="77777777" w:rsidR="000803DE" w:rsidRPr="00331F4B" w:rsidRDefault="000803DE" w:rsidP="00331F4B">
            <w:pPr>
              <w:autoSpaceDE w:val="0"/>
              <w:autoSpaceDN w:val="0"/>
              <w:adjustRightInd w:val="0"/>
              <w:spacing w:line="360" w:lineRule="exact"/>
              <w:jc w:val="center"/>
              <w:rPr>
                <w:b/>
              </w:rPr>
            </w:pPr>
            <w:r w:rsidRPr="00331F4B">
              <w:rPr>
                <w:b/>
              </w:rPr>
              <w:t>%</w:t>
            </w:r>
          </w:p>
        </w:tc>
      </w:tr>
      <w:tr w:rsidR="000803DE" w:rsidRPr="00331F4B" w14:paraId="59DCE93B" w14:textId="77777777" w:rsidTr="008D2090">
        <w:tc>
          <w:tcPr>
            <w:tcW w:w="1415" w:type="pct"/>
            <w:tcBorders>
              <w:top w:val="single" w:sz="4" w:space="0" w:color="auto"/>
            </w:tcBorders>
          </w:tcPr>
          <w:p w14:paraId="512E474B" w14:textId="77777777" w:rsidR="000803DE" w:rsidRPr="00331F4B" w:rsidRDefault="000803DE" w:rsidP="002262E0">
            <w:pPr>
              <w:autoSpaceDE w:val="0"/>
              <w:autoSpaceDN w:val="0"/>
              <w:adjustRightInd w:val="0"/>
              <w:spacing w:line="360" w:lineRule="exact"/>
              <w:jc w:val="center"/>
            </w:pPr>
            <w:r w:rsidRPr="00331F4B">
              <w:rPr>
                <w:bCs/>
              </w:rPr>
              <w:t>Chemicals</w:t>
            </w:r>
          </w:p>
        </w:tc>
        <w:tc>
          <w:tcPr>
            <w:tcW w:w="896" w:type="pct"/>
            <w:tcBorders>
              <w:top w:val="single" w:sz="4" w:space="0" w:color="auto"/>
            </w:tcBorders>
          </w:tcPr>
          <w:p w14:paraId="7771DB1D" w14:textId="77777777" w:rsidR="000803DE" w:rsidRPr="00331F4B" w:rsidRDefault="000803DE" w:rsidP="00B95A3A">
            <w:pPr>
              <w:autoSpaceDE w:val="0"/>
              <w:autoSpaceDN w:val="0"/>
              <w:adjustRightInd w:val="0"/>
              <w:spacing w:line="360" w:lineRule="exact"/>
              <w:jc w:val="center"/>
            </w:pPr>
            <w:r w:rsidRPr="00331F4B">
              <w:t>200</w:t>
            </w:r>
          </w:p>
        </w:tc>
        <w:tc>
          <w:tcPr>
            <w:tcW w:w="897" w:type="pct"/>
            <w:tcBorders>
              <w:top w:val="single" w:sz="4" w:space="0" w:color="auto"/>
            </w:tcBorders>
          </w:tcPr>
          <w:p w14:paraId="65EFE3B0" w14:textId="77777777" w:rsidR="000803DE" w:rsidRPr="00331F4B" w:rsidRDefault="000803DE" w:rsidP="00B95A3A">
            <w:pPr>
              <w:autoSpaceDE w:val="0"/>
              <w:autoSpaceDN w:val="0"/>
              <w:adjustRightInd w:val="0"/>
              <w:spacing w:line="360" w:lineRule="exact"/>
              <w:jc w:val="center"/>
            </w:pPr>
            <w:r w:rsidRPr="00331F4B">
              <w:t>100</w:t>
            </w:r>
          </w:p>
        </w:tc>
        <w:tc>
          <w:tcPr>
            <w:tcW w:w="1033" w:type="pct"/>
            <w:tcBorders>
              <w:top w:val="single" w:sz="4" w:space="0" w:color="auto"/>
            </w:tcBorders>
          </w:tcPr>
          <w:p w14:paraId="3EFED664" w14:textId="77777777" w:rsidR="000803DE" w:rsidRPr="00331F4B" w:rsidRDefault="000803DE" w:rsidP="00B95A3A">
            <w:pPr>
              <w:autoSpaceDE w:val="0"/>
              <w:autoSpaceDN w:val="0"/>
              <w:adjustRightInd w:val="0"/>
              <w:spacing w:line="360" w:lineRule="exact"/>
              <w:jc w:val="center"/>
            </w:pPr>
            <w:r w:rsidRPr="00331F4B">
              <w:t>100</w:t>
            </w:r>
          </w:p>
        </w:tc>
        <w:tc>
          <w:tcPr>
            <w:tcW w:w="759" w:type="pct"/>
            <w:tcBorders>
              <w:top w:val="single" w:sz="4" w:space="0" w:color="auto"/>
            </w:tcBorders>
          </w:tcPr>
          <w:p w14:paraId="5173930B" w14:textId="77777777" w:rsidR="000803DE" w:rsidRPr="00331F4B" w:rsidRDefault="000803DE" w:rsidP="00B95A3A">
            <w:pPr>
              <w:autoSpaceDE w:val="0"/>
              <w:autoSpaceDN w:val="0"/>
              <w:adjustRightInd w:val="0"/>
              <w:spacing w:line="360" w:lineRule="exact"/>
              <w:jc w:val="center"/>
            </w:pPr>
            <w:r w:rsidRPr="00331F4B">
              <w:t>64.10</w:t>
            </w:r>
          </w:p>
        </w:tc>
      </w:tr>
      <w:tr w:rsidR="000803DE" w:rsidRPr="00331F4B" w14:paraId="45B97816" w14:textId="77777777" w:rsidTr="008D2090">
        <w:tc>
          <w:tcPr>
            <w:tcW w:w="1415" w:type="pct"/>
          </w:tcPr>
          <w:p w14:paraId="0AEC6D47" w14:textId="77777777" w:rsidR="000803DE" w:rsidRPr="00331F4B" w:rsidRDefault="000803DE" w:rsidP="002262E0">
            <w:pPr>
              <w:autoSpaceDE w:val="0"/>
              <w:autoSpaceDN w:val="0"/>
              <w:adjustRightInd w:val="0"/>
              <w:spacing w:line="360" w:lineRule="exact"/>
              <w:jc w:val="center"/>
            </w:pPr>
            <w:r w:rsidRPr="00331F4B">
              <w:rPr>
                <w:bCs/>
              </w:rPr>
              <w:t>Forestry and Paper</w:t>
            </w:r>
          </w:p>
        </w:tc>
        <w:tc>
          <w:tcPr>
            <w:tcW w:w="896" w:type="pct"/>
          </w:tcPr>
          <w:p w14:paraId="2B290566" w14:textId="77777777" w:rsidR="000803DE" w:rsidRPr="00331F4B" w:rsidRDefault="000803DE" w:rsidP="00B95A3A">
            <w:pPr>
              <w:autoSpaceDE w:val="0"/>
              <w:autoSpaceDN w:val="0"/>
              <w:adjustRightInd w:val="0"/>
              <w:spacing w:line="360" w:lineRule="exact"/>
              <w:jc w:val="center"/>
            </w:pPr>
            <w:r w:rsidRPr="00331F4B">
              <w:t>44</w:t>
            </w:r>
          </w:p>
        </w:tc>
        <w:tc>
          <w:tcPr>
            <w:tcW w:w="897" w:type="pct"/>
          </w:tcPr>
          <w:p w14:paraId="5FC0F444" w14:textId="77777777" w:rsidR="000803DE" w:rsidRPr="00331F4B" w:rsidRDefault="000803DE" w:rsidP="00B95A3A">
            <w:pPr>
              <w:autoSpaceDE w:val="0"/>
              <w:autoSpaceDN w:val="0"/>
              <w:adjustRightInd w:val="0"/>
              <w:spacing w:line="360" w:lineRule="exact"/>
              <w:jc w:val="center"/>
            </w:pPr>
            <w:r w:rsidRPr="00331F4B">
              <w:t>22</w:t>
            </w:r>
          </w:p>
        </w:tc>
        <w:tc>
          <w:tcPr>
            <w:tcW w:w="1033" w:type="pct"/>
          </w:tcPr>
          <w:p w14:paraId="0867C938" w14:textId="77777777" w:rsidR="000803DE" w:rsidRPr="00331F4B" w:rsidRDefault="000803DE" w:rsidP="00B95A3A">
            <w:pPr>
              <w:autoSpaceDE w:val="0"/>
              <w:autoSpaceDN w:val="0"/>
              <w:adjustRightInd w:val="0"/>
              <w:spacing w:line="360" w:lineRule="exact"/>
              <w:jc w:val="center"/>
            </w:pPr>
            <w:r w:rsidRPr="00331F4B">
              <w:t>22</w:t>
            </w:r>
          </w:p>
        </w:tc>
        <w:tc>
          <w:tcPr>
            <w:tcW w:w="759" w:type="pct"/>
          </w:tcPr>
          <w:p w14:paraId="109F2E22" w14:textId="77777777" w:rsidR="000803DE" w:rsidRPr="00331F4B" w:rsidRDefault="000803DE" w:rsidP="00B95A3A">
            <w:pPr>
              <w:autoSpaceDE w:val="0"/>
              <w:autoSpaceDN w:val="0"/>
              <w:adjustRightInd w:val="0"/>
              <w:spacing w:line="360" w:lineRule="exact"/>
              <w:jc w:val="center"/>
            </w:pPr>
            <w:r w:rsidRPr="00331F4B">
              <w:t>14.10</w:t>
            </w:r>
          </w:p>
        </w:tc>
      </w:tr>
      <w:tr w:rsidR="000803DE" w:rsidRPr="00331F4B" w14:paraId="1A53B213" w14:textId="77777777" w:rsidTr="008D2090">
        <w:tc>
          <w:tcPr>
            <w:tcW w:w="1415" w:type="pct"/>
          </w:tcPr>
          <w:p w14:paraId="7740C47F" w14:textId="460996AE" w:rsidR="000803DE" w:rsidRPr="00331F4B" w:rsidRDefault="000803DE" w:rsidP="002262E0">
            <w:pPr>
              <w:autoSpaceDE w:val="0"/>
              <w:autoSpaceDN w:val="0"/>
              <w:adjustRightInd w:val="0"/>
              <w:spacing w:line="360" w:lineRule="exact"/>
              <w:jc w:val="center"/>
            </w:pPr>
            <w:r w:rsidRPr="00331F4B">
              <w:rPr>
                <w:bCs/>
              </w:rPr>
              <w:t>Industrial Transport</w:t>
            </w:r>
          </w:p>
        </w:tc>
        <w:tc>
          <w:tcPr>
            <w:tcW w:w="896" w:type="pct"/>
          </w:tcPr>
          <w:p w14:paraId="0ABF3A8B" w14:textId="77777777" w:rsidR="000803DE" w:rsidRPr="00331F4B" w:rsidRDefault="000803DE" w:rsidP="00B95A3A">
            <w:pPr>
              <w:autoSpaceDE w:val="0"/>
              <w:autoSpaceDN w:val="0"/>
              <w:adjustRightInd w:val="0"/>
              <w:spacing w:line="360" w:lineRule="exact"/>
              <w:jc w:val="center"/>
            </w:pPr>
            <w:r w:rsidRPr="00331F4B">
              <w:t>38</w:t>
            </w:r>
          </w:p>
        </w:tc>
        <w:tc>
          <w:tcPr>
            <w:tcW w:w="897" w:type="pct"/>
          </w:tcPr>
          <w:p w14:paraId="6535AA74" w14:textId="77777777" w:rsidR="000803DE" w:rsidRPr="00331F4B" w:rsidRDefault="000803DE" w:rsidP="00B95A3A">
            <w:pPr>
              <w:autoSpaceDE w:val="0"/>
              <w:autoSpaceDN w:val="0"/>
              <w:adjustRightInd w:val="0"/>
              <w:spacing w:line="360" w:lineRule="exact"/>
              <w:jc w:val="center"/>
            </w:pPr>
            <w:r w:rsidRPr="00331F4B">
              <w:t>19</w:t>
            </w:r>
          </w:p>
        </w:tc>
        <w:tc>
          <w:tcPr>
            <w:tcW w:w="1033" w:type="pct"/>
          </w:tcPr>
          <w:p w14:paraId="56D91AAD" w14:textId="77777777" w:rsidR="000803DE" w:rsidRPr="00331F4B" w:rsidRDefault="000803DE" w:rsidP="00B95A3A">
            <w:pPr>
              <w:autoSpaceDE w:val="0"/>
              <w:autoSpaceDN w:val="0"/>
              <w:adjustRightInd w:val="0"/>
              <w:spacing w:line="360" w:lineRule="exact"/>
              <w:jc w:val="center"/>
            </w:pPr>
            <w:r w:rsidRPr="00331F4B">
              <w:t>19</w:t>
            </w:r>
          </w:p>
        </w:tc>
        <w:tc>
          <w:tcPr>
            <w:tcW w:w="759" w:type="pct"/>
          </w:tcPr>
          <w:p w14:paraId="61E14652" w14:textId="77777777" w:rsidR="000803DE" w:rsidRPr="00331F4B" w:rsidRDefault="000803DE" w:rsidP="00B95A3A">
            <w:pPr>
              <w:autoSpaceDE w:val="0"/>
              <w:autoSpaceDN w:val="0"/>
              <w:adjustRightInd w:val="0"/>
              <w:spacing w:line="360" w:lineRule="exact"/>
              <w:jc w:val="center"/>
            </w:pPr>
            <w:r w:rsidRPr="00331F4B">
              <w:t>43.48</w:t>
            </w:r>
          </w:p>
        </w:tc>
      </w:tr>
      <w:tr w:rsidR="000803DE" w:rsidRPr="00331F4B" w14:paraId="470D13D9" w14:textId="77777777" w:rsidTr="008D2090">
        <w:tc>
          <w:tcPr>
            <w:tcW w:w="1415" w:type="pct"/>
          </w:tcPr>
          <w:p w14:paraId="17E3472A" w14:textId="77777777" w:rsidR="000803DE" w:rsidRPr="00331F4B" w:rsidRDefault="000803DE" w:rsidP="002262E0">
            <w:pPr>
              <w:autoSpaceDE w:val="0"/>
              <w:autoSpaceDN w:val="0"/>
              <w:adjustRightInd w:val="0"/>
              <w:spacing w:line="360" w:lineRule="exact"/>
              <w:jc w:val="center"/>
            </w:pPr>
            <w:r w:rsidRPr="00331F4B">
              <w:rPr>
                <w:bCs/>
              </w:rPr>
              <w:t>Other</w:t>
            </w:r>
          </w:p>
        </w:tc>
        <w:tc>
          <w:tcPr>
            <w:tcW w:w="896" w:type="pct"/>
          </w:tcPr>
          <w:p w14:paraId="052DDBF2" w14:textId="77777777" w:rsidR="000803DE" w:rsidRPr="00331F4B" w:rsidRDefault="000803DE" w:rsidP="00B95A3A">
            <w:pPr>
              <w:autoSpaceDE w:val="0"/>
              <w:autoSpaceDN w:val="0"/>
              <w:adjustRightInd w:val="0"/>
              <w:spacing w:line="360" w:lineRule="exact"/>
              <w:jc w:val="center"/>
            </w:pPr>
            <w:r w:rsidRPr="00331F4B">
              <w:t>30</w:t>
            </w:r>
          </w:p>
        </w:tc>
        <w:tc>
          <w:tcPr>
            <w:tcW w:w="897" w:type="pct"/>
          </w:tcPr>
          <w:p w14:paraId="4B5B838B" w14:textId="77777777" w:rsidR="000803DE" w:rsidRPr="00331F4B" w:rsidRDefault="000803DE" w:rsidP="00B95A3A">
            <w:pPr>
              <w:autoSpaceDE w:val="0"/>
              <w:autoSpaceDN w:val="0"/>
              <w:adjustRightInd w:val="0"/>
              <w:spacing w:line="360" w:lineRule="exact"/>
              <w:jc w:val="center"/>
            </w:pPr>
            <w:r w:rsidRPr="00331F4B">
              <w:t>15</w:t>
            </w:r>
          </w:p>
        </w:tc>
        <w:tc>
          <w:tcPr>
            <w:tcW w:w="1033" w:type="pct"/>
          </w:tcPr>
          <w:p w14:paraId="10D240EB" w14:textId="77777777" w:rsidR="000803DE" w:rsidRPr="00331F4B" w:rsidRDefault="000803DE" w:rsidP="00B95A3A">
            <w:pPr>
              <w:autoSpaceDE w:val="0"/>
              <w:autoSpaceDN w:val="0"/>
              <w:adjustRightInd w:val="0"/>
              <w:spacing w:line="360" w:lineRule="exact"/>
              <w:jc w:val="center"/>
            </w:pPr>
            <w:r w:rsidRPr="00331F4B">
              <w:t>15</w:t>
            </w:r>
          </w:p>
        </w:tc>
        <w:tc>
          <w:tcPr>
            <w:tcW w:w="759" w:type="pct"/>
          </w:tcPr>
          <w:p w14:paraId="6D112D8B" w14:textId="77777777" w:rsidR="000803DE" w:rsidRPr="00331F4B" w:rsidRDefault="000803DE" w:rsidP="00B95A3A">
            <w:pPr>
              <w:autoSpaceDE w:val="0"/>
              <w:autoSpaceDN w:val="0"/>
              <w:adjustRightInd w:val="0"/>
              <w:spacing w:line="360" w:lineRule="exact"/>
              <w:jc w:val="center"/>
            </w:pPr>
            <w:r w:rsidRPr="00331F4B">
              <w:t>12.18</w:t>
            </w:r>
          </w:p>
        </w:tc>
      </w:tr>
      <w:tr w:rsidR="000803DE" w:rsidRPr="00331F4B" w14:paraId="65127F40" w14:textId="77777777" w:rsidTr="008D2090">
        <w:tc>
          <w:tcPr>
            <w:tcW w:w="1415" w:type="pct"/>
          </w:tcPr>
          <w:p w14:paraId="5BBF4A77" w14:textId="77777777" w:rsidR="000803DE" w:rsidRPr="00331F4B" w:rsidRDefault="000803DE" w:rsidP="002262E0">
            <w:pPr>
              <w:autoSpaceDE w:val="0"/>
              <w:autoSpaceDN w:val="0"/>
              <w:adjustRightInd w:val="0"/>
              <w:spacing w:line="360" w:lineRule="exact"/>
              <w:jc w:val="center"/>
            </w:pPr>
            <w:r w:rsidRPr="00331F4B">
              <w:t>Grand Total</w:t>
            </w:r>
          </w:p>
        </w:tc>
        <w:tc>
          <w:tcPr>
            <w:tcW w:w="896" w:type="pct"/>
          </w:tcPr>
          <w:p w14:paraId="5498A0E1" w14:textId="77777777" w:rsidR="000803DE" w:rsidRPr="00331F4B" w:rsidRDefault="000803DE" w:rsidP="00B95A3A">
            <w:pPr>
              <w:autoSpaceDE w:val="0"/>
              <w:autoSpaceDN w:val="0"/>
              <w:adjustRightInd w:val="0"/>
              <w:spacing w:line="360" w:lineRule="exact"/>
              <w:jc w:val="center"/>
            </w:pPr>
            <w:r w:rsidRPr="00331F4B">
              <w:t>312</w:t>
            </w:r>
          </w:p>
        </w:tc>
        <w:tc>
          <w:tcPr>
            <w:tcW w:w="897" w:type="pct"/>
          </w:tcPr>
          <w:p w14:paraId="7E60B5EB" w14:textId="77777777" w:rsidR="000803DE" w:rsidRPr="00331F4B" w:rsidRDefault="000803DE" w:rsidP="00B95A3A">
            <w:pPr>
              <w:autoSpaceDE w:val="0"/>
              <w:autoSpaceDN w:val="0"/>
              <w:adjustRightInd w:val="0"/>
              <w:spacing w:line="360" w:lineRule="exact"/>
              <w:jc w:val="center"/>
            </w:pPr>
            <w:r w:rsidRPr="00331F4B">
              <w:t>156</w:t>
            </w:r>
          </w:p>
        </w:tc>
        <w:tc>
          <w:tcPr>
            <w:tcW w:w="1033" w:type="pct"/>
          </w:tcPr>
          <w:p w14:paraId="5F3004EF" w14:textId="77777777" w:rsidR="000803DE" w:rsidRPr="00331F4B" w:rsidRDefault="000803DE" w:rsidP="00B95A3A">
            <w:pPr>
              <w:autoSpaceDE w:val="0"/>
              <w:autoSpaceDN w:val="0"/>
              <w:adjustRightInd w:val="0"/>
              <w:spacing w:line="360" w:lineRule="exact"/>
              <w:jc w:val="center"/>
            </w:pPr>
            <w:r w:rsidRPr="00331F4B">
              <w:t>156</w:t>
            </w:r>
          </w:p>
        </w:tc>
        <w:tc>
          <w:tcPr>
            <w:tcW w:w="759" w:type="pct"/>
          </w:tcPr>
          <w:p w14:paraId="503A3BBC" w14:textId="66267C29" w:rsidR="000803DE" w:rsidRPr="00331F4B" w:rsidRDefault="000803DE" w:rsidP="00396D33">
            <w:pPr>
              <w:autoSpaceDE w:val="0"/>
              <w:autoSpaceDN w:val="0"/>
              <w:adjustRightInd w:val="0"/>
              <w:spacing w:line="360" w:lineRule="exact"/>
              <w:ind w:left="-108"/>
              <w:jc w:val="center"/>
            </w:pPr>
            <w:r w:rsidRPr="00331F4B">
              <w:t>100.0</w:t>
            </w:r>
            <w:r w:rsidR="00396D33" w:rsidRPr="00331F4B">
              <w:t>0</w:t>
            </w:r>
          </w:p>
        </w:tc>
      </w:tr>
    </w:tbl>
    <w:p w14:paraId="3FD88330" w14:textId="750064FB" w:rsidR="00C342A3" w:rsidRPr="00F40242" w:rsidRDefault="00C342A3" w:rsidP="0011086F">
      <w:pPr>
        <w:pStyle w:val="Style2"/>
        <w:spacing w:after="0" w:line="360" w:lineRule="exact"/>
        <w:jc w:val="both"/>
        <w:rPr>
          <w:rFonts w:ascii="Times New Roman" w:hAnsi="Times New Roman"/>
          <w:sz w:val="26"/>
          <w:szCs w:val="24"/>
        </w:rPr>
      </w:pPr>
    </w:p>
    <w:p w14:paraId="5CB1760E" w14:textId="5AEDB148" w:rsidR="003A0EFA" w:rsidRPr="006B1EBC" w:rsidRDefault="00363603" w:rsidP="00050AB9">
      <w:pPr>
        <w:jc w:val="both"/>
        <w:rPr>
          <w:b/>
          <w:sz w:val="26"/>
        </w:rPr>
      </w:pPr>
      <w:r w:rsidRPr="006B1EBC">
        <w:rPr>
          <w:b/>
          <w:sz w:val="26"/>
        </w:rPr>
        <w:t xml:space="preserve">Content </w:t>
      </w:r>
      <w:r w:rsidR="006B1EBC" w:rsidRPr="006B1EBC">
        <w:rPr>
          <w:b/>
          <w:sz w:val="26"/>
        </w:rPr>
        <w:t xml:space="preserve">Analysis </w:t>
      </w:r>
      <w:r w:rsidR="006B1EBC">
        <w:rPr>
          <w:b/>
          <w:sz w:val="26"/>
        </w:rPr>
        <w:t>o</w:t>
      </w:r>
      <w:r w:rsidR="006B1EBC" w:rsidRPr="006B1EBC">
        <w:rPr>
          <w:b/>
          <w:sz w:val="26"/>
        </w:rPr>
        <w:t>f Annual Reports</w:t>
      </w:r>
    </w:p>
    <w:p w14:paraId="755A2031" w14:textId="2D124D9C" w:rsidR="00635AAD" w:rsidRPr="00F40242" w:rsidRDefault="00753636" w:rsidP="006B1EBC">
      <w:pPr>
        <w:spacing w:line="360" w:lineRule="exact"/>
        <w:ind w:firstLineChars="200" w:firstLine="520"/>
        <w:jc w:val="both"/>
        <w:rPr>
          <w:sz w:val="26"/>
        </w:rPr>
      </w:pPr>
      <w:r w:rsidRPr="00F40242">
        <w:rPr>
          <w:noProof/>
          <w:sz w:val="26"/>
        </w:rPr>
        <w:t>To examine the level and magnitude of the disclosure</w:t>
      </w:r>
      <w:r w:rsidR="00CD711D" w:rsidRPr="00F40242">
        <w:rPr>
          <w:noProof/>
          <w:sz w:val="26"/>
        </w:rPr>
        <w:t>,</w:t>
      </w:r>
      <w:r w:rsidRPr="00F40242">
        <w:rPr>
          <w:sz w:val="26"/>
        </w:rPr>
        <w:t xml:space="preserve"> t</w:t>
      </w:r>
      <w:r w:rsidR="003A0EFA" w:rsidRPr="00F40242">
        <w:rPr>
          <w:sz w:val="26"/>
        </w:rPr>
        <w:t>his study adopted</w:t>
      </w:r>
      <w:r w:rsidR="00CD36FE" w:rsidRPr="00F40242">
        <w:rPr>
          <w:sz w:val="26"/>
        </w:rPr>
        <w:t xml:space="preserve"> a</w:t>
      </w:r>
      <w:r w:rsidR="003A0EFA" w:rsidRPr="00F40242">
        <w:rPr>
          <w:sz w:val="26"/>
        </w:rPr>
        <w:t xml:space="preserve"> </w:t>
      </w:r>
      <w:r w:rsidR="003A0EFA" w:rsidRPr="00F40242">
        <w:rPr>
          <w:noProof/>
          <w:sz w:val="26"/>
        </w:rPr>
        <w:t>quantitative</w:t>
      </w:r>
      <w:r w:rsidR="003A0EFA" w:rsidRPr="00F40242">
        <w:rPr>
          <w:sz w:val="26"/>
        </w:rPr>
        <w:t xml:space="preserve"> approac</w:t>
      </w:r>
      <w:r w:rsidRPr="00F40242">
        <w:rPr>
          <w:sz w:val="26"/>
        </w:rPr>
        <w:t>h</w:t>
      </w:r>
      <w:r w:rsidR="00027D6D" w:rsidRPr="00F40242">
        <w:rPr>
          <w:sz w:val="26"/>
        </w:rPr>
        <w:t>, as has been used in</w:t>
      </w:r>
      <w:r w:rsidRPr="00F40242">
        <w:rPr>
          <w:sz w:val="26"/>
        </w:rPr>
        <w:t xml:space="preserve"> prior studies (</w:t>
      </w:r>
      <w:proofErr w:type="spellStart"/>
      <w:r w:rsidRPr="00F40242">
        <w:rPr>
          <w:sz w:val="26"/>
        </w:rPr>
        <w:t>Branco</w:t>
      </w:r>
      <w:proofErr w:type="spellEnd"/>
      <w:r w:rsidR="00027D6D" w:rsidRPr="00F40242">
        <w:rPr>
          <w:sz w:val="26"/>
        </w:rPr>
        <w:t xml:space="preserve"> </w:t>
      </w:r>
      <w:r w:rsidR="00EC7873" w:rsidRPr="00F40242">
        <w:rPr>
          <w:sz w:val="26"/>
        </w:rPr>
        <w:t>&amp;</w:t>
      </w:r>
      <w:r w:rsidR="00027D6D" w:rsidRPr="00F40242">
        <w:rPr>
          <w:sz w:val="26"/>
        </w:rPr>
        <w:t xml:space="preserve"> </w:t>
      </w:r>
      <w:r w:rsidRPr="00F40242">
        <w:rPr>
          <w:sz w:val="26"/>
        </w:rPr>
        <w:t>Rodrigues</w:t>
      </w:r>
      <w:r w:rsidR="003701F5" w:rsidRPr="00F40242">
        <w:rPr>
          <w:sz w:val="26"/>
        </w:rPr>
        <w:t>,</w:t>
      </w:r>
      <w:r w:rsidR="00027D6D" w:rsidRPr="00F40242">
        <w:rPr>
          <w:sz w:val="26"/>
        </w:rPr>
        <w:t xml:space="preserve"> </w:t>
      </w:r>
      <w:r w:rsidR="003701F5" w:rsidRPr="00F40242">
        <w:rPr>
          <w:sz w:val="26"/>
        </w:rPr>
        <w:t>2</w:t>
      </w:r>
      <w:r w:rsidRPr="00F40242">
        <w:rPr>
          <w:sz w:val="26"/>
        </w:rPr>
        <w:t xml:space="preserve">008; </w:t>
      </w:r>
      <w:hyperlink r:id="rId10" w:history="1">
        <w:r w:rsidRPr="00F40242">
          <w:rPr>
            <w:rStyle w:val="ae"/>
            <w:rFonts w:eastAsia="Calibri"/>
            <w:bCs/>
            <w:sz w:val="26"/>
            <w:u w:val="none"/>
            <w:lang w:eastAsia="en-AU"/>
          </w:rPr>
          <w:t>Kansal</w:t>
        </w:r>
      </w:hyperlink>
      <w:r w:rsidRPr="00F40242">
        <w:rPr>
          <w:rStyle w:val="ae"/>
          <w:rFonts w:eastAsia="Calibri"/>
          <w:bCs/>
          <w:sz w:val="26"/>
          <w:u w:val="none"/>
          <w:lang w:eastAsia="en-AU"/>
        </w:rPr>
        <w:t xml:space="preserve"> et </w:t>
      </w:r>
      <w:r w:rsidRPr="00F40242">
        <w:rPr>
          <w:rStyle w:val="ae"/>
          <w:rFonts w:eastAsia="Calibri"/>
          <w:bCs/>
          <w:noProof/>
          <w:sz w:val="26"/>
          <w:u w:val="none"/>
          <w:lang w:eastAsia="en-AU"/>
        </w:rPr>
        <w:t>al</w:t>
      </w:r>
      <w:r w:rsidR="00CD711D" w:rsidRPr="00F40242">
        <w:rPr>
          <w:rStyle w:val="ae"/>
          <w:rFonts w:eastAsia="Calibri"/>
          <w:bCs/>
          <w:noProof/>
          <w:sz w:val="26"/>
          <w:u w:val="none"/>
          <w:lang w:eastAsia="en-AU"/>
        </w:rPr>
        <w:t>.</w:t>
      </w:r>
      <w:r w:rsidR="003701F5" w:rsidRPr="00F40242">
        <w:rPr>
          <w:rStyle w:val="ae"/>
          <w:rFonts w:eastAsia="Calibri"/>
          <w:bCs/>
          <w:sz w:val="26"/>
          <w:u w:val="none"/>
          <w:lang w:eastAsia="en-AU"/>
        </w:rPr>
        <w:t>,</w:t>
      </w:r>
      <w:r w:rsidR="00027D6D" w:rsidRPr="00F40242">
        <w:rPr>
          <w:rStyle w:val="ae"/>
          <w:rFonts w:eastAsia="Calibri"/>
          <w:bCs/>
          <w:sz w:val="26"/>
          <w:u w:val="none"/>
          <w:lang w:eastAsia="en-AU"/>
        </w:rPr>
        <w:t xml:space="preserve"> </w:t>
      </w:r>
      <w:r w:rsidR="003701F5" w:rsidRPr="00F40242">
        <w:rPr>
          <w:rStyle w:val="ae"/>
          <w:rFonts w:eastAsia="Calibri"/>
          <w:bCs/>
          <w:sz w:val="26"/>
          <w:u w:val="none"/>
          <w:lang w:eastAsia="en-AU"/>
        </w:rPr>
        <w:t>2</w:t>
      </w:r>
      <w:r w:rsidRPr="00F40242">
        <w:rPr>
          <w:rFonts w:eastAsia="Calibri"/>
          <w:bCs/>
          <w:sz w:val="26"/>
          <w:lang w:eastAsia="en-AU"/>
        </w:rPr>
        <w:t xml:space="preserve">014; </w:t>
      </w:r>
      <w:proofErr w:type="spellStart"/>
      <w:r w:rsidRPr="00F40242">
        <w:rPr>
          <w:sz w:val="26"/>
        </w:rPr>
        <w:t>Mahadeo</w:t>
      </w:r>
      <w:proofErr w:type="spellEnd"/>
      <w:r w:rsidRPr="00F40242">
        <w:rPr>
          <w:sz w:val="26"/>
        </w:rPr>
        <w:t xml:space="preserve"> et al.</w:t>
      </w:r>
      <w:r w:rsidR="003701F5" w:rsidRPr="00F40242">
        <w:rPr>
          <w:sz w:val="26"/>
        </w:rPr>
        <w:t>,</w:t>
      </w:r>
      <w:r w:rsidR="00027D6D" w:rsidRPr="00F40242">
        <w:rPr>
          <w:sz w:val="26"/>
        </w:rPr>
        <w:t xml:space="preserve"> </w:t>
      </w:r>
      <w:r w:rsidR="003701F5" w:rsidRPr="00F40242">
        <w:rPr>
          <w:sz w:val="26"/>
        </w:rPr>
        <w:t>2</w:t>
      </w:r>
      <w:r w:rsidRPr="00F40242">
        <w:rPr>
          <w:sz w:val="26"/>
        </w:rPr>
        <w:t>011)</w:t>
      </w:r>
      <w:r w:rsidR="003A0EFA" w:rsidRPr="00F40242">
        <w:rPr>
          <w:sz w:val="26"/>
        </w:rPr>
        <w:t xml:space="preserve">. </w:t>
      </w:r>
      <w:r w:rsidR="00CD711D" w:rsidRPr="00F40242">
        <w:rPr>
          <w:noProof/>
          <w:sz w:val="26"/>
        </w:rPr>
        <w:t>The q</w:t>
      </w:r>
      <w:r w:rsidRPr="00F40242">
        <w:rPr>
          <w:noProof/>
          <w:sz w:val="26"/>
        </w:rPr>
        <w:t>uantitative</w:t>
      </w:r>
      <w:r w:rsidRPr="00F40242">
        <w:rPr>
          <w:sz w:val="26"/>
        </w:rPr>
        <w:t xml:space="preserve"> approach may penalise some companies by assigning </w:t>
      </w:r>
      <w:r w:rsidR="00027D6D" w:rsidRPr="00F40242">
        <w:rPr>
          <w:sz w:val="26"/>
        </w:rPr>
        <w:t xml:space="preserve">a </w:t>
      </w:r>
      <w:r w:rsidRPr="00F40242">
        <w:rPr>
          <w:sz w:val="26"/>
        </w:rPr>
        <w:t>z</w:t>
      </w:r>
      <w:r w:rsidR="00387653" w:rsidRPr="00F40242">
        <w:rPr>
          <w:sz w:val="26"/>
        </w:rPr>
        <w:t>e</w:t>
      </w:r>
      <w:r w:rsidRPr="00F40242">
        <w:rPr>
          <w:sz w:val="26"/>
        </w:rPr>
        <w:t>r</w:t>
      </w:r>
      <w:r w:rsidR="00387653" w:rsidRPr="00F40242">
        <w:rPr>
          <w:sz w:val="26"/>
        </w:rPr>
        <w:t>o</w:t>
      </w:r>
      <w:r w:rsidRPr="00F40242">
        <w:rPr>
          <w:sz w:val="26"/>
        </w:rPr>
        <w:t xml:space="preserve"> score </w:t>
      </w:r>
      <w:r w:rsidR="00DD2646" w:rsidRPr="00F40242">
        <w:rPr>
          <w:sz w:val="26"/>
        </w:rPr>
        <w:t>even though</w:t>
      </w:r>
      <w:r w:rsidR="00A84FFE" w:rsidRPr="00F40242">
        <w:rPr>
          <w:sz w:val="26"/>
        </w:rPr>
        <w:t xml:space="preserve"> </w:t>
      </w:r>
      <w:r w:rsidR="00DD2646" w:rsidRPr="00F40242">
        <w:rPr>
          <w:sz w:val="26"/>
        </w:rPr>
        <w:t xml:space="preserve">that group of companies is not required to report </w:t>
      </w:r>
      <w:r w:rsidR="00027D6D" w:rsidRPr="00F40242">
        <w:rPr>
          <w:sz w:val="26"/>
        </w:rPr>
        <w:t xml:space="preserve">a given </w:t>
      </w:r>
      <w:r w:rsidR="00DD2646" w:rsidRPr="00F40242">
        <w:rPr>
          <w:sz w:val="26"/>
        </w:rPr>
        <w:t>element</w:t>
      </w:r>
      <w:r w:rsidR="00027D6D" w:rsidRPr="00F40242">
        <w:rPr>
          <w:sz w:val="26"/>
        </w:rPr>
        <w:t>,</w:t>
      </w:r>
      <w:r w:rsidR="00DD2646" w:rsidRPr="00F40242">
        <w:rPr>
          <w:sz w:val="26"/>
        </w:rPr>
        <w:t xml:space="preserve"> as it is not related to the nature of their operation</w:t>
      </w:r>
      <w:r w:rsidR="00027D6D" w:rsidRPr="00F40242">
        <w:rPr>
          <w:sz w:val="26"/>
        </w:rPr>
        <w:t>s</w:t>
      </w:r>
      <w:r w:rsidR="00DD2646" w:rsidRPr="00F40242">
        <w:rPr>
          <w:sz w:val="26"/>
        </w:rPr>
        <w:t xml:space="preserve">. </w:t>
      </w:r>
      <w:r w:rsidR="00A84FFE" w:rsidRPr="00F40242">
        <w:rPr>
          <w:noProof/>
          <w:sz w:val="26"/>
        </w:rPr>
        <w:t>To mitigate this problem</w:t>
      </w:r>
      <w:r w:rsidR="00CD711D" w:rsidRPr="00F40242">
        <w:rPr>
          <w:noProof/>
          <w:sz w:val="26"/>
        </w:rPr>
        <w:t>,</w:t>
      </w:r>
      <w:r w:rsidR="00A84FFE" w:rsidRPr="00F40242">
        <w:rPr>
          <w:sz w:val="26"/>
        </w:rPr>
        <w:t xml:space="preserve"> the whole annual report</w:t>
      </w:r>
      <w:r w:rsidR="00D346B3" w:rsidRPr="00F40242">
        <w:rPr>
          <w:sz w:val="26"/>
        </w:rPr>
        <w:t xml:space="preserve"> was read first to understand</w:t>
      </w:r>
      <w:r w:rsidR="00387653" w:rsidRPr="00F40242">
        <w:rPr>
          <w:sz w:val="26"/>
        </w:rPr>
        <w:t xml:space="preserve"> each </w:t>
      </w:r>
      <w:r w:rsidR="00DD2646" w:rsidRPr="00F40242">
        <w:rPr>
          <w:sz w:val="26"/>
        </w:rPr>
        <w:t>company’s</w:t>
      </w:r>
      <w:r w:rsidR="00387653" w:rsidRPr="00F40242">
        <w:rPr>
          <w:sz w:val="26"/>
        </w:rPr>
        <w:t xml:space="preserve"> operational nature</w:t>
      </w:r>
      <w:r w:rsidR="00027D6D" w:rsidRPr="00F40242">
        <w:rPr>
          <w:sz w:val="26"/>
        </w:rPr>
        <w:t>,</w:t>
      </w:r>
      <w:r w:rsidR="00387653" w:rsidRPr="00F40242">
        <w:rPr>
          <w:sz w:val="26"/>
        </w:rPr>
        <w:t xml:space="preserve"> and </w:t>
      </w:r>
      <w:r w:rsidR="00DD2646" w:rsidRPr="00F40242">
        <w:rPr>
          <w:sz w:val="26"/>
        </w:rPr>
        <w:t>then</w:t>
      </w:r>
      <w:r w:rsidR="00027D6D" w:rsidRPr="00F40242">
        <w:rPr>
          <w:sz w:val="26"/>
        </w:rPr>
        <w:t xml:space="preserve"> it was determined</w:t>
      </w:r>
      <w:r w:rsidR="00DD2646" w:rsidRPr="00F40242">
        <w:rPr>
          <w:sz w:val="26"/>
        </w:rPr>
        <w:t xml:space="preserve"> </w:t>
      </w:r>
      <w:r w:rsidR="00387653" w:rsidRPr="00F40242">
        <w:rPr>
          <w:sz w:val="26"/>
        </w:rPr>
        <w:t xml:space="preserve">whether </w:t>
      </w:r>
      <w:r w:rsidR="00027D6D" w:rsidRPr="00F40242">
        <w:rPr>
          <w:sz w:val="26"/>
        </w:rPr>
        <w:t xml:space="preserve">or not </w:t>
      </w:r>
      <w:r w:rsidR="00387653" w:rsidRPr="00F40242">
        <w:rPr>
          <w:sz w:val="26"/>
        </w:rPr>
        <w:t>a particular item is necessary to disclose</w:t>
      </w:r>
      <w:r w:rsidR="00027D6D" w:rsidRPr="00F40242">
        <w:rPr>
          <w:sz w:val="26"/>
        </w:rPr>
        <w:t>,</w:t>
      </w:r>
      <w:r w:rsidR="00387653" w:rsidRPr="00F40242">
        <w:rPr>
          <w:sz w:val="26"/>
        </w:rPr>
        <w:t xml:space="preserve"> as suggested by prior studies</w:t>
      </w:r>
      <w:r w:rsidR="00D85F35" w:rsidRPr="00F40242">
        <w:rPr>
          <w:sz w:val="26"/>
        </w:rPr>
        <w:t xml:space="preserve"> (Al-</w:t>
      </w:r>
      <w:proofErr w:type="spellStart"/>
      <w:r w:rsidR="00D85F35" w:rsidRPr="00F40242">
        <w:rPr>
          <w:sz w:val="26"/>
        </w:rPr>
        <w:t>Akra</w:t>
      </w:r>
      <w:proofErr w:type="spellEnd"/>
      <w:r w:rsidR="00D85F35" w:rsidRPr="00F40242">
        <w:rPr>
          <w:sz w:val="26"/>
        </w:rPr>
        <w:t xml:space="preserve"> et al.</w:t>
      </w:r>
      <w:r w:rsidR="003701F5" w:rsidRPr="00F40242">
        <w:rPr>
          <w:sz w:val="26"/>
        </w:rPr>
        <w:t>,</w:t>
      </w:r>
      <w:r w:rsidR="00027D6D" w:rsidRPr="00F40242">
        <w:rPr>
          <w:sz w:val="26"/>
        </w:rPr>
        <w:t xml:space="preserve"> </w:t>
      </w:r>
      <w:r w:rsidR="003701F5" w:rsidRPr="00F40242">
        <w:rPr>
          <w:sz w:val="26"/>
        </w:rPr>
        <w:t>2</w:t>
      </w:r>
      <w:r w:rsidR="00D85F35" w:rsidRPr="00F40242">
        <w:rPr>
          <w:sz w:val="26"/>
        </w:rPr>
        <w:t>010; Cooke, 1989). Three disclosure indexes (social</w:t>
      </w:r>
      <w:r w:rsidR="00027D6D" w:rsidRPr="00F40242">
        <w:rPr>
          <w:sz w:val="26"/>
        </w:rPr>
        <w:t>, e</w:t>
      </w:r>
      <w:r w:rsidR="00D85F35" w:rsidRPr="00F40242">
        <w:rPr>
          <w:sz w:val="26"/>
        </w:rPr>
        <w:t>nvironmental</w:t>
      </w:r>
      <w:r w:rsidR="00027D6D" w:rsidRPr="00F40242">
        <w:rPr>
          <w:sz w:val="26"/>
        </w:rPr>
        <w:t>,</w:t>
      </w:r>
      <w:r w:rsidR="00D85F35" w:rsidRPr="00F40242">
        <w:rPr>
          <w:sz w:val="26"/>
        </w:rPr>
        <w:t xml:space="preserve"> and combined social and </w:t>
      </w:r>
      <w:r w:rsidR="00D85F35" w:rsidRPr="00F40242">
        <w:rPr>
          <w:sz w:val="26"/>
        </w:rPr>
        <w:lastRenderedPageBreak/>
        <w:t>environmental) were constructed for each company.</w:t>
      </w:r>
      <w:r w:rsidR="008D180A" w:rsidRPr="00F40242">
        <w:rPr>
          <w:sz w:val="26"/>
        </w:rPr>
        <w:t xml:space="preserve"> </w:t>
      </w:r>
      <w:r w:rsidR="003A0EFA" w:rsidRPr="00F40242">
        <w:rPr>
          <w:sz w:val="26"/>
        </w:rPr>
        <w:t xml:space="preserve">Table 2 provides </w:t>
      </w:r>
      <w:r w:rsidR="00027D6D" w:rsidRPr="00F40242">
        <w:rPr>
          <w:sz w:val="26"/>
        </w:rPr>
        <w:t xml:space="preserve">the </w:t>
      </w:r>
      <w:r w:rsidR="003A0EFA" w:rsidRPr="00F40242">
        <w:rPr>
          <w:sz w:val="26"/>
        </w:rPr>
        <w:t xml:space="preserve">distribution of </w:t>
      </w:r>
      <w:r w:rsidR="00027D6D" w:rsidRPr="00F40242">
        <w:rPr>
          <w:sz w:val="26"/>
        </w:rPr>
        <w:t xml:space="preserve">the </w:t>
      </w:r>
      <w:r w:rsidR="003A0EFA" w:rsidRPr="00F40242">
        <w:rPr>
          <w:sz w:val="26"/>
        </w:rPr>
        <w:t xml:space="preserve">total </w:t>
      </w:r>
      <w:r w:rsidR="00635AAD" w:rsidRPr="00F40242">
        <w:rPr>
          <w:sz w:val="26"/>
        </w:rPr>
        <w:t>disclosure</w:t>
      </w:r>
      <w:r w:rsidR="003A0EFA" w:rsidRPr="00F40242">
        <w:rPr>
          <w:sz w:val="26"/>
        </w:rPr>
        <w:t xml:space="preserve"> scores.</w:t>
      </w:r>
      <w:r w:rsidR="00F2372A" w:rsidRPr="00F40242">
        <w:rPr>
          <w:sz w:val="26"/>
        </w:rPr>
        <w:t xml:space="preserve"> </w:t>
      </w:r>
      <w:r w:rsidR="006A1AED" w:rsidRPr="00F40242">
        <w:rPr>
          <w:sz w:val="26"/>
        </w:rPr>
        <w:t xml:space="preserve">We selected </w:t>
      </w:r>
      <w:r w:rsidR="00027D6D" w:rsidRPr="00F40242">
        <w:rPr>
          <w:sz w:val="26"/>
        </w:rPr>
        <w:t>the 35</w:t>
      </w:r>
      <w:r w:rsidR="006A1AED" w:rsidRPr="00F40242">
        <w:rPr>
          <w:sz w:val="26"/>
        </w:rPr>
        <w:t xml:space="preserve"> most commonly employed items and used </w:t>
      </w:r>
      <w:r w:rsidR="00027D6D" w:rsidRPr="00F40242">
        <w:rPr>
          <w:sz w:val="26"/>
        </w:rPr>
        <w:t xml:space="preserve">them </w:t>
      </w:r>
      <w:r w:rsidR="006A1AED" w:rsidRPr="00F40242">
        <w:rPr>
          <w:sz w:val="26"/>
        </w:rPr>
        <w:t>to build the disclosure index, which proxies for the level of CSR disclosure.</w:t>
      </w:r>
      <w:r w:rsidR="006A1AED" w:rsidRPr="00F40242">
        <w:rPr>
          <w:rFonts w:ascii="Arial" w:hAnsi="Arial" w:cs="Arial"/>
          <w:sz w:val="26"/>
          <w:szCs w:val="20"/>
        </w:rPr>
        <w:t xml:space="preserve"> </w:t>
      </w:r>
      <w:r w:rsidR="008D180A" w:rsidRPr="00F40242">
        <w:rPr>
          <w:sz w:val="26"/>
        </w:rPr>
        <w:t xml:space="preserve">To </w:t>
      </w:r>
      <w:r w:rsidR="006A1AED" w:rsidRPr="00F40242">
        <w:rPr>
          <w:sz w:val="26"/>
        </w:rPr>
        <w:t>determine</w:t>
      </w:r>
      <w:r w:rsidR="008D180A" w:rsidRPr="00F40242">
        <w:rPr>
          <w:sz w:val="26"/>
        </w:rPr>
        <w:t xml:space="preserve"> the level of their disclosure</w:t>
      </w:r>
      <w:r w:rsidR="00027D6D" w:rsidRPr="00F40242">
        <w:rPr>
          <w:sz w:val="26"/>
        </w:rPr>
        <w:t>,</w:t>
      </w:r>
      <w:r w:rsidR="008D180A" w:rsidRPr="00F40242">
        <w:rPr>
          <w:sz w:val="26"/>
        </w:rPr>
        <w:t xml:space="preserve"> t</w:t>
      </w:r>
      <w:r w:rsidR="00635AAD" w:rsidRPr="00F40242">
        <w:rPr>
          <w:sz w:val="26"/>
        </w:rPr>
        <w:t>his checklist was applied to each company</w:t>
      </w:r>
      <w:r w:rsidR="008D180A" w:rsidRPr="00F40242">
        <w:rPr>
          <w:sz w:val="26"/>
        </w:rPr>
        <w:t>.</w:t>
      </w:r>
      <w:r w:rsidR="0066595E" w:rsidRPr="00F40242">
        <w:rPr>
          <w:sz w:val="26"/>
        </w:rPr>
        <w:t xml:space="preserve"> Disclosur</w:t>
      </w:r>
      <w:r w:rsidR="008D180A" w:rsidRPr="00F40242">
        <w:rPr>
          <w:sz w:val="26"/>
        </w:rPr>
        <w:t xml:space="preserve">e items were </w:t>
      </w:r>
      <w:r w:rsidR="0066595E" w:rsidRPr="00F40242">
        <w:rPr>
          <w:sz w:val="26"/>
        </w:rPr>
        <w:t>adopted mainly from the developing countries’ studies (e.g.</w:t>
      </w:r>
      <w:r w:rsidR="00027D6D" w:rsidRPr="00F40242">
        <w:rPr>
          <w:sz w:val="26"/>
        </w:rPr>
        <w:t>,</w:t>
      </w:r>
      <w:r w:rsidR="0066595E" w:rsidRPr="00F40242">
        <w:rPr>
          <w:sz w:val="26"/>
        </w:rPr>
        <w:t xml:space="preserve"> </w:t>
      </w:r>
      <w:r w:rsidR="00830932" w:rsidRPr="00F40242">
        <w:rPr>
          <w:sz w:val="26"/>
        </w:rPr>
        <w:t>Al-</w:t>
      </w:r>
      <w:proofErr w:type="spellStart"/>
      <w:r w:rsidR="00830932" w:rsidRPr="00F40242">
        <w:rPr>
          <w:sz w:val="26"/>
        </w:rPr>
        <w:t>Akra</w:t>
      </w:r>
      <w:proofErr w:type="spellEnd"/>
      <w:r w:rsidR="00830932" w:rsidRPr="00F40242">
        <w:rPr>
          <w:sz w:val="26"/>
        </w:rPr>
        <w:t xml:space="preserve"> et al., 2010</w:t>
      </w:r>
      <w:r w:rsidR="00830932">
        <w:rPr>
          <w:sz w:val="26"/>
        </w:rPr>
        <w:t xml:space="preserve">; </w:t>
      </w:r>
      <w:proofErr w:type="spellStart"/>
      <w:r w:rsidR="00830932" w:rsidRPr="00F40242">
        <w:rPr>
          <w:sz w:val="26"/>
        </w:rPr>
        <w:t>Barako</w:t>
      </w:r>
      <w:proofErr w:type="spellEnd"/>
      <w:r w:rsidR="00830932" w:rsidRPr="00F40242">
        <w:rPr>
          <w:sz w:val="26"/>
        </w:rPr>
        <w:t xml:space="preserve"> et al., 2006;</w:t>
      </w:r>
      <w:r w:rsidR="00830932">
        <w:rPr>
          <w:sz w:val="26"/>
        </w:rPr>
        <w:t xml:space="preserve"> </w:t>
      </w:r>
      <w:proofErr w:type="spellStart"/>
      <w:r w:rsidR="0066595E" w:rsidRPr="00F40242">
        <w:rPr>
          <w:sz w:val="26"/>
        </w:rPr>
        <w:t>Eng</w:t>
      </w:r>
      <w:proofErr w:type="spellEnd"/>
      <w:r w:rsidR="00027D6D" w:rsidRPr="00F40242">
        <w:rPr>
          <w:sz w:val="26"/>
        </w:rPr>
        <w:t xml:space="preserve"> </w:t>
      </w:r>
      <w:r w:rsidR="00EC7873" w:rsidRPr="00F40242">
        <w:rPr>
          <w:sz w:val="26"/>
        </w:rPr>
        <w:t>&amp;</w:t>
      </w:r>
      <w:r w:rsidR="00027D6D" w:rsidRPr="00F40242">
        <w:rPr>
          <w:sz w:val="26"/>
        </w:rPr>
        <w:t xml:space="preserve"> </w:t>
      </w:r>
      <w:r w:rsidR="0066595E" w:rsidRPr="00F40242">
        <w:rPr>
          <w:sz w:val="26"/>
        </w:rPr>
        <w:t>Mac</w:t>
      </w:r>
      <w:r w:rsidR="003701F5" w:rsidRPr="00F40242">
        <w:rPr>
          <w:sz w:val="26"/>
        </w:rPr>
        <w:t>,</w:t>
      </w:r>
      <w:r w:rsidR="00027D6D" w:rsidRPr="00F40242">
        <w:rPr>
          <w:sz w:val="26"/>
        </w:rPr>
        <w:t xml:space="preserve"> </w:t>
      </w:r>
      <w:r w:rsidR="003701F5" w:rsidRPr="00F40242">
        <w:rPr>
          <w:sz w:val="26"/>
        </w:rPr>
        <w:t>2</w:t>
      </w:r>
      <w:r w:rsidR="0066595E" w:rsidRPr="00F40242">
        <w:rPr>
          <w:sz w:val="26"/>
        </w:rPr>
        <w:t>003).</w:t>
      </w:r>
      <w:r w:rsidR="009240BC" w:rsidRPr="00F40242">
        <w:rPr>
          <w:sz w:val="26"/>
        </w:rPr>
        <w:t xml:space="preserve"> Information collected from annual reports </w:t>
      </w:r>
      <w:r w:rsidR="00027D6D" w:rsidRPr="00F40242">
        <w:rPr>
          <w:sz w:val="26"/>
        </w:rPr>
        <w:t>was</w:t>
      </w:r>
      <w:r w:rsidR="009240BC" w:rsidRPr="00F40242">
        <w:rPr>
          <w:sz w:val="26"/>
        </w:rPr>
        <w:t xml:space="preserve"> </w:t>
      </w:r>
      <w:r w:rsidR="008D180A" w:rsidRPr="00F40242">
        <w:rPr>
          <w:sz w:val="26"/>
        </w:rPr>
        <w:t xml:space="preserve">quantitatively </w:t>
      </w:r>
      <w:r w:rsidR="009240BC" w:rsidRPr="00F40242">
        <w:rPr>
          <w:sz w:val="26"/>
        </w:rPr>
        <w:t>coded</w:t>
      </w:r>
      <w:r w:rsidR="00027D6D" w:rsidRPr="00F40242">
        <w:rPr>
          <w:sz w:val="26"/>
        </w:rPr>
        <w:t>,</w:t>
      </w:r>
      <w:r w:rsidR="009240BC" w:rsidRPr="00F40242">
        <w:rPr>
          <w:sz w:val="26"/>
        </w:rPr>
        <w:t xml:space="preserve"> </w:t>
      </w:r>
      <w:r w:rsidR="00027D6D" w:rsidRPr="00F40242">
        <w:rPr>
          <w:sz w:val="26"/>
        </w:rPr>
        <w:t xml:space="preserve">assigning a </w:t>
      </w:r>
      <w:r w:rsidR="008D180A" w:rsidRPr="00F40242">
        <w:rPr>
          <w:sz w:val="26"/>
        </w:rPr>
        <w:t xml:space="preserve">value of zero, one </w:t>
      </w:r>
      <w:r w:rsidR="00027D6D" w:rsidRPr="00F40242">
        <w:rPr>
          <w:sz w:val="26"/>
        </w:rPr>
        <w:t>or two</w:t>
      </w:r>
      <w:r w:rsidR="006A1AED" w:rsidRPr="00F40242">
        <w:rPr>
          <w:sz w:val="26"/>
        </w:rPr>
        <w:t xml:space="preserve"> to code the information reported. Information was assigned a value of two if it involved the disclosure of figures and tables of a largely quantitative nature, </w:t>
      </w:r>
      <w:r w:rsidR="00027D6D" w:rsidRPr="00F40242">
        <w:rPr>
          <w:sz w:val="26"/>
        </w:rPr>
        <w:t>one</w:t>
      </w:r>
      <w:r w:rsidR="006A1AED" w:rsidRPr="00F40242">
        <w:rPr>
          <w:sz w:val="26"/>
        </w:rPr>
        <w:t xml:space="preserve"> if it disclosed more qualitative information (</w:t>
      </w:r>
      <w:r w:rsidR="00027D6D" w:rsidRPr="00F40242">
        <w:rPr>
          <w:sz w:val="26"/>
        </w:rPr>
        <w:t>e.g., by brief</w:t>
      </w:r>
      <w:r w:rsidR="006A1AED" w:rsidRPr="00F40242">
        <w:rPr>
          <w:sz w:val="26"/>
        </w:rPr>
        <w:t xml:space="preserve"> mention of a particular topic)</w:t>
      </w:r>
      <w:r w:rsidR="00027D6D" w:rsidRPr="00F40242">
        <w:rPr>
          <w:sz w:val="26"/>
        </w:rPr>
        <w:t>, or zero</w:t>
      </w:r>
      <w:r w:rsidR="006A1AED" w:rsidRPr="00F40242">
        <w:rPr>
          <w:sz w:val="26"/>
        </w:rPr>
        <w:t xml:space="preserve"> if no information was disclosed relating to the topic. </w:t>
      </w:r>
    </w:p>
    <w:p w14:paraId="2CB9E470" w14:textId="77777777" w:rsidR="006A1AED" w:rsidRPr="00F40242" w:rsidRDefault="006A1AED" w:rsidP="0011086F">
      <w:pPr>
        <w:spacing w:line="360" w:lineRule="exact"/>
        <w:jc w:val="both"/>
        <w:rPr>
          <w:sz w:val="26"/>
        </w:rPr>
      </w:pPr>
    </w:p>
    <w:p w14:paraId="072DB9F9" w14:textId="7140D149" w:rsidR="000803DE" w:rsidRPr="00B95A3A" w:rsidRDefault="004461D9" w:rsidP="00B95A3A">
      <w:pPr>
        <w:spacing w:line="360" w:lineRule="exact"/>
        <w:jc w:val="center"/>
        <w:rPr>
          <w:rFonts w:eastAsia="Calibri"/>
          <w:b/>
          <w:color w:val="000000"/>
          <w:sz w:val="26"/>
        </w:rPr>
      </w:pPr>
      <w:r w:rsidRPr="00B95A3A">
        <w:rPr>
          <w:rFonts w:eastAsia="Calibri"/>
          <w:b/>
          <w:color w:val="000000"/>
          <w:sz w:val="26"/>
        </w:rPr>
        <w:t xml:space="preserve">Table </w:t>
      </w:r>
      <w:proofErr w:type="gramStart"/>
      <w:r w:rsidRPr="00B95A3A">
        <w:rPr>
          <w:rFonts w:eastAsia="Calibri"/>
          <w:b/>
          <w:color w:val="000000"/>
          <w:sz w:val="26"/>
        </w:rPr>
        <w:t>2</w:t>
      </w:r>
      <w:r w:rsidR="00830932">
        <w:rPr>
          <w:rFonts w:eastAsia="Calibri"/>
          <w:b/>
          <w:color w:val="000000"/>
          <w:sz w:val="26"/>
        </w:rPr>
        <w:t xml:space="preserve"> </w:t>
      </w:r>
      <w:r w:rsidR="00B95A3A" w:rsidRPr="00B95A3A">
        <w:rPr>
          <w:rFonts w:eastAsiaTheme="minorEastAsia" w:hint="eastAsia"/>
          <w:b/>
          <w:color w:val="000000"/>
          <w:sz w:val="26"/>
          <w:lang w:eastAsia="zh-TW"/>
        </w:rPr>
        <w:t xml:space="preserve"> </w:t>
      </w:r>
      <w:r w:rsidRPr="00B95A3A">
        <w:rPr>
          <w:rFonts w:eastAsia="Calibri"/>
          <w:b/>
          <w:color w:val="000000"/>
          <w:sz w:val="26"/>
        </w:rPr>
        <w:t>Distribution</w:t>
      </w:r>
      <w:proofErr w:type="gramEnd"/>
      <w:r w:rsidRPr="00B95A3A">
        <w:rPr>
          <w:rFonts w:eastAsia="Calibri"/>
          <w:b/>
          <w:color w:val="000000"/>
          <w:sz w:val="26"/>
        </w:rPr>
        <w:t xml:space="preserve"> of Social, Environmental and Total Disclosure </w:t>
      </w:r>
      <w:r w:rsidR="00027D6D" w:rsidRPr="00B95A3A">
        <w:rPr>
          <w:rFonts w:eastAsia="Calibri"/>
          <w:b/>
          <w:color w:val="000000"/>
          <w:sz w:val="26"/>
        </w:rPr>
        <w:t>S</w:t>
      </w:r>
      <w:r w:rsidRPr="00B95A3A">
        <w:rPr>
          <w:rFonts w:eastAsia="Calibri"/>
          <w:b/>
          <w:color w:val="000000"/>
          <w:sz w:val="26"/>
        </w:rPr>
        <w:t>cores</w:t>
      </w:r>
    </w:p>
    <w:tbl>
      <w:tblPr>
        <w:tblStyle w:val="13"/>
        <w:tblW w:w="0" w:type="auto"/>
        <w:tblLayout w:type="fixed"/>
        <w:tblLook w:val="04A0" w:firstRow="1" w:lastRow="0" w:firstColumn="1" w:lastColumn="0" w:noHBand="0" w:noVBand="1"/>
      </w:tblPr>
      <w:tblGrid>
        <w:gridCol w:w="1418"/>
        <w:gridCol w:w="634"/>
        <w:gridCol w:w="634"/>
        <w:gridCol w:w="634"/>
        <w:gridCol w:w="634"/>
        <w:gridCol w:w="634"/>
        <w:gridCol w:w="634"/>
        <w:gridCol w:w="634"/>
        <w:gridCol w:w="634"/>
        <w:gridCol w:w="634"/>
        <w:gridCol w:w="634"/>
        <w:gridCol w:w="634"/>
        <w:gridCol w:w="634"/>
      </w:tblGrid>
      <w:tr w:rsidR="000803DE" w:rsidRPr="002262E0" w14:paraId="3F562CBD" w14:textId="77777777" w:rsidTr="0011381C">
        <w:tc>
          <w:tcPr>
            <w:tcW w:w="1418" w:type="dxa"/>
            <w:tcBorders>
              <w:top w:val="single" w:sz="4" w:space="0" w:color="auto"/>
              <w:bottom w:val="single" w:sz="4" w:space="0" w:color="auto"/>
              <w:right w:val="single" w:sz="4" w:space="0" w:color="auto"/>
            </w:tcBorders>
            <w:vAlign w:val="center"/>
          </w:tcPr>
          <w:p w14:paraId="4738453D" w14:textId="77777777" w:rsidR="000803DE" w:rsidRPr="005C3281" w:rsidRDefault="000803DE" w:rsidP="00B51574">
            <w:pPr>
              <w:autoSpaceDE w:val="0"/>
              <w:autoSpaceDN w:val="0"/>
              <w:adjustRightInd w:val="0"/>
              <w:spacing w:line="360" w:lineRule="exact"/>
              <w:jc w:val="center"/>
              <w:rPr>
                <w:rFonts w:eastAsia="Calibri"/>
                <w:b/>
                <w:szCs w:val="20"/>
              </w:rPr>
            </w:pPr>
          </w:p>
        </w:tc>
        <w:tc>
          <w:tcPr>
            <w:tcW w:w="2536" w:type="dxa"/>
            <w:gridSpan w:val="4"/>
            <w:tcBorders>
              <w:top w:val="single" w:sz="4" w:space="0" w:color="auto"/>
              <w:left w:val="single" w:sz="4" w:space="0" w:color="auto"/>
              <w:bottom w:val="single" w:sz="4" w:space="0" w:color="auto"/>
              <w:right w:val="single" w:sz="4" w:space="0" w:color="auto"/>
            </w:tcBorders>
            <w:vAlign w:val="center"/>
          </w:tcPr>
          <w:p w14:paraId="54C52301" w14:textId="77777777" w:rsidR="000803DE" w:rsidRPr="005C3281" w:rsidRDefault="000803DE" w:rsidP="00B51574">
            <w:pPr>
              <w:autoSpaceDE w:val="0"/>
              <w:autoSpaceDN w:val="0"/>
              <w:adjustRightInd w:val="0"/>
              <w:spacing w:line="360" w:lineRule="exact"/>
              <w:jc w:val="center"/>
              <w:rPr>
                <w:rFonts w:eastAsia="Calibri"/>
                <w:b/>
                <w:szCs w:val="20"/>
              </w:rPr>
            </w:pPr>
            <w:r w:rsidRPr="005C3281">
              <w:rPr>
                <w:rFonts w:eastAsia="Calibri"/>
                <w:b/>
                <w:szCs w:val="20"/>
              </w:rPr>
              <w:t>Total Disclosure</w:t>
            </w:r>
          </w:p>
        </w:tc>
        <w:tc>
          <w:tcPr>
            <w:tcW w:w="2536" w:type="dxa"/>
            <w:gridSpan w:val="4"/>
            <w:tcBorders>
              <w:top w:val="single" w:sz="4" w:space="0" w:color="auto"/>
              <w:left w:val="single" w:sz="4" w:space="0" w:color="auto"/>
              <w:bottom w:val="single" w:sz="4" w:space="0" w:color="auto"/>
              <w:right w:val="single" w:sz="4" w:space="0" w:color="auto"/>
            </w:tcBorders>
            <w:vAlign w:val="center"/>
          </w:tcPr>
          <w:p w14:paraId="29DCC225" w14:textId="77777777" w:rsidR="000803DE" w:rsidRPr="005C3281" w:rsidRDefault="000803DE" w:rsidP="00B51574">
            <w:pPr>
              <w:autoSpaceDE w:val="0"/>
              <w:autoSpaceDN w:val="0"/>
              <w:adjustRightInd w:val="0"/>
              <w:spacing w:line="360" w:lineRule="exact"/>
              <w:jc w:val="center"/>
              <w:rPr>
                <w:rFonts w:eastAsia="Calibri"/>
                <w:b/>
                <w:szCs w:val="20"/>
              </w:rPr>
            </w:pPr>
            <w:r w:rsidRPr="005C3281">
              <w:rPr>
                <w:rFonts w:eastAsia="Calibri"/>
                <w:b/>
                <w:szCs w:val="20"/>
              </w:rPr>
              <w:t>Social Disclosure</w:t>
            </w:r>
          </w:p>
        </w:tc>
        <w:tc>
          <w:tcPr>
            <w:tcW w:w="2536" w:type="dxa"/>
            <w:gridSpan w:val="4"/>
            <w:tcBorders>
              <w:top w:val="single" w:sz="4" w:space="0" w:color="auto"/>
              <w:left w:val="single" w:sz="4" w:space="0" w:color="auto"/>
              <w:bottom w:val="single" w:sz="4" w:space="0" w:color="auto"/>
            </w:tcBorders>
            <w:vAlign w:val="center"/>
          </w:tcPr>
          <w:p w14:paraId="1510C4AF" w14:textId="77777777" w:rsidR="000803DE" w:rsidRPr="005C3281" w:rsidRDefault="000803DE" w:rsidP="00B51574">
            <w:pPr>
              <w:autoSpaceDE w:val="0"/>
              <w:autoSpaceDN w:val="0"/>
              <w:adjustRightInd w:val="0"/>
              <w:spacing w:line="360" w:lineRule="exact"/>
              <w:jc w:val="center"/>
              <w:rPr>
                <w:rFonts w:eastAsia="Calibri"/>
                <w:b/>
                <w:szCs w:val="20"/>
              </w:rPr>
            </w:pPr>
            <w:r w:rsidRPr="005C3281">
              <w:rPr>
                <w:rFonts w:eastAsia="Calibri"/>
                <w:b/>
                <w:szCs w:val="20"/>
              </w:rPr>
              <w:t>Environmental Disclosure</w:t>
            </w:r>
          </w:p>
        </w:tc>
      </w:tr>
      <w:tr w:rsidR="0011381C" w:rsidRPr="002262E0" w14:paraId="58398E0F" w14:textId="77777777" w:rsidTr="0011381C">
        <w:tc>
          <w:tcPr>
            <w:tcW w:w="1418" w:type="dxa"/>
            <w:vMerge w:val="restart"/>
            <w:tcBorders>
              <w:top w:val="single" w:sz="4" w:space="0" w:color="auto"/>
              <w:right w:val="single" w:sz="4" w:space="0" w:color="auto"/>
            </w:tcBorders>
            <w:vAlign w:val="center"/>
          </w:tcPr>
          <w:p w14:paraId="67FF2D38" w14:textId="68F7AF9E" w:rsidR="0011381C" w:rsidRPr="0011381C" w:rsidRDefault="0011381C" w:rsidP="0011381C">
            <w:pPr>
              <w:autoSpaceDE w:val="0"/>
              <w:autoSpaceDN w:val="0"/>
              <w:adjustRightInd w:val="0"/>
              <w:spacing w:line="360" w:lineRule="exact"/>
              <w:ind w:left="-57" w:right="-113"/>
              <w:jc w:val="center"/>
              <w:rPr>
                <w:rFonts w:eastAsia="Calibri"/>
                <w:b/>
                <w:szCs w:val="20"/>
              </w:rPr>
            </w:pPr>
            <w:r w:rsidRPr="0011381C">
              <w:rPr>
                <w:rFonts w:eastAsia="Calibri"/>
                <w:b/>
                <w:szCs w:val="20"/>
              </w:rPr>
              <w:t>Disclosure Score</w:t>
            </w:r>
          </w:p>
        </w:tc>
        <w:tc>
          <w:tcPr>
            <w:tcW w:w="1268" w:type="dxa"/>
            <w:gridSpan w:val="2"/>
            <w:tcBorders>
              <w:top w:val="single" w:sz="4" w:space="0" w:color="auto"/>
              <w:left w:val="single" w:sz="4" w:space="0" w:color="auto"/>
              <w:bottom w:val="single" w:sz="4" w:space="0" w:color="auto"/>
              <w:right w:val="single" w:sz="4" w:space="0" w:color="auto"/>
            </w:tcBorders>
          </w:tcPr>
          <w:p w14:paraId="4376A006" w14:textId="77777777" w:rsidR="0011381C" w:rsidRPr="0011381C" w:rsidRDefault="0011381C" w:rsidP="00B95A3A">
            <w:pPr>
              <w:autoSpaceDE w:val="0"/>
              <w:autoSpaceDN w:val="0"/>
              <w:adjustRightInd w:val="0"/>
              <w:spacing w:line="360" w:lineRule="exact"/>
              <w:jc w:val="center"/>
              <w:rPr>
                <w:rFonts w:eastAsia="Calibri"/>
                <w:b/>
                <w:szCs w:val="20"/>
              </w:rPr>
            </w:pPr>
            <w:r w:rsidRPr="0011381C">
              <w:rPr>
                <w:rFonts w:eastAsia="Calibri"/>
                <w:b/>
                <w:szCs w:val="20"/>
              </w:rPr>
              <w:t>2014</w:t>
            </w:r>
          </w:p>
        </w:tc>
        <w:tc>
          <w:tcPr>
            <w:tcW w:w="1268" w:type="dxa"/>
            <w:gridSpan w:val="2"/>
            <w:tcBorders>
              <w:top w:val="single" w:sz="4" w:space="0" w:color="auto"/>
              <w:left w:val="single" w:sz="4" w:space="0" w:color="auto"/>
              <w:bottom w:val="single" w:sz="4" w:space="0" w:color="auto"/>
              <w:right w:val="single" w:sz="4" w:space="0" w:color="auto"/>
            </w:tcBorders>
          </w:tcPr>
          <w:p w14:paraId="38E5E87D" w14:textId="77777777" w:rsidR="0011381C" w:rsidRPr="0011381C" w:rsidRDefault="0011381C" w:rsidP="00B95A3A">
            <w:pPr>
              <w:autoSpaceDE w:val="0"/>
              <w:autoSpaceDN w:val="0"/>
              <w:adjustRightInd w:val="0"/>
              <w:spacing w:line="360" w:lineRule="exact"/>
              <w:jc w:val="center"/>
              <w:rPr>
                <w:rFonts w:eastAsia="Calibri"/>
                <w:b/>
                <w:szCs w:val="20"/>
              </w:rPr>
            </w:pPr>
            <w:r w:rsidRPr="0011381C">
              <w:rPr>
                <w:rFonts w:eastAsia="Calibri"/>
                <w:b/>
                <w:szCs w:val="20"/>
              </w:rPr>
              <w:t>2012</w:t>
            </w:r>
          </w:p>
        </w:tc>
        <w:tc>
          <w:tcPr>
            <w:tcW w:w="1268" w:type="dxa"/>
            <w:gridSpan w:val="2"/>
            <w:tcBorders>
              <w:top w:val="single" w:sz="4" w:space="0" w:color="auto"/>
              <w:left w:val="single" w:sz="4" w:space="0" w:color="auto"/>
              <w:bottom w:val="single" w:sz="4" w:space="0" w:color="auto"/>
              <w:right w:val="single" w:sz="4" w:space="0" w:color="auto"/>
            </w:tcBorders>
          </w:tcPr>
          <w:p w14:paraId="6714C2DF" w14:textId="77777777" w:rsidR="0011381C" w:rsidRPr="0011381C" w:rsidRDefault="0011381C" w:rsidP="00B95A3A">
            <w:pPr>
              <w:autoSpaceDE w:val="0"/>
              <w:autoSpaceDN w:val="0"/>
              <w:adjustRightInd w:val="0"/>
              <w:spacing w:line="360" w:lineRule="exact"/>
              <w:jc w:val="center"/>
              <w:rPr>
                <w:rFonts w:eastAsia="Calibri"/>
                <w:b/>
                <w:szCs w:val="20"/>
              </w:rPr>
            </w:pPr>
            <w:r w:rsidRPr="0011381C">
              <w:rPr>
                <w:rFonts w:eastAsia="Calibri"/>
                <w:b/>
                <w:szCs w:val="20"/>
              </w:rPr>
              <w:t>2014</w:t>
            </w:r>
          </w:p>
        </w:tc>
        <w:tc>
          <w:tcPr>
            <w:tcW w:w="1268" w:type="dxa"/>
            <w:gridSpan w:val="2"/>
            <w:tcBorders>
              <w:top w:val="single" w:sz="4" w:space="0" w:color="auto"/>
              <w:left w:val="single" w:sz="4" w:space="0" w:color="auto"/>
              <w:bottom w:val="single" w:sz="4" w:space="0" w:color="auto"/>
              <w:right w:val="single" w:sz="4" w:space="0" w:color="auto"/>
            </w:tcBorders>
          </w:tcPr>
          <w:p w14:paraId="2284DF72" w14:textId="77777777" w:rsidR="0011381C" w:rsidRPr="0011381C" w:rsidRDefault="0011381C" w:rsidP="00B95A3A">
            <w:pPr>
              <w:autoSpaceDE w:val="0"/>
              <w:autoSpaceDN w:val="0"/>
              <w:adjustRightInd w:val="0"/>
              <w:spacing w:line="360" w:lineRule="exact"/>
              <w:jc w:val="center"/>
              <w:rPr>
                <w:rFonts w:eastAsia="Calibri"/>
                <w:b/>
                <w:szCs w:val="20"/>
              </w:rPr>
            </w:pPr>
            <w:r w:rsidRPr="0011381C">
              <w:rPr>
                <w:rFonts w:eastAsia="Calibri"/>
                <w:b/>
                <w:szCs w:val="20"/>
              </w:rPr>
              <w:t>2012</w:t>
            </w:r>
          </w:p>
        </w:tc>
        <w:tc>
          <w:tcPr>
            <w:tcW w:w="1268" w:type="dxa"/>
            <w:gridSpan w:val="2"/>
            <w:tcBorders>
              <w:top w:val="single" w:sz="4" w:space="0" w:color="auto"/>
              <w:left w:val="single" w:sz="4" w:space="0" w:color="auto"/>
              <w:bottom w:val="single" w:sz="4" w:space="0" w:color="auto"/>
              <w:right w:val="single" w:sz="4" w:space="0" w:color="auto"/>
            </w:tcBorders>
          </w:tcPr>
          <w:p w14:paraId="5E7CEA9C" w14:textId="77777777" w:rsidR="0011381C" w:rsidRPr="0011381C" w:rsidRDefault="0011381C" w:rsidP="00B95A3A">
            <w:pPr>
              <w:autoSpaceDE w:val="0"/>
              <w:autoSpaceDN w:val="0"/>
              <w:adjustRightInd w:val="0"/>
              <w:spacing w:line="360" w:lineRule="exact"/>
              <w:jc w:val="center"/>
              <w:rPr>
                <w:rFonts w:eastAsia="Calibri"/>
                <w:b/>
                <w:szCs w:val="20"/>
              </w:rPr>
            </w:pPr>
            <w:r w:rsidRPr="0011381C">
              <w:rPr>
                <w:rFonts w:eastAsia="Calibri"/>
                <w:b/>
                <w:szCs w:val="20"/>
              </w:rPr>
              <w:t>2014</w:t>
            </w:r>
          </w:p>
        </w:tc>
        <w:tc>
          <w:tcPr>
            <w:tcW w:w="1268" w:type="dxa"/>
            <w:gridSpan w:val="2"/>
            <w:tcBorders>
              <w:top w:val="single" w:sz="4" w:space="0" w:color="auto"/>
              <w:left w:val="single" w:sz="4" w:space="0" w:color="auto"/>
              <w:bottom w:val="single" w:sz="4" w:space="0" w:color="auto"/>
            </w:tcBorders>
          </w:tcPr>
          <w:p w14:paraId="79414679" w14:textId="77777777" w:rsidR="0011381C" w:rsidRPr="0011381C" w:rsidRDefault="0011381C" w:rsidP="00B95A3A">
            <w:pPr>
              <w:autoSpaceDE w:val="0"/>
              <w:autoSpaceDN w:val="0"/>
              <w:adjustRightInd w:val="0"/>
              <w:spacing w:line="360" w:lineRule="exact"/>
              <w:jc w:val="center"/>
              <w:rPr>
                <w:rFonts w:eastAsia="Calibri"/>
                <w:b/>
                <w:szCs w:val="20"/>
              </w:rPr>
            </w:pPr>
            <w:r w:rsidRPr="0011381C">
              <w:rPr>
                <w:rFonts w:eastAsia="Calibri"/>
                <w:b/>
                <w:szCs w:val="20"/>
              </w:rPr>
              <w:t>2012</w:t>
            </w:r>
          </w:p>
        </w:tc>
      </w:tr>
      <w:tr w:rsidR="0011381C" w:rsidRPr="002262E0" w14:paraId="6390F013" w14:textId="77777777" w:rsidTr="0011381C">
        <w:tc>
          <w:tcPr>
            <w:tcW w:w="1418" w:type="dxa"/>
            <w:vMerge/>
            <w:tcBorders>
              <w:bottom w:val="single" w:sz="4" w:space="0" w:color="auto"/>
              <w:right w:val="single" w:sz="4" w:space="0" w:color="auto"/>
            </w:tcBorders>
          </w:tcPr>
          <w:p w14:paraId="330BCA43" w14:textId="3EC6BAC3" w:rsidR="0011381C" w:rsidRPr="0011381C" w:rsidRDefault="0011381C" w:rsidP="0011086F">
            <w:pPr>
              <w:autoSpaceDE w:val="0"/>
              <w:autoSpaceDN w:val="0"/>
              <w:adjustRightInd w:val="0"/>
              <w:spacing w:line="360" w:lineRule="exact"/>
              <w:ind w:left="-57" w:right="-113"/>
              <w:jc w:val="both"/>
              <w:rPr>
                <w:rFonts w:eastAsia="Calibri"/>
                <w:b/>
                <w:szCs w:val="20"/>
              </w:rPr>
            </w:pPr>
          </w:p>
        </w:tc>
        <w:tc>
          <w:tcPr>
            <w:tcW w:w="634" w:type="dxa"/>
            <w:tcBorders>
              <w:top w:val="single" w:sz="4" w:space="0" w:color="auto"/>
              <w:left w:val="single" w:sz="4" w:space="0" w:color="auto"/>
              <w:bottom w:val="single" w:sz="4" w:space="0" w:color="auto"/>
            </w:tcBorders>
          </w:tcPr>
          <w:p w14:paraId="665B4CFF" w14:textId="77777777" w:rsidR="0011381C" w:rsidRPr="0011381C" w:rsidRDefault="0011381C" w:rsidP="00B95A3A">
            <w:pPr>
              <w:autoSpaceDE w:val="0"/>
              <w:autoSpaceDN w:val="0"/>
              <w:adjustRightInd w:val="0"/>
              <w:spacing w:line="360" w:lineRule="exact"/>
              <w:jc w:val="center"/>
              <w:rPr>
                <w:rFonts w:eastAsia="Calibri"/>
                <w:b/>
                <w:szCs w:val="20"/>
              </w:rPr>
            </w:pPr>
            <w:r w:rsidRPr="0011381C">
              <w:rPr>
                <w:rFonts w:eastAsia="Calibri"/>
                <w:b/>
                <w:szCs w:val="20"/>
              </w:rPr>
              <w:t>F</w:t>
            </w:r>
          </w:p>
        </w:tc>
        <w:tc>
          <w:tcPr>
            <w:tcW w:w="634" w:type="dxa"/>
            <w:tcBorders>
              <w:top w:val="single" w:sz="4" w:space="0" w:color="auto"/>
              <w:bottom w:val="single" w:sz="4" w:space="0" w:color="auto"/>
              <w:right w:val="single" w:sz="4" w:space="0" w:color="auto"/>
            </w:tcBorders>
          </w:tcPr>
          <w:p w14:paraId="57A5B89D" w14:textId="77777777" w:rsidR="0011381C" w:rsidRPr="0011381C" w:rsidRDefault="0011381C" w:rsidP="00B95A3A">
            <w:pPr>
              <w:autoSpaceDE w:val="0"/>
              <w:autoSpaceDN w:val="0"/>
              <w:adjustRightInd w:val="0"/>
              <w:spacing w:line="360" w:lineRule="exact"/>
              <w:jc w:val="center"/>
              <w:rPr>
                <w:rFonts w:eastAsia="Calibri"/>
                <w:b/>
                <w:szCs w:val="20"/>
              </w:rPr>
            </w:pPr>
            <w:r w:rsidRPr="0011381C">
              <w:rPr>
                <w:rFonts w:eastAsia="Calibri"/>
                <w:b/>
                <w:szCs w:val="20"/>
              </w:rPr>
              <w:t>%</w:t>
            </w:r>
          </w:p>
        </w:tc>
        <w:tc>
          <w:tcPr>
            <w:tcW w:w="634" w:type="dxa"/>
            <w:tcBorders>
              <w:top w:val="single" w:sz="4" w:space="0" w:color="auto"/>
              <w:left w:val="single" w:sz="4" w:space="0" w:color="auto"/>
              <w:bottom w:val="single" w:sz="4" w:space="0" w:color="auto"/>
            </w:tcBorders>
          </w:tcPr>
          <w:p w14:paraId="0BA8410B" w14:textId="77777777" w:rsidR="0011381C" w:rsidRPr="0011381C" w:rsidRDefault="0011381C" w:rsidP="00B95A3A">
            <w:pPr>
              <w:autoSpaceDE w:val="0"/>
              <w:autoSpaceDN w:val="0"/>
              <w:adjustRightInd w:val="0"/>
              <w:spacing w:line="360" w:lineRule="exact"/>
              <w:jc w:val="center"/>
              <w:rPr>
                <w:rFonts w:eastAsia="Calibri"/>
                <w:b/>
                <w:szCs w:val="20"/>
              </w:rPr>
            </w:pPr>
            <w:r w:rsidRPr="0011381C">
              <w:rPr>
                <w:rFonts w:eastAsia="Calibri"/>
                <w:b/>
                <w:szCs w:val="20"/>
              </w:rPr>
              <w:t>F</w:t>
            </w:r>
          </w:p>
        </w:tc>
        <w:tc>
          <w:tcPr>
            <w:tcW w:w="634" w:type="dxa"/>
            <w:tcBorders>
              <w:top w:val="single" w:sz="4" w:space="0" w:color="auto"/>
              <w:bottom w:val="single" w:sz="4" w:space="0" w:color="auto"/>
              <w:right w:val="single" w:sz="4" w:space="0" w:color="auto"/>
            </w:tcBorders>
          </w:tcPr>
          <w:p w14:paraId="50D40CF3" w14:textId="77777777" w:rsidR="0011381C" w:rsidRPr="0011381C" w:rsidRDefault="0011381C" w:rsidP="00B95A3A">
            <w:pPr>
              <w:autoSpaceDE w:val="0"/>
              <w:autoSpaceDN w:val="0"/>
              <w:adjustRightInd w:val="0"/>
              <w:spacing w:line="360" w:lineRule="exact"/>
              <w:jc w:val="center"/>
              <w:rPr>
                <w:rFonts w:eastAsia="Calibri"/>
                <w:b/>
                <w:szCs w:val="20"/>
              </w:rPr>
            </w:pPr>
            <w:r w:rsidRPr="0011381C">
              <w:rPr>
                <w:rFonts w:eastAsia="Calibri"/>
                <w:b/>
                <w:szCs w:val="20"/>
              </w:rPr>
              <w:t>%</w:t>
            </w:r>
          </w:p>
        </w:tc>
        <w:tc>
          <w:tcPr>
            <w:tcW w:w="634" w:type="dxa"/>
            <w:tcBorders>
              <w:top w:val="single" w:sz="4" w:space="0" w:color="auto"/>
              <w:left w:val="single" w:sz="4" w:space="0" w:color="auto"/>
              <w:bottom w:val="single" w:sz="4" w:space="0" w:color="auto"/>
            </w:tcBorders>
          </w:tcPr>
          <w:p w14:paraId="7201AAD4" w14:textId="77777777" w:rsidR="0011381C" w:rsidRPr="0011381C" w:rsidRDefault="0011381C" w:rsidP="00B95A3A">
            <w:pPr>
              <w:autoSpaceDE w:val="0"/>
              <w:autoSpaceDN w:val="0"/>
              <w:adjustRightInd w:val="0"/>
              <w:spacing w:line="360" w:lineRule="exact"/>
              <w:jc w:val="center"/>
              <w:rPr>
                <w:rFonts w:eastAsia="Calibri"/>
                <w:b/>
                <w:szCs w:val="20"/>
              </w:rPr>
            </w:pPr>
            <w:r w:rsidRPr="0011381C">
              <w:rPr>
                <w:rFonts w:eastAsia="Calibri"/>
                <w:b/>
                <w:szCs w:val="20"/>
              </w:rPr>
              <w:t>F</w:t>
            </w:r>
          </w:p>
        </w:tc>
        <w:tc>
          <w:tcPr>
            <w:tcW w:w="634" w:type="dxa"/>
            <w:tcBorders>
              <w:top w:val="single" w:sz="4" w:space="0" w:color="auto"/>
              <w:bottom w:val="single" w:sz="4" w:space="0" w:color="auto"/>
              <w:right w:val="single" w:sz="4" w:space="0" w:color="auto"/>
            </w:tcBorders>
          </w:tcPr>
          <w:p w14:paraId="45037E14" w14:textId="77777777" w:rsidR="0011381C" w:rsidRPr="0011381C" w:rsidRDefault="0011381C" w:rsidP="00B95A3A">
            <w:pPr>
              <w:autoSpaceDE w:val="0"/>
              <w:autoSpaceDN w:val="0"/>
              <w:adjustRightInd w:val="0"/>
              <w:spacing w:line="360" w:lineRule="exact"/>
              <w:jc w:val="center"/>
              <w:rPr>
                <w:rFonts w:eastAsia="Calibri"/>
                <w:b/>
                <w:szCs w:val="20"/>
              </w:rPr>
            </w:pPr>
            <w:r w:rsidRPr="0011381C">
              <w:rPr>
                <w:rFonts w:eastAsia="Calibri"/>
                <w:b/>
                <w:szCs w:val="20"/>
              </w:rPr>
              <w:t>%</w:t>
            </w:r>
          </w:p>
        </w:tc>
        <w:tc>
          <w:tcPr>
            <w:tcW w:w="634" w:type="dxa"/>
            <w:tcBorders>
              <w:top w:val="single" w:sz="4" w:space="0" w:color="auto"/>
              <w:left w:val="single" w:sz="4" w:space="0" w:color="auto"/>
              <w:bottom w:val="single" w:sz="4" w:space="0" w:color="auto"/>
            </w:tcBorders>
          </w:tcPr>
          <w:p w14:paraId="320890DF" w14:textId="77777777" w:rsidR="0011381C" w:rsidRPr="0011381C" w:rsidRDefault="0011381C" w:rsidP="00B95A3A">
            <w:pPr>
              <w:autoSpaceDE w:val="0"/>
              <w:autoSpaceDN w:val="0"/>
              <w:adjustRightInd w:val="0"/>
              <w:spacing w:line="360" w:lineRule="exact"/>
              <w:jc w:val="center"/>
              <w:rPr>
                <w:rFonts w:eastAsia="Calibri"/>
                <w:b/>
                <w:szCs w:val="20"/>
              </w:rPr>
            </w:pPr>
            <w:r w:rsidRPr="0011381C">
              <w:rPr>
                <w:rFonts w:eastAsia="Calibri"/>
                <w:b/>
                <w:szCs w:val="20"/>
              </w:rPr>
              <w:t>F</w:t>
            </w:r>
          </w:p>
        </w:tc>
        <w:tc>
          <w:tcPr>
            <w:tcW w:w="634" w:type="dxa"/>
            <w:tcBorders>
              <w:top w:val="single" w:sz="4" w:space="0" w:color="auto"/>
              <w:bottom w:val="single" w:sz="4" w:space="0" w:color="auto"/>
              <w:right w:val="single" w:sz="4" w:space="0" w:color="auto"/>
            </w:tcBorders>
          </w:tcPr>
          <w:p w14:paraId="0DAA790E" w14:textId="77777777" w:rsidR="0011381C" w:rsidRPr="0011381C" w:rsidRDefault="0011381C" w:rsidP="00B95A3A">
            <w:pPr>
              <w:autoSpaceDE w:val="0"/>
              <w:autoSpaceDN w:val="0"/>
              <w:adjustRightInd w:val="0"/>
              <w:spacing w:line="360" w:lineRule="exact"/>
              <w:jc w:val="center"/>
              <w:rPr>
                <w:rFonts w:eastAsia="Calibri"/>
                <w:b/>
                <w:szCs w:val="20"/>
              </w:rPr>
            </w:pPr>
            <w:r w:rsidRPr="0011381C">
              <w:rPr>
                <w:rFonts w:eastAsia="Calibri"/>
                <w:b/>
                <w:szCs w:val="20"/>
              </w:rPr>
              <w:t>%</w:t>
            </w:r>
          </w:p>
        </w:tc>
        <w:tc>
          <w:tcPr>
            <w:tcW w:w="634" w:type="dxa"/>
            <w:tcBorders>
              <w:top w:val="single" w:sz="4" w:space="0" w:color="auto"/>
              <w:left w:val="single" w:sz="4" w:space="0" w:color="auto"/>
              <w:bottom w:val="single" w:sz="4" w:space="0" w:color="auto"/>
            </w:tcBorders>
          </w:tcPr>
          <w:p w14:paraId="5FF2D0D8" w14:textId="77777777" w:rsidR="0011381C" w:rsidRPr="0011381C" w:rsidRDefault="0011381C" w:rsidP="00B95A3A">
            <w:pPr>
              <w:autoSpaceDE w:val="0"/>
              <w:autoSpaceDN w:val="0"/>
              <w:adjustRightInd w:val="0"/>
              <w:spacing w:line="360" w:lineRule="exact"/>
              <w:jc w:val="center"/>
              <w:rPr>
                <w:rFonts w:eastAsia="Calibri"/>
                <w:b/>
                <w:szCs w:val="20"/>
              </w:rPr>
            </w:pPr>
            <w:r w:rsidRPr="0011381C">
              <w:rPr>
                <w:rFonts w:eastAsia="Calibri"/>
                <w:b/>
                <w:szCs w:val="20"/>
              </w:rPr>
              <w:t>F</w:t>
            </w:r>
          </w:p>
        </w:tc>
        <w:tc>
          <w:tcPr>
            <w:tcW w:w="634" w:type="dxa"/>
            <w:tcBorders>
              <w:top w:val="single" w:sz="4" w:space="0" w:color="auto"/>
              <w:bottom w:val="single" w:sz="4" w:space="0" w:color="auto"/>
              <w:right w:val="single" w:sz="4" w:space="0" w:color="auto"/>
            </w:tcBorders>
          </w:tcPr>
          <w:p w14:paraId="0142E89B" w14:textId="77777777" w:rsidR="0011381C" w:rsidRPr="0011381C" w:rsidRDefault="0011381C" w:rsidP="00B95A3A">
            <w:pPr>
              <w:autoSpaceDE w:val="0"/>
              <w:autoSpaceDN w:val="0"/>
              <w:adjustRightInd w:val="0"/>
              <w:spacing w:line="360" w:lineRule="exact"/>
              <w:jc w:val="center"/>
              <w:rPr>
                <w:rFonts w:eastAsia="Calibri"/>
                <w:b/>
                <w:szCs w:val="20"/>
              </w:rPr>
            </w:pPr>
            <w:r w:rsidRPr="0011381C">
              <w:rPr>
                <w:rFonts w:eastAsia="Calibri"/>
                <w:b/>
                <w:szCs w:val="20"/>
              </w:rPr>
              <w:t>%</w:t>
            </w:r>
          </w:p>
        </w:tc>
        <w:tc>
          <w:tcPr>
            <w:tcW w:w="634" w:type="dxa"/>
            <w:tcBorders>
              <w:top w:val="single" w:sz="4" w:space="0" w:color="auto"/>
              <w:left w:val="single" w:sz="4" w:space="0" w:color="auto"/>
              <w:bottom w:val="single" w:sz="4" w:space="0" w:color="auto"/>
            </w:tcBorders>
          </w:tcPr>
          <w:p w14:paraId="7EE238A1" w14:textId="77777777" w:rsidR="0011381C" w:rsidRPr="0011381C" w:rsidRDefault="0011381C" w:rsidP="00B95A3A">
            <w:pPr>
              <w:autoSpaceDE w:val="0"/>
              <w:autoSpaceDN w:val="0"/>
              <w:adjustRightInd w:val="0"/>
              <w:spacing w:line="360" w:lineRule="exact"/>
              <w:jc w:val="center"/>
              <w:rPr>
                <w:rFonts w:eastAsia="Calibri"/>
                <w:b/>
                <w:szCs w:val="20"/>
              </w:rPr>
            </w:pPr>
            <w:r w:rsidRPr="0011381C">
              <w:rPr>
                <w:rFonts w:eastAsia="Calibri"/>
                <w:b/>
                <w:szCs w:val="20"/>
              </w:rPr>
              <w:t>F</w:t>
            </w:r>
          </w:p>
        </w:tc>
        <w:tc>
          <w:tcPr>
            <w:tcW w:w="634" w:type="dxa"/>
            <w:tcBorders>
              <w:top w:val="single" w:sz="4" w:space="0" w:color="auto"/>
              <w:bottom w:val="single" w:sz="4" w:space="0" w:color="auto"/>
            </w:tcBorders>
          </w:tcPr>
          <w:p w14:paraId="47A36CC7" w14:textId="77777777" w:rsidR="0011381C" w:rsidRPr="0011381C" w:rsidRDefault="0011381C" w:rsidP="00B95A3A">
            <w:pPr>
              <w:autoSpaceDE w:val="0"/>
              <w:autoSpaceDN w:val="0"/>
              <w:adjustRightInd w:val="0"/>
              <w:spacing w:line="360" w:lineRule="exact"/>
              <w:jc w:val="center"/>
              <w:rPr>
                <w:rFonts w:eastAsia="Calibri"/>
                <w:b/>
                <w:szCs w:val="20"/>
              </w:rPr>
            </w:pPr>
            <w:r w:rsidRPr="0011381C">
              <w:rPr>
                <w:rFonts w:eastAsia="Calibri"/>
                <w:b/>
                <w:szCs w:val="20"/>
              </w:rPr>
              <w:t>%</w:t>
            </w:r>
          </w:p>
        </w:tc>
      </w:tr>
      <w:tr w:rsidR="000803DE" w:rsidRPr="002262E0" w14:paraId="41092598" w14:textId="77777777" w:rsidTr="0011381C">
        <w:tc>
          <w:tcPr>
            <w:tcW w:w="1418" w:type="dxa"/>
            <w:tcBorders>
              <w:top w:val="single" w:sz="4" w:space="0" w:color="auto"/>
              <w:right w:val="single" w:sz="4" w:space="0" w:color="auto"/>
            </w:tcBorders>
          </w:tcPr>
          <w:p w14:paraId="4A56E451" w14:textId="77777777" w:rsidR="000803DE" w:rsidRPr="004D7AD7" w:rsidRDefault="000803DE" w:rsidP="0011381C">
            <w:pPr>
              <w:autoSpaceDE w:val="0"/>
              <w:autoSpaceDN w:val="0"/>
              <w:adjustRightInd w:val="0"/>
              <w:spacing w:line="360" w:lineRule="exact"/>
              <w:ind w:leftChars="100" w:left="240"/>
              <w:jc w:val="both"/>
              <w:rPr>
                <w:rFonts w:eastAsia="Calibri"/>
                <w:szCs w:val="20"/>
              </w:rPr>
            </w:pPr>
            <w:r w:rsidRPr="004D7AD7">
              <w:rPr>
                <w:rFonts w:eastAsia="Calibri"/>
                <w:szCs w:val="20"/>
              </w:rPr>
              <w:t>0-5</w:t>
            </w:r>
          </w:p>
        </w:tc>
        <w:tc>
          <w:tcPr>
            <w:tcW w:w="634" w:type="dxa"/>
            <w:tcBorders>
              <w:top w:val="single" w:sz="4" w:space="0" w:color="auto"/>
              <w:left w:val="single" w:sz="4" w:space="0" w:color="auto"/>
            </w:tcBorders>
          </w:tcPr>
          <w:p w14:paraId="0281C1FC" w14:textId="77777777" w:rsidR="000803DE" w:rsidRPr="0011381C" w:rsidRDefault="000803DE" w:rsidP="00B95A3A">
            <w:pPr>
              <w:autoSpaceDE w:val="0"/>
              <w:autoSpaceDN w:val="0"/>
              <w:adjustRightInd w:val="0"/>
              <w:spacing w:line="360" w:lineRule="exact"/>
              <w:jc w:val="center"/>
              <w:rPr>
                <w:rFonts w:eastAsia="Calibri"/>
                <w:sz w:val="23"/>
                <w:szCs w:val="23"/>
              </w:rPr>
            </w:pPr>
            <w:r w:rsidRPr="0011381C">
              <w:rPr>
                <w:rFonts w:eastAsia="Calibri"/>
                <w:sz w:val="23"/>
                <w:szCs w:val="23"/>
              </w:rPr>
              <w:t>3</w:t>
            </w:r>
          </w:p>
        </w:tc>
        <w:tc>
          <w:tcPr>
            <w:tcW w:w="634" w:type="dxa"/>
            <w:tcBorders>
              <w:top w:val="single" w:sz="4" w:space="0" w:color="auto"/>
              <w:right w:val="single" w:sz="4" w:space="0" w:color="auto"/>
            </w:tcBorders>
            <w:vAlign w:val="center"/>
          </w:tcPr>
          <w:p w14:paraId="46FB89C2"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1.9</w:t>
            </w:r>
          </w:p>
        </w:tc>
        <w:tc>
          <w:tcPr>
            <w:tcW w:w="634" w:type="dxa"/>
            <w:tcBorders>
              <w:top w:val="single" w:sz="4" w:space="0" w:color="auto"/>
              <w:left w:val="single" w:sz="4" w:space="0" w:color="auto"/>
            </w:tcBorders>
            <w:vAlign w:val="center"/>
          </w:tcPr>
          <w:p w14:paraId="3AE0AD92"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6</w:t>
            </w:r>
          </w:p>
        </w:tc>
        <w:tc>
          <w:tcPr>
            <w:tcW w:w="634" w:type="dxa"/>
            <w:tcBorders>
              <w:top w:val="single" w:sz="4" w:space="0" w:color="auto"/>
              <w:right w:val="single" w:sz="4" w:space="0" w:color="auto"/>
            </w:tcBorders>
            <w:vAlign w:val="center"/>
          </w:tcPr>
          <w:p w14:paraId="586F9F91"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3.8</w:t>
            </w:r>
          </w:p>
        </w:tc>
        <w:tc>
          <w:tcPr>
            <w:tcW w:w="634" w:type="dxa"/>
            <w:tcBorders>
              <w:top w:val="single" w:sz="4" w:space="0" w:color="auto"/>
              <w:left w:val="single" w:sz="4" w:space="0" w:color="auto"/>
            </w:tcBorders>
            <w:vAlign w:val="center"/>
          </w:tcPr>
          <w:p w14:paraId="4D495C3C"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21</w:t>
            </w:r>
          </w:p>
        </w:tc>
        <w:tc>
          <w:tcPr>
            <w:tcW w:w="634" w:type="dxa"/>
            <w:tcBorders>
              <w:top w:val="single" w:sz="4" w:space="0" w:color="auto"/>
              <w:right w:val="single" w:sz="4" w:space="0" w:color="auto"/>
            </w:tcBorders>
            <w:vAlign w:val="center"/>
          </w:tcPr>
          <w:p w14:paraId="12644C7B"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13.5</w:t>
            </w:r>
          </w:p>
        </w:tc>
        <w:tc>
          <w:tcPr>
            <w:tcW w:w="634" w:type="dxa"/>
            <w:tcBorders>
              <w:top w:val="single" w:sz="4" w:space="0" w:color="auto"/>
              <w:left w:val="single" w:sz="4" w:space="0" w:color="auto"/>
            </w:tcBorders>
            <w:vAlign w:val="center"/>
          </w:tcPr>
          <w:p w14:paraId="2CD6C6A1"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28</w:t>
            </w:r>
          </w:p>
        </w:tc>
        <w:tc>
          <w:tcPr>
            <w:tcW w:w="634" w:type="dxa"/>
            <w:tcBorders>
              <w:top w:val="single" w:sz="4" w:space="0" w:color="auto"/>
              <w:right w:val="single" w:sz="4" w:space="0" w:color="auto"/>
            </w:tcBorders>
            <w:vAlign w:val="center"/>
          </w:tcPr>
          <w:p w14:paraId="468ECDF4"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17.9</w:t>
            </w:r>
          </w:p>
        </w:tc>
        <w:tc>
          <w:tcPr>
            <w:tcW w:w="634" w:type="dxa"/>
            <w:tcBorders>
              <w:top w:val="single" w:sz="4" w:space="0" w:color="auto"/>
              <w:left w:val="single" w:sz="4" w:space="0" w:color="auto"/>
            </w:tcBorders>
            <w:vAlign w:val="center"/>
          </w:tcPr>
          <w:p w14:paraId="6F7FDDB5" w14:textId="642F4FFF"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79</w:t>
            </w:r>
            <w:r w:rsidR="0011381C" w:rsidRPr="0011381C">
              <w:rPr>
                <w:rFonts w:eastAsia="Calibri"/>
                <w:sz w:val="23"/>
                <w:szCs w:val="23"/>
              </w:rPr>
              <w:t>`</w:t>
            </w:r>
          </w:p>
        </w:tc>
        <w:tc>
          <w:tcPr>
            <w:tcW w:w="634" w:type="dxa"/>
            <w:tcBorders>
              <w:top w:val="single" w:sz="4" w:space="0" w:color="auto"/>
              <w:right w:val="single" w:sz="4" w:space="0" w:color="auto"/>
            </w:tcBorders>
            <w:vAlign w:val="center"/>
          </w:tcPr>
          <w:p w14:paraId="17696151"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50.6</w:t>
            </w:r>
          </w:p>
        </w:tc>
        <w:tc>
          <w:tcPr>
            <w:tcW w:w="634" w:type="dxa"/>
            <w:tcBorders>
              <w:top w:val="single" w:sz="4" w:space="0" w:color="auto"/>
              <w:left w:val="single" w:sz="4" w:space="0" w:color="auto"/>
            </w:tcBorders>
            <w:vAlign w:val="center"/>
          </w:tcPr>
          <w:p w14:paraId="40C71DF1"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69</w:t>
            </w:r>
          </w:p>
        </w:tc>
        <w:tc>
          <w:tcPr>
            <w:tcW w:w="634" w:type="dxa"/>
            <w:tcBorders>
              <w:top w:val="single" w:sz="4" w:space="0" w:color="auto"/>
            </w:tcBorders>
            <w:vAlign w:val="center"/>
          </w:tcPr>
          <w:p w14:paraId="31D48543"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44.2</w:t>
            </w:r>
          </w:p>
        </w:tc>
      </w:tr>
      <w:tr w:rsidR="000803DE" w:rsidRPr="002262E0" w14:paraId="6F92EB0F" w14:textId="77777777" w:rsidTr="0011381C">
        <w:tc>
          <w:tcPr>
            <w:tcW w:w="1418" w:type="dxa"/>
            <w:tcBorders>
              <w:right w:val="single" w:sz="4" w:space="0" w:color="auto"/>
            </w:tcBorders>
          </w:tcPr>
          <w:p w14:paraId="16F41249" w14:textId="77777777" w:rsidR="000803DE" w:rsidRPr="004D7AD7" w:rsidRDefault="000803DE" w:rsidP="0011381C">
            <w:pPr>
              <w:autoSpaceDE w:val="0"/>
              <w:autoSpaceDN w:val="0"/>
              <w:adjustRightInd w:val="0"/>
              <w:spacing w:line="360" w:lineRule="exact"/>
              <w:ind w:leftChars="100" w:left="240"/>
              <w:jc w:val="both"/>
              <w:rPr>
                <w:rFonts w:eastAsia="Calibri"/>
                <w:szCs w:val="20"/>
              </w:rPr>
            </w:pPr>
            <w:r w:rsidRPr="004D7AD7">
              <w:rPr>
                <w:rFonts w:eastAsia="Calibri"/>
                <w:szCs w:val="20"/>
              </w:rPr>
              <w:t>6-10</w:t>
            </w:r>
          </w:p>
        </w:tc>
        <w:tc>
          <w:tcPr>
            <w:tcW w:w="634" w:type="dxa"/>
            <w:tcBorders>
              <w:left w:val="single" w:sz="4" w:space="0" w:color="auto"/>
            </w:tcBorders>
          </w:tcPr>
          <w:p w14:paraId="2C6E3ABC" w14:textId="77777777" w:rsidR="000803DE" w:rsidRPr="0011381C" w:rsidRDefault="000803DE" w:rsidP="00B95A3A">
            <w:pPr>
              <w:autoSpaceDE w:val="0"/>
              <w:autoSpaceDN w:val="0"/>
              <w:adjustRightInd w:val="0"/>
              <w:spacing w:line="360" w:lineRule="exact"/>
              <w:jc w:val="center"/>
              <w:rPr>
                <w:rFonts w:eastAsia="Calibri"/>
                <w:sz w:val="23"/>
                <w:szCs w:val="23"/>
              </w:rPr>
            </w:pPr>
            <w:r w:rsidRPr="0011381C">
              <w:rPr>
                <w:rFonts w:eastAsia="Calibri"/>
                <w:sz w:val="23"/>
                <w:szCs w:val="23"/>
              </w:rPr>
              <w:t>33</w:t>
            </w:r>
          </w:p>
        </w:tc>
        <w:tc>
          <w:tcPr>
            <w:tcW w:w="634" w:type="dxa"/>
            <w:tcBorders>
              <w:right w:val="single" w:sz="4" w:space="0" w:color="auto"/>
            </w:tcBorders>
            <w:vAlign w:val="center"/>
          </w:tcPr>
          <w:p w14:paraId="1BD00B53"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25</w:t>
            </w:r>
          </w:p>
        </w:tc>
        <w:tc>
          <w:tcPr>
            <w:tcW w:w="634" w:type="dxa"/>
            <w:tcBorders>
              <w:left w:val="single" w:sz="4" w:space="0" w:color="auto"/>
            </w:tcBorders>
            <w:vAlign w:val="center"/>
          </w:tcPr>
          <w:p w14:paraId="174F3E81"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32</w:t>
            </w:r>
          </w:p>
        </w:tc>
        <w:tc>
          <w:tcPr>
            <w:tcW w:w="634" w:type="dxa"/>
            <w:tcBorders>
              <w:right w:val="single" w:sz="4" w:space="0" w:color="auto"/>
            </w:tcBorders>
            <w:vAlign w:val="center"/>
          </w:tcPr>
          <w:p w14:paraId="561D9C0D"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20.6</w:t>
            </w:r>
          </w:p>
        </w:tc>
        <w:tc>
          <w:tcPr>
            <w:tcW w:w="634" w:type="dxa"/>
            <w:tcBorders>
              <w:left w:val="single" w:sz="4" w:space="0" w:color="auto"/>
            </w:tcBorders>
            <w:vAlign w:val="center"/>
          </w:tcPr>
          <w:p w14:paraId="48F8799C"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110</w:t>
            </w:r>
          </w:p>
        </w:tc>
        <w:tc>
          <w:tcPr>
            <w:tcW w:w="634" w:type="dxa"/>
            <w:tcBorders>
              <w:right w:val="single" w:sz="4" w:space="0" w:color="auto"/>
            </w:tcBorders>
            <w:vAlign w:val="center"/>
          </w:tcPr>
          <w:p w14:paraId="7F5E3C2C"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70.5</w:t>
            </w:r>
          </w:p>
        </w:tc>
        <w:tc>
          <w:tcPr>
            <w:tcW w:w="634" w:type="dxa"/>
            <w:tcBorders>
              <w:left w:val="single" w:sz="4" w:space="0" w:color="auto"/>
            </w:tcBorders>
            <w:vAlign w:val="center"/>
          </w:tcPr>
          <w:p w14:paraId="5D375067"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110</w:t>
            </w:r>
          </w:p>
        </w:tc>
        <w:tc>
          <w:tcPr>
            <w:tcW w:w="634" w:type="dxa"/>
            <w:tcBorders>
              <w:right w:val="single" w:sz="4" w:space="0" w:color="auto"/>
            </w:tcBorders>
            <w:vAlign w:val="center"/>
          </w:tcPr>
          <w:p w14:paraId="2E147954"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70.6</w:t>
            </w:r>
          </w:p>
        </w:tc>
        <w:tc>
          <w:tcPr>
            <w:tcW w:w="634" w:type="dxa"/>
            <w:tcBorders>
              <w:left w:val="single" w:sz="4" w:space="0" w:color="auto"/>
            </w:tcBorders>
            <w:vAlign w:val="center"/>
          </w:tcPr>
          <w:p w14:paraId="627F534C"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63</w:t>
            </w:r>
          </w:p>
        </w:tc>
        <w:tc>
          <w:tcPr>
            <w:tcW w:w="634" w:type="dxa"/>
            <w:tcBorders>
              <w:right w:val="single" w:sz="4" w:space="0" w:color="auto"/>
            </w:tcBorders>
            <w:vAlign w:val="center"/>
          </w:tcPr>
          <w:p w14:paraId="49AB64E6"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40.4</w:t>
            </w:r>
          </w:p>
        </w:tc>
        <w:tc>
          <w:tcPr>
            <w:tcW w:w="634" w:type="dxa"/>
            <w:tcBorders>
              <w:left w:val="single" w:sz="4" w:space="0" w:color="auto"/>
            </w:tcBorders>
            <w:vAlign w:val="center"/>
          </w:tcPr>
          <w:p w14:paraId="4F4AA0AC"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49</w:t>
            </w:r>
          </w:p>
        </w:tc>
        <w:tc>
          <w:tcPr>
            <w:tcW w:w="634" w:type="dxa"/>
            <w:vAlign w:val="center"/>
          </w:tcPr>
          <w:p w14:paraId="7D02CD82"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49.4</w:t>
            </w:r>
          </w:p>
        </w:tc>
      </w:tr>
      <w:tr w:rsidR="000803DE" w:rsidRPr="002262E0" w14:paraId="0D50DC6D" w14:textId="77777777" w:rsidTr="0011381C">
        <w:tc>
          <w:tcPr>
            <w:tcW w:w="1418" w:type="dxa"/>
            <w:tcBorders>
              <w:right w:val="single" w:sz="4" w:space="0" w:color="auto"/>
            </w:tcBorders>
          </w:tcPr>
          <w:p w14:paraId="7250A1F2" w14:textId="77777777" w:rsidR="000803DE" w:rsidRPr="004D7AD7" w:rsidRDefault="000803DE" w:rsidP="0011381C">
            <w:pPr>
              <w:autoSpaceDE w:val="0"/>
              <w:autoSpaceDN w:val="0"/>
              <w:adjustRightInd w:val="0"/>
              <w:spacing w:line="360" w:lineRule="exact"/>
              <w:ind w:leftChars="100" w:left="240"/>
              <w:jc w:val="both"/>
              <w:rPr>
                <w:rFonts w:eastAsia="Calibri"/>
                <w:szCs w:val="20"/>
              </w:rPr>
            </w:pPr>
            <w:r w:rsidRPr="004D7AD7">
              <w:rPr>
                <w:rFonts w:eastAsia="Calibri"/>
                <w:szCs w:val="20"/>
              </w:rPr>
              <w:t>11-15</w:t>
            </w:r>
          </w:p>
        </w:tc>
        <w:tc>
          <w:tcPr>
            <w:tcW w:w="634" w:type="dxa"/>
            <w:tcBorders>
              <w:left w:val="single" w:sz="4" w:space="0" w:color="auto"/>
            </w:tcBorders>
          </w:tcPr>
          <w:p w14:paraId="1A61B8BA" w14:textId="77777777" w:rsidR="000803DE" w:rsidRPr="0011381C" w:rsidRDefault="000803DE" w:rsidP="00B95A3A">
            <w:pPr>
              <w:autoSpaceDE w:val="0"/>
              <w:autoSpaceDN w:val="0"/>
              <w:adjustRightInd w:val="0"/>
              <w:spacing w:line="360" w:lineRule="exact"/>
              <w:jc w:val="center"/>
              <w:rPr>
                <w:rFonts w:eastAsia="Calibri"/>
                <w:sz w:val="23"/>
                <w:szCs w:val="23"/>
              </w:rPr>
            </w:pPr>
            <w:r w:rsidRPr="0011381C">
              <w:rPr>
                <w:rFonts w:eastAsia="Calibri"/>
                <w:sz w:val="23"/>
                <w:szCs w:val="23"/>
              </w:rPr>
              <w:t>50</w:t>
            </w:r>
          </w:p>
        </w:tc>
        <w:tc>
          <w:tcPr>
            <w:tcW w:w="634" w:type="dxa"/>
            <w:tcBorders>
              <w:right w:val="single" w:sz="4" w:space="0" w:color="auto"/>
            </w:tcBorders>
            <w:vAlign w:val="center"/>
          </w:tcPr>
          <w:p w14:paraId="31F87C22" w14:textId="77777777" w:rsidR="000803DE" w:rsidRPr="0011381C" w:rsidRDefault="000803DE" w:rsidP="0011381C">
            <w:pPr>
              <w:autoSpaceDE w:val="0"/>
              <w:autoSpaceDN w:val="0"/>
              <w:adjustRightInd w:val="0"/>
              <w:spacing w:line="360" w:lineRule="exact"/>
              <w:ind w:left="-57"/>
              <w:jc w:val="center"/>
              <w:rPr>
                <w:rFonts w:eastAsia="Calibri"/>
                <w:sz w:val="23"/>
                <w:szCs w:val="23"/>
              </w:rPr>
            </w:pPr>
            <w:r w:rsidRPr="0011381C">
              <w:rPr>
                <w:rFonts w:eastAsia="Calibri"/>
                <w:sz w:val="23"/>
                <w:szCs w:val="23"/>
              </w:rPr>
              <w:t>32.1</w:t>
            </w:r>
          </w:p>
        </w:tc>
        <w:tc>
          <w:tcPr>
            <w:tcW w:w="634" w:type="dxa"/>
            <w:tcBorders>
              <w:left w:val="single" w:sz="4" w:space="0" w:color="auto"/>
            </w:tcBorders>
            <w:vAlign w:val="center"/>
          </w:tcPr>
          <w:p w14:paraId="24BEDF8C"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56</w:t>
            </w:r>
          </w:p>
        </w:tc>
        <w:tc>
          <w:tcPr>
            <w:tcW w:w="634" w:type="dxa"/>
            <w:tcBorders>
              <w:right w:val="single" w:sz="4" w:space="0" w:color="auto"/>
            </w:tcBorders>
            <w:vAlign w:val="center"/>
          </w:tcPr>
          <w:p w14:paraId="4992C45E"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35.9</w:t>
            </w:r>
          </w:p>
        </w:tc>
        <w:tc>
          <w:tcPr>
            <w:tcW w:w="634" w:type="dxa"/>
            <w:tcBorders>
              <w:left w:val="single" w:sz="4" w:space="0" w:color="auto"/>
            </w:tcBorders>
            <w:vAlign w:val="center"/>
          </w:tcPr>
          <w:p w14:paraId="1E842111"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20</w:t>
            </w:r>
          </w:p>
        </w:tc>
        <w:tc>
          <w:tcPr>
            <w:tcW w:w="634" w:type="dxa"/>
            <w:tcBorders>
              <w:right w:val="single" w:sz="4" w:space="0" w:color="auto"/>
            </w:tcBorders>
            <w:vAlign w:val="center"/>
          </w:tcPr>
          <w:p w14:paraId="4DF557A0"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12.8</w:t>
            </w:r>
          </w:p>
        </w:tc>
        <w:tc>
          <w:tcPr>
            <w:tcW w:w="634" w:type="dxa"/>
            <w:tcBorders>
              <w:left w:val="single" w:sz="4" w:space="0" w:color="auto"/>
            </w:tcBorders>
            <w:vAlign w:val="center"/>
          </w:tcPr>
          <w:p w14:paraId="582F75C8"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18</w:t>
            </w:r>
          </w:p>
        </w:tc>
        <w:tc>
          <w:tcPr>
            <w:tcW w:w="634" w:type="dxa"/>
            <w:tcBorders>
              <w:right w:val="single" w:sz="4" w:space="0" w:color="auto"/>
            </w:tcBorders>
            <w:vAlign w:val="center"/>
          </w:tcPr>
          <w:p w14:paraId="2FC65FA3"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11.5</w:t>
            </w:r>
          </w:p>
        </w:tc>
        <w:tc>
          <w:tcPr>
            <w:tcW w:w="634" w:type="dxa"/>
            <w:tcBorders>
              <w:left w:val="single" w:sz="4" w:space="0" w:color="auto"/>
            </w:tcBorders>
            <w:vAlign w:val="center"/>
          </w:tcPr>
          <w:p w14:paraId="684FABDB"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14</w:t>
            </w:r>
          </w:p>
        </w:tc>
        <w:tc>
          <w:tcPr>
            <w:tcW w:w="634" w:type="dxa"/>
            <w:tcBorders>
              <w:right w:val="single" w:sz="4" w:space="0" w:color="auto"/>
            </w:tcBorders>
            <w:vAlign w:val="center"/>
          </w:tcPr>
          <w:p w14:paraId="5380E0E0"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9.0</w:t>
            </w:r>
          </w:p>
        </w:tc>
        <w:tc>
          <w:tcPr>
            <w:tcW w:w="634" w:type="dxa"/>
            <w:tcBorders>
              <w:left w:val="single" w:sz="4" w:space="0" w:color="auto"/>
            </w:tcBorders>
            <w:vAlign w:val="center"/>
          </w:tcPr>
          <w:p w14:paraId="123FD5EF"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10</w:t>
            </w:r>
          </w:p>
        </w:tc>
        <w:tc>
          <w:tcPr>
            <w:tcW w:w="634" w:type="dxa"/>
            <w:vAlign w:val="center"/>
          </w:tcPr>
          <w:p w14:paraId="35FEDC29"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6.4</w:t>
            </w:r>
          </w:p>
        </w:tc>
      </w:tr>
      <w:tr w:rsidR="000803DE" w:rsidRPr="002262E0" w14:paraId="3B986960" w14:textId="77777777" w:rsidTr="0011381C">
        <w:tc>
          <w:tcPr>
            <w:tcW w:w="1418" w:type="dxa"/>
            <w:tcBorders>
              <w:right w:val="single" w:sz="4" w:space="0" w:color="auto"/>
            </w:tcBorders>
          </w:tcPr>
          <w:p w14:paraId="7224F8AB" w14:textId="77777777" w:rsidR="000803DE" w:rsidRPr="004D7AD7" w:rsidRDefault="000803DE" w:rsidP="0011381C">
            <w:pPr>
              <w:autoSpaceDE w:val="0"/>
              <w:autoSpaceDN w:val="0"/>
              <w:adjustRightInd w:val="0"/>
              <w:spacing w:line="360" w:lineRule="exact"/>
              <w:ind w:leftChars="100" w:left="240"/>
              <w:jc w:val="both"/>
              <w:rPr>
                <w:rFonts w:eastAsia="Calibri"/>
                <w:szCs w:val="20"/>
              </w:rPr>
            </w:pPr>
            <w:r w:rsidRPr="004D7AD7">
              <w:rPr>
                <w:rFonts w:eastAsia="Calibri"/>
                <w:szCs w:val="20"/>
              </w:rPr>
              <w:t>16-20</w:t>
            </w:r>
          </w:p>
        </w:tc>
        <w:tc>
          <w:tcPr>
            <w:tcW w:w="634" w:type="dxa"/>
            <w:tcBorders>
              <w:left w:val="single" w:sz="4" w:space="0" w:color="auto"/>
            </w:tcBorders>
          </w:tcPr>
          <w:p w14:paraId="0F64A55F" w14:textId="77777777" w:rsidR="000803DE" w:rsidRPr="0011381C" w:rsidRDefault="000803DE" w:rsidP="00B95A3A">
            <w:pPr>
              <w:autoSpaceDE w:val="0"/>
              <w:autoSpaceDN w:val="0"/>
              <w:adjustRightInd w:val="0"/>
              <w:spacing w:line="360" w:lineRule="exact"/>
              <w:jc w:val="center"/>
              <w:rPr>
                <w:rFonts w:eastAsia="Calibri"/>
                <w:sz w:val="23"/>
                <w:szCs w:val="23"/>
              </w:rPr>
            </w:pPr>
            <w:r w:rsidRPr="0011381C">
              <w:rPr>
                <w:rFonts w:eastAsia="Calibri"/>
                <w:sz w:val="23"/>
                <w:szCs w:val="23"/>
              </w:rPr>
              <w:t>47</w:t>
            </w:r>
          </w:p>
        </w:tc>
        <w:tc>
          <w:tcPr>
            <w:tcW w:w="634" w:type="dxa"/>
            <w:tcBorders>
              <w:right w:val="single" w:sz="4" w:space="0" w:color="auto"/>
            </w:tcBorders>
            <w:vAlign w:val="center"/>
          </w:tcPr>
          <w:p w14:paraId="2328DAB2"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30.1</w:t>
            </w:r>
          </w:p>
        </w:tc>
        <w:tc>
          <w:tcPr>
            <w:tcW w:w="634" w:type="dxa"/>
            <w:tcBorders>
              <w:left w:val="single" w:sz="4" w:space="0" w:color="auto"/>
            </w:tcBorders>
            <w:vAlign w:val="center"/>
          </w:tcPr>
          <w:p w14:paraId="715AA671"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53</w:t>
            </w:r>
          </w:p>
        </w:tc>
        <w:tc>
          <w:tcPr>
            <w:tcW w:w="634" w:type="dxa"/>
            <w:tcBorders>
              <w:right w:val="single" w:sz="4" w:space="0" w:color="auto"/>
            </w:tcBorders>
            <w:vAlign w:val="center"/>
          </w:tcPr>
          <w:p w14:paraId="3DB03DB4"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33.9</w:t>
            </w:r>
          </w:p>
        </w:tc>
        <w:tc>
          <w:tcPr>
            <w:tcW w:w="634" w:type="dxa"/>
            <w:tcBorders>
              <w:left w:val="single" w:sz="4" w:space="0" w:color="auto"/>
            </w:tcBorders>
            <w:vAlign w:val="center"/>
          </w:tcPr>
          <w:p w14:paraId="2D3BF796"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5</w:t>
            </w:r>
          </w:p>
        </w:tc>
        <w:tc>
          <w:tcPr>
            <w:tcW w:w="634" w:type="dxa"/>
            <w:tcBorders>
              <w:right w:val="single" w:sz="4" w:space="0" w:color="auto"/>
            </w:tcBorders>
            <w:vAlign w:val="center"/>
          </w:tcPr>
          <w:p w14:paraId="7095FD1F"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3.2</w:t>
            </w:r>
          </w:p>
        </w:tc>
        <w:tc>
          <w:tcPr>
            <w:tcW w:w="634" w:type="dxa"/>
            <w:tcBorders>
              <w:left w:val="single" w:sz="4" w:space="0" w:color="auto"/>
            </w:tcBorders>
            <w:vAlign w:val="center"/>
          </w:tcPr>
          <w:p w14:paraId="451C80FA"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0</w:t>
            </w:r>
          </w:p>
        </w:tc>
        <w:tc>
          <w:tcPr>
            <w:tcW w:w="634" w:type="dxa"/>
            <w:tcBorders>
              <w:right w:val="single" w:sz="4" w:space="0" w:color="auto"/>
            </w:tcBorders>
            <w:vAlign w:val="center"/>
          </w:tcPr>
          <w:p w14:paraId="718CD441"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0</w:t>
            </w:r>
          </w:p>
        </w:tc>
        <w:tc>
          <w:tcPr>
            <w:tcW w:w="634" w:type="dxa"/>
            <w:tcBorders>
              <w:left w:val="single" w:sz="4" w:space="0" w:color="auto"/>
            </w:tcBorders>
            <w:vAlign w:val="center"/>
          </w:tcPr>
          <w:p w14:paraId="42B7AEDC"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0</w:t>
            </w:r>
          </w:p>
        </w:tc>
        <w:tc>
          <w:tcPr>
            <w:tcW w:w="634" w:type="dxa"/>
            <w:tcBorders>
              <w:right w:val="single" w:sz="4" w:space="0" w:color="auto"/>
            </w:tcBorders>
            <w:vAlign w:val="center"/>
          </w:tcPr>
          <w:p w14:paraId="1BBC0178"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0</w:t>
            </w:r>
          </w:p>
        </w:tc>
        <w:tc>
          <w:tcPr>
            <w:tcW w:w="634" w:type="dxa"/>
            <w:tcBorders>
              <w:left w:val="single" w:sz="4" w:space="0" w:color="auto"/>
            </w:tcBorders>
            <w:vAlign w:val="center"/>
          </w:tcPr>
          <w:p w14:paraId="16912061"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0</w:t>
            </w:r>
          </w:p>
        </w:tc>
        <w:tc>
          <w:tcPr>
            <w:tcW w:w="634" w:type="dxa"/>
            <w:vAlign w:val="center"/>
          </w:tcPr>
          <w:p w14:paraId="5893DD2A"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0</w:t>
            </w:r>
          </w:p>
        </w:tc>
      </w:tr>
      <w:tr w:rsidR="000803DE" w:rsidRPr="002262E0" w14:paraId="3EF543E4" w14:textId="77777777" w:rsidTr="0011381C">
        <w:tc>
          <w:tcPr>
            <w:tcW w:w="1418" w:type="dxa"/>
            <w:tcBorders>
              <w:right w:val="single" w:sz="4" w:space="0" w:color="auto"/>
            </w:tcBorders>
          </w:tcPr>
          <w:p w14:paraId="610F6EE6" w14:textId="77777777" w:rsidR="000803DE" w:rsidRPr="004D7AD7" w:rsidRDefault="000803DE" w:rsidP="0011381C">
            <w:pPr>
              <w:autoSpaceDE w:val="0"/>
              <w:autoSpaceDN w:val="0"/>
              <w:adjustRightInd w:val="0"/>
              <w:spacing w:line="360" w:lineRule="exact"/>
              <w:ind w:leftChars="100" w:left="240"/>
              <w:jc w:val="both"/>
              <w:rPr>
                <w:rFonts w:eastAsia="Calibri"/>
                <w:szCs w:val="20"/>
              </w:rPr>
            </w:pPr>
            <w:r w:rsidRPr="004D7AD7">
              <w:rPr>
                <w:rFonts w:eastAsia="Calibri"/>
                <w:szCs w:val="20"/>
              </w:rPr>
              <w:t>21-25</w:t>
            </w:r>
          </w:p>
        </w:tc>
        <w:tc>
          <w:tcPr>
            <w:tcW w:w="634" w:type="dxa"/>
            <w:tcBorders>
              <w:left w:val="single" w:sz="4" w:space="0" w:color="auto"/>
            </w:tcBorders>
          </w:tcPr>
          <w:p w14:paraId="281E6465" w14:textId="77777777" w:rsidR="000803DE" w:rsidRPr="0011381C" w:rsidRDefault="000803DE" w:rsidP="00B95A3A">
            <w:pPr>
              <w:autoSpaceDE w:val="0"/>
              <w:autoSpaceDN w:val="0"/>
              <w:adjustRightInd w:val="0"/>
              <w:spacing w:line="360" w:lineRule="exact"/>
              <w:jc w:val="center"/>
              <w:rPr>
                <w:rFonts w:eastAsia="Calibri"/>
                <w:sz w:val="23"/>
                <w:szCs w:val="23"/>
              </w:rPr>
            </w:pPr>
            <w:r w:rsidRPr="0011381C">
              <w:rPr>
                <w:rFonts w:eastAsia="Calibri"/>
                <w:sz w:val="23"/>
                <w:szCs w:val="23"/>
              </w:rPr>
              <w:t>14</w:t>
            </w:r>
          </w:p>
        </w:tc>
        <w:tc>
          <w:tcPr>
            <w:tcW w:w="634" w:type="dxa"/>
            <w:tcBorders>
              <w:right w:val="single" w:sz="4" w:space="0" w:color="auto"/>
            </w:tcBorders>
            <w:vAlign w:val="center"/>
          </w:tcPr>
          <w:p w14:paraId="30FE2D51"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9.0</w:t>
            </w:r>
          </w:p>
        </w:tc>
        <w:tc>
          <w:tcPr>
            <w:tcW w:w="634" w:type="dxa"/>
            <w:tcBorders>
              <w:left w:val="single" w:sz="4" w:space="0" w:color="auto"/>
            </w:tcBorders>
            <w:vAlign w:val="center"/>
          </w:tcPr>
          <w:p w14:paraId="221D3FDD"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9</w:t>
            </w:r>
          </w:p>
        </w:tc>
        <w:tc>
          <w:tcPr>
            <w:tcW w:w="634" w:type="dxa"/>
            <w:tcBorders>
              <w:right w:val="single" w:sz="4" w:space="0" w:color="auto"/>
            </w:tcBorders>
            <w:vAlign w:val="center"/>
          </w:tcPr>
          <w:p w14:paraId="5727C70B"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5.8</w:t>
            </w:r>
          </w:p>
        </w:tc>
        <w:tc>
          <w:tcPr>
            <w:tcW w:w="634" w:type="dxa"/>
            <w:tcBorders>
              <w:left w:val="single" w:sz="4" w:space="0" w:color="auto"/>
            </w:tcBorders>
            <w:vAlign w:val="center"/>
          </w:tcPr>
          <w:p w14:paraId="2C0BCEF5"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0</w:t>
            </w:r>
          </w:p>
        </w:tc>
        <w:tc>
          <w:tcPr>
            <w:tcW w:w="634" w:type="dxa"/>
            <w:tcBorders>
              <w:right w:val="single" w:sz="4" w:space="0" w:color="auto"/>
            </w:tcBorders>
            <w:vAlign w:val="center"/>
          </w:tcPr>
          <w:p w14:paraId="5C0F5E4D"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0</w:t>
            </w:r>
          </w:p>
        </w:tc>
        <w:tc>
          <w:tcPr>
            <w:tcW w:w="634" w:type="dxa"/>
            <w:tcBorders>
              <w:left w:val="single" w:sz="4" w:space="0" w:color="auto"/>
            </w:tcBorders>
            <w:vAlign w:val="center"/>
          </w:tcPr>
          <w:p w14:paraId="54A18CE2"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0</w:t>
            </w:r>
          </w:p>
        </w:tc>
        <w:tc>
          <w:tcPr>
            <w:tcW w:w="634" w:type="dxa"/>
            <w:tcBorders>
              <w:right w:val="single" w:sz="4" w:space="0" w:color="auto"/>
            </w:tcBorders>
            <w:vAlign w:val="center"/>
          </w:tcPr>
          <w:p w14:paraId="54A69CEE"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0</w:t>
            </w:r>
          </w:p>
        </w:tc>
        <w:tc>
          <w:tcPr>
            <w:tcW w:w="634" w:type="dxa"/>
            <w:tcBorders>
              <w:left w:val="single" w:sz="4" w:space="0" w:color="auto"/>
            </w:tcBorders>
            <w:vAlign w:val="center"/>
          </w:tcPr>
          <w:p w14:paraId="16DF46B5"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0</w:t>
            </w:r>
          </w:p>
        </w:tc>
        <w:tc>
          <w:tcPr>
            <w:tcW w:w="634" w:type="dxa"/>
            <w:tcBorders>
              <w:right w:val="single" w:sz="4" w:space="0" w:color="auto"/>
            </w:tcBorders>
            <w:vAlign w:val="center"/>
          </w:tcPr>
          <w:p w14:paraId="0EA844FB"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0</w:t>
            </w:r>
          </w:p>
        </w:tc>
        <w:tc>
          <w:tcPr>
            <w:tcW w:w="634" w:type="dxa"/>
            <w:tcBorders>
              <w:left w:val="single" w:sz="4" w:space="0" w:color="auto"/>
            </w:tcBorders>
            <w:vAlign w:val="center"/>
          </w:tcPr>
          <w:p w14:paraId="686AFFA3"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0</w:t>
            </w:r>
          </w:p>
        </w:tc>
        <w:tc>
          <w:tcPr>
            <w:tcW w:w="634" w:type="dxa"/>
            <w:vAlign w:val="center"/>
          </w:tcPr>
          <w:p w14:paraId="6BDE01BB"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0</w:t>
            </w:r>
          </w:p>
        </w:tc>
      </w:tr>
      <w:tr w:rsidR="000803DE" w:rsidRPr="002262E0" w14:paraId="18973CBF" w14:textId="77777777" w:rsidTr="0011381C">
        <w:tc>
          <w:tcPr>
            <w:tcW w:w="1418" w:type="dxa"/>
            <w:tcBorders>
              <w:right w:val="single" w:sz="4" w:space="0" w:color="auto"/>
            </w:tcBorders>
          </w:tcPr>
          <w:p w14:paraId="623A5D77" w14:textId="4B27F9E9" w:rsidR="000803DE" w:rsidRPr="004D7AD7" w:rsidRDefault="00B95A3A" w:rsidP="0011086F">
            <w:pPr>
              <w:autoSpaceDE w:val="0"/>
              <w:autoSpaceDN w:val="0"/>
              <w:adjustRightInd w:val="0"/>
              <w:spacing w:line="360" w:lineRule="exact"/>
              <w:jc w:val="both"/>
              <w:rPr>
                <w:rFonts w:eastAsia="Calibri"/>
                <w:spacing w:val="-10"/>
                <w:sz w:val="23"/>
                <w:szCs w:val="23"/>
              </w:rPr>
            </w:pPr>
            <w:r w:rsidRPr="004D7AD7">
              <w:rPr>
                <w:rFonts w:eastAsia="Calibri"/>
                <w:spacing w:val="-10"/>
                <w:sz w:val="23"/>
                <w:szCs w:val="23"/>
              </w:rPr>
              <w:t xml:space="preserve">More </w:t>
            </w:r>
            <w:r w:rsidR="000803DE" w:rsidRPr="004D7AD7">
              <w:rPr>
                <w:rFonts w:eastAsia="Calibri"/>
                <w:spacing w:val="-10"/>
                <w:sz w:val="23"/>
                <w:szCs w:val="23"/>
              </w:rPr>
              <w:t>than 25</w:t>
            </w:r>
          </w:p>
        </w:tc>
        <w:tc>
          <w:tcPr>
            <w:tcW w:w="634" w:type="dxa"/>
            <w:tcBorders>
              <w:left w:val="single" w:sz="4" w:space="0" w:color="auto"/>
              <w:bottom w:val="single" w:sz="4" w:space="0" w:color="auto"/>
            </w:tcBorders>
          </w:tcPr>
          <w:p w14:paraId="74207DB0" w14:textId="77777777" w:rsidR="000803DE" w:rsidRPr="0011381C" w:rsidRDefault="000803DE" w:rsidP="00B95A3A">
            <w:pPr>
              <w:autoSpaceDE w:val="0"/>
              <w:autoSpaceDN w:val="0"/>
              <w:adjustRightInd w:val="0"/>
              <w:spacing w:line="360" w:lineRule="exact"/>
              <w:jc w:val="center"/>
              <w:rPr>
                <w:rFonts w:eastAsia="Calibri"/>
                <w:sz w:val="23"/>
                <w:szCs w:val="23"/>
              </w:rPr>
            </w:pPr>
            <w:r w:rsidRPr="0011381C">
              <w:rPr>
                <w:rFonts w:eastAsia="Calibri"/>
                <w:sz w:val="23"/>
                <w:szCs w:val="23"/>
              </w:rPr>
              <w:t>3</w:t>
            </w:r>
          </w:p>
        </w:tc>
        <w:tc>
          <w:tcPr>
            <w:tcW w:w="634" w:type="dxa"/>
            <w:tcBorders>
              <w:bottom w:val="single" w:sz="4" w:space="0" w:color="auto"/>
              <w:right w:val="single" w:sz="4" w:space="0" w:color="auto"/>
            </w:tcBorders>
            <w:vAlign w:val="center"/>
          </w:tcPr>
          <w:p w14:paraId="1D82B284"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1.9</w:t>
            </w:r>
          </w:p>
        </w:tc>
        <w:tc>
          <w:tcPr>
            <w:tcW w:w="634" w:type="dxa"/>
            <w:tcBorders>
              <w:left w:val="single" w:sz="4" w:space="0" w:color="auto"/>
            </w:tcBorders>
            <w:vAlign w:val="center"/>
          </w:tcPr>
          <w:p w14:paraId="3A0722E2"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0</w:t>
            </w:r>
          </w:p>
        </w:tc>
        <w:tc>
          <w:tcPr>
            <w:tcW w:w="634" w:type="dxa"/>
            <w:tcBorders>
              <w:right w:val="single" w:sz="4" w:space="0" w:color="auto"/>
            </w:tcBorders>
            <w:vAlign w:val="center"/>
          </w:tcPr>
          <w:p w14:paraId="3ED20308"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0</w:t>
            </w:r>
          </w:p>
        </w:tc>
        <w:tc>
          <w:tcPr>
            <w:tcW w:w="634" w:type="dxa"/>
            <w:tcBorders>
              <w:left w:val="single" w:sz="4" w:space="0" w:color="auto"/>
              <w:bottom w:val="single" w:sz="4" w:space="0" w:color="auto"/>
            </w:tcBorders>
            <w:vAlign w:val="center"/>
          </w:tcPr>
          <w:p w14:paraId="19CB15F6"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0</w:t>
            </w:r>
          </w:p>
        </w:tc>
        <w:tc>
          <w:tcPr>
            <w:tcW w:w="634" w:type="dxa"/>
            <w:tcBorders>
              <w:bottom w:val="single" w:sz="4" w:space="0" w:color="auto"/>
              <w:right w:val="single" w:sz="4" w:space="0" w:color="auto"/>
            </w:tcBorders>
            <w:vAlign w:val="center"/>
          </w:tcPr>
          <w:p w14:paraId="1F163FDB"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0</w:t>
            </w:r>
          </w:p>
        </w:tc>
        <w:tc>
          <w:tcPr>
            <w:tcW w:w="634" w:type="dxa"/>
            <w:tcBorders>
              <w:left w:val="single" w:sz="4" w:space="0" w:color="auto"/>
            </w:tcBorders>
            <w:vAlign w:val="center"/>
          </w:tcPr>
          <w:p w14:paraId="339C84F5"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0</w:t>
            </w:r>
          </w:p>
        </w:tc>
        <w:tc>
          <w:tcPr>
            <w:tcW w:w="634" w:type="dxa"/>
            <w:tcBorders>
              <w:right w:val="single" w:sz="4" w:space="0" w:color="auto"/>
            </w:tcBorders>
            <w:vAlign w:val="center"/>
          </w:tcPr>
          <w:p w14:paraId="16A58106"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0</w:t>
            </w:r>
          </w:p>
        </w:tc>
        <w:tc>
          <w:tcPr>
            <w:tcW w:w="634" w:type="dxa"/>
            <w:tcBorders>
              <w:left w:val="single" w:sz="4" w:space="0" w:color="auto"/>
              <w:bottom w:val="single" w:sz="4" w:space="0" w:color="auto"/>
            </w:tcBorders>
            <w:vAlign w:val="center"/>
          </w:tcPr>
          <w:p w14:paraId="66538ABC"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0</w:t>
            </w:r>
          </w:p>
        </w:tc>
        <w:tc>
          <w:tcPr>
            <w:tcW w:w="634" w:type="dxa"/>
            <w:tcBorders>
              <w:bottom w:val="single" w:sz="4" w:space="0" w:color="auto"/>
              <w:right w:val="single" w:sz="4" w:space="0" w:color="auto"/>
            </w:tcBorders>
            <w:vAlign w:val="center"/>
          </w:tcPr>
          <w:p w14:paraId="2DFE3A0C"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0</w:t>
            </w:r>
          </w:p>
        </w:tc>
        <w:tc>
          <w:tcPr>
            <w:tcW w:w="634" w:type="dxa"/>
            <w:tcBorders>
              <w:left w:val="single" w:sz="4" w:space="0" w:color="auto"/>
            </w:tcBorders>
            <w:vAlign w:val="center"/>
          </w:tcPr>
          <w:p w14:paraId="0D05997B"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0</w:t>
            </w:r>
          </w:p>
        </w:tc>
        <w:tc>
          <w:tcPr>
            <w:tcW w:w="634" w:type="dxa"/>
            <w:vAlign w:val="center"/>
          </w:tcPr>
          <w:p w14:paraId="2ADDC339" w14:textId="77777777" w:rsidR="000803DE" w:rsidRPr="0011381C" w:rsidRDefault="000803DE" w:rsidP="0011381C">
            <w:pPr>
              <w:autoSpaceDE w:val="0"/>
              <w:autoSpaceDN w:val="0"/>
              <w:adjustRightInd w:val="0"/>
              <w:spacing w:line="360" w:lineRule="exact"/>
              <w:jc w:val="center"/>
              <w:rPr>
                <w:rFonts w:eastAsia="Calibri"/>
                <w:sz w:val="23"/>
                <w:szCs w:val="23"/>
              </w:rPr>
            </w:pPr>
            <w:r w:rsidRPr="0011381C">
              <w:rPr>
                <w:rFonts w:eastAsia="Calibri"/>
                <w:sz w:val="23"/>
                <w:szCs w:val="23"/>
              </w:rPr>
              <w:t>0</w:t>
            </w:r>
          </w:p>
        </w:tc>
      </w:tr>
    </w:tbl>
    <w:p w14:paraId="4FF99E51" w14:textId="54A75E98" w:rsidR="00655380" w:rsidRPr="00F40242" w:rsidRDefault="00655380" w:rsidP="0011086F">
      <w:pPr>
        <w:spacing w:line="360" w:lineRule="exact"/>
        <w:jc w:val="both"/>
        <w:rPr>
          <w:rFonts w:eastAsia="Calibri"/>
          <w:b/>
          <w:color w:val="000000"/>
          <w:sz w:val="26"/>
        </w:rPr>
      </w:pPr>
    </w:p>
    <w:p w14:paraId="5186C2E1" w14:textId="7CF90F9C" w:rsidR="001565E4" w:rsidRPr="006B1EBC" w:rsidRDefault="001565E4" w:rsidP="0011086F">
      <w:pPr>
        <w:autoSpaceDE w:val="0"/>
        <w:autoSpaceDN w:val="0"/>
        <w:adjustRightInd w:val="0"/>
        <w:spacing w:line="360" w:lineRule="exact"/>
        <w:jc w:val="both"/>
        <w:rPr>
          <w:b/>
          <w:sz w:val="26"/>
        </w:rPr>
      </w:pPr>
      <w:r w:rsidRPr="006B1EBC">
        <w:rPr>
          <w:b/>
          <w:sz w:val="26"/>
        </w:rPr>
        <w:t>Descriptive statistics</w:t>
      </w:r>
    </w:p>
    <w:p w14:paraId="075E5D27" w14:textId="42F00C5B" w:rsidR="004461D9" w:rsidRPr="00F40242" w:rsidRDefault="00B42B6B" w:rsidP="006B1EBC">
      <w:pPr>
        <w:pStyle w:val="Default"/>
        <w:spacing w:line="360" w:lineRule="exact"/>
        <w:ind w:firstLineChars="200" w:firstLine="520"/>
        <w:jc w:val="both"/>
        <w:rPr>
          <w:rFonts w:ascii="Times New Roman" w:hAnsi="Times New Roman" w:cs="Times New Roman"/>
          <w:sz w:val="26"/>
        </w:rPr>
      </w:pPr>
      <w:r w:rsidRPr="00F40242">
        <w:rPr>
          <w:rFonts w:ascii="Times New Roman" w:hAnsi="Times New Roman" w:cs="Times New Roman"/>
          <w:sz w:val="26"/>
        </w:rPr>
        <w:t xml:space="preserve">Consistent with the findings of </w:t>
      </w:r>
      <w:proofErr w:type="spellStart"/>
      <w:r w:rsidR="009829E6" w:rsidRPr="00F40242">
        <w:rPr>
          <w:rFonts w:ascii="Times New Roman" w:hAnsi="Times New Roman" w:cs="Times New Roman"/>
          <w:sz w:val="26"/>
        </w:rPr>
        <w:t>Kansal</w:t>
      </w:r>
      <w:proofErr w:type="spellEnd"/>
      <w:r w:rsidR="009829E6" w:rsidRPr="00F40242">
        <w:rPr>
          <w:rFonts w:ascii="Times New Roman" w:hAnsi="Times New Roman" w:cs="Times New Roman"/>
          <w:sz w:val="26"/>
        </w:rPr>
        <w:t xml:space="preserve"> et al. (2014) and Thompson and </w:t>
      </w:r>
      <w:proofErr w:type="spellStart"/>
      <w:r w:rsidR="009829E6" w:rsidRPr="00F40242">
        <w:rPr>
          <w:rFonts w:ascii="Times New Roman" w:hAnsi="Times New Roman" w:cs="Times New Roman"/>
          <w:sz w:val="26"/>
        </w:rPr>
        <w:t>Zakaria</w:t>
      </w:r>
      <w:proofErr w:type="spellEnd"/>
      <w:r w:rsidR="00027D6D" w:rsidRPr="00F40242">
        <w:rPr>
          <w:rFonts w:ascii="Times New Roman" w:hAnsi="Times New Roman" w:cs="Times New Roman"/>
          <w:sz w:val="26"/>
        </w:rPr>
        <w:t xml:space="preserve"> (2004),</w:t>
      </w:r>
      <w:r w:rsidR="009829E6" w:rsidRPr="00F40242">
        <w:rPr>
          <w:rFonts w:ascii="Times New Roman" w:hAnsi="Times New Roman" w:cs="Times New Roman"/>
          <w:sz w:val="26"/>
        </w:rPr>
        <w:t xml:space="preserve"> sample companies </w:t>
      </w:r>
      <w:r w:rsidR="00027D6D" w:rsidRPr="00F40242">
        <w:rPr>
          <w:rFonts w:ascii="Times New Roman" w:hAnsi="Times New Roman" w:cs="Times New Roman"/>
          <w:sz w:val="26"/>
        </w:rPr>
        <w:t xml:space="preserve">primarily </w:t>
      </w:r>
      <w:r w:rsidR="009829E6" w:rsidRPr="00F40242">
        <w:rPr>
          <w:rFonts w:ascii="Times New Roman" w:hAnsi="Times New Roman" w:cs="Times New Roman"/>
          <w:sz w:val="26"/>
        </w:rPr>
        <w:t>disclosed employee</w:t>
      </w:r>
      <w:r w:rsidR="00027D6D" w:rsidRPr="00F40242">
        <w:rPr>
          <w:rFonts w:ascii="Times New Roman" w:hAnsi="Times New Roman" w:cs="Times New Roman"/>
          <w:sz w:val="26"/>
        </w:rPr>
        <w:t>-</w:t>
      </w:r>
      <w:r w:rsidR="009829E6" w:rsidRPr="00F40242">
        <w:rPr>
          <w:rFonts w:ascii="Times New Roman" w:hAnsi="Times New Roman" w:cs="Times New Roman"/>
          <w:sz w:val="26"/>
        </w:rPr>
        <w:t xml:space="preserve">related information, as opposed to </w:t>
      </w:r>
      <w:r w:rsidR="00027D6D" w:rsidRPr="00F40242">
        <w:rPr>
          <w:rFonts w:ascii="Times New Roman" w:hAnsi="Times New Roman" w:cs="Times New Roman"/>
          <w:sz w:val="26"/>
        </w:rPr>
        <w:t>information related to</w:t>
      </w:r>
      <w:r w:rsidR="009829E6" w:rsidRPr="00F40242">
        <w:rPr>
          <w:rFonts w:ascii="Times New Roman" w:hAnsi="Times New Roman" w:cs="Times New Roman"/>
          <w:sz w:val="26"/>
        </w:rPr>
        <w:t xml:space="preserve"> customer and community issues. None </w:t>
      </w:r>
      <w:r w:rsidR="009829E6" w:rsidRPr="00F40242">
        <w:rPr>
          <w:rFonts w:ascii="Times New Roman" w:hAnsi="Times New Roman" w:cs="Times New Roman"/>
          <w:noProof/>
          <w:sz w:val="26"/>
        </w:rPr>
        <w:t>o</w:t>
      </w:r>
      <w:r w:rsidR="00CD711D" w:rsidRPr="00F40242">
        <w:rPr>
          <w:rFonts w:ascii="Times New Roman" w:hAnsi="Times New Roman" w:cs="Times New Roman"/>
          <w:noProof/>
          <w:sz w:val="26"/>
        </w:rPr>
        <w:t>f</w:t>
      </w:r>
      <w:r w:rsidR="009829E6" w:rsidRPr="00F40242">
        <w:rPr>
          <w:rFonts w:ascii="Times New Roman" w:hAnsi="Times New Roman" w:cs="Times New Roman"/>
          <w:sz w:val="26"/>
        </w:rPr>
        <w:t xml:space="preserve"> them disclosed </w:t>
      </w:r>
      <w:r w:rsidR="00F43C36" w:rsidRPr="00F40242">
        <w:rPr>
          <w:rFonts w:ascii="Times New Roman" w:hAnsi="Times New Roman" w:cs="Times New Roman"/>
          <w:sz w:val="26"/>
        </w:rPr>
        <w:t>diversity, opportunity</w:t>
      </w:r>
      <w:r w:rsidR="009829E6" w:rsidRPr="00F40242">
        <w:rPr>
          <w:rFonts w:ascii="Times New Roman" w:hAnsi="Times New Roman" w:cs="Times New Roman"/>
          <w:sz w:val="26"/>
        </w:rPr>
        <w:t>,</w:t>
      </w:r>
      <w:r w:rsidR="00F43C36" w:rsidRPr="00F40242">
        <w:rPr>
          <w:rFonts w:ascii="Times New Roman" w:hAnsi="Times New Roman" w:cs="Times New Roman"/>
          <w:sz w:val="26"/>
        </w:rPr>
        <w:t xml:space="preserve"> human rights</w:t>
      </w:r>
      <w:r w:rsidR="009829E6" w:rsidRPr="00F40242">
        <w:rPr>
          <w:rFonts w:ascii="Times New Roman" w:hAnsi="Times New Roman" w:cs="Times New Roman"/>
          <w:sz w:val="26"/>
        </w:rPr>
        <w:t>,</w:t>
      </w:r>
      <w:r w:rsidR="00F43C36" w:rsidRPr="00F40242">
        <w:rPr>
          <w:rFonts w:ascii="Times New Roman" w:hAnsi="Times New Roman" w:cs="Times New Roman"/>
          <w:sz w:val="26"/>
        </w:rPr>
        <w:t xml:space="preserve"> integrity</w:t>
      </w:r>
      <w:r w:rsidR="002262E0">
        <w:rPr>
          <w:rFonts w:ascii="Times New Roman" w:hAnsi="Times New Roman" w:cs="Times New Roman"/>
          <w:sz w:val="26"/>
        </w:rPr>
        <w:t>,</w:t>
      </w:r>
      <w:r w:rsidR="00F43C36" w:rsidRPr="00F40242">
        <w:rPr>
          <w:rFonts w:ascii="Times New Roman" w:hAnsi="Times New Roman" w:cs="Times New Roman"/>
          <w:sz w:val="26"/>
        </w:rPr>
        <w:t xml:space="preserve"> </w:t>
      </w:r>
      <w:r w:rsidR="00027D6D" w:rsidRPr="00F40242">
        <w:rPr>
          <w:rFonts w:ascii="Times New Roman" w:hAnsi="Times New Roman" w:cs="Times New Roman"/>
          <w:sz w:val="26"/>
        </w:rPr>
        <w:t xml:space="preserve">or </w:t>
      </w:r>
      <w:r w:rsidR="00F43C36" w:rsidRPr="00F40242">
        <w:rPr>
          <w:rFonts w:ascii="Times New Roman" w:hAnsi="Times New Roman" w:cs="Times New Roman"/>
          <w:sz w:val="26"/>
        </w:rPr>
        <w:t>ethics</w:t>
      </w:r>
      <w:r w:rsidR="009829E6" w:rsidRPr="00F40242">
        <w:rPr>
          <w:rFonts w:ascii="Times New Roman" w:hAnsi="Times New Roman" w:cs="Times New Roman"/>
          <w:sz w:val="26"/>
        </w:rPr>
        <w:t xml:space="preserve"> information</w:t>
      </w:r>
      <w:r w:rsidR="00F43C36" w:rsidRPr="00F40242">
        <w:rPr>
          <w:rFonts w:ascii="Times New Roman" w:hAnsi="Times New Roman" w:cs="Times New Roman"/>
          <w:sz w:val="26"/>
        </w:rPr>
        <w:t>. Only two companies disclosed information on fines</w:t>
      </w:r>
      <w:r w:rsidR="00027D6D" w:rsidRPr="00F40242">
        <w:rPr>
          <w:rFonts w:ascii="Times New Roman" w:hAnsi="Times New Roman" w:cs="Times New Roman"/>
          <w:sz w:val="26"/>
        </w:rPr>
        <w:t xml:space="preserve">, </w:t>
      </w:r>
      <w:r w:rsidR="00F43C36" w:rsidRPr="00F40242">
        <w:rPr>
          <w:rFonts w:ascii="Times New Roman" w:hAnsi="Times New Roman" w:cs="Times New Roman"/>
          <w:sz w:val="26"/>
        </w:rPr>
        <w:t>lawsuits</w:t>
      </w:r>
      <w:r w:rsidR="00027D6D" w:rsidRPr="00F40242">
        <w:rPr>
          <w:rFonts w:ascii="Times New Roman" w:hAnsi="Times New Roman" w:cs="Times New Roman"/>
          <w:sz w:val="26"/>
        </w:rPr>
        <w:t xml:space="preserve">, or </w:t>
      </w:r>
      <w:r w:rsidR="00F43C36" w:rsidRPr="00F40242">
        <w:rPr>
          <w:rFonts w:ascii="Times New Roman" w:hAnsi="Times New Roman" w:cs="Times New Roman"/>
          <w:sz w:val="26"/>
        </w:rPr>
        <w:t xml:space="preserve">non-compliance incidents. This non-disclosure </w:t>
      </w:r>
      <w:r w:rsidR="00F43C36" w:rsidRPr="00F40242">
        <w:rPr>
          <w:rFonts w:ascii="Times New Roman" w:hAnsi="Times New Roman" w:cs="Times New Roman"/>
          <w:noProof/>
          <w:sz w:val="26"/>
        </w:rPr>
        <w:t>suggest</w:t>
      </w:r>
      <w:r w:rsidR="00CD36FE" w:rsidRPr="00F40242">
        <w:rPr>
          <w:rFonts w:ascii="Times New Roman" w:hAnsi="Times New Roman" w:cs="Times New Roman"/>
          <w:noProof/>
          <w:sz w:val="26"/>
        </w:rPr>
        <w:t>s</w:t>
      </w:r>
      <w:r w:rsidR="00F43C36" w:rsidRPr="00F40242">
        <w:rPr>
          <w:rFonts w:ascii="Times New Roman" w:hAnsi="Times New Roman" w:cs="Times New Roman"/>
          <w:sz w:val="26"/>
        </w:rPr>
        <w:t xml:space="preserve"> that companies are only interested in disclosing general information for public relation</w:t>
      </w:r>
      <w:r w:rsidR="00761B5D" w:rsidRPr="00F40242">
        <w:rPr>
          <w:rFonts w:ascii="Times New Roman" w:hAnsi="Times New Roman" w:cs="Times New Roman"/>
          <w:sz w:val="26"/>
        </w:rPr>
        <w:t>s,</w:t>
      </w:r>
      <w:r w:rsidR="00F43C36" w:rsidRPr="00F40242">
        <w:rPr>
          <w:rFonts w:ascii="Times New Roman" w:hAnsi="Times New Roman" w:cs="Times New Roman"/>
          <w:sz w:val="26"/>
        </w:rPr>
        <w:t xml:space="preserve"> </w:t>
      </w:r>
      <w:r w:rsidR="003F0B59" w:rsidRPr="00F40242">
        <w:rPr>
          <w:rFonts w:ascii="Times New Roman" w:hAnsi="Times New Roman" w:cs="Times New Roman"/>
          <w:sz w:val="26"/>
        </w:rPr>
        <w:t xml:space="preserve">not for legitimising their activities; </w:t>
      </w:r>
      <w:r w:rsidR="00761B5D" w:rsidRPr="00F40242">
        <w:rPr>
          <w:rFonts w:ascii="Times New Roman" w:hAnsi="Times New Roman" w:cs="Times New Roman"/>
          <w:sz w:val="26"/>
        </w:rPr>
        <w:t xml:space="preserve">that is, </w:t>
      </w:r>
      <w:r w:rsidR="003F0B59" w:rsidRPr="00F40242">
        <w:rPr>
          <w:rFonts w:ascii="Times New Roman" w:hAnsi="Times New Roman" w:cs="Times New Roman"/>
          <w:sz w:val="26"/>
        </w:rPr>
        <w:t>companies’</w:t>
      </w:r>
      <w:r w:rsidR="00F43C36" w:rsidRPr="00F40242">
        <w:rPr>
          <w:rFonts w:ascii="Times New Roman" w:hAnsi="Times New Roman" w:cs="Times New Roman"/>
          <w:sz w:val="26"/>
        </w:rPr>
        <w:t xml:space="preserve"> disclosure policies </w:t>
      </w:r>
      <w:r w:rsidR="00F43C36" w:rsidRPr="00F40242">
        <w:rPr>
          <w:rFonts w:ascii="Times New Roman" w:hAnsi="Times New Roman" w:cs="Times New Roman"/>
          <w:noProof/>
          <w:sz w:val="26"/>
        </w:rPr>
        <w:t xml:space="preserve">are not </w:t>
      </w:r>
      <w:r w:rsidR="003F0B59" w:rsidRPr="00F40242">
        <w:rPr>
          <w:rFonts w:ascii="Times New Roman" w:hAnsi="Times New Roman" w:cs="Times New Roman"/>
          <w:noProof/>
          <w:sz w:val="26"/>
        </w:rPr>
        <w:t>grounded</w:t>
      </w:r>
      <w:r w:rsidR="003F0B59" w:rsidRPr="00F40242">
        <w:rPr>
          <w:rFonts w:ascii="Times New Roman" w:hAnsi="Times New Roman" w:cs="Times New Roman"/>
          <w:sz w:val="26"/>
        </w:rPr>
        <w:t xml:space="preserve"> on legitimacy theory.</w:t>
      </w:r>
      <w:r w:rsidR="00F43C36" w:rsidRPr="00F40242">
        <w:rPr>
          <w:rFonts w:ascii="Times New Roman" w:hAnsi="Times New Roman" w:cs="Times New Roman"/>
          <w:sz w:val="26"/>
        </w:rPr>
        <w:t xml:space="preserve"> </w:t>
      </w:r>
      <w:r w:rsidR="003F0B59" w:rsidRPr="00F40242">
        <w:rPr>
          <w:rFonts w:ascii="Times New Roman" w:hAnsi="Times New Roman" w:cs="Times New Roman"/>
          <w:sz w:val="26"/>
        </w:rPr>
        <w:t xml:space="preserve"> </w:t>
      </w:r>
      <w:r w:rsidR="009829E6" w:rsidRPr="00F40242">
        <w:rPr>
          <w:rFonts w:ascii="Times New Roman" w:hAnsi="Times New Roman" w:cs="Times New Roman"/>
          <w:sz w:val="26"/>
        </w:rPr>
        <w:t>I</w:t>
      </w:r>
      <w:r w:rsidR="00394E32" w:rsidRPr="00F40242">
        <w:rPr>
          <w:rFonts w:ascii="Times New Roman" w:hAnsi="Times New Roman" w:cs="Times New Roman"/>
          <w:sz w:val="26"/>
        </w:rPr>
        <w:t>nconsistent with the findings of similar studies</w:t>
      </w:r>
      <w:r w:rsidR="009829E6" w:rsidRPr="00F40242">
        <w:rPr>
          <w:rFonts w:ascii="Times New Roman" w:hAnsi="Times New Roman" w:cs="Times New Roman"/>
          <w:sz w:val="26"/>
        </w:rPr>
        <w:t xml:space="preserve"> of </w:t>
      </w:r>
      <w:r w:rsidR="00394E32" w:rsidRPr="00F40242">
        <w:rPr>
          <w:rFonts w:ascii="Times New Roman" w:hAnsi="Times New Roman" w:cs="Times New Roman"/>
          <w:sz w:val="26"/>
        </w:rPr>
        <w:t xml:space="preserve">Thompson and </w:t>
      </w:r>
      <w:proofErr w:type="spellStart"/>
      <w:r w:rsidR="00394E32" w:rsidRPr="00F40242">
        <w:rPr>
          <w:rFonts w:ascii="Times New Roman" w:hAnsi="Times New Roman" w:cs="Times New Roman"/>
          <w:sz w:val="26"/>
        </w:rPr>
        <w:t>Zakaria</w:t>
      </w:r>
      <w:proofErr w:type="spellEnd"/>
      <w:r w:rsidR="00394E32" w:rsidRPr="00F40242">
        <w:rPr>
          <w:rFonts w:ascii="Times New Roman" w:hAnsi="Times New Roman" w:cs="Times New Roman"/>
          <w:sz w:val="26"/>
        </w:rPr>
        <w:t xml:space="preserve"> (2004) and Raman (2006)</w:t>
      </w:r>
      <w:r w:rsidR="00761B5D" w:rsidRPr="00F40242">
        <w:rPr>
          <w:rFonts w:ascii="Times New Roman" w:hAnsi="Times New Roman" w:cs="Times New Roman"/>
          <w:sz w:val="26"/>
        </w:rPr>
        <w:t>,</w:t>
      </w:r>
      <w:r w:rsidR="009829E6" w:rsidRPr="00F40242">
        <w:rPr>
          <w:rFonts w:ascii="Times New Roman" w:hAnsi="Times New Roman" w:cs="Times New Roman"/>
          <w:sz w:val="26"/>
        </w:rPr>
        <w:t xml:space="preserve"> </w:t>
      </w:r>
      <w:r w:rsidR="00E57C1E" w:rsidRPr="00F40242">
        <w:rPr>
          <w:rFonts w:ascii="Times New Roman" w:hAnsi="Times New Roman" w:cs="Times New Roman"/>
          <w:sz w:val="26"/>
        </w:rPr>
        <w:t xml:space="preserve">the current study found that </w:t>
      </w:r>
      <w:r w:rsidR="00761B5D" w:rsidRPr="00F40242">
        <w:rPr>
          <w:rFonts w:ascii="Times New Roman" w:hAnsi="Times New Roman" w:cs="Times New Roman"/>
          <w:noProof/>
          <w:sz w:val="26"/>
        </w:rPr>
        <w:t>93%</w:t>
      </w:r>
      <w:r w:rsidR="00E57C1E" w:rsidRPr="00F40242">
        <w:rPr>
          <w:rFonts w:ascii="Times New Roman" w:hAnsi="Times New Roman" w:cs="Times New Roman"/>
          <w:sz w:val="26"/>
        </w:rPr>
        <w:t xml:space="preserve"> of Indian companies reported some form of environmental information</w:t>
      </w:r>
      <w:r w:rsidR="00394E32" w:rsidRPr="00F40242">
        <w:rPr>
          <w:rFonts w:ascii="Times New Roman" w:hAnsi="Times New Roman" w:cs="Times New Roman"/>
          <w:sz w:val="26"/>
        </w:rPr>
        <w:t xml:space="preserve">. </w:t>
      </w:r>
      <w:r w:rsidR="00E57C1E" w:rsidRPr="00F40242">
        <w:rPr>
          <w:rFonts w:ascii="Times New Roman" w:hAnsi="Times New Roman" w:cs="Times New Roman"/>
          <w:sz w:val="26"/>
        </w:rPr>
        <w:t xml:space="preserve">‘Energy, water, and materials’ and ‘general’ are the two important </w:t>
      </w:r>
      <w:r w:rsidR="00E57C1E" w:rsidRPr="00F40242">
        <w:rPr>
          <w:rFonts w:ascii="Times New Roman" w:hAnsi="Times New Roman" w:cs="Times New Roman"/>
          <w:noProof/>
          <w:sz w:val="26"/>
        </w:rPr>
        <w:t>categor</w:t>
      </w:r>
      <w:r w:rsidR="00CD711D" w:rsidRPr="00F40242">
        <w:rPr>
          <w:rFonts w:ascii="Times New Roman" w:hAnsi="Times New Roman" w:cs="Times New Roman"/>
          <w:noProof/>
          <w:sz w:val="26"/>
        </w:rPr>
        <w:t>ies</w:t>
      </w:r>
      <w:r w:rsidR="00E57C1E" w:rsidRPr="00F40242">
        <w:rPr>
          <w:rFonts w:ascii="Times New Roman" w:hAnsi="Times New Roman" w:cs="Times New Roman"/>
          <w:sz w:val="26"/>
        </w:rPr>
        <w:t xml:space="preserve"> under which most </w:t>
      </w:r>
      <w:r w:rsidR="00394E32" w:rsidRPr="00F40242">
        <w:rPr>
          <w:rFonts w:ascii="Times New Roman" w:hAnsi="Times New Roman" w:cs="Times New Roman"/>
          <w:sz w:val="26"/>
        </w:rPr>
        <w:t xml:space="preserve">environmental </w:t>
      </w:r>
      <w:r w:rsidR="00E57C1E" w:rsidRPr="00F40242">
        <w:rPr>
          <w:rFonts w:ascii="Times New Roman" w:hAnsi="Times New Roman" w:cs="Times New Roman"/>
          <w:sz w:val="26"/>
        </w:rPr>
        <w:t xml:space="preserve">information </w:t>
      </w:r>
      <w:r w:rsidR="00761B5D" w:rsidRPr="00F40242">
        <w:rPr>
          <w:rFonts w:ascii="Times New Roman" w:hAnsi="Times New Roman" w:cs="Times New Roman"/>
          <w:noProof/>
          <w:sz w:val="26"/>
        </w:rPr>
        <w:t xml:space="preserve">is </w:t>
      </w:r>
      <w:r w:rsidR="00394E32" w:rsidRPr="00F40242">
        <w:rPr>
          <w:rFonts w:ascii="Times New Roman" w:hAnsi="Times New Roman" w:cs="Times New Roman"/>
          <w:noProof/>
          <w:sz w:val="26"/>
        </w:rPr>
        <w:t>disclos</w:t>
      </w:r>
      <w:r w:rsidR="00E57C1E" w:rsidRPr="00F40242">
        <w:rPr>
          <w:rFonts w:ascii="Times New Roman" w:hAnsi="Times New Roman" w:cs="Times New Roman"/>
          <w:noProof/>
          <w:sz w:val="26"/>
        </w:rPr>
        <w:t>ed</w:t>
      </w:r>
      <w:r w:rsidR="00E57C1E" w:rsidRPr="00F40242">
        <w:rPr>
          <w:rFonts w:ascii="Times New Roman" w:hAnsi="Times New Roman" w:cs="Times New Roman"/>
          <w:sz w:val="26"/>
        </w:rPr>
        <w:t xml:space="preserve">. Information </w:t>
      </w:r>
      <w:r w:rsidR="00761B5D" w:rsidRPr="00F40242">
        <w:rPr>
          <w:rFonts w:ascii="Times New Roman" w:hAnsi="Times New Roman" w:cs="Times New Roman"/>
          <w:noProof/>
          <w:sz w:val="26"/>
        </w:rPr>
        <w:t>is</w:t>
      </w:r>
      <w:r w:rsidR="00761B5D" w:rsidRPr="00F40242">
        <w:rPr>
          <w:rFonts w:ascii="Times New Roman" w:hAnsi="Times New Roman" w:cs="Times New Roman"/>
          <w:sz w:val="26"/>
        </w:rPr>
        <w:t xml:space="preserve"> </w:t>
      </w:r>
      <w:r w:rsidR="00E57C1E" w:rsidRPr="00F40242">
        <w:rPr>
          <w:rFonts w:ascii="Times New Roman" w:hAnsi="Times New Roman" w:cs="Times New Roman"/>
          <w:sz w:val="26"/>
        </w:rPr>
        <w:t>mainly qualitative</w:t>
      </w:r>
      <w:r w:rsidR="00761B5D" w:rsidRPr="00F40242">
        <w:rPr>
          <w:rFonts w:ascii="Times New Roman" w:hAnsi="Times New Roman" w:cs="Times New Roman"/>
          <w:sz w:val="26"/>
        </w:rPr>
        <w:t>,</w:t>
      </w:r>
      <w:r w:rsidR="00E57C1E" w:rsidRPr="00F40242">
        <w:rPr>
          <w:rFonts w:ascii="Times New Roman" w:hAnsi="Times New Roman" w:cs="Times New Roman"/>
          <w:sz w:val="26"/>
        </w:rPr>
        <w:t xml:space="preserve"> as </w:t>
      </w:r>
      <w:r w:rsidR="00761B5D" w:rsidRPr="00F40242">
        <w:rPr>
          <w:rFonts w:ascii="Times New Roman" w:hAnsi="Times New Roman" w:cs="Times New Roman"/>
          <w:sz w:val="26"/>
        </w:rPr>
        <w:t xml:space="preserve">it </w:t>
      </w:r>
      <w:r w:rsidR="00394E32" w:rsidRPr="00F40242">
        <w:rPr>
          <w:rFonts w:ascii="Times New Roman" w:hAnsi="Times New Roman" w:cs="Times New Roman"/>
          <w:sz w:val="26"/>
        </w:rPr>
        <w:t>primarily constitutes a company’s statement of corporate commitment to environmental protection.</w:t>
      </w:r>
      <w:r w:rsidR="00E57C1E" w:rsidRPr="00F40242">
        <w:rPr>
          <w:rFonts w:ascii="Times New Roman" w:hAnsi="Times New Roman" w:cs="Times New Roman"/>
          <w:sz w:val="26"/>
        </w:rPr>
        <w:t xml:space="preserve"> </w:t>
      </w:r>
      <w:r w:rsidR="00394E32" w:rsidRPr="00F40242">
        <w:rPr>
          <w:rFonts w:ascii="Times New Roman" w:hAnsi="Times New Roman" w:cs="Times New Roman"/>
          <w:noProof/>
          <w:sz w:val="26"/>
        </w:rPr>
        <w:t>This indicates</w:t>
      </w:r>
      <w:r w:rsidR="00394E32" w:rsidRPr="00F40242">
        <w:rPr>
          <w:rFonts w:ascii="Times New Roman" w:hAnsi="Times New Roman" w:cs="Times New Roman"/>
          <w:sz w:val="26"/>
        </w:rPr>
        <w:t xml:space="preserve"> that most companies </w:t>
      </w:r>
      <w:r w:rsidR="00761B5D" w:rsidRPr="00F40242">
        <w:rPr>
          <w:rFonts w:ascii="Times New Roman" w:hAnsi="Times New Roman" w:cs="Times New Roman"/>
          <w:sz w:val="26"/>
        </w:rPr>
        <w:t>disclose</w:t>
      </w:r>
      <w:r w:rsidR="00394E32" w:rsidRPr="00F40242">
        <w:rPr>
          <w:rFonts w:ascii="Times New Roman" w:hAnsi="Times New Roman" w:cs="Times New Roman"/>
          <w:sz w:val="26"/>
        </w:rPr>
        <w:t xml:space="preserve"> </w:t>
      </w:r>
      <w:r w:rsidR="00394E32" w:rsidRPr="00F40242">
        <w:rPr>
          <w:rFonts w:ascii="Times New Roman" w:hAnsi="Times New Roman" w:cs="Times New Roman"/>
          <w:sz w:val="26"/>
        </w:rPr>
        <w:lastRenderedPageBreak/>
        <w:t xml:space="preserve">qualitative and declarative information. The </w:t>
      </w:r>
      <w:r w:rsidR="00394E32" w:rsidRPr="00F40242">
        <w:rPr>
          <w:rFonts w:ascii="Times New Roman" w:hAnsi="Times New Roman" w:cs="Times New Roman"/>
          <w:noProof/>
          <w:sz w:val="26"/>
        </w:rPr>
        <w:t>disclos</w:t>
      </w:r>
      <w:r w:rsidR="00761B5D" w:rsidRPr="00F40242">
        <w:rPr>
          <w:rFonts w:ascii="Times New Roman" w:hAnsi="Times New Roman" w:cs="Times New Roman"/>
          <w:sz w:val="26"/>
        </w:rPr>
        <w:t xml:space="preserve">ure </w:t>
      </w:r>
      <w:r w:rsidR="00394E32" w:rsidRPr="00F40242">
        <w:rPr>
          <w:rFonts w:ascii="Times New Roman" w:hAnsi="Times New Roman" w:cs="Times New Roman"/>
          <w:sz w:val="26"/>
        </w:rPr>
        <w:t>pattern</w:t>
      </w:r>
      <w:r w:rsidR="00993016" w:rsidRPr="00F40242">
        <w:rPr>
          <w:rFonts w:ascii="Times New Roman" w:hAnsi="Times New Roman" w:cs="Times New Roman"/>
          <w:sz w:val="26"/>
        </w:rPr>
        <w:t xml:space="preserve"> suggests that</w:t>
      </w:r>
      <w:r w:rsidR="00394E32" w:rsidRPr="00F40242">
        <w:rPr>
          <w:rFonts w:ascii="Times New Roman" w:hAnsi="Times New Roman" w:cs="Times New Roman"/>
          <w:sz w:val="26"/>
        </w:rPr>
        <w:t xml:space="preserve"> companies</w:t>
      </w:r>
      <w:r w:rsidR="00993016" w:rsidRPr="00F40242">
        <w:rPr>
          <w:rFonts w:ascii="Times New Roman" w:hAnsi="Times New Roman" w:cs="Times New Roman"/>
          <w:sz w:val="26"/>
        </w:rPr>
        <w:t xml:space="preserve"> are not willing to disclose specific information</w:t>
      </w:r>
      <w:r w:rsidR="00761B5D" w:rsidRPr="00F40242">
        <w:rPr>
          <w:rFonts w:ascii="Times New Roman" w:hAnsi="Times New Roman" w:cs="Times New Roman"/>
          <w:sz w:val="26"/>
        </w:rPr>
        <w:t xml:space="preserve"> that could be perceived as negative</w:t>
      </w:r>
      <w:r w:rsidR="00993016" w:rsidRPr="00F40242">
        <w:rPr>
          <w:rFonts w:ascii="Times New Roman" w:hAnsi="Times New Roman" w:cs="Times New Roman"/>
          <w:sz w:val="26"/>
        </w:rPr>
        <w:t xml:space="preserve"> and are simply interested in reporting general information to portray their socially responsible image. This insufficient</w:t>
      </w:r>
      <w:r w:rsidR="00394E32" w:rsidRPr="00F40242">
        <w:rPr>
          <w:rFonts w:ascii="Times New Roman" w:hAnsi="Times New Roman" w:cs="Times New Roman"/>
          <w:sz w:val="26"/>
        </w:rPr>
        <w:t xml:space="preserve"> </w:t>
      </w:r>
      <w:r w:rsidR="00F80157" w:rsidRPr="00F40242">
        <w:rPr>
          <w:rFonts w:ascii="Times New Roman" w:hAnsi="Times New Roman" w:cs="Times New Roman"/>
          <w:sz w:val="26"/>
        </w:rPr>
        <w:t>disclosure</w:t>
      </w:r>
      <w:r w:rsidR="00394E32" w:rsidRPr="00F40242">
        <w:rPr>
          <w:rFonts w:ascii="Times New Roman" w:hAnsi="Times New Roman" w:cs="Times New Roman"/>
          <w:sz w:val="26"/>
        </w:rPr>
        <w:t xml:space="preserve"> </w:t>
      </w:r>
      <w:r w:rsidR="00CD36FE" w:rsidRPr="00F40242">
        <w:rPr>
          <w:rFonts w:ascii="Times New Roman" w:hAnsi="Times New Roman" w:cs="Times New Roman"/>
          <w:noProof/>
          <w:sz w:val="26"/>
        </w:rPr>
        <w:t>is</w:t>
      </w:r>
      <w:r w:rsidR="00394E32" w:rsidRPr="00F40242">
        <w:rPr>
          <w:rFonts w:ascii="Times New Roman" w:hAnsi="Times New Roman" w:cs="Times New Roman"/>
          <w:sz w:val="26"/>
        </w:rPr>
        <w:t xml:space="preserve"> attributable to </w:t>
      </w:r>
      <w:r w:rsidR="00F43C36" w:rsidRPr="00F40242">
        <w:rPr>
          <w:rFonts w:ascii="Times New Roman" w:hAnsi="Times New Roman" w:cs="Times New Roman"/>
          <w:sz w:val="26"/>
        </w:rPr>
        <w:t>the fact that social and environmental awareness</w:t>
      </w:r>
      <w:r w:rsidR="00761B5D" w:rsidRPr="00F40242">
        <w:rPr>
          <w:rFonts w:ascii="Times New Roman" w:hAnsi="Times New Roman" w:cs="Times New Roman"/>
          <w:sz w:val="26"/>
        </w:rPr>
        <w:t xml:space="preserve"> and</w:t>
      </w:r>
      <w:r w:rsidR="00F43C36" w:rsidRPr="00F40242">
        <w:rPr>
          <w:rFonts w:ascii="Times New Roman" w:hAnsi="Times New Roman" w:cs="Times New Roman"/>
          <w:sz w:val="26"/>
        </w:rPr>
        <w:t xml:space="preserve"> pressure from stakeholders, various special groups, the general public and even </w:t>
      </w:r>
      <w:r w:rsidR="00761B5D" w:rsidRPr="00F40242">
        <w:rPr>
          <w:rFonts w:ascii="Times New Roman" w:hAnsi="Times New Roman" w:cs="Times New Roman"/>
          <w:sz w:val="26"/>
        </w:rPr>
        <w:t xml:space="preserve">the </w:t>
      </w:r>
      <w:r w:rsidR="00F43C36" w:rsidRPr="00F40242">
        <w:rPr>
          <w:rFonts w:ascii="Times New Roman" w:hAnsi="Times New Roman" w:cs="Times New Roman"/>
          <w:sz w:val="26"/>
        </w:rPr>
        <w:t>governmen</w:t>
      </w:r>
      <w:r w:rsidR="00993016" w:rsidRPr="00F40242">
        <w:rPr>
          <w:rFonts w:ascii="Times New Roman" w:hAnsi="Times New Roman" w:cs="Times New Roman"/>
          <w:sz w:val="26"/>
        </w:rPr>
        <w:t>t in India</w:t>
      </w:r>
      <w:r w:rsidR="00F43C36" w:rsidRPr="00F40242">
        <w:rPr>
          <w:rFonts w:ascii="Times New Roman" w:hAnsi="Times New Roman" w:cs="Times New Roman"/>
          <w:sz w:val="26"/>
        </w:rPr>
        <w:t xml:space="preserve"> </w:t>
      </w:r>
      <w:r w:rsidR="00CD36FE" w:rsidRPr="00F40242">
        <w:rPr>
          <w:rFonts w:ascii="Times New Roman" w:hAnsi="Times New Roman" w:cs="Times New Roman"/>
          <w:noProof/>
          <w:sz w:val="26"/>
        </w:rPr>
        <w:t>are</w:t>
      </w:r>
      <w:r w:rsidR="00F43C36" w:rsidRPr="00F40242">
        <w:rPr>
          <w:rFonts w:ascii="Times New Roman" w:hAnsi="Times New Roman" w:cs="Times New Roman"/>
          <w:sz w:val="26"/>
        </w:rPr>
        <w:t xml:space="preserve"> still relatively low</w:t>
      </w:r>
      <w:r w:rsidR="00993016" w:rsidRPr="00F40242">
        <w:rPr>
          <w:rFonts w:ascii="Times New Roman" w:hAnsi="Times New Roman" w:cs="Times New Roman"/>
          <w:sz w:val="26"/>
        </w:rPr>
        <w:t>.</w:t>
      </w:r>
      <w:r w:rsidR="00F43C36" w:rsidRPr="00F40242">
        <w:rPr>
          <w:rFonts w:ascii="Times New Roman" w:hAnsi="Times New Roman" w:cs="Times New Roman"/>
          <w:sz w:val="26"/>
        </w:rPr>
        <w:t xml:space="preserve"> </w:t>
      </w:r>
      <w:r w:rsidR="00761B5D" w:rsidRPr="00F40242">
        <w:rPr>
          <w:rFonts w:ascii="Times New Roman" w:hAnsi="Times New Roman" w:cs="Times New Roman"/>
          <w:sz w:val="26"/>
        </w:rPr>
        <w:t>This is quite surprising considering that the country is a</w:t>
      </w:r>
      <w:r w:rsidR="00993016" w:rsidRPr="00F40242">
        <w:rPr>
          <w:rFonts w:ascii="Times New Roman" w:hAnsi="Times New Roman" w:cs="Times New Roman"/>
          <w:sz w:val="26"/>
        </w:rPr>
        <w:t xml:space="preserve"> major carbon-di</w:t>
      </w:r>
      <w:r w:rsidR="001A188D" w:rsidRPr="00F40242">
        <w:rPr>
          <w:rFonts w:ascii="Times New Roman" w:hAnsi="Times New Roman" w:cs="Times New Roman"/>
          <w:sz w:val="26"/>
        </w:rPr>
        <w:t>oxide</w:t>
      </w:r>
      <w:r w:rsidR="00993016" w:rsidRPr="00F40242">
        <w:rPr>
          <w:rFonts w:ascii="Times New Roman" w:hAnsi="Times New Roman" w:cs="Times New Roman"/>
          <w:sz w:val="26"/>
        </w:rPr>
        <w:t xml:space="preserve"> (CO</w:t>
      </w:r>
      <w:r w:rsidR="00993016" w:rsidRPr="00F40242">
        <w:rPr>
          <w:rFonts w:ascii="Times New Roman" w:hAnsi="Times New Roman" w:cs="Times New Roman"/>
          <w:sz w:val="26"/>
          <w:vertAlign w:val="subscript"/>
        </w:rPr>
        <w:t>2</w:t>
      </w:r>
      <w:r w:rsidR="00993016" w:rsidRPr="00F40242">
        <w:rPr>
          <w:rFonts w:ascii="Times New Roman" w:hAnsi="Times New Roman" w:cs="Times New Roman"/>
          <w:sz w:val="26"/>
        </w:rPr>
        <w:t xml:space="preserve">) </w:t>
      </w:r>
      <w:r w:rsidR="001A188D" w:rsidRPr="00F40242">
        <w:rPr>
          <w:rFonts w:ascii="Times New Roman" w:hAnsi="Times New Roman" w:cs="Times New Roman"/>
          <w:sz w:val="26"/>
        </w:rPr>
        <w:t xml:space="preserve">emitter and </w:t>
      </w:r>
      <w:r w:rsidR="00761B5D" w:rsidRPr="00F40242">
        <w:rPr>
          <w:rFonts w:ascii="Times New Roman" w:hAnsi="Times New Roman" w:cs="Times New Roman"/>
          <w:sz w:val="26"/>
        </w:rPr>
        <w:t xml:space="preserve">is </w:t>
      </w:r>
      <w:r w:rsidR="001A188D" w:rsidRPr="00F40242">
        <w:rPr>
          <w:rFonts w:ascii="Times New Roman" w:hAnsi="Times New Roman" w:cs="Times New Roman"/>
          <w:sz w:val="26"/>
        </w:rPr>
        <w:t>vulnerable to social and environmental impact</w:t>
      </w:r>
      <w:r w:rsidR="00761B5D" w:rsidRPr="00F40242">
        <w:rPr>
          <w:rFonts w:ascii="Times New Roman" w:hAnsi="Times New Roman" w:cs="Times New Roman"/>
          <w:sz w:val="26"/>
        </w:rPr>
        <w:t>s</w:t>
      </w:r>
      <w:r w:rsidR="001A188D" w:rsidRPr="00F40242">
        <w:rPr>
          <w:rFonts w:ascii="Times New Roman" w:hAnsi="Times New Roman" w:cs="Times New Roman"/>
          <w:sz w:val="26"/>
        </w:rPr>
        <w:t>.</w:t>
      </w:r>
    </w:p>
    <w:p w14:paraId="38BF9E62" w14:textId="705D67E1" w:rsidR="00394E32" w:rsidRPr="00F40242" w:rsidRDefault="00102081" w:rsidP="006B1EBC">
      <w:pPr>
        <w:pStyle w:val="Default"/>
        <w:spacing w:line="360" w:lineRule="exact"/>
        <w:ind w:firstLineChars="200" w:firstLine="520"/>
        <w:jc w:val="both"/>
        <w:rPr>
          <w:rFonts w:ascii="Times New Roman" w:hAnsi="Times New Roman" w:cs="Times New Roman"/>
          <w:sz w:val="26"/>
        </w:rPr>
      </w:pPr>
      <w:r w:rsidRPr="00F40242">
        <w:rPr>
          <w:rFonts w:ascii="Times New Roman" w:hAnsi="Times New Roman" w:cs="Times New Roman"/>
          <w:sz w:val="26"/>
        </w:rPr>
        <w:t xml:space="preserve">Table </w:t>
      </w:r>
      <w:r w:rsidR="000B2FC4" w:rsidRPr="00F40242">
        <w:rPr>
          <w:rFonts w:ascii="Times New Roman" w:hAnsi="Times New Roman" w:cs="Times New Roman"/>
          <w:sz w:val="26"/>
        </w:rPr>
        <w:t>3</w:t>
      </w:r>
      <w:r w:rsidRPr="00F40242">
        <w:rPr>
          <w:rFonts w:ascii="Times New Roman" w:hAnsi="Times New Roman" w:cs="Times New Roman"/>
          <w:sz w:val="26"/>
        </w:rPr>
        <w:t xml:space="preserve"> provides descriptive statistics for all variables (Panel A) and compares data for 20</w:t>
      </w:r>
      <w:r w:rsidR="007C4822" w:rsidRPr="00F40242">
        <w:rPr>
          <w:rFonts w:ascii="Times New Roman" w:hAnsi="Times New Roman" w:cs="Times New Roman"/>
          <w:sz w:val="26"/>
        </w:rPr>
        <w:t>14</w:t>
      </w:r>
      <w:r w:rsidRPr="00F40242">
        <w:rPr>
          <w:rFonts w:ascii="Times New Roman" w:hAnsi="Times New Roman" w:cs="Times New Roman"/>
          <w:sz w:val="26"/>
        </w:rPr>
        <w:t xml:space="preserve"> </w:t>
      </w:r>
      <w:r w:rsidR="00761B5D" w:rsidRPr="00F40242">
        <w:rPr>
          <w:rFonts w:ascii="Times New Roman" w:hAnsi="Times New Roman" w:cs="Times New Roman"/>
          <w:sz w:val="26"/>
        </w:rPr>
        <w:t xml:space="preserve">and </w:t>
      </w:r>
      <w:r w:rsidRPr="00F40242">
        <w:rPr>
          <w:rFonts w:ascii="Times New Roman" w:hAnsi="Times New Roman" w:cs="Times New Roman"/>
          <w:sz w:val="26"/>
        </w:rPr>
        <w:t>2012 (Panel B). Panel A indicate</w:t>
      </w:r>
      <w:r w:rsidR="00761B5D" w:rsidRPr="00F40242">
        <w:rPr>
          <w:rFonts w:ascii="Times New Roman" w:hAnsi="Times New Roman" w:cs="Times New Roman"/>
          <w:sz w:val="26"/>
        </w:rPr>
        <w:t>s</w:t>
      </w:r>
      <w:r w:rsidRPr="00F40242">
        <w:rPr>
          <w:rFonts w:ascii="Times New Roman" w:hAnsi="Times New Roman" w:cs="Times New Roman"/>
          <w:sz w:val="26"/>
        </w:rPr>
        <w:t xml:space="preserve"> that</w:t>
      </w:r>
      <w:r w:rsidR="00761B5D" w:rsidRPr="00F40242">
        <w:rPr>
          <w:rFonts w:ascii="Times New Roman" w:hAnsi="Times New Roman" w:cs="Times New Roman"/>
          <w:sz w:val="26"/>
        </w:rPr>
        <w:t>,</w:t>
      </w:r>
      <w:r w:rsidRPr="00F40242">
        <w:rPr>
          <w:rFonts w:ascii="Times New Roman" w:hAnsi="Times New Roman" w:cs="Times New Roman"/>
          <w:sz w:val="26"/>
        </w:rPr>
        <w:t xml:space="preserve"> on average, </w:t>
      </w:r>
      <w:r w:rsidR="00394E32" w:rsidRPr="00F40242">
        <w:rPr>
          <w:rFonts w:ascii="Times New Roman" w:hAnsi="Times New Roman" w:cs="Times New Roman"/>
          <w:sz w:val="26"/>
        </w:rPr>
        <w:t xml:space="preserve">a higher percentage of environmental items </w:t>
      </w:r>
      <w:r w:rsidR="00761B5D" w:rsidRPr="00F40242">
        <w:rPr>
          <w:rFonts w:ascii="Times New Roman" w:hAnsi="Times New Roman" w:cs="Times New Roman"/>
          <w:sz w:val="26"/>
        </w:rPr>
        <w:t xml:space="preserve">than social items </w:t>
      </w:r>
      <w:r w:rsidR="00394E32" w:rsidRPr="00F40242">
        <w:rPr>
          <w:rFonts w:ascii="Times New Roman" w:hAnsi="Times New Roman" w:cs="Times New Roman"/>
          <w:noProof/>
          <w:sz w:val="26"/>
        </w:rPr>
        <w:t>were disclosed</w:t>
      </w:r>
      <w:r w:rsidR="00394E32" w:rsidRPr="00F40242">
        <w:rPr>
          <w:rFonts w:ascii="Times New Roman" w:hAnsi="Times New Roman" w:cs="Times New Roman"/>
          <w:sz w:val="26"/>
        </w:rPr>
        <w:t xml:space="preserve"> in annual reports. </w:t>
      </w:r>
      <w:r w:rsidR="001A188D" w:rsidRPr="00F40242">
        <w:rPr>
          <w:rFonts w:ascii="Times New Roman" w:hAnsi="Times New Roman" w:cs="Times New Roman"/>
          <w:sz w:val="26"/>
        </w:rPr>
        <w:t>Consistent with</w:t>
      </w:r>
      <w:r w:rsidR="00394E32" w:rsidRPr="00F40242">
        <w:rPr>
          <w:rFonts w:ascii="Times New Roman" w:hAnsi="Times New Roman" w:cs="Times New Roman"/>
          <w:sz w:val="26"/>
        </w:rPr>
        <w:t xml:space="preserve"> the finding of Yin and Zhang (2012) </w:t>
      </w:r>
      <w:r w:rsidR="00761B5D" w:rsidRPr="00F40242">
        <w:rPr>
          <w:rFonts w:ascii="Times New Roman" w:hAnsi="Times New Roman" w:cs="Times New Roman"/>
          <w:sz w:val="26"/>
        </w:rPr>
        <w:t xml:space="preserve">in </w:t>
      </w:r>
      <w:r w:rsidR="00394E32" w:rsidRPr="00F40242">
        <w:rPr>
          <w:rFonts w:ascii="Times New Roman" w:hAnsi="Times New Roman" w:cs="Times New Roman"/>
          <w:sz w:val="26"/>
        </w:rPr>
        <w:t>China</w:t>
      </w:r>
      <w:r w:rsidR="00761B5D" w:rsidRPr="00F40242">
        <w:rPr>
          <w:rFonts w:ascii="Times New Roman" w:hAnsi="Times New Roman" w:cs="Times New Roman"/>
          <w:sz w:val="26"/>
        </w:rPr>
        <w:t>,</w:t>
      </w:r>
      <w:r w:rsidR="001A188D" w:rsidRPr="00F40242">
        <w:rPr>
          <w:rFonts w:ascii="Times New Roman" w:hAnsi="Times New Roman" w:cs="Times New Roman"/>
          <w:sz w:val="26"/>
        </w:rPr>
        <w:t xml:space="preserve"> our study also found that companies only achieved 12% of the total available score (8.46/70).</w:t>
      </w:r>
      <w:r w:rsidR="00394E32" w:rsidRPr="00F40242">
        <w:rPr>
          <w:rFonts w:ascii="Times New Roman" w:hAnsi="Times New Roman" w:cs="Times New Roman"/>
          <w:sz w:val="26"/>
        </w:rPr>
        <w:t xml:space="preserve"> Sahay (2004) also</w:t>
      </w:r>
      <w:r w:rsidR="001A188D" w:rsidRPr="00F40242">
        <w:rPr>
          <w:rFonts w:ascii="Times New Roman" w:hAnsi="Times New Roman" w:cs="Times New Roman"/>
          <w:sz w:val="26"/>
        </w:rPr>
        <w:t xml:space="preserve"> commented that </w:t>
      </w:r>
      <w:r w:rsidR="000025E4" w:rsidRPr="00F40242">
        <w:rPr>
          <w:rFonts w:ascii="Times New Roman" w:hAnsi="Times New Roman" w:cs="Times New Roman"/>
          <w:sz w:val="26"/>
        </w:rPr>
        <w:t xml:space="preserve">the non-financial disclosure by Indian companies </w:t>
      </w:r>
      <w:r w:rsidR="00394E32" w:rsidRPr="00F40242">
        <w:rPr>
          <w:rFonts w:ascii="Times New Roman" w:hAnsi="Times New Roman" w:cs="Times New Roman"/>
          <w:sz w:val="26"/>
        </w:rPr>
        <w:t>lags significantly behind that found in the developed world</w:t>
      </w:r>
      <w:r w:rsidR="000025E4" w:rsidRPr="00F40242">
        <w:rPr>
          <w:rFonts w:ascii="Times New Roman" w:hAnsi="Times New Roman" w:cs="Times New Roman"/>
          <w:sz w:val="26"/>
        </w:rPr>
        <w:t xml:space="preserve"> and </w:t>
      </w:r>
      <w:r w:rsidR="00761B5D" w:rsidRPr="00F40242">
        <w:rPr>
          <w:rFonts w:ascii="Times New Roman" w:hAnsi="Times New Roman" w:cs="Times New Roman"/>
          <w:sz w:val="26"/>
        </w:rPr>
        <w:t xml:space="preserve">that, </w:t>
      </w:r>
      <w:r w:rsidR="000025E4" w:rsidRPr="00F40242">
        <w:rPr>
          <w:rFonts w:ascii="Times New Roman" w:hAnsi="Times New Roman" w:cs="Times New Roman"/>
          <w:sz w:val="26"/>
        </w:rPr>
        <w:t>in general, these disclosures are haphazard</w:t>
      </w:r>
      <w:r w:rsidR="00394E32" w:rsidRPr="00F40242">
        <w:rPr>
          <w:rFonts w:ascii="Times New Roman" w:hAnsi="Times New Roman" w:cs="Times New Roman"/>
          <w:sz w:val="26"/>
        </w:rPr>
        <w:t xml:space="preserve">, </w:t>
      </w:r>
      <w:r w:rsidR="000025E4" w:rsidRPr="00F40242">
        <w:rPr>
          <w:rFonts w:ascii="Times New Roman" w:hAnsi="Times New Roman" w:cs="Times New Roman"/>
          <w:sz w:val="26"/>
        </w:rPr>
        <w:t>fragmentary and</w:t>
      </w:r>
      <w:r w:rsidR="00394E32" w:rsidRPr="00F40242">
        <w:rPr>
          <w:rFonts w:ascii="Times New Roman" w:hAnsi="Times New Roman" w:cs="Times New Roman"/>
          <w:sz w:val="26"/>
        </w:rPr>
        <w:t xml:space="preserve"> </w:t>
      </w:r>
      <w:r w:rsidR="000025E4" w:rsidRPr="00F40242">
        <w:rPr>
          <w:rFonts w:ascii="Times New Roman" w:hAnsi="Times New Roman" w:cs="Times New Roman"/>
          <w:sz w:val="26"/>
        </w:rPr>
        <w:t>insufficient</w:t>
      </w:r>
      <w:r w:rsidR="00394E32" w:rsidRPr="00F40242">
        <w:rPr>
          <w:rFonts w:ascii="Times New Roman" w:hAnsi="Times New Roman" w:cs="Times New Roman"/>
          <w:sz w:val="26"/>
        </w:rPr>
        <w:t xml:space="preserve">. </w:t>
      </w:r>
    </w:p>
    <w:p w14:paraId="6DF8B462" w14:textId="28C5FC87" w:rsidR="005E2771" w:rsidRDefault="005E2771" w:rsidP="006B1EBC">
      <w:pPr>
        <w:pStyle w:val="Default"/>
        <w:spacing w:line="360" w:lineRule="exact"/>
        <w:jc w:val="both"/>
        <w:rPr>
          <w:rFonts w:ascii="Times New Roman" w:hAnsi="Times New Roman" w:cs="Times New Roman"/>
          <w:sz w:val="26"/>
        </w:rPr>
      </w:pPr>
    </w:p>
    <w:p w14:paraId="47102A9E" w14:textId="402AC9E0" w:rsidR="004D7AD7" w:rsidRPr="00B95A3A" w:rsidRDefault="004D7AD7" w:rsidP="004D7AD7">
      <w:pPr>
        <w:autoSpaceDE w:val="0"/>
        <w:autoSpaceDN w:val="0"/>
        <w:adjustRightInd w:val="0"/>
        <w:spacing w:line="360" w:lineRule="exact"/>
        <w:ind w:left="1275" w:hangingChars="490" w:hanging="1275"/>
        <w:jc w:val="center"/>
        <w:rPr>
          <w:rFonts w:eastAsia="Calibri"/>
          <w:b/>
          <w:color w:val="000000"/>
          <w:sz w:val="26"/>
        </w:rPr>
      </w:pPr>
      <w:r w:rsidRPr="00B95A3A">
        <w:rPr>
          <w:b/>
          <w:sz w:val="26"/>
        </w:rPr>
        <w:t xml:space="preserve">Table </w:t>
      </w:r>
      <w:proofErr w:type="gramStart"/>
      <w:r w:rsidRPr="00B95A3A">
        <w:rPr>
          <w:b/>
          <w:sz w:val="26"/>
        </w:rPr>
        <w:t>3</w:t>
      </w:r>
      <w:r>
        <w:rPr>
          <w:rFonts w:asciiTheme="minorEastAsia" w:eastAsiaTheme="minorEastAsia" w:hAnsiTheme="minorEastAsia" w:hint="eastAsia"/>
          <w:b/>
          <w:sz w:val="26"/>
          <w:lang w:eastAsia="zh-TW"/>
        </w:rPr>
        <w:t xml:space="preserve"> </w:t>
      </w:r>
      <w:r w:rsidRPr="004D7AD7">
        <w:t xml:space="preserve"> </w:t>
      </w:r>
      <w:r w:rsidRPr="004D7AD7">
        <w:rPr>
          <w:b/>
          <w:sz w:val="26"/>
        </w:rPr>
        <w:t>Panel</w:t>
      </w:r>
      <w:proofErr w:type="gramEnd"/>
      <w:r w:rsidRPr="004D7AD7">
        <w:rPr>
          <w:b/>
          <w:sz w:val="26"/>
        </w:rPr>
        <w:t xml:space="preserve"> </w:t>
      </w:r>
      <w:r w:rsidRPr="00B95A3A">
        <w:rPr>
          <w:b/>
          <w:sz w:val="26"/>
        </w:rPr>
        <w:t>B</w:t>
      </w:r>
      <w:r>
        <w:rPr>
          <w:b/>
          <w:sz w:val="26"/>
        </w:rPr>
        <w:t xml:space="preserve">. </w:t>
      </w:r>
      <w:r w:rsidRPr="00B95A3A">
        <w:rPr>
          <w:rFonts w:eastAsia="Calibri"/>
          <w:b/>
          <w:color w:val="000000"/>
          <w:sz w:val="26"/>
        </w:rPr>
        <w:t>Comparison of Social, Environmental and Total Disclosure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288"/>
        <w:gridCol w:w="1263"/>
        <w:gridCol w:w="1435"/>
        <w:gridCol w:w="1090"/>
        <w:gridCol w:w="1262"/>
        <w:gridCol w:w="1436"/>
      </w:tblGrid>
      <w:tr w:rsidR="004D7AD7" w:rsidRPr="002262E0" w14:paraId="298A749D" w14:textId="77777777" w:rsidTr="00510C57">
        <w:trPr>
          <w:trHeight w:val="474"/>
        </w:trPr>
        <w:tc>
          <w:tcPr>
            <w:tcW w:w="1242" w:type="dxa"/>
            <w:tcBorders>
              <w:left w:val="single" w:sz="8" w:space="0" w:color="FFFFFF" w:themeColor="background1"/>
              <w:bottom w:val="single" w:sz="8" w:space="0" w:color="FFFFFF" w:themeColor="background1"/>
            </w:tcBorders>
            <w:shd w:val="clear" w:color="auto" w:fill="auto"/>
          </w:tcPr>
          <w:p w14:paraId="523FC45E" w14:textId="77777777" w:rsidR="004D7AD7" w:rsidRPr="004D7AD7" w:rsidRDefault="004D7AD7" w:rsidP="00510C57">
            <w:pPr>
              <w:autoSpaceDE w:val="0"/>
              <w:autoSpaceDN w:val="0"/>
              <w:adjustRightInd w:val="0"/>
              <w:spacing w:line="360" w:lineRule="exact"/>
              <w:jc w:val="both"/>
              <w:rPr>
                <w:rFonts w:eastAsia="Calibri"/>
                <w:b/>
                <w:color w:val="000000"/>
              </w:rPr>
            </w:pPr>
          </w:p>
        </w:tc>
        <w:tc>
          <w:tcPr>
            <w:tcW w:w="4565" w:type="dxa"/>
            <w:gridSpan w:val="3"/>
            <w:tcBorders>
              <w:bottom w:val="single" w:sz="4" w:space="0" w:color="FFFFFF" w:themeColor="background1"/>
            </w:tcBorders>
            <w:shd w:val="clear" w:color="auto" w:fill="auto"/>
            <w:vAlign w:val="center"/>
          </w:tcPr>
          <w:p w14:paraId="735D233C" w14:textId="77777777" w:rsidR="004D7AD7" w:rsidRPr="004D7AD7" w:rsidRDefault="004D7AD7" w:rsidP="00510C57">
            <w:pPr>
              <w:autoSpaceDE w:val="0"/>
              <w:autoSpaceDN w:val="0"/>
              <w:adjustRightInd w:val="0"/>
              <w:spacing w:line="360" w:lineRule="exact"/>
              <w:jc w:val="center"/>
              <w:rPr>
                <w:rFonts w:eastAsia="Calibri"/>
                <w:b/>
                <w:color w:val="000000"/>
              </w:rPr>
            </w:pPr>
            <w:r w:rsidRPr="004D7AD7">
              <w:rPr>
                <w:rFonts w:eastAsia="Calibri"/>
                <w:b/>
                <w:color w:val="000000"/>
              </w:rPr>
              <w:t>2014</w:t>
            </w:r>
          </w:p>
        </w:tc>
        <w:tc>
          <w:tcPr>
            <w:tcW w:w="4253" w:type="dxa"/>
            <w:gridSpan w:val="3"/>
            <w:tcBorders>
              <w:bottom w:val="single" w:sz="4" w:space="0" w:color="FFFFFF" w:themeColor="background1"/>
              <w:right w:val="single" w:sz="8" w:space="0" w:color="FFFFFF" w:themeColor="background1"/>
            </w:tcBorders>
            <w:shd w:val="clear" w:color="auto" w:fill="auto"/>
            <w:vAlign w:val="center"/>
          </w:tcPr>
          <w:p w14:paraId="571DB3E0" w14:textId="77777777" w:rsidR="004D7AD7" w:rsidRPr="004D7AD7" w:rsidRDefault="004D7AD7" w:rsidP="00510C57">
            <w:pPr>
              <w:autoSpaceDE w:val="0"/>
              <w:autoSpaceDN w:val="0"/>
              <w:adjustRightInd w:val="0"/>
              <w:spacing w:line="360" w:lineRule="exact"/>
              <w:jc w:val="center"/>
              <w:rPr>
                <w:rFonts w:eastAsia="Calibri"/>
                <w:b/>
                <w:color w:val="000000"/>
              </w:rPr>
            </w:pPr>
            <w:r w:rsidRPr="004D7AD7">
              <w:rPr>
                <w:rFonts w:eastAsia="Calibri"/>
                <w:b/>
                <w:color w:val="000000"/>
              </w:rPr>
              <w:t>2012</w:t>
            </w:r>
          </w:p>
        </w:tc>
      </w:tr>
      <w:tr w:rsidR="004D7AD7" w:rsidRPr="002262E0" w14:paraId="4B830ABF" w14:textId="77777777" w:rsidTr="00510C57">
        <w:trPr>
          <w:cantSplit/>
          <w:trHeight w:val="227"/>
        </w:trPr>
        <w:tc>
          <w:tcPr>
            <w:tcW w:w="1242" w:type="dxa"/>
            <w:tcBorders>
              <w:top w:val="single" w:sz="8" w:space="0" w:color="FFFFFF" w:themeColor="background1"/>
              <w:left w:val="single" w:sz="8" w:space="0" w:color="FFFFFF" w:themeColor="background1"/>
            </w:tcBorders>
            <w:shd w:val="clear" w:color="auto" w:fill="auto"/>
          </w:tcPr>
          <w:p w14:paraId="3FA87584" w14:textId="77777777" w:rsidR="004D7AD7" w:rsidRPr="004D7AD7" w:rsidRDefault="004D7AD7" w:rsidP="00510C57">
            <w:pPr>
              <w:autoSpaceDE w:val="0"/>
              <w:autoSpaceDN w:val="0"/>
              <w:adjustRightInd w:val="0"/>
              <w:spacing w:line="360" w:lineRule="exact"/>
              <w:jc w:val="both"/>
              <w:rPr>
                <w:rFonts w:eastAsia="Calibri"/>
                <w:b/>
                <w:color w:val="000000"/>
              </w:rPr>
            </w:pPr>
          </w:p>
        </w:tc>
        <w:tc>
          <w:tcPr>
            <w:tcW w:w="1588" w:type="dxa"/>
            <w:tcBorders>
              <w:top w:val="single" w:sz="4" w:space="0" w:color="FFFFFF" w:themeColor="background1"/>
              <w:right w:val="single" w:sz="8" w:space="0" w:color="FFFFFF" w:themeColor="background1"/>
            </w:tcBorders>
            <w:shd w:val="clear" w:color="auto" w:fill="auto"/>
            <w:vAlign w:val="center"/>
          </w:tcPr>
          <w:p w14:paraId="3CB1118F" w14:textId="77777777" w:rsidR="004D7AD7" w:rsidRPr="004D7AD7" w:rsidRDefault="004D7AD7" w:rsidP="00510C57">
            <w:pPr>
              <w:autoSpaceDE w:val="0"/>
              <w:autoSpaceDN w:val="0"/>
              <w:adjustRightInd w:val="0"/>
              <w:spacing w:line="320" w:lineRule="exact"/>
              <w:jc w:val="center"/>
              <w:rPr>
                <w:rFonts w:eastAsia="Calibri"/>
                <w:b/>
                <w:color w:val="000000"/>
              </w:rPr>
            </w:pPr>
            <w:r w:rsidRPr="004D7AD7">
              <w:rPr>
                <w:rFonts w:eastAsia="Calibri"/>
                <w:b/>
                <w:color w:val="000000"/>
                <w:lang w:eastAsia="en-AU"/>
              </w:rPr>
              <w:t>DI Total</w:t>
            </w:r>
          </w:p>
        </w:tc>
        <w:tc>
          <w:tcPr>
            <w:tcW w:w="1418" w:type="dxa"/>
            <w:tcBorders>
              <w:top w:val="single" w:sz="4" w:space="0" w:color="FFFFFF" w:themeColor="background1"/>
              <w:left w:val="single" w:sz="8" w:space="0" w:color="FFFFFF" w:themeColor="background1"/>
              <w:right w:val="single" w:sz="8" w:space="0" w:color="FFFFFF" w:themeColor="background1"/>
            </w:tcBorders>
            <w:shd w:val="clear" w:color="auto" w:fill="auto"/>
            <w:vAlign w:val="center"/>
          </w:tcPr>
          <w:p w14:paraId="6FFB7529" w14:textId="77777777" w:rsidR="004D7AD7" w:rsidRPr="004D7AD7" w:rsidRDefault="004D7AD7" w:rsidP="00510C57">
            <w:pPr>
              <w:autoSpaceDE w:val="0"/>
              <w:autoSpaceDN w:val="0"/>
              <w:adjustRightInd w:val="0"/>
              <w:spacing w:line="320" w:lineRule="exact"/>
              <w:jc w:val="center"/>
              <w:rPr>
                <w:rFonts w:eastAsia="Calibri"/>
                <w:b/>
                <w:color w:val="000000"/>
              </w:rPr>
            </w:pPr>
            <w:r w:rsidRPr="004D7AD7">
              <w:rPr>
                <w:rFonts w:eastAsia="Calibri"/>
                <w:b/>
                <w:color w:val="000000"/>
              </w:rPr>
              <w:t>DI (Social)</w:t>
            </w:r>
          </w:p>
        </w:tc>
        <w:tc>
          <w:tcPr>
            <w:tcW w:w="1559" w:type="dxa"/>
            <w:tcBorders>
              <w:top w:val="single" w:sz="4" w:space="0" w:color="FFFFFF" w:themeColor="background1"/>
              <w:left w:val="single" w:sz="8" w:space="0" w:color="FFFFFF" w:themeColor="background1"/>
            </w:tcBorders>
            <w:shd w:val="clear" w:color="auto" w:fill="auto"/>
            <w:vAlign w:val="center"/>
          </w:tcPr>
          <w:p w14:paraId="1CCA9A69" w14:textId="77777777" w:rsidR="004D7AD7" w:rsidRPr="004D7AD7" w:rsidRDefault="004D7AD7" w:rsidP="00510C57">
            <w:pPr>
              <w:autoSpaceDE w:val="0"/>
              <w:autoSpaceDN w:val="0"/>
              <w:adjustRightInd w:val="0"/>
              <w:spacing w:line="320" w:lineRule="exact"/>
              <w:jc w:val="center"/>
              <w:rPr>
                <w:rFonts w:eastAsia="Calibri"/>
                <w:b/>
                <w:color w:val="000000"/>
              </w:rPr>
            </w:pPr>
            <w:r w:rsidRPr="004D7AD7">
              <w:rPr>
                <w:rFonts w:eastAsia="Calibri"/>
                <w:b/>
                <w:color w:val="000000"/>
              </w:rPr>
              <w:t>DI (Environ)</w:t>
            </w:r>
          </w:p>
        </w:tc>
        <w:tc>
          <w:tcPr>
            <w:tcW w:w="1276" w:type="dxa"/>
            <w:tcBorders>
              <w:top w:val="single" w:sz="4" w:space="0" w:color="FFFFFF" w:themeColor="background1"/>
              <w:right w:val="single" w:sz="8" w:space="0" w:color="FFFFFF" w:themeColor="background1"/>
            </w:tcBorders>
            <w:shd w:val="clear" w:color="auto" w:fill="auto"/>
            <w:vAlign w:val="center"/>
          </w:tcPr>
          <w:p w14:paraId="23927301" w14:textId="77777777" w:rsidR="004D7AD7" w:rsidRPr="004D7AD7" w:rsidRDefault="004D7AD7" w:rsidP="00510C57">
            <w:pPr>
              <w:autoSpaceDE w:val="0"/>
              <w:autoSpaceDN w:val="0"/>
              <w:adjustRightInd w:val="0"/>
              <w:spacing w:line="320" w:lineRule="exact"/>
              <w:jc w:val="center"/>
              <w:rPr>
                <w:rFonts w:eastAsia="Calibri"/>
                <w:b/>
                <w:color w:val="000000"/>
              </w:rPr>
            </w:pPr>
            <w:r w:rsidRPr="004D7AD7">
              <w:rPr>
                <w:rFonts w:eastAsia="Calibri"/>
                <w:b/>
                <w:color w:val="000000"/>
                <w:lang w:eastAsia="en-AU"/>
              </w:rPr>
              <w:t>DI Total</w:t>
            </w:r>
          </w:p>
        </w:tc>
        <w:tc>
          <w:tcPr>
            <w:tcW w:w="1417" w:type="dxa"/>
            <w:tcBorders>
              <w:top w:val="single" w:sz="4" w:space="0" w:color="FFFFFF" w:themeColor="background1"/>
              <w:left w:val="single" w:sz="8" w:space="0" w:color="FFFFFF" w:themeColor="background1"/>
              <w:right w:val="single" w:sz="8" w:space="0" w:color="FFFFFF" w:themeColor="background1"/>
            </w:tcBorders>
            <w:shd w:val="clear" w:color="auto" w:fill="auto"/>
            <w:vAlign w:val="center"/>
          </w:tcPr>
          <w:p w14:paraId="4452C46E" w14:textId="77777777" w:rsidR="004D7AD7" w:rsidRPr="004D7AD7" w:rsidRDefault="004D7AD7" w:rsidP="00510C57">
            <w:pPr>
              <w:autoSpaceDE w:val="0"/>
              <w:autoSpaceDN w:val="0"/>
              <w:adjustRightInd w:val="0"/>
              <w:spacing w:line="320" w:lineRule="exact"/>
              <w:jc w:val="center"/>
              <w:rPr>
                <w:rFonts w:eastAsia="Calibri"/>
                <w:b/>
                <w:color w:val="000000"/>
              </w:rPr>
            </w:pPr>
            <w:r w:rsidRPr="004D7AD7">
              <w:rPr>
                <w:rFonts w:eastAsia="Calibri"/>
                <w:b/>
                <w:color w:val="000000"/>
              </w:rPr>
              <w:t>DI (Social)</w:t>
            </w:r>
          </w:p>
        </w:tc>
        <w:tc>
          <w:tcPr>
            <w:tcW w:w="1560" w:type="dxa"/>
            <w:tcBorders>
              <w:top w:val="single" w:sz="4" w:space="0" w:color="FFFFFF" w:themeColor="background1"/>
              <w:left w:val="single" w:sz="8" w:space="0" w:color="FFFFFF" w:themeColor="background1"/>
              <w:right w:val="single" w:sz="8" w:space="0" w:color="FFFFFF" w:themeColor="background1"/>
            </w:tcBorders>
            <w:shd w:val="clear" w:color="auto" w:fill="auto"/>
            <w:vAlign w:val="center"/>
          </w:tcPr>
          <w:p w14:paraId="36468C59" w14:textId="77777777" w:rsidR="004D7AD7" w:rsidRPr="004D7AD7" w:rsidRDefault="004D7AD7" w:rsidP="00510C57">
            <w:pPr>
              <w:autoSpaceDE w:val="0"/>
              <w:autoSpaceDN w:val="0"/>
              <w:adjustRightInd w:val="0"/>
              <w:spacing w:line="320" w:lineRule="exact"/>
              <w:jc w:val="center"/>
              <w:rPr>
                <w:rFonts w:eastAsia="Calibri"/>
                <w:b/>
                <w:color w:val="000000"/>
              </w:rPr>
            </w:pPr>
            <w:r w:rsidRPr="004D7AD7">
              <w:rPr>
                <w:rFonts w:eastAsia="Calibri"/>
                <w:b/>
                <w:color w:val="000000"/>
              </w:rPr>
              <w:t>DI (Environ)</w:t>
            </w:r>
          </w:p>
        </w:tc>
      </w:tr>
      <w:tr w:rsidR="004D7AD7" w:rsidRPr="002262E0" w14:paraId="4EEE03C0" w14:textId="77777777" w:rsidTr="00510C57">
        <w:trPr>
          <w:cantSplit/>
          <w:trHeight w:val="227"/>
        </w:trPr>
        <w:tc>
          <w:tcPr>
            <w:tcW w:w="1242" w:type="dxa"/>
            <w:tcBorders>
              <w:left w:val="single" w:sz="8" w:space="0" w:color="FFFFFF" w:themeColor="background1"/>
              <w:bottom w:val="single" w:sz="8" w:space="0" w:color="FFFFFF" w:themeColor="background1"/>
            </w:tcBorders>
            <w:shd w:val="clear" w:color="auto" w:fill="auto"/>
          </w:tcPr>
          <w:p w14:paraId="7D40281C" w14:textId="77777777" w:rsidR="004D7AD7" w:rsidRPr="005C3281" w:rsidRDefault="004D7AD7" w:rsidP="00510C57">
            <w:pPr>
              <w:autoSpaceDE w:val="0"/>
              <w:autoSpaceDN w:val="0"/>
              <w:adjustRightInd w:val="0"/>
              <w:spacing w:line="360" w:lineRule="exact"/>
              <w:jc w:val="both"/>
              <w:rPr>
                <w:rFonts w:eastAsia="Calibri"/>
                <w:color w:val="000000"/>
              </w:rPr>
            </w:pPr>
            <w:r w:rsidRPr="005C3281">
              <w:rPr>
                <w:rFonts w:eastAsia="Calibri"/>
                <w:color w:val="000000"/>
              </w:rPr>
              <w:t>Minimum</w:t>
            </w:r>
          </w:p>
        </w:tc>
        <w:tc>
          <w:tcPr>
            <w:tcW w:w="1588" w:type="dxa"/>
            <w:tcBorders>
              <w:bottom w:val="single" w:sz="8" w:space="0" w:color="FFFFFF" w:themeColor="background1"/>
              <w:right w:val="single" w:sz="8" w:space="0" w:color="FFFFFF" w:themeColor="background1"/>
            </w:tcBorders>
            <w:shd w:val="clear" w:color="auto" w:fill="auto"/>
          </w:tcPr>
          <w:p w14:paraId="214FBB80" w14:textId="77777777" w:rsidR="004D7AD7" w:rsidRPr="005C3281" w:rsidRDefault="004D7AD7" w:rsidP="00510C57">
            <w:pPr>
              <w:autoSpaceDE w:val="0"/>
              <w:autoSpaceDN w:val="0"/>
              <w:adjustRightInd w:val="0"/>
              <w:spacing w:line="360" w:lineRule="exact"/>
              <w:jc w:val="center"/>
              <w:rPr>
                <w:rFonts w:eastAsia="Calibri"/>
                <w:color w:val="000000"/>
              </w:rPr>
            </w:pPr>
            <w:r w:rsidRPr="005C3281">
              <w:rPr>
                <w:rFonts w:eastAsia="Calibri"/>
                <w:color w:val="000000"/>
              </w:rPr>
              <w:t>4</w:t>
            </w:r>
          </w:p>
        </w:tc>
        <w:tc>
          <w:tcPr>
            <w:tcW w:w="1418" w:type="dxa"/>
            <w:tcBorders>
              <w:left w:val="single" w:sz="8" w:space="0" w:color="FFFFFF" w:themeColor="background1"/>
              <w:bottom w:val="single" w:sz="8" w:space="0" w:color="FFFFFF" w:themeColor="background1"/>
              <w:right w:val="single" w:sz="8" w:space="0" w:color="FFFFFF" w:themeColor="background1"/>
            </w:tcBorders>
            <w:shd w:val="clear" w:color="auto" w:fill="auto"/>
          </w:tcPr>
          <w:p w14:paraId="0AD8E4C3" w14:textId="77777777" w:rsidR="004D7AD7" w:rsidRPr="005C3281" w:rsidRDefault="004D7AD7" w:rsidP="00510C57">
            <w:pPr>
              <w:autoSpaceDE w:val="0"/>
              <w:autoSpaceDN w:val="0"/>
              <w:adjustRightInd w:val="0"/>
              <w:spacing w:line="360" w:lineRule="exact"/>
              <w:jc w:val="center"/>
              <w:rPr>
                <w:rFonts w:eastAsia="Calibri"/>
                <w:color w:val="000000"/>
              </w:rPr>
            </w:pPr>
            <w:r w:rsidRPr="005C3281">
              <w:rPr>
                <w:rFonts w:eastAsia="Calibri"/>
                <w:color w:val="000000"/>
              </w:rPr>
              <w:t>3</w:t>
            </w:r>
          </w:p>
        </w:tc>
        <w:tc>
          <w:tcPr>
            <w:tcW w:w="1559" w:type="dxa"/>
            <w:tcBorders>
              <w:left w:val="single" w:sz="8" w:space="0" w:color="FFFFFF" w:themeColor="background1"/>
              <w:bottom w:val="single" w:sz="8" w:space="0" w:color="FFFFFF" w:themeColor="background1"/>
            </w:tcBorders>
            <w:shd w:val="clear" w:color="auto" w:fill="auto"/>
          </w:tcPr>
          <w:p w14:paraId="3DCCB65A" w14:textId="77777777" w:rsidR="004D7AD7" w:rsidRPr="005C3281" w:rsidRDefault="004D7AD7" w:rsidP="00510C57">
            <w:pPr>
              <w:autoSpaceDE w:val="0"/>
              <w:autoSpaceDN w:val="0"/>
              <w:adjustRightInd w:val="0"/>
              <w:spacing w:line="360" w:lineRule="exact"/>
              <w:jc w:val="center"/>
              <w:rPr>
                <w:rFonts w:eastAsia="Calibri"/>
                <w:color w:val="000000"/>
              </w:rPr>
            </w:pPr>
            <w:r w:rsidRPr="005C3281">
              <w:rPr>
                <w:rFonts w:eastAsia="Calibri"/>
                <w:color w:val="000000"/>
              </w:rPr>
              <w:t>0</w:t>
            </w:r>
          </w:p>
        </w:tc>
        <w:tc>
          <w:tcPr>
            <w:tcW w:w="1276" w:type="dxa"/>
            <w:tcBorders>
              <w:bottom w:val="single" w:sz="8" w:space="0" w:color="FFFFFF" w:themeColor="background1"/>
              <w:right w:val="single" w:sz="8" w:space="0" w:color="FFFFFF" w:themeColor="background1"/>
            </w:tcBorders>
            <w:shd w:val="clear" w:color="auto" w:fill="auto"/>
          </w:tcPr>
          <w:p w14:paraId="717C664C" w14:textId="77777777" w:rsidR="004D7AD7" w:rsidRPr="005C3281" w:rsidRDefault="004D7AD7" w:rsidP="00510C57">
            <w:pPr>
              <w:autoSpaceDE w:val="0"/>
              <w:autoSpaceDN w:val="0"/>
              <w:adjustRightInd w:val="0"/>
              <w:spacing w:line="360" w:lineRule="exact"/>
              <w:jc w:val="center"/>
              <w:rPr>
                <w:rFonts w:eastAsia="Calibri"/>
                <w:color w:val="000000"/>
              </w:rPr>
            </w:pPr>
            <w:r w:rsidRPr="005C3281">
              <w:rPr>
                <w:rFonts w:eastAsia="Calibri"/>
                <w:color w:val="000000"/>
              </w:rPr>
              <w:t>1</w:t>
            </w:r>
          </w:p>
        </w:tc>
        <w:tc>
          <w:tcPr>
            <w:tcW w:w="1417" w:type="dxa"/>
            <w:tcBorders>
              <w:left w:val="single" w:sz="8" w:space="0" w:color="FFFFFF" w:themeColor="background1"/>
              <w:bottom w:val="single" w:sz="8" w:space="0" w:color="FFFFFF" w:themeColor="background1"/>
              <w:right w:val="single" w:sz="8" w:space="0" w:color="FFFFFF" w:themeColor="background1"/>
            </w:tcBorders>
            <w:shd w:val="clear" w:color="auto" w:fill="auto"/>
          </w:tcPr>
          <w:p w14:paraId="4C6D5603" w14:textId="77777777" w:rsidR="004D7AD7" w:rsidRPr="005C3281" w:rsidRDefault="004D7AD7" w:rsidP="00510C57">
            <w:pPr>
              <w:autoSpaceDE w:val="0"/>
              <w:autoSpaceDN w:val="0"/>
              <w:adjustRightInd w:val="0"/>
              <w:spacing w:line="360" w:lineRule="exact"/>
              <w:jc w:val="center"/>
              <w:rPr>
                <w:rFonts w:eastAsia="Calibri"/>
                <w:color w:val="000000"/>
              </w:rPr>
            </w:pPr>
            <w:r w:rsidRPr="005C3281">
              <w:rPr>
                <w:rFonts w:eastAsia="Calibri"/>
                <w:color w:val="000000"/>
              </w:rPr>
              <w:t>1</w:t>
            </w:r>
          </w:p>
        </w:tc>
        <w:tc>
          <w:tcPr>
            <w:tcW w:w="1560" w:type="dxa"/>
            <w:tcBorders>
              <w:left w:val="single" w:sz="8" w:space="0" w:color="FFFFFF" w:themeColor="background1"/>
              <w:bottom w:val="single" w:sz="8" w:space="0" w:color="FFFFFF" w:themeColor="background1"/>
              <w:right w:val="single" w:sz="8" w:space="0" w:color="FFFFFF" w:themeColor="background1"/>
            </w:tcBorders>
            <w:shd w:val="clear" w:color="auto" w:fill="auto"/>
          </w:tcPr>
          <w:p w14:paraId="19899A38" w14:textId="77777777" w:rsidR="004D7AD7" w:rsidRPr="005C3281" w:rsidRDefault="004D7AD7" w:rsidP="00510C57">
            <w:pPr>
              <w:autoSpaceDE w:val="0"/>
              <w:autoSpaceDN w:val="0"/>
              <w:adjustRightInd w:val="0"/>
              <w:spacing w:line="360" w:lineRule="exact"/>
              <w:jc w:val="center"/>
              <w:rPr>
                <w:rFonts w:eastAsia="Calibri"/>
                <w:color w:val="000000"/>
              </w:rPr>
            </w:pPr>
            <w:r w:rsidRPr="005C3281">
              <w:rPr>
                <w:rFonts w:eastAsia="Calibri"/>
                <w:color w:val="000000"/>
              </w:rPr>
              <w:t>0</w:t>
            </w:r>
          </w:p>
        </w:tc>
      </w:tr>
      <w:tr w:rsidR="004D7AD7" w:rsidRPr="002262E0" w14:paraId="0CA56BE0" w14:textId="77777777" w:rsidTr="00510C57">
        <w:trPr>
          <w:cantSplit/>
          <w:trHeight w:val="227"/>
        </w:trPr>
        <w:tc>
          <w:tcPr>
            <w:tcW w:w="1242" w:type="dxa"/>
            <w:tcBorders>
              <w:top w:val="single" w:sz="8" w:space="0" w:color="FFFFFF" w:themeColor="background1"/>
              <w:left w:val="single" w:sz="8" w:space="0" w:color="FFFFFF" w:themeColor="background1"/>
              <w:bottom w:val="single" w:sz="8" w:space="0" w:color="FFFFFF" w:themeColor="background1"/>
            </w:tcBorders>
            <w:shd w:val="clear" w:color="auto" w:fill="auto"/>
          </w:tcPr>
          <w:p w14:paraId="1C12B970" w14:textId="77777777" w:rsidR="004D7AD7" w:rsidRPr="005C3281" w:rsidRDefault="004D7AD7" w:rsidP="00510C57">
            <w:pPr>
              <w:autoSpaceDE w:val="0"/>
              <w:autoSpaceDN w:val="0"/>
              <w:adjustRightInd w:val="0"/>
              <w:spacing w:line="360" w:lineRule="exact"/>
              <w:jc w:val="both"/>
              <w:rPr>
                <w:rFonts w:eastAsia="Calibri"/>
                <w:color w:val="000000"/>
              </w:rPr>
            </w:pPr>
            <w:r w:rsidRPr="005C3281">
              <w:rPr>
                <w:rFonts w:eastAsia="Calibri"/>
                <w:color w:val="000000"/>
              </w:rPr>
              <w:t>Maximum</w:t>
            </w:r>
          </w:p>
        </w:tc>
        <w:tc>
          <w:tcPr>
            <w:tcW w:w="1588" w:type="dxa"/>
            <w:tcBorders>
              <w:top w:val="single" w:sz="8" w:space="0" w:color="FFFFFF" w:themeColor="background1"/>
              <w:bottom w:val="single" w:sz="8" w:space="0" w:color="FFFFFF" w:themeColor="background1"/>
              <w:right w:val="single" w:sz="8" w:space="0" w:color="FFFFFF" w:themeColor="background1"/>
            </w:tcBorders>
            <w:shd w:val="clear" w:color="auto" w:fill="auto"/>
          </w:tcPr>
          <w:p w14:paraId="1560CB9E" w14:textId="77777777" w:rsidR="004D7AD7" w:rsidRPr="005C3281" w:rsidRDefault="004D7AD7" w:rsidP="00510C57">
            <w:pPr>
              <w:autoSpaceDE w:val="0"/>
              <w:autoSpaceDN w:val="0"/>
              <w:adjustRightInd w:val="0"/>
              <w:spacing w:line="360" w:lineRule="exact"/>
              <w:jc w:val="center"/>
              <w:rPr>
                <w:rFonts w:eastAsia="Calibri"/>
                <w:color w:val="000000"/>
              </w:rPr>
            </w:pPr>
            <w:r w:rsidRPr="005C3281">
              <w:rPr>
                <w:rFonts w:eastAsia="Calibri"/>
                <w:color w:val="000000"/>
              </w:rPr>
              <w:t>30</w:t>
            </w:r>
          </w:p>
        </w:tc>
        <w:tc>
          <w:tcPr>
            <w:tcW w:w="1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Pr>
          <w:p w14:paraId="3D701C47" w14:textId="77777777" w:rsidR="004D7AD7" w:rsidRPr="005C3281" w:rsidRDefault="004D7AD7" w:rsidP="00510C57">
            <w:pPr>
              <w:autoSpaceDE w:val="0"/>
              <w:autoSpaceDN w:val="0"/>
              <w:adjustRightInd w:val="0"/>
              <w:spacing w:line="360" w:lineRule="exact"/>
              <w:jc w:val="center"/>
              <w:rPr>
                <w:rFonts w:eastAsia="Calibri"/>
                <w:color w:val="000000"/>
              </w:rPr>
            </w:pPr>
            <w:r w:rsidRPr="005C3281">
              <w:rPr>
                <w:rFonts w:eastAsia="Calibri"/>
                <w:color w:val="000000"/>
              </w:rPr>
              <w:t>16</w:t>
            </w:r>
          </w:p>
        </w:tc>
        <w:tc>
          <w:tcPr>
            <w:tcW w:w="1559" w:type="dxa"/>
            <w:tcBorders>
              <w:top w:val="single" w:sz="8" w:space="0" w:color="FFFFFF" w:themeColor="background1"/>
              <w:left w:val="single" w:sz="8" w:space="0" w:color="FFFFFF" w:themeColor="background1"/>
              <w:bottom w:val="single" w:sz="8" w:space="0" w:color="FFFFFF" w:themeColor="background1"/>
            </w:tcBorders>
            <w:shd w:val="clear" w:color="auto" w:fill="auto"/>
          </w:tcPr>
          <w:p w14:paraId="10F9AC42" w14:textId="77777777" w:rsidR="004D7AD7" w:rsidRPr="005C3281" w:rsidRDefault="004D7AD7" w:rsidP="00510C57">
            <w:pPr>
              <w:autoSpaceDE w:val="0"/>
              <w:autoSpaceDN w:val="0"/>
              <w:adjustRightInd w:val="0"/>
              <w:spacing w:line="360" w:lineRule="exact"/>
              <w:jc w:val="center"/>
              <w:rPr>
                <w:rFonts w:eastAsia="Calibri"/>
                <w:color w:val="000000"/>
              </w:rPr>
            </w:pPr>
            <w:r w:rsidRPr="005C3281">
              <w:rPr>
                <w:rFonts w:eastAsia="Calibri"/>
                <w:color w:val="000000"/>
              </w:rPr>
              <w:t>14</w:t>
            </w:r>
          </w:p>
        </w:tc>
        <w:tc>
          <w:tcPr>
            <w:tcW w:w="1276" w:type="dxa"/>
            <w:tcBorders>
              <w:top w:val="single" w:sz="8" w:space="0" w:color="FFFFFF" w:themeColor="background1"/>
              <w:bottom w:val="single" w:sz="8" w:space="0" w:color="FFFFFF" w:themeColor="background1"/>
              <w:right w:val="single" w:sz="8" w:space="0" w:color="FFFFFF" w:themeColor="background1"/>
            </w:tcBorders>
            <w:shd w:val="clear" w:color="auto" w:fill="auto"/>
          </w:tcPr>
          <w:p w14:paraId="555218FF" w14:textId="77777777" w:rsidR="004D7AD7" w:rsidRPr="005C3281" w:rsidRDefault="004D7AD7" w:rsidP="00510C57">
            <w:pPr>
              <w:autoSpaceDE w:val="0"/>
              <w:autoSpaceDN w:val="0"/>
              <w:adjustRightInd w:val="0"/>
              <w:spacing w:line="360" w:lineRule="exact"/>
              <w:jc w:val="center"/>
              <w:rPr>
                <w:rFonts w:eastAsia="Calibri"/>
                <w:color w:val="000000"/>
              </w:rPr>
            </w:pPr>
            <w:r w:rsidRPr="005C3281">
              <w:rPr>
                <w:rFonts w:eastAsia="Calibri"/>
                <w:color w:val="000000"/>
              </w:rPr>
              <w:t>25</w:t>
            </w:r>
          </w:p>
        </w:tc>
        <w:tc>
          <w:tcPr>
            <w:tcW w:w="14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Pr>
          <w:p w14:paraId="4995D13E" w14:textId="77777777" w:rsidR="004D7AD7" w:rsidRPr="005C3281" w:rsidRDefault="004D7AD7" w:rsidP="00510C57">
            <w:pPr>
              <w:autoSpaceDE w:val="0"/>
              <w:autoSpaceDN w:val="0"/>
              <w:adjustRightInd w:val="0"/>
              <w:spacing w:line="360" w:lineRule="exact"/>
              <w:jc w:val="center"/>
              <w:rPr>
                <w:rFonts w:eastAsia="Calibri"/>
                <w:color w:val="000000"/>
              </w:rPr>
            </w:pPr>
            <w:r w:rsidRPr="005C3281">
              <w:rPr>
                <w:rFonts w:eastAsia="Calibri"/>
                <w:color w:val="000000"/>
              </w:rPr>
              <w:t>14</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Pr>
          <w:p w14:paraId="138912DD" w14:textId="77777777" w:rsidR="004D7AD7" w:rsidRPr="005C3281" w:rsidRDefault="004D7AD7" w:rsidP="00510C57">
            <w:pPr>
              <w:autoSpaceDE w:val="0"/>
              <w:autoSpaceDN w:val="0"/>
              <w:adjustRightInd w:val="0"/>
              <w:spacing w:line="360" w:lineRule="exact"/>
              <w:jc w:val="center"/>
              <w:rPr>
                <w:rFonts w:eastAsia="Calibri"/>
                <w:color w:val="000000"/>
              </w:rPr>
            </w:pPr>
            <w:r w:rsidRPr="005C3281">
              <w:rPr>
                <w:rFonts w:eastAsia="Calibri"/>
                <w:color w:val="000000"/>
              </w:rPr>
              <w:t>14</w:t>
            </w:r>
          </w:p>
        </w:tc>
      </w:tr>
      <w:tr w:rsidR="004D7AD7" w:rsidRPr="002262E0" w14:paraId="61460098" w14:textId="77777777" w:rsidTr="00510C57">
        <w:trPr>
          <w:cantSplit/>
          <w:trHeight w:val="227"/>
        </w:trPr>
        <w:tc>
          <w:tcPr>
            <w:tcW w:w="1242" w:type="dxa"/>
            <w:tcBorders>
              <w:top w:val="single" w:sz="8" w:space="0" w:color="FFFFFF" w:themeColor="background1"/>
              <w:left w:val="single" w:sz="8" w:space="0" w:color="FFFFFF" w:themeColor="background1"/>
              <w:bottom w:val="single" w:sz="8" w:space="0" w:color="FFFFFF" w:themeColor="background1"/>
            </w:tcBorders>
            <w:shd w:val="clear" w:color="auto" w:fill="auto"/>
          </w:tcPr>
          <w:p w14:paraId="41281DB5" w14:textId="77777777" w:rsidR="004D7AD7" w:rsidRPr="005C3281" w:rsidRDefault="004D7AD7" w:rsidP="00510C57">
            <w:pPr>
              <w:autoSpaceDE w:val="0"/>
              <w:autoSpaceDN w:val="0"/>
              <w:adjustRightInd w:val="0"/>
              <w:spacing w:line="360" w:lineRule="exact"/>
              <w:jc w:val="both"/>
              <w:rPr>
                <w:rFonts w:eastAsia="Calibri"/>
                <w:color w:val="000000"/>
              </w:rPr>
            </w:pPr>
            <w:r w:rsidRPr="005C3281">
              <w:rPr>
                <w:rFonts w:eastAsia="Calibri"/>
                <w:color w:val="000000"/>
              </w:rPr>
              <w:t>Mean</w:t>
            </w:r>
          </w:p>
        </w:tc>
        <w:tc>
          <w:tcPr>
            <w:tcW w:w="1588" w:type="dxa"/>
            <w:tcBorders>
              <w:top w:val="single" w:sz="8" w:space="0" w:color="FFFFFF" w:themeColor="background1"/>
              <w:bottom w:val="single" w:sz="8" w:space="0" w:color="FFFFFF" w:themeColor="background1"/>
              <w:right w:val="single" w:sz="8" w:space="0" w:color="FFFFFF" w:themeColor="background1"/>
            </w:tcBorders>
            <w:shd w:val="clear" w:color="auto" w:fill="auto"/>
          </w:tcPr>
          <w:p w14:paraId="3B087E79" w14:textId="77777777" w:rsidR="004D7AD7" w:rsidRPr="005C3281" w:rsidRDefault="004D7AD7" w:rsidP="00510C57">
            <w:pPr>
              <w:autoSpaceDE w:val="0"/>
              <w:autoSpaceDN w:val="0"/>
              <w:adjustRightInd w:val="0"/>
              <w:spacing w:line="360" w:lineRule="exact"/>
              <w:jc w:val="center"/>
              <w:rPr>
                <w:rFonts w:eastAsia="Calibri"/>
                <w:color w:val="000000"/>
              </w:rPr>
            </w:pPr>
            <w:r w:rsidRPr="005C3281">
              <w:rPr>
                <w:rFonts w:eastAsia="Calibri"/>
                <w:color w:val="000000"/>
              </w:rPr>
              <w:t>14.12</w:t>
            </w:r>
          </w:p>
        </w:tc>
        <w:tc>
          <w:tcPr>
            <w:tcW w:w="1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Pr>
          <w:p w14:paraId="4FE8BA01" w14:textId="77777777" w:rsidR="004D7AD7" w:rsidRPr="005C3281" w:rsidRDefault="004D7AD7" w:rsidP="00510C57">
            <w:pPr>
              <w:autoSpaceDE w:val="0"/>
              <w:autoSpaceDN w:val="0"/>
              <w:adjustRightInd w:val="0"/>
              <w:spacing w:line="360" w:lineRule="exact"/>
              <w:jc w:val="center"/>
              <w:rPr>
                <w:rFonts w:eastAsia="Calibri"/>
                <w:color w:val="000000"/>
              </w:rPr>
            </w:pPr>
            <w:r w:rsidRPr="005C3281">
              <w:rPr>
                <w:rFonts w:eastAsia="Calibri"/>
                <w:color w:val="000000"/>
              </w:rPr>
              <w:t>8.17</w:t>
            </w:r>
          </w:p>
        </w:tc>
        <w:tc>
          <w:tcPr>
            <w:tcW w:w="1559" w:type="dxa"/>
            <w:tcBorders>
              <w:top w:val="single" w:sz="8" w:space="0" w:color="FFFFFF" w:themeColor="background1"/>
              <w:left w:val="single" w:sz="8" w:space="0" w:color="FFFFFF" w:themeColor="background1"/>
              <w:bottom w:val="single" w:sz="8" w:space="0" w:color="FFFFFF" w:themeColor="background1"/>
            </w:tcBorders>
            <w:shd w:val="clear" w:color="auto" w:fill="auto"/>
          </w:tcPr>
          <w:p w14:paraId="2E348E3C" w14:textId="77777777" w:rsidR="004D7AD7" w:rsidRPr="005C3281" w:rsidRDefault="004D7AD7" w:rsidP="00510C57">
            <w:pPr>
              <w:autoSpaceDE w:val="0"/>
              <w:autoSpaceDN w:val="0"/>
              <w:adjustRightInd w:val="0"/>
              <w:spacing w:line="360" w:lineRule="exact"/>
              <w:jc w:val="center"/>
              <w:rPr>
                <w:rFonts w:eastAsia="Calibri"/>
                <w:color w:val="000000"/>
              </w:rPr>
            </w:pPr>
            <w:r w:rsidRPr="005C3281">
              <w:rPr>
                <w:rFonts w:eastAsia="Calibri"/>
                <w:color w:val="000000"/>
              </w:rPr>
              <w:t>5.96</w:t>
            </w:r>
          </w:p>
        </w:tc>
        <w:tc>
          <w:tcPr>
            <w:tcW w:w="1276" w:type="dxa"/>
            <w:tcBorders>
              <w:top w:val="single" w:sz="8" w:space="0" w:color="FFFFFF" w:themeColor="background1"/>
              <w:bottom w:val="single" w:sz="8" w:space="0" w:color="FFFFFF" w:themeColor="background1"/>
              <w:right w:val="single" w:sz="8" w:space="0" w:color="FFFFFF" w:themeColor="background1"/>
            </w:tcBorders>
            <w:shd w:val="clear" w:color="auto" w:fill="auto"/>
          </w:tcPr>
          <w:p w14:paraId="31414D6B" w14:textId="77777777" w:rsidR="004D7AD7" w:rsidRPr="005C3281" w:rsidRDefault="004D7AD7" w:rsidP="00510C57">
            <w:pPr>
              <w:autoSpaceDE w:val="0"/>
              <w:autoSpaceDN w:val="0"/>
              <w:adjustRightInd w:val="0"/>
              <w:spacing w:line="360" w:lineRule="exact"/>
              <w:jc w:val="center"/>
              <w:rPr>
                <w:rFonts w:eastAsia="Calibri"/>
                <w:color w:val="000000"/>
              </w:rPr>
            </w:pPr>
            <w:r w:rsidRPr="005C3281">
              <w:rPr>
                <w:rFonts w:eastAsia="Calibri"/>
                <w:color w:val="000000"/>
              </w:rPr>
              <w:t>13.74</w:t>
            </w:r>
          </w:p>
        </w:tc>
        <w:tc>
          <w:tcPr>
            <w:tcW w:w="14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Pr>
          <w:p w14:paraId="3143CF7F" w14:textId="77777777" w:rsidR="004D7AD7" w:rsidRPr="005C3281" w:rsidRDefault="004D7AD7" w:rsidP="00510C57">
            <w:pPr>
              <w:autoSpaceDE w:val="0"/>
              <w:autoSpaceDN w:val="0"/>
              <w:adjustRightInd w:val="0"/>
              <w:spacing w:line="360" w:lineRule="exact"/>
              <w:jc w:val="center"/>
              <w:rPr>
                <w:rFonts w:eastAsia="Calibri"/>
                <w:color w:val="000000"/>
              </w:rPr>
            </w:pPr>
            <w:r w:rsidRPr="005C3281">
              <w:rPr>
                <w:rFonts w:eastAsia="Calibri"/>
                <w:color w:val="000000"/>
              </w:rPr>
              <w:t>7.65</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Pr>
          <w:p w14:paraId="117C1BDF" w14:textId="77777777" w:rsidR="004D7AD7" w:rsidRPr="005C3281" w:rsidRDefault="004D7AD7" w:rsidP="00510C57">
            <w:pPr>
              <w:autoSpaceDE w:val="0"/>
              <w:autoSpaceDN w:val="0"/>
              <w:adjustRightInd w:val="0"/>
              <w:spacing w:line="360" w:lineRule="exact"/>
              <w:jc w:val="center"/>
              <w:rPr>
                <w:rFonts w:eastAsia="Calibri"/>
                <w:color w:val="000000"/>
              </w:rPr>
            </w:pPr>
            <w:r w:rsidRPr="005C3281">
              <w:rPr>
                <w:rFonts w:eastAsia="Calibri"/>
                <w:color w:val="000000"/>
              </w:rPr>
              <w:t>6.09</w:t>
            </w:r>
          </w:p>
        </w:tc>
      </w:tr>
      <w:tr w:rsidR="004D7AD7" w:rsidRPr="002262E0" w14:paraId="01AAE861" w14:textId="77777777" w:rsidTr="00510C57">
        <w:trPr>
          <w:cantSplit/>
          <w:trHeight w:val="227"/>
        </w:trPr>
        <w:tc>
          <w:tcPr>
            <w:tcW w:w="1242" w:type="dxa"/>
            <w:tcBorders>
              <w:top w:val="single" w:sz="8" w:space="0" w:color="FFFFFF" w:themeColor="background1"/>
              <w:left w:val="single" w:sz="8" w:space="0" w:color="FFFFFF" w:themeColor="background1"/>
            </w:tcBorders>
            <w:shd w:val="clear" w:color="auto" w:fill="auto"/>
          </w:tcPr>
          <w:p w14:paraId="5591A51A" w14:textId="77777777" w:rsidR="004D7AD7" w:rsidRPr="005C3281" w:rsidRDefault="004D7AD7" w:rsidP="00510C57">
            <w:pPr>
              <w:autoSpaceDE w:val="0"/>
              <w:autoSpaceDN w:val="0"/>
              <w:adjustRightInd w:val="0"/>
              <w:spacing w:line="360" w:lineRule="exact"/>
              <w:jc w:val="both"/>
              <w:rPr>
                <w:rFonts w:eastAsia="Calibri"/>
                <w:color w:val="000000"/>
              </w:rPr>
            </w:pPr>
            <w:r w:rsidRPr="005C3281">
              <w:rPr>
                <w:rFonts w:eastAsia="Calibri"/>
                <w:color w:val="000000"/>
                <w:lang w:eastAsia="en-AU"/>
              </w:rPr>
              <w:t>Std. Dev.</w:t>
            </w:r>
          </w:p>
        </w:tc>
        <w:tc>
          <w:tcPr>
            <w:tcW w:w="1588" w:type="dxa"/>
            <w:tcBorders>
              <w:top w:val="single" w:sz="8" w:space="0" w:color="FFFFFF" w:themeColor="background1"/>
              <w:right w:val="single" w:sz="8" w:space="0" w:color="FFFFFF" w:themeColor="background1"/>
            </w:tcBorders>
            <w:shd w:val="clear" w:color="auto" w:fill="auto"/>
          </w:tcPr>
          <w:p w14:paraId="4F77C723" w14:textId="77777777" w:rsidR="004D7AD7" w:rsidRPr="005C3281" w:rsidRDefault="004D7AD7" w:rsidP="00510C57">
            <w:pPr>
              <w:autoSpaceDE w:val="0"/>
              <w:autoSpaceDN w:val="0"/>
              <w:adjustRightInd w:val="0"/>
              <w:spacing w:line="360" w:lineRule="exact"/>
              <w:jc w:val="center"/>
              <w:rPr>
                <w:rFonts w:eastAsia="Calibri"/>
                <w:color w:val="000000"/>
              </w:rPr>
            </w:pPr>
            <w:r w:rsidRPr="005C3281">
              <w:rPr>
                <w:rFonts w:eastAsia="Calibri"/>
                <w:color w:val="000000"/>
              </w:rPr>
              <w:t>5.180</w:t>
            </w:r>
          </w:p>
        </w:tc>
        <w:tc>
          <w:tcPr>
            <w:tcW w:w="1418" w:type="dxa"/>
            <w:tcBorders>
              <w:top w:val="single" w:sz="8" w:space="0" w:color="FFFFFF" w:themeColor="background1"/>
              <w:left w:val="single" w:sz="8" w:space="0" w:color="FFFFFF" w:themeColor="background1"/>
              <w:right w:val="single" w:sz="8" w:space="0" w:color="FFFFFF" w:themeColor="background1"/>
            </w:tcBorders>
            <w:shd w:val="clear" w:color="auto" w:fill="auto"/>
          </w:tcPr>
          <w:p w14:paraId="411F6ABF" w14:textId="77777777" w:rsidR="004D7AD7" w:rsidRPr="005C3281" w:rsidRDefault="004D7AD7" w:rsidP="00510C57">
            <w:pPr>
              <w:autoSpaceDE w:val="0"/>
              <w:autoSpaceDN w:val="0"/>
              <w:adjustRightInd w:val="0"/>
              <w:spacing w:line="360" w:lineRule="exact"/>
              <w:jc w:val="center"/>
              <w:rPr>
                <w:rFonts w:eastAsia="Calibri"/>
                <w:color w:val="000000"/>
              </w:rPr>
            </w:pPr>
            <w:r w:rsidRPr="005C3281">
              <w:rPr>
                <w:rFonts w:eastAsia="Calibri"/>
                <w:color w:val="000000"/>
              </w:rPr>
              <w:t>2.702</w:t>
            </w:r>
          </w:p>
        </w:tc>
        <w:tc>
          <w:tcPr>
            <w:tcW w:w="1559" w:type="dxa"/>
            <w:tcBorders>
              <w:top w:val="single" w:sz="8" w:space="0" w:color="FFFFFF" w:themeColor="background1"/>
              <w:left w:val="single" w:sz="8" w:space="0" w:color="FFFFFF" w:themeColor="background1"/>
            </w:tcBorders>
            <w:shd w:val="clear" w:color="auto" w:fill="auto"/>
          </w:tcPr>
          <w:p w14:paraId="6D4F03D7" w14:textId="77777777" w:rsidR="004D7AD7" w:rsidRPr="005C3281" w:rsidRDefault="004D7AD7" w:rsidP="00510C57">
            <w:pPr>
              <w:autoSpaceDE w:val="0"/>
              <w:autoSpaceDN w:val="0"/>
              <w:adjustRightInd w:val="0"/>
              <w:spacing w:line="360" w:lineRule="exact"/>
              <w:jc w:val="center"/>
              <w:rPr>
                <w:rFonts w:eastAsia="Calibri"/>
                <w:color w:val="000000"/>
              </w:rPr>
            </w:pPr>
            <w:r w:rsidRPr="005C3281">
              <w:rPr>
                <w:rFonts w:eastAsia="Calibri"/>
                <w:color w:val="000000"/>
              </w:rPr>
              <w:t>3.059</w:t>
            </w:r>
          </w:p>
        </w:tc>
        <w:tc>
          <w:tcPr>
            <w:tcW w:w="1276" w:type="dxa"/>
            <w:tcBorders>
              <w:top w:val="single" w:sz="8" w:space="0" w:color="FFFFFF" w:themeColor="background1"/>
              <w:right w:val="single" w:sz="8" w:space="0" w:color="FFFFFF" w:themeColor="background1"/>
            </w:tcBorders>
            <w:shd w:val="clear" w:color="auto" w:fill="auto"/>
          </w:tcPr>
          <w:p w14:paraId="0B5342E0" w14:textId="77777777" w:rsidR="004D7AD7" w:rsidRPr="005C3281" w:rsidRDefault="004D7AD7" w:rsidP="00510C57">
            <w:pPr>
              <w:autoSpaceDE w:val="0"/>
              <w:autoSpaceDN w:val="0"/>
              <w:adjustRightInd w:val="0"/>
              <w:spacing w:line="360" w:lineRule="exact"/>
              <w:jc w:val="center"/>
              <w:rPr>
                <w:rFonts w:eastAsia="Calibri"/>
                <w:color w:val="000000"/>
              </w:rPr>
            </w:pPr>
            <w:r w:rsidRPr="005C3281">
              <w:rPr>
                <w:rFonts w:eastAsia="Calibri"/>
                <w:color w:val="000000"/>
              </w:rPr>
              <w:t>4.761</w:t>
            </w:r>
          </w:p>
        </w:tc>
        <w:tc>
          <w:tcPr>
            <w:tcW w:w="1417" w:type="dxa"/>
            <w:tcBorders>
              <w:top w:val="single" w:sz="8" w:space="0" w:color="FFFFFF" w:themeColor="background1"/>
              <w:left w:val="single" w:sz="8" w:space="0" w:color="FFFFFF" w:themeColor="background1"/>
              <w:right w:val="single" w:sz="8" w:space="0" w:color="FFFFFF" w:themeColor="background1"/>
            </w:tcBorders>
            <w:shd w:val="clear" w:color="auto" w:fill="auto"/>
          </w:tcPr>
          <w:p w14:paraId="143930EB" w14:textId="77777777" w:rsidR="004D7AD7" w:rsidRPr="005C3281" w:rsidRDefault="004D7AD7" w:rsidP="00510C57">
            <w:pPr>
              <w:autoSpaceDE w:val="0"/>
              <w:autoSpaceDN w:val="0"/>
              <w:adjustRightInd w:val="0"/>
              <w:spacing w:line="360" w:lineRule="exact"/>
              <w:jc w:val="center"/>
              <w:rPr>
                <w:rFonts w:eastAsia="Calibri"/>
                <w:color w:val="000000"/>
              </w:rPr>
            </w:pPr>
            <w:r w:rsidRPr="005C3281">
              <w:rPr>
                <w:rFonts w:eastAsia="Calibri"/>
                <w:color w:val="000000"/>
              </w:rPr>
              <w:t>2.414</w:t>
            </w:r>
          </w:p>
        </w:tc>
        <w:tc>
          <w:tcPr>
            <w:tcW w:w="1560" w:type="dxa"/>
            <w:tcBorders>
              <w:top w:val="single" w:sz="8" w:space="0" w:color="FFFFFF" w:themeColor="background1"/>
              <w:left w:val="single" w:sz="8" w:space="0" w:color="FFFFFF" w:themeColor="background1"/>
              <w:right w:val="single" w:sz="8" w:space="0" w:color="FFFFFF" w:themeColor="background1"/>
            </w:tcBorders>
            <w:shd w:val="clear" w:color="auto" w:fill="auto"/>
          </w:tcPr>
          <w:p w14:paraId="71165AEB" w14:textId="77777777" w:rsidR="004D7AD7" w:rsidRPr="005C3281" w:rsidRDefault="004D7AD7" w:rsidP="00510C57">
            <w:pPr>
              <w:autoSpaceDE w:val="0"/>
              <w:autoSpaceDN w:val="0"/>
              <w:adjustRightInd w:val="0"/>
              <w:spacing w:line="360" w:lineRule="exact"/>
              <w:jc w:val="center"/>
              <w:rPr>
                <w:rFonts w:eastAsia="Calibri"/>
                <w:color w:val="000000"/>
              </w:rPr>
            </w:pPr>
            <w:r w:rsidRPr="005C3281">
              <w:rPr>
                <w:rFonts w:eastAsia="Calibri"/>
                <w:color w:val="000000"/>
              </w:rPr>
              <w:t>3.167</w:t>
            </w:r>
          </w:p>
        </w:tc>
      </w:tr>
    </w:tbl>
    <w:p w14:paraId="14A18039" w14:textId="77777777" w:rsidR="004D7AD7" w:rsidRPr="005C3281" w:rsidRDefault="004D7AD7" w:rsidP="004D7AD7">
      <w:pPr>
        <w:pStyle w:val="Default"/>
        <w:spacing w:line="360" w:lineRule="exact"/>
        <w:ind w:left="709" w:hanging="709"/>
        <w:jc w:val="both"/>
        <w:rPr>
          <w:rFonts w:ascii="Times New Roman" w:hAnsi="Times New Roman" w:cs="Times New Roman"/>
          <w:b/>
        </w:rPr>
      </w:pPr>
      <w:r w:rsidRPr="005C3281">
        <w:rPr>
          <w:rFonts w:ascii="Times New Roman" w:hAnsi="Times New Roman" w:cs="Times New Roman"/>
          <w:i/>
          <w:szCs w:val="20"/>
        </w:rPr>
        <w:t>Note</w:t>
      </w:r>
      <w:r w:rsidRPr="005C3281">
        <w:rPr>
          <w:rFonts w:ascii="Times New Roman" w:hAnsi="Times New Roman" w:cs="Times New Roman"/>
          <w:szCs w:val="20"/>
        </w:rPr>
        <w:t>:</w:t>
      </w:r>
      <w:r w:rsidRPr="005C3281">
        <w:rPr>
          <w:rFonts w:ascii="Times New Roman" w:hAnsi="Times New Roman" w:cs="Times New Roman"/>
          <w:szCs w:val="20"/>
        </w:rPr>
        <w:tab/>
      </w:r>
      <w:proofErr w:type="spellStart"/>
      <w:r w:rsidRPr="005C3281">
        <w:rPr>
          <w:rFonts w:ascii="Times New Roman" w:hAnsi="Times New Roman" w:cs="Times New Roman"/>
          <w:szCs w:val="20"/>
        </w:rPr>
        <w:t>DI</w:t>
      </w:r>
      <w:r w:rsidRPr="005C3281">
        <w:rPr>
          <w:rFonts w:ascii="Times New Roman" w:hAnsi="Times New Roman" w:cs="Times New Roman"/>
          <w:szCs w:val="20"/>
          <w:vertAlign w:val="subscript"/>
        </w:rPr>
        <w:t>i</w:t>
      </w:r>
      <w:proofErr w:type="spellEnd"/>
      <w:r>
        <w:rPr>
          <w:rFonts w:ascii="Times New Roman" w:hAnsi="Times New Roman" w:cs="Times New Roman"/>
          <w:szCs w:val="20"/>
          <w:vertAlign w:val="subscript"/>
        </w:rPr>
        <w:t xml:space="preserve"> </w:t>
      </w:r>
      <w:r w:rsidRPr="005C3281">
        <w:rPr>
          <w:rFonts w:ascii="Times New Roman" w:hAnsi="Times New Roman" w:cs="Times New Roman"/>
          <w:szCs w:val="20"/>
        </w:rPr>
        <w:t>=</w:t>
      </w:r>
      <w:r>
        <w:rPr>
          <w:rFonts w:ascii="Times New Roman" w:hAnsi="Times New Roman" w:cs="Times New Roman"/>
          <w:szCs w:val="20"/>
        </w:rPr>
        <w:t xml:space="preserve"> </w:t>
      </w:r>
      <w:r w:rsidRPr="005C3281">
        <w:rPr>
          <w:rFonts w:ascii="Times New Roman" w:hAnsi="Times New Roman" w:cs="Times New Roman"/>
          <w:szCs w:val="20"/>
        </w:rPr>
        <w:t xml:space="preserve">disclosure index on environmental factors, social factors, or both; </w:t>
      </w:r>
      <w:proofErr w:type="spellStart"/>
      <w:r w:rsidRPr="005C3281">
        <w:rPr>
          <w:rFonts w:ascii="Times New Roman" w:hAnsi="Times New Roman" w:cs="Times New Roman"/>
          <w:szCs w:val="20"/>
        </w:rPr>
        <w:t>IE</w:t>
      </w:r>
      <w:r w:rsidRPr="005C3281">
        <w:rPr>
          <w:rFonts w:ascii="Times New Roman" w:hAnsi="Times New Roman" w:cs="Times New Roman"/>
          <w:szCs w:val="20"/>
          <w:vertAlign w:val="subscript"/>
        </w:rPr>
        <w:t>i</w:t>
      </w:r>
      <w:proofErr w:type="spellEnd"/>
      <w:r>
        <w:rPr>
          <w:rFonts w:ascii="Times New Roman" w:hAnsi="Times New Roman" w:cs="Times New Roman"/>
          <w:szCs w:val="20"/>
          <w:vertAlign w:val="subscript"/>
        </w:rPr>
        <w:t xml:space="preserve"> </w:t>
      </w:r>
      <w:r w:rsidRPr="005C3281">
        <w:rPr>
          <w:rFonts w:ascii="Times New Roman" w:hAnsi="Times New Roman" w:cs="Times New Roman"/>
          <w:szCs w:val="20"/>
        </w:rPr>
        <w:t xml:space="preserve">= International experience, measured by the percentage of sales outside India to total sales as reported in the annual report; </w:t>
      </w:r>
      <w:proofErr w:type="spellStart"/>
      <w:r w:rsidRPr="005C3281">
        <w:rPr>
          <w:rFonts w:ascii="Times New Roman" w:hAnsi="Times New Roman" w:cs="Times New Roman"/>
          <w:szCs w:val="20"/>
        </w:rPr>
        <w:t>TA</w:t>
      </w:r>
      <w:r w:rsidRPr="005C3281">
        <w:rPr>
          <w:rFonts w:ascii="Times New Roman" w:hAnsi="Times New Roman" w:cs="Times New Roman"/>
          <w:szCs w:val="20"/>
          <w:vertAlign w:val="subscript"/>
        </w:rPr>
        <w:t>i</w:t>
      </w:r>
      <w:proofErr w:type="spellEnd"/>
      <w:r w:rsidRPr="005C3281">
        <w:rPr>
          <w:rFonts w:ascii="Times New Roman" w:hAnsi="Times New Roman" w:cs="Times New Roman"/>
          <w:szCs w:val="20"/>
          <w:vertAlign w:val="subscript"/>
        </w:rPr>
        <w:t xml:space="preserve"> </w:t>
      </w:r>
      <w:r w:rsidRPr="005C3281">
        <w:rPr>
          <w:rFonts w:ascii="Times New Roman" w:hAnsi="Times New Roman" w:cs="Times New Roman"/>
          <w:szCs w:val="20"/>
        </w:rPr>
        <w:t>=</w:t>
      </w:r>
      <w:r>
        <w:rPr>
          <w:rFonts w:ascii="Times New Roman" w:hAnsi="Times New Roman" w:cs="Times New Roman"/>
          <w:szCs w:val="20"/>
        </w:rPr>
        <w:t xml:space="preserve"> </w:t>
      </w:r>
      <w:r w:rsidRPr="005C3281">
        <w:rPr>
          <w:rFonts w:ascii="Times New Roman" w:hAnsi="Times New Roman" w:cs="Times New Roman"/>
          <w:szCs w:val="20"/>
        </w:rPr>
        <w:t xml:space="preserve">logarithm of book value of total assets of the reporting entity at year end; </w:t>
      </w:r>
      <w:proofErr w:type="spellStart"/>
      <w:r w:rsidRPr="005C3281">
        <w:rPr>
          <w:rFonts w:ascii="Times New Roman" w:hAnsi="Times New Roman" w:cs="Times New Roman"/>
          <w:szCs w:val="20"/>
        </w:rPr>
        <w:t>ROTA</w:t>
      </w:r>
      <w:r w:rsidRPr="005C3281">
        <w:rPr>
          <w:rFonts w:ascii="Times New Roman" w:hAnsi="Times New Roman" w:cs="Times New Roman"/>
          <w:szCs w:val="20"/>
          <w:vertAlign w:val="subscript"/>
        </w:rPr>
        <w:t>i</w:t>
      </w:r>
      <w:proofErr w:type="spellEnd"/>
      <w:r>
        <w:rPr>
          <w:rFonts w:ascii="Times New Roman" w:hAnsi="Times New Roman" w:cs="Times New Roman"/>
          <w:szCs w:val="20"/>
          <w:vertAlign w:val="subscript"/>
        </w:rPr>
        <w:t xml:space="preserve"> </w:t>
      </w:r>
      <w:r w:rsidRPr="005C3281">
        <w:rPr>
          <w:rFonts w:ascii="Times New Roman" w:hAnsi="Times New Roman" w:cs="Times New Roman"/>
          <w:szCs w:val="20"/>
        </w:rPr>
        <w:t>=</w:t>
      </w:r>
      <w:r>
        <w:rPr>
          <w:rFonts w:ascii="Times New Roman" w:hAnsi="Times New Roman" w:cs="Times New Roman"/>
          <w:szCs w:val="20"/>
        </w:rPr>
        <w:t xml:space="preserve"> </w:t>
      </w:r>
      <w:r w:rsidRPr="005C3281">
        <w:rPr>
          <w:rFonts w:ascii="Times New Roman" w:hAnsi="Times New Roman" w:cs="Times New Roman"/>
          <w:szCs w:val="20"/>
        </w:rPr>
        <w:t xml:space="preserve">return on assets, measured by net profit to the of total assets for company I; C IND = industry in which the company operates (Chemical); FP IND = industry in which the company operates (Forestry and Paper); IT IND = industry in which the company operates (Industrial Transport); </w:t>
      </w:r>
      <w:proofErr w:type="spellStart"/>
      <w:r w:rsidRPr="005C3281">
        <w:rPr>
          <w:rFonts w:ascii="Times New Roman" w:hAnsi="Times New Roman" w:cs="Times New Roman"/>
          <w:szCs w:val="20"/>
        </w:rPr>
        <w:t>CPi</w:t>
      </w:r>
      <w:proofErr w:type="spellEnd"/>
      <w:r w:rsidRPr="005C3281">
        <w:rPr>
          <w:rFonts w:ascii="Times New Roman" w:hAnsi="Times New Roman" w:cs="Times New Roman"/>
          <w:szCs w:val="20"/>
        </w:rPr>
        <w:t xml:space="preserve"> = Consumer proximity (a binary measure (high/low profile) is used, with 1 if company </w:t>
      </w:r>
      <w:proofErr w:type="spellStart"/>
      <w:r w:rsidRPr="005C3281">
        <w:rPr>
          <w:rFonts w:ascii="Times New Roman" w:hAnsi="Times New Roman" w:cs="Times New Roman"/>
          <w:szCs w:val="20"/>
        </w:rPr>
        <w:t>i</w:t>
      </w:r>
      <w:proofErr w:type="spellEnd"/>
      <w:r w:rsidRPr="005C3281">
        <w:rPr>
          <w:rFonts w:ascii="Times New Roman" w:hAnsi="Times New Roman" w:cs="Times New Roman"/>
          <w:szCs w:val="20"/>
        </w:rPr>
        <w:t xml:space="preserve"> is a high profile company and 0 otherwise; the top 10% companies of an industry are considered high profile); </w:t>
      </w:r>
      <w:proofErr w:type="spellStart"/>
      <w:r w:rsidRPr="005C3281">
        <w:rPr>
          <w:rFonts w:ascii="Times New Roman" w:hAnsi="Times New Roman" w:cs="Times New Roman"/>
          <w:szCs w:val="20"/>
        </w:rPr>
        <w:t>AREi</w:t>
      </w:r>
      <w:proofErr w:type="spellEnd"/>
      <w:r w:rsidRPr="005C3281">
        <w:rPr>
          <w:rFonts w:ascii="Times New Roman" w:hAnsi="Times New Roman" w:cs="Times New Roman"/>
          <w:szCs w:val="20"/>
        </w:rPr>
        <w:t xml:space="preserve"> = age in years of the reporting entity based on the date of incorporation; LEV = Leverage, measured by the ratio of total debt/total assets. </w:t>
      </w:r>
    </w:p>
    <w:p w14:paraId="12C0B9EB" w14:textId="77777777" w:rsidR="004D7AD7" w:rsidRPr="00F40242" w:rsidRDefault="004D7AD7" w:rsidP="004D7AD7">
      <w:pPr>
        <w:spacing w:line="360" w:lineRule="exact"/>
        <w:jc w:val="both"/>
        <w:rPr>
          <w:b/>
          <w:sz w:val="26"/>
        </w:rPr>
      </w:pPr>
    </w:p>
    <w:p w14:paraId="462642FB" w14:textId="77777777" w:rsidR="004D7AD7" w:rsidRPr="00F40242" w:rsidRDefault="004D7AD7" w:rsidP="006B1EBC">
      <w:pPr>
        <w:pStyle w:val="Default"/>
        <w:spacing w:line="360" w:lineRule="exact"/>
        <w:jc w:val="both"/>
        <w:rPr>
          <w:rFonts w:ascii="Times New Roman" w:hAnsi="Times New Roman" w:cs="Times New Roman"/>
          <w:sz w:val="26"/>
        </w:rPr>
        <w:sectPr w:rsidR="004D7AD7" w:rsidRPr="00F40242" w:rsidSect="00C45B2C">
          <w:headerReference w:type="even" r:id="rId11"/>
          <w:headerReference w:type="default" r:id="rId12"/>
          <w:headerReference w:type="first" r:id="rId13"/>
          <w:pgSz w:w="11906" w:h="16838"/>
          <w:pgMar w:top="1276" w:right="1440" w:bottom="1440" w:left="1440" w:header="709" w:footer="709" w:gutter="0"/>
          <w:lnNumType w:countBy="1"/>
          <w:pgNumType w:start="191"/>
          <w:cols w:space="708"/>
          <w:titlePg/>
          <w:docGrid w:linePitch="360"/>
        </w:sectPr>
      </w:pPr>
    </w:p>
    <w:p w14:paraId="6219A0E5" w14:textId="13A10B9E" w:rsidR="001702CF" w:rsidRDefault="004461D9" w:rsidP="00372057">
      <w:pPr>
        <w:pStyle w:val="Style2"/>
        <w:spacing w:after="0" w:line="360" w:lineRule="exact"/>
        <w:jc w:val="center"/>
        <w:rPr>
          <w:rFonts w:ascii="Times New Roman" w:hAnsi="Times New Roman"/>
          <w:sz w:val="26"/>
          <w:szCs w:val="24"/>
        </w:rPr>
      </w:pPr>
      <w:r w:rsidRPr="00B95A3A">
        <w:rPr>
          <w:rFonts w:ascii="Times New Roman" w:hAnsi="Times New Roman"/>
          <w:sz w:val="26"/>
          <w:szCs w:val="24"/>
        </w:rPr>
        <w:lastRenderedPageBreak/>
        <w:t xml:space="preserve">Table </w:t>
      </w:r>
      <w:proofErr w:type="gramStart"/>
      <w:r w:rsidRPr="00B95A3A">
        <w:rPr>
          <w:rFonts w:ascii="Times New Roman" w:hAnsi="Times New Roman"/>
          <w:sz w:val="26"/>
          <w:szCs w:val="24"/>
        </w:rPr>
        <w:t>3</w:t>
      </w:r>
      <w:r w:rsidR="004D7AD7" w:rsidRPr="004D7AD7">
        <w:rPr>
          <w:rFonts w:ascii="Times New Roman" w:hAnsi="Times New Roman"/>
          <w:sz w:val="26"/>
        </w:rPr>
        <w:t xml:space="preserve"> </w:t>
      </w:r>
      <w:r w:rsidR="004D7AD7">
        <w:rPr>
          <w:rFonts w:ascii="Times New Roman" w:hAnsi="Times New Roman"/>
          <w:sz w:val="26"/>
        </w:rPr>
        <w:t xml:space="preserve"> </w:t>
      </w:r>
      <w:r w:rsidR="004D7AD7" w:rsidRPr="00F40242">
        <w:rPr>
          <w:rFonts w:ascii="Times New Roman" w:hAnsi="Times New Roman"/>
          <w:sz w:val="26"/>
        </w:rPr>
        <w:t>Panel</w:t>
      </w:r>
      <w:proofErr w:type="gramEnd"/>
      <w:r w:rsidR="004D7AD7" w:rsidRPr="00B95A3A">
        <w:rPr>
          <w:rFonts w:ascii="Times New Roman" w:hAnsi="Times New Roman"/>
          <w:sz w:val="26"/>
          <w:szCs w:val="24"/>
        </w:rPr>
        <w:t xml:space="preserve"> </w:t>
      </w:r>
      <w:r w:rsidR="005E2771" w:rsidRPr="00B95A3A">
        <w:rPr>
          <w:rFonts w:ascii="Times New Roman" w:hAnsi="Times New Roman"/>
          <w:sz w:val="26"/>
          <w:szCs w:val="24"/>
        </w:rPr>
        <w:t>A</w:t>
      </w:r>
      <w:r w:rsidR="004D7AD7">
        <w:rPr>
          <w:rFonts w:ascii="Times New Roman" w:hAnsi="Times New Roman"/>
          <w:sz w:val="26"/>
          <w:szCs w:val="24"/>
        </w:rPr>
        <w:t>.</w:t>
      </w:r>
      <w:r w:rsidR="00830932">
        <w:rPr>
          <w:rFonts w:ascii="Times New Roman" w:hAnsi="Times New Roman"/>
          <w:sz w:val="26"/>
          <w:szCs w:val="24"/>
        </w:rPr>
        <w:t xml:space="preserve"> </w:t>
      </w:r>
      <w:r w:rsidR="00396D33">
        <w:rPr>
          <w:rFonts w:ascii="Times New Roman" w:hAnsi="Times New Roman"/>
          <w:sz w:val="26"/>
          <w:szCs w:val="24"/>
        </w:rPr>
        <w:t xml:space="preserve"> </w:t>
      </w:r>
      <w:r w:rsidRPr="00B95A3A">
        <w:rPr>
          <w:rFonts w:ascii="Times New Roman" w:hAnsi="Times New Roman"/>
          <w:sz w:val="26"/>
          <w:szCs w:val="24"/>
        </w:rPr>
        <w:t>Descriptive Statistics of Variables Employed in the Analyses</w:t>
      </w:r>
    </w:p>
    <w:tbl>
      <w:tblPr>
        <w:tblStyle w:val="13"/>
        <w:tblW w:w="0" w:type="auto"/>
        <w:tblLayout w:type="fixed"/>
        <w:tblLook w:val="04A0" w:firstRow="1" w:lastRow="0" w:firstColumn="1" w:lastColumn="0" w:noHBand="0" w:noVBand="1"/>
      </w:tblPr>
      <w:tblGrid>
        <w:gridCol w:w="1435"/>
        <w:gridCol w:w="1037"/>
        <w:gridCol w:w="1038"/>
        <w:gridCol w:w="1038"/>
        <w:gridCol w:w="1037"/>
        <w:gridCol w:w="1038"/>
        <w:gridCol w:w="1038"/>
        <w:gridCol w:w="1037"/>
        <w:gridCol w:w="1038"/>
        <w:gridCol w:w="1038"/>
        <w:gridCol w:w="1037"/>
        <w:gridCol w:w="1038"/>
        <w:gridCol w:w="1038"/>
      </w:tblGrid>
      <w:tr w:rsidR="00A265E6" w:rsidRPr="001702CF" w14:paraId="7FC91BF9" w14:textId="77777777" w:rsidTr="00E327FB">
        <w:trPr>
          <w:trHeight w:val="460"/>
        </w:trPr>
        <w:tc>
          <w:tcPr>
            <w:tcW w:w="1435" w:type="dxa"/>
            <w:vMerge w:val="restart"/>
            <w:tcBorders>
              <w:top w:val="single" w:sz="8" w:space="0" w:color="auto"/>
              <w:right w:val="single" w:sz="8" w:space="0" w:color="auto"/>
            </w:tcBorders>
            <w:vAlign w:val="center"/>
          </w:tcPr>
          <w:p w14:paraId="50971820" w14:textId="77777777" w:rsidR="00A265E6" w:rsidRPr="0011381C" w:rsidRDefault="00A265E6" w:rsidP="00A265E6">
            <w:pPr>
              <w:keepNext/>
              <w:jc w:val="center"/>
              <w:rPr>
                <w:b/>
                <w:color w:val="000000"/>
                <w:sz w:val="20"/>
                <w:szCs w:val="20"/>
              </w:rPr>
            </w:pPr>
            <w:r w:rsidRPr="0011381C">
              <w:rPr>
                <w:b/>
                <w:color w:val="000000"/>
                <w:sz w:val="20"/>
                <w:szCs w:val="20"/>
              </w:rPr>
              <w:t>Variable</w:t>
            </w:r>
          </w:p>
        </w:tc>
        <w:tc>
          <w:tcPr>
            <w:tcW w:w="4150" w:type="dxa"/>
            <w:gridSpan w:val="4"/>
            <w:tcBorders>
              <w:top w:val="single" w:sz="8" w:space="0" w:color="auto"/>
              <w:left w:val="single" w:sz="8" w:space="0" w:color="auto"/>
              <w:bottom w:val="single" w:sz="4" w:space="0" w:color="FFFFFF" w:themeColor="background1"/>
              <w:right w:val="single" w:sz="8" w:space="0" w:color="auto"/>
            </w:tcBorders>
            <w:vAlign w:val="center"/>
          </w:tcPr>
          <w:p w14:paraId="4F85596B" w14:textId="77777777" w:rsidR="00A265E6" w:rsidRPr="0011381C" w:rsidRDefault="00A265E6" w:rsidP="00A265E6">
            <w:pPr>
              <w:keepNext/>
              <w:jc w:val="center"/>
              <w:rPr>
                <w:b/>
                <w:color w:val="000000"/>
                <w:sz w:val="20"/>
                <w:szCs w:val="20"/>
              </w:rPr>
            </w:pPr>
            <w:r w:rsidRPr="0011381C">
              <w:rPr>
                <w:b/>
                <w:color w:val="000000"/>
                <w:sz w:val="20"/>
                <w:szCs w:val="20"/>
              </w:rPr>
              <w:t>All Data</w:t>
            </w:r>
          </w:p>
        </w:tc>
        <w:tc>
          <w:tcPr>
            <w:tcW w:w="4151" w:type="dxa"/>
            <w:gridSpan w:val="4"/>
            <w:tcBorders>
              <w:top w:val="single" w:sz="8" w:space="0" w:color="auto"/>
              <w:left w:val="single" w:sz="8" w:space="0" w:color="auto"/>
              <w:bottom w:val="single" w:sz="4" w:space="0" w:color="FFFFFF" w:themeColor="background1"/>
              <w:right w:val="single" w:sz="8" w:space="0" w:color="auto"/>
            </w:tcBorders>
            <w:vAlign w:val="center"/>
          </w:tcPr>
          <w:p w14:paraId="49C436E3" w14:textId="77777777" w:rsidR="00A265E6" w:rsidRPr="0011381C" w:rsidRDefault="00A265E6" w:rsidP="00A265E6">
            <w:pPr>
              <w:keepNext/>
              <w:jc w:val="center"/>
              <w:rPr>
                <w:b/>
                <w:color w:val="000000"/>
                <w:sz w:val="20"/>
                <w:szCs w:val="20"/>
              </w:rPr>
            </w:pPr>
            <w:r w:rsidRPr="0011381C">
              <w:rPr>
                <w:b/>
                <w:color w:val="000000"/>
                <w:sz w:val="20"/>
                <w:szCs w:val="20"/>
              </w:rPr>
              <w:t>2014 Data</w:t>
            </w:r>
          </w:p>
        </w:tc>
        <w:tc>
          <w:tcPr>
            <w:tcW w:w="4151" w:type="dxa"/>
            <w:gridSpan w:val="4"/>
            <w:tcBorders>
              <w:top w:val="single" w:sz="4" w:space="0" w:color="auto"/>
              <w:left w:val="single" w:sz="8" w:space="0" w:color="auto"/>
              <w:bottom w:val="single" w:sz="4" w:space="0" w:color="FFFFFF" w:themeColor="background1"/>
            </w:tcBorders>
            <w:vAlign w:val="center"/>
          </w:tcPr>
          <w:p w14:paraId="077A7437" w14:textId="77777777" w:rsidR="00A265E6" w:rsidRPr="0011381C" w:rsidRDefault="00A265E6" w:rsidP="00A265E6">
            <w:pPr>
              <w:keepNext/>
              <w:jc w:val="center"/>
              <w:rPr>
                <w:b/>
                <w:color w:val="000000"/>
                <w:sz w:val="20"/>
                <w:szCs w:val="20"/>
              </w:rPr>
            </w:pPr>
            <w:r w:rsidRPr="0011381C">
              <w:rPr>
                <w:b/>
                <w:color w:val="000000"/>
                <w:sz w:val="20"/>
                <w:szCs w:val="20"/>
              </w:rPr>
              <w:t>2012 Data</w:t>
            </w:r>
          </w:p>
        </w:tc>
      </w:tr>
      <w:tr w:rsidR="00A265E6" w:rsidRPr="001702CF" w14:paraId="43E77BB1" w14:textId="77777777" w:rsidTr="00E327FB">
        <w:trPr>
          <w:trHeight w:val="460"/>
        </w:trPr>
        <w:tc>
          <w:tcPr>
            <w:tcW w:w="1435" w:type="dxa"/>
            <w:vMerge/>
            <w:tcBorders>
              <w:bottom w:val="single" w:sz="8" w:space="0" w:color="auto"/>
              <w:right w:val="single" w:sz="8" w:space="0" w:color="auto"/>
            </w:tcBorders>
            <w:vAlign w:val="center"/>
          </w:tcPr>
          <w:p w14:paraId="61430FEC" w14:textId="77777777" w:rsidR="00A265E6" w:rsidRPr="0011381C" w:rsidRDefault="00A265E6" w:rsidP="00A265E6">
            <w:pPr>
              <w:keepNext/>
              <w:jc w:val="center"/>
              <w:rPr>
                <w:b/>
                <w:color w:val="000000"/>
                <w:sz w:val="20"/>
                <w:szCs w:val="20"/>
              </w:rPr>
            </w:pPr>
          </w:p>
        </w:tc>
        <w:tc>
          <w:tcPr>
            <w:tcW w:w="1037" w:type="dxa"/>
            <w:tcBorders>
              <w:top w:val="single" w:sz="4" w:space="0" w:color="FFFFFF" w:themeColor="background1"/>
              <w:left w:val="single" w:sz="8" w:space="0" w:color="auto"/>
              <w:bottom w:val="single" w:sz="8" w:space="0" w:color="auto"/>
            </w:tcBorders>
            <w:vAlign w:val="center"/>
          </w:tcPr>
          <w:p w14:paraId="64C6C34C" w14:textId="77777777" w:rsidR="00A265E6" w:rsidRPr="008D2090" w:rsidRDefault="00A265E6" w:rsidP="00A265E6">
            <w:pPr>
              <w:keepNext/>
              <w:jc w:val="center"/>
              <w:rPr>
                <w:b/>
                <w:color w:val="000000"/>
                <w:sz w:val="18"/>
                <w:szCs w:val="18"/>
              </w:rPr>
            </w:pPr>
            <w:r w:rsidRPr="008D2090">
              <w:rPr>
                <w:b/>
                <w:color w:val="000000"/>
                <w:sz w:val="18"/>
                <w:szCs w:val="18"/>
              </w:rPr>
              <w:t>Minimum</w:t>
            </w:r>
          </w:p>
        </w:tc>
        <w:tc>
          <w:tcPr>
            <w:tcW w:w="1038" w:type="dxa"/>
            <w:tcBorders>
              <w:top w:val="single" w:sz="4" w:space="0" w:color="FFFFFF" w:themeColor="background1"/>
              <w:bottom w:val="single" w:sz="8" w:space="0" w:color="auto"/>
            </w:tcBorders>
            <w:vAlign w:val="center"/>
          </w:tcPr>
          <w:p w14:paraId="383F3066" w14:textId="77777777" w:rsidR="00A265E6" w:rsidRPr="008D2090" w:rsidRDefault="00A265E6" w:rsidP="00A265E6">
            <w:pPr>
              <w:keepNext/>
              <w:jc w:val="center"/>
              <w:rPr>
                <w:b/>
                <w:color w:val="000000"/>
                <w:sz w:val="18"/>
                <w:szCs w:val="18"/>
              </w:rPr>
            </w:pPr>
            <w:r w:rsidRPr="008D2090">
              <w:rPr>
                <w:b/>
                <w:color w:val="000000"/>
                <w:sz w:val="18"/>
                <w:szCs w:val="18"/>
              </w:rPr>
              <w:t>Maximum</w:t>
            </w:r>
          </w:p>
        </w:tc>
        <w:tc>
          <w:tcPr>
            <w:tcW w:w="1038" w:type="dxa"/>
            <w:tcBorders>
              <w:top w:val="single" w:sz="4" w:space="0" w:color="FFFFFF" w:themeColor="background1"/>
              <w:bottom w:val="single" w:sz="8" w:space="0" w:color="auto"/>
              <w:right w:val="nil"/>
            </w:tcBorders>
            <w:vAlign w:val="center"/>
          </w:tcPr>
          <w:p w14:paraId="6B308135" w14:textId="77777777" w:rsidR="00A265E6" w:rsidRPr="008D2090" w:rsidRDefault="00A265E6" w:rsidP="00A265E6">
            <w:pPr>
              <w:keepNext/>
              <w:jc w:val="center"/>
              <w:rPr>
                <w:b/>
                <w:color w:val="000000"/>
                <w:sz w:val="18"/>
                <w:szCs w:val="18"/>
              </w:rPr>
            </w:pPr>
            <w:r w:rsidRPr="008D2090">
              <w:rPr>
                <w:b/>
                <w:color w:val="000000"/>
                <w:sz w:val="18"/>
                <w:szCs w:val="18"/>
              </w:rPr>
              <w:t>Mean</w:t>
            </w:r>
          </w:p>
        </w:tc>
        <w:tc>
          <w:tcPr>
            <w:tcW w:w="1037" w:type="dxa"/>
            <w:tcBorders>
              <w:top w:val="single" w:sz="4" w:space="0" w:color="FFFFFF" w:themeColor="background1"/>
              <w:left w:val="nil"/>
              <w:bottom w:val="single" w:sz="8" w:space="0" w:color="auto"/>
              <w:right w:val="single" w:sz="8" w:space="0" w:color="auto"/>
            </w:tcBorders>
            <w:vAlign w:val="center"/>
          </w:tcPr>
          <w:p w14:paraId="3ED9CB62" w14:textId="77777777" w:rsidR="00A265E6" w:rsidRPr="008D2090" w:rsidRDefault="00A265E6" w:rsidP="00A265E6">
            <w:pPr>
              <w:keepNext/>
              <w:jc w:val="center"/>
              <w:rPr>
                <w:b/>
                <w:color w:val="000000"/>
                <w:sz w:val="18"/>
                <w:szCs w:val="18"/>
              </w:rPr>
            </w:pPr>
            <w:r w:rsidRPr="008D2090">
              <w:rPr>
                <w:b/>
                <w:color w:val="000000"/>
                <w:sz w:val="18"/>
                <w:szCs w:val="18"/>
              </w:rPr>
              <w:t>Std. Dev.</w:t>
            </w:r>
          </w:p>
        </w:tc>
        <w:tc>
          <w:tcPr>
            <w:tcW w:w="1038" w:type="dxa"/>
            <w:tcBorders>
              <w:top w:val="single" w:sz="4" w:space="0" w:color="FFFFFF" w:themeColor="background1"/>
              <w:left w:val="single" w:sz="8" w:space="0" w:color="auto"/>
              <w:bottom w:val="single" w:sz="8" w:space="0" w:color="auto"/>
            </w:tcBorders>
            <w:vAlign w:val="center"/>
          </w:tcPr>
          <w:p w14:paraId="445C55A1" w14:textId="77777777" w:rsidR="00A265E6" w:rsidRPr="008D2090" w:rsidRDefault="00A265E6" w:rsidP="00A265E6">
            <w:pPr>
              <w:keepNext/>
              <w:jc w:val="center"/>
              <w:rPr>
                <w:b/>
                <w:color w:val="000000"/>
                <w:sz w:val="18"/>
                <w:szCs w:val="18"/>
              </w:rPr>
            </w:pPr>
            <w:r w:rsidRPr="008D2090">
              <w:rPr>
                <w:b/>
                <w:color w:val="000000"/>
                <w:sz w:val="18"/>
                <w:szCs w:val="18"/>
              </w:rPr>
              <w:t>Minimum</w:t>
            </w:r>
          </w:p>
        </w:tc>
        <w:tc>
          <w:tcPr>
            <w:tcW w:w="1038" w:type="dxa"/>
            <w:tcBorders>
              <w:top w:val="single" w:sz="4" w:space="0" w:color="FFFFFF" w:themeColor="background1"/>
              <w:bottom w:val="single" w:sz="8" w:space="0" w:color="auto"/>
            </w:tcBorders>
            <w:vAlign w:val="center"/>
          </w:tcPr>
          <w:p w14:paraId="254DD1F7" w14:textId="77777777" w:rsidR="00A265E6" w:rsidRPr="008D2090" w:rsidRDefault="00A265E6" w:rsidP="00A265E6">
            <w:pPr>
              <w:keepNext/>
              <w:jc w:val="center"/>
              <w:rPr>
                <w:b/>
                <w:color w:val="000000"/>
                <w:sz w:val="18"/>
                <w:szCs w:val="18"/>
              </w:rPr>
            </w:pPr>
            <w:r w:rsidRPr="008D2090">
              <w:rPr>
                <w:b/>
                <w:color w:val="000000"/>
                <w:sz w:val="18"/>
                <w:szCs w:val="18"/>
              </w:rPr>
              <w:t>Maximum</w:t>
            </w:r>
          </w:p>
        </w:tc>
        <w:tc>
          <w:tcPr>
            <w:tcW w:w="1037" w:type="dxa"/>
            <w:tcBorders>
              <w:top w:val="single" w:sz="4" w:space="0" w:color="FFFFFF" w:themeColor="background1"/>
              <w:bottom w:val="single" w:sz="8" w:space="0" w:color="auto"/>
            </w:tcBorders>
            <w:vAlign w:val="center"/>
          </w:tcPr>
          <w:p w14:paraId="357CA75B" w14:textId="77777777" w:rsidR="00A265E6" w:rsidRPr="008D2090" w:rsidRDefault="00A265E6" w:rsidP="00A265E6">
            <w:pPr>
              <w:keepNext/>
              <w:jc w:val="center"/>
              <w:rPr>
                <w:b/>
                <w:color w:val="000000"/>
                <w:sz w:val="18"/>
                <w:szCs w:val="18"/>
              </w:rPr>
            </w:pPr>
            <w:r w:rsidRPr="008D2090">
              <w:rPr>
                <w:b/>
                <w:color w:val="000000"/>
                <w:sz w:val="18"/>
                <w:szCs w:val="18"/>
              </w:rPr>
              <w:t>Mean</w:t>
            </w:r>
          </w:p>
        </w:tc>
        <w:tc>
          <w:tcPr>
            <w:tcW w:w="1038" w:type="dxa"/>
            <w:tcBorders>
              <w:top w:val="single" w:sz="4" w:space="0" w:color="FFFFFF" w:themeColor="background1"/>
              <w:bottom w:val="single" w:sz="8" w:space="0" w:color="auto"/>
              <w:right w:val="single" w:sz="8" w:space="0" w:color="auto"/>
            </w:tcBorders>
            <w:vAlign w:val="center"/>
          </w:tcPr>
          <w:p w14:paraId="0A2D117F" w14:textId="77777777" w:rsidR="00A265E6" w:rsidRPr="008D2090" w:rsidRDefault="00A265E6" w:rsidP="00A265E6">
            <w:pPr>
              <w:keepNext/>
              <w:jc w:val="center"/>
              <w:rPr>
                <w:b/>
                <w:color w:val="000000"/>
                <w:sz w:val="18"/>
                <w:szCs w:val="18"/>
              </w:rPr>
            </w:pPr>
            <w:r w:rsidRPr="008D2090">
              <w:rPr>
                <w:b/>
                <w:color w:val="000000"/>
                <w:sz w:val="18"/>
                <w:szCs w:val="18"/>
              </w:rPr>
              <w:t>Std. Dev.</w:t>
            </w:r>
          </w:p>
        </w:tc>
        <w:tc>
          <w:tcPr>
            <w:tcW w:w="1038" w:type="dxa"/>
            <w:tcBorders>
              <w:top w:val="single" w:sz="4" w:space="0" w:color="FFFFFF" w:themeColor="background1"/>
              <w:left w:val="single" w:sz="8" w:space="0" w:color="auto"/>
              <w:bottom w:val="single" w:sz="8" w:space="0" w:color="auto"/>
            </w:tcBorders>
            <w:vAlign w:val="center"/>
          </w:tcPr>
          <w:p w14:paraId="7E04FAE4" w14:textId="77777777" w:rsidR="00A265E6" w:rsidRPr="008D2090" w:rsidRDefault="00A265E6" w:rsidP="00A265E6">
            <w:pPr>
              <w:keepNext/>
              <w:jc w:val="center"/>
              <w:rPr>
                <w:b/>
                <w:color w:val="000000"/>
                <w:sz w:val="18"/>
                <w:szCs w:val="18"/>
              </w:rPr>
            </w:pPr>
            <w:r w:rsidRPr="008D2090">
              <w:rPr>
                <w:b/>
                <w:color w:val="000000"/>
                <w:sz w:val="18"/>
                <w:szCs w:val="18"/>
              </w:rPr>
              <w:t>Minimum</w:t>
            </w:r>
          </w:p>
        </w:tc>
        <w:tc>
          <w:tcPr>
            <w:tcW w:w="1037" w:type="dxa"/>
            <w:tcBorders>
              <w:top w:val="single" w:sz="4" w:space="0" w:color="FFFFFF" w:themeColor="background1"/>
              <w:bottom w:val="single" w:sz="8" w:space="0" w:color="auto"/>
            </w:tcBorders>
            <w:vAlign w:val="center"/>
          </w:tcPr>
          <w:p w14:paraId="201A0127" w14:textId="77777777" w:rsidR="00A265E6" w:rsidRPr="008D2090" w:rsidRDefault="00A265E6" w:rsidP="00A265E6">
            <w:pPr>
              <w:keepNext/>
              <w:jc w:val="center"/>
              <w:rPr>
                <w:b/>
                <w:color w:val="000000"/>
                <w:sz w:val="18"/>
                <w:szCs w:val="18"/>
              </w:rPr>
            </w:pPr>
            <w:r w:rsidRPr="008D2090">
              <w:rPr>
                <w:b/>
                <w:color w:val="000000"/>
                <w:sz w:val="18"/>
                <w:szCs w:val="18"/>
              </w:rPr>
              <w:t>Maximum</w:t>
            </w:r>
          </w:p>
        </w:tc>
        <w:tc>
          <w:tcPr>
            <w:tcW w:w="1038" w:type="dxa"/>
            <w:tcBorders>
              <w:top w:val="single" w:sz="4" w:space="0" w:color="FFFFFF" w:themeColor="background1"/>
              <w:bottom w:val="single" w:sz="8" w:space="0" w:color="auto"/>
            </w:tcBorders>
            <w:vAlign w:val="center"/>
          </w:tcPr>
          <w:p w14:paraId="20AB069E" w14:textId="77777777" w:rsidR="00A265E6" w:rsidRPr="008D2090" w:rsidRDefault="00A265E6" w:rsidP="00A265E6">
            <w:pPr>
              <w:keepNext/>
              <w:jc w:val="center"/>
              <w:rPr>
                <w:b/>
                <w:color w:val="000000"/>
                <w:sz w:val="18"/>
                <w:szCs w:val="18"/>
              </w:rPr>
            </w:pPr>
            <w:r w:rsidRPr="008D2090">
              <w:rPr>
                <w:b/>
                <w:color w:val="000000"/>
                <w:sz w:val="18"/>
                <w:szCs w:val="18"/>
              </w:rPr>
              <w:t>Mean</w:t>
            </w:r>
          </w:p>
        </w:tc>
        <w:tc>
          <w:tcPr>
            <w:tcW w:w="1038" w:type="dxa"/>
            <w:tcBorders>
              <w:top w:val="single" w:sz="4" w:space="0" w:color="FFFFFF" w:themeColor="background1"/>
              <w:bottom w:val="single" w:sz="8" w:space="0" w:color="auto"/>
              <w:right w:val="nil"/>
            </w:tcBorders>
            <w:vAlign w:val="center"/>
          </w:tcPr>
          <w:p w14:paraId="5C299FE2" w14:textId="77777777" w:rsidR="00A265E6" w:rsidRPr="008D2090" w:rsidRDefault="00A265E6" w:rsidP="00A265E6">
            <w:pPr>
              <w:keepNext/>
              <w:jc w:val="center"/>
              <w:rPr>
                <w:b/>
                <w:color w:val="000000"/>
                <w:sz w:val="18"/>
                <w:szCs w:val="18"/>
              </w:rPr>
            </w:pPr>
            <w:r w:rsidRPr="008D2090">
              <w:rPr>
                <w:b/>
                <w:color w:val="000000"/>
                <w:sz w:val="18"/>
                <w:szCs w:val="18"/>
              </w:rPr>
              <w:t>Std. Dev.</w:t>
            </w:r>
          </w:p>
        </w:tc>
      </w:tr>
      <w:tr w:rsidR="001702CF" w:rsidRPr="001702CF" w14:paraId="0072C08F" w14:textId="77777777" w:rsidTr="00053FDC">
        <w:trPr>
          <w:trHeight w:val="460"/>
        </w:trPr>
        <w:tc>
          <w:tcPr>
            <w:tcW w:w="1435" w:type="dxa"/>
            <w:tcBorders>
              <w:top w:val="single" w:sz="8" w:space="0" w:color="auto"/>
              <w:right w:val="single" w:sz="8" w:space="0" w:color="auto"/>
            </w:tcBorders>
            <w:vAlign w:val="center"/>
          </w:tcPr>
          <w:p w14:paraId="2280FFEE" w14:textId="77777777" w:rsidR="001702CF" w:rsidRPr="004D7AD7" w:rsidRDefault="001702CF" w:rsidP="00A265E6">
            <w:pPr>
              <w:keepNext/>
              <w:jc w:val="center"/>
              <w:rPr>
                <w:rFonts w:eastAsia="Calibri"/>
                <w:color w:val="000000"/>
                <w:sz w:val="20"/>
                <w:szCs w:val="20"/>
              </w:rPr>
            </w:pPr>
            <w:r w:rsidRPr="004D7AD7">
              <w:rPr>
                <w:rFonts w:eastAsia="Calibri"/>
                <w:color w:val="000000"/>
                <w:sz w:val="20"/>
                <w:szCs w:val="20"/>
              </w:rPr>
              <w:t>DI Total</w:t>
            </w:r>
          </w:p>
        </w:tc>
        <w:tc>
          <w:tcPr>
            <w:tcW w:w="1037" w:type="dxa"/>
            <w:tcBorders>
              <w:top w:val="single" w:sz="8" w:space="0" w:color="auto"/>
              <w:left w:val="single" w:sz="8" w:space="0" w:color="auto"/>
            </w:tcBorders>
            <w:vAlign w:val="center"/>
          </w:tcPr>
          <w:p w14:paraId="49E72401" w14:textId="77777777" w:rsidR="001702CF" w:rsidRPr="001702CF" w:rsidRDefault="001702CF" w:rsidP="00A265E6">
            <w:pPr>
              <w:keepNext/>
              <w:jc w:val="center"/>
              <w:rPr>
                <w:rFonts w:eastAsia="Calibri"/>
                <w:color w:val="000000"/>
                <w:sz w:val="20"/>
                <w:szCs w:val="20"/>
                <w:lang w:eastAsia="en-AU"/>
              </w:rPr>
            </w:pPr>
            <w:r w:rsidRPr="001702CF">
              <w:rPr>
                <w:color w:val="000000"/>
                <w:sz w:val="20"/>
                <w:szCs w:val="20"/>
              </w:rPr>
              <w:t>1</w:t>
            </w:r>
          </w:p>
        </w:tc>
        <w:tc>
          <w:tcPr>
            <w:tcW w:w="1038" w:type="dxa"/>
            <w:tcBorders>
              <w:top w:val="single" w:sz="8" w:space="0" w:color="auto"/>
            </w:tcBorders>
            <w:vAlign w:val="center"/>
          </w:tcPr>
          <w:p w14:paraId="435D0C56" w14:textId="77777777" w:rsidR="001702CF" w:rsidRPr="001702CF" w:rsidRDefault="001702CF" w:rsidP="00A265E6">
            <w:pPr>
              <w:keepNext/>
              <w:jc w:val="center"/>
              <w:rPr>
                <w:rFonts w:eastAsia="Calibri"/>
                <w:color w:val="000000"/>
                <w:sz w:val="20"/>
                <w:szCs w:val="20"/>
                <w:lang w:eastAsia="en-AU"/>
              </w:rPr>
            </w:pPr>
            <w:r w:rsidRPr="001702CF">
              <w:rPr>
                <w:color w:val="000000"/>
                <w:sz w:val="20"/>
                <w:szCs w:val="20"/>
              </w:rPr>
              <w:t>30</w:t>
            </w:r>
          </w:p>
        </w:tc>
        <w:tc>
          <w:tcPr>
            <w:tcW w:w="1038" w:type="dxa"/>
            <w:tcBorders>
              <w:top w:val="single" w:sz="8" w:space="0" w:color="auto"/>
            </w:tcBorders>
            <w:vAlign w:val="center"/>
          </w:tcPr>
          <w:p w14:paraId="63AF0E24" w14:textId="77777777" w:rsidR="001702CF" w:rsidRPr="001702CF" w:rsidRDefault="001702CF" w:rsidP="00A265E6">
            <w:pPr>
              <w:keepNext/>
              <w:jc w:val="center"/>
              <w:rPr>
                <w:rFonts w:eastAsia="Calibri"/>
                <w:color w:val="000000"/>
                <w:sz w:val="20"/>
                <w:szCs w:val="20"/>
                <w:lang w:eastAsia="en-AU"/>
              </w:rPr>
            </w:pPr>
            <w:r w:rsidRPr="001702CF">
              <w:rPr>
                <w:color w:val="000000"/>
                <w:sz w:val="20"/>
                <w:szCs w:val="20"/>
              </w:rPr>
              <w:t>13.93</w:t>
            </w:r>
          </w:p>
        </w:tc>
        <w:tc>
          <w:tcPr>
            <w:tcW w:w="1037" w:type="dxa"/>
            <w:tcBorders>
              <w:top w:val="single" w:sz="8" w:space="0" w:color="auto"/>
              <w:right w:val="single" w:sz="8" w:space="0" w:color="auto"/>
            </w:tcBorders>
            <w:vAlign w:val="center"/>
          </w:tcPr>
          <w:p w14:paraId="4DBE5F2F" w14:textId="77777777" w:rsidR="001702CF" w:rsidRPr="001702CF" w:rsidRDefault="001702CF" w:rsidP="00A265E6">
            <w:pPr>
              <w:keepNext/>
              <w:jc w:val="center"/>
              <w:rPr>
                <w:rFonts w:eastAsia="Calibri"/>
                <w:color w:val="000000"/>
                <w:sz w:val="20"/>
                <w:szCs w:val="20"/>
                <w:lang w:eastAsia="en-AU"/>
              </w:rPr>
            </w:pPr>
            <w:r w:rsidRPr="001702CF">
              <w:rPr>
                <w:color w:val="000000"/>
                <w:sz w:val="20"/>
                <w:szCs w:val="20"/>
              </w:rPr>
              <w:t>4.971</w:t>
            </w:r>
          </w:p>
        </w:tc>
        <w:tc>
          <w:tcPr>
            <w:tcW w:w="1038" w:type="dxa"/>
            <w:tcBorders>
              <w:top w:val="single" w:sz="8" w:space="0" w:color="auto"/>
              <w:left w:val="single" w:sz="8" w:space="0" w:color="auto"/>
            </w:tcBorders>
            <w:vAlign w:val="center"/>
          </w:tcPr>
          <w:p w14:paraId="1B565B54" w14:textId="77777777" w:rsidR="001702CF" w:rsidRPr="001702CF" w:rsidRDefault="001702CF" w:rsidP="00A265E6">
            <w:pPr>
              <w:keepNext/>
              <w:jc w:val="center"/>
              <w:rPr>
                <w:rFonts w:eastAsia="Calibri"/>
                <w:color w:val="000000"/>
                <w:sz w:val="20"/>
                <w:szCs w:val="20"/>
                <w:lang w:eastAsia="en-AU"/>
              </w:rPr>
            </w:pPr>
            <w:r w:rsidRPr="001702CF">
              <w:rPr>
                <w:color w:val="000000"/>
                <w:sz w:val="20"/>
                <w:szCs w:val="20"/>
              </w:rPr>
              <w:t>4</w:t>
            </w:r>
          </w:p>
        </w:tc>
        <w:tc>
          <w:tcPr>
            <w:tcW w:w="1038" w:type="dxa"/>
            <w:tcBorders>
              <w:top w:val="single" w:sz="8" w:space="0" w:color="auto"/>
            </w:tcBorders>
            <w:vAlign w:val="center"/>
          </w:tcPr>
          <w:p w14:paraId="5AFA6368" w14:textId="77777777" w:rsidR="001702CF" w:rsidRPr="001702CF" w:rsidRDefault="001702CF" w:rsidP="00A265E6">
            <w:pPr>
              <w:keepNext/>
              <w:jc w:val="center"/>
              <w:rPr>
                <w:rFonts w:eastAsia="Calibri"/>
                <w:color w:val="000000"/>
                <w:sz w:val="20"/>
                <w:szCs w:val="20"/>
                <w:lang w:eastAsia="en-AU"/>
              </w:rPr>
            </w:pPr>
            <w:r w:rsidRPr="001702CF">
              <w:rPr>
                <w:color w:val="000000"/>
                <w:sz w:val="20"/>
                <w:szCs w:val="20"/>
              </w:rPr>
              <w:t>30</w:t>
            </w:r>
          </w:p>
        </w:tc>
        <w:tc>
          <w:tcPr>
            <w:tcW w:w="1037" w:type="dxa"/>
            <w:tcBorders>
              <w:top w:val="single" w:sz="8" w:space="0" w:color="auto"/>
            </w:tcBorders>
            <w:vAlign w:val="center"/>
          </w:tcPr>
          <w:p w14:paraId="52C467F8" w14:textId="77777777" w:rsidR="001702CF" w:rsidRPr="001702CF" w:rsidRDefault="001702CF" w:rsidP="00A265E6">
            <w:pPr>
              <w:keepNext/>
              <w:jc w:val="center"/>
              <w:rPr>
                <w:rFonts w:eastAsia="Calibri"/>
                <w:color w:val="000000"/>
                <w:sz w:val="20"/>
                <w:szCs w:val="20"/>
                <w:lang w:eastAsia="en-AU"/>
              </w:rPr>
            </w:pPr>
            <w:r w:rsidRPr="001702CF">
              <w:rPr>
                <w:color w:val="000000"/>
                <w:sz w:val="20"/>
                <w:szCs w:val="20"/>
              </w:rPr>
              <w:t>14.12</w:t>
            </w:r>
          </w:p>
        </w:tc>
        <w:tc>
          <w:tcPr>
            <w:tcW w:w="1038" w:type="dxa"/>
            <w:tcBorders>
              <w:top w:val="single" w:sz="8" w:space="0" w:color="auto"/>
              <w:right w:val="single" w:sz="8" w:space="0" w:color="auto"/>
            </w:tcBorders>
            <w:vAlign w:val="center"/>
          </w:tcPr>
          <w:p w14:paraId="53D5711B" w14:textId="77777777" w:rsidR="001702CF" w:rsidRPr="001702CF" w:rsidRDefault="001702CF" w:rsidP="00A265E6">
            <w:pPr>
              <w:keepNext/>
              <w:jc w:val="center"/>
              <w:rPr>
                <w:rFonts w:eastAsia="Calibri"/>
                <w:color w:val="000000"/>
                <w:sz w:val="20"/>
                <w:szCs w:val="20"/>
                <w:lang w:eastAsia="en-AU"/>
              </w:rPr>
            </w:pPr>
            <w:r w:rsidRPr="001702CF">
              <w:rPr>
                <w:color w:val="000000"/>
                <w:sz w:val="20"/>
                <w:szCs w:val="20"/>
              </w:rPr>
              <w:t>5.180</w:t>
            </w:r>
          </w:p>
        </w:tc>
        <w:tc>
          <w:tcPr>
            <w:tcW w:w="1038" w:type="dxa"/>
            <w:tcBorders>
              <w:top w:val="single" w:sz="8" w:space="0" w:color="auto"/>
              <w:left w:val="single" w:sz="8" w:space="0" w:color="auto"/>
            </w:tcBorders>
            <w:vAlign w:val="center"/>
          </w:tcPr>
          <w:p w14:paraId="3E60F4BF"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1</w:t>
            </w:r>
          </w:p>
        </w:tc>
        <w:tc>
          <w:tcPr>
            <w:tcW w:w="1037" w:type="dxa"/>
            <w:tcBorders>
              <w:top w:val="single" w:sz="8" w:space="0" w:color="auto"/>
            </w:tcBorders>
            <w:vAlign w:val="center"/>
          </w:tcPr>
          <w:p w14:paraId="289A185B"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25</w:t>
            </w:r>
          </w:p>
        </w:tc>
        <w:tc>
          <w:tcPr>
            <w:tcW w:w="1038" w:type="dxa"/>
            <w:tcBorders>
              <w:top w:val="single" w:sz="8" w:space="0" w:color="auto"/>
            </w:tcBorders>
            <w:vAlign w:val="center"/>
          </w:tcPr>
          <w:p w14:paraId="3AA53426"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13.74</w:t>
            </w:r>
          </w:p>
        </w:tc>
        <w:tc>
          <w:tcPr>
            <w:tcW w:w="1038" w:type="dxa"/>
            <w:tcBorders>
              <w:top w:val="single" w:sz="8" w:space="0" w:color="auto"/>
              <w:bottom w:val="nil"/>
              <w:right w:val="nil"/>
            </w:tcBorders>
            <w:vAlign w:val="center"/>
          </w:tcPr>
          <w:p w14:paraId="6ECE6E84"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4.761</w:t>
            </w:r>
          </w:p>
        </w:tc>
      </w:tr>
      <w:tr w:rsidR="001702CF" w:rsidRPr="001702CF" w14:paraId="01F5AE4C" w14:textId="77777777" w:rsidTr="00A265E6">
        <w:trPr>
          <w:trHeight w:val="460"/>
        </w:trPr>
        <w:tc>
          <w:tcPr>
            <w:tcW w:w="1435" w:type="dxa"/>
            <w:tcBorders>
              <w:right w:val="single" w:sz="8" w:space="0" w:color="auto"/>
            </w:tcBorders>
            <w:vAlign w:val="center"/>
          </w:tcPr>
          <w:p w14:paraId="4D51D224" w14:textId="77777777" w:rsidR="001702CF" w:rsidRPr="004D7AD7" w:rsidRDefault="001702CF" w:rsidP="00A265E6">
            <w:pPr>
              <w:keepNext/>
              <w:jc w:val="center"/>
              <w:rPr>
                <w:rFonts w:eastAsia="Calibri"/>
                <w:color w:val="000000"/>
                <w:sz w:val="20"/>
                <w:szCs w:val="20"/>
              </w:rPr>
            </w:pPr>
            <w:r w:rsidRPr="004D7AD7">
              <w:rPr>
                <w:rFonts w:eastAsia="Calibri"/>
                <w:color w:val="000000"/>
                <w:sz w:val="20"/>
                <w:szCs w:val="20"/>
              </w:rPr>
              <w:t>DI Social</w:t>
            </w:r>
          </w:p>
        </w:tc>
        <w:tc>
          <w:tcPr>
            <w:tcW w:w="1037" w:type="dxa"/>
            <w:tcBorders>
              <w:left w:val="single" w:sz="8" w:space="0" w:color="auto"/>
            </w:tcBorders>
            <w:vAlign w:val="center"/>
          </w:tcPr>
          <w:p w14:paraId="56F77EA7" w14:textId="77777777" w:rsidR="001702CF" w:rsidRPr="001702CF" w:rsidRDefault="001702CF" w:rsidP="00A265E6">
            <w:pPr>
              <w:keepNext/>
              <w:jc w:val="center"/>
              <w:rPr>
                <w:rFonts w:eastAsia="Calibri"/>
                <w:color w:val="000000"/>
                <w:sz w:val="20"/>
                <w:szCs w:val="20"/>
                <w:lang w:eastAsia="en-AU"/>
              </w:rPr>
            </w:pPr>
            <w:r w:rsidRPr="001702CF">
              <w:rPr>
                <w:color w:val="000000"/>
                <w:sz w:val="20"/>
                <w:szCs w:val="20"/>
              </w:rPr>
              <w:t>1</w:t>
            </w:r>
          </w:p>
        </w:tc>
        <w:tc>
          <w:tcPr>
            <w:tcW w:w="1038" w:type="dxa"/>
            <w:vAlign w:val="center"/>
          </w:tcPr>
          <w:p w14:paraId="6FC2AE39" w14:textId="77777777" w:rsidR="001702CF" w:rsidRPr="001702CF" w:rsidRDefault="001702CF" w:rsidP="00A265E6">
            <w:pPr>
              <w:keepNext/>
              <w:jc w:val="center"/>
              <w:rPr>
                <w:rFonts w:eastAsia="Calibri"/>
                <w:color w:val="000000"/>
                <w:sz w:val="20"/>
                <w:szCs w:val="20"/>
                <w:lang w:eastAsia="en-AU"/>
              </w:rPr>
            </w:pPr>
            <w:r w:rsidRPr="001702CF">
              <w:rPr>
                <w:color w:val="000000"/>
                <w:sz w:val="20"/>
                <w:szCs w:val="20"/>
              </w:rPr>
              <w:t>16</w:t>
            </w:r>
          </w:p>
        </w:tc>
        <w:tc>
          <w:tcPr>
            <w:tcW w:w="1038" w:type="dxa"/>
            <w:vAlign w:val="center"/>
          </w:tcPr>
          <w:p w14:paraId="1AA2AD95" w14:textId="77777777" w:rsidR="001702CF" w:rsidRPr="001702CF" w:rsidRDefault="001702CF" w:rsidP="00A265E6">
            <w:pPr>
              <w:keepNext/>
              <w:jc w:val="center"/>
              <w:rPr>
                <w:rFonts w:eastAsia="Calibri"/>
                <w:color w:val="000000"/>
                <w:sz w:val="20"/>
                <w:szCs w:val="20"/>
                <w:lang w:eastAsia="en-AU"/>
              </w:rPr>
            </w:pPr>
            <w:r w:rsidRPr="001702CF">
              <w:rPr>
                <w:color w:val="000000"/>
                <w:sz w:val="20"/>
                <w:szCs w:val="20"/>
              </w:rPr>
              <w:t>7.91</w:t>
            </w:r>
          </w:p>
        </w:tc>
        <w:tc>
          <w:tcPr>
            <w:tcW w:w="1037" w:type="dxa"/>
            <w:tcBorders>
              <w:right w:val="single" w:sz="8" w:space="0" w:color="auto"/>
            </w:tcBorders>
            <w:vAlign w:val="center"/>
          </w:tcPr>
          <w:p w14:paraId="6DE9DDC1" w14:textId="77777777" w:rsidR="001702CF" w:rsidRPr="001702CF" w:rsidRDefault="001702CF" w:rsidP="00A265E6">
            <w:pPr>
              <w:keepNext/>
              <w:jc w:val="center"/>
              <w:rPr>
                <w:rFonts w:eastAsia="Calibri"/>
                <w:color w:val="000000"/>
                <w:sz w:val="20"/>
                <w:szCs w:val="20"/>
                <w:lang w:eastAsia="en-AU"/>
              </w:rPr>
            </w:pPr>
            <w:r w:rsidRPr="001702CF">
              <w:rPr>
                <w:color w:val="000000"/>
                <w:sz w:val="20"/>
                <w:szCs w:val="20"/>
              </w:rPr>
              <w:t>2.571</w:t>
            </w:r>
          </w:p>
        </w:tc>
        <w:tc>
          <w:tcPr>
            <w:tcW w:w="1038" w:type="dxa"/>
            <w:tcBorders>
              <w:left w:val="single" w:sz="8" w:space="0" w:color="auto"/>
            </w:tcBorders>
            <w:vAlign w:val="center"/>
          </w:tcPr>
          <w:p w14:paraId="3FED30E5" w14:textId="77777777" w:rsidR="001702CF" w:rsidRPr="001702CF" w:rsidRDefault="001702CF" w:rsidP="00A265E6">
            <w:pPr>
              <w:keepNext/>
              <w:jc w:val="center"/>
              <w:rPr>
                <w:rFonts w:eastAsia="Calibri"/>
                <w:color w:val="000000"/>
                <w:sz w:val="20"/>
                <w:szCs w:val="20"/>
                <w:lang w:eastAsia="en-AU"/>
              </w:rPr>
            </w:pPr>
            <w:r w:rsidRPr="001702CF">
              <w:rPr>
                <w:color w:val="000000"/>
                <w:sz w:val="20"/>
                <w:szCs w:val="20"/>
              </w:rPr>
              <w:t>3</w:t>
            </w:r>
          </w:p>
        </w:tc>
        <w:tc>
          <w:tcPr>
            <w:tcW w:w="1038" w:type="dxa"/>
            <w:vAlign w:val="center"/>
          </w:tcPr>
          <w:p w14:paraId="09799DBB" w14:textId="77777777" w:rsidR="001702CF" w:rsidRPr="001702CF" w:rsidRDefault="001702CF" w:rsidP="00A265E6">
            <w:pPr>
              <w:keepNext/>
              <w:jc w:val="center"/>
              <w:rPr>
                <w:rFonts w:eastAsia="Calibri"/>
                <w:color w:val="000000"/>
                <w:sz w:val="20"/>
                <w:szCs w:val="20"/>
                <w:lang w:eastAsia="en-AU"/>
              </w:rPr>
            </w:pPr>
            <w:r w:rsidRPr="001702CF">
              <w:rPr>
                <w:color w:val="000000"/>
                <w:sz w:val="20"/>
                <w:szCs w:val="20"/>
              </w:rPr>
              <w:t>16</w:t>
            </w:r>
          </w:p>
        </w:tc>
        <w:tc>
          <w:tcPr>
            <w:tcW w:w="1037" w:type="dxa"/>
            <w:vAlign w:val="center"/>
          </w:tcPr>
          <w:p w14:paraId="19A4CEED" w14:textId="77777777" w:rsidR="001702CF" w:rsidRPr="001702CF" w:rsidRDefault="001702CF" w:rsidP="00A265E6">
            <w:pPr>
              <w:keepNext/>
              <w:jc w:val="center"/>
              <w:rPr>
                <w:rFonts w:eastAsia="Calibri"/>
                <w:color w:val="000000"/>
                <w:sz w:val="20"/>
                <w:szCs w:val="20"/>
                <w:lang w:eastAsia="en-AU"/>
              </w:rPr>
            </w:pPr>
            <w:r w:rsidRPr="001702CF">
              <w:rPr>
                <w:color w:val="000000"/>
                <w:sz w:val="20"/>
                <w:szCs w:val="20"/>
              </w:rPr>
              <w:t>8.17</w:t>
            </w:r>
          </w:p>
        </w:tc>
        <w:tc>
          <w:tcPr>
            <w:tcW w:w="1038" w:type="dxa"/>
            <w:tcBorders>
              <w:right w:val="single" w:sz="8" w:space="0" w:color="auto"/>
            </w:tcBorders>
            <w:vAlign w:val="center"/>
          </w:tcPr>
          <w:p w14:paraId="62A31238" w14:textId="77777777" w:rsidR="001702CF" w:rsidRPr="001702CF" w:rsidRDefault="001702CF" w:rsidP="00A265E6">
            <w:pPr>
              <w:keepNext/>
              <w:jc w:val="center"/>
              <w:rPr>
                <w:rFonts w:eastAsia="Calibri"/>
                <w:color w:val="000000"/>
                <w:sz w:val="20"/>
                <w:szCs w:val="20"/>
                <w:lang w:eastAsia="en-AU"/>
              </w:rPr>
            </w:pPr>
            <w:r w:rsidRPr="001702CF">
              <w:rPr>
                <w:color w:val="000000"/>
                <w:sz w:val="20"/>
                <w:szCs w:val="20"/>
              </w:rPr>
              <w:t>2.702</w:t>
            </w:r>
          </w:p>
        </w:tc>
        <w:tc>
          <w:tcPr>
            <w:tcW w:w="1038" w:type="dxa"/>
            <w:tcBorders>
              <w:left w:val="single" w:sz="8" w:space="0" w:color="auto"/>
            </w:tcBorders>
            <w:vAlign w:val="center"/>
          </w:tcPr>
          <w:p w14:paraId="24FECA0F"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1</w:t>
            </w:r>
          </w:p>
        </w:tc>
        <w:tc>
          <w:tcPr>
            <w:tcW w:w="1037" w:type="dxa"/>
            <w:vAlign w:val="center"/>
          </w:tcPr>
          <w:p w14:paraId="5D9A6183"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14</w:t>
            </w:r>
          </w:p>
        </w:tc>
        <w:tc>
          <w:tcPr>
            <w:tcW w:w="1038" w:type="dxa"/>
            <w:vAlign w:val="center"/>
          </w:tcPr>
          <w:p w14:paraId="069BC40C"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7.65</w:t>
            </w:r>
          </w:p>
        </w:tc>
        <w:tc>
          <w:tcPr>
            <w:tcW w:w="1038" w:type="dxa"/>
            <w:tcBorders>
              <w:top w:val="nil"/>
              <w:bottom w:val="nil"/>
              <w:right w:val="nil"/>
            </w:tcBorders>
            <w:vAlign w:val="center"/>
          </w:tcPr>
          <w:p w14:paraId="20BCB197"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2.414</w:t>
            </w:r>
          </w:p>
        </w:tc>
      </w:tr>
      <w:tr w:rsidR="001702CF" w:rsidRPr="001702CF" w14:paraId="15DD9E9D" w14:textId="77777777" w:rsidTr="00A265E6">
        <w:trPr>
          <w:trHeight w:val="460"/>
        </w:trPr>
        <w:tc>
          <w:tcPr>
            <w:tcW w:w="1435" w:type="dxa"/>
            <w:tcBorders>
              <w:right w:val="single" w:sz="8" w:space="0" w:color="auto"/>
            </w:tcBorders>
            <w:vAlign w:val="center"/>
          </w:tcPr>
          <w:p w14:paraId="492C552D" w14:textId="77777777" w:rsidR="001702CF" w:rsidRPr="004D7AD7" w:rsidRDefault="001702CF" w:rsidP="00A265E6">
            <w:pPr>
              <w:keepNext/>
              <w:jc w:val="center"/>
              <w:rPr>
                <w:rFonts w:eastAsia="Calibri"/>
                <w:color w:val="000000"/>
                <w:sz w:val="20"/>
                <w:szCs w:val="20"/>
              </w:rPr>
            </w:pPr>
            <w:r w:rsidRPr="004D7AD7">
              <w:rPr>
                <w:rFonts w:eastAsia="Calibri"/>
                <w:color w:val="000000"/>
                <w:sz w:val="20"/>
                <w:szCs w:val="20"/>
              </w:rPr>
              <w:t>DI Environmental</w:t>
            </w:r>
          </w:p>
        </w:tc>
        <w:tc>
          <w:tcPr>
            <w:tcW w:w="1037" w:type="dxa"/>
            <w:tcBorders>
              <w:left w:val="single" w:sz="8" w:space="0" w:color="auto"/>
            </w:tcBorders>
            <w:vAlign w:val="center"/>
          </w:tcPr>
          <w:p w14:paraId="44CC88B3" w14:textId="77777777" w:rsidR="001702CF" w:rsidRPr="001702CF" w:rsidRDefault="001702CF" w:rsidP="00A265E6">
            <w:pPr>
              <w:keepNext/>
              <w:jc w:val="center"/>
              <w:rPr>
                <w:rFonts w:eastAsia="Calibri"/>
                <w:color w:val="000000"/>
                <w:sz w:val="20"/>
                <w:szCs w:val="20"/>
                <w:lang w:eastAsia="en-AU"/>
              </w:rPr>
            </w:pPr>
            <w:r w:rsidRPr="001702CF">
              <w:rPr>
                <w:color w:val="000000"/>
                <w:sz w:val="20"/>
                <w:szCs w:val="20"/>
              </w:rPr>
              <w:t>0</w:t>
            </w:r>
          </w:p>
        </w:tc>
        <w:tc>
          <w:tcPr>
            <w:tcW w:w="1038" w:type="dxa"/>
            <w:vAlign w:val="center"/>
          </w:tcPr>
          <w:p w14:paraId="75A51457" w14:textId="77777777" w:rsidR="001702CF" w:rsidRPr="001702CF" w:rsidRDefault="001702CF" w:rsidP="00A265E6">
            <w:pPr>
              <w:keepNext/>
              <w:jc w:val="center"/>
              <w:rPr>
                <w:rFonts w:eastAsia="Calibri"/>
                <w:color w:val="000000"/>
                <w:sz w:val="20"/>
                <w:szCs w:val="20"/>
                <w:lang w:eastAsia="en-AU"/>
              </w:rPr>
            </w:pPr>
            <w:r w:rsidRPr="001702CF">
              <w:rPr>
                <w:color w:val="000000"/>
                <w:sz w:val="20"/>
                <w:szCs w:val="20"/>
              </w:rPr>
              <w:t>14</w:t>
            </w:r>
          </w:p>
        </w:tc>
        <w:tc>
          <w:tcPr>
            <w:tcW w:w="1038" w:type="dxa"/>
            <w:vAlign w:val="center"/>
          </w:tcPr>
          <w:p w14:paraId="590A3B39" w14:textId="77777777" w:rsidR="001702CF" w:rsidRPr="001702CF" w:rsidRDefault="001702CF" w:rsidP="00A265E6">
            <w:pPr>
              <w:keepNext/>
              <w:jc w:val="center"/>
              <w:rPr>
                <w:rFonts w:eastAsia="Calibri"/>
                <w:color w:val="000000"/>
                <w:sz w:val="20"/>
                <w:szCs w:val="20"/>
                <w:lang w:eastAsia="en-AU"/>
              </w:rPr>
            </w:pPr>
            <w:r w:rsidRPr="001702CF">
              <w:rPr>
                <w:color w:val="000000"/>
                <w:sz w:val="20"/>
                <w:szCs w:val="20"/>
              </w:rPr>
              <w:t>6.02</w:t>
            </w:r>
          </w:p>
        </w:tc>
        <w:tc>
          <w:tcPr>
            <w:tcW w:w="1037" w:type="dxa"/>
            <w:tcBorders>
              <w:right w:val="single" w:sz="8" w:space="0" w:color="auto"/>
            </w:tcBorders>
            <w:vAlign w:val="center"/>
          </w:tcPr>
          <w:p w14:paraId="788EF004" w14:textId="77777777" w:rsidR="001702CF" w:rsidRPr="001702CF" w:rsidRDefault="001702CF" w:rsidP="00A265E6">
            <w:pPr>
              <w:keepNext/>
              <w:jc w:val="center"/>
              <w:rPr>
                <w:rFonts w:eastAsia="Calibri"/>
                <w:color w:val="000000"/>
                <w:sz w:val="20"/>
                <w:szCs w:val="20"/>
                <w:lang w:eastAsia="en-AU"/>
              </w:rPr>
            </w:pPr>
            <w:r w:rsidRPr="001702CF">
              <w:rPr>
                <w:color w:val="000000"/>
                <w:sz w:val="20"/>
                <w:szCs w:val="20"/>
              </w:rPr>
              <w:t>3.109</w:t>
            </w:r>
          </w:p>
        </w:tc>
        <w:tc>
          <w:tcPr>
            <w:tcW w:w="1038" w:type="dxa"/>
            <w:tcBorders>
              <w:left w:val="single" w:sz="8" w:space="0" w:color="auto"/>
            </w:tcBorders>
            <w:vAlign w:val="center"/>
          </w:tcPr>
          <w:p w14:paraId="1E9AC264" w14:textId="77777777" w:rsidR="001702CF" w:rsidRPr="001702CF" w:rsidRDefault="001702CF" w:rsidP="00A265E6">
            <w:pPr>
              <w:keepNext/>
              <w:jc w:val="center"/>
              <w:rPr>
                <w:rFonts w:eastAsia="Calibri"/>
                <w:color w:val="000000"/>
                <w:sz w:val="20"/>
                <w:szCs w:val="20"/>
                <w:lang w:eastAsia="en-AU"/>
              </w:rPr>
            </w:pPr>
            <w:r w:rsidRPr="001702CF">
              <w:rPr>
                <w:color w:val="000000"/>
                <w:sz w:val="20"/>
                <w:szCs w:val="20"/>
              </w:rPr>
              <w:t>0</w:t>
            </w:r>
          </w:p>
        </w:tc>
        <w:tc>
          <w:tcPr>
            <w:tcW w:w="1038" w:type="dxa"/>
            <w:vAlign w:val="center"/>
          </w:tcPr>
          <w:p w14:paraId="32203066" w14:textId="77777777" w:rsidR="001702CF" w:rsidRPr="001702CF" w:rsidRDefault="001702CF" w:rsidP="00A265E6">
            <w:pPr>
              <w:keepNext/>
              <w:jc w:val="center"/>
              <w:rPr>
                <w:rFonts w:eastAsia="Calibri"/>
                <w:color w:val="000000"/>
                <w:sz w:val="20"/>
                <w:szCs w:val="20"/>
                <w:lang w:eastAsia="en-AU"/>
              </w:rPr>
            </w:pPr>
            <w:r w:rsidRPr="001702CF">
              <w:rPr>
                <w:color w:val="000000"/>
                <w:sz w:val="20"/>
                <w:szCs w:val="20"/>
              </w:rPr>
              <w:t>14</w:t>
            </w:r>
          </w:p>
        </w:tc>
        <w:tc>
          <w:tcPr>
            <w:tcW w:w="1037" w:type="dxa"/>
            <w:vAlign w:val="center"/>
          </w:tcPr>
          <w:p w14:paraId="17ED8A21" w14:textId="77777777" w:rsidR="001702CF" w:rsidRPr="001702CF" w:rsidRDefault="001702CF" w:rsidP="00A265E6">
            <w:pPr>
              <w:keepNext/>
              <w:jc w:val="center"/>
              <w:rPr>
                <w:rFonts w:eastAsia="Calibri"/>
                <w:color w:val="000000"/>
                <w:sz w:val="20"/>
                <w:szCs w:val="20"/>
                <w:lang w:eastAsia="en-AU"/>
              </w:rPr>
            </w:pPr>
            <w:r w:rsidRPr="001702CF">
              <w:rPr>
                <w:color w:val="000000"/>
                <w:sz w:val="20"/>
                <w:szCs w:val="20"/>
              </w:rPr>
              <w:t>5.96</w:t>
            </w:r>
          </w:p>
        </w:tc>
        <w:tc>
          <w:tcPr>
            <w:tcW w:w="1038" w:type="dxa"/>
            <w:tcBorders>
              <w:right w:val="single" w:sz="8" w:space="0" w:color="auto"/>
            </w:tcBorders>
            <w:vAlign w:val="center"/>
          </w:tcPr>
          <w:p w14:paraId="0ED8DBFF" w14:textId="77777777" w:rsidR="001702CF" w:rsidRPr="001702CF" w:rsidRDefault="001702CF" w:rsidP="00A265E6">
            <w:pPr>
              <w:keepNext/>
              <w:jc w:val="center"/>
              <w:rPr>
                <w:rFonts w:eastAsia="Calibri"/>
                <w:color w:val="000000"/>
                <w:sz w:val="20"/>
                <w:szCs w:val="20"/>
                <w:lang w:eastAsia="en-AU"/>
              </w:rPr>
            </w:pPr>
            <w:r w:rsidRPr="001702CF">
              <w:rPr>
                <w:color w:val="000000"/>
                <w:sz w:val="20"/>
                <w:szCs w:val="20"/>
              </w:rPr>
              <w:t>3.059</w:t>
            </w:r>
          </w:p>
        </w:tc>
        <w:tc>
          <w:tcPr>
            <w:tcW w:w="1038" w:type="dxa"/>
            <w:tcBorders>
              <w:left w:val="single" w:sz="8" w:space="0" w:color="auto"/>
            </w:tcBorders>
            <w:vAlign w:val="center"/>
          </w:tcPr>
          <w:p w14:paraId="307C8E78"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0</w:t>
            </w:r>
          </w:p>
        </w:tc>
        <w:tc>
          <w:tcPr>
            <w:tcW w:w="1037" w:type="dxa"/>
            <w:vAlign w:val="center"/>
          </w:tcPr>
          <w:p w14:paraId="35725A5A"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14</w:t>
            </w:r>
          </w:p>
        </w:tc>
        <w:tc>
          <w:tcPr>
            <w:tcW w:w="1038" w:type="dxa"/>
            <w:vAlign w:val="center"/>
          </w:tcPr>
          <w:p w14:paraId="7F00F07B"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6.09</w:t>
            </w:r>
          </w:p>
        </w:tc>
        <w:tc>
          <w:tcPr>
            <w:tcW w:w="1038" w:type="dxa"/>
            <w:tcBorders>
              <w:top w:val="nil"/>
              <w:bottom w:val="nil"/>
              <w:right w:val="nil"/>
            </w:tcBorders>
            <w:vAlign w:val="center"/>
          </w:tcPr>
          <w:p w14:paraId="62168AF4"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3.167</w:t>
            </w:r>
          </w:p>
        </w:tc>
      </w:tr>
      <w:tr w:rsidR="001702CF" w:rsidRPr="001702CF" w14:paraId="73B53F23" w14:textId="77777777" w:rsidTr="00A265E6">
        <w:trPr>
          <w:trHeight w:val="460"/>
        </w:trPr>
        <w:tc>
          <w:tcPr>
            <w:tcW w:w="1435" w:type="dxa"/>
            <w:tcBorders>
              <w:right w:val="single" w:sz="8" w:space="0" w:color="auto"/>
            </w:tcBorders>
            <w:vAlign w:val="center"/>
          </w:tcPr>
          <w:p w14:paraId="721ABD0E" w14:textId="509BFF7F" w:rsidR="001702CF" w:rsidRPr="004D7AD7" w:rsidRDefault="001702CF" w:rsidP="00A265E6">
            <w:pPr>
              <w:keepNext/>
              <w:jc w:val="center"/>
              <w:rPr>
                <w:color w:val="000000"/>
                <w:sz w:val="20"/>
                <w:szCs w:val="20"/>
              </w:rPr>
            </w:pPr>
            <w:r w:rsidRPr="004D7AD7">
              <w:rPr>
                <w:color w:val="000000"/>
                <w:sz w:val="20"/>
                <w:szCs w:val="20"/>
              </w:rPr>
              <w:t>IE</w:t>
            </w:r>
          </w:p>
        </w:tc>
        <w:tc>
          <w:tcPr>
            <w:tcW w:w="1037" w:type="dxa"/>
            <w:tcBorders>
              <w:left w:val="single" w:sz="8" w:space="0" w:color="auto"/>
            </w:tcBorders>
            <w:vAlign w:val="center"/>
          </w:tcPr>
          <w:p w14:paraId="06D3C1FE" w14:textId="77777777" w:rsidR="001702CF" w:rsidRPr="001702CF" w:rsidRDefault="001702CF" w:rsidP="00A265E6">
            <w:pPr>
              <w:keepNext/>
              <w:jc w:val="center"/>
              <w:rPr>
                <w:color w:val="000000"/>
                <w:sz w:val="20"/>
                <w:szCs w:val="20"/>
              </w:rPr>
            </w:pPr>
            <w:r w:rsidRPr="001702CF">
              <w:rPr>
                <w:color w:val="000000"/>
                <w:sz w:val="20"/>
                <w:szCs w:val="20"/>
              </w:rPr>
              <w:t>0</w:t>
            </w:r>
          </w:p>
        </w:tc>
        <w:tc>
          <w:tcPr>
            <w:tcW w:w="1038" w:type="dxa"/>
            <w:vAlign w:val="center"/>
          </w:tcPr>
          <w:p w14:paraId="04C5E327" w14:textId="77777777" w:rsidR="001702CF" w:rsidRPr="001702CF" w:rsidRDefault="001702CF" w:rsidP="00A265E6">
            <w:pPr>
              <w:keepNext/>
              <w:jc w:val="center"/>
              <w:rPr>
                <w:color w:val="000000"/>
                <w:sz w:val="20"/>
                <w:szCs w:val="20"/>
              </w:rPr>
            </w:pPr>
            <w:r w:rsidRPr="001702CF">
              <w:rPr>
                <w:color w:val="000000"/>
                <w:sz w:val="20"/>
                <w:szCs w:val="20"/>
              </w:rPr>
              <w:t>97.927</w:t>
            </w:r>
          </w:p>
        </w:tc>
        <w:tc>
          <w:tcPr>
            <w:tcW w:w="1038" w:type="dxa"/>
            <w:vAlign w:val="center"/>
          </w:tcPr>
          <w:p w14:paraId="36A7F349" w14:textId="77777777" w:rsidR="001702CF" w:rsidRPr="001702CF" w:rsidRDefault="001702CF" w:rsidP="00A265E6">
            <w:pPr>
              <w:keepNext/>
              <w:jc w:val="center"/>
              <w:rPr>
                <w:color w:val="000000"/>
                <w:sz w:val="20"/>
                <w:szCs w:val="20"/>
              </w:rPr>
            </w:pPr>
            <w:r w:rsidRPr="001702CF">
              <w:rPr>
                <w:color w:val="000000"/>
                <w:sz w:val="20"/>
                <w:szCs w:val="20"/>
              </w:rPr>
              <w:t>15.958</w:t>
            </w:r>
          </w:p>
        </w:tc>
        <w:tc>
          <w:tcPr>
            <w:tcW w:w="1037" w:type="dxa"/>
            <w:tcBorders>
              <w:right w:val="single" w:sz="8" w:space="0" w:color="auto"/>
            </w:tcBorders>
            <w:vAlign w:val="center"/>
          </w:tcPr>
          <w:p w14:paraId="642D0020" w14:textId="77777777" w:rsidR="001702CF" w:rsidRPr="001702CF" w:rsidRDefault="001702CF" w:rsidP="00A265E6">
            <w:pPr>
              <w:keepNext/>
              <w:jc w:val="center"/>
              <w:rPr>
                <w:color w:val="000000"/>
                <w:sz w:val="20"/>
                <w:szCs w:val="20"/>
              </w:rPr>
            </w:pPr>
            <w:r w:rsidRPr="001702CF">
              <w:rPr>
                <w:color w:val="000000"/>
                <w:sz w:val="20"/>
                <w:szCs w:val="20"/>
              </w:rPr>
              <w:t>21.602</w:t>
            </w:r>
          </w:p>
        </w:tc>
        <w:tc>
          <w:tcPr>
            <w:tcW w:w="1038" w:type="dxa"/>
            <w:tcBorders>
              <w:left w:val="single" w:sz="8" w:space="0" w:color="auto"/>
            </w:tcBorders>
            <w:vAlign w:val="center"/>
          </w:tcPr>
          <w:p w14:paraId="2D6AA5D7" w14:textId="77777777" w:rsidR="001702CF" w:rsidRPr="001702CF" w:rsidRDefault="001702CF" w:rsidP="00A265E6">
            <w:pPr>
              <w:keepNext/>
              <w:jc w:val="center"/>
              <w:rPr>
                <w:color w:val="000000"/>
                <w:sz w:val="20"/>
                <w:szCs w:val="20"/>
              </w:rPr>
            </w:pPr>
            <w:r w:rsidRPr="001702CF">
              <w:rPr>
                <w:color w:val="000000"/>
                <w:sz w:val="20"/>
                <w:szCs w:val="20"/>
              </w:rPr>
              <w:t>0</w:t>
            </w:r>
          </w:p>
        </w:tc>
        <w:tc>
          <w:tcPr>
            <w:tcW w:w="1038" w:type="dxa"/>
            <w:vAlign w:val="center"/>
          </w:tcPr>
          <w:p w14:paraId="6F68F741" w14:textId="77777777" w:rsidR="001702CF" w:rsidRPr="001702CF" w:rsidRDefault="001702CF" w:rsidP="00A265E6">
            <w:pPr>
              <w:keepNext/>
              <w:jc w:val="center"/>
              <w:rPr>
                <w:color w:val="000000"/>
                <w:sz w:val="20"/>
                <w:szCs w:val="20"/>
              </w:rPr>
            </w:pPr>
            <w:r w:rsidRPr="001702CF">
              <w:rPr>
                <w:color w:val="000000"/>
                <w:sz w:val="20"/>
                <w:szCs w:val="20"/>
              </w:rPr>
              <w:t>97.926</w:t>
            </w:r>
          </w:p>
        </w:tc>
        <w:tc>
          <w:tcPr>
            <w:tcW w:w="1037" w:type="dxa"/>
            <w:vAlign w:val="center"/>
          </w:tcPr>
          <w:p w14:paraId="28E263C3" w14:textId="77777777" w:rsidR="001702CF" w:rsidRPr="001702CF" w:rsidRDefault="001702CF" w:rsidP="00A265E6">
            <w:pPr>
              <w:keepNext/>
              <w:jc w:val="center"/>
              <w:rPr>
                <w:color w:val="000000"/>
                <w:sz w:val="20"/>
                <w:szCs w:val="20"/>
              </w:rPr>
            </w:pPr>
            <w:r w:rsidRPr="001702CF">
              <w:rPr>
                <w:color w:val="000000"/>
                <w:sz w:val="20"/>
                <w:szCs w:val="20"/>
              </w:rPr>
              <w:t>15.2485</w:t>
            </w:r>
          </w:p>
        </w:tc>
        <w:tc>
          <w:tcPr>
            <w:tcW w:w="1038" w:type="dxa"/>
            <w:tcBorders>
              <w:right w:val="single" w:sz="8" w:space="0" w:color="auto"/>
            </w:tcBorders>
            <w:vAlign w:val="center"/>
          </w:tcPr>
          <w:p w14:paraId="101A0017" w14:textId="77777777" w:rsidR="001702CF" w:rsidRPr="001702CF" w:rsidRDefault="001702CF" w:rsidP="00A265E6">
            <w:pPr>
              <w:keepNext/>
              <w:jc w:val="center"/>
              <w:rPr>
                <w:color w:val="000000"/>
                <w:sz w:val="20"/>
                <w:szCs w:val="20"/>
              </w:rPr>
            </w:pPr>
            <w:r w:rsidRPr="001702CF">
              <w:rPr>
                <w:color w:val="000000"/>
                <w:sz w:val="20"/>
                <w:szCs w:val="20"/>
              </w:rPr>
              <w:t>21.611</w:t>
            </w:r>
          </w:p>
        </w:tc>
        <w:tc>
          <w:tcPr>
            <w:tcW w:w="1038" w:type="dxa"/>
            <w:tcBorders>
              <w:left w:val="single" w:sz="8" w:space="0" w:color="auto"/>
            </w:tcBorders>
            <w:vAlign w:val="center"/>
          </w:tcPr>
          <w:p w14:paraId="50823A70"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0</w:t>
            </w:r>
          </w:p>
        </w:tc>
        <w:tc>
          <w:tcPr>
            <w:tcW w:w="1037" w:type="dxa"/>
            <w:vAlign w:val="center"/>
          </w:tcPr>
          <w:p w14:paraId="2F08AA7D"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79.000</w:t>
            </w:r>
          </w:p>
        </w:tc>
        <w:tc>
          <w:tcPr>
            <w:tcW w:w="1038" w:type="dxa"/>
            <w:vAlign w:val="center"/>
          </w:tcPr>
          <w:p w14:paraId="7A81420B"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16.6636</w:t>
            </w:r>
          </w:p>
        </w:tc>
        <w:tc>
          <w:tcPr>
            <w:tcW w:w="1038" w:type="dxa"/>
            <w:tcBorders>
              <w:top w:val="nil"/>
              <w:bottom w:val="nil"/>
              <w:right w:val="nil"/>
            </w:tcBorders>
            <w:vAlign w:val="center"/>
          </w:tcPr>
          <w:p w14:paraId="4BCF8885"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21.639</w:t>
            </w:r>
          </w:p>
        </w:tc>
      </w:tr>
      <w:tr w:rsidR="001702CF" w:rsidRPr="001702CF" w14:paraId="0CA32E1E" w14:textId="77777777" w:rsidTr="00A265E6">
        <w:trPr>
          <w:trHeight w:val="460"/>
        </w:trPr>
        <w:tc>
          <w:tcPr>
            <w:tcW w:w="1435" w:type="dxa"/>
            <w:tcBorders>
              <w:right w:val="single" w:sz="8" w:space="0" w:color="auto"/>
            </w:tcBorders>
            <w:vAlign w:val="center"/>
          </w:tcPr>
          <w:p w14:paraId="0B442657" w14:textId="7196C5A1" w:rsidR="001702CF" w:rsidRPr="004D7AD7" w:rsidRDefault="001702CF" w:rsidP="00A265E6">
            <w:pPr>
              <w:keepNext/>
              <w:jc w:val="center"/>
              <w:rPr>
                <w:color w:val="000000"/>
                <w:sz w:val="20"/>
                <w:szCs w:val="20"/>
              </w:rPr>
            </w:pPr>
            <w:r w:rsidRPr="004D7AD7">
              <w:rPr>
                <w:color w:val="000000"/>
                <w:sz w:val="20"/>
                <w:szCs w:val="20"/>
              </w:rPr>
              <w:t>TA</w:t>
            </w:r>
          </w:p>
        </w:tc>
        <w:tc>
          <w:tcPr>
            <w:tcW w:w="1037" w:type="dxa"/>
            <w:tcBorders>
              <w:left w:val="single" w:sz="8" w:space="0" w:color="auto"/>
            </w:tcBorders>
            <w:vAlign w:val="center"/>
          </w:tcPr>
          <w:p w14:paraId="507F9E90" w14:textId="77777777" w:rsidR="001702CF" w:rsidRPr="001702CF" w:rsidRDefault="001702CF" w:rsidP="00A265E6">
            <w:pPr>
              <w:keepNext/>
              <w:jc w:val="center"/>
              <w:rPr>
                <w:color w:val="000000"/>
                <w:sz w:val="20"/>
                <w:szCs w:val="20"/>
              </w:rPr>
            </w:pPr>
            <w:r w:rsidRPr="001702CF">
              <w:rPr>
                <w:color w:val="000000"/>
                <w:sz w:val="20"/>
                <w:szCs w:val="20"/>
              </w:rPr>
              <w:t>0</w:t>
            </w:r>
          </w:p>
        </w:tc>
        <w:tc>
          <w:tcPr>
            <w:tcW w:w="1038" w:type="dxa"/>
            <w:vAlign w:val="center"/>
          </w:tcPr>
          <w:p w14:paraId="4AF2D4AD" w14:textId="77777777" w:rsidR="001702CF" w:rsidRPr="001702CF" w:rsidRDefault="001702CF" w:rsidP="00A265E6">
            <w:pPr>
              <w:keepNext/>
              <w:jc w:val="center"/>
              <w:rPr>
                <w:color w:val="000000"/>
                <w:sz w:val="20"/>
                <w:szCs w:val="20"/>
              </w:rPr>
            </w:pPr>
            <w:r w:rsidRPr="001702CF">
              <w:rPr>
                <w:color w:val="000000"/>
                <w:sz w:val="20"/>
                <w:szCs w:val="20"/>
              </w:rPr>
              <w:t>6.000</w:t>
            </w:r>
          </w:p>
        </w:tc>
        <w:tc>
          <w:tcPr>
            <w:tcW w:w="1038" w:type="dxa"/>
            <w:vAlign w:val="center"/>
          </w:tcPr>
          <w:p w14:paraId="60D5CCEF" w14:textId="77777777" w:rsidR="001702CF" w:rsidRPr="001702CF" w:rsidRDefault="001702CF" w:rsidP="00A265E6">
            <w:pPr>
              <w:keepNext/>
              <w:jc w:val="center"/>
              <w:rPr>
                <w:color w:val="000000"/>
                <w:sz w:val="20"/>
                <w:szCs w:val="20"/>
              </w:rPr>
            </w:pPr>
            <w:r w:rsidRPr="001702CF">
              <w:rPr>
                <w:color w:val="000000"/>
                <w:sz w:val="20"/>
                <w:szCs w:val="20"/>
              </w:rPr>
              <w:t>3.935</w:t>
            </w:r>
          </w:p>
        </w:tc>
        <w:tc>
          <w:tcPr>
            <w:tcW w:w="1037" w:type="dxa"/>
            <w:tcBorders>
              <w:right w:val="single" w:sz="8" w:space="0" w:color="auto"/>
            </w:tcBorders>
            <w:vAlign w:val="center"/>
          </w:tcPr>
          <w:p w14:paraId="0523CFBC" w14:textId="77777777" w:rsidR="001702CF" w:rsidRPr="001702CF" w:rsidRDefault="001702CF" w:rsidP="00A265E6">
            <w:pPr>
              <w:keepNext/>
              <w:jc w:val="center"/>
              <w:rPr>
                <w:color w:val="000000"/>
                <w:sz w:val="20"/>
                <w:szCs w:val="20"/>
              </w:rPr>
            </w:pPr>
            <w:r w:rsidRPr="001702CF">
              <w:rPr>
                <w:color w:val="000000"/>
                <w:sz w:val="20"/>
                <w:szCs w:val="20"/>
              </w:rPr>
              <w:t>.69151</w:t>
            </w:r>
          </w:p>
        </w:tc>
        <w:tc>
          <w:tcPr>
            <w:tcW w:w="1038" w:type="dxa"/>
            <w:tcBorders>
              <w:left w:val="single" w:sz="8" w:space="0" w:color="auto"/>
            </w:tcBorders>
            <w:vAlign w:val="center"/>
          </w:tcPr>
          <w:p w14:paraId="49E509C8" w14:textId="77777777" w:rsidR="001702CF" w:rsidRPr="001702CF" w:rsidRDefault="001702CF" w:rsidP="00A265E6">
            <w:pPr>
              <w:keepNext/>
              <w:jc w:val="center"/>
              <w:rPr>
                <w:color w:val="000000"/>
                <w:sz w:val="20"/>
                <w:szCs w:val="20"/>
              </w:rPr>
            </w:pPr>
            <w:r w:rsidRPr="001702CF">
              <w:rPr>
                <w:color w:val="000000"/>
                <w:sz w:val="20"/>
                <w:szCs w:val="20"/>
              </w:rPr>
              <w:t>3</w:t>
            </w:r>
          </w:p>
        </w:tc>
        <w:tc>
          <w:tcPr>
            <w:tcW w:w="1038" w:type="dxa"/>
            <w:vAlign w:val="center"/>
          </w:tcPr>
          <w:p w14:paraId="72B5171E" w14:textId="77777777" w:rsidR="001702CF" w:rsidRPr="001702CF" w:rsidRDefault="001702CF" w:rsidP="00A265E6">
            <w:pPr>
              <w:keepNext/>
              <w:jc w:val="center"/>
              <w:rPr>
                <w:color w:val="000000"/>
                <w:sz w:val="20"/>
                <w:szCs w:val="20"/>
              </w:rPr>
            </w:pPr>
            <w:r w:rsidRPr="001702CF">
              <w:rPr>
                <w:color w:val="000000"/>
                <w:sz w:val="20"/>
                <w:szCs w:val="20"/>
              </w:rPr>
              <w:t>6</w:t>
            </w:r>
          </w:p>
        </w:tc>
        <w:tc>
          <w:tcPr>
            <w:tcW w:w="1037" w:type="dxa"/>
            <w:vAlign w:val="center"/>
          </w:tcPr>
          <w:p w14:paraId="2844D575" w14:textId="77777777" w:rsidR="001702CF" w:rsidRPr="001702CF" w:rsidRDefault="001702CF" w:rsidP="00A265E6">
            <w:pPr>
              <w:keepNext/>
              <w:jc w:val="center"/>
              <w:rPr>
                <w:color w:val="000000"/>
                <w:sz w:val="20"/>
                <w:szCs w:val="20"/>
              </w:rPr>
            </w:pPr>
            <w:r w:rsidRPr="001702CF">
              <w:rPr>
                <w:color w:val="000000"/>
                <w:sz w:val="20"/>
                <w:szCs w:val="20"/>
              </w:rPr>
              <w:t>4.00</w:t>
            </w:r>
          </w:p>
        </w:tc>
        <w:tc>
          <w:tcPr>
            <w:tcW w:w="1038" w:type="dxa"/>
            <w:tcBorders>
              <w:right w:val="single" w:sz="8" w:space="0" w:color="auto"/>
            </w:tcBorders>
            <w:vAlign w:val="center"/>
          </w:tcPr>
          <w:p w14:paraId="73BDB135" w14:textId="77777777" w:rsidR="001702CF" w:rsidRPr="001702CF" w:rsidRDefault="001702CF" w:rsidP="00A265E6">
            <w:pPr>
              <w:keepNext/>
              <w:jc w:val="center"/>
              <w:rPr>
                <w:color w:val="000000"/>
                <w:sz w:val="20"/>
                <w:szCs w:val="20"/>
              </w:rPr>
            </w:pPr>
            <w:r w:rsidRPr="001702CF">
              <w:rPr>
                <w:color w:val="000000"/>
                <w:sz w:val="20"/>
                <w:szCs w:val="20"/>
              </w:rPr>
              <w:t>.653</w:t>
            </w:r>
          </w:p>
        </w:tc>
        <w:tc>
          <w:tcPr>
            <w:tcW w:w="1038" w:type="dxa"/>
            <w:tcBorders>
              <w:left w:val="single" w:sz="8" w:space="0" w:color="auto"/>
            </w:tcBorders>
            <w:vAlign w:val="center"/>
          </w:tcPr>
          <w:p w14:paraId="4F4437F0"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0</w:t>
            </w:r>
          </w:p>
        </w:tc>
        <w:tc>
          <w:tcPr>
            <w:tcW w:w="1037" w:type="dxa"/>
            <w:vAlign w:val="center"/>
          </w:tcPr>
          <w:p w14:paraId="0722CB6E"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5</w:t>
            </w:r>
          </w:p>
        </w:tc>
        <w:tc>
          <w:tcPr>
            <w:tcW w:w="1038" w:type="dxa"/>
            <w:vAlign w:val="center"/>
          </w:tcPr>
          <w:p w14:paraId="5CE2FB3F"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3.87</w:t>
            </w:r>
          </w:p>
        </w:tc>
        <w:tc>
          <w:tcPr>
            <w:tcW w:w="1038" w:type="dxa"/>
            <w:tcBorders>
              <w:top w:val="nil"/>
              <w:bottom w:val="nil"/>
              <w:right w:val="nil"/>
            </w:tcBorders>
            <w:vAlign w:val="center"/>
          </w:tcPr>
          <w:p w14:paraId="0ACD9A40"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.725</w:t>
            </w:r>
          </w:p>
        </w:tc>
      </w:tr>
      <w:tr w:rsidR="001702CF" w:rsidRPr="001702CF" w14:paraId="095CD2B9" w14:textId="77777777" w:rsidTr="00A265E6">
        <w:trPr>
          <w:trHeight w:val="460"/>
        </w:trPr>
        <w:tc>
          <w:tcPr>
            <w:tcW w:w="1435" w:type="dxa"/>
            <w:tcBorders>
              <w:right w:val="single" w:sz="8" w:space="0" w:color="auto"/>
            </w:tcBorders>
            <w:vAlign w:val="center"/>
          </w:tcPr>
          <w:p w14:paraId="6B2CF675" w14:textId="77777777" w:rsidR="001702CF" w:rsidRPr="004D7AD7" w:rsidRDefault="001702CF" w:rsidP="00A265E6">
            <w:pPr>
              <w:keepNext/>
              <w:jc w:val="center"/>
              <w:rPr>
                <w:color w:val="000000"/>
                <w:sz w:val="20"/>
                <w:szCs w:val="20"/>
              </w:rPr>
            </w:pPr>
            <w:r w:rsidRPr="004D7AD7">
              <w:rPr>
                <w:color w:val="000000"/>
                <w:sz w:val="20"/>
                <w:szCs w:val="20"/>
              </w:rPr>
              <w:t>ROA</w:t>
            </w:r>
          </w:p>
        </w:tc>
        <w:tc>
          <w:tcPr>
            <w:tcW w:w="1037" w:type="dxa"/>
            <w:tcBorders>
              <w:left w:val="single" w:sz="8" w:space="0" w:color="auto"/>
            </w:tcBorders>
            <w:vAlign w:val="center"/>
          </w:tcPr>
          <w:p w14:paraId="36F7E43C" w14:textId="77777777" w:rsidR="001702CF" w:rsidRPr="001702CF" w:rsidRDefault="001702CF" w:rsidP="00A265E6">
            <w:pPr>
              <w:keepNext/>
              <w:jc w:val="center"/>
              <w:rPr>
                <w:color w:val="000000"/>
                <w:sz w:val="20"/>
                <w:szCs w:val="20"/>
              </w:rPr>
            </w:pPr>
            <w:r w:rsidRPr="001702CF">
              <w:rPr>
                <w:color w:val="000000"/>
                <w:sz w:val="20"/>
                <w:szCs w:val="20"/>
              </w:rPr>
              <w:t>-51.591</w:t>
            </w:r>
          </w:p>
        </w:tc>
        <w:tc>
          <w:tcPr>
            <w:tcW w:w="1038" w:type="dxa"/>
            <w:vAlign w:val="center"/>
          </w:tcPr>
          <w:p w14:paraId="5EFBA3D7" w14:textId="77777777" w:rsidR="001702CF" w:rsidRPr="001702CF" w:rsidRDefault="001702CF" w:rsidP="00A265E6">
            <w:pPr>
              <w:keepNext/>
              <w:jc w:val="center"/>
              <w:rPr>
                <w:color w:val="000000"/>
                <w:sz w:val="20"/>
                <w:szCs w:val="20"/>
              </w:rPr>
            </w:pPr>
            <w:r w:rsidRPr="001702CF">
              <w:rPr>
                <w:color w:val="000000"/>
                <w:sz w:val="20"/>
                <w:szCs w:val="20"/>
              </w:rPr>
              <w:t>64.449</w:t>
            </w:r>
          </w:p>
        </w:tc>
        <w:tc>
          <w:tcPr>
            <w:tcW w:w="1038" w:type="dxa"/>
            <w:vAlign w:val="center"/>
          </w:tcPr>
          <w:p w14:paraId="76C96B55" w14:textId="77777777" w:rsidR="001702CF" w:rsidRPr="001702CF" w:rsidRDefault="001702CF" w:rsidP="00A265E6">
            <w:pPr>
              <w:keepNext/>
              <w:jc w:val="center"/>
              <w:rPr>
                <w:color w:val="000000"/>
                <w:sz w:val="20"/>
                <w:szCs w:val="20"/>
              </w:rPr>
            </w:pPr>
            <w:r w:rsidRPr="001702CF">
              <w:rPr>
                <w:color w:val="000000"/>
                <w:sz w:val="20"/>
                <w:szCs w:val="20"/>
              </w:rPr>
              <w:t>5.204</w:t>
            </w:r>
          </w:p>
        </w:tc>
        <w:tc>
          <w:tcPr>
            <w:tcW w:w="1037" w:type="dxa"/>
            <w:tcBorders>
              <w:right w:val="single" w:sz="8" w:space="0" w:color="auto"/>
            </w:tcBorders>
            <w:vAlign w:val="center"/>
          </w:tcPr>
          <w:p w14:paraId="2827A23A" w14:textId="77777777" w:rsidR="001702CF" w:rsidRPr="001702CF" w:rsidRDefault="001702CF" w:rsidP="00A265E6">
            <w:pPr>
              <w:keepNext/>
              <w:jc w:val="center"/>
              <w:rPr>
                <w:color w:val="000000"/>
                <w:sz w:val="20"/>
                <w:szCs w:val="20"/>
              </w:rPr>
            </w:pPr>
            <w:r w:rsidRPr="001702CF">
              <w:rPr>
                <w:color w:val="000000"/>
                <w:sz w:val="20"/>
                <w:szCs w:val="20"/>
              </w:rPr>
              <w:t>10.768</w:t>
            </w:r>
          </w:p>
        </w:tc>
        <w:tc>
          <w:tcPr>
            <w:tcW w:w="1038" w:type="dxa"/>
            <w:tcBorders>
              <w:left w:val="single" w:sz="8" w:space="0" w:color="auto"/>
            </w:tcBorders>
            <w:vAlign w:val="center"/>
          </w:tcPr>
          <w:p w14:paraId="138758C6" w14:textId="77777777" w:rsidR="001702CF" w:rsidRPr="001702CF" w:rsidRDefault="001702CF" w:rsidP="00A265E6">
            <w:pPr>
              <w:keepNext/>
              <w:jc w:val="center"/>
              <w:rPr>
                <w:color w:val="000000"/>
                <w:sz w:val="20"/>
                <w:szCs w:val="20"/>
              </w:rPr>
            </w:pPr>
            <w:r w:rsidRPr="001702CF">
              <w:rPr>
                <w:color w:val="000000"/>
                <w:sz w:val="20"/>
                <w:szCs w:val="20"/>
              </w:rPr>
              <w:t>-51.591</w:t>
            </w:r>
          </w:p>
        </w:tc>
        <w:tc>
          <w:tcPr>
            <w:tcW w:w="1038" w:type="dxa"/>
            <w:vAlign w:val="center"/>
          </w:tcPr>
          <w:p w14:paraId="4A656544" w14:textId="77777777" w:rsidR="001702CF" w:rsidRPr="001702CF" w:rsidRDefault="001702CF" w:rsidP="00A265E6">
            <w:pPr>
              <w:keepNext/>
              <w:jc w:val="center"/>
              <w:rPr>
                <w:color w:val="000000"/>
                <w:sz w:val="20"/>
                <w:szCs w:val="20"/>
              </w:rPr>
            </w:pPr>
            <w:r w:rsidRPr="001702CF">
              <w:rPr>
                <w:color w:val="000000"/>
                <w:sz w:val="20"/>
                <w:szCs w:val="20"/>
              </w:rPr>
              <w:t>64.449</w:t>
            </w:r>
          </w:p>
        </w:tc>
        <w:tc>
          <w:tcPr>
            <w:tcW w:w="1037" w:type="dxa"/>
            <w:vAlign w:val="center"/>
          </w:tcPr>
          <w:p w14:paraId="2EEACA87" w14:textId="77777777" w:rsidR="001702CF" w:rsidRPr="001702CF" w:rsidRDefault="001702CF" w:rsidP="00A265E6">
            <w:pPr>
              <w:keepNext/>
              <w:jc w:val="center"/>
              <w:rPr>
                <w:color w:val="000000"/>
                <w:sz w:val="20"/>
                <w:szCs w:val="20"/>
              </w:rPr>
            </w:pPr>
            <w:r w:rsidRPr="001702CF">
              <w:rPr>
                <w:color w:val="000000"/>
                <w:sz w:val="20"/>
                <w:szCs w:val="20"/>
              </w:rPr>
              <w:t>4.504</w:t>
            </w:r>
          </w:p>
        </w:tc>
        <w:tc>
          <w:tcPr>
            <w:tcW w:w="1038" w:type="dxa"/>
            <w:tcBorders>
              <w:right w:val="single" w:sz="8" w:space="0" w:color="auto"/>
            </w:tcBorders>
            <w:vAlign w:val="center"/>
          </w:tcPr>
          <w:p w14:paraId="00687B4F" w14:textId="77777777" w:rsidR="001702CF" w:rsidRPr="001702CF" w:rsidRDefault="001702CF" w:rsidP="00A265E6">
            <w:pPr>
              <w:keepNext/>
              <w:jc w:val="center"/>
              <w:rPr>
                <w:color w:val="000000"/>
                <w:sz w:val="20"/>
                <w:szCs w:val="20"/>
              </w:rPr>
            </w:pPr>
            <w:r w:rsidRPr="001702CF">
              <w:rPr>
                <w:color w:val="000000"/>
                <w:sz w:val="20"/>
                <w:szCs w:val="20"/>
              </w:rPr>
              <w:t>11.360</w:t>
            </w:r>
          </w:p>
        </w:tc>
        <w:tc>
          <w:tcPr>
            <w:tcW w:w="1038" w:type="dxa"/>
            <w:tcBorders>
              <w:left w:val="single" w:sz="8" w:space="0" w:color="auto"/>
            </w:tcBorders>
            <w:vAlign w:val="center"/>
          </w:tcPr>
          <w:p w14:paraId="434F2625"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-27.090</w:t>
            </w:r>
          </w:p>
        </w:tc>
        <w:tc>
          <w:tcPr>
            <w:tcW w:w="1037" w:type="dxa"/>
            <w:vAlign w:val="center"/>
          </w:tcPr>
          <w:p w14:paraId="4E7725DF"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45.030</w:t>
            </w:r>
          </w:p>
        </w:tc>
        <w:tc>
          <w:tcPr>
            <w:tcW w:w="1038" w:type="dxa"/>
            <w:vAlign w:val="center"/>
          </w:tcPr>
          <w:p w14:paraId="4BF4A85D"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5.904</w:t>
            </w:r>
          </w:p>
        </w:tc>
        <w:tc>
          <w:tcPr>
            <w:tcW w:w="1038" w:type="dxa"/>
            <w:tcBorders>
              <w:top w:val="nil"/>
              <w:bottom w:val="nil"/>
              <w:right w:val="nil"/>
            </w:tcBorders>
            <w:vAlign w:val="center"/>
          </w:tcPr>
          <w:p w14:paraId="03EBD526"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10.129</w:t>
            </w:r>
          </w:p>
        </w:tc>
      </w:tr>
      <w:tr w:rsidR="001702CF" w:rsidRPr="001702CF" w14:paraId="63CC234E" w14:textId="77777777" w:rsidTr="00A265E6">
        <w:trPr>
          <w:trHeight w:val="460"/>
        </w:trPr>
        <w:tc>
          <w:tcPr>
            <w:tcW w:w="1435" w:type="dxa"/>
            <w:tcBorders>
              <w:right w:val="single" w:sz="8" w:space="0" w:color="auto"/>
            </w:tcBorders>
            <w:vAlign w:val="center"/>
          </w:tcPr>
          <w:p w14:paraId="490CB45C" w14:textId="77777777" w:rsidR="001702CF" w:rsidRPr="004D7AD7" w:rsidRDefault="001702CF" w:rsidP="00A265E6">
            <w:pPr>
              <w:keepNext/>
              <w:jc w:val="center"/>
              <w:rPr>
                <w:color w:val="000000"/>
                <w:sz w:val="20"/>
                <w:szCs w:val="20"/>
              </w:rPr>
            </w:pPr>
            <w:r w:rsidRPr="004D7AD7">
              <w:rPr>
                <w:color w:val="000000"/>
                <w:sz w:val="20"/>
                <w:szCs w:val="20"/>
              </w:rPr>
              <w:t>CIND</w:t>
            </w:r>
          </w:p>
        </w:tc>
        <w:tc>
          <w:tcPr>
            <w:tcW w:w="1037" w:type="dxa"/>
            <w:tcBorders>
              <w:left w:val="single" w:sz="8" w:space="0" w:color="auto"/>
            </w:tcBorders>
            <w:vAlign w:val="center"/>
          </w:tcPr>
          <w:p w14:paraId="07700D42" w14:textId="77777777" w:rsidR="001702CF" w:rsidRPr="001702CF" w:rsidRDefault="001702CF" w:rsidP="00A265E6">
            <w:pPr>
              <w:keepNext/>
              <w:jc w:val="center"/>
              <w:rPr>
                <w:color w:val="000000"/>
                <w:sz w:val="20"/>
                <w:szCs w:val="20"/>
              </w:rPr>
            </w:pPr>
            <w:r w:rsidRPr="001702CF">
              <w:rPr>
                <w:color w:val="000000"/>
                <w:sz w:val="20"/>
                <w:szCs w:val="20"/>
              </w:rPr>
              <w:t>0</w:t>
            </w:r>
          </w:p>
        </w:tc>
        <w:tc>
          <w:tcPr>
            <w:tcW w:w="1038" w:type="dxa"/>
            <w:vAlign w:val="center"/>
          </w:tcPr>
          <w:p w14:paraId="70B95CAA" w14:textId="77777777" w:rsidR="001702CF" w:rsidRPr="001702CF" w:rsidRDefault="001702CF" w:rsidP="00A265E6">
            <w:pPr>
              <w:keepNext/>
              <w:jc w:val="center"/>
              <w:rPr>
                <w:color w:val="000000"/>
                <w:sz w:val="20"/>
                <w:szCs w:val="20"/>
              </w:rPr>
            </w:pPr>
            <w:r w:rsidRPr="001702CF">
              <w:rPr>
                <w:color w:val="000000"/>
                <w:sz w:val="20"/>
                <w:szCs w:val="20"/>
              </w:rPr>
              <w:t>1.0</w:t>
            </w:r>
          </w:p>
        </w:tc>
        <w:tc>
          <w:tcPr>
            <w:tcW w:w="1038" w:type="dxa"/>
            <w:vAlign w:val="center"/>
          </w:tcPr>
          <w:p w14:paraId="1224CEBC" w14:textId="77777777" w:rsidR="001702CF" w:rsidRPr="001702CF" w:rsidRDefault="001702CF" w:rsidP="00A265E6">
            <w:pPr>
              <w:keepNext/>
              <w:jc w:val="center"/>
              <w:rPr>
                <w:color w:val="000000"/>
                <w:sz w:val="20"/>
                <w:szCs w:val="20"/>
              </w:rPr>
            </w:pPr>
            <w:r w:rsidRPr="001702CF">
              <w:rPr>
                <w:color w:val="000000"/>
                <w:sz w:val="20"/>
                <w:szCs w:val="20"/>
              </w:rPr>
              <w:t>.635</w:t>
            </w:r>
          </w:p>
        </w:tc>
        <w:tc>
          <w:tcPr>
            <w:tcW w:w="1037" w:type="dxa"/>
            <w:tcBorders>
              <w:right w:val="single" w:sz="8" w:space="0" w:color="auto"/>
            </w:tcBorders>
            <w:vAlign w:val="center"/>
          </w:tcPr>
          <w:p w14:paraId="291BC835" w14:textId="77777777" w:rsidR="001702CF" w:rsidRPr="001702CF" w:rsidRDefault="001702CF" w:rsidP="00A265E6">
            <w:pPr>
              <w:keepNext/>
              <w:jc w:val="center"/>
              <w:rPr>
                <w:color w:val="000000"/>
                <w:sz w:val="20"/>
                <w:szCs w:val="20"/>
              </w:rPr>
            </w:pPr>
            <w:r w:rsidRPr="001702CF">
              <w:rPr>
                <w:color w:val="000000"/>
                <w:sz w:val="20"/>
                <w:szCs w:val="20"/>
              </w:rPr>
              <w:t>.4823</w:t>
            </w:r>
          </w:p>
        </w:tc>
        <w:tc>
          <w:tcPr>
            <w:tcW w:w="1038" w:type="dxa"/>
            <w:tcBorders>
              <w:left w:val="single" w:sz="8" w:space="0" w:color="auto"/>
            </w:tcBorders>
            <w:vAlign w:val="center"/>
          </w:tcPr>
          <w:p w14:paraId="29DC5ECA" w14:textId="77777777" w:rsidR="001702CF" w:rsidRPr="001702CF" w:rsidRDefault="001702CF" w:rsidP="00A265E6">
            <w:pPr>
              <w:keepNext/>
              <w:jc w:val="center"/>
              <w:rPr>
                <w:color w:val="000000"/>
                <w:sz w:val="20"/>
                <w:szCs w:val="20"/>
              </w:rPr>
            </w:pPr>
            <w:r w:rsidRPr="001702CF">
              <w:rPr>
                <w:color w:val="000000"/>
                <w:sz w:val="20"/>
                <w:szCs w:val="20"/>
              </w:rPr>
              <w:t>0</w:t>
            </w:r>
          </w:p>
        </w:tc>
        <w:tc>
          <w:tcPr>
            <w:tcW w:w="1038" w:type="dxa"/>
            <w:vAlign w:val="center"/>
          </w:tcPr>
          <w:p w14:paraId="062D3471" w14:textId="77777777" w:rsidR="001702CF" w:rsidRPr="001702CF" w:rsidRDefault="001702CF" w:rsidP="00A265E6">
            <w:pPr>
              <w:keepNext/>
              <w:jc w:val="center"/>
              <w:rPr>
                <w:color w:val="000000"/>
                <w:sz w:val="20"/>
                <w:szCs w:val="20"/>
              </w:rPr>
            </w:pPr>
            <w:r w:rsidRPr="001702CF">
              <w:rPr>
                <w:color w:val="000000"/>
                <w:sz w:val="20"/>
                <w:szCs w:val="20"/>
              </w:rPr>
              <w:t>1</w:t>
            </w:r>
          </w:p>
        </w:tc>
        <w:tc>
          <w:tcPr>
            <w:tcW w:w="1037" w:type="dxa"/>
            <w:vAlign w:val="center"/>
          </w:tcPr>
          <w:p w14:paraId="0F418A5A" w14:textId="77777777" w:rsidR="001702CF" w:rsidRPr="001702CF" w:rsidRDefault="001702CF" w:rsidP="00A265E6">
            <w:pPr>
              <w:keepNext/>
              <w:jc w:val="center"/>
              <w:rPr>
                <w:color w:val="000000"/>
                <w:sz w:val="20"/>
                <w:szCs w:val="20"/>
              </w:rPr>
            </w:pPr>
            <w:r w:rsidRPr="001702CF">
              <w:rPr>
                <w:color w:val="000000"/>
                <w:sz w:val="20"/>
                <w:szCs w:val="20"/>
              </w:rPr>
              <w:t>.63</w:t>
            </w:r>
          </w:p>
        </w:tc>
        <w:tc>
          <w:tcPr>
            <w:tcW w:w="1038" w:type="dxa"/>
            <w:tcBorders>
              <w:right w:val="single" w:sz="8" w:space="0" w:color="auto"/>
            </w:tcBorders>
            <w:vAlign w:val="center"/>
          </w:tcPr>
          <w:p w14:paraId="6065541E" w14:textId="77777777" w:rsidR="001702CF" w:rsidRPr="001702CF" w:rsidRDefault="001702CF" w:rsidP="00A265E6">
            <w:pPr>
              <w:keepNext/>
              <w:jc w:val="center"/>
              <w:rPr>
                <w:color w:val="000000"/>
                <w:sz w:val="20"/>
                <w:szCs w:val="20"/>
              </w:rPr>
            </w:pPr>
            <w:r w:rsidRPr="001702CF">
              <w:rPr>
                <w:color w:val="000000"/>
                <w:sz w:val="20"/>
                <w:szCs w:val="20"/>
              </w:rPr>
              <w:t>.483</w:t>
            </w:r>
          </w:p>
        </w:tc>
        <w:tc>
          <w:tcPr>
            <w:tcW w:w="1038" w:type="dxa"/>
            <w:tcBorders>
              <w:left w:val="single" w:sz="8" w:space="0" w:color="auto"/>
            </w:tcBorders>
            <w:vAlign w:val="center"/>
          </w:tcPr>
          <w:p w14:paraId="2A58F04C"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0</w:t>
            </w:r>
          </w:p>
        </w:tc>
        <w:tc>
          <w:tcPr>
            <w:tcW w:w="1037" w:type="dxa"/>
            <w:vAlign w:val="center"/>
          </w:tcPr>
          <w:p w14:paraId="31074E94"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1</w:t>
            </w:r>
          </w:p>
        </w:tc>
        <w:tc>
          <w:tcPr>
            <w:tcW w:w="1038" w:type="dxa"/>
            <w:vAlign w:val="center"/>
          </w:tcPr>
          <w:p w14:paraId="005E5BBC"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.63</w:t>
            </w:r>
          </w:p>
        </w:tc>
        <w:tc>
          <w:tcPr>
            <w:tcW w:w="1038" w:type="dxa"/>
            <w:tcBorders>
              <w:top w:val="nil"/>
              <w:bottom w:val="nil"/>
              <w:right w:val="nil"/>
            </w:tcBorders>
            <w:vAlign w:val="center"/>
          </w:tcPr>
          <w:p w14:paraId="3EF1F837"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.483</w:t>
            </w:r>
          </w:p>
        </w:tc>
      </w:tr>
      <w:tr w:rsidR="001702CF" w:rsidRPr="001702CF" w14:paraId="64341977" w14:textId="77777777" w:rsidTr="00A265E6">
        <w:trPr>
          <w:trHeight w:val="460"/>
        </w:trPr>
        <w:tc>
          <w:tcPr>
            <w:tcW w:w="1435" w:type="dxa"/>
            <w:tcBorders>
              <w:right w:val="single" w:sz="8" w:space="0" w:color="auto"/>
            </w:tcBorders>
            <w:vAlign w:val="center"/>
          </w:tcPr>
          <w:p w14:paraId="297360F2" w14:textId="77777777" w:rsidR="001702CF" w:rsidRPr="004D7AD7" w:rsidRDefault="001702CF" w:rsidP="00A265E6">
            <w:pPr>
              <w:keepNext/>
              <w:jc w:val="center"/>
              <w:rPr>
                <w:color w:val="000000"/>
                <w:sz w:val="20"/>
                <w:szCs w:val="20"/>
              </w:rPr>
            </w:pPr>
            <w:r w:rsidRPr="004D7AD7">
              <w:rPr>
                <w:color w:val="000000"/>
                <w:sz w:val="20"/>
                <w:szCs w:val="20"/>
              </w:rPr>
              <w:t>ITIND</w:t>
            </w:r>
          </w:p>
        </w:tc>
        <w:tc>
          <w:tcPr>
            <w:tcW w:w="1037" w:type="dxa"/>
            <w:tcBorders>
              <w:left w:val="single" w:sz="8" w:space="0" w:color="auto"/>
            </w:tcBorders>
            <w:vAlign w:val="center"/>
          </w:tcPr>
          <w:p w14:paraId="4A5AF62F" w14:textId="77777777" w:rsidR="001702CF" w:rsidRPr="001702CF" w:rsidRDefault="001702CF" w:rsidP="00A265E6">
            <w:pPr>
              <w:keepNext/>
              <w:jc w:val="center"/>
              <w:rPr>
                <w:color w:val="000000"/>
                <w:sz w:val="20"/>
                <w:szCs w:val="20"/>
              </w:rPr>
            </w:pPr>
            <w:r w:rsidRPr="001702CF">
              <w:rPr>
                <w:color w:val="000000"/>
                <w:sz w:val="20"/>
                <w:szCs w:val="20"/>
              </w:rPr>
              <w:t>0</w:t>
            </w:r>
          </w:p>
        </w:tc>
        <w:tc>
          <w:tcPr>
            <w:tcW w:w="1038" w:type="dxa"/>
            <w:vAlign w:val="center"/>
          </w:tcPr>
          <w:p w14:paraId="1EA353D9" w14:textId="77777777" w:rsidR="001702CF" w:rsidRPr="001702CF" w:rsidRDefault="001702CF" w:rsidP="00A265E6">
            <w:pPr>
              <w:keepNext/>
              <w:jc w:val="center"/>
              <w:rPr>
                <w:color w:val="000000"/>
                <w:sz w:val="20"/>
                <w:szCs w:val="20"/>
              </w:rPr>
            </w:pPr>
            <w:r w:rsidRPr="001702CF">
              <w:rPr>
                <w:color w:val="000000"/>
                <w:sz w:val="20"/>
                <w:szCs w:val="20"/>
              </w:rPr>
              <w:t>1</w:t>
            </w:r>
          </w:p>
        </w:tc>
        <w:tc>
          <w:tcPr>
            <w:tcW w:w="1038" w:type="dxa"/>
            <w:vAlign w:val="center"/>
          </w:tcPr>
          <w:p w14:paraId="7AD47F73" w14:textId="77777777" w:rsidR="001702CF" w:rsidRPr="001702CF" w:rsidRDefault="001702CF" w:rsidP="00A265E6">
            <w:pPr>
              <w:keepNext/>
              <w:jc w:val="center"/>
              <w:rPr>
                <w:color w:val="000000"/>
                <w:sz w:val="20"/>
                <w:szCs w:val="20"/>
              </w:rPr>
            </w:pPr>
            <w:r w:rsidRPr="001702CF">
              <w:rPr>
                <w:color w:val="000000"/>
                <w:sz w:val="20"/>
                <w:szCs w:val="20"/>
              </w:rPr>
              <w:t>.14</w:t>
            </w:r>
          </w:p>
        </w:tc>
        <w:tc>
          <w:tcPr>
            <w:tcW w:w="1037" w:type="dxa"/>
            <w:tcBorders>
              <w:right w:val="single" w:sz="8" w:space="0" w:color="auto"/>
            </w:tcBorders>
            <w:vAlign w:val="center"/>
          </w:tcPr>
          <w:p w14:paraId="452A53E4" w14:textId="77777777" w:rsidR="001702CF" w:rsidRPr="001702CF" w:rsidRDefault="001702CF" w:rsidP="00A265E6">
            <w:pPr>
              <w:keepNext/>
              <w:jc w:val="center"/>
              <w:rPr>
                <w:color w:val="000000"/>
                <w:sz w:val="20"/>
                <w:szCs w:val="20"/>
              </w:rPr>
            </w:pPr>
            <w:r w:rsidRPr="001702CF">
              <w:rPr>
                <w:color w:val="000000"/>
                <w:sz w:val="20"/>
                <w:szCs w:val="20"/>
              </w:rPr>
              <w:t>.349</w:t>
            </w:r>
          </w:p>
        </w:tc>
        <w:tc>
          <w:tcPr>
            <w:tcW w:w="1038" w:type="dxa"/>
            <w:tcBorders>
              <w:left w:val="single" w:sz="8" w:space="0" w:color="auto"/>
            </w:tcBorders>
            <w:vAlign w:val="center"/>
          </w:tcPr>
          <w:p w14:paraId="03E12813" w14:textId="77777777" w:rsidR="001702CF" w:rsidRPr="001702CF" w:rsidRDefault="001702CF" w:rsidP="00A265E6">
            <w:pPr>
              <w:keepNext/>
              <w:jc w:val="center"/>
              <w:rPr>
                <w:color w:val="000000"/>
                <w:sz w:val="20"/>
                <w:szCs w:val="20"/>
              </w:rPr>
            </w:pPr>
            <w:r w:rsidRPr="001702CF">
              <w:rPr>
                <w:color w:val="000000"/>
                <w:sz w:val="20"/>
                <w:szCs w:val="20"/>
              </w:rPr>
              <w:t>0</w:t>
            </w:r>
          </w:p>
        </w:tc>
        <w:tc>
          <w:tcPr>
            <w:tcW w:w="1038" w:type="dxa"/>
            <w:vAlign w:val="center"/>
          </w:tcPr>
          <w:p w14:paraId="6FCB16FF" w14:textId="77777777" w:rsidR="001702CF" w:rsidRPr="001702CF" w:rsidRDefault="001702CF" w:rsidP="00A265E6">
            <w:pPr>
              <w:keepNext/>
              <w:jc w:val="center"/>
              <w:rPr>
                <w:color w:val="000000"/>
                <w:sz w:val="20"/>
                <w:szCs w:val="20"/>
              </w:rPr>
            </w:pPr>
            <w:r w:rsidRPr="001702CF">
              <w:rPr>
                <w:color w:val="000000"/>
                <w:sz w:val="20"/>
                <w:szCs w:val="20"/>
              </w:rPr>
              <w:t>1</w:t>
            </w:r>
          </w:p>
        </w:tc>
        <w:tc>
          <w:tcPr>
            <w:tcW w:w="1037" w:type="dxa"/>
            <w:vAlign w:val="center"/>
          </w:tcPr>
          <w:p w14:paraId="5D3E3A62" w14:textId="77777777" w:rsidR="001702CF" w:rsidRPr="001702CF" w:rsidRDefault="001702CF" w:rsidP="00A265E6">
            <w:pPr>
              <w:keepNext/>
              <w:jc w:val="center"/>
              <w:rPr>
                <w:color w:val="000000"/>
                <w:sz w:val="20"/>
                <w:szCs w:val="20"/>
              </w:rPr>
            </w:pPr>
            <w:r w:rsidRPr="001702CF">
              <w:rPr>
                <w:color w:val="000000"/>
                <w:sz w:val="20"/>
                <w:szCs w:val="20"/>
              </w:rPr>
              <w:t>.14</w:t>
            </w:r>
          </w:p>
        </w:tc>
        <w:tc>
          <w:tcPr>
            <w:tcW w:w="1038" w:type="dxa"/>
            <w:tcBorders>
              <w:right w:val="single" w:sz="8" w:space="0" w:color="auto"/>
            </w:tcBorders>
            <w:vAlign w:val="center"/>
          </w:tcPr>
          <w:p w14:paraId="3752A448" w14:textId="77777777" w:rsidR="001702CF" w:rsidRPr="001702CF" w:rsidRDefault="001702CF" w:rsidP="00A265E6">
            <w:pPr>
              <w:keepNext/>
              <w:jc w:val="center"/>
              <w:rPr>
                <w:color w:val="000000"/>
                <w:sz w:val="20"/>
                <w:szCs w:val="20"/>
              </w:rPr>
            </w:pPr>
            <w:r w:rsidRPr="001702CF">
              <w:rPr>
                <w:color w:val="000000"/>
                <w:sz w:val="20"/>
                <w:szCs w:val="20"/>
              </w:rPr>
              <w:t>.349</w:t>
            </w:r>
          </w:p>
        </w:tc>
        <w:tc>
          <w:tcPr>
            <w:tcW w:w="1038" w:type="dxa"/>
            <w:tcBorders>
              <w:left w:val="single" w:sz="8" w:space="0" w:color="auto"/>
            </w:tcBorders>
            <w:vAlign w:val="center"/>
          </w:tcPr>
          <w:p w14:paraId="78754076"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0</w:t>
            </w:r>
          </w:p>
        </w:tc>
        <w:tc>
          <w:tcPr>
            <w:tcW w:w="1037" w:type="dxa"/>
            <w:vAlign w:val="center"/>
          </w:tcPr>
          <w:p w14:paraId="4536D4B2"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1</w:t>
            </w:r>
          </w:p>
        </w:tc>
        <w:tc>
          <w:tcPr>
            <w:tcW w:w="1038" w:type="dxa"/>
            <w:vAlign w:val="center"/>
          </w:tcPr>
          <w:p w14:paraId="638A84CF"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.14</w:t>
            </w:r>
          </w:p>
        </w:tc>
        <w:tc>
          <w:tcPr>
            <w:tcW w:w="1038" w:type="dxa"/>
            <w:tcBorders>
              <w:top w:val="nil"/>
              <w:bottom w:val="nil"/>
              <w:right w:val="nil"/>
            </w:tcBorders>
            <w:vAlign w:val="center"/>
          </w:tcPr>
          <w:p w14:paraId="5415D25D"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.349</w:t>
            </w:r>
          </w:p>
        </w:tc>
      </w:tr>
      <w:tr w:rsidR="001702CF" w:rsidRPr="001702CF" w14:paraId="2D3760EB" w14:textId="77777777" w:rsidTr="00A265E6">
        <w:trPr>
          <w:trHeight w:val="460"/>
        </w:trPr>
        <w:tc>
          <w:tcPr>
            <w:tcW w:w="1435" w:type="dxa"/>
            <w:tcBorders>
              <w:right w:val="single" w:sz="8" w:space="0" w:color="auto"/>
            </w:tcBorders>
            <w:vAlign w:val="center"/>
          </w:tcPr>
          <w:p w14:paraId="3DC1E8B6" w14:textId="77777777" w:rsidR="001702CF" w:rsidRPr="004D7AD7" w:rsidRDefault="001702CF" w:rsidP="00A265E6">
            <w:pPr>
              <w:keepNext/>
              <w:jc w:val="center"/>
              <w:rPr>
                <w:color w:val="000000"/>
                <w:sz w:val="20"/>
                <w:szCs w:val="20"/>
              </w:rPr>
            </w:pPr>
            <w:r w:rsidRPr="004D7AD7">
              <w:rPr>
                <w:color w:val="000000"/>
                <w:sz w:val="20"/>
                <w:szCs w:val="20"/>
              </w:rPr>
              <w:t>FPIND</w:t>
            </w:r>
          </w:p>
        </w:tc>
        <w:tc>
          <w:tcPr>
            <w:tcW w:w="1037" w:type="dxa"/>
            <w:tcBorders>
              <w:left w:val="single" w:sz="8" w:space="0" w:color="auto"/>
            </w:tcBorders>
            <w:vAlign w:val="center"/>
          </w:tcPr>
          <w:p w14:paraId="530958F8" w14:textId="77777777" w:rsidR="001702CF" w:rsidRPr="001702CF" w:rsidRDefault="001702CF" w:rsidP="00A265E6">
            <w:pPr>
              <w:keepNext/>
              <w:jc w:val="center"/>
              <w:rPr>
                <w:color w:val="000000"/>
                <w:sz w:val="20"/>
                <w:szCs w:val="20"/>
              </w:rPr>
            </w:pPr>
            <w:r w:rsidRPr="001702CF">
              <w:rPr>
                <w:color w:val="000000"/>
                <w:sz w:val="20"/>
                <w:szCs w:val="20"/>
              </w:rPr>
              <w:t>0</w:t>
            </w:r>
          </w:p>
        </w:tc>
        <w:tc>
          <w:tcPr>
            <w:tcW w:w="1038" w:type="dxa"/>
            <w:vAlign w:val="center"/>
          </w:tcPr>
          <w:p w14:paraId="28A70D8B" w14:textId="77777777" w:rsidR="001702CF" w:rsidRPr="001702CF" w:rsidRDefault="001702CF" w:rsidP="00A265E6">
            <w:pPr>
              <w:keepNext/>
              <w:jc w:val="center"/>
              <w:rPr>
                <w:color w:val="000000"/>
                <w:sz w:val="20"/>
                <w:szCs w:val="20"/>
              </w:rPr>
            </w:pPr>
            <w:r w:rsidRPr="001702CF">
              <w:rPr>
                <w:color w:val="000000"/>
                <w:sz w:val="20"/>
                <w:szCs w:val="20"/>
              </w:rPr>
              <w:t>1</w:t>
            </w:r>
          </w:p>
        </w:tc>
        <w:tc>
          <w:tcPr>
            <w:tcW w:w="1038" w:type="dxa"/>
            <w:vAlign w:val="center"/>
          </w:tcPr>
          <w:p w14:paraId="2BBF531B" w14:textId="77777777" w:rsidR="001702CF" w:rsidRPr="001702CF" w:rsidRDefault="001702CF" w:rsidP="00A265E6">
            <w:pPr>
              <w:keepNext/>
              <w:jc w:val="center"/>
              <w:rPr>
                <w:color w:val="000000"/>
                <w:sz w:val="20"/>
                <w:szCs w:val="20"/>
              </w:rPr>
            </w:pPr>
            <w:r w:rsidRPr="001702CF">
              <w:rPr>
                <w:color w:val="000000"/>
                <w:sz w:val="20"/>
                <w:szCs w:val="20"/>
              </w:rPr>
              <w:t>.12</w:t>
            </w:r>
          </w:p>
        </w:tc>
        <w:tc>
          <w:tcPr>
            <w:tcW w:w="1037" w:type="dxa"/>
            <w:tcBorders>
              <w:right w:val="single" w:sz="8" w:space="0" w:color="auto"/>
            </w:tcBorders>
            <w:vAlign w:val="center"/>
          </w:tcPr>
          <w:p w14:paraId="65E402D4" w14:textId="77777777" w:rsidR="001702CF" w:rsidRPr="001702CF" w:rsidRDefault="001702CF" w:rsidP="00A265E6">
            <w:pPr>
              <w:keepNext/>
              <w:jc w:val="center"/>
              <w:rPr>
                <w:color w:val="000000"/>
                <w:sz w:val="20"/>
                <w:szCs w:val="20"/>
              </w:rPr>
            </w:pPr>
            <w:r w:rsidRPr="001702CF">
              <w:rPr>
                <w:color w:val="000000"/>
                <w:sz w:val="20"/>
                <w:szCs w:val="20"/>
              </w:rPr>
              <w:t>.328</w:t>
            </w:r>
          </w:p>
        </w:tc>
        <w:tc>
          <w:tcPr>
            <w:tcW w:w="1038" w:type="dxa"/>
            <w:tcBorders>
              <w:left w:val="single" w:sz="8" w:space="0" w:color="auto"/>
            </w:tcBorders>
            <w:vAlign w:val="center"/>
          </w:tcPr>
          <w:p w14:paraId="774D7EEA" w14:textId="77777777" w:rsidR="001702CF" w:rsidRPr="001702CF" w:rsidRDefault="001702CF" w:rsidP="00A265E6">
            <w:pPr>
              <w:keepNext/>
              <w:jc w:val="center"/>
              <w:rPr>
                <w:color w:val="000000"/>
                <w:sz w:val="20"/>
                <w:szCs w:val="20"/>
              </w:rPr>
            </w:pPr>
            <w:r w:rsidRPr="001702CF">
              <w:rPr>
                <w:color w:val="000000"/>
                <w:sz w:val="20"/>
                <w:szCs w:val="20"/>
              </w:rPr>
              <w:t>0</w:t>
            </w:r>
          </w:p>
        </w:tc>
        <w:tc>
          <w:tcPr>
            <w:tcW w:w="1038" w:type="dxa"/>
            <w:vAlign w:val="center"/>
          </w:tcPr>
          <w:p w14:paraId="730AD988" w14:textId="77777777" w:rsidR="001702CF" w:rsidRPr="001702CF" w:rsidRDefault="001702CF" w:rsidP="00A265E6">
            <w:pPr>
              <w:keepNext/>
              <w:jc w:val="center"/>
              <w:rPr>
                <w:color w:val="000000"/>
                <w:sz w:val="20"/>
                <w:szCs w:val="20"/>
              </w:rPr>
            </w:pPr>
            <w:r w:rsidRPr="001702CF">
              <w:rPr>
                <w:color w:val="000000"/>
                <w:sz w:val="20"/>
                <w:szCs w:val="20"/>
              </w:rPr>
              <w:t>1</w:t>
            </w:r>
          </w:p>
        </w:tc>
        <w:tc>
          <w:tcPr>
            <w:tcW w:w="1037" w:type="dxa"/>
            <w:vAlign w:val="center"/>
          </w:tcPr>
          <w:p w14:paraId="0248206F" w14:textId="77777777" w:rsidR="001702CF" w:rsidRPr="001702CF" w:rsidRDefault="001702CF" w:rsidP="00A265E6">
            <w:pPr>
              <w:keepNext/>
              <w:jc w:val="center"/>
              <w:rPr>
                <w:color w:val="000000"/>
                <w:sz w:val="20"/>
                <w:szCs w:val="20"/>
              </w:rPr>
            </w:pPr>
            <w:r w:rsidRPr="001702CF">
              <w:rPr>
                <w:color w:val="000000"/>
                <w:sz w:val="20"/>
                <w:szCs w:val="20"/>
              </w:rPr>
              <w:t>.12</w:t>
            </w:r>
          </w:p>
        </w:tc>
        <w:tc>
          <w:tcPr>
            <w:tcW w:w="1038" w:type="dxa"/>
            <w:tcBorders>
              <w:right w:val="single" w:sz="8" w:space="0" w:color="auto"/>
            </w:tcBorders>
            <w:vAlign w:val="center"/>
          </w:tcPr>
          <w:p w14:paraId="2410F6B3" w14:textId="77777777" w:rsidR="001702CF" w:rsidRPr="001702CF" w:rsidRDefault="001702CF" w:rsidP="00A265E6">
            <w:pPr>
              <w:keepNext/>
              <w:jc w:val="center"/>
              <w:rPr>
                <w:color w:val="000000"/>
                <w:sz w:val="20"/>
                <w:szCs w:val="20"/>
              </w:rPr>
            </w:pPr>
            <w:r w:rsidRPr="001702CF">
              <w:rPr>
                <w:color w:val="000000"/>
                <w:sz w:val="20"/>
                <w:szCs w:val="20"/>
              </w:rPr>
              <w:t>.328</w:t>
            </w:r>
          </w:p>
        </w:tc>
        <w:tc>
          <w:tcPr>
            <w:tcW w:w="1038" w:type="dxa"/>
            <w:tcBorders>
              <w:left w:val="single" w:sz="8" w:space="0" w:color="auto"/>
            </w:tcBorders>
            <w:vAlign w:val="center"/>
          </w:tcPr>
          <w:p w14:paraId="39D50998"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0</w:t>
            </w:r>
          </w:p>
        </w:tc>
        <w:tc>
          <w:tcPr>
            <w:tcW w:w="1037" w:type="dxa"/>
            <w:vAlign w:val="center"/>
          </w:tcPr>
          <w:p w14:paraId="3CDDF186"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1</w:t>
            </w:r>
          </w:p>
        </w:tc>
        <w:tc>
          <w:tcPr>
            <w:tcW w:w="1038" w:type="dxa"/>
            <w:vAlign w:val="center"/>
          </w:tcPr>
          <w:p w14:paraId="29876B56"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.12</w:t>
            </w:r>
          </w:p>
        </w:tc>
        <w:tc>
          <w:tcPr>
            <w:tcW w:w="1038" w:type="dxa"/>
            <w:tcBorders>
              <w:top w:val="nil"/>
              <w:bottom w:val="nil"/>
              <w:right w:val="nil"/>
            </w:tcBorders>
            <w:vAlign w:val="center"/>
          </w:tcPr>
          <w:p w14:paraId="4B2D8AEC"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.328</w:t>
            </w:r>
          </w:p>
        </w:tc>
      </w:tr>
      <w:tr w:rsidR="001702CF" w:rsidRPr="001702CF" w14:paraId="4703AE55" w14:textId="77777777" w:rsidTr="00A265E6">
        <w:trPr>
          <w:trHeight w:val="460"/>
        </w:trPr>
        <w:tc>
          <w:tcPr>
            <w:tcW w:w="1435" w:type="dxa"/>
            <w:tcBorders>
              <w:right w:val="single" w:sz="8" w:space="0" w:color="auto"/>
            </w:tcBorders>
            <w:vAlign w:val="center"/>
          </w:tcPr>
          <w:p w14:paraId="408DE167" w14:textId="77777777" w:rsidR="001702CF" w:rsidRPr="004D7AD7" w:rsidRDefault="001702CF" w:rsidP="00A265E6">
            <w:pPr>
              <w:keepNext/>
              <w:jc w:val="center"/>
              <w:rPr>
                <w:color w:val="000000"/>
                <w:sz w:val="20"/>
                <w:szCs w:val="20"/>
              </w:rPr>
            </w:pPr>
            <w:r w:rsidRPr="004D7AD7">
              <w:rPr>
                <w:color w:val="000000"/>
                <w:sz w:val="20"/>
                <w:szCs w:val="20"/>
              </w:rPr>
              <w:t>AGE</w:t>
            </w:r>
          </w:p>
        </w:tc>
        <w:tc>
          <w:tcPr>
            <w:tcW w:w="1037" w:type="dxa"/>
            <w:tcBorders>
              <w:left w:val="single" w:sz="8" w:space="0" w:color="auto"/>
            </w:tcBorders>
            <w:vAlign w:val="center"/>
          </w:tcPr>
          <w:p w14:paraId="1E0CF194" w14:textId="77777777" w:rsidR="001702CF" w:rsidRPr="001702CF" w:rsidRDefault="001702CF" w:rsidP="00A265E6">
            <w:pPr>
              <w:keepNext/>
              <w:jc w:val="center"/>
              <w:rPr>
                <w:color w:val="000000"/>
                <w:sz w:val="20"/>
                <w:szCs w:val="20"/>
              </w:rPr>
            </w:pPr>
            <w:r w:rsidRPr="001702CF">
              <w:rPr>
                <w:color w:val="000000"/>
                <w:sz w:val="20"/>
                <w:szCs w:val="20"/>
              </w:rPr>
              <w:t>0</w:t>
            </w:r>
          </w:p>
        </w:tc>
        <w:tc>
          <w:tcPr>
            <w:tcW w:w="1038" w:type="dxa"/>
            <w:vAlign w:val="center"/>
          </w:tcPr>
          <w:p w14:paraId="719C8757" w14:textId="77777777" w:rsidR="001702CF" w:rsidRPr="001702CF" w:rsidRDefault="001702CF" w:rsidP="00A265E6">
            <w:pPr>
              <w:keepNext/>
              <w:jc w:val="center"/>
              <w:rPr>
                <w:color w:val="000000"/>
                <w:sz w:val="20"/>
                <w:szCs w:val="20"/>
              </w:rPr>
            </w:pPr>
            <w:r w:rsidRPr="001702CF">
              <w:rPr>
                <w:color w:val="000000"/>
                <w:sz w:val="20"/>
                <w:szCs w:val="20"/>
              </w:rPr>
              <w:t>107</w:t>
            </w:r>
          </w:p>
        </w:tc>
        <w:tc>
          <w:tcPr>
            <w:tcW w:w="1038" w:type="dxa"/>
            <w:vAlign w:val="center"/>
          </w:tcPr>
          <w:p w14:paraId="1D0106E0" w14:textId="77777777" w:rsidR="001702CF" w:rsidRPr="001702CF" w:rsidRDefault="001702CF" w:rsidP="00A265E6">
            <w:pPr>
              <w:keepNext/>
              <w:jc w:val="center"/>
              <w:rPr>
                <w:color w:val="000000"/>
                <w:sz w:val="20"/>
                <w:szCs w:val="20"/>
              </w:rPr>
            </w:pPr>
            <w:r w:rsidRPr="001702CF">
              <w:rPr>
                <w:color w:val="000000"/>
                <w:sz w:val="20"/>
                <w:szCs w:val="20"/>
              </w:rPr>
              <w:t>34.92</w:t>
            </w:r>
          </w:p>
        </w:tc>
        <w:tc>
          <w:tcPr>
            <w:tcW w:w="1037" w:type="dxa"/>
            <w:tcBorders>
              <w:right w:val="single" w:sz="8" w:space="0" w:color="auto"/>
            </w:tcBorders>
            <w:vAlign w:val="center"/>
          </w:tcPr>
          <w:p w14:paraId="4B717300" w14:textId="77777777" w:rsidR="001702CF" w:rsidRPr="001702CF" w:rsidRDefault="001702CF" w:rsidP="00A265E6">
            <w:pPr>
              <w:keepNext/>
              <w:jc w:val="center"/>
              <w:rPr>
                <w:color w:val="000000"/>
                <w:sz w:val="20"/>
                <w:szCs w:val="20"/>
              </w:rPr>
            </w:pPr>
            <w:r w:rsidRPr="001702CF">
              <w:rPr>
                <w:color w:val="000000"/>
                <w:sz w:val="20"/>
                <w:szCs w:val="20"/>
              </w:rPr>
              <w:t>18.821</w:t>
            </w:r>
          </w:p>
        </w:tc>
        <w:tc>
          <w:tcPr>
            <w:tcW w:w="1038" w:type="dxa"/>
            <w:tcBorders>
              <w:left w:val="single" w:sz="8" w:space="0" w:color="auto"/>
            </w:tcBorders>
            <w:vAlign w:val="center"/>
          </w:tcPr>
          <w:p w14:paraId="5A55A69B" w14:textId="77777777" w:rsidR="001702CF" w:rsidRPr="001702CF" w:rsidRDefault="001702CF" w:rsidP="00A265E6">
            <w:pPr>
              <w:keepNext/>
              <w:jc w:val="center"/>
              <w:rPr>
                <w:color w:val="000000"/>
                <w:sz w:val="20"/>
                <w:szCs w:val="20"/>
              </w:rPr>
            </w:pPr>
            <w:r w:rsidRPr="001702CF">
              <w:rPr>
                <w:color w:val="000000"/>
                <w:sz w:val="20"/>
                <w:szCs w:val="20"/>
              </w:rPr>
              <w:t>0</w:t>
            </w:r>
          </w:p>
        </w:tc>
        <w:tc>
          <w:tcPr>
            <w:tcW w:w="1038" w:type="dxa"/>
            <w:vAlign w:val="center"/>
          </w:tcPr>
          <w:p w14:paraId="22E57FD2" w14:textId="77777777" w:rsidR="001702CF" w:rsidRPr="001702CF" w:rsidRDefault="001702CF" w:rsidP="00A265E6">
            <w:pPr>
              <w:keepNext/>
              <w:jc w:val="center"/>
              <w:rPr>
                <w:color w:val="000000"/>
                <w:sz w:val="20"/>
                <w:szCs w:val="20"/>
              </w:rPr>
            </w:pPr>
            <w:r w:rsidRPr="001702CF">
              <w:rPr>
                <w:color w:val="000000"/>
                <w:sz w:val="20"/>
                <w:szCs w:val="20"/>
              </w:rPr>
              <w:t>107</w:t>
            </w:r>
          </w:p>
        </w:tc>
        <w:tc>
          <w:tcPr>
            <w:tcW w:w="1037" w:type="dxa"/>
            <w:vAlign w:val="center"/>
          </w:tcPr>
          <w:p w14:paraId="59656A43" w14:textId="77777777" w:rsidR="001702CF" w:rsidRPr="001702CF" w:rsidRDefault="001702CF" w:rsidP="00A265E6">
            <w:pPr>
              <w:keepNext/>
              <w:jc w:val="center"/>
              <w:rPr>
                <w:color w:val="000000"/>
                <w:sz w:val="20"/>
                <w:szCs w:val="20"/>
              </w:rPr>
            </w:pPr>
            <w:r w:rsidRPr="001702CF">
              <w:rPr>
                <w:color w:val="000000"/>
                <w:sz w:val="20"/>
                <w:szCs w:val="20"/>
              </w:rPr>
              <w:t>34.83</w:t>
            </w:r>
          </w:p>
        </w:tc>
        <w:tc>
          <w:tcPr>
            <w:tcW w:w="1038" w:type="dxa"/>
            <w:tcBorders>
              <w:right w:val="single" w:sz="8" w:space="0" w:color="auto"/>
            </w:tcBorders>
            <w:vAlign w:val="center"/>
          </w:tcPr>
          <w:p w14:paraId="22AA776A" w14:textId="77777777" w:rsidR="001702CF" w:rsidRPr="001702CF" w:rsidRDefault="001702CF" w:rsidP="00A265E6">
            <w:pPr>
              <w:keepNext/>
              <w:jc w:val="center"/>
              <w:rPr>
                <w:color w:val="000000"/>
                <w:sz w:val="20"/>
                <w:szCs w:val="20"/>
              </w:rPr>
            </w:pPr>
            <w:r w:rsidRPr="001702CF">
              <w:rPr>
                <w:color w:val="000000"/>
                <w:sz w:val="20"/>
                <w:szCs w:val="20"/>
              </w:rPr>
              <w:t>18.774</w:t>
            </w:r>
          </w:p>
        </w:tc>
        <w:tc>
          <w:tcPr>
            <w:tcW w:w="1038" w:type="dxa"/>
            <w:tcBorders>
              <w:left w:val="single" w:sz="8" w:space="0" w:color="auto"/>
            </w:tcBorders>
            <w:vAlign w:val="center"/>
          </w:tcPr>
          <w:p w14:paraId="00B3E6A4"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0</w:t>
            </w:r>
          </w:p>
        </w:tc>
        <w:tc>
          <w:tcPr>
            <w:tcW w:w="1037" w:type="dxa"/>
            <w:vAlign w:val="center"/>
          </w:tcPr>
          <w:p w14:paraId="10A3DFD9"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107</w:t>
            </w:r>
          </w:p>
        </w:tc>
        <w:tc>
          <w:tcPr>
            <w:tcW w:w="1038" w:type="dxa"/>
            <w:vAlign w:val="center"/>
          </w:tcPr>
          <w:p w14:paraId="79CF3922"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35.01</w:t>
            </w:r>
          </w:p>
        </w:tc>
        <w:tc>
          <w:tcPr>
            <w:tcW w:w="1038" w:type="dxa"/>
            <w:tcBorders>
              <w:top w:val="nil"/>
              <w:bottom w:val="nil"/>
              <w:right w:val="nil"/>
            </w:tcBorders>
            <w:vAlign w:val="center"/>
          </w:tcPr>
          <w:p w14:paraId="1DCFC6A0"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18.927</w:t>
            </w:r>
          </w:p>
        </w:tc>
      </w:tr>
      <w:tr w:rsidR="001702CF" w:rsidRPr="001702CF" w14:paraId="556B48D7" w14:textId="77777777" w:rsidTr="00A265E6">
        <w:trPr>
          <w:trHeight w:val="460"/>
        </w:trPr>
        <w:tc>
          <w:tcPr>
            <w:tcW w:w="1435" w:type="dxa"/>
            <w:tcBorders>
              <w:right w:val="single" w:sz="8" w:space="0" w:color="auto"/>
            </w:tcBorders>
            <w:vAlign w:val="center"/>
          </w:tcPr>
          <w:p w14:paraId="7343D448" w14:textId="77777777" w:rsidR="001702CF" w:rsidRPr="004D7AD7" w:rsidRDefault="001702CF" w:rsidP="00A265E6">
            <w:pPr>
              <w:keepNext/>
              <w:jc w:val="center"/>
              <w:rPr>
                <w:color w:val="000000"/>
                <w:sz w:val="20"/>
                <w:szCs w:val="20"/>
              </w:rPr>
            </w:pPr>
            <w:r w:rsidRPr="004D7AD7">
              <w:rPr>
                <w:color w:val="000000"/>
                <w:sz w:val="20"/>
                <w:szCs w:val="20"/>
              </w:rPr>
              <w:t>CP</w:t>
            </w:r>
          </w:p>
        </w:tc>
        <w:tc>
          <w:tcPr>
            <w:tcW w:w="1037" w:type="dxa"/>
            <w:tcBorders>
              <w:left w:val="single" w:sz="8" w:space="0" w:color="auto"/>
            </w:tcBorders>
            <w:vAlign w:val="center"/>
          </w:tcPr>
          <w:p w14:paraId="0C33D375" w14:textId="77777777" w:rsidR="001702CF" w:rsidRPr="001702CF" w:rsidRDefault="001702CF" w:rsidP="00A265E6">
            <w:pPr>
              <w:keepNext/>
              <w:jc w:val="center"/>
              <w:rPr>
                <w:color w:val="000000"/>
                <w:sz w:val="20"/>
                <w:szCs w:val="20"/>
              </w:rPr>
            </w:pPr>
            <w:r w:rsidRPr="001702CF">
              <w:rPr>
                <w:color w:val="000000"/>
                <w:sz w:val="20"/>
                <w:szCs w:val="20"/>
              </w:rPr>
              <w:t>0</w:t>
            </w:r>
          </w:p>
        </w:tc>
        <w:tc>
          <w:tcPr>
            <w:tcW w:w="1038" w:type="dxa"/>
            <w:vAlign w:val="center"/>
          </w:tcPr>
          <w:p w14:paraId="3B43E860" w14:textId="77777777" w:rsidR="001702CF" w:rsidRPr="001702CF" w:rsidRDefault="001702CF" w:rsidP="00A265E6">
            <w:pPr>
              <w:keepNext/>
              <w:jc w:val="center"/>
              <w:rPr>
                <w:color w:val="000000"/>
                <w:sz w:val="20"/>
                <w:szCs w:val="20"/>
              </w:rPr>
            </w:pPr>
            <w:r w:rsidRPr="001702CF">
              <w:rPr>
                <w:color w:val="000000"/>
                <w:sz w:val="20"/>
                <w:szCs w:val="20"/>
              </w:rPr>
              <w:t>1</w:t>
            </w:r>
          </w:p>
        </w:tc>
        <w:tc>
          <w:tcPr>
            <w:tcW w:w="1038" w:type="dxa"/>
            <w:vAlign w:val="center"/>
          </w:tcPr>
          <w:p w14:paraId="37367F8B" w14:textId="77777777" w:rsidR="001702CF" w:rsidRPr="001702CF" w:rsidRDefault="001702CF" w:rsidP="00A265E6">
            <w:pPr>
              <w:keepNext/>
              <w:jc w:val="center"/>
              <w:rPr>
                <w:color w:val="000000"/>
                <w:sz w:val="20"/>
                <w:szCs w:val="20"/>
              </w:rPr>
            </w:pPr>
            <w:r w:rsidRPr="001702CF">
              <w:rPr>
                <w:color w:val="000000"/>
                <w:sz w:val="20"/>
                <w:szCs w:val="20"/>
              </w:rPr>
              <w:t>.40</w:t>
            </w:r>
          </w:p>
        </w:tc>
        <w:tc>
          <w:tcPr>
            <w:tcW w:w="1037" w:type="dxa"/>
            <w:tcBorders>
              <w:right w:val="single" w:sz="8" w:space="0" w:color="auto"/>
            </w:tcBorders>
            <w:vAlign w:val="center"/>
          </w:tcPr>
          <w:p w14:paraId="40C7DB13" w14:textId="77777777" w:rsidR="001702CF" w:rsidRPr="001702CF" w:rsidRDefault="001702CF" w:rsidP="00A265E6">
            <w:pPr>
              <w:keepNext/>
              <w:jc w:val="center"/>
              <w:rPr>
                <w:color w:val="000000"/>
                <w:sz w:val="20"/>
                <w:szCs w:val="20"/>
              </w:rPr>
            </w:pPr>
            <w:r w:rsidRPr="001702CF">
              <w:rPr>
                <w:color w:val="000000"/>
                <w:sz w:val="20"/>
                <w:szCs w:val="20"/>
              </w:rPr>
              <w:t>.491</w:t>
            </w:r>
          </w:p>
        </w:tc>
        <w:tc>
          <w:tcPr>
            <w:tcW w:w="1038" w:type="dxa"/>
            <w:tcBorders>
              <w:left w:val="single" w:sz="8" w:space="0" w:color="auto"/>
            </w:tcBorders>
            <w:vAlign w:val="center"/>
          </w:tcPr>
          <w:p w14:paraId="4E2C511A" w14:textId="77777777" w:rsidR="001702CF" w:rsidRPr="001702CF" w:rsidRDefault="001702CF" w:rsidP="00A265E6">
            <w:pPr>
              <w:keepNext/>
              <w:jc w:val="center"/>
              <w:rPr>
                <w:color w:val="000000"/>
                <w:sz w:val="20"/>
                <w:szCs w:val="20"/>
              </w:rPr>
            </w:pPr>
            <w:r w:rsidRPr="001702CF">
              <w:rPr>
                <w:color w:val="000000"/>
                <w:sz w:val="20"/>
                <w:szCs w:val="20"/>
              </w:rPr>
              <w:t>0</w:t>
            </w:r>
          </w:p>
        </w:tc>
        <w:tc>
          <w:tcPr>
            <w:tcW w:w="1038" w:type="dxa"/>
            <w:vAlign w:val="center"/>
          </w:tcPr>
          <w:p w14:paraId="15302D30" w14:textId="77777777" w:rsidR="001702CF" w:rsidRPr="001702CF" w:rsidRDefault="001702CF" w:rsidP="00A265E6">
            <w:pPr>
              <w:keepNext/>
              <w:jc w:val="center"/>
              <w:rPr>
                <w:color w:val="000000"/>
                <w:sz w:val="20"/>
                <w:szCs w:val="20"/>
              </w:rPr>
            </w:pPr>
            <w:r w:rsidRPr="001702CF">
              <w:rPr>
                <w:color w:val="000000"/>
                <w:sz w:val="20"/>
                <w:szCs w:val="20"/>
              </w:rPr>
              <w:t>1</w:t>
            </w:r>
          </w:p>
        </w:tc>
        <w:tc>
          <w:tcPr>
            <w:tcW w:w="1037" w:type="dxa"/>
            <w:vAlign w:val="center"/>
          </w:tcPr>
          <w:p w14:paraId="74423CA3" w14:textId="77777777" w:rsidR="001702CF" w:rsidRPr="001702CF" w:rsidRDefault="001702CF" w:rsidP="00A265E6">
            <w:pPr>
              <w:keepNext/>
              <w:jc w:val="center"/>
              <w:rPr>
                <w:color w:val="000000"/>
                <w:sz w:val="20"/>
                <w:szCs w:val="20"/>
              </w:rPr>
            </w:pPr>
            <w:r w:rsidRPr="001702CF">
              <w:rPr>
                <w:color w:val="000000"/>
                <w:sz w:val="20"/>
                <w:szCs w:val="20"/>
              </w:rPr>
              <w:t>.39</w:t>
            </w:r>
          </w:p>
        </w:tc>
        <w:tc>
          <w:tcPr>
            <w:tcW w:w="1038" w:type="dxa"/>
            <w:tcBorders>
              <w:right w:val="single" w:sz="8" w:space="0" w:color="auto"/>
            </w:tcBorders>
            <w:vAlign w:val="center"/>
          </w:tcPr>
          <w:p w14:paraId="2C1D2DE1" w14:textId="77777777" w:rsidR="001702CF" w:rsidRPr="001702CF" w:rsidRDefault="001702CF" w:rsidP="00A265E6">
            <w:pPr>
              <w:keepNext/>
              <w:jc w:val="center"/>
              <w:rPr>
                <w:color w:val="000000"/>
                <w:sz w:val="20"/>
                <w:szCs w:val="20"/>
              </w:rPr>
            </w:pPr>
            <w:r w:rsidRPr="001702CF">
              <w:rPr>
                <w:color w:val="000000"/>
                <w:sz w:val="20"/>
                <w:szCs w:val="20"/>
              </w:rPr>
              <w:t>.490</w:t>
            </w:r>
          </w:p>
        </w:tc>
        <w:tc>
          <w:tcPr>
            <w:tcW w:w="1038" w:type="dxa"/>
            <w:tcBorders>
              <w:left w:val="single" w:sz="8" w:space="0" w:color="auto"/>
            </w:tcBorders>
            <w:vAlign w:val="center"/>
          </w:tcPr>
          <w:p w14:paraId="7675E388"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0</w:t>
            </w:r>
          </w:p>
        </w:tc>
        <w:tc>
          <w:tcPr>
            <w:tcW w:w="1037" w:type="dxa"/>
            <w:vAlign w:val="center"/>
          </w:tcPr>
          <w:p w14:paraId="23A6CD99"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1</w:t>
            </w:r>
          </w:p>
        </w:tc>
        <w:tc>
          <w:tcPr>
            <w:tcW w:w="1038" w:type="dxa"/>
            <w:vAlign w:val="center"/>
          </w:tcPr>
          <w:p w14:paraId="512A1D5B"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.41</w:t>
            </w:r>
          </w:p>
        </w:tc>
        <w:tc>
          <w:tcPr>
            <w:tcW w:w="1038" w:type="dxa"/>
            <w:tcBorders>
              <w:top w:val="nil"/>
              <w:bottom w:val="nil"/>
              <w:right w:val="nil"/>
            </w:tcBorders>
            <w:vAlign w:val="center"/>
          </w:tcPr>
          <w:p w14:paraId="57B4FD6E"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.493</w:t>
            </w:r>
          </w:p>
        </w:tc>
      </w:tr>
      <w:tr w:rsidR="001702CF" w:rsidRPr="001702CF" w14:paraId="325F3D55" w14:textId="77777777" w:rsidTr="00A265E6">
        <w:trPr>
          <w:trHeight w:val="460"/>
        </w:trPr>
        <w:tc>
          <w:tcPr>
            <w:tcW w:w="1435" w:type="dxa"/>
            <w:tcBorders>
              <w:right w:val="single" w:sz="8" w:space="0" w:color="auto"/>
            </w:tcBorders>
            <w:vAlign w:val="center"/>
          </w:tcPr>
          <w:p w14:paraId="0FD63ED1" w14:textId="77777777" w:rsidR="001702CF" w:rsidRPr="004D7AD7" w:rsidRDefault="001702CF" w:rsidP="00A265E6">
            <w:pPr>
              <w:keepNext/>
              <w:jc w:val="center"/>
              <w:rPr>
                <w:color w:val="000000"/>
                <w:sz w:val="20"/>
                <w:szCs w:val="20"/>
              </w:rPr>
            </w:pPr>
            <w:r w:rsidRPr="004D7AD7">
              <w:rPr>
                <w:color w:val="000000"/>
                <w:sz w:val="20"/>
                <w:szCs w:val="20"/>
              </w:rPr>
              <w:t>LEV</w:t>
            </w:r>
          </w:p>
        </w:tc>
        <w:tc>
          <w:tcPr>
            <w:tcW w:w="1037" w:type="dxa"/>
            <w:tcBorders>
              <w:left w:val="single" w:sz="8" w:space="0" w:color="auto"/>
              <w:bottom w:val="single" w:sz="8" w:space="0" w:color="auto"/>
            </w:tcBorders>
            <w:vAlign w:val="center"/>
          </w:tcPr>
          <w:p w14:paraId="2934A22E" w14:textId="77777777" w:rsidR="001702CF" w:rsidRPr="001702CF" w:rsidRDefault="001702CF" w:rsidP="00A265E6">
            <w:pPr>
              <w:keepNext/>
              <w:jc w:val="center"/>
              <w:rPr>
                <w:color w:val="000000"/>
                <w:sz w:val="20"/>
                <w:szCs w:val="20"/>
              </w:rPr>
            </w:pPr>
            <w:r w:rsidRPr="001702CF">
              <w:rPr>
                <w:color w:val="000000"/>
                <w:sz w:val="20"/>
                <w:szCs w:val="20"/>
              </w:rPr>
              <w:t>0</w:t>
            </w:r>
          </w:p>
        </w:tc>
        <w:tc>
          <w:tcPr>
            <w:tcW w:w="1038" w:type="dxa"/>
            <w:tcBorders>
              <w:bottom w:val="single" w:sz="8" w:space="0" w:color="auto"/>
            </w:tcBorders>
            <w:vAlign w:val="center"/>
          </w:tcPr>
          <w:p w14:paraId="633E98C6" w14:textId="77777777" w:rsidR="001702CF" w:rsidRPr="001702CF" w:rsidRDefault="001702CF" w:rsidP="00A265E6">
            <w:pPr>
              <w:keepNext/>
              <w:jc w:val="center"/>
              <w:rPr>
                <w:color w:val="000000"/>
                <w:sz w:val="20"/>
                <w:szCs w:val="20"/>
              </w:rPr>
            </w:pPr>
            <w:r w:rsidRPr="001702CF">
              <w:rPr>
                <w:color w:val="000000"/>
                <w:sz w:val="20"/>
                <w:szCs w:val="20"/>
              </w:rPr>
              <w:t>217.756</w:t>
            </w:r>
          </w:p>
        </w:tc>
        <w:tc>
          <w:tcPr>
            <w:tcW w:w="1038" w:type="dxa"/>
            <w:tcBorders>
              <w:bottom w:val="single" w:sz="8" w:space="0" w:color="auto"/>
            </w:tcBorders>
            <w:vAlign w:val="center"/>
          </w:tcPr>
          <w:p w14:paraId="7377CA81" w14:textId="77777777" w:rsidR="001702CF" w:rsidRPr="001702CF" w:rsidRDefault="001702CF" w:rsidP="00A265E6">
            <w:pPr>
              <w:keepNext/>
              <w:jc w:val="center"/>
              <w:rPr>
                <w:color w:val="000000"/>
                <w:sz w:val="20"/>
                <w:szCs w:val="20"/>
              </w:rPr>
            </w:pPr>
            <w:r w:rsidRPr="001702CF">
              <w:rPr>
                <w:color w:val="000000"/>
                <w:sz w:val="20"/>
                <w:szCs w:val="20"/>
              </w:rPr>
              <w:t>55.098</w:t>
            </w:r>
          </w:p>
        </w:tc>
        <w:tc>
          <w:tcPr>
            <w:tcW w:w="1037" w:type="dxa"/>
            <w:tcBorders>
              <w:bottom w:val="single" w:sz="8" w:space="0" w:color="auto"/>
              <w:right w:val="single" w:sz="8" w:space="0" w:color="auto"/>
            </w:tcBorders>
            <w:vAlign w:val="center"/>
          </w:tcPr>
          <w:p w14:paraId="55A0AA40" w14:textId="77777777" w:rsidR="001702CF" w:rsidRPr="001702CF" w:rsidRDefault="001702CF" w:rsidP="00A265E6">
            <w:pPr>
              <w:keepNext/>
              <w:jc w:val="center"/>
              <w:rPr>
                <w:color w:val="000000"/>
                <w:sz w:val="20"/>
                <w:szCs w:val="20"/>
              </w:rPr>
            </w:pPr>
            <w:r w:rsidRPr="001702CF">
              <w:rPr>
                <w:color w:val="000000"/>
                <w:sz w:val="20"/>
                <w:szCs w:val="20"/>
              </w:rPr>
              <w:t>23.242</w:t>
            </w:r>
          </w:p>
        </w:tc>
        <w:tc>
          <w:tcPr>
            <w:tcW w:w="1038" w:type="dxa"/>
            <w:tcBorders>
              <w:left w:val="single" w:sz="8" w:space="0" w:color="auto"/>
            </w:tcBorders>
            <w:vAlign w:val="center"/>
          </w:tcPr>
          <w:p w14:paraId="0FB04EF7" w14:textId="77777777" w:rsidR="001702CF" w:rsidRPr="001702CF" w:rsidRDefault="001702CF" w:rsidP="00A265E6">
            <w:pPr>
              <w:keepNext/>
              <w:jc w:val="center"/>
              <w:rPr>
                <w:color w:val="000000"/>
                <w:sz w:val="20"/>
                <w:szCs w:val="20"/>
              </w:rPr>
            </w:pPr>
            <w:r w:rsidRPr="001702CF">
              <w:rPr>
                <w:color w:val="000000"/>
                <w:sz w:val="20"/>
                <w:szCs w:val="20"/>
              </w:rPr>
              <w:t>0</w:t>
            </w:r>
          </w:p>
        </w:tc>
        <w:tc>
          <w:tcPr>
            <w:tcW w:w="1038" w:type="dxa"/>
            <w:vAlign w:val="center"/>
          </w:tcPr>
          <w:p w14:paraId="79D21AEA" w14:textId="77777777" w:rsidR="001702CF" w:rsidRPr="001702CF" w:rsidRDefault="001702CF" w:rsidP="00A265E6">
            <w:pPr>
              <w:keepNext/>
              <w:jc w:val="center"/>
              <w:rPr>
                <w:color w:val="000000"/>
                <w:sz w:val="20"/>
                <w:szCs w:val="20"/>
              </w:rPr>
            </w:pPr>
            <w:r w:rsidRPr="001702CF">
              <w:rPr>
                <w:color w:val="000000"/>
                <w:sz w:val="20"/>
                <w:szCs w:val="20"/>
              </w:rPr>
              <w:t>102.085</w:t>
            </w:r>
          </w:p>
        </w:tc>
        <w:tc>
          <w:tcPr>
            <w:tcW w:w="1037" w:type="dxa"/>
            <w:vAlign w:val="center"/>
          </w:tcPr>
          <w:p w14:paraId="0C5F8443" w14:textId="77777777" w:rsidR="001702CF" w:rsidRPr="001702CF" w:rsidRDefault="001702CF" w:rsidP="00A265E6">
            <w:pPr>
              <w:keepNext/>
              <w:jc w:val="center"/>
              <w:rPr>
                <w:color w:val="000000"/>
                <w:sz w:val="20"/>
                <w:szCs w:val="20"/>
              </w:rPr>
            </w:pPr>
            <w:r w:rsidRPr="001702CF">
              <w:rPr>
                <w:color w:val="000000"/>
                <w:sz w:val="20"/>
                <w:szCs w:val="20"/>
              </w:rPr>
              <w:t>54.626</w:t>
            </w:r>
          </w:p>
        </w:tc>
        <w:tc>
          <w:tcPr>
            <w:tcW w:w="1038" w:type="dxa"/>
            <w:tcBorders>
              <w:right w:val="single" w:sz="8" w:space="0" w:color="auto"/>
            </w:tcBorders>
            <w:vAlign w:val="center"/>
          </w:tcPr>
          <w:p w14:paraId="4761BE8E" w14:textId="77777777" w:rsidR="001702CF" w:rsidRPr="001702CF" w:rsidRDefault="001702CF" w:rsidP="00A265E6">
            <w:pPr>
              <w:keepNext/>
              <w:jc w:val="center"/>
              <w:rPr>
                <w:color w:val="000000"/>
                <w:sz w:val="20"/>
                <w:szCs w:val="20"/>
              </w:rPr>
            </w:pPr>
            <w:r w:rsidRPr="001702CF">
              <w:rPr>
                <w:color w:val="000000"/>
                <w:sz w:val="20"/>
                <w:szCs w:val="20"/>
              </w:rPr>
              <w:t>21.851</w:t>
            </w:r>
          </w:p>
        </w:tc>
        <w:tc>
          <w:tcPr>
            <w:tcW w:w="1038" w:type="dxa"/>
            <w:tcBorders>
              <w:left w:val="single" w:sz="8" w:space="0" w:color="auto"/>
              <w:bottom w:val="single" w:sz="8" w:space="0" w:color="auto"/>
            </w:tcBorders>
            <w:vAlign w:val="center"/>
          </w:tcPr>
          <w:p w14:paraId="0BD81A9E"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0</w:t>
            </w:r>
          </w:p>
        </w:tc>
        <w:tc>
          <w:tcPr>
            <w:tcW w:w="1037" w:type="dxa"/>
            <w:tcBorders>
              <w:bottom w:val="single" w:sz="8" w:space="0" w:color="auto"/>
            </w:tcBorders>
            <w:vAlign w:val="center"/>
          </w:tcPr>
          <w:p w14:paraId="7C81C861" w14:textId="77777777" w:rsidR="001702CF" w:rsidRPr="001702CF" w:rsidRDefault="001702CF" w:rsidP="00A265E6">
            <w:pPr>
              <w:autoSpaceDE w:val="0"/>
              <w:autoSpaceDN w:val="0"/>
              <w:adjustRightInd w:val="0"/>
              <w:jc w:val="center"/>
              <w:rPr>
                <w:rFonts w:eastAsia="Calibri"/>
                <w:color w:val="000000"/>
                <w:sz w:val="20"/>
                <w:szCs w:val="20"/>
                <w:lang w:eastAsia="en-AU"/>
              </w:rPr>
            </w:pPr>
            <w:r w:rsidRPr="001702CF">
              <w:rPr>
                <w:color w:val="000000"/>
                <w:sz w:val="20"/>
                <w:szCs w:val="20"/>
              </w:rPr>
              <w:t>217.756</w:t>
            </w:r>
          </w:p>
        </w:tc>
        <w:tc>
          <w:tcPr>
            <w:tcW w:w="1038" w:type="dxa"/>
            <w:tcBorders>
              <w:bottom w:val="single" w:sz="8" w:space="0" w:color="auto"/>
            </w:tcBorders>
            <w:vAlign w:val="center"/>
          </w:tcPr>
          <w:p w14:paraId="19F13F28"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55.569</w:t>
            </w:r>
          </w:p>
        </w:tc>
        <w:tc>
          <w:tcPr>
            <w:tcW w:w="1038" w:type="dxa"/>
            <w:tcBorders>
              <w:top w:val="nil"/>
              <w:bottom w:val="single" w:sz="8" w:space="0" w:color="auto"/>
              <w:right w:val="nil"/>
            </w:tcBorders>
            <w:vAlign w:val="center"/>
          </w:tcPr>
          <w:p w14:paraId="57109634" w14:textId="77777777" w:rsidR="001702CF" w:rsidRPr="001702CF" w:rsidRDefault="001702CF" w:rsidP="00A265E6">
            <w:pPr>
              <w:autoSpaceDE w:val="0"/>
              <w:autoSpaceDN w:val="0"/>
              <w:adjustRightInd w:val="0"/>
              <w:ind w:left="54" w:right="54"/>
              <w:jc w:val="center"/>
              <w:rPr>
                <w:rFonts w:eastAsia="Calibri"/>
                <w:color w:val="000000"/>
                <w:sz w:val="20"/>
                <w:szCs w:val="20"/>
                <w:lang w:eastAsia="en-AU"/>
              </w:rPr>
            </w:pPr>
            <w:r w:rsidRPr="001702CF">
              <w:rPr>
                <w:color w:val="000000"/>
                <w:sz w:val="20"/>
                <w:szCs w:val="20"/>
              </w:rPr>
              <w:t>24.616</w:t>
            </w:r>
          </w:p>
        </w:tc>
      </w:tr>
    </w:tbl>
    <w:p w14:paraId="0C3E6436" w14:textId="77777777" w:rsidR="001702CF" w:rsidRPr="00B95A3A" w:rsidRDefault="001702CF" w:rsidP="00372057">
      <w:pPr>
        <w:pStyle w:val="Style2"/>
        <w:spacing w:after="0" w:line="360" w:lineRule="exact"/>
        <w:jc w:val="center"/>
        <w:rPr>
          <w:rFonts w:ascii="Times New Roman" w:hAnsi="Times New Roman"/>
          <w:sz w:val="26"/>
          <w:szCs w:val="24"/>
        </w:rPr>
      </w:pPr>
    </w:p>
    <w:p w14:paraId="572DA344" w14:textId="71E61185" w:rsidR="00540656" w:rsidRDefault="00540656">
      <w:pPr>
        <w:rPr>
          <w:rFonts w:eastAsia="Calibri"/>
          <w:b/>
          <w:color w:val="000000"/>
          <w:sz w:val="26"/>
        </w:rPr>
      </w:pPr>
      <w:r>
        <w:rPr>
          <w:rFonts w:eastAsia="Calibri"/>
          <w:b/>
          <w:color w:val="000000"/>
          <w:sz w:val="26"/>
        </w:rPr>
        <w:br w:type="page"/>
      </w:r>
    </w:p>
    <w:p w14:paraId="223B19A6" w14:textId="77777777" w:rsidR="005E2771" w:rsidRPr="00F40242" w:rsidRDefault="005E2771" w:rsidP="0011086F">
      <w:pPr>
        <w:autoSpaceDE w:val="0"/>
        <w:autoSpaceDN w:val="0"/>
        <w:adjustRightInd w:val="0"/>
        <w:spacing w:line="360" w:lineRule="exact"/>
        <w:jc w:val="both"/>
        <w:rPr>
          <w:rFonts w:eastAsia="Calibri"/>
          <w:b/>
          <w:color w:val="000000"/>
          <w:sz w:val="26"/>
        </w:rPr>
      </w:pPr>
    </w:p>
    <w:p w14:paraId="11EFC96F" w14:textId="40EC9D7D" w:rsidR="00034B97" w:rsidRPr="00B95A3A" w:rsidRDefault="00B95A3A" w:rsidP="005C3281">
      <w:pPr>
        <w:spacing w:line="360" w:lineRule="exact"/>
        <w:jc w:val="center"/>
        <w:rPr>
          <w:b/>
          <w:sz w:val="26"/>
        </w:rPr>
      </w:pPr>
      <w:r w:rsidRPr="00B95A3A">
        <w:rPr>
          <w:b/>
          <w:sz w:val="26"/>
        </w:rPr>
        <w:t xml:space="preserve">Table </w:t>
      </w:r>
      <w:proofErr w:type="gramStart"/>
      <w:r w:rsidRPr="00B95A3A">
        <w:rPr>
          <w:b/>
          <w:sz w:val="26"/>
        </w:rPr>
        <w:t>4</w:t>
      </w:r>
      <w:r w:rsidRPr="00B95A3A">
        <w:rPr>
          <w:rFonts w:eastAsiaTheme="minorEastAsia" w:hint="eastAsia"/>
          <w:b/>
          <w:sz w:val="26"/>
          <w:lang w:eastAsia="zh-TW"/>
        </w:rPr>
        <w:t xml:space="preserve"> </w:t>
      </w:r>
      <w:r w:rsidR="00830932">
        <w:rPr>
          <w:rFonts w:eastAsiaTheme="minorEastAsia"/>
          <w:b/>
          <w:sz w:val="26"/>
          <w:lang w:eastAsia="zh-TW"/>
        </w:rPr>
        <w:t xml:space="preserve"> </w:t>
      </w:r>
      <w:r w:rsidR="00034B97" w:rsidRPr="00B95A3A">
        <w:rPr>
          <w:b/>
          <w:sz w:val="26"/>
        </w:rPr>
        <w:t>Pearson</w:t>
      </w:r>
      <w:proofErr w:type="gramEnd"/>
      <w:r w:rsidR="00034B97" w:rsidRPr="00B95A3A">
        <w:rPr>
          <w:b/>
          <w:sz w:val="26"/>
        </w:rPr>
        <w:t xml:space="preserve"> Correlation Matrix for Explanatory Variables</w:t>
      </w:r>
    </w:p>
    <w:tbl>
      <w:tblPr>
        <w:tblStyle w:val="13"/>
        <w:tblpPr w:leftFromText="180" w:rightFromText="180" w:vertAnchor="text" w:horzAnchor="margin" w:tblpY="41"/>
        <w:tblW w:w="14170" w:type="dxa"/>
        <w:tblLayout w:type="fixed"/>
        <w:tblLook w:val="0000" w:firstRow="0" w:lastRow="0" w:firstColumn="0" w:lastColumn="0" w:noHBand="0" w:noVBand="0"/>
      </w:tblPr>
      <w:tblGrid>
        <w:gridCol w:w="1417"/>
        <w:gridCol w:w="1417"/>
        <w:gridCol w:w="1417"/>
        <w:gridCol w:w="1417"/>
        <w:gridCol w:w="1417"/>
        <w:gridCol w:w="1417"/>
        <w:gridCol w:w="1417"/>
        <w:gridCol w:w="1417"/>
        <w:gridCol w:w="1417"/>
        <w:gridCol w:w="1417"/>
      </w:tblGrid>
      <w:tr w:rsidR="000803DE" w:rsidRPr="002262E0" w14:paraId="3F59B1F1" w14:textId="77777777" w:rsidTr="001B4C56">
        <w:trPr>
          <w:trHeight w:val="479"/>
        </w:trPr>
        <w:tc>
          <w:tcPr>
            <w:tcW w:w="1417" w:type="dxa"/>
            <w:tcBorders>
              <w:top w:val="single" w:sz="4" w:space="0" w:color="auto"/>
              <w:bottom w:val="single" w:sz="4" w:space="0" w:color="auto"/>
            </w:tcBorders>
          </w:tcPr>
          <w:p w14:paraId="31FB1D48" w14:textId="77777777" w:rsidR="000803DE" w:rsidRPr="008D2090" w:rsidRDefault="000803DE" w:rsidP="0011086F">
            <w:pPr>
              <w:autoSpaceDE w:val="0"/>
              <w:autoSpaceDN w:val="0"/>
              <w:adjustRightInd w:val="0"/>
              <w:spacing w:line="360" w:lineRule="exact"/>
              <w:ind w:left="53" w:right="53"/>
              <w:jc w:val="both"/>
              <w:rPr>
                <w:rFonts w:eastAsiaTheme="minorHAnsi"/>
                <w:b/>
                <w:color w:val="000000"/>
              </w:rPr>
            </w:pPr>
          </w:p>
        </w:tc>
        <w:tc>
          <w:tcPr>
            <w:tcW w:w="1417" w:type="dxa"/>
            <w:tcBorders>
              <w:top w:val="single" w:sz="4" w:space="0" w:color="auto"/>
              <w:bottom w:val="single" w:sz="4" w:space="0" w:color="auto"/>
            </w:tcBorders>
          </w:tcPr>
          <w:p w14:paraId="099F2DC0" w14:textId="4570CA20" w:rsidR="000803DE" w:rsidRPr="008D2090" w:rsidRDefault="000803DE" w:rsidP="00B95A3A">
            <w:pPr>
              <w:autoSpaceDE w:val="0"/>
              <w:autoSpaceDN w:val="0"/>
              <w:adjustRightInd w:val="0"/>
              <w:spacing w:line="360" w:lineRule="exact"/>
              <w:ind w:left="53" w:right="53"/>
              <w:jc w:val="center"/>
              <w:rPr>
                <w:rFonts w:eastAsiaTheme="minorHAnsi"/>
                <w:b/>
                <w:color w:val="000000"/>
              </w:rPr>
            </w:pPr>
            <w:r w:rsidRPr="008D2090">
              <w:rPr>
                <w:rFonts w:eastAsiaTheme="minorHAnsi"/>
                <w:b/>
                <w:color w:val="000000"/>
              </w:rPr>
              <w:t>IE</w:t>
            </w:r>
          </w:p>
        </w:tc>
        <w:tc>
          <w:tcPr>
            <w:tcW w:w="1417" w:type="dxa"/>
            <w:tcBorders>
              <w:top w:val="single" w:sz="4" w:space="0" w:color="auto"/>
              <w:bottom w:val="single" w:sz="4" w:space="0" w:color="auto"/>
            </w:tcBorders>
          </w:tcPr>
          <w:p w14:paraId="3AAAC304" w14:textId="77777777" w:rsidR="000803DE" w:rsidRPr="008D2090" w:rsidRDefault="000803DE" w:rsidP="00B95A3A">
            <w:pPr>
              <w:autoSpaceDE w:val="0"/>
              <w:autoSpaceDN w:val="0"/>
              <w:adjustRightInd w:val="0"/>
              <w:spacing w:line="360" w:lineRule="exact"/>
              <w:ind w:left="53" w:right="53"/>
              <w:jc w:val="center"/>
              <w:rPr>
                <w:rFonts w:eastAsiaTheme="minorHAnsi"/>
                <w:b/>
                <w:color w:val="000000"/>
              </w:rPr>
            </w:pPr>
            <w:r w:rsidRPr="008D2090">
              <w:rPr>
                <w:rFonts w:eastAsiaTheme="minorHAnsi"/>
                <w:b/>
                <w:color w:val="000000"/>
              </w:rPr>
              <w:t>ROA</w:t>
            </w:r>
          </w:p>
        </w:tc>
        <w:tc>
          <w:tcPr>
            <w:tcW w:w="1417" w:type="dxa"/>
            <w:tcBorders>
              <w:top w:val="single" w:sz="4" w:space="0" w:color="auto"/>
              <w:bottom w:val="single" w:sz="4" w:space="0" w:color="auto"/>
            </w:tcBorders>
          </w:tcPr>
          <w:p w14:paraId="440846FF" w14:textId="13071029" w:rsidR="000803DE" w:rsidRPr="008D2090" w:rsidRDefault="000803DE" w:rsidP="00B95A3A">
            <w:pPr>
              <w:autoSpaceDE w:val="0"/>
              <w:autoSpaceDN w:val="0"/>
              <w:adjustRightInd w:val="0"/>
              <w:spacing w:line="360" w:lineRule="exact"/>
              <w:ind w:left="53" w:right="53"/>
              <w:jc w:val="center"/>
              <w:rPr>
                <w:rFonts w:eastAsiaTheme="minorHAnsi"/>
                <w:b/>
                <w:color w:val="000000"/>
              </w:rPr>
            </w:pPr>
            <w:r w:rsidRPr="008D2090">
              <w:rPr>
                <w:rFonts w:eastAsiaTheme="minorHAnsi"/>
                <w:b/>
                <w:color w:val="000000"/>
              </w:rPr>
              <w:t>TA</w:t>
            </w:r>
          </w:p>
        </w:tc>
        <w:tc>
          <w:tcPr>
            <w:tcW w:w="1417" w:type="dxa"/>
            <w:tcBorders>
              <w:top w:val="single" w:sz="4" w:space="0" w:color="auto"/>
              <w:bottom w:val="single" w:sz="4" w:space="0" w:color="auto"/>
            </w:tcBorders>
          </w:tcPr>
          <w:p w14:paraId="0C98769D" w14:textId="77777777" w:rsidR="000803DE" w:rsidRPr="008D2090" w:rsidRDefault="000803DE" w:rsidP="00B95A3A">
            <w:pPr>
              <w:autoSpaceDE w:val="0"/>
              <w:autoSpaceDN w:val="0"/>
              <w:adjustRightInd w:val="0"/>
              <w:spacing w:line="360" w:lineRule="exact"/>
              <w:ind w:left="53" w:right="53"/>
              <w:jc w:val="center"/>
              <w:rPr>
                <w:rFonts w:eastAsiaTheme="minorHAnsi"/>
                <w:b/>
                <w:color w:val="000000"/>
              </w:rPr>
            </w:pPr>
            <w:r w:rsidRPr="008D2090">
              <w:rPr>
                <w:rFonts w:eastAsiaTheme="minorHAnsi"/>
                <w:b/>
                <w:color w:val="000000"/>
              </w:rPr>
              <w:t>CIND</w:t>
            </w:r>
          </w:p>
        </w:tc>
        <w:tc>
          <w:tcPr>
            <w:tcW w:w="1417" w:type="dxa"/>
            <w:tcBorders>
              <w:top w:val="single" w:sz="4" w:space="0" w:color="auto"/>
              <w:bottom w:val="single" w:sz="4" w:space="0" w:color="auto"/>
            </w:tcBorders>
          </w:tcPr>
          <w:p w14:paraId="500B0D92" w14:textId="77777777" w:rsidR="000803DE" w:rsidRPr="008D2090" w:rsidRDefault="000803DE" w:rsidP="00B95A3A">
            <w:pPr>
              <w:autoSpaceDE w:val="0"/>
              <w:autoSpaceDN w:val="0"/>
              <w:adjustRightInd w:val="0"/>
              <w:spacing w:line="360" w:lineRule="exact"/>
              <w:ind w:left="53" w:right="53"/>
              <w:jc w:val="center"/>
              <w:rPr>
                <w:rFonts w:eastAsiaTheme="minorHAnsi"/>
                <w:b/>
                <w:color w:val="000000"/>
              </w:rPr>
            </w:pPr>
            <w:r w:rsidRPr="008D2090">
              <w:rPr>
                <w:rFonts w:eastAsiaTheme="minorHAnsi"/>
                <w:b/>
                <w:color w:val="000000"/>
              </w:rPr>
              <w:t>ITIND</w:t>
            </w:r>
          </w:p>
        </w:tc>
        <w:tc>
          <w:tcPr>
            <w:tcW w:w="1417" w:type="dxa"/>
            <w:tcBorders>
              <w:top w:val="single" w:sz="4" w:space="0" w:color="auto"/>
              <w:bottom w:val="single" w:sz="4" w:space="0" w:color="auto"/>
            </w:tcBorders>
          </w:tcPr>
          <w:p w14:paraId="53147E24" w14:textId="77777777" w:rsidR="000803DE" w:rsidRPr="008D2090" w:rsidRDefault="000803DE" w:rsidP="00B95A3A">
            <w:pPr>
              <w:autoSpaceDE w:val="0"/>
              <w:autoSpaceDN w:val="0"/>
              <w:adjustRightInd w:val="0"/>
              <w:spacing w:line="360" w:lineRule="exact"/>
              <w:ind w:left="53" w:right="53"/>
              <w:jc w:val="center"/>
              <w:rPr>
                <w:rFonts w:eastAsiaTheme="minorHAnsi"/>
                <w:b/>
                <w:color w:val="000000"/>
              </w:rPr>
            </w:pPr>
            <w:r w:rsidRPr="008D2090">
              <w:rPr>
                <w:rFonts w:eastAsiaTheme="minorHAnsi"/>
                <w:b/>
                <w:color w:val="000000"/>
              </w:rPr>
              <w:t>FPIND</w:t>
            </w:r>
          </w:p>
        </w:tc>
        <w:tc>
          <w:tcPr>
            <w:tcW w:w="1417" w:type="dxa"/>
            <w:tcBorders>
              <w:top w:val="single" w:sz="4" w:space="0" w:color="auto"/>
              <w:bottom w:val="single" w:sz="4" w:space="0" w:color="auto"/>
            </w:tcBorders>
          </w:tcPr>
          <w:p w14:paraId="54381EB1" w14:textId="77777777" w:rsidR="000803DE" w:rsidRPr="008D2090" w:rsidRDefault="000803DE" w:rsidP="00B95A3A">
            <w:pPr>
              <w:autoSpaceDE w:val="0"/>
              <w:autoSpaceDN w:val="0"/>
              <w:adjustRightInd w:val="0"/>
              <w:spacing w:line="360" w:lineRule="exact"/>
              <w:ind w:left="53" w:right="53"/>
              <w:jc w:val="center"/>
              <w:rPr>
                <w:rFonts w:eastAsiaTheme="minorHAnsi"/>
                <w:b/>
                <w:color w:val="000000"/>
              </w:rPr>
            </w:pPr>
            <w:r w:rsidRPr="008D2090">
              <w:rPr>
                <w:rFonts w:eastAsiaTheme="minorHAnsi"/>
                <w:b/>
                <w:color w:val="000000"/>
              </w:rPr>
              <w:t>AGE</w:t>
            </w:r>
          </w:p>
        </w:tc>
        <w:tc>
          <w:tcPr>
            <w:tcW w:w="1417" w:type="dxa"/>
            <w:tcBorders>
              <w:top w:val="single" w:sz="4" w:space="0" w:color="auto"/>
              <w:bottom w:val="single" w:sz="4" w:space="0" w:color="auto"/>
            </w:tcBorders>
          </w:tcPr>
          <w:p w14:paraId="07FE508F" w14:textId="77777777" w:rsidR="000803DE" w:rsidRPr="008D2090" w:rsidRDefault="000803DE" w:rsidP="00B95A3A">
            <w:pPr>
              <w:autoSpaceDE w:val="0"/>
              <w:autoSpaceDN w:val="0"/>
              <w:adjustRightInd w:val="0"/>
              <w:spacing w:line="360" w:lineRule="exact"/>
              <w:ind w:left="53" w:right="53"/>
              <w:jc w:val="center"/>
              <w:rPr>
                <w:rFonts w:eastAsiaTheme="minorHAnsi"/>
                <w:b/>
                <w:color w:val="000000"/>
              </w:rPr>
            </w:pPr>
            <w:r w:rsidRPr="008D2090">
              <w:rPr>
                <w:rFonts w:eastAsiaTheme="minorHAnsi"/>
                <w:b/>
                <w:color w:val="000000"/>
              </w:rPr>
              <w:t>CP</w:t>
            </w:r>
          </w:p>
        </w:tc>
        <w:tc>
          <w:tcPr>
            <w:tcW w:w="1417" w:type="dxa"/>
            <w:tcBorders>
              <w:top w:val="single" w:sz="4" w:space="0" w:color="auto"/>
              <w:bottom w:val="single" w:sz="4" w:space="0" w:color="auto"/>
            </w:tcBorders>
          </w:tcPr>
          <w:p w14:paraId="426532C6" w14:textId="77777777" w:rsidR="000803DE" w:rsidRPr="008D2090" w:rsidRDefault="000803DE" w:rsidP="00B95A3A">
            <w:pPr>
              <w:autoSpaceDE w:val="0"/>
              <w:autoSpaceDN w:val="0"/>
              <w:adjustRightInd w:val="0"/>
              <w:spacing w:line="360" w:lineRule="exact"/>
              <w:ind w:left="53" w:right="53"/>
              <w:jc w:val="center"/>
              <w:rPr>
                <w:rFonts w:eastAsiaTheme="minorHAnsi"/>
                <w:b/>
                <w:color w:val="000000"/>
              </w:rPr>
            </w:pPr>
            <w:r w:rsidRPr="008D2090">
              <w:rPr>
                <w:rFonts w:eastAsiaTheme="minorHAnsi"/>
                <w:b/>
                <w:color w:val="000000"/>
              </w:rPr>
              <w:t>LEV</w:t>
            </w:r>
          </w:p>
        </w:tc>
      </w:tr>
      <w:tr w:rsidR="000803DE" w:rsidRPr="002262E0" w14:paraId="1F5BAABA" w14:textId="77777777" w:rsidTr="001B4C56">
        <w:trPr>
          <w:trHeight w:val="479"/>
        </w:trPr>
        <w:tc>
          <w:tcPr>
            <w:tcW w:w="1417" w:type="dxa"/>
            <w:tcBorders>
              <w:top w:val="single" w:sz="4" w:space="0" w:color="auto"/>
            </w:tcBorders>
          </w:tcPr>
          <w:p w14:paraId="6F0C467C" w14:textId="22BB2D4C"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IE</w:t>
            </w:r>
          </w:p>
        </w:tc>
        <w:tc>
          <w:tcPr>
            <w:tcW w:w="1417" w:type="dxa"/>
            <w:tcBorders>
              <w:top w:val="single" w:sz="4" w:space="0" w:color="auto"/>
            </w:tcBorders>
          </w:tcPr>
          <w:p w14:paraId="44F8FE61"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1</w:t>
            </w:r>
          </w:p>
        </w:tc>
        <w:tc>
          <w:tcPr>
            <w:tcW w:w="1417" w:type="dxa"/>
            <w:tcBorders>
              <w:top w:val="single" w:sz="4" w:space="0" w:color="auto"/>
            </w:tcBorders>
          </w:tcPr>
          <w:p w14:paraId="1F43A87B"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Borders>
              <w:top w:val="single" w:sz="4" w:space="0" w:color="auto"/>
            </w:tcBorders>
          </w:tcPr>
          <w:p w14:paraId="01A336FA"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Borders>
              <w:top w:val="single" w:sz="4" w:space="0" w:color="auto"/>
            </w:tcBorders>
          </w:tcPr>
          <w:p w14:paraId="6D80C273"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Borders>
              <w:top w:val="single" w:sz="4" w:space="0" w:color="auto"/>
            </w:tcBorders>
          </w:tcPr>
          <w:p w14:paraId="7FB0A75E"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Borders>
              <w:top w:val="single" w:sz="4" w:space="0" w:color="auto"/>
            </w:tcBorders>
          </w:tcPr>
          <w:p w14:paraId="3711B49D"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Borders>
              <w:top w:val="single" w:sz="4" w:space="0" w:color="auto"/>
            </w:tcBorders>
          </w:tcPr>
          <w:p w14:paraId="3D4AC16E"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Borders>
              <w:top w:val="single" w:sz="4" w:space="0" w:color="auto"/>
            </w:tcBorders>
          </w:tcPr>
          <w:p w14:paraId="77EB5CFE"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Borders>
              <w:top w:val="single" w:sz="4" w:space="0" w:color="auto"/>
            </w:tcBorders>
          </w:tcPr>
          <w:p w14:paraId="1B5B79C8"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r>
      <w:tr w:rsidR="000803DE" w:rsidRPr="002262E0" w14:paraId="1F092BE1" w14:textId="77777777" w:rsidTr="001B4C56">
        <w:trPr>
          <w:trHeight w:val="479"/>
        </w:trPr>
        <w:tc>
          <w:tcPr>
            <w:tcW w:w="1417" w:type="dxa"/>
          </w:tcPr>
          <w:p w14:paraId="1AB15679"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ROA</w:t>
            </w:r>
          </w:p>
        </w:tc>
        <w:tc>
          <w:tcPr>
            <w:tcW w:w="1417" w:type="dxa"/>
          </w:tcPr>
          <w:p w14:paraId="204F1C94"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0.102*</w:t>
            </w:r>
          </w:p>
        </w:tc>
        <w:tc>
          <w:tcPr>
            <w:tcW w:w="1417" w:type="dxa"/>
          </w:tcPr>
          <w:p w14:paraId="16080B39"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1</w:t>
            </w:r>
          </w:p>
        </w:tc>
        <w:tc>
          <w:tcPr>
            <w:tcW w:w="1417" w:type="dxa"/>
          </w:tcPr>
          <w:p w14:paraId="4DA338B0"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Pr>
          <w:p w14:paraId="09C28D82"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Pr>
          <w:p w14:paraId="07BB7857"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Pr>
          <w:p w14:paraId="3E04595A"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Pr>
          <w:p w14:paraId="47E4B0EE"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Pr>
          <w:p w14:paraId="2B646F22"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Pr>
          <w:p w14:paraId="47082891"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r>
      <w:tr w:rsidR="000803DE" w:rsidRPr="002262E0" w14:paraId="6056DC9E" w14:textId="77777777" w:rsidTr="001B4C56">
        <w:trPr>
          <w:trHeight w:val="479"/>
        </w:trPr>
        <w:tc>
          <w:tcPr>
            <w:tcW w:w="1417" w:type="dxa"/>
          </w:tcPr>
          <w:p w14:paraId="3DE50B1D" w14:textId="6AAD5AF5"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TA</w:t>
            </w:r>
          </w:p>
        </w:tc>
        <w:tc>
          <w:tcPr>
            <w:tcW w:w="1417" w:type="dxa"/>
          </w:tcPr>
          <w:p w14:paraId="16E8301A"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0.133**</w:t>
            </w:r>
          </w:p>
        </w:tc>
        <w:tc>
          <w:tcPr>
            <w:tcW w:w="1417" w:type="dxa"/>
          </w:tcPr>
          <w:p w14:paraId="648A23BE"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0.061</w:t>
            </w:r>
          </w:p>
        </w:tc>
        <w:tc>
          <w:tcPr>
            <w:tcW w:w="1417" w:type="dxa"/>
          </w:tcPr>
          <w:p w14:paraId="228A291C"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1</w:t>
            </w:r>
          </w:p>
        </w:tc>
        <w:tc>
          <w:tcPr>
            <w:tcW w:w="1417" w:type="dxa"/>
          </w:tcPr>
          <w:p w14:paraId="2957DF08"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Pr>
          <w:p w14:paraId="2B13F0CD"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Pr>
          <w:p w14:paraId="3709B979"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Pr>
          <w:p w14:paraId="0B1D1800"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Pr>
          <w:p w14:paraId="762E5E96"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Pr>
          <w:p w14:paraId="6BEF8F3C"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r>
      <w:tr w:rsidR="000803DE" w:rsidRPr="002262E0" w14:paraId="32ADB6DC" w14:textId="77777777" w:rsidTr="001B4C56">
        <w:trPr>
          <w:trHeight w:val="479"/>
        </w:trPr>
        <w:tc>
          <w:tcPr>
            <w:tcW w:w="1417" w:type="dxa"/>
          </w:tcPr>
          <w:p w14:paraId="7F5A81EB"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CIND</w:t>
            </w:r>
          </w:p>
        </w:tc>
        <w:tc>
          <w:tcPr>
            <w:tcW w:w="1417" w:type="dxa"/>
          </w:tcPr>
          <w:p w14:paraId="4E37237C"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0.236***</w:t>
            </w:r>
          </w:p>
        </w:tc>
        <w:tc>
          <w:tcPr>
            <w:tcW w:w="1417" w:type="dxa"/>
          </w:tcPr>
          <w:p w14:paraId="3459237D"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0.181***</w:t>
            </w:r>
          </w:p>
        </w:tc>
        <w:tc>
          <w:tcPr>
            <w:tcW w:w="1417" w:type="dxa"/>
          </w:tcPr>
          <w:p w14:paraId="5AB34B46"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0-.058</w:t>
            </w:r>
          </w:p>
        </w:tc>
        <w:tc>
          <w:tcPr>
            <w:tcW w:w="1417" w:type="dxa"/>
          </w:tcPr>
          <w:p w14:paraId="2B5BA69B"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1</w:t>
            </w:r>
          </w:p>
        </w:tc>
        <w:tc>
          <w:tcPr>
            <w:tcW w:w="1417" w:type="dxa"/>
          </w:tcPr>
          <w:p w14:paraId="76134A8B"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Pr>
          <w:p w14:paraId="5D1FA636"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Pr>
          <w:p w14:paraId="22385F3A"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Pr>
          <w:p w14:paraId="67AA0657"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Pr>
          <w:p w14:paraId="00C22262"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r>
      <w:tr w:rsidR="000803DE" w:rsidRPr="002262E0" w14:paraId="49F2369A" w14:textId="77777777" w:rsidTr="001B4C56">
        <w:trPr>
          <w:trHeight w:val="479"/>
        </w:trPr>
        <w:tc>
          <w:tcPr>
            <w:tcW w:w="1417" w:type="dxa"/>
          </w:tcPr>
          <w:p w14:paraId="4D4CE4AC"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ITIND</w:t>
            </w:r>
          </w:p>
        </w:tc>
        <w:tc>
          <w:tcPr>
            <w:tcW w:w="1417" w:type="dxa"/>
          </w:tcPr>
          <w:p w14:paraId="19ED7C28"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-0.129**</w:t>
            </w:r>
          </w:p>
        </w:tc>
        <w:tc>
          <w:tcPr>
            <w:tcW w:w="1417" w:type="dxa"/>
          </w:tcPr>
          <w:p w14:paraId="46C0C846"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0.019</w:t>
            </w:r>
          </w:p>
        </w:tc>
        <w:tc>
          <w:tcPr>
            <w:tcW w:w="1417" w:type="dxa"/>
          </w:tcPr>
          <w:p w14:paraId="6CCFF2AE"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0.171***</w:t>
            </w:r>
          </w:p>
        </w:tc>
        <w:tc>
          <w:tcPr>
            <w:tcW w:w="1417" w:type="dxa"/>
          </w:tcPr>
          <w:p w14:paraId="009DE178"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-0.670***</w:t>
            </w:r>
          </w:p>
        </w:tc>
        <w:tc>
          <w:tcPr>
            <w:tcW w:w="1417" w:type="dxa"/>
          </w:tcPr>
          <w:p w14:paraId="43DF6D91"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1</w:t>
            </w:r>
          </w:p>
        </w:tc>
        <w:tc>
          <w:tcPr>
            <w:tcW w:w="1417" w:type="dxa"/>
          </w:tcPr>
          <w:p w14:paraId="6D7B3DA0"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Pr>
          <w:p w14:paraId="2BF80249"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Pr>
          <w:p w14:paraId="647C785E"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Pr>
          <w:p w14:paraId="1622A3CA"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r>
      <w:tr w:rsidR="000803DE" w:rsidRPr="002262E0" w14:paraId="04F8B2AB" w14:textId="77777777" w:rsidTr="001B4C56">
        <w:trPr>
          <w:trHeight w:val="479"/>
        </w:trPr>
        <w:tc>
          <w:tcPr>
            <w:tcW w:w="1417" w:type="dxa"/>
          </w:tcPr>
          <w:p w14:paraId="6C2590F4"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FPIND</w:t>
            </w:r>
          </w:p>
        </w:tc>
        <w:tc>
          <w:tcPr>
            <w:tcW w:w="1417" w:type="dxa"/>
          </w:tcPr>
          <w:p w14:paraId="7836C6C4"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-.176***</w:t>
            </w:r>
          </w:p>
        </w:tc>
        <w:tc>
          <w:tcPr>
            <w:tcW w:w="1417" w:type="dxa"/>
          </w:tcPr>
          <w:p w14:paraId="68743D38"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-0.261***</w:t>
            </w:r>
          </w:p>
        </w:tc>
        <w:tc>
          <w:tcPr>
            <w:tcW w:w="1417" w:type="dxa"/>
          </w:tcPr>
          <w:p w14:paraId="4E5D7C76"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-0.105*</w:t>
            </w:r>
          </w:p>
        </w:tc>
        <w:tc>
          <w:tcPr>
            <w:tcW w:w="1417" w:type="dxa"/>
          </w:tcPr>
          <w:p w14:paraId="737CA304"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-0.615***</w:t>
            </w:r>
          </w:p>
        </w:tc>
        <w:tc>
          <w:tcPr>
            <w:tcW w:w="1417" w:type="dxa"/>
          </w:tcPr>
          <w:p w14:paraId="0F86BCBA"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-0.173***</w:t>
            </w:r>
          </w:p>
        </w:tc>
        <w:tc>
          <w:tcPr>
            <w:tcW w:w="1417" w:type="dxa"/>
          </w:tcPr>
          <w:p w14:paraId="3F02F12E"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1</w:t>
            </w:r>
          </w:p>
        </w:tc>
        <w:tc>
          <w:tcPr>
            <w:tcW w:w="1417" w:type="dxa"/>
          </w:tcPr>
          <w:p w14:paraId="6EEB41BB"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Pr>
          <w:p w14:paraId="5245A2D6"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Pr>
          <w:p w14:paraId="5484C7FA"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r>
      <w:tr w:rsidR="000803DE" w:rsidRPr="002262E0" w14:paraId="5B833F19" w14:textId="77777777" w:rsidTr="001B4C56">
        <w:trPr>
          <w:trHeight w:val="479"/>
        </w:trPr>
        <w:tc>
          <w:tcPr>
            <w:tcW w:w="1417" w:type="dxa"/>
          </w:tcPr>
          <w:p w14:paraId="53EAEC5D"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AGE</w:t>
            </w:r>
          </w:p>
        </w:tc>
        <w:tc>
          <w:tcPr>
            <w:tcW w:w="1417" w:type="dxa"/>
          </w:tcPr>
          <w:p w14:paraId="767A85FF"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-0.016</w:t>
            </w:r>
          </w:p>
        </w:tc>
        <w:tc>
          <w:tcPr>
            <w:tcW w:w="1417" w:type="dxa"/>
          </w:tcPr>
          <w:p w14:paraId="55737C26"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-0.035</w:t>
            </w:r>
          </w:p>
        </w:tc>
        <w:tc>
          <w:tcPr>
            <w:tcW w:w="1417" w:type="dxa"/>
          </w:tcPr>
          <w:p w14:paraId="4A6EA907"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0.091</w:t>
            </w:r>
          </w:p>
        </w:tc>
        <w:tc>
          <w:tcPr>
            <w:tcW w:w="1417" w:type="dxa"/>
          </w:tcPr>
          <w:p w14:paraId="1257489D"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-0.009</w:t>
            </w:r>
          </w:p>
        </w:tc>
        <w:tc>
          <w:tcPr>
            <w:tcW w:w="1417" w:type="dxa"/>
          </w:tcPr>
          <w:p w14:paraId="3989650F"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-0.175***</w:t>
            </w:r>
          </w:p>
        </w:tc>
        <w:tc>
          <w:tcPr>
            <w:tcW w:w="1417" w:type="dxa"/>
          </w:tcPr>
          <w:p w14:paraId="66F6C8DD"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0.198***</w:t>
            </w:r>
          </w:p>
        </w:tc>
        <w:tc>
          <w:tcPr>
            <w:tcW w:w="1417" w:type="dxa"/>
          </w:tcPr>
          <w:p w14:paraId="2484AD04"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1</w:t>
            </w:r>
          </w:p>
        </w:tc>
        <w:tc>
          <w:tcPr>
            <w:tcW w:w="1417" w:type="dxa"/>
          </w:tcPr>
          <w:p w14:paraId="10EE270E"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c>
          <w:tcPr>
            <w:tcW w:w="1417" w:type="dxa"/>
          </w:tcPr>
          <w:p w14:paraId="1B5D0B32"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r>
      <w:tr w:rsidR="000803DE" w:rsidRPr="002262E0" w14:paraId="7361A57D" w14:textId="77777777" w:rsidTr="001B4C56">
        <w:trPr>
          <w:trHeight w:val="479"/>
        </w:trPr>
        <w:tc>
          <w:tcPr>
            <w:tcW w:w="1417" w:type="dxa"/>
          </w:tcPr>
          <w:p w14:paraId="55189C4A"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CP</w:t>
            </w:r>
          </w:p>
        </w:tc>
        <w:tc>
          <w:tcPr>
            <w:tcW w:w="1417" w:type="dxa"/>
          </w:tcPr>
          <w:p w14:paraId="2C30A68A"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0.053</w:t>
            </w:r>
          </w:p>
        </w:tc>
        <w:tc>
          <w:tcPr>
            <w:tcW w:w="1417" w:type="dxa"/>
          </w:tcPr>
          <w:p w14:paraId="6171C5EF"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0.066</w:t>
            </w:r>
          </w:p>
        </w:tc>
        <w:tc>
          <w:tcPr>
            <w:tcW w:w="1417" w:type="dxa"/>
          </w:tcPr>
          <w:p w14:paraId="64C35ECD"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0.140</w:t>
            </w:r>
          </w:p>
        </w:tc>
        <w:tc>
          <w:tcPr>
            <w:tcW w:w="1417" w:type="dxa"/>
          </w:tcPr>
          <w:p w14:paraId="3618DDC7"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-0.016</w:t>
            </w:r>
          </w:p>
        </w:tc>
        <w:tc>
          <w:tcPr>
            <w:tcW w:w="1417" w:type="dxa"/>
          </w:tcPr>
          <w:p w14:paraId="7300E612"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-0.394***</w:t>
            </w:r>
          </w:p>
        </w:tc>
        <w:tc>
          <w:tcPr>
            <w:tcW w:w="1417" w:type="dxa"/>
          </w:tcPr>
          <w:p w14:paraId="04872506"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0.440***</w:t>
            </w:r>
          </w:p>
        </w:tc>
        <w:tc>
          <w:tcPr>
            <w:tcW w:w="1417" w:type="dxa"/>
          </w:tcPr>
          <w:p w14:paraId="4FA3FA9F"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0.195***</w:t>
            </w:r>
          </w:p>
        </w:tc>
        <w:tc>
          <w:tcPr>
            <w:tcW w:w="1417" w:type="dxa"/>
          </w:tcPr>
          <w:p w14:paraId="60D27C61"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1</w:t>
            </w:r>
          </w:p>
        </w:tc>
        <w:tc>
          <w:tcPr>
            <w:tcW w:w="1417" w:type="dxa"/>
          </w:tcPr>
          <w:p w14:paraId="05FA6E2F"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p>
        </w:tc>
      </w:tr>
      <w:tr w:rsidR="000803DE" w:rsidRPr="002262E0" w14:paraId="5472CC3F" w14:textId="77777777" w:rsidTr="001B4C56">
        <w:trPr>
          <w:trHeight w:val="479"/>
        </w:trPr>
        <w:tc>
          <w:tcPr>
            <w:tcW w:w="1417" w:type="dxa"/>
          </w:tcPr>
          <w:p w14:paraId="041690E5"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LEV</w:t>
            </w:r>
          </w:p>
        </w:tc>
        <w:tc>
          <w:tcPr>
            <w:tcW w:w="1417" w:type="dxa"/>
          </w:tcPr>
          <w:p w14:paraId="70C144A1"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-0.029</w:t>
            </w:r>
          </w:p>
        </w:tc>
        <w:tc>
          <w:tcPr>
            <w:tcW w:w="1417" w:type="dxa"/>
          </w:tcPr>
          <w:p w14:paraId="4172D178"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-0.359***</w:t>
            </w:r>
          </w:p>
        </w:tc>
        <w:tc>
          <w:tcPr>
            <w:tcW w:w="1417" w:type="dxa"/>
          </w:tcPr>
          <w:p w14:paraId="6CDAC188"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0.093</w:t>
            </w:r>
          </w:p>
        </w:tc>
        <w:tc>
          <w:tcPr>
            <w:tcW w:w="1417" w:type="dxa"/>
          </w:tcPr>
          <w:p w14:paraId="1F3F6F8D"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0.007</w:t>
            </w:r>
          </w:p>
        </w:tc>
        <w:tc>
          <w:tcPr>
            <w:tcW w:w="1417" w:type="dxa"/>
          </w:tcPr>
          <w:p w14:paraId="5FA7327D"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-0.165***</w:t>
            </w:r>
          </w:p>
        </w:tc>
        <w:tc>
          <w:tcPr>
            <w:tcW w:w="1417" w:type="dxa"/>
          </w:tcPr>
          <w:p w14:paraId="2C48BD14"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0.165***</w:t>
            </w:r>
          </w:p>
        </w:tc>
        <w:tc>
          <w:tcPr>
            <w:tcW w:w="1417" w:type="dxa"/>
          </w:tcPr>
          <w:p w14:paraId="7D8A6FAB"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0.032</w:t>
            </w:r>
          </w:p>
        </w:tc>
        <w:tc>
          <w:tcPr>
            <w:tcW w:w="1417" w:type="dxa"/>
          </w:tcPr>
          <w:p w14:paraId="42EAF74B"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0.032</w:t>
            </w:r>
          </w:p>
        </w:tc>
        <w:tc>
          <w:tcPr>
            <w:tcW w:w="1417" w:type="dxa"/>
          </w:tcPr>
          <w:p w14:paraId="4B1DE1F8" w14:textId="77777777" w:rsidR="000803DE" w:rsidRPr="005C3281" w:rsidRDefault="000803DE" w:rsidP="005C3281">
            <w:pPr>
              <w:autoSpaceDE w:val="0"/>
              <w:autoSpaceDN w:val="0"/>
              <w:adjustRightInd w:val="0"/>
              <w:spacing w:line="360" w:lineRule="exact"/>
              <w:ind w:left="53" w:right="53"/>
              <w:jc w:val="center"/>
              <w:rPr>
                <w:rFonts w:eastAsiaTheme="minorHAnsi"/>
                <w:color w:val="000000"/>
              </w:rPr>
            </w:pPr>
            <w:r w:rsidRPr="005C3281">
              <w:rPr>
                <w:rFonts w:eastAsiaTheme="minorHAnsi"/>
                <w:color w:val="000000"/>
              </w:rPr>
              <w:t>1</w:t>
            </w:r>
          </w:p>
        </w:tc>
      </w:tr>
    </w:tbl>
    <w:p w14:paraId="6CDC00C7" w14:textId="15925019" w:rsidR="00034B97" w:rsidRPr="005C3281" w:rsidRDefault="00034B97" w:rsidP="0011086F">
      <w:pPr>
        <w:spacing w:line="360" w:lineRule="exact"/>
        <w:jc w:val="both"/>
        <w:rPr>
          <w:rFonts w:eastAsia="Calibri"/>
        </w:rPr>
      </w:pPr>
      <w:r w:rsidRPr="005C3281">
        <w:rPr>
          <w:rFonts w:eastAsia="Calibri"/>
        </w:rPr>
        <w:t>** Correlation is significant at the 0.01 level (2-tailed).</w:t>
      </w:r>
    </w:p>
    <w:p w14:paraId="62F1B5BA" w14:textId="7029AB97" w:rsidR="00034B97" w:rsidRPr="005C3281" w:rsidRDefault="00034B97" w:rsidP="0011086F">
      <w:pPr>
        <w:spacing w:line="360" w:lineRule="exact"/>
        <w:jc w:val="both"/>
        <w:rPr>
          <w:b/>
          <w:color w:val="000000"/>
        </w:rPr>
        <w:sectPr w:rsidR="00034B97" w:rsidRPr="005C3281" w:rsidSect="00C55880">
          <w:headerReference w:type="even" r:id="rId14"/>
          <w:headerReference w:type="default" r:id="rId15"/>
          <w:pgSz w:w="16838" w:h="11906" w:orient="landscape"/>
          <w:pgMar w:top="1440" w:right="1276" w:bottom="1440" w:left="1440" w:header="709" w:footer="709" w:gutter="0"/>
          <w:cols w:space="708"/>
          <w:docGrid w:linePitch="360"/>
        </w:sectPr>
      </w:pPr>
      <w:r w:rsidRPr="005C3281">
        <w:rPr>
          <w:rFonts w:eastAsia="Calibri"/>
        </w:rPr>
        <w:t>* Correlation is significant at the 0.05 level (2-tailed)</w:t>
      </w:r>
    </w:p>
    <w:p w14:paraId="7E18E8D8" w14:textId="77777777" w:rsidR="004D7AD7" w:rsidRPr="00F40242" w:rsidRDefault="004D7AD7" w:rsidP="004D7AD7">
      <w:pPr>
        <w:jc w:val="both"/>
        <w:rPr>
          <w:b/>
          <w:sz w:val="26"/>
        </w:rPr>
      </w:pPr>
      <w:r w:rsidRPr="00F40242">
        <w:rPr>
          <w:b/>
          <w:sz w:val="26"/>
        </w:rPr>
        <w:lastRenderedPageBreak/>
        <w:t>Empirical results</w:t>
      </w:r>
    </w:p>
    <w:p w14:paraId="41087FBA" w14:textId="4EFD7384" w:rsidR="004D7AD7" w:rsidRPr="004D7AD7" w:rsidRDefault="004D7AD7" w:rsidP="00540656">
      <w:pPr>
        <w:autoSpaceDE w:val="0"/>
        <w:autoSpaceDN w:val="0"/>
        <w:adjustRightInd w:val="0"/>
        <w:spacing w:line="360" w:lineRule="exact"/>
        <w:ind w:firstLineChars="200" w:firstLine="520"/>
        <w:jc w:val="both"/>
        <w:rPr>
          <w:sz w:val="26"/>
        </w:rPr>
      </w:pPr>
      <w:r w:rsidRPr="00F40242">
        <w:rPr>
          <w:rFonts w:eastAsia="Calibri"/>
          <w:sz w:val="26"/>
        </w:rPr>
        <w:t xml:space="preserve">Table 4 reports the Pearson correlation matrix of variables employed in the analyses. Following </w:t>
      </w:r>
      <w:proofErr w:type="spellStart"/>
      <w:r w:rsidRPr="00F40242">
        <w:rPr>
          <w:rFonts w:eastAsia="Calibri"/>
          <w:sz w:val="26"/>
        </w:rPr>
        <w:t>Haniffa</w:t>
      </w:r>
      <w:proofErr w:type="spellEnd"/>
      <w:r w:rsidRPr="00F40242">
        <w:rPr>
          <w:rFonts w:eastAsia="Calibri"/>
          <w:sz w:val="26"/>
        </w:rPr>
        <w:t xml:space="preserve"> and Cooke (2005), a correlation coefficient greater than 0.8 indicates the potential presence of multicollinearity. Table 4 show that all the values are below 0.8, indicating the absence of multicollinearity in the data series. </w:t>
      </w:r>
    </w:p>
    <w:p w14:paraId="745E0443" w14:textId="2D4042FA" w:rsidR="00252883" w:rsidRDefault="00CB7739" w:rsidP="006B1EBC">
      <w:pPr>
        <w:spacing w:line="360" w:lineRule="exact"/>
        <w:ind w:firstLineChars="200" w:firstLine="520"/>
        <w:jc w:val="both"/>
        <w:rPr>
          <w:color w:val="000000"/>
          <w:sz w:val="26"/>
        </w:rPr>
      </w:pPr>
      <w:r w:rsidRPr="00F40242">
        <w:rPr>
          <w:sz w:val="26"/>
        </w:rPr>
        <w:t xml:space="preserve">Table 5 reports the results of the total disclosure model for Indian companies. </w:t>
      </w:r>
      <w:r w:rsidR="00AF5E9A" w:rsidRPr="00F40242">
        <w:rPr>
          <w:color w:val="000000"/>
          <w:sz w:val="26"/>
        </w:rPr>
        <w:t>Models including individual key variables show similar results.</w:t>
      </w:r>
      <w:r w:rsidR="00AF5E9A" w:rsidRPr="00F40242">
        <w:rPr>
          <w:sz w:val="26"/>
        </w:rPr>
        <w:t xml:space="preserve"> </w:t>
      </w:r>
      <w:r w:rsidRPr="00F40242">
        <w:rPr>
          <w:sz w:val="26"/>
        </w:rPr>
        <w:t xml:space="preserve">Due to the panel nature of the data series employed in the analyses, the empirical model specified in Equation (1) above was estimated using </w:t>
      </w:r>
      <w:r w:rsidR="00252883" w:rsidRPr="00F40242">
        <w:rPr>
          <w:color w:val="000000"/>
          <w:sz w:val="26"/>
        </w:rPr>
        <w:t xml:space="preserve">Estimated Generalised Least Squares (EGLS) in </w:t>
      </w:r>
      <w:r w:rsidR="00761B5D" w:rsidRPr="00F40242">
        <w:rPr>
          <w:color w:val="000000"/>
          <w:sz w:val="26"/>
        </w:rPr>
        <w:t xml:space="preserve">the </w:t>
      </w:r>
      <w:proofErr w:type="spellStart"/>
      <w:r w:rsidR="00252883" w:rsidRPr="00F40242">
        <w:rPr>
          <w:color w:val="000000"/>
          <w:sz w:val="26"/>
        </w:rPr>
        <w:t>Eviews</w:t>
      </w:r>
      <w:proofErr w:type="spellEnd"/>
      <w:r w:rsidR="00252883" w:rsidRPr="00F40242">
        <w:rPr>
          <w:color w:val="000000"/>
          <w:sz w:val="26"/>
        </w:rPr>
        <w:t xml:space="preserve"> version 9.0 econometric package. EGLS is useful because it corrects for </w:t>
      </w:r>
      <w:r w:rsidR="00252883" w:rsidRPr="00F40242">
        <w:rPr>
          <w:noProof/>
          <w:color w:val="000000"/>
          <w:sz w:val="26"/>
        </w:rPr>
        <w:t>heteros</w:t>
      </w:r>
      <w:r w:rsidR="00CD711D" w:rsidRPr="00F40242">
        <w:rPr>
          <w:noProof/>
          <w:color w:val="000000"/>
          <w:sz w:val="26"/>
        </w:rPr>
        <w:t>k</w:t>
      </w:r>
      <w:r w:rsidR="00252883" w:rsidRPr="00F40242">
        <w:rPr>
          <w:noProof/>
          <w:color w:val="000000"/>
          <w:sz w:val="26"/>
        </w:rPr>
        <w:t>edasticity</w:t>
      </w:r>
      <w:r w:rsidR="00252883" w:rsidRPr="00F40242">
        <w:rPr>
          <w:color w:val="000000"/>
          <w:sz w:val="26"/>
        </w:rPr>
        <w:t xml:space="preserve"> and individual </w:t>
      </w:r>
      <w:r w:rsidR="00252883" w:rsidRPr="00F40242">
        <w:rPr>
          <w:noProof/>
          <w:color w:val="000000"/>
          <w:sz w:val="26"/>
        </w:rPr>
        <w:t>and</w:t>
      </w:r>
      <w:r w:rsidR="00252883" w:rsidRPr="00F40242">
        <w:rPr>
          <w:color w:val="000000"/>
          <w:sz w:val="26"/>
        </w:rPr>
        <w:t xml:space="preserve"> time specific effects as well as for cross-section correlations in the sample data (Liu </w:t>
      </w:r>
      <w:r w:rsidR="00761B5D" w:rsidRPr="00F40242">
        <w:rPr>
          <w:color w:val="000000"/>
          <w:sz w:val="26"/>
        </w:rPr>
        <w:t xml:space="preserve">&amp; </w:t>
      </w:r>
      <w:proofErr w:type="spellStart"/>
      <w:r w:rsidR="00252883" w:rsidRPr="00F40242">
        <w:rPr>
          <w:color w:val="000000"/>
          <w:sz w:val="26"/>
        </w:rPr>
        <w:t>Agbola</w:t>
      </w:r>
      <w:proofErr w:type="spellEnd"/>
      <w:r w:rsidR="003701F5" w:rsidRPr="00F40242">
        <w:rPr>
          <w:color w:val="000000"/>
          <w:sz w:val="26"/>
        </w:rPr>
        <w:t>,</w:t>
      </w:r>
      <w:r w:rsidR="00761B5D" w:rsidRPr="00F40242">
        <w:rPr>
          <w:color w:val="000000"/>
          <w:sz w:val="26"/>
        </w:rPr>
        <w:t xml:space="preserve"> </w:t>
      </w:r>
      <w:r w:rsidR="003701F5" w:rsidRPr="00F40242">
        <w:rPr>
          <w:color w:val="000000"/>
          <w:sz w:val="26"/>
        </w:rPr>
        <w:t>2</w:t>
      </w:r>
      <w:r w:rsidR="00252883" w:rsidRPr="00F40242">
        <w:rPr>
          <w:color w:val="000000"/>
          <w:sz w:val="26"/>
        </w:rPr>
        <w:t>014)</w:t>
      </w:r>
      <w:r w:rsidR="00AF5E9A" w:rsidRPr="00F40242">
        <w:rPr>
          <w:color w:val="000000"/>
          <w:sz w:val="26"/>
        </w:rPr>
        <w:t xml:space="preserve">. </w:t>
      </w:r>
    </w:p>
    <w:p w14:paraId="5980EB64" w14:textId="77777777" w:rsidR="00707159" w:rsidRPr="00F40242" w:rsidRDefault="00707159" w:rsidP="006B1EBC">
      <w:pPr>
        <w:spacing w:line="360" w:lineRule="exact"/>
        <w:ind w:firstLineChars="200" w:firstLine="520"/>
        <w:jc w:val="both"/>
        <w:rPr>
          <w:color w:val="000000"/>
          <w:sz w:val="26"/>
        </w:rPr>
      </w:pPr>
    </w:p>
    <w:p w14:paraId="40754D40" w14:textId="1946C604" w:rsidR="000D5C8E" w:rsidRPr="005C3281" w:rsidRDefault="00707159" w:rsidP="005C3281">
      <w:pPr>
        <w:autoSpaceDE w:val="0"/>
        <w:autoSpaceDN w:val="0"/>
        <w:adjustRightInd w:val="0"/>
        <w:spacing w:line="360" w:lineRule="exact"/>
        <w:jc w:val="center"/>
        <w:rPr>
          <w:sz w:val="26"/>
          <w:lang w:eastAsia="en-AU"/>
        </w:rPr>
      </w:pPr>
      <w:r w:rsidRPr="00B95A3A">
        <w:rPr>
          <w:b/>
          <w:sz w:val="26"/>
          <w:lang w:eastAsia="en-AU"/>
        </w:rPr>
        <w:t xml:space="preserve">Table </w:t>
      </w:r>
      <w:proofErr w:type="gramStart"/>
      <w:r w:rsidRPr="00B95A3A">
        <w:rPr>
          <w:b/>
          <w:sz w:val="26"/>
          <w:lang w:eastAsia="en-AU"/>
        </w:rPr>
        <w:t>5</w:t>
      </w:r>
      <w:r w:rsidR="00540656">
        <w:rPr>
          <w:b/>
          <w:sz w:val="26"/>
          <w:lang w:eastAsia="en-AU"/>
        </w:rPr>
        <w:t xml:space="preserve"> </w:t>
      </w:r>
      <w:r w:rsidRPr="00B95A3A">
        <w:rPr>
          <w:b/>
          <w:sz w:val="26"/>
          <w:lang w:eastAsia="en-AU"/>
        </w:rPr>
        <w:t xml:space="preserve"> Regression</w:t>
      </w:r>
      <w:proofErr w:type="gramEnd"/>
      <w:r w:rsidRPr="00B95A3A">
        <w:rPr>
          <w:b/>
          <w:sz w:val="26"/>
          <w:lang w:eastAsia="en-AU"/>
        </w:rPr>
        <w:t xml:space="preserve"> Result of Total (Social and Environmental) Disclosure</w:t>
      </w:r>
    </w:p>
    <w:tbl>
      <w:tblPr>
        <w:tblStyle w:val="62"/>
        <w:tblW w:w="5000" w:type="pct"/>
        <w:shd w:val="clear" w:color="auto" w:fill="FFFFFF" w:themeFill="background1"/>
        <w:tblLook w:val="04A0" w:firstRow="1" w:lastRow="0" w:firstColumn="1" w:lastColumn="0" w:noHBand="0" w:noVBand="1"/>
      </w:tblPr>
      <w:tblGrid>
        <w:gridCol w:w="3361"/>
        <w:gridCol w:w="2054"/>
        <w:gridCol w:w="1932"/>
        <w:gridCol w:w="1679"/>
      </w:tblGrid>
      <w:tr w:rsidR="000D5C8E" w:rsidRPr="002262E0" w14:paraId="0AACA3A9" w14:textId="77777777" w:rsidTr="008B3BE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62" w:type="pct"/>
            <w:shd w:val="clear" w:color="auto" w:fill="FFFFFF" w:themeFill="background1"/>
            <w:noWrap/>
            <w:hideMark/>
          </w:tcPr>
          <w:p w14:paraId="02F0E7B4" w14:textId="77777777" w:rsidR="000D5C8E" w:rsidRPr="005C3281" w:rsidRDefault="000D5C8E" w:rsidP="00707159">
            <w:pPr>
              <w:spacing w:line="360" w:lineRule="exact"/>
              <w:jc w:val="center"/>
              <w:rPr>
                <w:b w:val="0"/>
                <w:color w:val="000000"/>
                <w:lang w:eastAsia="en-AU"/>
              </w:rPr>
            </w:pPr>
            <w:r w:rsidRPr="005C3281">
              <w:rPr>
                <w:color w:val="000000"/>
                <w:lang w:eastAsia="en-AU"/>
              </w:rPr>
              <w:t>Variable</w:t>
            </w:r>
          </w:p>
        </w:tc>
        <w:tc>
          <w:tcPr>
            <w:tcW w:w="1138" w:type="pct"/>
            <w:shd w:val="clear" w:color="auto" w:fill="FFFFFF" w:themeFill="background1"/>
            <w:noWrap/>
            <w:hideMark/>
          </w:tcPr>
          <w:p w14:paraId="6EF5A6D9" w14:textId="77777777" w:rsidR="000D5C8E" w:rsidRPr="005C3281" w:rsidRDefault="000D5C8E" w:rsidP="00707159">
            <w:pPr>
              <w:spacing w:line="360" w:lineRule="exact"/>
              <w:jc w:val="center"/>
              <w:cnfStyle w:val="100000000000" w:firstRow="1" w:lastRow="0" w:firstColumn="0" w:lastColumn="0" w:oddVBand="0" w:evenVBand="0" w:oddHBand="0" w:evenHBand="0" w:firstRowFirstColumn="0" w:firstRowLastColumn="0" w:lastRowFirstColumn="0" w:lastRowLastColumn="0"/>
              <w:rPr>
                <w:b w:val="0"/>
                <w:color w:val="000000"/>
                <w:lang w:eastAsia="en-AU"/>
              </w:rPr>
            </w:pPr>
            <w:r w:rsidRPr="005C3281">
              <w:rPr>
                <w:color w:val="000000"/>
                <w:lang w:eastAsia="en-AU"/>
              </w:rPr>
              <w:t>Coefficient</w:t>
            </w:r>
          </w:p>
        </w:tc>
        <w:tc>
          <w:tcPr>
            <w:tcW w:w="1070" w:type="pct"/>
            <w:shd w:val="clear" w:color="auto" w:fill="FFFFFF" w:themeFill="background1"/>
            <w:noWrap/>
            <w:hideMark/>
          </w:tcPr>
          <w:p w14:paraId="610ED775" w14:textId="77777777" w:rsidR="000D5C8E" w:rsidRPr="005C3281" w:rsidRDefault="000D5C8E" w:rsidP="00707159">
            <w:pPr>
              <w:spacing w:line="360" w:lineRule="exact"/>
              <w:jc w:val="center"/>
              <w:cnfStyle w:val="100000000000" w:firstRow="1" w:lastRow="0" w:firstColumn="0" w:lastColumn="0" w:oddVBand="0" w:evenVBand="0" w:oddHBand="0" w:evenHBand="0" w:firstRowFirstColumn="0" w:firstRowLastColumn="0" w:lastRowFirstColumn="0" w:lastRowLastColumn="0"/>
              <w:rPr>
                <w:b w:val="0"/>
                <w:color w:val="000000"/>
                <w:lang w:eastAsia="en-AU"/>
              </w:rPr>
            </w:pPr>
            <w:r w:rsidRPr="005C3281">
              <w:rPr>
                <w:color w:val="000000"/>
                <w:lang w:eastAsia="en-AU"/>
              </w:rPr>
              <w:t>t-Statistic</w:t>
            </w:r>
          </w:p>
        </w:tc>
        <w:tc>
          <w:tcPr>
            <w:tcW w:w="930" w:type="pct"/>
            <w:shd w:val="clear" w:color="auto" w:fill="FFFFFF" w:themeFill="background1"/>
            <w:noWrap/>
            <w:hideMark/>
          </w:tcPr>
          <w:p w14:paraId="116C8164" w14:textId="67A25417" w:rsidR="000D5C8E" w:rsidRPr="005C3281" w:rsidRDefault="000D5C8E" w:rsidP="00707159">
            <w:pPr>
              <w:spacing w:line="360" w:lineRule="exact"/>
              <w:jc w:val="center"/>
              <w:cnfStyle w:val="100000000000" w:firstRow="1" w:lastRow="0" w:firstColumn="0" w:lastColumn="0" w:oddVBand="0" w:evenVBand="0" w:oddHBand="0" w:evenHBand="0" w:firstRowFirstColumn="0" w:firstRowLastColumn="0" w:lastRowFirstColumn="0" w:lastRowLastColumn="0"/>
              <w:rPr>
                <w:b w:val="0"/>
                <w:color w:val="000000"/>
                <w:lang w:eastAsia="en-AU"/>
              </w:rPr>
            </w:pPr>
            <w:r w:rsidRPr="005C3281">
              <w:rPr>
                <w:color w:val="000000"/>
                <w:lang w:eastAsia="en-AU"/>
              </w:rPr>
              <w:t>Prob.</w:t>
            </w:r>
          </w:p>
        </w:tc>
      </w:tr>
      <w:tr w:rsidR="000D5C8E" w:rsidRPr="002262E0" w14:paraId="3A5B4E2E" w14:textId="77777777" w:rsidTr="008B3B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62" w:type="pct"/>
            <w:shd w:val="clear" w:color="auto" w:fill="FFFFFF" w:themeFill="background1"/>
            <w:noWrap/>
            <w:hideMark/>
          </w:tcPr>
          <w:p w14:paraId="1C0F4511" w14:textId="77777777" w:rsidR="000D5C8E" w:rsidRPr="00122B6C" w:rsidRDefault="000D5C8E" w:rsidP="005C3281">
            <w:pPr>
              <w:spacing w:line="360" w:lineRule="exact"/>
              <w:ind w:firstLineChars="100" w:firstLine="240"/>
              <w:jc w:val="both"/>
              <w:rPr>
                <w:b w:val="0"/>
                <w:color w:val="000000"/>
                <w:lang w:eastAsia="en-AU"/>
              </w:rPr>
            </w:pPr>
            <w:r w:rsidRPr="00122B6C">
              <w:rPr>
                <w:b w:val="0"/>
                <w:color w:val="000000"/>
                <w:lang w:eastAsia="en-AU"/>
              </w:rPr>
              <w:t>Constant</w:t>
            </w:r>
          </w:p>
        </w:tc>
        <w:tc>
          <w:tcPr>
            <w:tcW w:w="1138" w:type="pct"/>
            <w:shd w:val="clear" w:color="auto" w:fill="FFFFFF" w:themeFill="background1"/>
            <w:noWrap/>
            <w:hideMark/>
          </w:tcPr>
          <w:p w14:paraId="10D95945" w14:textId="77777777" w:rsidR="000D5C8E" w:rsidRPr="005C3281" w:rsidRDefault="000D5C8E" w:rsidP="00707159">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5C3281">
              <w:rPr>
                <w:color w:val="000000"/>
                <w:lang w:eastAsia="en-AU"/>
              </w:rPr>
              <w:t>1.020</w:t>
            </w:r>
          </w:p>
        </w:tc>
        <w:tc>
          <w:tcPr>
            <w:tcW w:w="1070" w:type="pct"/>
            <w:shd w:val="clear" w:color="auto" w:fill="FFFFFF" w:themeFill="background1"/>
            <w:noWrap/>
            <w:hideMark/>
          </w:tcPr>
          <w:p w14:paraId="7D427977" w14:textId="77777777" w:rsidR="000D5C8E" w:rsidRPr="005C3281" w:rsidRDefault="000D5C8E" w:rsidP="00707159">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5C3281">
              <w:rPr>
                <w:color w:val="000000"/>
                <w:lang w:eastAsia="en-AU"/>
              </w:rPr>
              <w:t>0.929</w:t>
            </w:r>
          </w:p>
        </w:tc>
        <w:tc>
          <w:tcPr>
            <w:tcW w:w="930" w:type="pct"/>
            <w:shd w:val="clear" w:color="auto" w:fill="FFFFFF" w:themeFill="background1"/>
            <w:noWrap/>
            <w:hideMark/>
          </w:tcPr>
          <w:p w14:paraId="7A3ABC6B" w14:textId="77777777" w:rsidR="000D5C8E" w:rsidRPr="005C3281" w:rsidRDefault="000D5C8E" w:rsidP="00707159">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5C3281">
              <w:rPr>
                <w:color w:val="000000"/>
                <w:lang w:eastAsia="en-AU"/>
              </w:rPr>
              <w:t>0.354</w:t>
            </w:r>
          </w:p>
        </w:tc>
      </w:tr>
      <w:tr w:rsidR="000D5C8E" w:rsidRPr="002262E0" w14:paraId="1E2E7793" w14:textId="77777777" w:rsidTr="008B3BEE">
        <w:trPr>
          <w:trHeight w:val="288"/>
        </w:trPr>
        <w:tc>
          <w:tcPr>
            <w:cnfStyle w:val="001000000000" w:firstRow="0" w:lastRow="0" w:firstColumn="1" w:lastColumn="0" w:oddVBand="0" w:evenVBand="0" w:oddHBand="0" w:evenHBand="0" w:firstRowFirstColumn="0" w:firstRowLastColumn="0" w:lastRowFirstColumn="0" w:lastRowLastColumn="0"/>
            <w:tcW w:w="1862" w:type="pct"/>
            <w:shd w:val="clear" w:color="auto" w:fill="FFFFFF" w:themeFill="background1"/>
            <w:noWrap/>
            <w:hideMark/>
          </w:tcPr>
          <w:p w14:paraId="5BD3178C" w14:textId="77777777" w:rsidR="000D5C8E" w:rsidRPr="00122B6C" w:rsidRDefault="000D5C8E" w:rsidP="005C3281">
            <w:pPr>
              <w:spacing w:line="360" w:lineRule="exact"/>
              <w:ind w:firstLineChars="100" w:firstLine="240"/>
              <w:jc w:val="both"/>
              <w:rPr>
                <w:b w:val="0"/>
                <w:color w:val="000000"/>
                <w:lang w:eastAsia="en-AU"/>
              </w:rPr>
            </w:pPr>
            <w:r w:rsidRPr="00122B6C">
              <w:rPr>
                <w:b w:val="0"/>
                <w:color w:val="000000"/>
                <w:lang w:eastAsia="en-AU"/>
              </w:rPr>
              <w:t>AGE</w:t>
            </w:r>
          </w:p>
        </w:tc>
        <w:tc>
          <w:tcPr>
            <w:tcW w:w="1138" w:type="pct"/>
            <w:shd w:val="clear" w:color="auto" w:fill="FFFFFF" w:themeFill="background1"/>
            <w:noWrap/>
            <w:hideMark/>
          </w:tcPr>
          <w:p w14:paraId="4C3B31B9" w14:textId="77777777" w:rsidR="000D5C8E" w:rsidRPr="005C3281" w:rsidRDefault="000D5C8E" w:rsidP="00707159">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5C3281">
              <w:rPr>
                <w:color w:val="000000"/>
                <w:lang w:eastAsia="en-AU"/>
              </w:rPr>
              <w:t>0.023</w:t>
            </w:r>
          </w:p>
        </w:tc>
        <w:tc>
          <w:tcPr>
            <w:tcW w:w="1070" w:type="pct"/>
            <w:shd w:val="clear" w:color="auto" w:fill="FFFFFF" w:themeFill="background1"/>
            <w:noWrap/>
            <w:hideMark/>
          </w:tcPr>
          <w:p w14:paraId="15EF5436" w14:textId="77777777" w:rsidR="000D5C8E" w:rsidRPr="005C3281" w:rsidRDefault="000D5C8E" w:rsidP="00707159">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5C3281">
              <w:rPr>
                <w:color w:val="000000"/>
                <w:lang w:eastAsia="en-AU"/>
              </w:rPr>
              <w:t>6.860</w:t>
            </w:r>
          </w:p>
        </w:tc>
        <w:tc>
          <w:tcPr>
            <w:tcW w:w="930" w:type="pct"/>
            <w:shd w:val="clear" w:color="auto" w:fill="FFFFFF" w:themeFill="background1"/>
            <w:noWrap/>
            <w:hideMark/>
          </w:tcPr>
          <w:p w14:paraId="197E5278" w14:textId="77777777" w:rsidR="000D5C8E" w:rsidRPr="005C3281" w:rsidRDefault="000D5C8E" w:rsidP="00707159">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5C3281">
              <w:rPr>
                <w:color w:val="000000"/>
                <w:lang w:eastAsia="en-AU"/>
              </w:rPr>
              <w:t>0.000</w:t>
            </w:r>
          </w:p>
        </w:tc>
      </w:tr>
      <w:tr w:rsidR="000D5C8E" w:rsidRPr="002262E0" w14:paraId="11D0726F" w14:textId="77777777" w:rsidTr="008B3B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62" w:type="pct"/>
            <w:shd w:val="clear" w:color="auto" w:fill="FFFFFF" w:themeFill="background1"/>
            <w:noWrap/>
            <w:hideMark/>
          </w:tcPr>
          <w:p w14:paraId="77ADFBCB" w14:textId="77777777" w:rsidR="000D5C8E" w:rsidRPr="00122B6C" w:rsidRDefault="000D5C8E" w:rsidP="005C3281">
            <w:pPr>
              <w:spacing w:line="360" w:lineRule="exact"/>
              <w:ind w:firstLineChars="100" w:firstLine="240"/>
              <w:jc w:val="both"/>
              <w:rPr>
                <w:b w:val="0"/>
                <w:color w:val="000000"/>
                <w:lang w:eastAsia="en-AU"/>
              </w:rPr>
            </w:pPr>
            <w:r w:rsidRPr="00122B6C">
              <w:rPr>
                <w:b w:val="0"/>
                <w:color w:val="000000"/>
                <w:lang w:eastAsia="en-AU"/>
              </w:rPr>
              <w:t>CP</w:t>
            </w:r>
          </w:p>
        </w:tc>
        <w:tc>
          <w:tcPr>
            <w:tcW w:w="1138" w:type="pct"/>
            <w:shd w:val="clear" w:color="auto" w:fill="FFFFFF" w:themeFill="background1"/>
            <w:noWrap/>
            <w:hideMark/>
          </w:tcPr>
          <w:p w14:paraId="68A1A031" w14:textId="77777777" w:rsidR="000D5C8E" w:rsidRPr="005C3281" w:rsidRDefault="000D5C8E" w:rsidP="00707159">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5C3281">
              <w:rPr>
                <w:color w:val="000000"/>
                <w:lang w:eastAsia="en-AU"/>
              </w:rPr>
              <w:t>-0.258</w:t>
            </w:r>
          </w:p>
        </w:tc>
        <w:tc>
          <w:tcPr>
            <w:tcW w:w="1070" w:type="pct"/>
            <w:shd w:val="clear" w:color="auto" w:fill="FFFFFF" w:themeFill="background1"/>
            <w:noWrap/>
            <w:hideMark/>
          </w:tcPr>
          <w:p w14:paraId="1B8B64F9" w14:textId="77777777" w:rsidR="000D5C8E" w:rsidRPr="005C3281" w:rsidRDefault="000D5C8E" w:rsidP="00707159">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5C3281">
              <w:rPr>
                <w:color w:val="000000"/>
                <w:lang w:eastAsia="en-AU"/>
              </w:rPr>
              <w:t>-0.873</w:t>
            </w:r>
          </w:p>
        </w:tc>
        <w:tc>
          <w:tcPr>
            <w:tcW w:w="930" w:type="pct"/>
            <w:shd w:val="clear" w:color="auto" w:fill="FFFFFF" w:themeFill="background1"/>
            <w:noWrap/>
            <w:hideMark/>
          </w:tcPr>
          <w:p w14:paraId="4DAD70E2" w14:textId="77777777" w:rsidR="000D5C8E" w:rsidRPr="005C3281" w:rsidRDefault="000D5C8E" w:rsidP="00707159">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5C3281">
              <w:rPr>
                <w:color w:val="000000"/>
                <w:lang w:eastAsia="en-AU"/>
              </w:rPr>
              <w:t>0.383</w:t>
            </w:r>
          </w:p>
        </w:tc>
      </w:tr>
      <w:tr w:rsidR="000D5C8E" w:rsidRPr="002262E0" w14:paraId="565BC205" w14:textId="77777777" w:rsidTr="008B3BEE">
        <w:trPr>
          <w:trHeight w:val="288"/>
        </w:trPr>
        <w:tc>
          <w:tcPr>
            <w:cnfStyle w:val="001000000000" w:firstRow="0" w:lastRow="0" w:firstColumn="1" w:lastColumn="0" w:oddVBand="0" w:evenVBand="0" w:oddHBand="0" w:evenHBand="0" w:firstRowFirstColumn="0" w:firstRowLastColumn="0" w:lastRowFirstColumn="0" w:lastRowLastColumn="0"/>
            <w:tcW w:w="1862" w:type="pct"/>
            <w:shd w:val="clear" w:color="auto" w:fill="FFFFFF" w:themeFill="background1"/>
            <w:noWrap/>
            <w:hideMark/>
          </w:tcPr>
          <w:p w14:paraId="04C2C81F" w14:textId="77777777" w:rsidR="000D5C8E" w:rsidRPr="00122B6C" w:rsidRDefault="000D5C8E" w:rsidP="005C3281">
            <w:pPr>
              <w:spacing w:line="360" w:lineRule="exact"/>
              <w:ind w:firstLineChars="100" w:firstLine="240"/>
              <w:jc w:val="both"/>
              <w:rPr>
                <w:b w:val="0"/>
                <w:color w:val="000000"/>
                <w:lang w:eastAsia="en-AU"/>
              </w:rPr>
            </w:pPr>
            <w:r w:rsidRPr="00122B6C">
              <w:rPr>
                <w:b w:val="0"/>
                <w:color w:val="000000"/>
                <w:lang w:eastAsia="en-AU"/>
              </w:rPr>
              <w:t>LEV</w:t>
            </w:r>
          </w:p>
        </w:tc>
        <w:tc>
          <w:tcPr>
            <w:tcW w:w="1138" w:type="pct"/>
            <w:shd w:val="clear" w:color="auto" w:fill="FFFFFF" w:themeFill="background1"/>
            <w:noWrap/>
            <w:hideMark/>
          </w:tcPr>
          <w:p w14:paraId="3F83FECA" w14:textId="77777777" w:rsidR="000D5C8E" w:rsidRPr="005C3281" w:rsidRDefault="000D5C8E" w:rsidP="00707159">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5C3281">
              <w:rPr>
                <w:color w:val="000000"/>
                <w:lang w:eastAsia="en-AU"/>
              </w:rPr>
              <w:t>-0.015</w:t>
            </w:r>
          </w:p>
        </w:tc>
        <w:tc>
          <w:tcPr>
            <w:tcW w:w="1070" w:type="pct"/>
            <w:shd w:val="clear" w:color="auto" w:fill="FFFFFF" w:themeFill="background1"/>
            <w:noWrap/>
            <w:hideMark/>
          </w:tcPr>
          <w:p w14:paraId="45D267B2" w14:textId="77777777" w:rsidR="000D5C8E" w:rsidRPr="005C3281" w:rsidRDefault="000D5C8E" w:rsidP="00707159">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5C3281">
              <w:rPr>
                <w:color w:val="000000"/>
                <w:lang w:eastAsia="en-AU"/>
              </w:rPr>
              <w:t>-2.506</w:t>
            </w:r>
          </w:p>
        </w:tc>
        <w:tc>
          <w:tcPr>
            <w:tcW w:w="930" w:type="pct"/>
            <w:shd w:val="clear" w:color="auto" w:fill="FFFFFF" w:themeFill="background1"/>
            <w:noWrap/>
            <w:hideMark/>
          </w:tcPr>
          <w:p w14:paraId="33E0E91D" w14:textId="77777777" w:rsidR="000D5C8E" w:rsidRPr="005C3281" w:rsidRDefault="000D5C8E" w:rsidP="00707159">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5C3281">
              <w:rPr>
                <w:color w:val="000000"/>
                <w:lang w:eastAsia="en-AU"/>
              </w:rPr>
              <w:t>0.013</w:t>
            </w:r>
          </w:p>
        </w:tc>
      </w:tr>
      <w:tr w:rsidR="000D5C8E" w:rsidRPr="002262E0" w14:paraId="6BF45C8B" w14:textId="77777777" w:rsidTr="008B3B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62" w:type="pct"/>
            <w:shd w:val="clear" w:color="auto" w:fill="FFFFFF" w:themeFill="background1"/>
            <w:noWrap/>
            <w:hideMark/>
          </w:tcPr>
          <w:p w14:paraId="192F1468" w14:textId="77777777" w:rsidR="000D5C8E" w:rsidRPr="00122B6C" w:rsidRDefault="000D5C8E" w:rsidP="005C3281">
            <w:pPr>
              <w:spacing w:line="360" w:lineRule="exact"/>
              <w:ind w:firstLineChars="100" w:firstLine="240"/>
              <w:jc w:val="both"/>
              <w:rPr>
                <w:b w:val="0"/>
                <w:color w:val="000000"/>
                <w:lang w:eastAsia="en-AU"/>
              </w:rPr>
            </w:pPr>
            <w:r w:rsidRPr="00122B6C">
              <w:rPr>
                <w:b w:val="0"/>
                <w:color w:val="000000"/>
                <w:lang w:eastAsia="en-AU"/>
              </w:rPr>
              <w:t>CIND</w:t>
            </w:r>
          </w:p>
        </w:tc>
        <w:tc>
          <w:tcPr>
            <w:tcW w:w="1138" w:type="pct"/>
            <w:shd w:val="clear" w:color="auto" w:fill="FFFFFF" w:themeFill="background1"/>
            <w:noWrap/>
            <w:hideMark/>
          </w:tcPr>
          <w:p w14:paraId="3E2EA469" w14:textId="77777777" w:rsidR="000D5C8E" w:rsidRPr="005C3281" w:rsidRDefault="000D5C8E" w:rsidP="00707159">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5C3281">
              <w:rPr>
                <w:color w:val="000000"/>
                <w:lang w:eastAsia="en-AU"/>
              </w:rPr>
              <w:t>3.633</w:t>
            </w:r>
          </w:p>
        </w:tc>
        <w:tc>
          <w:tcPr>
            <w:tcW w:w="1070" w:type="pct"/>
            <w:shd w:val="clear" w:color="auto" w:fill="FFFFFF" w:themeFill="background1"/>
            <w:noWrap/>
            <w:hideMark/>
          </w:tcPr>
          <w:p w14:paraId="1E6626B0" w14:textId="77777777" w:rsidR="000D5C8E" w:rsidRPr="005C3281" w:rsidRDefault="000D5C8E" w:rsidP="00707159">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5C3281">
              <w:rPr>
                <w:color w:val="000000"/>
                <w:lang w:eastAsia="en-AU"/>
              </w:rPr>
              <w:t>6.564</w:t>
            </w:r>
          </w:p>
        </w:tc>
        <w:tc>
          <w:tcPr>
            <w:tcW w:w="930" w:type="pct"/>
            <w:shd w:val="clear" w:color="auto" w:fill="FFFFFF" w:themeFill="background1"/>
            <w:noWrap/>
            <w:hideMark/>
          </w:tcPr>
          <w:p w14:paraId="4FE6FFE9" w14:textId="77777777" w:rsidR="000D5C8E" w:rsidRPr="005C3281" w:rsidRDefault="000D5C8E" w:rsidP="00707159">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5C3281">
              <w:rPr>
                <w:color w:val="000000"/>
                <w:lang w:eastAsia="en-AU"/>
              </w:rPr>
              <w:t>0.000</w:t>
            </w:r>
          </w:p>
        </w:tc>
      </w:tr>
      <w:tr w:rsidR="000D5C8E" w:rsidRPr="002262E0" w14:paraId="5294AA76" w14:textId="77777777" w:rsidTr="008B3BEE">
        <w:trPr>
          <w:trHeight w:val="288"/>
        </w:trPr>
        <w:tc>
          <w:tcPr>
            <w:cnfStyle w:val="001000000000" w:firstRow="0" w:lastRow="0" w:firstColumn="1" w:lastColumn="0" w:oddVBand="0" w:evenVBand="0" w:oddHBand="0" w:evenHBand="0" w:firstRowFirstColumn="0" w:firstRowLastColumn="0" w:lastRowFirstColumn="0" w:lastRowLastColumn="0"/>
            <w:tcW w:w="1862" w:type="pct"/>
            <w:shd w:val="clear" w:color="auto" w:fill="FFFFFF" w:themeFill="background1"/>
            <w:noWrap/>
            <w:hideMark/>
          </w:tcPr>
          <w:p w14:paraId="188F249A" w14:textId="77777777" w:rsidR="000D5C8E" w:rsidRPr="00122B6C" w:rsidRDefault="000D5C8E" w:rsidP="005C3281">
            <w:pPr>
              <w:spacing w:line="360" w:lineRule="exact"/>
              <w:ind w:firstLineChars="100" w:firstLine="240"/>
              <w:jc w:val="both"/>
              <w:rPr>
                <w:b w:val="0"/>
                <w:color w:val="000000"/>
                <w:lang w:eastAsia="en-AU"/>
              </w:rPr>
            </w:pPr>
            <w:r w:rsidRPr="00122B6C">
              <w:rPr>
                <w:b w:val="0"/>
                <w:color w:val="000000"/>
                <w:lang w:eastAsia="en-AU"/>
              </w:rPr>
              <w:t>ITIND</w:t>
            </w:r>
          </w:p>
        </w:tc>
        <w:tc>
          <w:tcPr>
            <w:tcW w:w="1138" w:type="pct"/>
            <w:shd w:val="clear" w:color="auto" w:fill="FFFFFF" w:themeFill="background1"/>
            <w:noWrap/>
            <w:hideMark/>
          </w:tcPr>
          <w:p w14:paraId="467BF532" w14:textId="77777777" w:rsidR="000D5C8E" w:rsidRPr="005C3281" w:rsidRDefault="000D5C8E" w:rsidP="00707159">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5C3281">
              <w:rPr>
                <w:color w:val="000000"/>
                <w:lang w:eastAsia="en-AU"/>
              </w:rPr>
              <w:t>-0.284</w:t>
            </w:r>
          </w:p>
        </w:tc>
        <w:tc>
          <w:tcPr>
            <w:tcW w:w="1070" w:type="pct"/>
            <w:shd w:val="clear" w:color="auto" w:fill="FFFFFF" w:themeFill="background1"/>
            <w:noWrap/>
            <w:hideMark/>
          </w:tcPr>
          <w:p w14:paraId="1C7A636C" w14:textId="77777777" w:rsidR="000D5C8E" w:rsidRPr="005C3281" w:rsidRDefault="000D5C8E" w:rsidP="00707159">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5C3281">
              <w:rPr>
                <w:color w:val="000000"/>
                <w:lang w:eastAsia="en-AU"/>
              </w:rPr>
              <w:t>-0.463</w:t>
            </w:r>
          </w:p>
        </w:tc>
        <w:tc>
          <w:tcPr>
            <w:tcW w:w="930" w:type="pct"/>
            <w:shd w:val="clear" w:color="auto" w:fill="FFFFFF" w:themeFill="background1"/>
            <w:noWrap/>
            <w:hideMark/>
          </w:tcPr>
          <w:p w14:paraId="1E44DB10" w14:textId="77777777" w:rsidR="000D5C8E" w:rsidRPr="005C3281" w:rsidRDefault="000D5C8E" w:rsidP="00707159">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5C3281">
              <w:rPr>
                <w:color w:val="000000"/>
                <w:lang w:eastAsia="en-AU"/>
              </w:rPr>
              <w:t>0.644</w:t>
            </w:r>
          </w:p>
        </w:tc>
      </w:tr>
      <w:tr w:rsidR="000D5C8E" w:rsidRPr="002262E0" w14:paraId="5C768DAB" w14:textId="77777777" w:rsidTr="008B3B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62" w:type="pct"/>
            <w:shd w:val="clear" w:color="auto" w:fill="FFFFFF" w:themeFill="background1"/>
            <w:noWrap/>
            <w:hideMark/>
          </w:tcPr>
          <w:p w14:paraId="2C5C4CCE" w14:textId="77777777" w:rsidR="000D5C8E" w:rsidRPr="00122B6C" w:rsidRDefault="000D5C8E" w:rsidP="005C3281">
            <w:pPr>
              <w:spacing w:line="360" w:lineRule="exact"/>
              <w:ind w:firstLineChars="100" w:firstLine="240"/>
              <w:jc w:val="both"/>
              <w:rPr>
                <w:b w:val="0"/>
                <w:color w:val="000000"/>
                <w:lang w:eastAsia="en-AU"/>
              </w:rPr>
            </w:pPr>
            <w:r w:rsidRPr="00122B6C">
              <w:rPr>
                <w:b w:val="0"/>
                <w:color w:val="000000"/>
                <w:lang w:eastAsia="en-AU"/>
              </w:rPr>
              <w:t>FPIND</w:t>
            </w:r>
          </w:p>
        </w:tc>
        <w:tc>
          <w:tcPr>
            <w:tcW w:w="1138" w:type="pct"/>
            <w:shd w:val="clear" w:color="auto" w:fill="FFFFFF" w:themeFill="background1"/>
            <w:noWrap/>
            <w:hideMark/>
          </w:tcPr>
          <w:p w14:paraId="6BFB4FCD" w14:textId="77777777" w:rsidR="000D5C8E" w:rsidRPr="005C3281" w:rsidRDefault="000D5C8E" w:rsidP="00707159">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5C3281">
              <w:rPr>
                <w:color w:val="000000"/>
                <w:lang w:eastAsia="en-AU"/>
              </w:rPr>
              <w:t>4.573</w:t>
            </w:r>
          </w:p>
        </w:tc>
        <w:tc>
          <w:tcPr>
            <w:tcW w:w="1070" w:type="pct"/>
            <w:shd w:val="clear" w:color="auto" w:fill="FFFFFF" w:themeFill="background1"/>
            <w:noWrap/>
            <w:hideMark/>
          </w:tcPr>
          <w:p w14:paraId="23316AEE" w14:textId="77777777" w:rsidR="000D5C8E" w:rsidRPr="005C3281" w:rsidRDefault="000D5C8E" w:rsidP="00707159">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5C3281">
              <w:rPr>
                <w:color w:val="000000"/>
                <w:lang w:eastAsia="en-AU"/>
              </w:rPr>
              <w:t>7.011</w:t>
            </w:r>
          </w:p>
        </w:tc>
        <w:tc>
          <w:tcPr>
            <w:tcW w:w="930" w:type="pct"/>
            <w:shd w:val="clear" w:color="auto" w:fill="FFFFFF" w:themeFill="background1"/>
            <w:noWrap/>
            <w:hideMark/>
          </w:tcPr>
          <w:p w14:paraId="39DFDEE3" w14:textId="77777777" w:rsidR="000D5C8E" w:rsidRPr="005C3281" w:rsidRDefault="000D5C8E" w:rsidP="00707159">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5C3281">
              <w:rPr>
                <w:color w:val="000000"/>
                <w:lang w:eastAsia="en-AU"/>
              </w:rPr>
              <w:t>0.000</w:t>
            </w:r>
          </w:p>
        </w:tc>
      </w:tr>
      <w:tr w:rsidR="000D5C8E" w:rsidRPr="002262E0" w14:paraId="15307B84" w14:textId="77777777" w:rsidTr="008B3BEE">
        <w:trPr>
          <w:trHeight w:val="288"/>
        </w:trPr>
        <w:tc>
          <w:tcPr>
            <w:cnfStyle w:val="001000000000" w:firstRow="0" w:lastRow="0" w:firstColumn="1" w:lastColumn="0" w:oddVBand="0" w:evenVBand="0" w:oddHBand="0" w:evenHBand="0" w:firstRowFirstColumn="0" w:firstRowLastColumn="0" w:lastRowFirstColumn="0" w:lastRowLastColumn="0"/>
            <w:tcW w:w="1862" w:type="pct"/>
            <w:shd w:val="clear" w:color="auto" w:fill="FFFFFF" w:themeFill="background1"/>
            <w:noWrap/>
            <w:hideMark/>
          </w:tcPr>
          <w:p w14:paraId="4B25C5D7" w14:textId="77777777" w:rsidR="000D5C8E" w:rsidRPr="00122B6C" w:rsidRDefault="000D5C8E" w:rsidP="005C3281">
            <w:pPr>
              <w:spacing w:line="360" w:lineRule="exact"/>
              <w:ind w:firstLineChars="100" w:firstLine="240"/>
              <w:jc w:val="both"/>
              <w:rPr>
                <w:b w:val="0"/>
                <w:color w:val="000000"/>
                <w:lang w:eastAsia="en-AU"/>
              </w:rPr>
            </w:pPr>
            <w:r w:rsidRPr="00122B6C">
              <w:rPr>
                <w:b w:val="0"/>
                <w:color w:val="000000"/>
                <w:lang w:eastAsia="en-AU"/>
              </w:rPr>
              <w:t>IE</w:t>
            </w:r>
          </w:p>
        </w:tc>
        <w:tc>
          <w:tcPr>
            <w:tcW w:w="1138" w:type="pct"/>
            <w:shd w:val="clear" w:color="auto" w:fill="FFFFFF" w:themeFill="background1"/>
            <w:noWrap/>
            <w:hideMark/>
          </w:tcPr>
          <w:p w14:paraId="0323B874" w14:textId="77777777" w:rsidR="000D5C8E" w:rsidRPr="005C3281" w:rsidRDefault="000D5C8E" w:rsidP="00707159">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5C3281">
              <w:rPr>
                <w:color w:val="000000"/>
                <w:lang w:eastAsia="en-AU"/>
              </w:rPr>
              <w:t>0.013</w:t>
            </w:r>
          </w:p>
        </w:tc>
        <w:tc>
          <w:tcPr>
            <w:tcW w:w="1070" w:type="pct"/>
            <w:shd w:val="clear" w:color="auto" w:fill="FFFFFF" w:themeFill="background1"/>
            <w:noWrap/>
            <w:hideMark/>
          </w:tcPr>
          <w:p w14:paraId="0C67EA79" w14:textId="77777777" w:rsidR="000D5C8E" w:rsidRPr="005C3281" w:rsidRDefault="000D5C8E" w:rsidP="00707159">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5C3281">
              <w:rPr>
                <w:color w:val="000000"/>
                <w:lang w:eastAsia="en-AU"/>
              </w:rPr>
              <w:t>2.186</w:t>
            </w:r>
          </w:p>
        </w:tc>
        <w:tc>
          <w:tcPr>
            <w:tcW w:w="930" w:type="pct"/>
            <w:shd w:val="clear" w:color="auto" w:fill="FFFFFF" w:themeFill="background1"/>
            <w:noWrap/>
            <w:hideMark/>
          </w:tcPr>
          <w:p w14:paraId="099ADD82" w14:textId="77777777" w:rsidR="000D5C8E" w:rsidRPr="005C3281" w:rsidRDefault="000D5C8E" w:rsidP="00707159">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5C3281">
              <w:rPr>
                <w:color w:val="000000"/>
                <w:lang w:eastAsia="en-AU"/>
              </w:rPr>
              <w:t>0.030</w:t>
            </w:r>
          </w:p>
        </w:tc>
      </w:tr>
      <w:tr w:rsidR="000D5C8E" w:rsidRPr="002262E0" w14:paraId="2580564D" w14:textId="77777777" w:rsidTr="008B3B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62" w:type="pct"/>
            <w:shd w:val="clear" w:color="auto" w:fill="FFFFFF" w:themeFill="background1"/>
            <w:noWrap/>
            <w:hideMark/>
          </w:tcPr>
          <w:p w14:paraId="7FFF437B" w14:textId="77777777" w:rsidR="000D5C8E" w:rsidRPr="00122B6C" w:rsidRDefault="000D5C8E" w:rsidP="005C3281">
            <w:pPr>
              <w:spacing w:line="360" w:lineRule="exact"/>
              <w:ind w:firstLineChars="100" w:firstLine="240"/>
              <w:jc w:val="both"/>
              <w:rPr>
                <w:b w:val="0"/>
                <w:color w:val="000000"/>
                <w:lang w:eastAsia="en-AU"/>
              </w:rPr>
            </w:pPr>
            <w:r w:rsidRPr="00122B6C">
              <w:rPr>
                <w:b w:val="0"/>
                <w:color w:val="000000"/>
                <w:lang w:eastAsia="en-AU"/>
              </w:rPr>
              <w:t>TA</w:t>
            </w:r>
          </w:p>
        </w:tc>
        <w:tc>
          <w:tcPr>
            <w:tcW w:w="1138" w:type="pct"/>
            <w:shd w:val="clear" w:color="auto" w:fill="FFFFFF" w:themeFill="background1"/>
            <w:noWrap/>
            <w:hideMark/>
          </w:tcPr>
          <w:p w14:paraId="7ECCB865" w14:textId="77777777" w:rsidR="000D5C8E" w:rsidRPr="00D55CAF" w:rsidRDefault="000D5C8E" w:rsidP="00707159">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D55CAF">
              <w:rPr>
                <w:color w:val="000000"/>
                <w:lang w:eastAsia="en-AU"/>
              </w:rPr>
              <w:t>2.447</w:t>
            </w:r>
          </w:p>
        </w:tc>
        <w:tc>
          <w:tcPr>
            <w:tcW w:w="1070" w:type="pct"/>
            <w:shd w:val="clear" w:color="auto" w:fill="FFFFFF" w:themeFill="background1"/>
            <w:noWrap/>
            <w:hideMark/>
          </w:tcPr>
          <w:p w14:paraId="0ECAFE7E" w14:textId="77777777" w:rsidR="000D5C8E" w:rsidRPr="00D55CAF" w:rsidRDefault="000D5C8E" w:rsidP="00707159">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D55CAF">
              <w:rPr>
                <w:color w:val="000000"/>
                <w:lang w:eastAsia="en-AU"/>
              </w:rPr>
              <w:t>11.371</w:t>
            </w:r>
          </w:p>
        </w:tc>
        <w:tc>
          <w:tcPr>
            <w:tcW w:w="930" w:type="pct"/>
            <w:shd w:val="clear" w:color="auto" w:fill="FFFFFF" w:themeFill="background1"/>
            <w:noWrap/>
            <w:hideMark/>
          </w:tcPr>
          <w:p w14:paraId="1C91EEBC" w14:textId="77777777" w:rsidR="000D5C8E" w:rsidRPr="00D55CAF" w:rsidRDefault="000D5C8E" w:rsidP="00707159">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D55CAF">
              <w:rPr>
                <w:color w:val="000000"/>
                <w:lang w:eastAsia="en-AU"/>
              </w:rPr>
              <w:t>0.000</w:t>
            </w:r>
          </w:p>
        </w:tc>
      </w:tr>
      <w:tr w:rsidR="000D5C8E" w:rsidRPr="002262E0" w14:paraId="618899A7" w14:textId="77777777" w:rsidTr="008B3BEE">
        <w:trPr>
          <w:trHeight w:val="288"/>
        </w:trPr>
        <w:tc>
          <w:tcPr>
            <w:cnfStyle w:val="001000000000" w:firstRow="0" w:lastRow="0" w:firstColumn="1" w:lastColumn="0" w:oddVBand="0" w:evenVBand="0" w:oddHBand="0" w:evenHBand="0" w:firstRowFirstColumn="0" w:firstRowLastColumn="0" w:lastRowFirstColumn="0" w:lastRowLastColumn="0"/>
            <w:tcW w:w="1862" w:type="pct"/>
            <w:shd w:val="clear" w:color="auto" w:fill="FFFFFF" w:themeFill="background1"/>
            <w:noWrap/>
            <w:hideMark/>
          </w:tcPr>
          <w:p w14:paraId="477B7DB2" w14:textId="77777777" w:rsidR="000D5C8E" w:rsidRPr="00122B6C" w:rsidRDefault="000D5C8E" w:rsidP="00D55CAF">
            <w:pPr>
              <w:spacing w:line="360" w:lineRule="exact"/>
              <w:ind w:firstLineChars="100" w:firstLine="240"/>
              <w:jc w:val="both"/>
              <w:rPr>
                <w:b w:val="0"/>
                <w:color w:val="000000"/>
                <w:lang w:eastAsia="en-AU"/>
              </w:rPr>
            </w:pPr>
            <w:r w:rsidRPr="00122B6C">
              <w:rPr>
                <w:b w:val="0"/>
                <w:color w:val="000000"/>
                <w:lang w:eastAsia="en-AU"/>
              </w:rPr>
              <w:t>ROA</w:t>
            </w:r>
          </w:p>
        </w:tc>
        <w:tc>
          <w:tcPr>
            <w:tcW w:w="1138" w:type="pct"/>
            <w:shd w:val="clear" w:color="auto" w:fill="FFFFFF" w:themeFill="background1"/>
            <w:noWrap/>
            <w:hideMark/>
          </w:tcPr>
          <w:p w14:paraId="6791F891" w14:textId="77777777" w:rsidR="000D5C8E" w:rsidRPr="00D55CAF" w:rsidRDefault="000D5C8E" w:rsidP="00707159">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D55CAF">
              <w:rPr>
                <w:color w:val="000000"/>
                <w:lang w:eastAsia="en-AU"/>
              </w:rPr>
              <w:t>0.055</w:t>
            </w:r>
          </w:p>
        </w:tc>
        <w:tc>
          <w:tcPr>
            <w:tcW w:w="1070" w:type="pct"/>
            <w:shd w:val="clear" w:color="auto" w:fill="FFFFFF" w:themeFill="background1"/>
            <w:noWrap/>
            <w:hideMark/>
          </w:tcPr>
          <w:p w14:paraId="65F9C9E2" w14:textId="77777777" w:rsidR="000D5C8E" w:rsidRPr="00D55CAF" w:rsidRDefault="000D5C8E" w:rsidP="00707159">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D55CAF">
              <w:rPr>
                <w:color w:val="000000"/>
                <w:lang w:eastAsia="en-AU"/>
              </w:rPr>
              <w:t>6.470</w:t>
            </w:r>
          </w:p>
        </w:tc>
        <w:tc>
          <w:tcPr>
            <w:tcW w:w="930" w:type="pct"/>
            <w:shd w:val="clear" w:color="auto" w:fill="FFFFFF" w:themeFill="background1"/>
            <w:noWrap/>
            <w:hideMark/>
          </w:tcPr>
          <w:p w14:paraId="3AC2E2EE" w14:textId="77777777" w:rsidR="000D5C8E" w:rsidRPr="00D55CAF" w:rsidRDefault="000D5C8E" w:rsidP="00707159">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D55CAF">
              <w:rPr>
                <w:color w:val="000000"/>
                <w:lang w:eastAsia="en-AU"/>
              </w:rPr>
              <w:t>0.000</w:t>
            </w:r>
          </w:p>
        </w:tc>
      </w:tr>
      <w:tr w:rsidR="000D5C8E" w:rsidRPr="002262E0" w14:paraId="72C494F7" w14:textId="77777777" w:rsidTr="008B3B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62" w:type="pct"/>
            <w:shd w:val="clear" w:color="auto" w:fill="FFFFFF" w:themeFill="background1"/>
            <w:noWrap/>
          </w:tcPr>
          <w:p w14:paraId="7DC3842F" w14:textId="77777777" w:rsidR="000D5C8E" w:rsidRPr="00122B6C" w:rsidRDefault="000D5C8E" w:rsidP="00D55CAF">
            <w:pPr>
              <w:spacing w:line="360" w:lineRule="exact"/>
              <w:ind w:firstLineChars="100" w:firstLine="240"/>
              <w:jc w:val="both"/>
              <w:rPr>
                <w:b w:val="0"/>
                <w:color w:val="000000"/>
                <w:lang w:eastAsia="en-AU"/>
              </w:rPr>
            </w:pPr>
            <w:r w:rsidRPr="00122B6C">
              <w:rPr>
                <w:b w:val="0"/>
                <w:color w:val="000000"/>
                <w:lang w:eastAsia="en-AU"/>
              </w:rPr>
              <w:t>R-squared</w:t>
            </w:r>
            <w:r w:rsidRPr="00122B6C">
              <w:rPr>
                <w:b w:val="0"/>
                <w:color w:val="000000"/>
                <w:lang w:eastAsia="en-AU"/>
              </w:rPr>
              <w:tab/>
            </w:r>
          </w:p>
        </w:tc>
        <w:tc>
          <w:tcPr>
            <w:tcW w:w="1138" w:type="pct"/>
            <w:shd w:val="clear" w:color="auto" w:fill="FFFFFF" w:themeFill="background1"/>
            <w:noWrap/>
          </w:tcPr>
          <w:p w14:paraId="50B30B7D" w14:textId="77777777" w:rsidR="000D5C8E" w:rsidRPr="00D55CAF" w:rsidRDefault="000D5C8E" w:rsidP="00707159">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D55CAF">
              <w:rPr>
                <w:color w:val="000000"/>
                <w:lang w:eastAsia="en-AU"/>
              </w:rPr>
              <w:t>0.63</w:t>
            </w:r>
          </w:p>
        </w:tc>
        <w:tc>
          <w:tcPr>
            <w:tcW w:w="1070" w:type="pct"/>
            <w:shd w:val="clear" w:color="auto" w:fill="FFFFFF" w:themeFill="background1"/>
            <w:noWrap/>
          </w:tcPr>
          <w:p w14:paraId="7FCCA388" w14:textId="77777777" w:rsidR="000D5C8E" w:rsidRPr="00D55CAF" w:rsidRDefault="000D5C8E" w:rsidP="00707159">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p>
        </w:tc>
        <w:tc>
          <w:tcPr>
            <w:tcW w:w="930" w:type="pct"/>
            <w:shd w:val="clear" w:color="auto" w:fill="FFFFFF" w:themeFill="background1"/>
            <w:noWrap/>
          </w:tcPr>
          <w:p w14:paraId="68AA928A" w14:textId="77777777" w:rsidR="000D5C8E" w:rsidRPr="00D55CAF" w:rsidRDefault="000D5C8E" w:rsidP="00707159">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p>
        </w:tc>
      </w:tr>
      <w:tr w:rsidR="000D5C8E" w:rsidRPr="002262E0" w14:paraId="2DA17314" w14:textId="77777777" w:rsidTr="008B3BEE">
        <w:trPr>
          <w:trHeight w:val="288"/>
        </w:trPr>
        <w:tc>
          <w:tcPr>
            <w:cnfStyle w:val="001000000000" w:firstRow="0" w:lastRow="0" w:firstColumn="1" w:lastColumn="0" w:oddVBand="0" w:evenVBand="0" w:oddHBand="0" w:evenHBand="0" w:firstRowFirstColumn="0" w:firstRowLastColumn="0" w:lastRowFirstColumn="0" w:lastRowLastColumn="0"/>
            <w:tcW w:w="1862" w:type="pct"/>
            <w:shd w:val="clear" w:color="auto" w:fill="FFFFFF" w:themeFill="background1"/>
            <w:noWrap/>
          </w:tcPr>
          <w:p w14:paraId="7A93C9F4" w14:textId="1AB6E7E6" w:rsidR="000D5C8E" w:rsidRPr="00122B6C" w:rsidRDefault="000D5C8E" w:rsidP="00D55CAF">
            <w:pPr>
              <w:spacing w:line="360" w:lineRule="exact"/>
              <w:ind w:firstLineChars="100" w:firstLine="240"/>
              <w:jc w:val="both"/>
              <w:rPr>
                <w:b w:val="0"/>
                <w:color w:val="000000"/>
                <w:lang w:eastAsia="en-AU"/>
              </w:rPr>
            </w:pPr>
            <w:r w:rsidRPr="00122B6C">
              <w:rPr>
                <w:b w:val="0"/>
                <w:color w:val="000000"/>
                <w:lang w:eastAsia="en-AU"/>
              </w:rPr>
              <w:t xml:space="preserve">Adjusted R-squared </w:t>
            </w:r>
          </w:p>
        </w:tc>
        <w:tc>
          <w:tcPr>
            <w:tcW w:w="1138" w:type="pct"/>
            <w:shd w:val="clear" w:color="auto" w:fill="FFFFFF" w:themeFill="background1"/>
            <w:noWrap/>
          </w:tcPr>
          <w:p w14:paraId="12B78A28" w14:textId="77777777" w:rsidR="000D5C8E" w:rsidRPr="00D55CAF" w:rsidRDefault="000D5C8E" w:rsidP="00707159">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D55CAF">
              <w:rPr>
                <w:color w:val="000000"/>
                <w:lang w:eastAsia="en-AU"/>
              </w:rPr>
              <w:t>0.62</w:t>
            </w:r>
          </w:p>
        </w:tc>
        <w:tc>
          <w:tcPr>
            <w:tcW w:w="1070" w:type="pct"/>
            <w:shd w:val="clear" w:color="auto" w:fill="FFFFFF" w:themeFill="background1"/>
            <w:noWrap/>
          </w:tcPr>
          <w:p w14:paraId="263BE564" w14:textId="77777777" w:rsidR="000D5C8E" w:rsidRPr="00D55CAF" w:rsidRDefault="000D5C8E" w:rsidP="00707159">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p>
        </w:tc>
        <w:tc>
          <w:tcPr>
            <w:tcW w:w="930" w:type="pct"/>
            <w:shd w:val="clear" w:color="auto" w:fill="FFFFFF" w:themeFill="background1"/>
            <w:noWrap/>
          </w:tcPr>
          <w:p w14:paraId="62DC0465" w14:textId="77777777" w:rsidR="000D5C8E" w:rsidRPr="00D55CAF" w:rsidRDefault="000D5C8E" w:rsidP="00707159">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p>
        </w:tc>
      </w:tr>
      <w:tr w:rsidR="000D5C8E" w:rsidRPr="002262E0" w14:paraId="4C79E5BB" w14:textId="77777777" w:rsidTr="008B3B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62" w:type="pct"/>
            <w:shd w:val="clear" w:color="auto" w:fill="FFFFFF" w:themeFill="background1"/>
            <w:noWrap/>
          </w:tcPr>
          <w:p w14:paraId="25C89EAF" w14:textId="77777777" w:rsidR="000D5C8E" w:rsidRPr="00122B6C" w:rsidRDefault="000D5C8E" w:rsidP="00D55CAF">
            <w:pPr>
              <w:spacing w:line="360" w:lineRule="exact"/>
              <w:ind w:firstLineChars="100" w:firstLine="240"/>
              <w:jc w:val="both"/>
              <w:rPr>
                <w:b w:val="0"/>
                <w:color w:val="000000"/>
                <w:lang w:eastAsia="en-AU"/>
              </w:rPr>
            </w:pPr>
            <w:r w:rsidRPr="00122B6C">
              <w:rPr>
                <w:b w:val="0"/>
                <w:color w:val="000000"/>
                <w:lang w:eastAsia="en-AU"/>
              </w:rPr>
              <w:t>Durbin-Watson stat</w:t>
            </w:r>
          </w:p>
        </w:tc>
        <w:tc>
          <w:tcPr>
            <w:tcW w:w="1138" w:type="pct"/>
            <w:shd w:val="clear" w:color="auto" w:fill="FFFFFF" w:themeFill="background1"/>
            <w:noWrap/>
          </w:tcPr>
          <w:p w14:paraId="1C7C5FF1" w14:textId="77777777" w:rsidR="000D5C8E" w:rsidRPr="00D55CAF" w:rsidRDefault="000D5C8E" w:rsidP="00707159">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D55CAF">
              <w:rPr>
                <w:color w:val="000000"/>
                <w:lang w:eastAsia="en-AU"/>
              </w:rPr>
              <w:t>1.69</w:t>
            </w:r>
          </w:p>
        </w:tc>
        <w:tc>
          <w:tcPr>
            <w:tcW w:w="1070" w:type="pct"/>
            <w:shd w:val="clear" w:color="auto" w:fill="FFFFFF" w:themeFill="background1"/>
            <w:noWrap/>
          </w:tcPr>
          <w:p w14:paraId="6A795526" w14:textId="77777777" w:rsidR="000D5C8E" w:rsidRPr="00D55CAF" w:rsidRDefault="000D5C8E" w:rsidP="00707159">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p>
        </w:tc>
        <w:tc>
          <w:tcPr>
            <w:tcW w:w="930" w:type="pct"/>
            <w:shd w:val="clear" w:color="auto" w:fill="FFFFFF" w:themeFill="background1"/>
            <w:noWrap/>
          </w:tcPr>
          <w:p w14:paraId="4BC48046" w14:textId="77777777" w:rsidR="000D5C8E" w:rsidRPr="00D55CAF" w:rsidRDefault="000D5C8E" w:rsidP="00707159">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p>
        </w:tc>
      </w:tr>
      <w:tr w:rsidR="000D5C8E" w:rsidRPr="002262E0" w14:paraId="6BCD107A" w14:textId="77777777" w:rsidTr="008B3BEE">
        <w:trPr>
          <w:trHeight w:val="288"/>
        </w:trPr>
        <w:tc>
          <w:tcPr>
            <w:cnfStyle w:val="001000000000" w:firstRow="0" w:lastRow="0" w:firstColumn="1" w:lastColumn="0" w:oddVBand="0" w:evenVBand="0" w:oddHBand="0" w:evenHBand="0" w:firstRowFirstColumn="0" w:firstRowLastColumn="0" w:lastRowFirstColumn="0" w:lastRowLastColumn="0"/>
            <w:tcW w:w="1862" w:type="pct"/>
            <w:shd w:val="clear" w:color="auto" w:fill="FFFFFF" w:themeFill="background1"/>
            <w:noWrap/>
            <w:hideMark/>
          </w:tcPr>
          <w:p w14:paraId="7B6F0AC6" w14:textId="77777777" w:rsidR="000D5C8E" w:rsidRPr="00122B6C" w:rsidRDefault="000D5C8E" w:rsidP="00D55CAF">
            <w:pPr>
              <w:spacing w:line="360" w:lineRule="exact"/>
              <w:ind w:firstLineChars="100" w:firstLine="240"/>
              <w:jc w:val="both"/>
              <w:rPr>
                <w:b w:val="0"/>
                <w:color w:val="000000"/>
                <w:lang w:eastAsia="en-AU"/>
              </w:rPr>
            </w:pPr>
            <w:r w:rsidRPr="00122B6C">
              <w:rPr>
                <w:b w:val="0"/>
                <w:color w:val="000000"/>
                <w:lang w:eastAsia="en-AU"/>
              </w:rPr>
              <w:t>F-statistic</w:t>
            </w:r>
          </w:p>
        </w:tc>
        <w:tc>
          <w:tcPr>
            <w:tcW w:w="1138" w:type="pct"/>
            <w:shd w:val="clear" w:color="auto" w:fill="FFFFFF" w:themeFill="background1"/>
            <w:noWrap/>
            <w:hideMark/>
          </w:tcPr>
          <w:p w14:paraId="6DFD57F2" w14:textId="77777777" w:rsidR="000D5C8E" w:rsidRPr="00D55CAF" w:rsidRDefault="000D5C8E" w:rsidP="00707159">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D55CAF">
              <w:rPr>
                <w:color w:val="000000"/>
                <w:lang w:eastAsia="en-AU"/>
              </w:rPr>
              <w:t>56.96</w:t>
            </w:r>
          </w:p>
        </w:tc>
        <w:tc>
          <w:tcPr>
            <w:tcW w:w="1070" w:type="pct"/>
            <w:shd w:val="clear" w:color="auto" w:fill="FFFFFF" w:themeFill="background1"/>
            <w:noWrap/>
          </w:tcPr>
          <w:p w14:paraId="2B23CF3C" w14:textId="77777777" w:rsidR="000D5C8E" w:rsidRPr="00D55CAF" w:rsidRDefault="000D5C8E" w:rsidP="00707159">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p>
        </w:tc>
        <w:tc>
          <w:tcPr>
            <w:tcW w:w="930" w:type="pct"/>
            <w:shd w:val="clear" w:color="auto" w:fill="FFFFFF" w:themeFill="background1"/>
            <w:noWrap/>
            <w:hideMark/>
          </w:tcPr>
          <w:p w14:paraId="17D1EF11" w14:textId="77777777" w:rsidR="000D5C8E" w:rsidRPr="00D55CAF" w:rsidRDefault="000D5C8E" w:rsidP="00707159">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p>
        </w:tc>
      </w:tr>
      <w:tr w:rsidR="000D5C8E" w:rsidRPr="002262E0" w14:paraId="2821999A" w14:textId="77777777" w:rsidTr="008B3B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62" w:type="pct"/>
            <w:shd w:val="clear" w:color="auto" w:fill="FFFFFF" w:themeFill="background1"/>
            <w:noWrap/>
            <w:hideMark/>
          </w:tcPr>
          <w:p w14:paraId="34FE0617" w14:textId="506291F6" w:rsidR="000D5C8E" w:rsidRPr="00122B6C" w:rsidRDefault="000D5C8E" w:rsidP="00D55CAF">
            <w:pPr>
              <w:spacing w:line="360" w:lineRule="exact"/>
              <w:ind w:firstLineChars="100" w:firstLine="240"/>
              <w:jc w:val="both"/>
              <w:rPr>
                <w:b w:val="0"/>
                <w:color w:val="000000"/>
                <w:lang w:eastAsia="en-AU"/>
              </w:rPr>
            </w:pPr>
            <w:proofErr w:type="spellStart"/>
            <w:r w:rsidRPr="00122B6C">
              <w:rPr>
                <w:b w:val="0"/>
                <w:color w:val="000000"/>
                <w:lang w:eastAsia="en-AU"/>
              </w:rPr>
              <w:t>Prob</w:t>
            </w:r>
            <w:proofErr w:type="spellEnd"/>
            <w:r w:rsidR="00830932" w:rsidRPr="00122B6C">
              <w:rPr>
                <w:b w:val="0"/>
                <w:color w:val="000000"/>
                <w:lang w:eastAsia="en-AU"/>
              </w:rPr>
              <w:t xml:space="preserve"> </w:t>
            </w:r>
            <w:r w:rsidRPr="00122B6C">
              <w:rPr>
                <w:b w:val="0"/>
                <w:color w:val="000000"/>
                <w:lang w:eastAsia="en-AU"/>
              </w:rPr>
              <w:t>(F-statistic)</w:t>
            </w:r>
          </w:p>
        </w:tc>
        <w:tc>
          <w:tcPr>
            <w:tcW w:w="1138" w:type="pct"/>
            <w:shd w:val="clear" w:color="auto" w:fill="FFFFFF" w:themeFill="background1"/>
            <w:noWrap/>
            <w:hideMark/>
          </w:tcPr>
          <w:p w14:paraId="103C7E3E" w14:textId="77777777" w:rsidR="000D5C8E" w:rsidRPr="00D55CAF" w:rsidRDefault="000D5C8E" w:rsidP="00D55CAF">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D55CAF">
              <w:rPr>
                <w:color w:val="000000"/>
                <w:lang w:eastAsia="en-AU"/>
              </w:rPr>
              <w:t>0.00</w:t>
            </w:r>
          </w:p>
        </w:tc>
        <w:tc>
          <w:tcPr>
            <w:tcW w:w="1070" w:type="pct"/>
            <w:shd w:val="clear" w:color="auto" w:fill="FFFFFF" w:themeFill="background1"/>
            <w:noWrap/>
            <w:hideMark/>
          </w:tcPr>
          <w:p w14:paraId="7BC3DAD9" w14:textId="77777777" w:rsidR="000D5C8E" w:rsidRPr="00D55CAF" w:rsidRDefault="000D5C8E" w:rsidP="00707159">
            <w:pPr>
              <w:spacing w:line="360" w:lineRule="exact"/>
              <w:jc w:val="both"/>
              <w:cnfStyle w:val="000000100000" w:firstRow="0" w:lastRow="0" w:firstColumn="0" w:lastColumn="0" w:oddVBand="0" w:evenVBand="0" w:oddHBand="1" w:evenHBand="0" w:firstRowFirstColumn="0" w:firstRowLastColumn="0" w:lastRowFirstColumn="0" w:lastRowLastColumn="0"/>
              <w:rPr>
                <w:lang w:eastAsia="en-AU"/>
              </w:rPr>
            </w:pPr>
          </w:p>
        </w:tc>
        <w:tc>
          <w:tcPr>
            <w:tcW w:w="930" w:type="pct"/>
            <w:shd w:val="clear" w:color="auto" w:fill="FFFFFF" w:themeFill="background1"/>
            <w:noWrap/>
            <w:hideMark/>
          </w:tcPr>
          <w:p w14:paraId="23AFBE3B" w14:textId="77777777" w:rsidR="000D5C8E" w:rsidRPr="00D55CAF" w:rsidRDefault="000D5C8E" w:rsidP="00707159">
            <w:pPr>
              <w:spacing w:line="360" w:lineRule="exact"/>
              <w:jc w:val="both"/>
              <w:cnfStyle w:val="000000100000" w:firstRow="0" w:lastRow="0" w:firstColumn="0" w:lastColumn="0" w:oddVBand="0" w:evenVBand="0" w:oddHBand="1" w:evenHBand="0" w:firstRowFirstColumn="0" w:firstRowLastColumn="0" w:lastRowFirstColumn="0" w:lastRowLastColumn="0"/>
              <w:rPr>
                <w:lang w:eastAsia="en-AU"/>
              </w:rPr>
            </w:pPr>
          </w:p>
        </w:tc>
      </w:tr>
    </w:tbl>
    <w:p w14:paraId="456C4FB7" w14:textId="389A4C0D" w:rsidR="000803DE" w:rsidRPr="00D55CAF" w:rsidRDefault="00AD0022" w:rsidP="0011086F">
      <w:pPr>
        <w:spacing w:line="360" w:lineRule="exact"/>
        <w:jc w:val="both"/>
        <w:rPr>
          <w:rFonts w:eastAsiaTheme="minorHAnsi"/>
        </w:rPr>
      </w:pPr>
      <w:r w:rsidRPr="00AD0022">
        <w:rPr>
          <w:rFonts w:eastAsiaTheme="minorEastAsia" w:hint="eastAsia"/>
          <w:i/>
          <w:lang w:eastAsia="zh-TW"/>
        </w:rPr>
        <w:t>Note.</w:t>
      </w:r>
      <w:r w:rsidRPr="00AD0022">
        <w:rPr>
          <w:b/>
        </w:rPr>
        <w:t xml:space="preserve"> </w:t>
      </w:r>
      <w:r w:rsidR="000803DE" w:rsidRPr="00D55CAF">
        <w:rPr>
          <w:rFonts w:eastAsiaTheme="minorHAnsi"/>
        </w:rPr>
        <w:t>Dependent Variable: TOTAL IDX</w:t>
      </w:r>
    </w:p>
    <w:p w14:paraId="673AE90F" w14:textId="77777777" w:rsidR="000803DE" w:rsidRPr="00D55CAF" w:rsidRDefault="000803DE" w:rsidP="00AD0022">
      <w:pPr>
        <w:spacing w:line="360" w:lineRule="exact"/>
        <w:ind w:leftChars="236" w:left="566"/>
        <w:jc w:val="both"/>
        <w:rPr>
          <w:color w:val="000000"/>
          <w:lang w:eastAsia="en-AU"/>
        </w:rPr>
      </w:pPr>
      <w:r w:rsidRPr="00D55CAF">
        <w:rPr>
          <w:color w:val="000000"/>
          <w:lang w:eastAsia="en-AU"/>
        </w:rPr>
        <w:t>Method: Panel EGLS (Cross-section weights)</w:t>
      </w:r>
    </w:p>
    <w:p w14:paraId="62357A96" w14:textId="68D16C5F" w:rsidR="000803DE" w:rsidRPr="00F40242" w:rsidRDefault="000803DE" w:rsidP="0011086F">
      <w:pPr>
        <w:autoSpaceDE w:val="0"/>
        <w:autoSpaceDN w:val="0"/>
        <w:adjustRightInd w:val="0"/>
        <w:spacing w:line="360" w:lineRule="exact"/>
        <w:jc w:val="both"/>
        <w:rPr>
          <w:rFonts w:eastAsia="Calibri"/>
          <w:sz w:val="26"/>
          <w:lang w:eastAsia="en-AU"/>
        </w:rPr>
      </w:pPr>
    </w:p>
    <w:p w14:paraId="06EA0465" w14:textId="54AD99E3" w:rsidR="001B7F25" w:rsidRPr="00F40242" w:rsidRDefault="00CB7739" w:rsidP="000D5C8E">
      <w:pPr>
        <w:autoSpaceDE w:val="0"/>
        <w:autoSpaceDN w:val="0"/>
        <w:adjustRightInd w:val="0"/>
        <w:spacing w:line="360" w:lineRule="exact"/>
        <w:ind w:firstLineChars="200" w:firstLine="520"/>
        <w:jc w:val="both"/>
        <w:rPr>
          <w:sz w:val="26"/>
        </w:rPr>
      </w:pPr>
      <w:r w:rsidRPr="00F40242">
        <w:rPr>
          <w:sz w:val="26"/>
        </w:rPr>
        <w:t>The R</w:t>
      </w:r>
      <w:r w:rsidRPr="00F40242">
        <w:rPr>
          <w:sz w:val="26"/>
          <w:vertAlign w:val="superscript"/>
        </w:rPr>
        <w:t>2</w:t>
      </w:r>
      <w:r w:rsidR="00884EF2" w:rsidRPr="00F40242">
        <w:rPr>
          <w:sz w:val="26"/>
        </w:rPr>
        <w:t>-adjuste</w:t>
      </w:r>
      <w:r w:rsidRPr="00F40242">
        <w:rPr>
          <w:sz w:val="26"/>
        </w:rPr>
        <w:t xml:space="preserve">d goodness-of-fit measure </w:t>
      </w:r>
      <w:r w:rsidR="00653A9A" w:rsidRPr="00F40242">
        <w:rPr>
          <w:sz w:val="26"/>
        </w:rPr>
        <w:t>is estimated to be 0.6</w:t>
      </w:r>
      <w:r w:rsidR="00252883" w:rsidRPr="00F40242">
        <w:rPr>
          <w:sz w:val="26"/>
        </w:rPr>
        <w:t>2</w:t>
      </w:r>
      <w:r w:rsidR="00653A9A" w:rsidRPr="00F40242">
        <w:rPr>
          <w:sz w:val="26"/>
        </w:rPr>
        <w:t>, which is relatively high. The coefficient of the leverage variable</w:t>
      </w:r>
      <w:r w:rsidR="00682964" w:rsidRPr="00F40242">
        <w:rPr>
          <w:sz w:val="26"/>
        </w:rPr>
        <w:t xml:space="preserve"> (LEV)</w:t>
      </w:r>
      <w:r w:rsidR="00B86341" w:rsidRPr="00F40242">
        <w:rPr>
          <w:sz w:val="26"/>
        </w:rPr>
        <w:t xml:space="preserve">, which captures the extent to which a company </w:t>
      </w:r>
      <w:r w:rsidR="00CD711D" w:rsidRPr="00F40242">
        <w:rPr>
          <w:noProof/>
          <w:sz w:val="26"/>
        </w:rPr>
        <w:t>can</w:t>
      </w:r>
      <w:r w:rsidR="00B86341" w:rsidRPr="00F40242">
        <w:rPr>
          <w:sz w:val="26"/>
        </w:rPr>
        <w:t xml:space="preserve"> meet its financial obligations, is found to be </w:t>
      </w:r>
      <w:r w:rsidR="000D690C" w:rsidRPr="00F40242">
        <w:rPr>
          <w:sz w:val="26"/>
        </w:rPr>
        <w:t>negat</w:t>
      </w:r>
      <w:r w:rsidR="00653A9A" w:rsidRPr="00F40242">
        <w:rPr>
          <w:sz w:val="26"/>
        </w:rPr>
        <w:t>ive and statistically significant at a 1% level</w:t>
      </w:r>
      <w:r w:rsidR="00682964" w:rsidRPr="00F40242">
        <w:rPr>
          <w:sz w:val="26"/>
        </w:rPr>
        <w:t xml:space="preserve"> (p=0.0</w:t>
      </w:r>
      <w:r w:rsidR="000D690C" w:rsidRPr="00F40242">
        <w:rPr>
          <w:sz w:val="26"/>
        </w:rPr>
        <w:t>13</w:t>
      </w:r>
      <w:r w:rsidR="00682964" w:rsidRPr="00F40242">
        <w:rPr>
          <w:sz w:val="26"/>
        </w:rPr>
        <w:t>)</w:t>
      </w:r>
      <w:r w:rsidR="00B86341" w:rsidRPr="00F40242">
        <w:rPr>
          <w:sz w:val="26"/>
        </w:rPr>
        <w:t xml:space="preserve">, </w:t>
      </w:r>
      <w:r w:rsidR="000D690C" w:rsidRPr="00F40242">
        <w:rPr>
          <w:sz w:val="26"/>
        </w:rPr>
        <w:t xml:space="preserve">contrary to the </w:t>
      </w:r>
      <w:r w:rsidR="00B86341" w:rsidRPr="00F40242">
        <w:rPr>
          <w:sz w:val="26"/>
        </w:rPr>
        <w:t>expect</w:t>
      </w:r>
      <w:r w:rsidR="000D690C" w:rsidRPr="00F40242">
        <w:rPr>
          <w:sz w:val="26"/>
        </w:rPr>
        <w:t>ation of legitimacy theory</w:t>
      </w:r>
      <w:r w:rsidR="00B86341" w:rsidRPr="00F40242">
        <w:rPr>
          <w:sz w:val="26"/>
        </w:rPr>
        <w:t xml:space="preserve">. The results indicate that an increase in the leverage ratio of a company </w:t>
      </w:r>
      <w:r w:rsidR="00B86341" w:rsidRPr="00F40242">
        <w:rPr>
          <w:noProof/>
          <w:sz w:val="26"/>
        </w:rPr>
        <w:t>is associated</w:t>
      </w:r>
      <w:r w:rsidR="00B86341" w:rsidRPr="00F40242">
        <w:rPr>
          <w:sz w:val="26"/>
        </w:rPr>
        <w:t xml:space="preserve"> with a </w:t>
      </w:r>
      <w:r w:rsidR="000D690C" w:rsidRPr="00F40242">
        <w:rPr>
          <w:sz w:val="26"/>
        </w:rPr>
        <w:t>de</w:t>
      </w:r>
      <w:r w:rsidR="00B86341" w:rsidRPr="00F40242">
        <w:rPr>
          <w:sz w:val="26"/>
        </w:rPr>
        <w:t>crease in</w:t>
      </w:r>
      <w:r w:rsidR="00CD711D" w:rsidRPr="00F40242">
        <w:rPr>
          <w:sz w:val="26"/>
        </w:rPr>
        <w:t xml:space="preserve"> the</w:t>
      </w:r>
      <w:r w:rsidR="00B86341" w:rsidRPr="00F40242">
        <w:rPr>
          <w:sz w:val="26"/>
        </w:rPr>
        <w:t xml:space="preserve"> </w:t>
      </w:r>
      <w:r w:rsidR="00B86341" w:rsidRPr="00F40242">
        <w:rPr>
          <w:noProof/>
          <w:sz w:val="26"/>
        </w:rPr>
        <w:t>disclosure</w:t>
      </w:r>
      <w:r w:rsidR="00B86341" w:rsidRPr="00F40242">
        <w:rPr>
          <w:sz w:val="26"/>
        </w:rPr>
        <w:t xml:space="preserve"> of the company. </w:t>
      </w:r>
      <w:r w:rsidR="00D72BDE" w:rsidRPr="00F40242">
        <w:rPr>
          <w:sz w:val="26"/>
        </w:rPr>
        <w:t xml:space="preserve">The coefficient </w:t>
      </w:r>
      <w:r w:rsidR="00D72BDE" w:rsidRPr="00F40242">
        <w:rPr>
          <w:sz w:val="26"/>
        </w:rPr>
        <w:lastRenderedPageBreak/>
        <w:t>of</w:t>
      </w:r>
      <w:r w:rsidR="00CD36FE" w:rsidRPr="00F40242">
        <w:rPr>
          <w:sz w:val="26"/>
        </w:rPr>
        <w:t xml:space="preserve"> the</w:t>
      </w:r>
      <w:r w:rsidR="00D72BDE" w:rsidRPr="00F40242">
        <w:rPr>
          <w:sz w:val="26"/>
        </w:rPr>
        <w:t xml:space="preserve"> </w:t>
      </w:r>
      <w:r w:rsidR="00D72BDE" w:rsidRPr="00F40242">
        <w:rPr>
          <w:noProof/>
          <w:sz w:val="26"/>
        </w:rPr>
        <w:t>age</w:t>
      </w:r>
      <w:r w:rsidR="00D72BDE" w:rsidRPr="00F40242">
        <w:rPr>
          <w:sz w:val="26"/>
        </w:rPr>
        <w:t xml:space="preserve"> of the entity</w:t>
      </w:r>
      <w:r w:rsidR="00682964" w:rsidRPr="00F40242">
        <w:rPr>
          <w:sz w:val="26"/>
        </w:rPr>
        <w:t xml:space="preserve"> (AGE)</w:t>
      </w:r>
      <w:r w:rsidR="00CF1408" w:rsidRPr="00F40242">
        <w:rPr>
          <w:sz w:val="26"/>
        </w:rPr>
        <w:t xml:space="preserve">, which captures the extent to which </w:t>
      </w:r>
      <w:r w:rsidR="00AE26B6" w:rsidRPr="00F40242">
        <w:rPr>
          <w:sz w:val="26"/>
        </w:rPr>
        <w:t xml:space="preserve">a firm has been in operation, is found to be positive </w:t>
      </w:r>
      <w:r w:rsidR="00682964" w:rsidRPr="00F40242">
        <w:rPr>
          <w:sz w:val="26"/>
        </w:rPr>
        <w:t>(0.</w:t>
      </w:r>
      <w:r w:rsidR="000D690C" w:rsidRPr="00F40242">
        <w:rPr>
          <w:sz w:val="26"/>
        </w:rPr>
        <w:t>0</w:t>
      </w:r>
      <w:r w:rsidR="001B7F25" w:rsidRPr="00F40242">
        <w:rPr>
          <w:sz w:val="26"/>
        </w:rPr>
        <w:t>2</w:t>
      </w:r>
      <w:r w:rsidR="000D690C" w:rsidRPr="00F40242">
        <w:rPr>
          <w:sz w:val="26"/>
        </w:rPr>
        <w:t>3</w:t>
      </w:r>
      <w:r w:rsidR="00682964" w:rsidRPr="00F40242">
        <w:rPr>
          <w:sz w:val="26"/>
        </w:rPr>
        <w:t xml:space="preserve">) </w:t>
      </w:r>
      <w:r w:rsidR="00AE26B6" w:rsidRPr="00F40242">
        <w:rPr>
          <w:sz w:val="26"/>
        </w:rPr>
        <w:t xml:space="preserve">and statistically significant at a </w:t>
      </w:r>
      <w:r w:rsidR="000D690C" w:rsidRPr="00F40242">
        <w:rPr>
          <w:sz w:val="26"/>
        </w:rPr>
        <w:t>1</w:t>
      </w:r>
      <w:r w:rsidR="00AE26B6" w:rsidRPr="00F40242">
        <w:rPr>
          <w:sz w:val="26"/>
        </w:rPr>
        <w:t>% level</w:t>
      </w:r>
      <w:r w:rsidR="00682964" w:rsidRPr="00F40242">
        <w:rPr>
          <w:sz w:val="26"/>
        </w:rPr>
        <w:t xml:space="preserve"> (p=0.0</w:t>
      </w:r>
      <w:r w:rsidR="000D690C" w:rsidRPr="00F40242">
        <w:rPr>
          <w:sz w:val="26"/>
        </w:rPr>
        <w:t>00</w:t>
      </w:r>
      <w:r w:rsidR="00682964" w:rsidRPr="00F40242">
        <w:rPr>
          <w:sz w:val="26"/>
        </w:rPr>
        <w:t>)</w:t>
      </w:r>
      <w:r w:rsidR="00AE26B6" w:rsidRPr="00F40242">
        <w:rPr>
          <w:sz w:val="26"/>
        </w:rPr>
        <w:t>, as expected</w:t>
      </w:r>
      <w:r w:rsidR="004870D5" w:rsidRPr="00F40242">
        <w:rPr>
          <w:sz w:val="26"/>
        </w:rPr>
        <w:t>. Thus</w:t>
      </w:r>
      <w:r w:rsidR="00B40CB0" w:rsidRPr="00F40242">
        <w:rPr>
          <w:sz w:val="26"/>
        </w:rPr>
        <w:t>,</w:t>
      </w:r>
      <w:r w:rsidR="004870D5" w:rsidRPr="00F40242">
        <w:rPr>
          <w:sz w:val="26"/>
        </w:rPr>
        <w:t xml:space="preserve"> H</w:t>
      </w:r>
      <w:r w:rsidR="004870D5" w:rsidRPr="00F40242">
        <w:rPr>
          <w:sz w:val="26"/>
          <w:vertAlign w:val="subscript"/>
        </w:rPr>
        <w:t>6</w:t>
      </w:r>
      <w:r w:rsidR="00B40CB0" w:rsidRPr="00F40242">
        <w:rPr>
          <w:sz w:val="26"/>
        </w:rPr>
        <w:t xml:space="preserve"> is supported.</w:t>
      </w:r>
      <w:r w:rsidR="00AE26B6" w:rsidRPr="00F40242">
        <w:rPr>
          <w:sz w:val="26"/>
        </w:rPr>
        <w:t xml:space="preserve"> </w:t>
      </w:r>
      <w:r w:rsidR="007A3D75" w:rsidRPr="00F40242">
        <w:rPr>
          <w:sz w:val="26"/>
        </w:rPr>
        <w:t xml:space="preserve">Our result suggests that </w:t>
      </w:r>
      <w:r w:rsidR="00AE26B6" w:rsidRPr="00F40242">
        <w:rPr>
          <w:sz w:val="26"/>
        </w:rPr>
        <w:t xml:space="preserve">the longer a firm is in operation in the </w:t>
      </w:r>
      <w:r w:rsidR="007A3D75" w:rsidRPr="00F40242">
        <w:rPr>
          <w:sz w:val="26"/>
        </w:rPr>
        <w:t xml:space="preserve">international </w:t>
      </w:r>
      <w:r w:rsidR="00AE26B6" w:rsidRPr="00F40242">
        <w:rPr>
          <w:sz w:val="26"/>
        </w:rPr>
        <w:t>market the more</w:t>
      </w:r>
      <w:r w:rsidR="00B40CB0" w:rsidRPr="00F40242">
        <w:rPr>
          <w:sz w:val="26"/>
        </w:rPr>
        <w:t>,</w:t>
      </w:r>
      <w:r w:rsidR="00AE26B6" w:rsidRPr="00F40242">
        <w:rPr>
          <w:sz w:val="26"/>
        </w:rPr>
        <w:t xml:space="preserve"> likely it is that it </w:t>
      </w:r>
      <w:r w:rsidR="00B40CB0" w:rsidRPr="00F40242">
        <w:rPr>
          <w:sz w:val="26"/>
        </w:rPr>
        <w:t xml:space="preserve">will </w:t>
      </w:r>
      <w:r w:rsidR="007A3D75" w:rsidRPr="00F40242">
        <w:rPr>
          <w:sz w:val="26"/>
        </w:rPr>
        <w:t>make</w:t>
      </w:r>
      <w:r w:rsidR="00AE26B6" w:rsidRPr="00F40242">
        <w:rPr>
          <w:sz w:val="26"/>
        </w:rPr>
        <w:t xml:space="preserve"> social and environmental disclosures in annual reports</w:t>
      </w:r>
      <w:r w:rsidR="00635746" w:rsidRPr="00F40242">
        <w:rPr>
          <w:sz w:val="26"/>
        </w:rPr>
        <w:t xml:space="preserve">. The coefficient of </w:t>
      </w:r>
      <w:r w:rsidR="00B40CB0" w:rsidRPr="00F40242">
        <w:rPr>
          <w:sz w:val="26"/>
        </w:rPr>
        <w:t xml:space="preserve">the </w:t>
      </w:r>
      <w:r w:rsidR="00635746" w:rsidRPr="00F40242">
        <w:rPr>
          <w:sz w:val="26"/>
        </w:rPr>
        <w:t xml:space="preserve">return on assets </w:t>
      </w:r>
      <w:r w:rsidR="00682964" w:rsidRPr="00F40242">
        <w:rPr>
          <w:sz w:val="26"/>
        </w:rPr>
        <w:t xml:space="preserve">(ROA) </w:t>
      </w:r>
      <w:r w:rsidR="00635746" w:rsidRPr="00F40242">
        <w:rPr>
          <w:sz w:val="26"/>
        </w:rPr>
        <w:t>variable</w:t>
      </w:r>
      <w:r w:rsidR="00ED3E90" w:rsidRPr="00F40242">
        <w:rPr>
          <w:sz w:val="26"/>
        </w:rPr>
        <w:t xml:space="preserve">, which captures the </w:t>
      </w:r>
      <w:r w:rsidR="001B7F25" w:rsidRPr="00F40242">
        <w:rPr>
          <w:sz w:val="26"/>
        </w:rPr>
        <w:t>profitability</w:t>
      </w:r>
      <w:r w:rsidR="00ED3E90" w:rsidRPr="00F40242">
        <w:rPr>
          <w:sz w:val="26"/>
        </w:rPr>
        <w:t xml:space="preserve"> of the company,</w:t>
      </w:r>
      <w:r w:rsidR="00635746" w:rsidRPr="00F40242">
        <w:rPr>
          <w:sz w:val="26"/>
        </w:rPr>
        <w:t xml:space="preserve"> is found to be positive </w:t>
      </w:r>
      <w:r w:rsidR="00682964" w:rsidRPr="00F40242">
        <w:rPr>
          <w:sz w:val="26"/>
        </w:rPr>
        <w:t>(0.0</w:t>
      </w:r>
      <w:r w:rsidR="000D690C" w:rsidRPr="00F40242">
        <w:rPr>
          <w:sz w:val="26"/>
        </w:rPr>
        <w:t>55</w:t>
      </w:r>
      <w:r w:rsidR="00682964" w:rsidRPr="00F40242">
        <w:rPr>
          <w:sz w:val="26"/>
        </w:rPr>
        <w:t xml:space="preserve">) </w:t>
      </w:r>
      <w:r w:rsidR="00635746" w:rsidRPr="00F40242">
        <w:rPr>
          <w:sz w:val="26"/>
        </w:rPr>
        <w:t>and statistically significant at a 1% level</w:t>
      </w:r>
      <w:r w:rsidR="00682964" w:rsidRPr="00F40242">
        <w:rPr>
          <w:sz w:val="26"/>
        </w:rPr>
        <w:t xml:space="preserve"> (p=0.00</w:t>
      </w:r>
      <w:r w:rsidR="000D690C" w:rsidRPr="00F40242">
        <w:rPr>
          <w:sz w:val="26"/>
        </w:rPr>
        <w:t>0</w:t>
      </w:r>
      <w:r w:rsidR="00682964" w:rsidRPr="00F40242">
        <w:rPr>
          <w:sz w:val="26"/>
        </w:rPr>
        <w:t>)</w:t>
      </w:r>
      <w:r w:rsidR="00B40CB0" w:rsidRPr="00F40242">
        <w:rPr>
          <w:sz w:val="26"/>
        </w:rPr>
        <w:t>;</w:t>
      </w:r>
      <w:r w:rsidR="00635746" w:rsidRPr="00F40242">
        <w:rPr>
          <w:sz w:val="26"/>
        </w:rPr>
        <w:t xml:space="preserve"> this </w:t>
      </w:r>
      <w:r w:rsidR="004D28A8" w:rsidRPr="00F40242">
        <w:rPr>
          <w:sz w:val="26"/>
        </w:rPr>
        <w:t>implies</w:t>
      </w:r>
      <w:r w:rsidR="00635746" w:rsidRPr="00F40242">
        <w:rPr>
          <w:sz w:val="26"/>
        </w:rPr>
        <w:t xml:space="preserve"> that an increase in return </w:t>
      </w:r>
      <w:r w:rsidR="00245B2E" w:rsidRPr="00F40242">
        <w:rPr>
          <w:sz w:val="26"/>
        </w:rPr>
        <w:t>on</w:t>
      </w:r>
      <w:r w:rsidR="00635746" w:rsidRPr="00F40242">
        <w:rPr>
          <w:sz w:val="26"/>
        </w:rPr>
        <w:t xml:space="preserve"> assets results in an increased </w:t>
      </w:r>
      <w:r w:rsidR="00245B2E" w:rsidRPr="00F40242">
        <w:rPr>
          <w:sz w:val="26"/>
        </w:rPr>
        <w:t>total</w:t>
      </w:r>
      <w:r w:rsidR="00635746" w:rsidRPr="00F40242">
        <w:rPr>
          <w:sz w:val="26"/>
        </w:rPr>
        <w:t xml:space="preserve"> disclosure of </w:t>
      </w:r>
      <w:r w:rsidR="00245B2E" w:rsidRPr="00F40242">
        <w:rPr>
          <w:sz w:val="26"/>
        </w:rPr>
        <w:t>companies in India</w:t>
      </w:r>
      <w:r w:rsidR="00635746" w:rsidRPr="00F40242">
        <w:rPr>
          <w:sz w:val="26"/>
        </w:rPr>
        <w:t>.</w:t>
      </w:r>
      <w:r w:rsidR="00ED3E90" w:rsidRPr="00F40242">
        <w:rPr>
          <w:sz w:val="26"/>
        </w:rPr>
        <w:t xml:space="preserve"> </w:t>
      </w:r>
      <w:r w:rsidR="004870D5" w:rsidRPr="00F40242">
        <w:rPr>
          <w:sz w:val="26"/>
        </w:rPr>
        <w:t>Th</w:t>
      </w:r>
      <w:r w:rsidR="00B40CB0" w:rsidRPr="00F40242">
        <w:rPr>
          <w:sz w:val="26"/>
        </w:rPr>
        <w:t xml:space="preserve">us, </w:t>
      </w:r>
      <w:r w:rsidR="00151201" w:rsidRPr="00F40242">
        <w:rPr>
          <w:sz w:val="26"/>
        </w:rPr>
        <w:t>H</w:t>
      </w:r>
      <w:r w:rsidR="00151201" w:rsidRPr="00F40242">
        <w:rPr>
          <w:sz w:val="26"/>
          <w:vertAlign w:val="subscript"/>
        </w:rPr>
        <w:t>3</w:t>
      </w:r>
      <w:r w:rsidR="00B40CB0" w:rsidRPr="00F40242">
        <w:rPr>
          <w:sz w:val="26"/>
        </w:rPr>
        <w:t xml:space="preserve"> is supported</w:t>
      </w:r>
      <w:r w:rsidR="00E30ABC" w:rsidRPr="00F40242">
        <w:rPr>
          <w:sz w:val="26"/>
          <w:vertAlign w:val="subscript"/>
        </w:rPr>
        <w:t>.</w:t>
      </w:r>
    </w:p>
    <w:p w14:paraId="0C2E8DF8" w14:textId="63F71062" w:rsidR="00941178" w:rsidRPr="00F40242" w:rsidRDefault="009072B1" w:rsidP="000D5C8E">
      <w:pPr>
        <w:autoSpaceDE w:val="0"/>
        <w:autoSpaceDN w:val="0"/>
        <w:adjustRightInd w:val="0"/>
        <w:spacing w:line="360" w:lineRule="exact"/>
        <w:ind w:firstLineChars="200" w:firstLine="520"/>
        <w:jc w:val="both"/>
        <w:rPr>
          <w:sz w:val="26"/>
        </w:rPr>
      </w:pPr>
      <w:r w:rsidRPr="00F40242">
        <w:rPr>
          <w:sz w:val="26"/>
        </w:rPr>
        <w:t>Table 5 indicates that t</w:t>
      </w:r>
      <w:r w:rsidR="00C12500" w:rsidRPr="00F40242">
        <w:rPr>
          <w:sz w:val="26"/>
        </w:rPr>
        <w:t>he coefficients of dummy variables capturing the categorisation of companies</w:t>
      </w:r>
      <w:r w:rsidR="00B40CB0" w:rsidRPr="00F40242">
        <w:rPr>
          <w:sz w:val="26"/>
        </w:rPr>
        <w:t xml:space="preserve"> –</w:t>
      </w:r>
      <w:r w:rsidR="00C12500" w:rsidRPr="00F40242">
        <w:rPr>
          <w:sz w:val="26"/>
        </w:rPr>
        <w:t xml:space="preserve"> namely, chemical companies</w:t>
      </w:r>
      <w:r w:rsidR="000D690C" w:rsidRPr="00F40242">
        <w:rPr>
          <w:sz w:val="26"/>
        </w:rPr>
        <w:t xml:space="preserve"> and </w:t>
      </w:r>
      <w:r w:rsidR="00C12500" w:rsidRPr="00F40242">
        <w:rPr>
          <w:sz w:val="26"/>
        </w:rPr>
        <w:t>forestry and paper companies</w:t>
      </w:r>
      <w:r w:rsidR="00B40CB0" w:rsidRPr="00F40242">
        <w:rPr>
          <w:sz w:val="26"/>
        </w:rPr>
        <w:t xml:space="preserve"> –</w:t>
      </w:r>
      <w:r w:rsidR="00C12500" w:rsidRPr="00F40242">
        <w:rPr>
          <w:sz w:val="26"/>
        </w:rPr>
        <w:t xml:space="preserve"> were found to be positive and statistically significant in the total disclosure model</w:t>
      </w:r>
      <w:r w:rsidR="000D690C" w:rsidRPr="00F40242">
        <w:rPr>
          <w:sz w:val="26"/>
        </w:rPr>
        <w:t xml:space="preserve"> (</w:t>
      </w:r>
      <w:r w:rsidR="005321CC" w:rsidRPr="00F40242">
        <w:rPr>
          <w:sz w:val="26"/>
          <w:lang w:val="en-GB"/>
        </w:rPr>
        <w:t>β=3.633</w:t>
      </w:r>
      <w:r w:rsidR="00B40CB0" w:rsidRPr="00F40242">
        <w:rPr>
          <w:sz w:val="26"/>
          <w:lang w:val="en-GB"/>
        </w:rPr>
        <w:t xml:space="preserve"> </w:t>
      </w:r>
      <w:r w:rsidR="00EC7873" w:rsidRPr="00F40242">
        <w:rPr>
          <w:sz w:val="26"/>
          <w:lang w:val="en-GB"/>
        </w:rPr>
        <w:t>&amp;</w:t>
      </w:r>
      <w:r w:rsidR="00B40CB0" w:rsidRPr="00F40242">
        <w:rPr>
          <w:sz w:val="26"/>
          <w:lang w:val="en-GB"/>
        </w:rPr>
        <w:t xml:space="preserve"> </w:t>
      </w:r>
      <w:r w:rsidR="005321CC" w:rsidRPr="00F40242">
        <w:rPr>
          <w:sz w:val="26"/>
          <w:lang w:val="en-GB"/>
        </w:rPr>
        <w:t xml:space="preserve">4.573; </w:t>
      </w:r>
      <w:r w:rsidR="000D690C" w:rsidRPr="00F40242">
        <w:rPr>
          <w:sz w:val="26"/>
        </w:rPr>
        <w:t>p=0.000</w:t>
      </w:r>
      <w:r w:rsidR="005321CC" w:rsidRPr="00F40242">
        <w:rPr>
          <w:sz w:val="26"/>
        </w:rPr>
        <w:t xml:space="preserve"> in both cases</w:t>
      </w:r>
      <w:r w:rsidR="000D690C" w:rsidRPr="00F40242">
        <w:rPr>
          <w:sz w:val="26"/>
        </w:rPr>
        <w:t>)</w:t>
      </w:r>
      <w:r w:rsidR="00C12500" w:rsidRPr="00F40242">
        <w:rPr>
          <w:sz w:val="26"/>
        </w:rPr>
        <w:t xml:space="preserve">. The results indicate that companies that </w:t>
      </w:r>
      <w:r w:rsidR="00C12500" w:rsidRPr="00F40242">
        <w:rPr>
          <w:noProof/>
          <w:sz w:val="26"/>
        </w:rPr>
        <w:t>are located</w:t>
      </w:r>
      <w:r w:rsidR="00C12500" w:rsidRPr="00F40242">
        <w:rPr>
          <w:sz w:val="26"/>
        </w:rPr>
        <w:t xml:space="preserve"> in </w:t>
      </w:r>
      <w:r w:rsidR="00B40CB0" w:rsidRPr="00F40242">
        <w:rPr>
          <w:sz w:val="26"/>
        </w:rPr>
        <w:t>these industry categories</w:t>
      </w:r>
      <w:r w:rsidR="00C12500" w:rsidRPr="00F40242">
        <w:rPr>
          <w:sz w:val="26"/>
        </w:rPr>
        <w:t xml:space="preserve"> are more likely to report SED in their annual reports</w:t>
      </w:r>
      <w:r w:rsidR="00B40CB0" w:rsidRPr="00F40242">
        <w:rPr>
          <w:sz w:val="26"/>
        </w:rPr>
        <w:t>; thus,</w:t>
      </w:r>
      <w:r w:rsidR="00151201" w:rsidRPr="00F40242">
        <w:rPr>
          <w:sz w:val="26"/>
        </w:rPr>
        <w:t xml:space="preserve"> H</w:t>
      </w:r>
      <w:r w:rsidR="00151201" w:rsidRPr="00F40242">
        <w:rPr>
          <w:sz w:val="26"/>
          <w:vertAlign w:val="subscript"/>
        </w:rPr>
        <w:t>4</w:t>
      </w:r>
      <w:r w:rsidR="00B40CB0" w:rsidRPr="00F40242">
        <w:rPr>
          <w:sz w:val="26"/>
        </w:rPr>
        <w:t xml:space="preserve"> is supported</w:t>
      </w:r>
      <w:r w:rsidR="00151201" w:rsidRPr="00F40242">
        <w:rPr>
          <w:sz w:val="26"/>
        </w:rPr>
        <w:t xml:space="preserve"> </w:t>
      </w:r>
      <w:r w:rsidR="002C1DF8" w:rsidRPr="00F40242">
        <w:rPr>
          <w:sz w:val="26"/>
        </w:rPr>
        <w:t>Table 5 also show</w:t>
      </w:r>
      <w:r w:rsidR="00B40CB0" w:rsidRPr="00F40242">
        <w:rPr>
          <w:sz w:val="26"/>
        </w:rPr>
        <w:t>s</w:t>
      </w:r>
      <w:r w:rsidR="002C1DF8" w:rsidRPr="00F40242">
        <w:rPr>
          <w:sz w:val="26"/>
        </w:rPr>
        <w:t xml:space="preserve"> that t</w:t>
      </w:r>
      <w:r w:rsidRPr="00F40242">
        <w:rPr>
          <w:sz w:val="26"/>
        </w:rPr>
        <w:t xml:space="preserve">he coefficient of </w:t>
      </w:r>
      <w:r w:rsidR="00065F6A" w:rsidRPr="00F40242">
        <w:rPr>
          <w:sz w:val="26"/>
        </w:rPr>
        <w:t>international</w:t>
      </w:r>
      <w:r w:rsidR="005321CC" w:rsidRPr="00F40242">
        <w:rPr>
          <w:sz w:val="26"/>
        </w:rPr>
        <w:t xml:space="preserve"> experience</w:t>
      </w:r>
      <w:r w:rsidR="00065F6A" w:rsidRPr="00F40242">
        <w:rPr>
          <w:sz w:val="26"/>
        </w:rPr>
        <w:t xml:space="preserve"> (IE)</w:t>
      </w:r>
      <w:r w:rsidRPr="00F40242">
        <w:rPr>
          <w:sz w:val="26"/>
        </w:rPr>
        <w:t xml:space="preserve"> </w:t>
      </w:r>
      <w:r w:rsidR="00B40CB0" w:rsidRPr="00F40242">
        <w:rPr>
          <w:sz w:val="26"/>
        </w:rPr>
        <w:t>is</w:t>
      </w:r>
      <w:r w:rsidRPr="00F40242">
        <w:rPr>
          <w:sz w:val="26"/>
        </w:rPr>
        <w:t xml:space="preserve"> positive </w:t>
      </w:r>
      <w:r w:rsidR="002C1DF8" w:rsidRPr="00F40242">
        <w:rPr>
          <w:sz w:val="26"/>
        </w:rPr>
        <w:t>(0.01</w:t>
      </w:r>
      <w:r w:rsidR="005321CC" w:rsidRPr="00F40242">
        <w:rPr>
          <w:sz w:val="26"/>
        </w:rPr>
        <w:t>3</w:t>
      </w:r>
      <w:r w:rsidR="002C1DF8" w:rsidRPr="00F40242">
        <w:rPr>
          <w:sz w:val="26"/>
        </w:rPr>
        <w:t xml:space="preserve">) </w:t>
      </w:r>
      <w:r w:rsidR="005321CC" w:rsidRPr="00F40242">
        <w:rPr>
          <w:sz w:val="26"/>
        </w:rPr>
        <w:t xml:space="preserve">and </w:t>
      </w:r>
      <w:r w:rsidRPr="00F40242">
        <w:rPr>
          <w:sz w:val="26"/>
        </w:rPr>
        <w:t xml:space="preserve">statistically significant at a </w:t>
      </w:r>
      <w:r w:rsidR="00941178" w:rsidRPr="00F40242">
        <w:rPr>
          <w:sz w:val="26"/>
        </w:rPr>
        <w:t>1</w:t>
      </w:r>
      <w:r w:rsidRPr="00F40242">
        <w:rPr>
          <w:sz w:val="26"/>
        </w:rPr>
        <w:t>% level</w:t>
      </w:r>
      <w:r w:rsidR="002C1DF8" w:rsidRPr="00F40242">
        <w:rPr>
          <w:sz w:val="26"/>
        </w:rPr>
        <w:t xml:space="preserve"> (p=0.</w:t>
      </w:r>
      <w:r w:rsidR="00941178" w:rsidRPr="00F40242">
        <w:rPr>
          <w:sz w:val="26"/>
        </w:rPr>
        <w:t>030</w:t>
      </w:r>
      <w:r w:rsidR="002C1DF8" w:rsidRPr="00F40242">
        <w:rPr>
          <w:sz w:val="26"/>
        </w:rPr>
        <w:t>)</w:t>
      </w:r>
      <w:r w:rsidRPr="00F40242">
        <w:rPr>
          <w:sz w:val="26"/>
        </w:rPr>
        <w:t xml:space="preserve">, implying that greater </w:t>
      </w:r>
      <w:r w:rsidR="00941178" w:rsidRPr="00F40242">
        <w:rPr>
          <w:sz w:val="26"/>
        </w:rPr>
        <w:t>international business</w:t>
      </w:r>
      <w:r w:rsidRPr="00F40242">
        <w:rPr>
          <w:sz w:val="26"/>
        </w:rPr>
        <w:t xml:space="preserve"> </w:t>
      </w:r>
      <w:r w:rsidR="00BB38A1" w:rsidRPr="00F40242">
        <w:rPr>
          <w:sz w:val="26"/>
          <w:lang w:eastAsia="en-AU"/>
        </w:rPr>
        <w:t xml:space="preserve">activity </w:t>
      </w:r>
      <w:r w:rsidR="000E6F86" w:rsidRPr="00F40242">
        <w:rPr>
          <w:sz w:val="26"/>
        </w:rPr>
        <w:t>has</w:t>
      </w:r>
      <w:r w:rsidR="00CD711D" w:rsidRPr="00F40242">
        <w:rPr>
          <w:sz w:val="26"/>
        </w:rPr>
        <w:t xml:space="preserve"> a</w:t>
      </w:r>
      <w:r w:rsidR="000E6F86" w:rsidRPr="00F40242">
        <w:rPr>
          <w:sz w:val="26"/>
        </w:rPr>
        <w:t xml:space="preserve"> </w:t>
      </w:r>
      <w:r w:rsidR="00941178" w:rsidRPr="00F40242">
        <w:rPr>
          <w:noProof/>
          <w:sz w:val="26"/>
        </w:rPr>
        <w:t>positive</w:t>
      </w:r>
      <w:r w:rsidR="000E6F86" w:rsidRPr="00F40242">
        <w:rPr>
          <w:sz w:val="26"/>
        </w:rPr>
        <w:t xml:space="preserve"> effect on total disclosure of Indian companies</w:t>
      </w:r>
      <w:r w:rsidR="00BB38A1" w:rsidRPr="00F40242">
        <w:rPr>
          <w:sz w:val="26"/>
        </w:rPr>
        <w:t>,</w:t>
      </w:r>
      <w:r w:rsidR="00941178" w:rsidRPr="00F40242">
        <w:rPr>
          <w:sz w:val="26"/>
        </w:rPr>
        <w:t xml:space="preserve"> as </w:t>
      </w:r>
      <w:r w:rsidR="00B40CB0" w:rsidRPr="00F40242">
        <w:rPr>
          <w:sz w:val="26"/>
        </w:rPr>
        <w:t xml:space="preserve">suggested </w:t>
      </w:r>
      <w:r w:rsidR="00941178" w:rsidRPr="00F40242">
        <w:rPr>
          <w:sz w:val="26"/>
        </w:rPr>
        <w:t>by legitimacy theory</w:t>
      </w:r>
      <w:r w:rsidR="000E6F86" w:rsidRPr="00F40242">
        <w:rPr>
          <w:sz w:val="26"/>
        </w:rPr>
        <w:t>.</w:t>
      </w:r>
      <w:r w:rsidR="00151201" w:rsidRPr="00F40242">
        <w:rPr>
          <w:sz w:val="26"/>
        </w:rPr>
        <w:t xml:space="preserve"> Therefore</w:t>
      </w:r>
      <w:r w:rsidR="00B40CB0" w:rsidRPr="00F40242">
        <w:rPr>
          <w:sz w:val="26"/>
        </w:rPr>
        <w:t>,</w:t>
      </w:r>
      <w:r w:rsidR="00151201" w:rsidRPr="00F40242">
        <w:rPr>
          <w:sz w:val="26"/>
        </w:rPr>
        <w:t xml:space="preserve"> H</w:t>
      </w:r>
      <w:r w:rsidR="00941178" w:rsidRPr="00F40242">
        <w:rPr>
          <w:sz w:val="26"/>
          <w:vertAlign w:val="subscript"/>
        </w:rPr>
        <w:t>1</w:t>
      </w:r>
      <w:r w:rsidR="00B40CB0" w:rsidRPr="00F40242">
        <w:rPr>
          <w:sz w:val="26"/>
        </w:rPr>
        <w:t xml:space="preserve"> is supported.</w:t>
      </w:r>
      <w:r w:rsidR="000E6F86" w:rsidRPr="00F40242">
        <w:rPr>
          <w:sz w:val="26"/>
        </w:rPr>
        <w:t xml:space="preserve"> </w:t>
      </w:r>
      <w:r w:rsidR="00941178" w:rsidRPr="00F40242">
        <w:rPr>
          <w:sz w:val="26"/>
        </w:rPr>
        <w:t xml:space="preserve">The coefficient of </w:t>
      </w:r>
      <w:r w:rsidR="00B40CB0" w:rsidRPr="00F40242">
        <w:rPr>
          <w:sz w:val="26"/>
        </w:rPr>
        <w:t xml:space="preserve">the </w:t>
      </w:r>
      <w:r w:rsidR="00941178" w:rsidRPr="00F40242">
        <w:rPr>
          <w:sz w:val="26"/>
        </w:rPr>
        <w:t>total assets (</w:t>
      </w:r>
      <w:r w:rsidR="00E30ABC" w:rsidRPr="00F40242">
        <w:rPr>
          <w:sz w:val="26"/>
        </w:rPr>
        <w:t>TA</w:t>
      </w:r>
      <w:r w:rsidR="00941178" w:rsidRPr="00F40242">
        <w:rPr>
          <w:sz w:val="26"/>
        </w:rPr>
        <w:t xml:space="preserve">) variable, which captures the </w:t>
      </w:r>
      <w:r w:rsidR="00E30ABC" w:rsidRPr="00F40242">
        <w:rPr>
          <w:sz w:val="26"/>
        </w:rPr>
        <w:t>size</w:t>
      </w:r>
      <w:r w:rsidR="00941178" w:rsidRPr="00F40242">
        <w:rPr>
          <w:sz w:val="26"/>
        </w:rPr>
        <w:t xml:space="preserve"> of the company, is found to be positive (</w:t>
      </w:r>
      <w:r w:rsidR="00E30ABC" w:rsidRPr="00F40242">
        <w:rPr>
          <w:sz w:val="26"/>
        </w:rPr>
        <w:t>2</w:t>
      </w:r>
      <w:r w:rsidR="00941178" w:rsidRPr="00F40242">
        <w:rPr>
          <w:sz w:val="26"/>
        </w:rPr>
        <w:t>.</w:t>
      </w:r>
      <w:r w:rsidR="00E30ABC" w:rsidRPr="00F40242">
        <w:rPr>
          <w:sz w:val="26"/>
        </w:rPr>
        <w:t>447</w:t>
      </w:r>
      <w:r w:rsidR="00941178" w:rsidRPr="00F40242">
        <w:rPr>
          <w:sz w:val="26"/>
        </w:rPr>
        <w:t xml:space="preserve">) and statistically significant at a 1% level (p=0.000), </w:t>
      </w:r>
      <w:r w:rsidR="00E30ABC" w:rsidRPr="00F40242">
        <w:rPr>
          <w:sz w:val="26"/>
        </w:rPr>
        <w:t>as expected.</w:t>
      </w:r>
      <w:r w:rsidR="00941178" w:rsidRPr="00F40242">
        <w:rPr>
          <w:sz w:val="26"/>
        </w:rPr>
        <w:t xml:space="preserve"> Th</w:t>
      </w:r>
      <w:r w:rsidR="00B40CB0" w:rsidRPr="00F40242">
        <w:rPr>
          <w:sz w:val="26"/>
        </w:rPr>
        <w:t>us,</w:t>
      </w:r>
      <w:r w:rsidR="00941178" w:rsidRPr="00F40242">
        <w:rPr>
          <w:sz w:val="26"/>
        </w:rPr>
        <w:t xml:space="preserve"> H</w:t>
      </w:r>
      <w:r w:rsidR="00E30ABC" w:rsidRPr="00F40242">
        <w:rPr>
          <w:sz w:val="26"/>
          <w:vertAlign w:val="subscript"/>
        </w:rPr>
        <w:t>2</w:t>
      </w:r>
      <w:r w:rsidR="00B40CB0" w:rsidRPr="00F40242">
        <w:rPr>
          <w:sz w:val="26"/>
        </w:rPr>
        <w:t xml:space="preserve"> is supported.</w:t>
      </w:r>
    </w:p>
    <w:p w14:paraId="2696B24A" w14:textId="35513B1A" w:rsidR="00653A9A" w:rsidRPr="00F40242" w:rsidRDefault="000E6F86" w:rsidP="000D5C8E">
      <w:pPr>
        <w:autoSpaceDE w:val="0"/>
        <w:autoSpaceDN w:val="0"/>
        <w:adjustRightInd w:val="0"/>
        <w:spacing w:line="360" w:lineRule="exact"/>
        <w:ind w:firstLineChars="200" w:firstLine="520"/>
        <w:jc w:val="both"/>
        <w:rPr>
          <w:sz w:val="26"/>
        </w:rPr>
      </w:pPr>
      <w:r w:rsidRPr="00F40242">
        <w:rPr>
          <w:sz w:val="26"/>
        </w:rPr>
        <w:t>Table 5 show</w:t>
      </w:r>
      <w:r w:rsidR="00B40CB0" w:rsidRPr="00F40242">
        <w:rPr>
          <w:sz w:val="26"/>
        </w:rPr>
        <w:t>s</w:t>
      </w:r>
      <w:r w:rsidRPr="00F40242">
        <w:rPr>
          <w:sz w:val="26"/>
        </w:rPr>
        <w:t xml:space="preserve"> that</w:t>
      </w:r>
      <w:r w:rsidR="00B40CB0" w:rsidRPr="00F40242">
        <w:rPr>
          <w:sz w:val="26"/>
        </w:rPr>
        <w:t>,</w:t>
      </w:r>
      <w:r w:rsidRPr="00F40242">
        <w:rPr>
          <w:sz w:val="26"/>
        </w:rPr>
        <w:t xml:space="preserve"> c</w:t>
      </w:r>
      <w:r w:rsidR="00C12500" w:rsidRPr="00F40242">
        <w:rPr>
          <w:sz w:val="26"/>
        </w:rPr>
        <w:t xml:space="preserve">ontrary to legitimacy theory, the coefficients of </w:t>
      </w:r>
      <w:r w:rsidR="00065F6A" w:rsidRPr="00F40242">
        <w:rPr>
          <w:sz w:val="26"/>
        </w:rPr>
        <w:t>consumer</w:t>
      </w:r>
      <w:r w:rsidR="00BB38A1" w:rsidRPr="00F40242">
        <w:rPr>
          <w:sz w:val="26"/>
        </w:rPr>
        <w:t xml:space="preserve"> proximity</w:t>
      </w:r>
      <w:r w:rsidR="00C12500" w:rsidRPr="00F40242">
        <w:rPr>
          <w:sz w:val="26"/>
        </w:rPr>
        <w:t xml:space="preserve"> and </w:t>
      </w:r>
      <w:r w:rsidR="00BB38A1" w:rsidRPr="00F40242">
        <w:rPr>
          <w:sz w:val="26"/>
        </w:rPr>
        <w:t>industrial transport membership</w:t>
      </w:r>
      <w:r w:rsidR="00C12500" w:rsidRPr="00F40242">
        <w:rPr>
          <w:sz w:val="26"/>
        </w:rPr>
        <w:t xml:space="preserve"> </w:t>
      </w:r>
      <w:r w:rsidR="008867B1" w:rsidRPr="00F40242">
        <w:rPr>
          <w:sz w:val="26"/>
        </w:rPr>
        <w:t xml:space="preserve">are </w:t>
      </w:r>
      <w:r w:rsidR="00C12500" w:rsidRPr="00F40242">
        <w:rPr>
          <w:sz w:val="26"/>
        </w:rPr>
        <w:t xml:space="preserve">found to be negative </w:t>
      </w:r>
      <w:r w:rsidR="008867B1" w:rsidRPr="00F40242">
        <w:rPr>
          <w:sz w:val="26"/>
        </w:rPr>
        <w:t>(-0</w:t>
      </w:r>
      <w:r w:rsidR="00BB38A1" w:rsidRPr="00F40242">
        <w:rPr>
          <w:sz w:val="26"/>
        </w:rPr>
        <w:t>.258</w:t>
      </w:r>
      <w:r w:rsidR="008867B1" w:rsidRPr="00F40242">
        <w:rPr>
          <w:sz w:val="26"/>
        </w:rPr>
        <w:t xml:space="preserve"> and -</w:t>
      </w:r>
      <w:r w:rsidR="00BB38A1" w:rsidRPr="00F40242">
        <w:rPr>
          <w:sz w:val="26"/>
        </w:rPr>
        <w:t>0</w:t>
      </w:r>
      <w:r w:rsidR="008867B1" w:rsidRPr="00F40242">
        <w:rPr>
          <w:sz w:val="26"/>
        </w:rPr>
        <w:t>.2</w:t>
      </w:r>
      <w:r w:rsidR="00BB38A1" w:rsidRPr="00F40242">
        <w:rPr>
          <w:sz w:val="26"/>
        </w:rPr>
        <w:t>84</w:t>
      </w:r>
      <w:r w:rsidR="008867B1" w:rsidRPr="00F40242">
        <w:rPr>
          <w:sz w:val="26"/>
        </w:rPr>
        <w:t xml:space="preserve">, respectively) </w:t>
      </w:r>
      <w:r w:rsidR="00C12500" w:rsidRPr="00F40242">
        <w:rPr>
          <w:sz w:val="26"/>
        </w:rPr>
        <w:t xml:space="preserve">and statistically </w:t>
      </w:r>
      <w:r w:rsidR="00BB38A1" w:rsidRPr="00F40242">
        <w:rPr>
          <w:sz w:val="26"/>
        </w:rPr>
        <w:t>non-</w:t>
      </w:r>
      <w:r w:rsidR="00C12500" w:rsidRPr="00F40242">
        <w:rPr>
          <w:sz w:val="26"/>
        </w:rPr>
        <w:t xml:space="preserve">significant at a </w:t>
      </w:r>
      <w:r w:rsidR="00BB38A1" w:rsidRPr="00F40242">
        <w:rPr>
          <w:sz w:val="26"/>
        </w:rPr>
        <w:t>5</w:t>
      </w:r>
      <w:r w:rsidR="00C12500" w:rsidRPr="00F40242">
        <w:rPr>
          <w:sz w:val="26"/>
        </w:rPr>
        <w:t>%</w:t>
      </w:r>
      <w:r w:rsidR="008D1E78" w:rsidRPr="00F40242">
        <w:rPr>
          <w:sz w:val="26"/>
        </w:rPr>
        <w:t xml:space="preserve"> level</w:t>
      </w:r>
      <w:r w:rsidR="00C12500" w:rsidRPr="00F40242">
        <w:rPr>
          <w:sz w:val="26"/>
        </w:rPr>
        <w:t xml:space="preserve"> </w:t>
      </w:r>
      <w:r w:rsidR="008867B1" w:rsidRPr="00F40242">
        <w:rPr>
          <w:sz w:val="26"/>
        </w:rPr>
        <w:t>(p=0.</w:t>
      </w:r>
      <w:r w:rsidR="008D1E78" w:rsidRPr="00F40242">
        <w:rPr>
          <w:sz w:val="26"/>
        </w:rPr>
        <w:t>383</w:t>
      </w:r>
      <w:r w:rsidR="008867B1" w:rsidRPr="00F40242">
        <w:rPr>
          <w:sz w:val="26"/>
        </w:rPr>
        <w:t>)</w:t>
      </w:r>
      <w:r w:rsidR="00C12500" w:rsidRPr="00F40242">
        <w:rPr>
          <w:sz w:val="26"/>
        </w:rPr>
        <w:t xml:space="preserve">. </w:t>
      </w:r>
      <w:r w:rsidR="00151201" w:rsidRPr="00F40242">
        <w:rPr>
          <w:sz w:val="26"/>
        </w:rPr>
        <w:t>Th</w:t>
      </w:r>
      <w:r w:rsidR="00B40CB0" w:rsidRPr="00F40242">
        <w:rPr>
          <w:sz w:val="26"/>
        </w:rPr>
        <w:t>us, H</w:t>
      </w:r>
      <w:r w:rsidR="00B40CB0" w:rsidRPr="003006D4">
        <w:rPr>
          <w:sz w:val="26"/>
          <w:vertAlign w:val="subscript"/>
        </w:rPr>
        <w:t>4</w:t>
      </w:r>
      <w:r w:rsidR="00B40CB0" w:rsidRPr="00F40242">
        <w:rPr>
          <w:sz w:val="26"/>
        </w:rPr>
        <w:t xml:space="preserve"> is partially supported, while H</w:t>
      </w:r>
      <w:r w:rsidR="00B40CB0" w:rsidRPr="003006D4">
        <w:rPr>
          <w:sz w:val="26"/>
          <w:vertAlign w:val="subscript"/>
        </w:rPr>
        <w:t>5</w:t>
      </w:r>
      <w:r w:rsidR="00B40CB0" w:rsidRPr="00F40242">
        <w:rPr>
          <w:sz w:val="26"/>
        </w:rPr>
        <w:t xml:space="preserve"> is not supported</w:t>
      </w:r>
      <w:r w:rsidR="00151201" w:rsidRPr="00F40242">
        <w:rPr>
          <w:sz w:val="26"/>
        </w:rPr>
        <w:t xml:space="preserve">. </w:t>
      </w:r>
      <w:r w:rsidR="00C12500" w:rsidRPr="00F40242">
        <w:rPr>
          <w:sz w:val="26"/>
        </w:rPr>
        <w:t xml:space="preserve">The result indicates that </w:t>
      </w:r>
      <w:r w:rsidR="008D1E78" w:rsidRPr="00F40242">
        <w:rPr>
          <w:sz w:val="26"/>
        </w:rPr>
        <w:t xml:space="preserve">high profile companies </w:t>
      </w:r>
      <w:r w:rsidR="008D1E78" w:rsidRPr="00F40242">
        <w:rPr>
          <w:noProof/>
          <w:sz w:val="26"/>
        </w:rPr>
        <w:t>report</w:t>
      </w:r>
      <w:r w:rsidR="008D1E78" w:rsidRPr="00F40242">
        <w:rPr>
          <w:sz w:val="26"/>
        </w:rPr>
        <w:t xml:space="preserve"> </w:t>
      </w:r>
      <w:r w:rsidR="00C12500" w:rsidRPr="00F40242">
        <w:rPr>
          <w:sz w:val="26"/>
        </w:rPr>
        <w:t xml:space="preserve">less SED in </w:t>
      </w:r>
      <w:r w:rsidR="008D1E78" w:rsidRPr="00F40242">
        <w:rPr>
          <w:sz w:val="26"/>
        </w:rPr>
        <w:t xml:space="preserve">their </w:t>
      </w:r>
      <w:r w:rsidR="00C12500" w:rsidRPr="00F40242">
        <w:rPr>
          <w:sz w:val="26"/>
        </w:rPr>
        <w:t xml:space="preserve">annual reports. </w:t>
      </w:r>
      <w:r w:rsidR="00C12500" w:rsidRPr="00F40242">
        <w:rPr>
          <w:noProof/>
          <w:sz w:val="26"/>
        </w:rPr>
        <w:t xml:space="preserve">A plausible explanation </w:t>
      </w:r>
      <w:r w:rsidR="00523E27" w:rsidRPr="00F40242">
        <w:rPr>
          <w:noProof/>
          <w:sz w:val="26"/>
        </w:rPr>
        <w:t>for</w:t>
      </w:r>
      <w:r w:rsidR="00C12500" w:rsidRPr="00F40242">
        <w:rPr>
          <w:noProof/>
          <w:sz w:val="26"/>
        </w:rPr>
        <w:t xml:space="preserve"> this finding is that </w:t>
      </w:r>
      <w:r w:rsidR="0021333E" w:rsidRPr="00F40242">
        <w:rPr>
          <w:noProof/>
          <w:sz w:val="26"/>
        </w:rPr>
        <w:t>in the last decade or so</w:t>
      </w:r>
      <w:r w:rsidR="00B40CB0" w:rsidRPr="00F40242">
        <w:rPr>
          <w:noProof/>
          <w:sz w:val="26"/>
        </w:rPr>
        <w:t>,</w:t>
      </w:r>
      <w:r w:rsidR="0021333E" w:rsidRPr="00F40242">
        <w:rPr>
          <w:noProof/>
          <w:sz w:val="26"/>
        </w:rPr>
        <w:t xml:space="preserve"> although there has been a gradual increase in SED by Indian companies</w:t>
      </w:r>
      <w:r w:rsidR="00B40CB0" w:rsidRPr="00F40242">
        <w:rPr>
          <w:noProof/>
          <w:sz w:val="26"/>
        </w:rPr>
        <w:t xml:space="preserve">, </w:t>
      </w:r>
      <w:r w:rsidR="000A376D" w:rsidRPr="00F40242">
        <w:rPr>
          <w:noProof/>
          <w:sz w:val="26"/>
        </w:rPr>
        <w:t>high profile companies have started to report non-financial information in</w:t>
      </w:r>
      <w:r w:rsidR="00CD711D" w:rsidRPr="00F40242">
        <w:rPr>
          <w:noProof/>
          <w:sz w:val="26"/>
        </w:rPr>
        <w:t xml:space="preserve"> a</w:t>
      </w:r>
      <w:r w:rsidR="000A376D" w:rsidRPr="00F40242">
        <w:rPr>
          <w:noProof/>
          <w:sz w:val="26"/>
        </w:rPr>
        <w:t xml:space="preserve"> medium other than annual reports (e.g</w:t>
      </w:r>
      <w:r w:rsidR="00CD711D" w:rsidRPr="00F40242">
        <w:rPr>
          <w:noProof/>
          <w:sz w:val="26"/>
        </w:rPr>
        <w:t>.</w:t>
      </w:r>
      <w:r w:rsidR="000A376D" w:rsidRPr="00F40242">
        <w:rPr>
          <w:noProof/>
          <w:sz w:val="26"/>
        </w:rPr>
        <w:t xml:space="preserve">, company website, electronic and print media) to satisfy the information need of the </w:t>
      </w:r>
      <w:r w:rsidR="00555D4F" w:rsidRPr="00F40242">
        <w:rPr>
          <w:noProof/>
          <w:sz w:val="26"/>
        </w:rPr>
        <w:t>vocal</w:t>
      </w:r>
      <w:r w:rsidR="0084632E" w:rsidRPr="00F40242">
        <w:rPr>
          <w:noProof/>
          <w:sz w:val="26"/>
        </w:rPr>
        <w:t xml:space="preserve"> </w:t>
      </w:r>
      <w:r w:rsidR="000A376D" w:rsidRPr="00F40242">
        <w:rPr>
          <w:noProof/>
          <w:sz w:val="26"/>
        </w:rPr>
        <w:t xml:space="preserve">stakeholder </w:t>
      </w:r>
      <w:r w:rsidR="00B40CB0" w:rsidRPr="00F40242">
        <w:rPr>
          <w:noProof/>
          <w:sz w:val="26"/>
        </w:rPr>
        <w:t xml:space="preserve">so as </w:t>
      </w:r>
      <w:r w:rsidR="000A376D" w:rsidRPr="00F40242">
        <w:rPr>
          <w:noProof/>
          <w:sz w:val="26"/>
        </w:rPr>
        <w:t>to maintain their legitimacy.</w:t>
      </w:r>
      <w:r w:rsidR="000A376D" w:rsidRPr="00F40242">
        <w:rPr>
          <w:sz w:val="26"/>
        </w:rPr>
        <w:t xml:space="preserve"> </w:t>
      </w:r>
      <w:r w:rsidR="000A376D" w:rsidRPr="00F40242">
        <w:rPr>
          <w:noProof/>
          <w:sz w:val="26"/>
        </w:rPr>
        <w:t xml:space="preserve">This </w:t>
      </w:r>
      <w:r w:rsidR="00B40CB0" w:rsidRPr="00F40242">
        <w:rPr>
          <w:noProof/>
          <w:sz w:val="26"/>
        </w:rPr>
        <w:t>situation could explain the</w:t>
      </w:r>
      <w:r w:rsidR="0021333E" w:rsidRPr="00F40242">
        <w:rPr>
          <w:sz w:val="26"/>
        </w:rPr>
        <w:t xml:space="preserve"> negative association between </w:t>
      </w:r>
      <w:r w:rsidR="0084632E" w:rsidRPr="00F40242">
        <w:rPr>
          <w:sz w:val="26"/>
        </w:rPr>
        <w:t xml:space="preserve">consumer proximity and </w:t>
      </w:r>
      <w:r w:rsidR="0021333E" w:rsidRPr="00F40242">
        <w:rPr>
          <w:sz w:val="26"/>
        </w:rPr>
        <w:t xml:space="preserve">declining </w:t>
      </w:r>
      <w:r w:rsidR="0084632E" w:rsidRPr="00F40242">
        <w:rPr>
          <w:sz w:val="26"/>
        </w:rPr>
        <w:t>SED</w:t>
      </w:r>
      <w:r w:rsidR="0021333E" w:rsidRPr="00F40242">
        <w:rPr>
          <w:sz w:val="26"/>
        </w:rPr>
        <w:t>.</w:t>
      </w:r>
      <w:r w:rsidR="00555D4F" w:rsidRPr="00F40242">
        <w:rPr>
          <w:sz w:val="26"/>
        </w:rPr>
        <w:t xml:space="preserve"> </w:t>
      </w:r>
      <w:r w:rsidR="00555D4F" w:rsidRPr="00F40242">
        <w:rPr>
          <w:rFonts w:eastAsiaTheme="minorHAnsi"/>
          <w:sz w:val="26"/>
        </w:rPr>
        <w:t xml:space="preserve">It is natural for high profile companies to </w:t>
      </w:r>
      <w:r w:rsidR="00B40CB0" w:rsidRPr="00F40242">
        <w:rPr>
          <w:rFonts w:eastAsiaTheme="minorHAnsi"/>
          <w:sz w:val="26"/>
        </w:rPr>
        <w:t>use</w:t>
      </w:r>
      <w:r w:rsidR="00555D4F" w:rsidRPr="00F40242">
        <w:rPr>
          <w:rFonts w:eastAsiaTheme="minorHAnsi"/>
          <w:sz w:val="26"/>
        </w:rPr>
        <w:t xml:space="preserve"> the internet or electronic media</w:t>
      </w:r>
      <w:r w:rsidR="00B40CB0" w:rsidRPr="00F40242">
        <w:rPr>
          <w:rFonts w:eastAsiaTheme="minorHAnsi"/>
          <w:sz w:val="26"/>
        </w:rPr>
        <w:t xml:space="preserve"> to disclose</w:t>
      </w:r>
      <w:r w:rsidR="00555D4F" w:rsidRPr="00F40242">
        <w:rPr>
          <w:rFonts w:eastAsiaTheme="minorHAnsi"/>
          <w:sz w:val="26"/>
        </w:rPr>
        <w:t xml:space="preserve"> their social involvement</w:t>
      </w:r>
      <w:r w:rsidR="00B40CB0" w:rsidRPr="00F40242">
        <w:rPr>
          <w:rFonts w:eastAsiaTheme="minorHAnsi"/>
          <w:sz w:val="26"/>
        </w:rPr>
        <w:t>,</w:t>
      </w:r>
      <w:r w:rsidR="00555D4F" w:rsidRPr="00F40242">
        <w:rPr>
          <w:rFonts w:eastAsiaTheme="minorHAnsi"/>
          <w:sz w:val="26"/>
        </w:rPr>
        <w:t xml:space="preserve"> because these </w:t>
      </w:r>
      <w:r w:rsidR="00555D4F" w:rsidRPr="00F40242">
        <w:rPr>
          <w:rFonts w:eastAsiaTheme="minorHAnsi"/>
          <w:noProof/>
          <w:sz w:val="26"/>
        </w:rPr>
        <w:t>are aimed</w:t>
      </w:r>
      <w:r w:rsidR="00555D4F" w:rsidRPr="00F40242">
        <w:rPr>
          <w:rFonts w:eastAsiaTheme="minorHAnsi"/>
          <w:sz w:val="26"/>
        </w:rPr>
        <w:t xml:space="preserve"> at </w:t>
      </w:r>
      <w:r w:rsidR="00555D4F" w:rsidRPr="00F40242">
        <w:rPr>
          <w:rFonts w:eastAsiaTheme="minorHAnsi"/>
          <w:noProof/>
          <w:sz w:val="26"/>
        </w:rPr>
        <w:t>broader stakeholders</w:t>
      </w:r>
      <w:r w:rsidR="00555D4F" w:rsidRPr="00F40242">
        <w:rPr>
          <w:rFonts w:eastAsiaTheme="minorHAnsi"/>
          <w:sz w:val="26"/>
        </w:rPr>
        <w:t xml:space="preserve"> than annual reports</w:t>
      </w:r>
      <w:r w:rsidR="00D27C6D" w:rsidRPr="00F40242">
        <w:rPr>
          <w:rFonts w:eastAsiaTheme="minorHAnsi"/>
          <w:sz w:val="26"/>
        </w:rPr>
        <w:t xml:space="preserve"> (</w:t>
      </w:r>
      <w:proofErr w:type="spellStart"/>
      <w:r w:rsidR="00D27C6D" w:rsidRPr="00F40242">
        <w:rPr>
          <w:rFonts w:eastAsiaTheme="minorHAnsi"/>
          <w:sz w:val="26"/>
        </w:rPr>
        <w:t>Branco</w:t>
      </w:r>
      <w:proofErr w:type="spellEnd"/>
      <w:r w:rsidR="00B40CB0" w:rsidRPr="00F40242">
        <w:rPr>
          <w:rFonts w:eastAsiaTheme="minorHAnsi"/>
          <w:sz w:val="26"/>
        </w:rPr>
        <w:t xml:space="preserve"> </w:t>
      </w:r>
      <w:r w:rsidR="00EC7873" w:rsidRPr="00F40242">
        <w:rPr>
          <w:rFonts w:eastAsiaTheme="minorHAnsi"/>
          <w:sz w:val="26"/>
        </w:rPr>
        <w:t>&amp;</w:t>
      </w:r>
      <w:r w:rsidR="00B40CB0" w:rsidRPr="00F40242">
        <w:rPr>
          <w:rFonts w:eastAsiaTheme="minorHAnsi"/>
          <w:sz w:val="26"/>
        </w:rPr>
        <w:t xml:space="preserve"> </w:t>
      </w:r>
      <w:r w:rsidR="00D27C6D" w:rsidRPr="00F40242">
        <w:rPr>
          <w:rFonts w:eastAsiaTheme="minorHAnsi"/>
          <w:sz w:val="26"/>
        </w:rPr>
        <w:t>Rodrigues</w:t>
      </w:r>
      <w:r w:rsidR="003701F5" w:rsidRPr="00F40242">
        <w:rPr>
          <w:rFonts w:eastAsiaTheme="minorHAnsi"/>
          <w:sz w:val="26"/>
        </w:rPr>
        <w:t>,</w:t>
      </w:r>
      <w:r w:rsidR="00B40CB0" w:rsidRPr="00F40242">
        <w:rPr>
          <w:rFonts w:eastAsiaTheme="minorHAnsi"/>
          <w:sz w:val="26"/>
        </w:rPr>
        <w:t xml:space="preserve"> </w:t>
      </w:r>
      <w:r w:rsidR="003701F5" w:rsidRPr="00F40242">
        <w:rPr>
          <w:rFonts w:eastAsiaTheme="minorHAnsi"/>
          <w:sz w:val="26"/>
        </w:rPr>
        <w:t>2</w:t>
      </w:r>
      <w:r w:rsidR="00D27C6D" w:rsidRPr="00F40242">
        <w:rPr>
          <w:rFonts w:eastAsiaTheme="minorHAnsi"/>
          <w:sz w:val="26"/>
        </w:rPr>
        <w:t>008)</w:t>
      </w:r>
      <w:r w:rsidR="00555D4F" w:rsidRPr="00F40242">
        <w:rPr>
          <w:rFonts w:eastAsiaTheme="minorHAnsi"/>
          <w:sz w:val="26"/>
        </w:rPr>
        <w:t xml:space="preserve">. </w:t>
      </w:r>
      <w:r w:rsidR="0021333E" w:rsidRPr="00F40242">
        <w:rPr>
          <w:sz w:val="26"/>
        </w:rPr>
        <w:t xml:space="preserve">  </w:t>
      </w:r>
    </w:p>
    <w:p w14:paraId="0A1584D4" w14:textId="64E0D5AC" w:rsidR="00884EF2" w:rsidRPr="00F40242" w:rsidRDefault="00884EF2" w:rsidP="000D5C8E">
      <w:pPr>
        <w:autoSpaceDE w:val="0"/>
        <w:autoSpaceDN w:val="0"/>
        <w:adjustRightInd w:val="0"/>
        <w:spacing w:line="360" w:lineRule="exact"/>
        <w:ind w:firstLineChars="200" w:firstLine="520"/>
        <w:jc w:val="both"/>
        <w:rPr>
          <w:rFonts w:eastAsiaTheme="minorHAnsi"/>
          <w:sz w:val="26"/>
        </w:rPr>
      </w:pPr>
      <w:r w:rsidRPr="00F40242">
        <w:rPr>
          <w:sz w:val="26"/>
        </w:rPr>
        <w:t xml:space="preserve">Table 6 reports the results of the social disclosure model for Indian companies. Similar to total disclosure model, we estimated the model using </w:t>
      </w:r>
      <w:r w:rsidR="00B40CB0" w:rsidRPr="00F40242">
        <w:rPr>
          <w:sz w:val="26"/>
        </w:rPr>
        <w:t xml:space="preserve">the </w:t>
      </w:r>
      <w:r w:rsidR="00AF5E9A" w:rsidRPr="00F40242">
        <w:rPr>
          <w:color w:val="000000"/>
          <w:sz w:val="26"/>
        </w:rPr>
        <w:t>EGLS</w:t>
      </w:r>
      <w:r w:rsidRPr="00F40242">
        <w:rPr>
          <w:sz w:val="26"/>
        </w:rPr>
        <w:t xml:space="preserve"> estimator. The R</w:t>
      </w:r>
      <w:r w:rsidRPr="00F40242">
        <w:rPr>
          <w:sz w:val="26"/>
          <w:vertAlign w:val="superscript"/>
        </w:rPr>
        <w:t>2</w:t>
      </w:r>
      <w:r w:rsidRPr="00F40242">
        <w:rPr>
          <w:sz w:val="26"/>
        </w:rPr>
        <w:t>-adjusted goodness-of-fit measure is estimated to be 0.</w:t>
      </w:r>
      <w:r w:rsidR="00AF5E9A" w:rsidRPr="00F40242">
        <w:rPr>
          <w:sz w:val="26"/>
        </w:rPr>
        <w:t>66</w:t>
      </w:r>
      <w:r w:rsidRPr="00F40242">
        <w:rPr>
          <w:sz w:val="26"/>
        </w:rPr>
        <w:t xml:space="preserve">, which is relatively high. Notably, the coefficient of the leverage variable is found to be </w:t>
      </w:r>
      <w:r w:rsidR="004A76F4" w:rsidRPr="00F40242">
        <w:rPr>
          <w:sz w:val="26"/>
        </w:rPr>
        <w:t>nega</w:t>
      </w:r>
      <w:r w:rsidRPr="00F40242">
        <w:rPr>
          <w:sz w:val="26"/>
        </w:rPr>
        <w:t xml:space="preserve">tive </w:t>
      </w:r>
      <w:r w:rsidR="00261E60" w:rsidRPr="00F40242">
        <w:rPr>
          <w:sz w:val="26"/>
        </w:rPr>
        <w:t>(</w:t>
      </w:r>
      <w:r w:rsidR="004A76F4" w:rsidRPr="00F40242">
        <w:rPr>
          <w:sz w:val="26"/>
        </w:rPr>
        <w:t>-</w:t>
      </w:r>
      <w:r w:rsidR="00261E60" w:rsidRPr="00F40242">
        <w:rPr>
          <w:sz w:val="26"/>
        </w:rPr>
        <w:t>0.0</w:t>
      </w:r>
      <w:r w:rsidR="004A76F4" w:rsidRPr="00F40242">
        <w:rPr>
          <w:sz w:val="26"/>
        </w:rPr>
        <w:t>12</w:t>
      </w:r>
      <w:r w:rsidR="00261E60" w:rsidRPr="00F40242">
        <w:rPr>
          <w:sz w:val="26"/>
        </w:rPr>
        <w:t xml:space="preserve">) </w:t>
      </w:r>
      <w:r w:rsidR="004A76F4" w:rsidRPr="00F40242">
        <w:rPr>
          <w:sz w:val="26"/>
        </w:rPr>
        <w:t xml:space="preserve">and </w:t>
      </w:r>
      <w:r w:rsidRPr="00F40242">
        <w:rPr>
          <w:sz w:val="26"/>
        </w:rPr>
        <w:t xml:space="preserve">statistically significant </w:t>
      </w:r>
      <w:r w:rsidR="004A76F4" w:rsidRPr="00F40242">
        <w:rPr>
          <w:sz w:val="26"/>
        </w:rPr>
        <w:t xml:space="preserve">at 1% level (p=0.000), </w:t>
      </w:r>
      <w:r w:rsidRPr="00F40242">
        <w:rPr>
          <w:sz w:val="26"/>
        </w:rPr>
        <w:t xml:space="preserve">in influencing social disclosure of </w:t>
      </w:r>
      <w:r w:rsidRPr="00F40242">
        <w:rPr>
          <w:sz w:val="26"/>
        </w:rPr>
        <w:lastRenderedPageBreak/>
        <w:t xml:space="preserve">companies in India. </w:t>
      </w:r>
      <w:r w:rsidRPr="00F40242">
        <w:rPr>
          <w:noProof/>
          <w:sz w:val="26"/>
        </w:rPr>
        <w:t>This is</w:t>
      </w:r>
      <w:r w:rsidRPr="00F40242">
        <w:rPr>
          <w:sz w:val="26"/>
        </w:rPr>
        <w:t xml:space="preserve"> surprising given that, under legitimacy theory, an increase in leverage is expected to result in increased social disclosure of companies. Another important finding is that the coefficient of </w:t>
      </w:r>
      <w:r w:rsidR="00B40CB0" w:rsidRPr="00F40242">
        <w:rPr>
          <w:sz w:val="26"/>
        </w:rPr>
        <w:t xml:space="preserve">the </w:t>
      </w:r>
      <w:r w:rsidRPr="00F40242">
        <w:rPr>
          <w:sz w:val="26"/>
        </w:rPr>
        <w:t xml:space="preserve">age variable is found to be </w:t>
      </w:r>
      <w:r w:rsidR="00CC4D86" w:rsidRPr="00F40242">
        <w:rPr>
          <w:sz w:val="26"/>
        </w:rPr>
        <w:t>positive</w:t>
      </w:r>
      <w:r w:rsidRPr="00F40242">
        <w:rPr>
          <w:sz w:val="26"/>
        </w:rPr>
        <w:t xml:space="preserve"> </w:t>
      </w:r>
      <w:r w:rsidR="00D22AFF" w:rsidRPr="00F40242">
        <w:rPr>
          <w:sz w:val="26"/>
        </w:rPr>
        <w:t>(0.0</w:t>
      </w:r>
      <w:r w:rsidR="004A76F4" w:rsidRPr="00F40242">
        <w:rPr>
          <w:sz w:val="26"/>
        </w:rPr>
        <w:t>11</w:t>
      </w:r>
      <w:r w:rsidR="00D22AFF" w:rsidRPr="00F40242">
        <w:rPr>
          <w:sz w:val="26"/>
        </w:rPr>
        <w:t xml:space="preserve">) </w:t>
      </w:r>
      <w:r w:rsidR="004A76F4" w:rsidRPr="00F40242">
        <w:rPr>
          <w:sz w:val="26"/>
        </w:rPr>
        <w:t>and</w:t>
      </w:r>
      <w:r w:rsidRPr="00F40242">
        <w:rPr>
          <w:sz w:val="26"/>
        </w:rPr>
        <w:t xml:space="preserve"> statistically significant </w:t>
      </w:r>
      <w:r w:rsidR="00D22AFF" w:rsidRPr="00F40242">
        <w:rPr>
          <w:sz w:val="26"/>
        </w:rPr>
        <w:t>(p=</w:t>
      </w:r>
      <w:r w:rsidR="00CC4D86" w:rsidRPr="00F40242">
        <w:rPr>
          <w:sz w:val="26"/>
        </w:rPr>
        <w:t>.00</w:t>
      </w:r>
      <w:r w:rsidR="004A76F4" w:rsidRPr="00F40242">
        <w:rPr>
          <w:sz w:val="26"/>
        </w:rPr>
        <w:t>0</w:t>
      </w:r>
      <w:r w:rsidR="00D22AFF" w:rsidRPr="00F40242">
        <w:rPr>
          <w:sz w:val="26"/>
        </w:rPr>
        <w:t xml:space="preserve">) </w:t>
      </w:r>
      <w:r w:rsidRPr="00F40242">
        <w:rPr>
          <w:sz w:val="26"/>
        </w:rPr>
        <w:t xml:space="preserve">in influencing social disclosure. </w:t>
      </w:r>
      <w:r w:rsidR="00D22AFF" w:rsidRPr="00F40242">
        <w:rPr>
          <w:noProof/>
          <w:sz w:val="26"/>
        </w:rPr>
        <w:t xml:space="preserve">This </w:t>
      </w:r>
      <w:r w:rsidR="00CC4D86" w:rsidRPr="00F40242">
        <w:rPr>
          <w:noProof/>
          <w:sz w:val="26"/>
        </w:rPr>
        <w:t>satisf</w:t>
      </w:r>
      <w:r w:rsidR="00523E27" w:rsidRPr="00F40242">
        <w:rPr>
          <w:noProof/>
          <w:sz w:val="26"/>
        </w:rPr>
        <w:t>ies</w:t>
      </w:r>
      <w:r w:rsidR="00CC4D86" w:rsidRPr="00F40242">
        <w:rPr>
          <w:sz w:val="26"/>
        </w:rPr>
        <w:t xml:space="preserve"> our</w:t>
      </w:r>
      <w:r w:rsidRPr="00F40242">
        <w:rPr>
          <w:sz w:val="26"/>
        </w:rPr>
        <w:t xml:space="preserve"> expect</w:t>
      </w:r>
      <w:r w:rsidR="00CC4D86" w:rsidRPr="00F40242">
        <w:rPr>
          <w:sz w:val="26"/>
        </w:rPr>
        <w:t>ation that</w:t>
      </w:r>
      <w:r w:rsidRPr="00F40242">
        <w:rPr>
          <w:sz w:val="26"/>
        </w:rPr>
        <w:t xml:space="preserve"> the age of the entity </w:t>
      </w:r>
      <w:r w:rsidR="00B40CB0" w:rsidRPr="00F40242">
        <w:rPr>
          <w:sz w:val="26"/>
        </w:rPr>
        <w:t>has</w:t>
      </w:r>
      <w:r w:rsidRPr="00F40242">
        <w:rPr>
          <w:sz w:val="26"/>
        </w:rPr>
        <w:t xml:space="preserve"> a positive impact on social disclosure. We find </w:t>
      </w:r>
      <w:r w:rsidR="00B40CB0" w:rsidRPr="00F40242">
        <w:rPr>
          <w:sz w:val="26"/>
        </w:rPr>
        <w:t xml:space="preserve">that </w:t>
      </w:r>
      <w:r w:rsidRPr="00F40242">
        <w:rPr>
          <w:sz w:val="26"/>
        </w:rPr>
        <w:t xml:space="preserve">the coefficients of </w:t>
      </w:r>
      <w:r w:rsidR="00AB2A5A" w:rsidRPr="00F40242">
        <w:rPr>
          <w:sz w:val="26"/>
        </w:rPr>
        <w:t xml:space="preserve">the variables </w:t>
      </w:r>
      <w:r w:rsidRPr="00F40242">
        <w:rPr>
          <w:sz w:val="26"/>
        </w:rPr>
        <w:t xml:space="preserve">that capture industry categorisation are positive in influencing social disclosure, implying that being part of these sectors increases the tendency to provide social disclosure in annual reports. </w:t>
      </w:r>
      <w:r w:rsidR="00A004A9" w:rsidRPr="00F40242">
        <w:rPr>
          <w:sz w:val="26"/>
        </w:rPr>
        <w:t>Table 6 indicates that</w:t>
      </w:r>
      <w:r w:rsidR="00B40CB0" w:rsidRPr="00F40242">
        <w:rPr>
          <w:sz w:val="26"/>
        </w:rPr>
        <w:t>,</w:t>
      </w:r>
      <w:r w:rsidR="00A004A9" w:rsidRPr="00F40242">
        <w:rPr>
          <w:sz w:val="26"/>
        </w:rPr>
        <w:t xml:space="preserve"> similar to the total disclosure findings, the coefficient of international experience is found to be positive (0.001) but statistically non-significant (0.618)</w:t>
      </w:r>
      <w:r w:rsidR="00B40CB0" w:rsidRPr="00F40242">
        <w:rPr>
          <w:sz w:val="26"/>
        </w:rPr>
        <w:t>,</w:t>
      </w:r>
      <w:r w:rsidR="00760032" w:rsidRPr="00F40242">
        <w:rPr>
          <w:sz w:val="26"/>
        </w:rPr>
        <w:t xml:space="preserve"> implying that greater international exposure </w:t>
      </w:r>
      <w:r w:rsidR="00760032" w:rsidRPr="00F40242">
        <w:rPr>
          <w:noProof/>
          <w:sz w:val="26"/>
        </w:rPr>
        <w:t>is not associated</w:t>
      </w:r>
      <w:r w:rsidR="00760032" w:rsidRPr="00F40242">
        <w:rPr>
          <w:sz w:val="26"/>
        </w:rPr>
        <w:t xml:space="preserve"> with social disclosure of the company.</w:t>
      </w:r>
      <w:r w:rsidR="00D27C6D" w:rsidRPr="00F40242">
        <w:rPr>
          <w:sz w:val="26"/>
        </w:rPr>
        <w:t xml:space="preserve"> </w:t>
      </w:r>
      <w:r w:rsidR="00904F94" w:rsidRPr="00F40242">
        <w:rPr>
          <w:sz w:val="26"/>
        </w:rPr>
        <w:t xml:space="preserve">Similar to the total disclosure findings, </w:t>
      </w:r>
      <w:r w:rsidR="00B40CB0" w:rsidRPr="00F40242">
        <w:rPr>
          <w:sz w:val="26"/>
        </w:rPr>
        <w:t xml:space="preserve">and </w:t>
      </w:r>
      <w:r w:rsidR="00904F94" w:rsidRPr="00F40242">
        <w:rPr>
          <w:sz w:val="26"/>
        </w:rPr>
        <w:t>c</w:t>
      </w:r>
      <w:r w:rsidRPr="00F40242">
        <w:rPr>
          <w:sz w:val="26"/>
        </w:rPr>
        <w:t xml:space="preserve">ontrary to legitimacy theory, the coefficient of the </w:t>
      </w:r>
      <w:r w:rsidR="00760032" w:rsidRPr="00F40242">
        <w:rPr>
          <w:sz w:val="26"/>
        </w:rPr>
        <w:t>consumer proximity o</w:t>
      </w:r>
      <w:r w:rsidRPr="00F40242">
        <w:rPr>
          <w:sz w:val="26"/>
        </w:rPr>
        <w:t xml:space="preserve">f the company </w:t>
      </w:r>
      <w:r w:rsidR="00760032" w:rsidRPr="00F40242">
        <w:rPr>
          <w:sz w:val="26"/>
        </w:rPr>
        <w:t>is</w:t>
      </w:r>
      <w:r w:rsidRPr="00F40242">
        <w:rPr>
          <w:sz w:val="26"/>
        </w:rPr>
        <w:t xml:space="preserve"> found to be negative </w:t>
      </w:r>
      <w:r w:rsidR="00F92B0C" w:rsidRPr="00F40242">
        <w:rPr>
          <w:sz w:val="26"/>
        </w:rPr>
        <w:t>(-0.</w:t>
      </w:r>
      <w:r w:rsidR="00760032" w:rsidRPr="00F40242">
        <w:rPr>
          <w:sz w:val="26"/>
        </w:rPr>
        <w:t>101</w:t>
      </w:r>
      <w:r w:rsidR="00F92B0C" w:rsidRPr="00F40242">
        <w:rPr>
          <w:sz w:val="26"/>
        </w:rPr>
        <w:t xml:space="preserve">) </w:t>
      </w:r>
      <w:r w:rsidRPr="00F40242">
        <w:rPr>
          <w:sz w:val="26"/>
        </w:rPr>
        <w:t xml:space="preserve">and statistically </w:t>
      </w:r>
      <w:r w:rsidR="00760032" w:rsidRPr="00F40242">
        <w:rPr>
          <w:sz w:val="26"/>
        </w:rPr>
        <w:t>non-</w:t>
      </w:r>
      <w:r w:rsidRPr="00F40242">
        <w:rPr>
          <w:sz w:val="26"/>
        </w:rPr>
        <w:t xml:space="preserve">significant </w:t>
      </w:r>
      <w:r w:rsidR="00760032" w:rsidRPr="00F40242">
        <w:rPr>
          <w:sz w:val="26"/>
        </w:rPr>
        <w:t>(p=0.495</w:t>
      </w:r>
      <w:r w:rsidR="00F92B0C" w:rsidRPr="00F40242">
        <w:rPr>
          <w:sz w:val="26"/>
        </w:rPr>
        <w:t>)</w:t>
      </w:r>
      <w:r w:rsidRPr="00F40242">
        <w:rPr>
          <w:sz w:val="26"/>
        </w:rPr>
        <w:t>. Th</w:t>
      </w:r>
      <w:r w:rsidR="000E6F86" w:rsidRPr="00F40242">
        <w:rPr>
          <w:sz w:val="26"/>
        </w:rPr>
        <w:t>is</w:t>
      </w:r>
      <w:r w:rsidRPr="00F40242">
        <w:rPr>
          <w:sz w:val="26"/>
        </w:rPr>
        <w:t xml:space="preserve"> result </w:t>
      </w:r>
      <w:r w:rsidR="00904F94" w:rsidRPr="00F40242">
        <w:rPr>
          <w:sz w:val="26"/>
        </w:rPr>
        <w:t xml:space="preserve">further </w:t>
      </w:r>
      <w:r w:rsidR="00904F94" w:rsidRPr="00F40242">
        <w:rPr>
          <w:noProof/>
          <w:sz w:val="26"/>
        </w:rPr>
        <w:t>affirm</w:t>
      </w:r>
      <w:r w:rsidR="00523E27" w:rsidRPr="00F40242">
        <w:rPr>
          <w:noProof/>
          <w:sz w:val="26"/>
        </w:rPr>
        <w:t>s</w:t>
      </w:r>
      <w:r w:rsidR="00904F94" w:rsidRPr="00F40242">
        <w:rPr>
          <w:sz w:val="26"/>
        </w:rPr>
        <w:t xml:space="preserve"> the plausible explanation that </w:t>
      </w:r>
      <w:r w:rsidRPr="00F40242">
        <w:rPr>
          <w:sz w:val="26"/>
        </w:rPr>
        <w:t xml:space="preserve">an increase in </w:t>
      </w:r>
      <w:r w:rsidR="00760032" w:rsidRPr="00F40242">
        <w:rPr>
          <w:sz w:val="26"/>
        </w:rPr>
        <w:t>consumer proximity</w:t>
      </w:r>
      <w:r w:rsidRPr="00F40242">
        <w:rPr>
          <w:sz w:val="26"/>
        </w:rPr>
        <w:t xml:space="preserve"> </w:t>
      </w:r>
      <w:r w:rsidRPr="00F40242">
        <w:rPr>
          <w:noProof/>
          <w:sz w:val="26"/>
        </w:rPr>
        <w:t>is associated</w:t>
      </w:r>
      <w:r w:rsidRPr="00F40242">
        <w:rPr>
          <w:sz w:val="26"/>
        </w:rPr>
        <w:t xml:space="preserve"> with less </w:t>
      </w:r>
      <w:r w:rsidR="00904F94" w:rsidRPr="00F40242">
        <w:rPr>
          <w:sz w:val="26"/>
        </w:rPr>
        <w:t xml:space="preserve">social disclosure of </w:t>
      </w:r>
      <w:r w:rsidRPr="00F40242">
        <w:rPr>
          <w:sz w:val="26"/>
        </w:rPr>
        <w:t>compan</w:t>
      </w:r>
      <w:r w:rsidR="00904F94" w:rsidRPr="00F40242">
        <w:rPr>
          <w:sz w:val="26"/>
        </w:rPr>
        <w:t>ies</w:t>
      </w:r>
      <w:r w:rsidRPr="00F40242">
        <w:rPr>
          <w:sz w:val="26"/>
        </w:rPr>
        <w:t xml:space="preserve"> in annual reports. </w:t>
      </w:r>
      <w:r w:rsidR="00B40CB0" w:rsidRPr="00F40242">
        <w:rPr>
          <w:sz w:val="26"/>
        </w:rPr>
        <w:t>As noted earlier,</w:t>
      </w:r>
      <w:r w:rsidR="00F73B28" w:rsidRPr="00F40242">
        <w:rPr>
          <w:noProof/>
          <w:sz w:val="26"/>
        </w:rPr>
        <w:t xml:space="preserve"> </w:t>
      </w:r>
      <w:r w:rsidR="00904F94" w:rsidRPr="00F40242">
        <w:rPr>
          <w:noProof/>
          <w:sz w:val="26"/>
        </w:rPr>
        <w:t xml:space="preserve">as </w:t>
      </w:r>
      <w:r w:rsidRPr="00F40242">
        <w:rPr>
          <w:noProof/>
          <w:sz w:val="26"/>
        </w:rPr>
        <w:t xml:space="preserve">Indian </w:t>
      </w:r>
      <w:r w:rsidR="00D27C6D" w:rsidRPr="00F40242">
        <w:rPr>
          <w:noProof/>
          <w:sz w:val="26"/>
        </w:rPr>
        <w:t xml:space="preserve">high profile </w:t>
      </w:r>
      <w:r w:rsidRPr="00F40242">
        <w:rPr>
          <w:noProof/>
          <w:sz w:val="26"/>
        </w:rPr>
        <w:t xml:space="preserve">companies become more </w:t>
      </w:r>
      <w:r w:rsidR="00D27C6D" w:rsidRPr="00F40242">
        <w:rPr>
          <w:noProof/>
          <w:sz w:val="26"/>
        </w:rPr>
        <w:t>stakeholder</w:t>
      </w:r>
      <w:r w:rsidRPr="00F40242">
        <w:rPr>
          <w:noProof/>
          <w:sz w:val="26"/>
        </w:rPr>
        <w:t xml:space="preserve">-oriented, </w:t>
      </w:r>
      <w:r w:rsidR="00D27C6D" w:rsidRPr="00F40242">
        <w:rPr>
          <w:noProof/>
          <w:sz w:val="26"/>
        </w:rPr>
        <w:t xml:space="preserve">they </w:t>
      </w:r>
      <w:r w:rsidR="00B40CB0" w:rsidRPr="00F40242">
        <w:rPr>
          <w:rFonts w:eastAsiaTheme="minorHAnsi"/>
          <w:noProof/>
          <w:sz w:val="26"/>
        </w:rPr>
        <w:t>increasingly use</w:t>
      </w:r>
      <w:r w:rsidR="00D27C6D" w:rsidRPr="00F40242">
        <w:rPr>
          <w:rFonts w:eastAsiaTheme="minorHAnsi"/>
          <w:noProof/>
          <w:sz w:val="26"/>
        </w:rPr>
        <w:t xml:space="preserve"> the internet or electronic media</w:t>
      </w:r>
      <w:r w:rsidR="00B40CB0" w:rsidRPr="00F40242">
        <w:rPr>
          <w:rFonts w:eastAsiaTheme="minorHAnsi"/>
          <w:noProof/>
          <w:sz w:val="26"/>
        </w:rPr>
        <w:t xml:space="preserve"> rather than the traditional annual report</w:t>
      </w:r>
      <w:r w:rsidR="00D27C6D" w:rsidRPr="00F40242">
        <w:rPr>
          <w:rFonts w:eastAsiaTheme="minorHAnsi"/>
          <w:noProof/>
          <w:sz w:val="26"/>
        </w:rPr>
        <w:t xml:space="preserve"> </w:t>
      </w:r>
      <w:r w:rsidR="00B40CB0" w:rsidRPr="00F40242">
        <w:rPr>
          <w:rFonts w:eastAsiaTheme="minorHAnsi"/>
          <w:noProof/>
          <w:sz w:val="26"/>
        </w:rPr>
        <w:t>to communicate</w:t>
      </w:r>
      <w:r w:rsidR="001719F7" w:rsidRPr="00F40242">
        <w:rPr>
          <w:rFonts w:eastAsiaTheme="minorHAnsi"/>
          <w:noProof/>
          <w:sz w:val="26"/>
        </w:rPr>
        <w:t xml:space="preserve"> </w:t>
      </w:r>
      <w:r w:rsidR="00D27C6D" w:rsidRPr="00F40242">
        <w:rPr>
          <w:rFonts w:eastAsiaTheme="minorHAnsi"/>
          <w:noProof/>
          <w:sz w:val="26"/>
        </w:rPr>
        <w:t>their social involvement.</w:t>
      </w:r>
      <w:r w:rsidR="00D27C6D" w:rsidRPr="00F40242">
        <w:rPr>
          <w:rFonts w:eastAsiaTheme="minorHAnsi"/>
          <w:sz w:val="26"/>
        </w:rPr>
        <w:t xml:space="preserve"> </w:t>
      </w:r>
    </w:p>
    <w:p w14:paraId="2980563B" w14:textId="77777777" w:rsidR="00207EB1" w:rsidRPr="00F40242" w:rsidRDefault="00207EB1" w:rsidP="0011086F">
      <w:pPr>
        <w:autoSpaceDE w:val="0"/>
        <w:autoSpaceDN w:val="0"/>
        <w:adjustRightInd w:val="0"/>
        <w:spacing w:line="360" w:lineRule="exact"/>
        <w:ind w:firstLine="720"/>
        <w:jc w:val="both"/>
        <w:rPr>
          <w:sz w:val="26"/>
        </w:rPr>
      </w:pPr>
    </w:p>
    <w:p w14:paraId="28A3D3F4" w14:textId="3C937C8C" w:rsidR="008F79CB" w:rsidRPr="004578D5" w:rsidRDefault="008F79CB" w:rsidP="00AD0022">
      <w:pPr>
        <w:autoSpaceDE w:val="0"/>
        <w:autoSpaceDN w:val="0"/>
        <w:adjustRightInd w:val="0"/>
        <w:spacing w:line="360" w:lineRule="exact"/>
        <w:ind w:left="992" w:hangingChars="381" w:hanging="992"/>
        <w:jc w:val="center"/>
        <w:rPr>
          <w:b/>
          <w:sz w:val="26"/>
        </w:rPr>
      </w:pPr>
      <w:r w:rsidRPr="004578D5">
        <w:rPr>
          <w:b/>
          <w:sz w:val="26"/>
        </w:rPr>
        <w:t xml:space="preserve">Table </w:t>
      </w:r>
      <w:proofErr w:type="gramStart"/>
      <w:r w:rsidRPr="004578D5">
        <w:rPr>
          <w:b/>
          <w:sz w:val="26"/>
        </w:rPr>
        <w:t>6</w:t>
      </w:r>
      <w:r w:rsidR="00540656">
        <w:rPr>
          <w:b/>
          <w:sz w:val="26"/>
        </w:rPr>
        <w:t xml:space="preserve"> </w:t>
      </w:r>
      <w:r w:rsidRPr="004578D5">
        <w:rPr>
          <w:b/>
          <w:sz w:val="26"/>
        </w:rPr>
        <w:t xml:space="preserve"> Regression</w:t>
      </w:r>
      <w:proofErr w:type="gramEnd"/>
      <w:r w:rsidRPr="004578D5">
        <w:rPr>
          <w:b/>
          <w:sz w:val="26"/>
        </w:rPr>
        <w:t xml:space="preserve"> Result of Social Disclosure</w:t>
      </w:r>
      <w:r w:rsidR="00AD0022">
        <w:rPr>
          <w:b/>
          <w:sz w:val="26"/>
        </w:rPr>
        <w:t xml:space="preserve"> </w:t>
      </w:r>
    </w:p>
    <w:tbl>
      <w:tblPr>
        <w:tblStyle w:val="62"/>
        <w:tblW w:w="5000" w:type="pct"/>
        <w:shd w:val="clear" w:color="auto" w:fill="FFFFFF" w:themeFill="background1"/>
        <w:tblLook w:val="04A0" w:firstRow="1" w:lastRow="0" w:firstColumn="1" w:lastColumn="0" w:noHBand="0" w:noVBand="1"/>
      </w:tblPr>
      <w:tblGrid>
        <w:gridCol w:w="3095"/>
        <w:gridCol w:w="1977"/>
        <w:gridCol w:w="1977"/>
        <w:gridCol w:w="1977"/>
      </w:tblGrid>
      <w:tr w:rsidR="008F79CB" w:rsidRPr="009E41F8" w14:paraId="43D8C41A" w14:textId="77777777" w:rsidTr="008B3BE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15" w:type="pct"/>
            <w:shd w:val="clear" w:color="auto" w:fill="FFFFFF" w:themeFill="background1"/>
            <w:noWrap/>
            <w:hideMark/>
          </w:tcPr>
          <w:p w14:paraId="1808C673" w14:textId="77777777" w:rsidR="008F79CB" w:rsidRPr="00D55CAF" w:rsidRDefault="008F79CB" w:rsidP="00D55CAF">
            <w:pPr>
              <w:spacing w:line="360" w:lineRule="exact"/>
              <w:jc w:val="center"/>
              <w:rPr>
                <w:b w:val="0"/>
                <w:color w:val="000000"/>
                <w:lang w:eastAsia="en-AU"/>
              </w:rPr>
            </w:pPr>
            <w:r w:rsidRPr="00D55CAF">
              <w:rPr>
                <w:color w:val="000000"/>
                <w:lang w:eastAsia="en-AU"/>
              </w:rPr>
              <w:t>Variable</w:t>
            </w:r>
          </w:p>
        </w:tc>
        <w:tc>
          <w:tcPr>
            <w:tcW w:w="1095" w:type="pct"/>
            <w:shd w:val="clear" w:color="auto" w:fill="FFFFFF" w:themeFill="background1"/>
            <w:noWrap/>
            <w:hideMark/>
          </w:tcPr>
          <w:p w14:paraId="23B1D6A9" w14:textId="77777777" w:rsidR="008F79CB" w:rsidRPr="00D55CAF" w:rsidRDefault="008F79CB" w:rsidP="004578D5">
            <w:pPr>
              <w:spacing w:line="360" w:lineRule="exact"/>
              <w:jc w:val="center"/>
              <w:cnfStyle w:val="100000000000" w:firstRow="1" w:lastRow="0" w:firstColumn="0" w:lastColumn="0" w:oddVBand="0" w:evenVBand="0" w:oddHBand="0" w:evenHBand="0" w:firstRowFirstColumn="0" w:firstRowLastColumn="0" w:lastRowFirstColumn="0" w:lastRowLastColumn="0"/>
              <w:rPr>
                <w:b w:val="0"/>
                <w:color w:val="000000"/>
                <w:lang w:eastAsia="en-AU"/>
              </w:rPr>
            </w:pPr>
            <w:r w:rsidRPr="00D55CAF">
              <w:rPr>
                <w:color w:val="000000"/>
                <w:lang w:eastAsia="en-AU"/>
              </w:rPr>
              <w:t>Coefficient</w:t>
            </w:r>
          </w:p>
        </w:tc>
        <w:tc>
          <w:tcPr>
            <w:tcW w:w="1095" w:type="pct"/>
            <w:shd w:val="clear" w:color="auto" w:fill="FFFFFF" w:themeFill="background1"/>
            <w:noWrap/>
            <w:hideMark/>
          </w:tcPr>
          <w:p w14:paraId="7884E3AA" w14:textId="77777777" w:rsidR="008F79CB" w:rsidRPr="00D55CAF" w:rsidRDefault="008F79CB" w:rsidP="004578D5">
            <w:pPr>
              <w:spacing w:line="360" w:lineRule="exact"/>
              <w:jc w:val="center"/>
              <w:cnfStyle w:val="100000000000" w:firstRow="1" w:lastRow="0" w:firstColumn="0" w:lastColumn="0" w:oddVBand="0" w:evenVBand="0" w:oddHBand="0" w:evenHBand="0" w:firstRowFirstColumn="0" w:firstRowLastColumn="0" w:lastRowFirstColumn="0" w:lastRowLastColumn="0"/>
              <w:rPr>
                <w:b w:val="0"/>
                <w:color w:val="000000"/>
                <w:lang w:eastAsia="en-AU"/>
              </w:rPr>
            </w:pPr>
            <w:r w:rsidRPr="00D55CAF">
              <w:rPr>
                <w:color w:val="000000"/>
                <w:lang w:eastAsia="en-AU"/>
              </w:rPr>
              <w:t>t-Statistic</w:t>
            </w:r>
          </w:p>
        </w:tc>
        <w:tc>
          <w:tcPr>
            <w:tcW w:w="1095" w:type="pct"/>
            <w:shd w:val="clear" w:color="auto" w:fill="FFFFFF" w:themeFill="background1"/>
            <w:noWrap/>
            <w:hideMark/>
          </w:tcPr>
          <w:p w14:paraId="1D1EDB88" w14:textId="15230F83" w:rsidR="008F79CB" w:rsidRPr="00D55CAF" w:rsidRDefault="008F79CB" w:rsidP="004578D5">
            <w:pPr>
              <w:spacing w:line="360" w:lineRule="exact"/>
              <w:jc w:val="center"/>
              <w:cnfStyle w:val="100000000000" w:firstRow="1" w:lastRow="0" w:firstColumn="0" w:lastColumn="0" w:oddVBand="0" w:evenVBand="0" w:oddHBand="0" w:evenHBand="0" w:firstRowFirstColumn="0" w:firstRowLastColumn="0" w:lastRowFirstColumn="0" w:lastRowLastColumn="0"/>
              <w:rPr>
                <w:b w:val="0"/>
                <w:color w:val="000000"/>
                <w:lang w:eastAsia="en-AU"/>
              </w:rPr>
            </w:pPr>
            <w:r w:rsidRPr="00D55CAF">
              <w:rPr>
                <w:color w:val="000000"/>
                <w:lang w:eastAsia="en-AU"/>
              </w:rPr>
              <w:t>Prob.</w:t>
            </w:r>
          </w:p>
        </w:tc>
      </w:tr>
      <w:tr w:rsidR="008F79CB" w:rsidRPr="009E41F8" w14:paraId="14EF50C4" w14:textId="77777777" w:rsidTr="008B3B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15" w:type="pct"/>
            <w:shd w:val="clear" w:color="auto" w:fill="FFFFFF" w:themeFill="background1"/>
            <w:noWrap/>
            <w:hideMark/>
          </w:tcPr>
          <w:p w14:paraId="6DE7EF29" w14:textId="77777777" w:rsidR="008F79CB" w:rsidRPr="00AD0022" w:rsidRDefault="008F79CB" w:rsidP="00D55CAF">
            <w:pPr>
              <w:spacing w:line="360" w:lineRule="exact"/>
              <w:ind w:firstLineChars="100" w:firstLine="240"/>
              <w:jc w:val="both"/>
              <w:rPr>
                <w:b w:val="0"/>
                <w:color w:val="000000"/>
                <w:lang w:eastAsia="en-AU"/>
              </w:rPr>
            </w:pPr>
            <w:r w:rsidRPr="00AD0022">
              <w:rPr>
                <w:b w:val="0"/>
                <w:color w:val="000000"/>
                <w:lang w:eastAsia="en-AU"/>
              </w:rPr>
              <w:t>C</w:t>
            </w:r>
          </w:p>
        </w:tc>
        <w:tc>
          <w:tcPr>
            <w:tcW w:w="1095" w:type="pct"/>
            <w:shd w:val="clear" w:color="auto" w:fill="FFFFFF" w:themeFill="background1"/>
            <w:noWrap/>
            <w:hideMark/>
          </w:tcPr>
          <w:p w14:paraId="75CEF04D" w14:textId="77777777" w:rsidR="008F79CB" w:rsidRPr="00D55CAF" w:rsidRDefault="008F79CB" w:rsidP="004578D5">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D55CAF">
              <w:rPr>
                <w:color w:val="000000"/>
                <w:lang w:eastAsia="en-AU"/>
              </w:rPr>
              <w:t>1.754</w:t>
            </w:r>
          </w:p>
        </w:tc>
        <w:tc>
          <w:tcPr>
            <w:tcW w:w="1095" w:type="pct"/>
            <w:shd w:val="clear" w:color="auto" w:fill="FFFFFF" w:themeFill="background1"/>
            <w:noWrap/>
            <w:hideMark/>
          </w:tcPr>
          <w:p w14:paraId="1EE5B648" w14:textId="77777777" w:rsidR="008F79CB" w:rsidRPr="00D55CAF" w:rsidRDefault="008F79CB" w:rsidP="004578D5">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D55CAF">
              <w:rPr>
                <w:color w:val="000000"/>
                <w:lang w:eastAsia="en-AU"/>
              </w:rPr>
              <w:t>4.075</w:t>
            </w:r>
          </w:p>
        </w:tc>
        <w:tc>
          <w:tcPr>
            <w:tcW w:w="1095" w:type="pct"/>
            <w:shd w:val="clear" w:color="auto" w:fill="FFFFFF" w:themeFill="background1"/>
            <w:noWrap/>
            <w:hideMark/>
          </w:tcPr>
          <w:p w14:paraId="6D8EA8D1" w14:textId="77777777" w:rsidR="008F79CB" w:rsidRPr="00D55CAF" w:rsidRDefault="008F79CB" w:rsidP="004578D5">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D55CAF">
              <w:rPr>
                <w:color w:val="000000"/>
                <w:lang w:eastAsia="en-AU"/>
              </w:rPr>
              <w:t>0.000</w:t>
            </w:r>
          </w:p>
        </w:tc>
      </w:tr>
      <w:tr w:rsidR="008F79CB" w:rsidRPr="009E41F8" w14:paraId="5BE3A4FD" w14:textId="77777777" w:rsidTr="008B3BEE">
        <w:trPr>
          <w:trHeight w:val="288"/>
        </w:trPr>
        <w:tc>
          <w:tcPr>
            <w:cnfStyle w:val="001000000000" w:firstRow="0" w:lastRow="0" w:firstColumn="1" w:lastColumn="0" w:oddVBand="0" w:evenVBand="0" w:oddHBand="0" w:evenHBand="0" w:firstRowFirstColumn="0" w:firstRowLastColumn="0" w:lastRowFirstColumn="0" w:lastRowLastColumn="0"/>
            <w:tcW w:w="1715" w:type="pct"/>
            <w:shd w:val="clear" w:color="auto" w:fill="FFFFFF" w:themeFill="background1"/>
            <w:noWrap/>
            <w:hideMark/>
          </w:tcPr>
          <w:p w14:paraId="3BFA25FA" w14:textId="77777777" w:rsidR="008F79CB" w:rsidRPr="00AD0022" w:rsidRDefault="008F79CB" w:rsidP="00D55CAF">
            <w:pPr>
              <w:spacing w:line="360" w:lineRule="exact"/>
              <w:ind w:firstLineChars="100" w:firstLine="240"/>
              <w:jc w:val="both"/>
              <w:rPr>
                <w:b w:val="0"/>
                <w:color w:val="000000"/>
                <w:lang w:eastAsia="en-AU"/>
              </w:rPr>
            </w:pPr>
            <w:r w:rsidRPr="00AD0022">
              <w:rPr>
                <w:b w:val="0"/>
                <w:color w:val="000000"/>
                <w:lang w:eastAsia="en-AU"/>
              </w:rPr>
              <w:t>AGE</w:t>
            </w:r>
          </w:p>
        </w:tc>
        <w:tc>
          <w:tcPr>
            <w:tcW w:w="1095" w:type="pct"/>
            <w:shd w:val="clear" w:color="auto" w:fill="FFFFFF" w:themeFill="background1"/>
            <w:noWrap/>
            <w:hideMark/>
          </w:tcPr>
          <w:p w14:paraId="068FB932" w14:textId="77777777" w:rsidR="008F79CB" w:rsidRPr="00D55CAF" w:rsidRDefault="008F79CB" w:rsidP="004578D5">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D55CAF">
              <w:rPr>
                <w:color w:val="000000"/>
                <w:lang w:eastAsia="en-AU"/>
              </w:rPr>
              <w:t>0.011</w:t>
            </w:r>
          </w:p>
        </w:tc>
        <w:tc>
          <w:tcPr>
            <w:tcW w:w="1095" w:type="pct"/>
            <w:shd w:val="clear" w:color="auto" w:fill="FFFFFF" w:themeFill="background1"/>
            <w:noWrap/>
            <w:hideMark/>
          </w:tcPr>
          <w:p w14:paraId="52C070AE" w14:textId="77777777" w:rsidR="008F79CB" w:rsidRPr="00D55CAF" w:rsidRDefault="008F79CB" w:rsidP="004578D5">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D55CAF">
              <w:rPr>
                <w:color w:val="000000"/>
                <w:lang w:eastAsia="en-AU"/>
              </w:rPr>
              <w:t>3.700</w:t>
            </w:r>
          </w:p>
        </w:tc>
        <w:tc>
          <w:tcPr>
            <w:tcW w:w="1095" w:type="pct"/>
            <w:shd w:val="clear" w:color="auto" w:fill="FFFFFF" w:themeFill="background1"/>
            <w:noWrap/>
            <w:hideMark/>
          </w:tcPr>
          <w:p w14:paraId="3BAFA1EC" w14:textId="77777777" w:rsidR="008F79CB" w:rsidRPr="00D55CAF" w:rsidRDefault="008F79CB" w:rsidP="004578D5">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D55CAF">
              <w:rPr>
                <w:color w:val="000000"/>
                <w:lang w:eastAsia="en-AU"/>
              </w:rPr>
              <w:t>0.000</w:t>
            </w:r>
          </w:p>
        </w:tc>
      </w:tr>
      <w:tr w:rsidR="008F79CB" w:rsidRPr="009E41F8" w14:paraId="6399B88E" w14:textId="77777777" w:rsidTr="008B3B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15" w:type="pct"/>
            <w:shd w:val="clear" w:color="auto" w:fill="FFFFFF" w:themeFill="background1"/>
            <w:noWrap/>
            <w:hideMark/>
          </w:tcPr>
          <w:p w14:paraId="473D57F9" w14:textId="77777777" w:rsidR="008F79CB" w:rsidRPr="00AD0022" w:rsidRDefault="008F79CB" w:rsidP="00D55CAF">
            <w:pPr>
              <w:spacing w:line="360" w:lineRule="exact"/>
              <w:ind w:firstLineChars="100" w:firstLine="240"/>
              <w:jc w:val="both"/>
              <w:rPr>
                <w:b w:val="0"/>
                <w:color w:val="000000"/>
                <w:lang w:eastAsia="en-AU"/>
              </w:rPr>
            </w:pPr>
            <w:r w:rsidRPr="00AD0022">
              <w:rPr>
                <w:b w:val="0"/>
                <w:color w:val="000000"/>
                <w:lang w:eastAsia="en-AU"/>
              </w:rPr>
              <w:t>CP</w:t>
            </w:r>
          </w:p>
        </w:tc>
        <w:tc>
          <w:tcPr>
            <w:tcW w:w="1095" w:type="pct"/>
            <w:shd w:val="clear" w:color="auto" w:fill="FFFFFF" w:themeFill="background1"/>
            <w:noWrap/>
            <w:hideMark/>
          </w:tcPr>
          <w:p w14:paraId="1764D209" w14:textId="77777777" w:rsidR="008F79CB" w:rsidRPr="00D55CAF" w:rsidRDefault="008F79CB" w:rsidP="004578D5">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D55CAF">
              <w:rPr>
                <w:color w:val="000000"/>
                <w:lang w:eastAsia="en-AU"/>
              </w:rPr>
              <w:t>-0.101</w:t>
            </w:r>
          </w:p>
        </w:tc>
        <w:tc>
          <w:tcPr>
            <w:tcW w:w="1095" w:type="pct"/>
            <w:shd w:val="clear" w:color="auto" w:fill="FFFFFF" w:themeFill="background1"/>
            <w:noWrap/>
            <w:hideMark/>
          </w:tcPr>
          <w:p w14:paraId="11DA704D" w14:textId="77777777" w:rsidR="008F79CB" w:rsidRPr="00D55CAF" w:rsidRDefault="008F79CB" w:rsidP="004578D5">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D55CAF">
              <w:rPr>
                <w:color w:val="000000"/>
                <w:lang w:eastAsia="en-AU"/>
              </w:rPr>
              <w:t>-0.683</w:t>
            </w:r>
          </w:p>
        </w:tc>
        <w:tc>
          <w:tcPr>
            <w:tcW w:w="1095" w:type="pct"/>
            <w:shd w:val="clear" w:color="auto" w:fill="FFFFFF" w:themeFill="background1"/>
            <w:noWrap/>
            <w:hideMark/>
          </w:tcPr>
          <w:p w14:paraId="0412E2F6" w14:textId="77777777" w:rsidR="008F79CB" w:rsidRPr="00D55CAF" w:rsidRDefault="008F79CB" w:rsidP="004578D5">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D55CAF">
              <w:rPr>
                <w:color w:val="000000"/>
                <w:lang w:eastAsia="en-AU"/>
              </w:rPr>
              <w:t>0.495</w:t>
            </w:r>
          </w:p>
        </w:tc>
      </w:tr>
      <w:tr w:rsidR="008F79CB" w:rsidRPr="009E41F8" w14:paraId="23FFA13E" w14:textId="77777777" w:rsidTr="008B3BEE">
        <w:trPr>
          <w:trHeight w:val="288"/>
        </w:trPr>
        <w:tc>
          <w:tcPr>
            <w:cnfStyle w:val="001000000000" w:firstRow="0" w:lastRow="0" w:firstColumn="1" w:lastColumn="0" w:oddVBand="0" w:evenVBand="0" w:oddHBand="0" w:evenHBand="0" w:firstRowFirstColumn="0" w:firstRowLastColumn="0" w:lastRowFirstColumn="0" w:lastRowLastColumn="0"/>
            <w:tcW w:w="1715" w:type="pct"/>
            <w:shd w:val="clear" w:color="auto" w:fill="FFFFFF" w:themeFill="background1"/>
            <w:noWrap/>
            <w:hideMark/>
          </w:tcPr>
          <w:p w14:paraId="1B49FA7A" w14:textId="77777777" w:rsidR="008F79CB" w:rsidRPr="00AD0022" w:rsidRDefault="008F79CB" w:rsidP="00D55CAF">
            <w:pPr>
              <w:spacing w:line="360" w:lineRule="exact"/>
              <w:ind w:firstLineChars="100" w:firstLine="240"/>
              <w:jc w:val="both"/>
              <w:rPr>
                <w:b w:val="0"/>
                <w:color w:val="000000"/>
                <w:lang w:eastAsia="en-AU"/>
              </w:rPr>
            </w:pPr>
            <w:r w:rsidRPr="00AD0022">
              <w:rPr>
                <w:b w:val="0"/>
                <w:color w:val="000000"/>
                <w:lang w:eastAsia="en-AU"/>
              </w:rPr>
              <w:t>LEV</w:t>
            </w:r>
          </w:p>
        </w:tc>
        <w:tc>
          <w:tcPr>
            <w:tcW w:w="1095" w:type="pct"/>
            <w:shd w:val="clear" w:color="auto" w:fill="FFFFFF" w:themeFill="background1"/>
            <w:noWrap/>
            <w:hideMark/>
          </w:tcPr>
          <w:p w14:paraId="001ADA77" w14:textId="77777777" w:rsidR="008F79CB" w:rsidRPr="00D55CAF" w:rsidRDefault="008F79CB" w:rsidP="004578D5">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D55CAF">
              <w:rPr>
                <w:color w:val="000000"/>
                <w:lang w:eastAsia="en-AU"/>
              </w:rPr>
              <w:t>-0.012</w:t>
            </w:r>
          </w:p>
        </w:tc>
        <w:tc>
          <w:tcPr>
            <w:tcW w:w="1095" w:type="pct"/>
            <w:shd w:val="clear" w:color="auto" w:fill="FFFFFF" w:themeFill="background1"/>
            <w:noWrap/>
            <w:hideMark/>
          </w:tcPr>
          <w:p w14:paraId="213BA6ED" w14:textId="77777777" w:rsidR="008F79CB" w:rsidRPr="00D55CAF" w:rsidRDefault="008F79CB" w:rsidP="004578D5">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D55CAF">
              <w:rPr>
                <w:color w:val="000000"/>
                <w:lang w:eastAsia="en-AU"/>
              </w:rPr>
              <w:t>-3.912</w:t>
            </w:r>
          </w:p>
        </w:tc>
        <w:tc>
          <w:tcPr>
            <w:tcW w:w="1095" w:type="pct"/>
            <w:shd w:val="clear" w:color="auto" w:fill="FFFFFF" w:themeFill="background1"/>
            <w:noWrap/>
            <w:hideMark/>
          </w:tcPr>
          <w:p w14:paraId="087FA593" w14:textId="77777777" w:rsidR="008F79CB" w:rsidRPr="00D55CAF" w:rsidRDefault="008F79CB" w:rsidP="004578D5">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D55CAF">
              <w:rPr>
                <w:color w:val="000000"/>
                <w:lang w:eastAsia="en-AU"/>
              </w:rPr>
              <w:t>0.000</w:t>
            </w:r>
          </w:p>
        </w:tc>
      </w:tr>
      <w:tr w:rsidR="008F79CB" w:rsidRPr="009E41F8" w14:paraId="3E7C3397" w14:textId="77777777" w:rsidTr="008B3B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15" w:type="pct"/>
            <w:shd w:val="clear" w:color="auto" w:fill="FFFFFF" w:themeFill="background1"/>
            <w:noWrap/>
            <w:hideMark/>
          </w:tcPr>
          <w:p w14:paraId="20D97AC7" w14:textId="77777777" w:rsidR="008F79CB" w:rsidRPr="00AD0022" w:rsidRDefault="008F79CB" w:rsidP="00D55CAF">
            <w:pPr>
              <w:spacing w:line="360" w:lineRule="exact"/>
              <w:ind w:firstLineChars="100" w:firstLine="240"/>
              <w:jc w:val="both"/>
              <w:rPr>
                <w:b w:val="0"/>
                <w:color w:val="000000"/>
                <w:lang w:eastAsia="en-AU"/>
              </w:rPr>
            </w:pPr>
            <w:r w:rsidRPr="00AD0022">
              <w:rPr>
                <w:b w:val="0"/>
                <w:color w:val="000000"/>
                <w:lang w:eastAsia="en-AU"/>
              </w:rPr>
              <w:t>CIND</w:t>
            </w:r>
          </w:p>
        </w:tc>
        <w:tc>
          <w:tcPr>
            <w:tcW w:w="1095" w:type="pct"/>
            <w:shd w:val="clear" w:color="auto" w:fill="FFFFFF" w:themeFill="background1"/>
            <w:noWrap/>
            <w:hideMark/>
          </w:tcPr>
          <w:p w14:paraId="5247E10F" w14:textId="77777777" w:rsidR="008F79CB" w:rsidRPr="00D55CAF" w:rsidRDefault="008F79CB" w:rsidP="004578D5">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D55CAF">
              <w:rPr>
                <w:color w:val="000000"/>
                <w:lang w:eastAsia="en-AU"/>
              </w:rPr>
              <w:t>1.525</w:t>
            </w:r>
          </w:p>
        </w:tc>
        <w:tc>
          <w:tcPr>
            <w:tcW w:w="1095" w:type="pct"/>
            <w:shd w:val="clear" w:color="auto" w:fill="FFFFFF" w:themeFill="background1"/>
            <w:noWrap/>
            <w:hideMark/>
          </w:tcPr>
          <w:p w14:paraId="2A91E234" w14:textId="77777777" w:rsidR="008F79CB" w:rsidRPr="00D55CAF" w:rsidRDefault="008F79CB" w:rsidP="004578D5">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D55CAF">
              <w:rPr>
                <w:color w:val="000000"/>
                <w:lang w:eastAsia="en-AU"/>
              </w:rPr>
              <w:t>6.711</w:t>
            </w:r>
          </w:p>
        </w:tc>
        <w:tc>
          <w:tcPr>
            <w:tcW w:w="1095" w:type="pct"/>
            <w:shd w:val="clear" w:color="auto" w:fill="FFFFFF" w:themeFill="background1"/>
            <w:noWrap/>
            <w:hideMark/>
          </w:tcPr>
          <w:p w14:paraId="399FB1FE" w14:textId="77777777" w:rsidR="008F79CB" w:rsidRPr="00D55CAF" w:rsidRDefault="008F79CB" w:rsidP="004578D5">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D55CAF">
              <w:rPr>
                <w:color w:val="000000"/>
                <w:lang w:eastAsia="en-AU"/>
              </w:rPr>
              <w:t>0.000</w:t>
            </w:r>
          </w:p>
        </w:tc>
      </w:tr>
      <w:tr w:rsidR="008F79CB" w:rsidRPr="009E41F8" w14:paraId="76C3FE3F" w14:textId="77777777" w:rsidTr="008B3BEE">
        <w:trPr>
          <w:trHeight w:val="288"/>
        </w:trPr>
        <w:tc>
          <w:tcPr>
            <w:cnfStyle w:val="001000000000" w:firstRow="0" w:lastRow="0" w:firstColumn="1" w:lastColumn="0" w:oddVBand="0" w:evenVBand="0" w:oddHBand="0" w:evenHBand="0" w:firstRowFirstColumn="0" w:firstRowLastColumn="0" w:lastRowFirstColumn="0" w:lastRowLastColumn="0"/>
            <w:tcW w:w="1715" w:type="pct"/>
            <w:shd w:val="clear" w:color="auto" w:fill="FFFFFF" w:themeFill="background1"/>
            <w:noWrap/>
            <w:hideMark/>
          </w:tcPr>
          <w:p w14:paraId="3DD40B49" w14:textId="77777777" w:rsidR="008F79CB" w:rsidRPr="00AD0022" w:rsidRDefault="008F79CB" w:rsidP="00D55CAF">
            <w:pPr>
              <w:spacing w:line="360" w:lineRule="exact"/>
              <w:ind w:firstLineChars="100" w:firstLine="240"/>
              <w:jc w:val="both"/>
              <w:rPr>
                <w:b w:val="0"/>
                <w:color w:val="000000"/>
                <w:lang w:eastAsia="en-AU"/>
              </w:rPr>
            </w:pPr>
            <w:r w:rsidRPr="00AD0022">
              <w:rPr>
                <w:b w:val="0"/>
                <w:color w:val="000000"/>
                <w:lang w:eastAsia="en-AU"/>
              </w:rPr>
              <w:t>ITIND</w:t>
            </w:r>
          </w:p>
        </w:tc>
        <w:tc>
          <w:tcPr>
            <w:tcW w:w="1095" w:type="pct"/>
            <w:shd w:val="clear" w:color="auto" w:fill="FFFFFF" w:themeFill="background1"/>
            <w:noWrap/>
            <w:hideMark/>
          </w:tcPr>
          <w:p w14:paraId="0AC1CAC9" w14:textId="77777777" w:rsidR="008F79CB" w:rsidRPr="00D55CAF" w:rsidRDefault="008F79CB" w:rsidP="004578D5">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D55CAF">
              <w:rPr>
                <w:color w:val="000000"/>
                <w:lang w:eastAsia="en-AU"/>
              </w:rPr>
              <w:t>0.627</w:t>
            </w:r>
          </w:p>
        </w:tc>
        <w:tc>
          <w:tcPr>
            <w:tcW w:w="1095" w:type="pct"/>
            <w:shd w:val="clear" w:color="auto" w:fill="FFFFFF" w:themeFill="background1"/>
            <w:noWrap/>
            <w:hideMark/>
          </w:tcPr>
          <w:p w14:paraId="478D3DA3" w14:textId="77777777" w:rsidR="008F79CB" w:rsidRPr="00D55CAF" w:rsidRDefault="008F79CB" w:rsidP="004578D5">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D55CAF">
              <w:rPr>
                <w:color w:val="000000"/>
                <w:lang w:eastAsia="en-AU"/>
              </w:rPr>
              <w:t>2.023</w:t>
            </w:r>
          </w:p>
        </w:tc>
        <w:tc>
          <w:tcPr>
            <w:tcW w:w="1095" w:type="pct"/>
            <w:shd w:val="clear" w:color="auto" w:fill="FFFFFF" w:themeFill="background1"/>
            <w:noWrap/>
            <w:hideMark/>
          </w:tcPr>
          <w:p w14:paraId="10826E09" w14:textId="77777777" w:rsidR="008F79CB" w:rsidRPr="00D55CAF" w:rsidRDefault="008F79CB" w:rsidP="004578D5">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D55CAF">
              <w:rPr>
                <w:color w:val="000000"/>
                <w:lang w:eastAsia="en-AU"/>
              </w:rPr>
              <w:t>0.044</w:t>
            </w:r>
          </w:p>
        </w:tc>
      </w:tr>
      <w:tr w:rsidR="008F79CB" w:rsidRPr="009E41F8" w14:paraId="2E49B5D9" w14:textId="77777777" w:rsidTr="008B3B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15" w:type="pct"/>
            <w:shd w:val="clear" w:color="auto" w:fill="FFFFFF" w:themeFill="background1"/>
            <w:noWrap/>
            <w:hideMark/>
          </w:tcPr>
          <w:p w14:paraId="57FDB2D1" w14:textId="77777777" w:rsidR="008F79CB" w:rsidRPr="00AD0022" w:rsidRDefault="008F79CB" w:rsidP="00D55CAF">
            <w:pPr>
              <w:spacing w:line="360" w:lineRule="exact"/>
              <w:ind w:firstLineChars="100" w:firstLine="240"/>
              <w:jc w:val="both"/>
              <w:rPr>
                <w:b w:val="0"/>
                <w:color w:val="000000"/>
                <w:lang w:eastAsia="en-AU"/>
              </w:rPr>
            </w:pPr>
            <w:r w:rsidRPr="00AD0022">
              <w:rPr>
                <w:b w:val="0"/>
                <w:color w:val="000000"/>
                <w:lang w:eastAsia="en-AU"/>
              </w:rPr>
              <w:t>FPIND</w:t>
            </w:r>
          </w:p>
        </w:tc>
        <w:tc>
          <w:tcPr>
            <w:tcW w:w="1095" w:type="pct"/>
            <w:shd w:val="clear" w:color="auto" w:fill="FFFFFF" w:themeFill="background1"/>
            <w:noWrap/>
            <w:hideMark/>
          </w:tcPr>
          <w:p w14:paraId="3AC1E68D" w14:textId="77777777" w:rsidR="008F79CB" w:rsidRPr="00D55CAF" w:rsidRDefault="008F79CB" w:rsidP="004578D5">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D55CAF">
              <w:rPr>
                <w:color w:val="000000"/>
                <w:lang w:eastAsia="en-AU"/>
              </w:rPr>
              <w:t>1.334</w:t>
            </w:r>
          </w:p>
        </w:tc>
        <w:tc>
          <w:tcPr>
            <w:tcW w:w="1095" w:type="pct"/>
            <w:shd w:val="clear" w:color="auto" w:fill="FFFFFF" w:themeFill="background1"/>
            <w:noWrap/>
            <w:hideMark/>
          </w:tcPr>
          <w:p w14:paraId="3BB674E8" w14:textId="77777777" w:rsidR="008F79CB" w:rsidRPr="00D55CAF" w:rsidRDefault="008F79CB" w:rsidP="004578D5">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D55CAF">
              <w:rPr>
                <w:color w:val="000000"/>
                <w:lang w:eastAsia="en-AU"/>
              </w:rPr>
              <w:t>4.472</w:t>
            </w:r>
          </w:p>
        </w:tc>
        <w:tc>
          <w:tcPr>
            <w:tcW w:w="1095" w:type="pct"/>
            <w:shd w:val="clear" w:color="auto" w:fill="FFFFFF" w:themeFill="background1"/>
            <w:noWrap/>
            <w:hideMark/>
          </w:tcPr>
          <w:p w14:paraId="61AFBF45" w14:textId="77777777" w:rsidR="008F79CB" w:rsidRPr="00D55CAF" w:rsidRDefault="008F79CB" w:rsidP="004578D5">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D55CAF">
              <w:rPr>
                <w:color w:val="000000"/>
                <w:lang w:eastAsia="en-AU"/>
              </w:rPr>
              <w:t>0.000</w:t>
            </w:r>
          </w:p>
        </w:tc>
      </w:tr>
      <w:tr w:rsidR="008F79CB" w:rsidRPr="009E41F8" w14:paraId="4CBCA767" w14:textId="77777777" w:rsidTr="008B3BEE">
        <w:trPr>
          <w:trHeight w:val="288"/>
        </w:trPr>
        <w:tc>
          <w:tcPr>
            <w:cnfStyle w:val="001000000000" w:firstRow="0" w:lastRow="0" w:firstColumn="1" w:lastColumn="0" w:oddVBand="0" w:evenVBand="0" w:oddHBand="0" w:evenHBand="0" w:firstRowFirstColumn="0" w:firstRowLastColumn="0" w:lastRowFirstColumn="0" w:lastRowLastColumn="0"/>
            <w:tcW w:w="1715" w:type="pct"/>
            <w:shd w:val="clear" w:color="auto" w:fill="FFFFFF" w:themeFill="background1"/>
            <w:noWrap/>
            <w:hideMark/>
          </w:tcPr>
          <w:p w14:paraId="5CD2225E" w14:textId="77777777" w:rsidR="008F79CB" w:rsidRPr="00AD0022" w:rsidRDefault="008F79CB" w:rsidP="00D55CAF">
            <w:pPr>
              <w:spacing w:line="360" w:lineRule="exact"/>
              <w:ind w:firstLineChars="100" w:firstLine="240"/>
              <w:jc w:val="both"/>
              <w:rPr>
                <w:b w:val="0"/>
                <w:color w:val="000000"/>
                <w:lang w:eastAsia="en-AU"/>
              </w:rPr>
            </w:pPr>
            <w:r w:rsidRPr="00AD0022">
              <w:rPr>
                <w:b w:val="0"/>
                <w:color w:val="000000"/>
                <w:lang w:eastAsia="en-AU"/>
              </w:rPr>
              <w:t>IE</w:t>
            </w:r>
          </w:p>
        </w:tc>
        <w:tc>
          <w:tcPr>
            <w:tcW w:w="1095" w:type="pct"/>
            <w:shd w:val="clear" w:color="auto" w:fill="FFFFFF" w:themeFill="background1"/>
            <w:noWrap/>
            <w:hideMark/>
          </w:tcPr>
          <w:p w14:paraId="047D5681" w14:textId="77777777" w:rsidR="008F79CB" w:rsidRPr="00D55CAF" w:rsidRDefault="008F79CB" w:rsidP="004578D5">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D55CAF">
              <w:rPr>
                <w:color w:val="000000"/>
                <w:lang w:eastAsia="en-AU"/>
              </w:rPr>
              <w:t>0.001</w:t>
            </w:r>
          </w:p>
        </w:tc>
        <w:tc>
          <w:tcPr>
            <w:tcW w:w="1095" w:type="pct"/>
            <w:shd w:val="clear" w:color="auto" w:fill="FFFFFF" w:themeFill="background1"/>
            <w:noWrap/>
            <w:hideMark/>
          </w:tcPr>
          <w:p w14:paraId="576C4AFC" w14:textId="77777777" w:rsidR="008F79CB" w:rsidRPr="00D55CAF" w:rsidRDefault="008F79CB" w:rsidP="004578D5">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D55CAF">
              <w:rPr>
                <w:color w:val="000000"/>
                <w:lang w:eastAsia="en-AU"/>
              </w:rPr>
              <w:t>0.500</w:t>
            </w:r>
          </w:p>
        </w:tc>
        <w:tc>
          <w:tcPr>
            <w:tcW w:w="1095" w:type="pct"/>
            <w:shd w:val="clear" w:color="auto" w:fill="FFFFFF" w:themeFill="background1"/>
            <w:noWrap/>
            <w:hideMark/>
          </w:tcPr>
          <w:p w14:paraId="70858142" w14:textId="77777777" w:rsidR="008F79CB" w:rsidRPr="00D55CAF" w:rsidRDefault="008F79CB" w:rsidP="004578D5">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D55CAF">
              <w:rPr>
                <w:color w:val="000000"/>
                <w:lang w:eastAsia="en-AU"/>
              </w:rPr>
              <w:t>0.618</w:t>
            </w:r>
          </w:p>
        </w:tc>
      </w:tr>
      <w:tr w:rsidR="008F79CB" w:rsidRPr="009E41F8" w14:paraId="1B0057EE" w14:textId="77777777" w:rsidTr="008B3B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15" w:type="pct"/>
            <w:shd w:val="clear" w:color="auto" w:fill="FFFFFF" w:themeFill="background1"/>
            <w:noWrap/>
            <w:hideMark/>
          </w:tcPr>
          <w:p w14:paraId="7C6EFFF1" w14:textId="77777777" w:rsidR="008F79CB" w:rsidRPr="00AD0022" w:rsidRDefault="008F79CB" w:rsidP="00D55CAF">
            <w:pPr>
              <w:spacing w:line="360" w:lineRule="exact"/>
              <w:ind w:firstLineChars="100" w:firstLine="240"/>
              <w:jc w:val="both"/>
              <w:rPr>
                <w:b w:val="0"/>
                <w:color w:val="000000"/>
                <w:lang w:eastAsia="en-AU"/>
              </w:rPr>
            </w:pPr>
            <w:r w:rsidRPr="00AD0022">
              <w:rPr>
                <w:b w:val="0"/>
                <w:color w:val="000000"/>
                <w:lang w:eastAsia="en-AU"/>
              </w:rPr>
              <w:t>LOG_TA</w:t>
            </w:r>
          </w:p>
        </w:tc>
        <w:tc>
          <w:tcPr>
            <w:tcW w:w="1095" w:type="pct"/>
            <w:shd w:val="clear" w:color="auto" w:fill="FFFFFF" w:themeFill="background1"/>
            <w:noWrap/>
            <w:hideMark/>
          </w:tcPr>
          <w:p w14:paraId="495DC579" w14:textId="77777777" w:rsidR="008F79CB" w:rsidRPr="00D55CAF" w:rsidRDefault="008F79CB" w:rsidP="004578D5">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D55CAF">
              <w:rPr>
                <w:color w:val="000000"/>
                <w:lang w:eastAsia="en-AU"/>
              </w:rPr>
              <w:t>1.301</w:t>
            </w:r>
          </w:p>
        </w:tc>
        <w:tc>
          <w:tcPr>
            <w:tcW w:w="1095" w:type="pct"/>
            <w:shd w:val="clear" w:color="auto" w:fill="FFFFFF" w:themeFill="background1"/>
            <w:noWrap/>
            <w:hideMark/>
          </w:tcPr>
          <w:p w14:paraId="2D6D95CA" w14:textId="77777777" w:rsidR="008F79CB" w:rsidRPr="00D55CAF" w:rsidRDefault="008F79CB" w:rsidP="004578D5">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D55CAF">
              <w:rPr>
                <w:color w:val="000000"/>
                <w:lang w:eastAsia="en-AU"/>
              </w:rPr>
              <w:t>14.025</w:t>
            </w:r>
          </w:p>
        </w:tc>
        <w:tc>
          <w:tcPr>
            <w:tcW w:w="1095" w:type="pct"/>
            <w:shd w:val="clear" w:color="auto" w:fill="FFFFFF" w:themeFill="background1"/>
            <w:noWrap/>
            <w:hideMark/>
          </w:tcPr>
          <w:p w14:paraId="60183043" w14:textId="77777777" w:rsidR="008F79CB" w:rsidRPr="00D55CAF" w:rsidRDefault="008F79CB" w:rsidP="004578D5">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D55CAF">
              <w:rPr>
                <w:color w:val="000000"/>
                <w:lang w:eastAsia="en-AU"/>
              </w:rPr>
              <w:t>0.000</w:t>
            </w:r>
          </w:p>
        </w:tc>
      </w:tr>
      <w:tr w:rsidR="008F79CB" w:rsidRPr="009E41F8" w14:paraId="11FF26CE" w14:textId="77777777" w:rsidTr="008B3BEE">
        <w:trPr>
          <w:trHeight w:val="288"/>
        </w:trPr>
        <w:tc>
          <w:tcPr>
            <w:cnfStyle w:val="001000000000" w:firstRow="0" w:lastRow="0" w:firstColumn="1" w:lastColumn="0" w:oddVBand="0" w:evenVBand="0" w:oddHBand="0" w:evenHBand="0" w:firstRowFirstColumn="0" w:firstRowLastColumn="0" w:lastRowFirstColumn="0" w:lastRowLastColumn="0"/>
            <w:tcW w:w="1715" w:type="pct"/>
            <w:shd w:val="clear" w:color="auto" w:fill="FFFFFF" w:themeFill="background1"/>
            <w:noWrap/>
            <w:hideMark/>
          </w:tcPr>
          <w:p w14:paraId="7739F3EA" w14:textId="77777777" w:rsidR="008F79CB" w:rsidRPr="00AD0022" w:rsidRDefault="008F79CB" w:rsidP="00D55CAF">
            <w:pPr>
              <w:spacing w:line="360" w:lineRule="exact"/>
              <w:ind w:firstLineChars="100" w:firstLine="240"/>
              <w:jc w:val="both"/>
              <w:rPr>
                <w:b w:val="0"/>
                <w:color w:val="000000"/>
                <w:lang w:eastAsia="en-AU"/>
              </w:rPr>
            </w:pPr>
            <w:r w:rsidRPr="00AD0022">
              <w:rPr>
                <w:b w:val="0"/>
                <w:color w:val="000000"/>
                <w:lang w:eastAsia="en-AU"/>
              </w:rPr>
              <w:t>ROA</w:t>
            </w:r>
          </w:p>
        </w:tc>
        <w:tc>
          <w:tcPr>
            <w:tcW w:w="1095" w:type="pct"/>
            <w:shd w:val="clear" w:color="auto" w:fill="FFFFFF" w:themeFill="background1"/>
            <w:noWrap/>
            <w:hideMark/>
          </w:tcPr>
          <w:p w14:paraId="054F4987" w14:textId="77777777" w:rsidR="008F79CB" w:rsidRPr="00D55CAF" w:rsidRDefault="008F79CB" w:rsidP="004578D5">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D55CAF">
              <w:rPr>
                <w:color w:val="000000"/>
                <w:lang w:eastAsia="en-AU"/>
              </w:rPr>
              <w:t>0.019</w:t>
            </w:r>
          </w:p>
        </w:tc>
        <w:tc>
          <w:tcPr>
            <w:tcW w:w="1095" w:type="pct"/>
            <w:shd w:val="clear" w:color="auto" w:fill="FFFFFF" w:themeFill="background1"/>
            <w:noWrap/>
            <w:hideMark/>
          </w:tcPr>
          <w:p w14:paraId="4DC47AB6" w14:textId="77777777" w:rsidR="008F79CB" w:rsidRPr="00D55CAF" w:rsidRDefault="008F79CB" w:rsidP="004578D5">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D55CAF">
              <w:rPr>
                <w:color w:val="000000"/>
                <w:lang w:eastAsia="en-AU"/>
              </w:rPr>
              <w:t>6.329</w:t>
            </w:r>
          </w:p>
        </w:tc>
        <w:tc>
          <w:tcPr>
            <w:tcW w:w="1095" w:type="pct"/>
            <w:shd w:val="clear" w:color="auto" w:fill="FFFFFF" w:themeFill="background1"/>
            <w:noWrap/>
            <w:hideMark/>
          </w:tcPr>
          <w:p w14:paraId="05A47A94" w14:textId="77777777" w:rsidR="008F79CB" w:rsidRPr="00D55CAF" w:rsidRDefault="008F79CB" w:rsidP="004578D5">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D55CAF">
              <w:rPr>
                <w:color w:val="000000"/>
                <w:lang w:eastAsia="en-AU"/>
              </w:rPr>
              <w:t>0.000</w:t>
            </w:r>
          </w:p>
        </w:tc>
      </w:tr>
      <w:tr w:rsidR="008F79CB" w:rsidRPr="009E41F8" w14:paraId="2C0725E6" w14:textId="77777777" w:rsidTr="008B3B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15" w:type="pct"/>
            <w:shd w:val="clear" w:color="auto" w:fill="FFFFFF" w:themeFill="background1"/>
            <w:noWrap/>
            <w:hideMark/>
          </w:tcPr>
          <w:p w14:paraId="7F22CFA8" w14:textId="77777777" w:rsidR="008F79CB" w:rsidRPr="00AD0022" w:rsidRDefault="008F79CB" w:rsidP="00D55CAF">
            <w:pPr>
              <w:spacing w:line="360" w:lineRule="exact"/>
              <w:ind w:firstLineChars="100" w:firstLine="240"/>
              <w:jc w:val="both"/>
              <w:rPr>
                <w:b w:val="0"/>
                <w:color w:val="000000"/>
                <w:lang w:eastAsia="en-AU"/>
              </w:rPr>
            </w:pPr>
            <w:r w:rsidRPr="00AD0022">
              <w:rPr>
                <w:b w:val="0"/>
                <w:color w:val="000000"/>
                <w:lang w:eastAsia="en-AU"/>
              </w:rPr>
              <w:t>R-squared</w:t>
            </w:r>
          </w:p>
        </w:tc>
        <w:tc>
          <w:tcPr>
            <w:tcW w:w="1095" w:type="pct"/>
            <w:shd w:val="clear" w:color="auto" w:fill="FFFFFF" w:themeFill="background1"/>
            <w:noWrap/>
            <w:hideMark/>
          </w:tcPr>
          <w:p w14:paraId="75856241" w14:textId="77777777" w:rsidR="008F79CB" w:rsidRPr="00D55CAF" w:rsidRDefault="008F79CB" w:rsidP="004578D5">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D55CAF">
              <w:rPr>
                <w:color w:val="000000"/>
                <w:lang w:eastAsia="en-AU"/>
              </w:rPr>
              <w:t>0.66</w:t>
            </w:r>
          </w:p>
        </w:tc>
        <w:tc>
          <w:tcPr>
            <w:tcW w:w="1095" w:type="pct"/>
            <w:shd w:val="clear" w:color="auto" w:fill="FFFFFF" w:themeFill="background1"/>
            <w:noWrap/>
          </w:tcPr>
          <w:p w14:paraId="19174C21" w14:textId="77777777" w:rsidR="008F79CB" w:rsidRPr="00D55CAF" w:rsidRDefault="008F79CB" w:rsidP="004578D5">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p>
        </w:tc>
        <w:tc>
          <w:tcPr>
            <w:tcW w:w="1095" w:type="pct"/>
            <w:shd w:val="clear" w:color="auto" w:fill="FFFFFF" w:themeFill="background1"/>
            <w:noWrap/>
            <w:hideMark/>
          </w:tcPr>
          <w:p w14:paraId="2DD052D9" w14:textId="77777777" w:rsidR="008F79CB" w:rsidRPr="00D55CAF" w:rsidRDefault="008F79CB" w:rsidP="004578D5">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p>
        </w:tc>
      </w:tr>
      <w:tr w:rsidR="008F79CB" w:rsidRPr="009E41F8" w14:paraId="3BFE2092" w14:textId="77777777" w:rsidTr="008B3BEE">
        <w:trPr>
          <w:trHeight w:val="288"/>
        </w:trPr>
        <w:tc>
          <w:tcPr>
            <w:cnfStyle w:val="001000000000" w:firstRow="0" w:lastRow="0" w:firstColumn="1" w:lastColumn="0" w:oddVBand="0" w:evenVBand="0" w:oddHBand="0" w:evenHBand="0" w:firstRowFirstColumn="0" w:firstRowLastColumn="0" w:lastRowFirstColumn="0" w:lastRowLastColumn="0"/>
            <w:tcW w:w="1715" w:type="pct"/>
            <w:shd w:val="clear" w:color="auto" w:fill="FFFFFF" w:themeFill="background1"/>
            <w:noWrap/>
          </w:tcPr>
          <w:p w14:paraId="2945C4F1" w14:textId="77777777" w:rsidR="008F79CB" w:rsidRPr="00AD0022" w:rsidRDefault="008F79CB" w:rsidP="00D55CAF">
            <w:pPr>
              <w:spacing w:line="360" w:lineRule="exact"/>
              <w:ind w:firstLineChars="100" w:firstLine="240"/>
              <w:jc w:val="both"/>
              <w:rPr>
                <w:b w:val="0"/>
                <w:color w:val="000000"/>
                <w:lang w:eastAsia="en-AU"/>
              </w:rPr>
            </w:pPr>
            <w:r w:rsidRPr="00AD0022">
              <w:rPr>
                <w:b w:val="0"/>
                <w:color w:val="000000"/>
                <w:lang w:eastAsia="en-AU"/>
              </w:rPr>
              <w:t xml:space="preserve">Adjusted R-squared </w:t>
            </w:r>
          </w:p>
        </w:tc>
        <w:tc>
          <w:tcPr>
            <w:tcW w:w="1095" w:type="pct"/>
            <w:shd w:val="clear" w:color="auto" w:fill="FFFFFF" w:themeFill="background1"/>
            <w:noWrap/>
          </w:tcPr>
          <w:p w14:paraId="74A129F7" w14:textId="77777777" w:rsidR="008F79CB" w:rsidRPr="00D55CAF" w:rsidRDefault="008F79CB" w:rsidP="004578D5">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D55CAF">
              <w:rPr>
                <w:color w:val="000000"/>
                <w:lang w:eastAsia="en-AU"/>
              </w:rPr>
              <w:t>0.65</w:t>
            </w:r>
          </w:p>
        </w:tc>
        <w:tc>
          <w:tcPr>
            <w:tcW w:w="1095" w:type="pct"/>
            <w:shd w:val="clear" w:color="auto" w:fill="FFFFFF" w:themeFill="background1"/>
            <w:noWrap/>
          </w:tcPr>
          <w:p w14:paraId="65D3CF75" w14:textId="77777777" w:rsidR="008F79CB" w:rsidRPr="00D55CAF" w:rsidRDefault="008F79CB" w:rsidP="004578D5">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p>
        </w:tc>
        <w:tc>
          <w:tcPr>
            <w:tcW w:w="1095" w:type="pct"/>
            <w:shd w:val="clear" w:color="auto" w:fill="FFFFFF" w:themeFill="background1"/>
            <w:noWrap/>
          </w:tcPr>
          <w:p w14:paraId="09CA968C" w14:textId="77777777" w:rsidR="008F79CB" w:rsidRPr="00D55CAF" w:rsidRDefault="008F79CB" w:rsidP="004578D5">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p>
        </w:tc>
      </w:tr>
      <w:tr w:rsidR="008F79CB" w:rsidRPr="009E41F8" w14:paraId="21F72050" w14:textId="77777777" w:rsidTr="008B3B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15" w:type="pct"/>
            <w:shd w:val="clear" w:color="auto" w:fill="FFFFFF" w:themeFill="background1"/>
            <w:noWrap/>
          </w:tcPr>
          <w:p w14:paraId="1F346538" w14:textId="77777777" w:rsidR="008F79CB" w:rsidRPr="00AD0022" w:rsidRDefault="008F79CB" w:rsidP="00D55CAF">
            <w:pPr>
              <w:spacing w:line="360" w:lineRule="exact"/>
              <w:ind w:firstLineChars="100" w:firstLine="240"/>
              <w:jc w:val="both"/>
              <w:rPr>
                <w:b w:val="0"/>
                <w:color w:val="000000"/>
                <w:lang w:eastAsia="en-AU"/>
              </w:rPr>
            </w:pPr>
            <w:r w:rsidRPr="00AD0022">
              <w:rPr>
                <w:b w:val="0"/>
                <w:color w:val="000000"/>
                <w:lang w:eastAsia="en-AU"/>
              </w:rPr>
              <w:t>Durbin-Watson stat</w:t>
            </w:r>
            <w:r w:rsidRPr="00AD0022">
              <w:rPr>
                <w:b w:val="0"/>
                <w:color w:val="000000"/>
                <w:lang w:eastAsia="en-AU"/>
              </w:rPr>
              <w:tab/>
            </w:r>
          </w:p>
        </w:tc>
        <w:tc>
          <w:tcPr>
            <w:tcW w:w="1095" w:type="pct"/>
            <w:shd w:val="clear" w:color="auto" w:fill="FFFFFF" w:themeFill="background1"/>
            <w:noWrap/>
          </w:tcPr>
          <w:p w14:paraId="381BE990" w14:textId="77777777" w:rsidR="008F79CB" w:rsidRPr="00D55CAF" w:rsidRDefault="008F79CB" w:rsidP="004578D5">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D55CAF">
              <w:rPr>
                <w:color w:val="000000"/>
                <w:lang w:eastAsia="en-AU"/>
              </w:rPr>
              <w:t>1.61</w:t>
            </w:r>
          </w:p>
        </w:tc>
        <w:tc>
          <w:tcPr>
            <w:tcW w:w="1095" w:type="pct"/>
            <w:shd w:val="clear" w:color="auto" w:fill="FFFFFF" w:themeFill="background1"/>
            <w:noWrap/>
          </w:tcPr>
          <w:p w14:paraId="21DC1973" w14:textId="77777777" w:rsidR="008F79CB" w:rsidRPr="00D55CAF" w:rsidRDefault="008F79CB" w:rsidP="004578D5">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p>
        </w:tc>
        <w:tc>
          <w:tcPr>
            <w:tcW w:w="1095" w:type="pct"/>
            <w:shd w:val="clear" w:color="auto" w:fill="FFFFFF" w:themeFill="background1"/>
            <w:noWrap/>
          </w:tcPr>
          <w:p w14:paraId="13C905FB" w14:textId="77777777" w:rsidR="008F79CB" w:rsidRPr="00D55CAF" w:rsidRDefault="008F79CB" w:rsidP="004578D5">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p>
        </w:tc>
      </w:tr>
      <w:tr w:rsidR="008F79CB" w:rsidRPr="009E41F8" w14:paraId="7E8B8625" w14:textId="77777777" w:rsidTr="008B3BEE">
        <w:trPr>
          <w:trHeight w:val="288"/>
        </w:trPr>
        <w:tc>
          <w:tcPr>
            <w:cnfStyle w:val="001000000000" w:firstRow="0" w:lastRow="0" w:firstColumn="1" w:lastColumn="0" w:oddVBand="0" w:evenVBand="0" w:oddHBand="0" w:evenHBand="0" w:firstRowFirstColumn="0" w:firstRowLastColumn="0" w:lastRowFirstColumn="0" w:lastRowLastColumn="0"/>
            <w:tcW w:w="1715" w:type="pct"/>
            <w:shd w:val="clear" w:color="auto" w:fill="FFFFFF" w:themeFill="background1"/>
            <w:noWrap/>
            <w:hideMark/>
          </w:tcPr>
          <w:p w14:paraId="209F6465" w14:textId="77777777" w:rsidR="008F79CB" w:rsidRPr="00AD0022" w:rsidRDefault="008F79CB" w:rsidP="00D55CAF">
            <w:pPr>
              <w:spacing w:line="360" w:lineRule="exact"/>
              <w:ind w:firstLineChars="100" w:firstLine="240"/>
              <w:jc w:val="both"/>
              <w:rPr>
                <w:b w:val="0"/>
                <w:color w:val="000000"/>
                <w:lang w:eastAsia="en-AU"/>
              </w:rPr>
            </w:pPr>
            <w:r w:rsidRPr="00AD0022">
              <w:rPr>
                <w:b w:val="0"/>
                <w:color w:val="000000"/>
                <w:lang w:eastAsia="en-AU"/>
              </w:rPr>
              <w:t>F-statistic</w:t>
            </w:r>
          </w:p>
        </w:tc>
        <w:tc>
          <w:tcPr>
            <w:tcW w:w="1095" w:type="pct"/>
            <w:shd w:val="clear" w:color="auto" w:fill="FFFFFF" w:themeFill="background1"/>
            <w:noWrap/>
            <w:hideMark/>
          </w:tcPr>
          <w:p w14:paraId="1DDB4D89" w14:textId="77777777" w:rsidR="008F79CB" w:rsidRPr="00D55CAF" w:rsidRDefault="008F79CB" w:rsidP="004578D5">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D55CAF">
              <w:rPr>
                <w:color w:val="000000"/>
                <w:lang w:eastAsia="en-AU"/>
              </w:rPr>
              <w:t>65.23</w:t>
            </w:r>
          </w:p>
        </w:tc>
        <w:tc>
          <w:tcPr>
            <w:tcW w:w="1095" w:type="pct"/>
            <w:shd w:val="clear" w:color="auto" w:fill="FFFFFF" w:themeFill="background1"/>
            <w:noWrap/>
          </w:tcPr>
          <w:p w14:paraId="013A4841" w14:textId="77777777" w:rsidR="008F79CB" w:rsidRPr="00D55CAF" w:rsidRDefault="008F79CB" w:rsidP="004578D5">
            <w:pPr>
              <w:spacing w:line="360" w:lineRule="exact"/>
              <w:jc w:val="center"/>
              <w:cnfStyle w:val="000000000000" w:firstRow="0" w:lastRow="0" w:firstColumn="0" w:lastColumn="0" w:oddVBand="0" w:evenVBand="0" w:oddHBand="0" w:evenHBand="0" w:firstRowFirstColumn="0" w:firstRowLastColumn="0" w:lastRowFirstColumn="0" w:lastRowLastColumn="0"/>
              <w:rPr>
                <w:color w:val="000000"/>
                <w:lang w:eastAsia="en-AU"/>
              </w:rPr>
            </w:pPr>
          </w:p>
        </w:tc>
        <w:tc>
          <w:tcPr>
            <w:tcW w:w="1095" w:type="pct"/>
            <w:shd w:val="clear" w:color="auto" w:fill="FFFFFF" w:themeFill="background1"/>
            <w:noWrap/>
            <w:hideMark/>
          </w:tcPr>
          <w:p w14:paraId="33F2A408" w14:textId="77777777" w:rsidR="008F79CB" w:rsidRPr="00D55CAF" w:rsidRDefault="008F79CB" w:rsidP="004578D5">
            <w:pPr>
              <w:spacing w:line="360" w:lineRule="exac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Cs w:val="22"/>
                <w:lang w:eastAsia="en-AU"/>
              </w:rPr>
            </w:pPr>
          </w:p>
        </w:tc>
      </w:tr>
      <w:tr w:rsidR="008F79CB" w:rsidRPr="009E41F8" w14:paraId="2812DD7D" w14:textId="77777777" w:rsidTr="008B3B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15" w:type="pct"/>
            <w:shd w:val="clear" w:color="auto" w:fill="FFFFFF" w:themeFill="background1"/>
            <w:noWrap/>
            <w:hideMark/>
          </w:tcPr>
          <w:p w14:paraId="49A62A78" w14:textId="5107F18B" w:rsidR="008F79CB" w:rsidRPr="00AD0022" w:rsidRDefault="008F79CB" w:rsidP="00D55CAF">
            <w:pPr>
              <w:spacing w:line="360" w:lineRule="exact"/>
              <w:ind w:firstLineChars="100" w:firstLine="240"/>
              <w:jc w:val="both"/>
              <w:rPr>
                <w:b w:val="0"/>
                <w:color w:val="000000"/>
                <w:lang w:eastAsia="en-AU"/>
              </w:rPr>
            </w:pPr>
            <w:proofErr w:type="spellStart"/>
            <w:r w:rsidRPr="00AD0022">
              <w:rPr>
                <w:b w:val="0"/>
                <w:color w:val="000000"/>
                <w:lang w:eastAsia="en-AU"/>
              </w:rPr>
              <w:t>Prob</w:t>
            </w:r>
            <w:proofErr w:type="spellEnd"/>
            <w:r w:rsidR="00AD0022">
              <w:rPr>
                <w:b w:val="0"/>
                <w:color w:val="000000"/>
                <w:lang w:eastAsia="en-AU"/>
              </w:rPr>
              <w:t xml:space="preserve"> </w:t>
            </w:r>
            <w:r w:rsidRPr="00AD0022">
              <w:rPr>
                <w:b w:val="0"/>
                <w:color w:val="000000"/>
                <w:lang w:eastAsia="en-AU"/>
              </w:rPr>
              <w:t>(F-statistic)</w:t>
            </w:r>
          </w:p>
        </w:tc>
        <w:tc>
          <w:tcPr>
            <w:tcW w:w="1095" w:type="pct"/>
            <w:shd w:val="clear" w:color="auto" w:fill="FFFFFF" w:themeFill="background1"/>
            <w:noWrap/>
            <w:hideMark/>
          </w:tcPr>
          <w:p w14:paraId="06B82AEB" w14:textId="77777777" w:rsidR="008F79CB" w:rsidRPr="00D55CAF" w:rsidRDefault="008F79CB" w:rsidP="004578D5">
            <w:pPr>
              <w:spacing w:line="360" w:lineRule="exact"/>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D55CAF">
              <w:rPr>
                <w:color w:val="000000"/>
                <w:lang w:eastAsia="en-AU"/>
              </w:rPr>
              <w:t>0.00</w:t>
            </w:r>
          </w:p>
        </w:tc>
        <w:tc>
          <w:tcPr>
            <w:tcW w:w="1095" w:type="pct"/>
            <w:shd w:val="clear" w:color="auto" w:fill="FFFFFF" w:themeFill="background1"/>
            <w:noWrap/>
            <w:hideMark/>
          </w:tcPr>
          <w:p w14:paraId="62532D5F" w14:textId="77777777" w:rsidR="008F79CB" w:rsidRPr="00D55CAF" w:rsidRDefault="008F79CB" w:rsidP="004578D5">
            <w:pPr>
              <w:spacing w:line="360" w:lineRule="exact"/>
              <w:jc w:val="center"/>
              <w:cnfStyle w:val="000000100000" w:firstRow="0" w:lastRow="0" w:firstColumn="0" w:lastColumn="0" w:oddVBand="0" w:evenVBand="0" w:oddHBand="1" w:evenHBand="0" w:firstRowFirstColumn="0" w:firstRowLastColumn="0" w:lastRowFirstColumn="0" w:lastRowLastColumn="0"/>
              <w:rPr>
                <w:lang w:eastAsia="en-AU"/>
              </w:rPr>
            </w:pPr>
          </w:p>
        </w:tc>
        <w:tc>
          <w:tcPr>
            <w:tcW w:w="1095" w:type="pct"/>
            <w:shd w:val="clear" w:color="auto" w:fill="FFFFFF" w:themeFill="background1"/>
            <w:noWrap/>
            <w:hideMark/>
          </w:tcPr>
          <w:p w14:paraId="2C00719A" w14:textId="77777777" w:rsidR="008F79CB" w:rsidRPr="00D55CAF" w:rsidRDefault="008F79CB" w:rsidP="004578D5">
            <w:pPr>
              <w:spacing w:line="360" w:lineRule="exact"/>
              <w:jc w:val="center"/>
              <w:cnfStyle w:val="000000100000" w:firstRow="0" w:lastRow="0" w:firstColumn="0" w:lastColumn="0" w:oddVBand="0" w:evenVBand="0" w:oddHBand="1" w:evenHBand="0" w:firstRowFirstColumn="0" w:firstRowLastColumn="0" w:lastRowFirstColumn="0" w:lastRowLastColumn="0"/>
              <w:rPr>
                <w:szCs w:val="20"/>
                <w:lang w:eastAsia="en-AU"/>
              </w:rPr>
            </w:pPr>
          </w:p>
        </w:tc>
      </w:tr>
    </w:tbl>
    <w:p w14:paraId="2D8AB33E" w14:textId="77777777" w:rsidR="00AD0022" w:rsidRDefault="00AD0022" w:rsidP="00AD0022">
      <w:pPr>
        <w:autoSpaceDE w:val="0"/>
        <w:autoSpaceDN w:val="0"/>
        <w:adjustRightInd w:val="0"/>
        <w:spacing w:line="360" w:lineRule="exact"/>
        <w:jc w:val="both"/>
        <w:rPr>
          <w:rFonts w:eastAsiaTheme="minorEastAsia"/>
          <w:b/>
        </w:rPr>
      </w:pPr>
      <w:r w:rsidRPr="00AD0022">
        <w:rPr>
          <w:rFonts w:eastAsiaTheme="minorEastAsia" w:hint="eastAsia"/>
          <w:i/>
          <w:lang w:eastAsia="zh-TW"/>
        </w:rPr>
        <w:t>Note.</w:t>
      </w:r>
      <w:r w:rsidRPr="00AD0022">
        <w:rPr>
          <w:b/>
        </w:rPr>
        <w:t xml:space="preserve"> </w:t>
      </w:r>
      <w:r w:rsidRPr="00AD0022">
        <w:t>Dependent Variable: SOCIAL IDX</w:t>
      </w:r>
      <w:r w:rsidRPr="00AD0022">
        <w:rPr>
          <w:rFonts w:eastAsiaTheme="minorEastAsia"/>
          <w:b/>
        </w:rPr>
        <w:t xml:space="preserve"> </w:t>
      </w:r>
    </w:p>
    <w:p w14:paraId="6EBD8693" w14:textId="3D0B231F" w:rsidR="0066704E" w:rsidRPr="00AD0022" w:rsidRDefault="00AD0022" w:rsidP="00AD0022">
      <w:pPr>
        <w:autoSpaceDE w:val="0"/>
        <w:autoSpaceDN w:val="0"/>
        <w:adjustRightInd w:val="0"/>
        <w:spacing w:line="360" w:lineRule="exact"/>
        <w:ind w:leftChars="236" w:left="566"/>
        <w:jc w:val="both"/>
        <w:rPr>
          <w:rFonts w:eastAsiaTheme="minorEastAsia"/>
          <w:lang w:eastAsia="zh-TW"/>
        </w:rPr>
      </w:pPr>
      <w:r w:rsidRPr="00AD0022">
        <w:rPr>
          <w:rFonts w:eastAsiaTheme="minorEastAsia"/>
          <w:lang w:eastAsia="zh-TW"/>
        </w:rPr>
        <w:t>Method: Panel EGLS (Cross-section weights)</w:t>
      </w:r>
    </w:p>
    <w:p w14:paraId="0D7526D8" w14:textId="77777777" w:rsidR="00AD0022" w:rsidRPr="00AD0022" w:rsidRDefault="00AD0022" w:rsidP="00AD0022">
      <w:pPr>
        <w:autoSpaceDE w:val="0"/>
        <w:autoSpaceDN w:val="0"/>
        <w:adjustRightInd w:val="0"/>
        <w:spacing w:line="360" w:lineRule="exact"/>
        <w:jc w:val="both"/>
        <w:rPr>
          <w:rFonts w:eastAsiaTheme="minorEastAsia"/>
          <w:sz w:val="26"/>
          <w:lang w:eastAsia="zh-TW"/>
        </w:rPr>
      </w:pPr>
    </w:p>
    <w:p w14:paraId="18A601EC" w14:textId="3A8ED0EB" w:rsidR="001C6BEB" w:rsidRPr="00F40242" w:rsidRDefault="00BD116A" w:rsidP="000D5C8E">
      <w:pPr>
        <w:autoSpaceDE w:val="0"/>
        <w:autoSpaceDN w:val="0"/>
        <w:adjustRightInd w:val="0"/>
        <w:spacing w:line="360" w:lineRule="exact"/>
        <w:ind w:firstLineChars="200" w:firstLine="520"/>
        <w:jc w:val="both"/>
        <w:rPr>
          <w:sz w:val="26"/>
        </w:rPr>
      </w:pPr>
      <w:r w:rsidRPr="00F40242">
        <w:rPr>
          <w:sz w:val="26"/>
        </w:rPr>
        <w:lastRenderedPageBreak/>
        <w:t xml:space="preserve">Table 7 reports the results of the environmental disclosure model for Indian companies. Similar to </w:t>
      </w:r>
      <w:r w:rsidR="00B40CB0" w:rsidRPr="00F40242">
        <w:rPr>
          <w:sz w:val="26"/>
        </w:rPr>
        <w:t xml:space="preserve">the </w:t>
      </w:r>
      <w:r w:rsidRPr="00F40242">
        <w:rPr>
          <w:sz w:val="26"/>
        </w:rPr>
        <w:t xml:space="preserve">total disclosure model, we estimated the model using </w:t>
      </w:r>
      <w:r w:rsidR="00B40CB0" w:rsidRPr="00F40242">
        <w:rPr>
          <w:sz w:val="26"/>
        </w:rPr>
        <w:t xml:space="preserve">the </w:t>
      </w:r>
      <w:r w:rsidR="000451FE" w:rsidRPr="00F40242">
        <w:rPr>
          <w:color w:val="000000"/>
          <w:sz w:val="26"/>
        </w:rPr>
        <w:t>EGLS</w:t>
      </w:r>
      <w:r w:rsidR="000451FE" w:rsidRPr="00F40242">
        <w:rPr>
          <w:sz w:val="26"/>
        </w:rPr>
        <w:t xml:space="preserve"> </w:t>
      </w:r>
      <w:r w:rsidRPr="00F40242">
        <w:rPr>
          <w:sz w:val="26"/>
        </w:rPr>
        <w:t>estimator. The R</w:t>
      </w:r>
      <w:r w:rsidRPr="00F40242">
        <w:rPr>
          <w:sz w:val="26"/>
          <w:vertAlign w:val="superscript"/>
        </w:rPr>
        <w:t>2</w:t>
      </w:r>
      <w:r w:rsidRPr="00F40242">
        <w:rPr>
          <w:sz w:val="26"/>
        </w:rPr>
        <w:t xml:space="preserve">-adjusted goodness-of-fit measure is estimated to be 0.53, which </w:t>
      </w:r>
      <w:r w:rsidR="00B40CB0" w:rsidRPr="00F40242">
        <w:rPr>
          <w:sz w:val="26"/>
        </w:rPr>
        <w:t xml:space="preserve">suggests </w:t>
      </w:r>
      <w:r w:rsidRPr="00F40242">
        <w:rPr>
          <w:sz w:val="26"/>
        </w:rPr>
        <w:t>average explanatory power. Table 7 indicates that</w:t>
      </w:r>
      <w:r w:rsidR="00B40CB0" w:rsidRPr="00F40242">
        <w:rPr>
          <w:sz w:val="26"/>
        </w:rPr>
        <w:t>,</w:t>
      </w:r>
      <w:r w:rsidRPr="00F40242">
        <w:rPr>
          <w:sz w:val="26"/>
        </w:rPr>
        <w:t xml:space="preserve"> </w:t>
      </w:r>
      <w:r w:rsidR="000451FE" w:rsidRPr="00F40242">
        <w:rPr>
          <w:sz w:val="26"/>
        </w:rPr>
        <w:t>similar to the total disclosure and social disclosure findings</w:t>
      </w:r>
      <w:r w:rsidR="00B40CB0" w:rsidRPr="00F40242">
        <w:rPr>
          <w:sz w:val="26"/>
        </w:rPr>
        <w:t>,</w:t>
      </w:r>
      <w:r w:rsidR="000451FE" w:rsidRPr="00F40242">
        <w:rPr>
          <w:sz w:val="26"/>
        </w:rPr>
        <w:t xml:space="preserve"> </w:t>
      </w:r>
      <w:r w:rsidRPr="00F40242">
        <w:rPr>
          <w:sz w:val="26"/>
        </w:rPr>
        <w:t xml:space="preserve">the coefficient of the leverage variable is found to be </w:t>
      </w:r>
      <w:r w:rsidR="00CA5FAB" w:rsidRPr="00F40242">
        <w:rPr>
          <w:sz w:val="26"/>
        </w:rPr>
        <w:t>negative</w:t>
      </w:r>
      <w:r w:rsidRPr="00F40242">
        <w:rPr>
          <w:sz w:val="26"/>
        </w:rPr>
        <w:t xml:space="preserve"> </w:t>
      </w:r>
      <w:r w:rsidR="00B6728E" w:rsidRPr="00F40242">
        <w:rPr>
          <w:sz w:val="26"/>
        </w:rPr>
        <w:t>(</w:t>
      </w:r>
      <w:r w:rsidR="00CA5FAB" w:rsidRPr="00F40242">
        <w:rPr>
          <w:sz w:val="26"/>
        </w:rPr>
        <w:t>-</w:t>
      </w:r>
      <w:r w:rsidR="00B6728E" w:rsidRPr="00F40242">
        <w:rPr>
          <w:sz w:val="26"/>
        </w:rPr>
        <w:t>0.</w:t>
      </w:r>
      <w:r w:rsidR="00CA5FAB" w:rsidRPr="00F40242">
        <w:rPr>
          <w:sz w:val="26"/>
        </w:rPr>
        <w:t>00</w:t>
      </w:r>
      <w:r w:rsidR="00B6728E" w:rsidRPr="00F40242">
        <w:rPr>
          <w:sz w:val="26"/>
        </w:rPr>
        <w:t xml:space="preserve">2) </w:t>
      </w:r>
      <w:r w:rsidR="00CA5FAB" w:rsidRPr="00F40242">
        <w:rPr>
          <w:sz w:val="26"/>
        </w:rPr>
        <w:t>but</w:t>
      </w:r>
      <w:r w:rsidRPr="00F40242">
        <w:rPr>
          <w:sz w:val="26"/>
        </w:rPr>
        <w:t xml:space="preserve"> statistically </w:t>
      </w:r>
      <w:r w:rsidR="00CA5FAB" w:rsidRPr="00F40242">
        <w:rPr>
          <w:sz w:val="26"/>
        </w:rPr>
        <w:t>non-</w:t>
      </w:r>
      <w:r w:rsidRPr="00F40242">
        <w:rPr>
          <w:sz w:val="26"/>
        </w:rPr>
        <w:t xml:space="preserve">significant </w:t>
      </w:r>
      <w:r w:rsidR="00B6728E" w:rsidRPr="00F40242">
        <w:rPr>
          <w:sz w:val="26"/>
        </w:rPr>
        <w:t>(p=0.</w:t>
      </w:r>
      <w:r w:rsidR="00CA5FAB" w:rsidRPr="00F40242">
        <w:rPr>
          <w:sz w:val="26"/>
        </w:rPr>
        <w:t>704</w:t>
      </w:r>
      <w:r w:rsidR="00B6728E" w:rsidRPr="00F40242">
        <w:rPr>
          <w:sz w:val="26"/>
        </w:rPr>
        <w:t xml:space="preserve">) in </w:t>
      </w:r>
      <w:r w:rsidRPr="00F40242">
        <w:rPr>
          <w:sz w:val="26"/>
        </w:rPr>
        <w:t xml:space="preserve">influencing environmental disclosure of companies in India. </w:t>
      </w:r>
      <w:r w:rsidRPr="00F40242">
        <w:rPr>
          <w:noProof/>
          <w:sz w:val="26"/>
        </w:rPr>
        <w:t>This implies</w:t>
      </w:r>
      <w:r w:rsidRPr="00F40242">
        <w:rPr>
          <w:sz w:val="26"/>
        </w:rPr>
        <w:t xml:space="preserve"> that an increase in leverage </w:t>
      </w:r>
      <w:r w:rsidRPr="00F40242">
        <w:rPr>
          <w:noProof/>
          <w:sz w:val="26"/>
        </w:rPr>
        <w:t xml:space="preserve">is </w:t>
      </w:r>
      <w:r w:rsidR="00CA5FAB" w:rsidRPr="00F40242">
        <w:rPr>
          <w:noProof/>
          <w:sz w:val="26"/>
        </w:rPr>
        <w:t xml:space="preserve">not </w:t>
      </w:r>
      <w:r w:rsidRPr="00F40242">
        <w:rPr>
          <w:noProof/>
          <w:sz w:val="26"/>
        </w:rPr>
        <w:t>associated</w:t>
      </w:r>
      <w:r w:rsidRPr="00F40242">
        <w:rPr>
          <w:sz w:val="26"/>
        </w:rPr>
        <w:t xml:space="preserve"> with an increase in environmental disclosure. </w:t>
      </w:r>
      <w:r w:rsidR="000E6F86" w:rsidRPr="00F40242">
        <w:rPr>
          <w:sz w:val="26"/>
        </w:rPr>
        <w:t xml:space="preserve">Table 7 show </w:t>
      </w:r>
      <w:r w:rsidR="000E6F86" w:rsidRPr="00F40242">
        <w:rPr>
          <w:noProof/>
          <w:sz w:val="26"/>
        </w:rPr>
        <w:t>that</w:t>
      </w:r>
      <w:r w:rsidR="00B40CB0" w:rsidRPr="00F40242">
        <w:rPr>
          <w:noProof/>
          <w:sz w:val="26"/>
        </w:rPr>
        <w:t>,</w:t>
      </w:r>
      <w:r w:rsidR="000E6F86" w:rsidRPr="00F40242">
        <w:rPr>
          <w:sz w:val="26"/>
        </w:rPr>
        <w:t xml:space="preserve"> c</w:t>
      </w:r>
      <w:r w:rsidR="00AB2A5A" w:rsidRPr="00F40242">
        <w:rPr>
          <w:sz w:val="26"/>
        </w:rPr>
        <w:t xml:space="preserve">onsistent with previous empirical </w:t>
      </w:r>
      <w:r w:rsidR="00AB2A5A" w:rsidRPr="00F40242">
        <w:rPr>
          <w:noProof/>
          <w:sz w:val="26"/>
        </w:rPr>
        <w:t>results</w:t>
      </w:r>
      <w:r w:rsidR="00B40CB0" w:rsidRPr="00F40242">
        <w:rPr>
          <w:noProof/>
          <w:sz w:val="26"/>
        </w:rPr>
        <w:t>,</w:t>
      </w:r>
      <w:r w:rsidRPr="00F40242">
        <w:rPr>
          <w:sz w:val="26"/>
        </w:rPr>
        <w:t xml:space="preserve"> the coefficients of </w:t>
      </w:r>
      <w:r w:rsidR="00B40CB0" w:rsidRPr="00F40242">
        <w:rPr>
          <w:sz w:val="26"/>
        </w:rPr>
        <w:t xml:space="preserve">the </w:t>
      </w:r>
      <w:r w:rsidR="00AB2A5A" w:rsidRPr="00F40242">
        <w:rPr>
          <w:sz w:val="26"/>
        </w:rPr>
        <w:t xml:space="preserve">variables </w:t>
      </w:r>
      <w:r w:rsidRPr="00F40242">
        <w:rPr>
          <w:sz w:val="26"/>
        </w:rPr>
        <w:t xml:space="preserve">that capture </w:t>
      </w:r>
      <w:r w:rsidR="00CA5FAB" w:rsidRPr="00F40242">
        <w:rPr>
          <w:sz w:val="26"/>
        </w:rPr>
        <w:t xml:space="preserve">chemical, forest and paper </w:t>
      </w:r>
      <w:r w:rsidRPr="00F40242">
        <w:rPr>
          <w:sz w:val="26"/>
        </w:rPr>
        <w:t xml:space="preserve">industry </w:t>
      </w:r>
      <w:r w:rsidR="00B40CB0" w:rsidRPr="00F40242">
        <w:rPr>
          <w:sz w:val="26"/>
        </w:rPr>
        <w:t>categories are</w:t>
      </w:r>
      <w:r w:rsidR="00AB2A5A" w:rsidRPr="00F40242">
        <w:rPr>
          <w:sz w:val="26"/>
        </w:rPr>
        <w:t xml:space="preserve"> </w:t>
      </w:r>
      <w:r w:rsidRPr="00F40242">
        <w:rPr>
          <w:sz w:val="26"/>
        </w:rPr>
        <w:t xml:space="preserve">positive </w:t>
      </w:r>
      <w:r w:rsidR="00AB2A5A" w:rsidRPr="00F40242">
        <w:rPr>
          <w:sz w:val="26"/>
        </w:rPr>
        <w:t xml:space="preserve">and statistically significant </w:t>
      </w:r>
      <w:r w:rsidRPr="00F40242">
        <w:rPr>
          <w:sz w:val="26"/>
        </w:rPr>
        <w:t xml:space="preserve">in influencing </w:t>
      </w:r>
      <w:r w:rsidR="00AB2A5A" w:rsidRPr="00F40242">
        <w:rPr>
          <w:sz w:val="26"/>
        </w:rPr>
        <w:t>environmental disc</w:t>
      </w:r>
      <w:r w:rsidRPr="00F40242">
        <w:rPr>
          <w:sz w:val="26"/>
        </w:rPr>
        <w:t>losure</w:t>
      </w:r>
      <w:r w:rsidR="009072B1" w:rsidRPr="00F40242">
        <w:rPr>
          <w:sz w:val="26"/>
        </w:rPr>
        <w:t xml:space="preserve"> of companies</w:t>
      </w:r>
      <w:r w:rsidRPr="00F40242">
        <w:rPr>
          <w:sz w:val="26"/>
        </w:rPr>
        <w:t xml:space="preserve">, implying that being part of these sectors increases the tendency to provide </w:t>
      </w:r>
      <w:r w:rsidR="009072B1" w:rsidRPr="00F40242">
        <w:rPr>
          <w:sz w:val="26"/>
        </w:rPr>
        <w:t xml:space="preserve">environmental </w:t>
      </w:r>
      <w:r w:rsidRPr="00F40242">
        <w:rPr>
          <w:sz w:val="26"/>
        </w:rPr>
        <w:t xml:space="preserve">disclosure in annual reports. Similar to the total disclosure findings, </w:t>
      </w:r>
      <w:r w:rsidR="00B40CB0" w:rsidRPr="00F40242">
        <w:rPr>
          <w:sz w:val="26"/>
        </w:rPr>
        <w:t xml:space="preserve">and </w:t>
      </w:r>
      <w:r w:rsidRPr="00F40242">
        <w:rPr>
          <w:sz w:val="26"/>
        </w:rPr>
        <w:t xml:space="preserve">contrary to legitimacy theory, the coefficient of the </w:t>
      </w:r>
      <w:r w:rsidR="00CA5FAB" w:rsidRPr="00F40242">
        <w:rPr>
          <w:sz w:val="26"/>
        </w:rPr>
        <w:t>industrial transport categor</w:t>
      </w:r>
      <w:r w:rsidR="00B40CB0" w:rsidRPr="00F40242">
        <w:rPr>
          <w:sz w:val="26"/>
        </w:rPr>
        <w:t>y</w:t>
      </w:r>
      <w:r w:rsidR="009072B1" w:rsidRPr="00F40242">
        <w:rPr>
          <w:sz w:val="26"/>
        </w:rPr>
        <w:t xml:space="preserve"> </w:t>
      </w:r>
      <w:r w:rsidR="00B6728E" w:rsidRPr="00F40242">
        <w:rPr>
          <w:sz w:val="26"/>
        </w:rPr>
        <w:t>is</w:t>
      </w:r>
      <w:r w:rsidR="009072B1" w:rsidRPr="00F40242">
        <w:rPr>
          <w:sz w:val="26"/>
        </w:rPr>
        <w:t xml:space="preserve"> found to negative </w:t>
      </w:r>
      <w:r w:rsidR="00B6728E" w:rsidRPr="00F40242">
        <w:rPr>
          <w:sz w:val="26"/>
        </w:rPr>
        <w:t>(-0.</w:t>
      </w:r>
      <w:r w:rsidR="00CA5FAB" w:rsidRPr="00F40242">
        <w:rPr>
          <w:sz w:val="26"/>
        </w:rPr>
        <w:t>903</w:t>
      </w:r>
      <w:r w:rsidR="00B6728E" w:rsidRPr="00F40242">
        <w:rPr>
          <w:sz w:val="26"/>
        </w:rPr>
        <w:t xml:space="preserve">) </w:t>
      </w:r>
      <w:r w:rsidR="00CF6A2C" w:rsidRPr="00F40242">
        <w:rPr>
          <w:sz w:val="26"/>
        </w:rPr>
        <w:t xml:space="preserve">and </w:t>
      </w:r>
      <w:r w:rsidR="00B6728E" w:rsidRPr="00F40242">
        <w:rPr>
          <w:sz w:val="26"/>
        </w:rPr>
        <w:t xml:space="preserve">statistically </w:t>
      </w:r>
      <w:r w:rsidR="009072B1" w:rsidRPr="00F40242">
        <w:rPr>
          <w:sz w:val="26"/>
        </w:rPr>
        <w:t xml:space="preserve">significant </w:t>
      </w:r>
      <w:r w:rsidR="00B6728E" w:rsidRPr="00F40242">
        <w:rPr>
          <w:sz w:val="26"/>
        </w:rPr>
        <w:t>(p=0.</w:t>
      </w:r>
      <w:r w:rsidR="00CF6A2C" w:rsidRPr="00F40242">
        <w:rPr>
          <w:sz w:val="26"/>
        </w:rPr>
        <w:t>0</w:t>
      </w:r>
      <w:r w:rsidR="00CA5FAB" w:rsidRPr="00F40242">
        <w:rPr>
          <w:sz w:val="26"/>
        </w:rPr>
        <w:t>27</w:t>
      </w:r>
      <w:r w:rsidR="00B6728E" w:rsidRPr="00F40242">
        <w:rPr>
          <w:sz w:val="26"/>
        </w:rPr>
        <w:t>)</w:t>
      </w:r>
      <w:r w:rsidR="009072B1" w:rsidRPr="00F40242">
        <w:rPr>
          <w:sz w:val="26"/>
        </w:rPr>
        <w:t xml:space="preserve"> in influencing environmental disclosure. We argue that this result may </w:t>
      </w:r>
      <w:r w:rsidR="00B40CB0" w:rsidRPr="00F40242">
        <w:rPr>
          <w:sz w:val="26"/>
        </w:rPr>
        <w:t>reflect</w:t>
      </w:r>
      <w:r w:rsidR="009072B1" w:rsidRPr="00F40242">
        <w:rPr>
          <w:sz w:val="26"/>
        </w:rPr>
        <w:t xml:space="preserve"> the fact that </w:t>
      </w:r>
      <w:r w:rsidR="009072B1" w:rsidRPr="00F40242">
        <w:rPr>
          <w:noProof/>
          <w:sz w:val="26"/>
        </w:rPr>
        <w:t>firm</w:t>
      </w:r>
      <w:r w:rsidR="00B40CB0" w:rsidRPr="00F40242">
        <w:rPr>
          <w:noProof/>
          <w:sz w:val="26"/>
        </w:rPr>
        <w:t>s</w:t>
      </w:r>
      <w:r w:rsidR="009072B1" w:rsidRPr="00F40242">
        <w:rPr>
          <w:noProof/>
          <w:sz w:val="26"/>
        </w:rPr>
        <w:t xml:space="preserve"> </w:t>
      </w:r>
      <w:r w:rsidR="00A741F8" w:rsidRPr="00F40242">
        <w:rPr>
          <w:noProof/>
          <w:sz w:val="26"/>
        </w:rPr>
        <w:t xml:space="preserve">in </w:t>
      </w:r>
      <w:r w:rsidR="00A741F8" w:rsidRPr="00F40242">
        <w:rPr>
          <w:sz w:val="26"/>
        </w:rPr>
        <w:t>industrial transport are less</w:t>
      </w:r>
      <w:r w:rsidR="009072B1" w:rsidRPr="00F40242">
        <w:rPr>
          <w:sz w:val="26"/>
        </w:rPr>
        <w:t xml:space="preserve"> likely to be concerned with environmental disclosure</w:t>
      </w:r>
      <w:r w:rsidR="00B40CB0" w:rsidRPr="00F40242">
        <w:rPr>
          <w:sz w:val="26"/>
        </w:rPr>
        <w:t>,</w:t>
      </w:r>
      <w:r w:rsidR="009072B1" w:rsidRPr="00F40242">
        <w:rPr>
          <w:sz w:val="26"/>
        </w:rPr>
        <w:t xml:space="preserve"> as </w:t>
      </w:r>
      <w:r w:rsidR="00396D33" w:rsidRPr="00F40242">
        <w:rPr>
          <w:sz w:val="26"/>
        </w:rPr>
        <w:t>environmental disclosure</w:t>
      </w:r>
      <w:r w:rsidR="009072B1" w:rsidRPr="00F40242">
        <w:rPr>
          <w:sz w:val="26"/>
        </w:rPr>
        <w:t xml:space="preserve"> requires increased investment in ensuring </w:t>
      </w:r>
      <w:r w:rsidR="00B40CB0" w:rsidRPr="00F40242">
        <w:rPr>
          <w:sz w:val="26"/>
        </w:rPr>
        <w:t xml:space="preserve">the </w:t>
      </w:r>
      <w:r w:rsidR="009072B1" w:rsidRPr="00F40242">
        <w:rPr>
          <w:sz w:val="26"/>
        </w:rPr>
        <w:t xml:space="preserve">environmental sustainability of company activities. The coefficient of the international experience variable is found to be </w:t>
      </w:r>
      <w:r w:rsidR="00A741F8" w:rsidRPr="00F40242">
        <w:rPr>
          <w:sz w:val="26"/>
        </w:rPr>
        <w:t>positive and</w:t>
      </w:r>
      <w:r w:rsidR="009072B1" w:rsidRPr="00F40242">
        <w:rPr>
          <w:sz w:val="26"/>
        </w:rPr>
        <w:t xml:space="preserve"> statistically significant</w:t>
      </w:r>
      <w:r w:rsidR="00A741F8" w:rsidRPr="00F40242">
        <w:rPr>
          <w:sz w:val="26"/>
        </w:rPr>
        <w:t xml:space="preserve"> (p=0.009)</w:t>
      </w:r>
      <w:r w:rsidR="009072B1" w:rsidRPr="00F40242">
        <w:rPr>
          <w:sz w:val="26"/>
        </w:rPr>
        <w:t xml:space="preserve">, implying that international exposure has </w:t>
      </w:r>
      <w:r w:rsidR="00A741F8" w:rsidRPr="00F40242">
        <w:rPr>
          <w:sz w:val="26"/>
        </w:rPr>
        <w:t>a</w:t>
      </w:r>
      <w:r w:rsidR="009072B1" w:rsidRPr="00F40242">
        <w:rPr>
          <w:sz w:val="26"/>
        </w:rPr>
        <w:t xml:space="preserve">n impact on </w:t>
      </w:r>
      <w:r w:rsidR="00B40CB0" w:rsidRPr="00F40242">
        <w:rPr>
          <w:sz w:val="26"/>
        </w:rPr>
        <w:t xml:space="preserve">the </w:t>
      </w:r>
      <w:r w:rsidR="009072B1" w:rsidRPr="00F40242">
        <w:rPr>
          <w:sz w:val="26"/>
        </w:rPr>
        <w:t xml:space="preserve">environmental disclosure of companies in India. The coefficient of </w:t>
      </w:r>
      <w:r w:rsidR="00B40CB0" w:rsidRPr="00F40242">
        <w:rPr>
          <w:sz w:val="26"/>
        </w:rPr>
        <w:t xml:space="preserve">the </w:t>
      </w:r>
      <w:r w:rsidR="009072B1" w:rsidRPr="00F40242">
        <w:rPr>
          <w:sz w:val="26"/>
        </w:rPr>
        <w:t xml:space="preserve">consumer proximity variable is found to be </w:t>
      </w:r>
      <w:r w:rsidR="00CF6A2C" w:rsidRPr="00F40242">
        <w:rPr>
          <w:sz w:val="26"/>
        </w:rPr>
        <w:t>negative</w:t>
      </w:r>
      <w:r w:rsidR="009072B1" w:rsidRPr="00F40242">
        <w:rPr>
          <w:sz w:val="26"/>
        </w:rPr>
        <w:t xml:space="preserve"> </w:t>
      </w:r>
      <w:r w:rsidR="00E84D4B" w:rsidRPr="00F40242">
        <w:rPr>
          <w:sz w:val="26"/>
        </w:rPr>
        <w:t>(</w:t>
      </w:r>
      <w:r w:rsidR="00CF6A2C" w:rsidRPr="00F40242">
        <w:rPr>
          <w:sz w:val="26"/>
        </w:rPr>
        <w:t>-0.</w:t>
      </w:r>
      <w:r w:rsidR="00A741F8" w:rsidRPr="00F40242">
        <w:rPr>
          <w:sz w:val="26"/>
        </w:rPr>
        <w:t>303</w:t>
      </w:r>
      <w:r w:rsidR="00CF6A2C" w:rsidRPr="00F40242">
        <w:rPr>
          <w:sz w:val="26"/>
        </w:rPr>
        <w:t>)</w:t>
      </w:r>
      <w:r w:rsidR="00E84D4B" w:rsidRPr="00F40242">
        <w:rPr>
          <w:sz w:val="26"/>
        </w:rPr>
        <w:t xml:space="preserve"> </w:t>
      </w:r>
      <w:r w:rsidR="009072B1" w:rsidRPr="00F40242">
        <w:rPr>
          <w:sz w:val="26"/>
        </w:rPr>
        <w:t xml:space="preserve">and statistically </w:t>
      </w:r>
      <w:r w:rsidR="00CF6A2C" w:rsidRPr="00F40242">
        <w:rPr>
          <w:sz w:val="26"/>
        </w:rPr>
        <w:t>non-</w:t>
      </w:r>
      <w:r w:rsidR="009072B1" w:rsidRPr="00F40242">
        <w:rPr>
          <w:sz w:val="26"/>
        </w:rPr>
        <w:t xml:space="preserve">significant, implying that greater community engagement </w:t>
      </w:r>
      <w:r w:rsidR="009072B1" w:rsidRPr="00F40242">
        <w:rPr>
          <w:noProof/>
          <w:sz w:val="26"/>
        </w:rPr>
        <w:t>is associated</w:t>
      </w:r>
      <w:r w:rsidR="009072B1" w:rsidRPr="00F40242">
        <w:rPr>
          <w:sz w:val="26"/>
        </w:rPr>
        <w:t xml:space="preserve"> with </w:t>
      </w:r>
      <w:r w:rsidR="00CF6A2C" w:rsidRPr="00F40242">
        <w:rPr>
          <w:sz w:val="26"/>
        </w:rPr>
        <w:t xml:space="preserve">less </w:t>
      </w:r>
      <w:r w:rsidR="009072B1" w:rsidRPr="00F40242">
        <w:rPr>
          <w:sz w:val="26"/>
        </w:rPr>
        <w:t>reporting of environmental activities of the company.</w:t>
      </w:r>
      <w:bookmarkStart w:id="5" w:name="_Toc323222275"/>
    </w:p>
    <w:p w14:paraId="36924DE8" w14:textId="77777777" w:rsidR="009E41F8" w:rsidRDefault="009E41F8">
      <w:pPr>
        <w:rPr>
          <w:sz w:val="26"/>
        </w:rPr>
      </w:pPr>
    </w:p>
    <w:p w14:paraId="3D961DB7" w14:textId="754C6A61" w:rsidR="000D5C8E" w:rsidRDefault="000D5C8E">
      <w:pPr>
        <w:rPr>
          <w:sz w:val="26"/>
        </w:rPr>
      </w:pPr>
      <w:r>
        <w:rPr>
          <w:sz w:val="26"/>
        </w:rPr>
        <w:br w:type="page"/>
      </w:r>
    </w:p>
    <w:p w14:paraId="53ED2366" w14:textId="6EAFEDD3" w:rsidR="008F79CB" w:rsidRPr="004578D5" w:rsidRDefault="008F79CB" w:rsidP="00D55CAF">
      <w:pPr>
        <w:autoSpaceDE w:val="0"/>
        <w:autoSpaceDN w:val="0"/>
        <w:adjustRightInd w:val="0"/>
        <w:spacing w:line="360" w:lineRule="exact"/>
        <w:jc w:val="center"/>
        <w:rPr>
          <w:rFonts w:asciiTheme="minorHAnsi" w:eastAsiaTheme="minorHAnsi" w:hAnsiTheme="minorHAnsi" w:cstheme="minorBidi"/>
          <w:b/>
          <w:sz w:val="26"/>
          <w:szCs w:val="22"/>
        </w:rPr>
      </w:pPr>
      <w:r w:rsidRPr="004578D5">
        <w:rPr>
          <w:b/>
          <w:sz w:val="26"/>
          <w:lang w:eastAsia="en-AU"/>
        </w:rPr>
        <w:lastRenderedPageBreak/>
        <w:t>Table 7</w:t>
      </w:r>
      <w:r w:rsidR="00540656">
        <w:rPr>
          <w:b/>
          <w:sz w:val="26"/>
          <w:lang w:eastAsia="en-AU"/>
        </w:rPr>
        <w:t xml:space="preserve"> </w:t>
      </w:r>
      <w:r w:rsidRPr="004578D5">
        <w:rPr>
          <w:b/>
          <w:sz w:val="26"/>
          <w:lang w:eastAsia="en-AU"/>
        </w:rPr>
        <w:t xml:space="preserve"> Regression Result of Environmental Disclosure</w:t>
      </w:r>
      <w:r w:rsidR="004578D5" w:rsidRPr="004578D5">
        <w:rPr>
          <w:rFonts w:asciiTheme="minorHAnsi" w:eastAsiaTheme="minorEastAsia" w:hAnsiTheme="minorHAnsi" w:cstheme="minorBidi" w:hint="eastAsia"/>
          <w:b/>
          <w:sz w:val="26"/>
          <w:szCs w:val="22"/>
          <w:lang w:eastAsia="zh-TW"/>
        </w:rPr>
        <w:t xml:space="preserve"> </w:t>
      </w:r>
      <w:r w:rsidR="000C7ED3">
        <w:rPr>
          <w:rFonts w:asciiTheme="minorHAnsi" w:eastAsiaTheme="minorEastAsia" w:hAnsiTheme="minorHAnsi" w:cstheme="minorBidi"/>
          <w:b/>
          <w:sz w:val="26"/>
          <w:szCs w:val="22"/>
          <w:lang w:eastAsia="zh-TW"/>
        </w:rPr>
        <w:br/>
      </w:r>
      <w:r w:rsidRPr="004578D5">
        <w:rPr>
          <w:b/>
          <w:sz w:val="26"/>
          <w:lang w:eastAsia="en-AU"/>
        </w:rPr>
        <w:t>Dependent Variable: ENVIRON IDX</w:t>
      </w:r>
      <w:r w:rsidR="004578D5" w:rsidRPr="004578D5">
        <w:rPr>
          <w:rFonts w:asciiTheme="minorHAnsi" w:eastAsiaTheme="minorEastAsia" w:hAnsiTheme="minorHAnsi" w:cstheme="minorBidi" w:hint="eastAsia"/>
          <w:b/>
          <w:sz w:val="26"/>
          <w:szCs w:val="22"/>
          <w:lang w:eastAsia="zh-TW"/>
        </w:rPr>
        <w:t xml:space="preserve"> </w:t>
      </w:r>
      <w:r w:rsidR="000C7ED3">
        <w:rPr>
          <w:rFonts w:asciiTheme="minorHAnsi" w:eastAsiaTheme="minorEastAsia" w:hAnsiTheme="minorHAnsi" w:cstheme="minorBidi"/>
          <w:b/>
          <w:sz w:val="26"/>
          <w:szCs w:val="22"/>
          <w:lang w:eastAsia="zh-TW"/>
        </w:rPr>
        <w:br/>
      </w:r>
      <w:r w:rsidRPr="004578D5">
        <w:rPr>
          <w:b/>
          <w:sz w:val="26"/>
          <w:lang w:eastAsia="en-AU"/>
        </w:rPr>
        <w:t>Method: Panel EGLS (Cross-section weights)</w:t>
      </w:r>
    </w:p>
    <w:tbl>
      <w:tblPr>
        <w:tblStyle w:val="13"/>
        <w:tblW w:w="4633" w:type="pct"/>
        <w:jc w:val="center"/>
        <w:tblLayout w:type="fixed"/>
        <w:tblLook w:val="04A0" w:firstRow="1" w:lastRow="0" w:firstColumn="1" w:lastColumn="0" w:noHBand="0" w:noVBand="1"/>
      </w:tblPr>
      <w:tblGrid>
        <w:gridCol w:w="1985"/>
        <w:gridCol w:w="2126"/>
        <w:gridCol w:w="2126"/>
        <w:gridCol w:w="2126"/>
      </w:tblGrid>
      <w:tr w:rsidR="008F79CB" w:rsidRPr="00F40242" w14:paraId="42EE5A23" w14:textId="77777777" w:rsidTr="008B3BEE">
        <w:trPr>
          <w:trHeight w:val="288"/>
          <w:jc w:val="center"/>
        </w:trPr>
        <w:tc>
          <w:tcPr>
            <w:tcW w:w="1187" w:type="pct"/>
            <w:tcBorders>
              <w:top w:val="single" w:sz="4" w:space="0" w:color="auto"/>
              <w:bottom w:val="single" w:sz="4" w:space="0" w:color="auto"/>
            </w:tcBorders>
            <w:noWrap/>
            <w:hideMark/>
          </w:tcPr>
          <w:p w14:paraId="4B73E1E9"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Variable</w:t>
            </w:r>
          </w:p>
        </w:tc>
        <w:tc>
          <w:tcPr>
            <w:tcW w:w="1271" w:type="pct"/>
            <w:tcBorders>
              <w:top w:val="single" w:sz="4" w:space="0" w:color="auto"/>
              <w:bottom w:val="single" w:sz="4" w:space="0" w:color="auto"/>
            </w:tcBorders>
            <w:noWrap/>
            <w:hideMark/>
          </w:tcPr>
          <w:p w14:paraId="37AE8A07"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Coefficient</w:t>
            </w:r>
          </w:p>
        </w:tc>
        <w:tc>
          <w:tcPr>
            <w:tcW w:w="1271" w:type="pct"/>
            <w:tcBorders>
              <w:top w:val="single" w:sz="4" w:space="0" w:color="auto"/>
              <w:bottom w:val="single" w:sz="4" w:space="0" w:color="auto"/>
            </w:tcBorders>
            <w:noWrap/>
            <w:hideMark/>
          </w:tcPr>
          <w:p w14:paraId="3DF1F4FA"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t-Statistic</w:t>
            </w:r>
          </w:p>
        </w:tc>
        <w:tc>
          <w:tcPr>
            <w:tcW w:w="1271" w:type="pct"/>
            <w:tcBorders>
              <w:top w:val="single" w:sz="4" w:space="0" w:color="auto"/>
              <w:bottom w:val="single" w:sz="4" w:space="0" w:color="auto"/>
            </w:tcBorders>
            <w:noWrap/>
            <w:hideMark/>
          </w:tcPr>
          <w:p w14:paraId="064FEAC6" w14:textId="62B2F243" w:rsidR="008F79CB" w:rsidRPr="00F40242" w:rsidRDefault="008F79CB" w:rsidP="00F5424C">
            <w:pPr>
              <w:spacing w:line="360" w:lineRule="exact"/>
              <w:jc w:val="center"/>
              <w:rPr>
                <w:color w:val="000000"/>
                <w:sz w:val="26"/>
                <w:lang w:eastAsia="en-AU"/>
              </w:rPr>
            </w:pPr>
            <w:r w:rsidRPr="00F40242">
              <w:rPr>
                <w:color w:val="000000"/>
                <w:sz w:val="26"/>
                <w:lang w:eastAsia="en-AU"/>
              </w:rPr>
              <w:t>Prob.</w:t>
            </w:r>
          </w:p>
        </w:tc>
      </w:tr>
      <w:tr w:rsidR="008F79CB" w:rsidRPr="00F40242" w14:paraId="1185285D" w14:textId="77777777" w:rsidTr="008B3BEE">
        <w:trPr>
          <w:trHeight w:val="288"/>
          <w:jc w:val="center"/>
        </w:trPr>
        <w:tc>
          <w:tcPr>
            <w:tcW w:w="1187" w:type="pct"/>
            <w:tcBorders>
              <w:top w:val="single" w:sz="4" w:space="0" w:color="auto"/>
            </w:tcBorders>
            <w:noWrap/>
            <w:hideMark/>
          </w:tcPr>
          <w:p w14:paraId="4D04D0FF" w14:textId="77777777" w:rsidR="008F79CB" w:rsidRPr="00F40242" w:rsidRDefault="008F79CB" w:rsidP="008B3BEE">
            <w:pPr>
              <w:spacing w:line="360" w:lineRule="exact"/>
              <w:ind w:leftChars="100" w:left="240"/>
              <w:jc w:val="both"/>
              <w:rPr>
                <w:color w:val="000000"/>
                <w:sz w:val="26"/>
                <w:lang w:eastAsia="en-AU"/>
              </w:rPr>
            </w:pPr>
            <w:r w:rsidRPr="00F40242">
              <w:rPr>
                <w:color w:val="000000"/>
                <w:sz w:val="26"/>
                <w:lang w:eastAsia="en-AU"/>
              </w:rPr>
              <w:t>C</w:t>
            </w:r>
          </w:p>
        </w:tc>
        <w:tc>
          <w:tcPr>
            <w:tcW w:w="1271" w:type="pct"/>
            <w:tcBorders>
              <w:top w:val="single" w:sz="4" w:space="0" w:color="auto"/>
            </w:tcBorders>
            <w:noWrap/>
            <w:hideMark/>
          </w:tcPr>
          <w:p w14:paraId="4CD2B023"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-2.101</w:t>
            </w:r>
          </w:p>
        </w:tc>
        <w:tc>
          <w:tcPr>
            <w:tcW w:w="1271" w:type="pct"/>
            <w:tcBorders>
              <w:top w:val="single" w:sz="4" w:space="0" w:color="auto"/>
            </w:tcBorders>
            <w:noWrap/>
            <w:hideMark/>
          </w:tcPr>
          <w:p w14:paraId="49BBFEF6"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-3.042</w:t>
            </w:r>
          </w:p>
        </w:tc>
        <w:tc>
          <w:tcPr>
            <w:tcW w:w="1271" w:type="pct"/>
            <w:tcBorders>
              <w:top w:val="single" w:sz="4" w:space="0" w:color="auto"/>
            </w:tcBorders>
            <w:noWrap/>
            <w:hideMark/>
          </w:tcPr>
          <w:p w14:paraId="4C3111D0"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0.003</w:t>
            </w:r>
          </w:p>
        </w:tc>
      </w:tr>
      <w:tr w:rsidR="008F79CB" w:rsidRPr="00F40242" w14:paraId="6A2A3CE5" w14:textId="77777777" w:rsidTr="008B3BEE">
        <w:trPr>
          <w:trHeight w:val="288"/>
          <w:jc w:val="center"/>
        </w:trPr>
        <w:tc>
          <w:tcPr>
            <w:tcW w:w="1187" w:type="pct"/>
            <w:noWrap/>
            <w:hideMark/>
          </w:tcPr>
          <w:p w14:paraId="3C6A3C6C" w14:textId="77777777" w:rsidR="008F79CB" w:rsidRPr="00F40242" w:rsidRDefault="008F79CB" w:rsidP="008B3BEE">
            <w:pPr>
              <w:spacing w:line="360" w:lineRule="exact"/>
              <w:ind w:leftChars="100" w:left="240"/>
              <w:jc w:val="both"/>
              <w:rPr>
                <w:color w:val="000000"/>
                <w:sz w:val="26"/>
                <w:lang w:eastAsia="en-AU"/>
              </w:rPr>
            </w:pPr>
            <w:r w:rsidRPr="00F40242">
              <w:rPr>
                <w:color w:val="000000"/>
                <w:sz w:val="26"/>
                <w:lang w:eastAsia="en-AU"/>
              </w:rPr>
              <w:t>AGE</w:t>
            </w:r>
          </w:p>
        </w:tc>
        <w:tc>
          <w:tcPr>
            <w:tcW w:w="1271" w:type="pct"/>
            <w:noWrap/>
            <w:hideMark/>
          </w:tcPr>
          <w:p w14:paraId="529CBD65"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0.011</w:t>
            </w:r>
          </w:p>
        </w:tc>
        <w:tc>
          <w:tcPr>
            <w:tcW w:w="1271" w:type="pct"/>
            <w:noWrap/>
            <w:hideMark/>
          </w:tcPr>
          <w:p w14:paraId="621AB470"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2.348</w:t>
            </w:r>
          </w:p>
        </w:tc>
        <w:tc>
          <w:tcPr>
            <w:tcW w:w="1271" w:type="pct"/>
            <w:noWrap/>
            <w:hideMark/>
          </w:tcPr>
          <w:p w14:paraId="35892A58"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0.020</w:t>
            </w:r>
          </w:p>
        </w:tc>
      </w:tr>
      <w:tr w:rsidR="008F79CB" w:rsidRPr="00F40242" w14:paraId="60F0F90A" w14:textId="77777777" w:rsidTr="008B3BEE">
        <w:trPr>
          <w:trHeight w:val="288"/>
          <w:jc w:val="center"/>
        </w:trPr>
        <w:tc>
          <w:tcPr>
            <w:tcW w:w="1187" w:type="pct"/>
            <w:noWrap/>
            <w:hideMark/>
          </w:tcPr>
          <w:p w14:paraId="716F0F9B" w14:textId="77777777" w:rsidR="008F79CB" w:rsidRPr="00F40242" w:rsidRDefault="008F79CB" w:rsidP="008B3BEE">
            <w:pPr>
              <w:spacing w:line="360" w:lineRule="exact"/>
              <w:ind w:leftChars="100" w:left="240"/>
              <w:jc w:val="both"/>
              <w:rPr>
                <w:color w:val="000000"/>
                <w:sz w:val="26"/>
                <w:lang w:eastAsia="en-AU"/>
              </w:rPr>
            </w:pPr>
            <w:r w:rsidRPr="00F40242">
              <w:rPr>
                <w:color w:val="000000"/>
                <w:sz w:val="26"/>
                <w:lang w:eastAsia="en-AU"/>
              </w:rPr>
              <w:t>CP</w:t>
            </w:r>
          </w:p>
        </w:tc>
        <w:tc>
          <w:tcPr>
            <w:tcW w:w="1271" w:type="pct"/>
            <w:noWrap/>
            <w:hideMark/>
          </w:tcPr>
          <w:p w14:paraId="4CB69529"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-0.303</w:t>
            </w:r>
          </w:p>
        </w:tc>
        <w:tc>
          <w:tcPr>
            <w:tcW w:w="1271" w:type="pct"/>
            <w:noWrap/>
            <w:hideMark/>
          </w:tcPr>
          <w:p w14:paraId="13851672"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-1.386</w:t>
            </w:r>
          </w:p>
        </w:tc>
        <w:tc>
          <w:tcPr>
            <w:tcW w:w="1271" w:type="pct"/>
            <w:noWrap/>
            <w:hideMark/>
          </w:tcPr>
          <w:p w14:paraId="73BAD101"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0.167</w:t>
            </w:r>
          </w:p>
        </w:tc>
      </w:tr>
      <w:tr w:rsidR="008F79CB" w:rsidRPr="00F40242" w14:paraId="2DAFE0BC" w14:textId="77777777" w:rsidTr="008B3BEE">
        <w:trPr>
          <w:trHeight w:val="288"/>
          <w:jc w:val="center"/>
        </w:trPr>
        <w:tc>
          <w:tcPr>
            <w:tcW w:w="1187" w:type="pct"/>
            <w:noWrap/>
            <w:hideMark/>
          </w:tcPr>
          <w:p w14:paraId="178EE135" w14:textId="77777777" w:rsidR="008F79CB" w:rsidRPr="00F40242" w:rsidRDefault="008F79CB" w:rsidP="008B3BEE">
            <w:pPr>
              <w:spacing w:line="360" w:lineRule="exact"/>
              <w:ind w:leftChars="100" w:left="240"/>
              <w:jc w:val="both"/>
              <w:rPr>
                <w:color w:val="000000"/>
                <w:sz w:val="26"/>
                <w:lang w:eastAsia="en-AU"/>
              </w:rPr>
            </w:pPr>
            <w:r w:rsidRPr="00F40242">
              <w:rPr>
                <w:color w:val="000000"/>
                <w:sz w:val="26"/>
                <w:lang w:eastAsia="en-AU"/>
              </w:rPr>
              <w:t>LEV</w:t>
            </w:r>
          </w:p>
        </w:tc>
        <w:tc>
          <w:tcPr>
            <w:tcW w:w="1271" w:type="pct"/>
            <w:noWrap/>
            <w:hideMark/>
          </w:tcPr>
          <w:p w14:paraId="5F62694C"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-0.002</w:t>
            </w:r>
          </w:p>
        </w:tc>
        <w:tc>
          <w:tcPr>
            <w:tcW w:w="1271" w:type="pct"/>
            <w:noWrap/>
            <w:hideMark/>
          </w:tcPr>
          <w:p w14:paraId="5D6E678B"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-0.380</w:t>
            </w:r>
          </w:p>
        </w:tc>
        <w:tc>
          <w:tcPr>
            <w:tcW w:w="1271" w:type="pct"/>
            <w:noWrap/>
            <w:hideMark/>
          </w:tcPr>
          <w:p w14:paraId="6F871EA7"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0.704</w:t>
            </w:r>
          </w:p>
        </w:tc>
      </w:tr>
      <w:tr w:rsidR="008F79CB" w:rsidRPr="00F40242" w14:paraId="2FAA83FB" w14:textId="77777777" w:rsidTr="008B3BEE">
        <w:trPr>
          <w:trHeight w:val="288"/>
          <w:jc w:val="center"/>
        </w:trPr>
        <w:tc>
          <w:tcPr>
            <w:tcW w:w="1187" w:type="pct"/>
            <w:noWrap/>
            <w:hideMark/>
          </w:tcPr>
          <w:p w14:paraId="4F4D4DB5" w14:textId="77777777" w:rsidR="008F79CB" w:rsidRPr="00F40242" w:rsidRDefault="008F79CB" w:rsidP="008B3BEE">
            <w:pPr>
              <w:spacing w:line="360" w:lineRule="exact"/>
              <w:ind w:leftChars="100" w:left="240"/>
              <w:jc w:val="both"/>
              <w:rPr>
                <w:color w:val="000000"/>
                <w:sz w:val="26"/>
                <w:lang w:eastAsia="en-AU"/>
              </w:rPr>
            </w:pPr>
            <w:r w:rsidRPr="00F40242">
              <w:rPr>
                <w:color w:val="000000"/>
                <w:sz w:val="26"/>
                <w:lang w:eastAsia="en-AU"/>
              </w:rPr>
              <w:t>CIND</w:t>
            </w:r>
          </w:p>
        </w:tc>
        <w:tc>
          <w:tcPr>
            <w:tcW w:w="1271" w:type="pct"/>
            <w:noWrap/>
            <w:hideMark/>
          </w:tcPr>
          <w:p w14:paraId="63AB088C"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2.447</w:t>
            </w:r>
          </w:p>
        </w:tc>
        <w:tc>
          <w:tcPr>
            <w:tcW w:w="1271" w:type="pct"/>
            <w:noWrap/>
            <w:hideMark/>
          </w:tcPr>
          <w:p w14:paraId="3373BD00"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6.074</w:t>
            </w:r>
          </w:p>
        </w:tc>
        <w:tc>
          <w:tcPr>
            <w:tcW w:w="1271" w:type="pct"/>
            <w:noWrap/>
            <w:hideMark/>
          </w:tcPr>
          <w:p w14:paraId="7A26702E"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0.000</w:t>
            </w:r>
          </w:p>
        </w:tc>
      </w:tr>
      <w:tr w:rsidR="008F79CB" w:rsidRPr="00F40242" w14:paraId="01097028" w14:textId="77777777" w:rsidTr="008B3BEE">
        <w:trPr>
          <w:trHeight w:val="288"/>
          <w:jc w:val="center"/>
        </w:trPr>
        <w:tc>
          <w:tcPr>
            <w:tcW w:w="1187" w:type="pct"/>
            <w:noWrap/>
            <w:hideMark/>
          </w:tcPr>
          <w:p w14:paraId="3B9603FC" w14:textId="77777777" w:rsidR="008F79CB" w:rsidRPr="00F40242" w:rsidRDefault="008F79CB" w:rsidP="008B3BEE">
            <w:pPr>
              <w:spacing w:line="360" w:lineRule="exact"/>
              <w:ind w:leftChars="100" w:left="240"/>
              <w:jc w:val="both"/>
              <w:rPr>
                <w:color w:val="000000"/>
                <w:sz w:val="26"/>
                <w:lang w:eastAsia="en-AU"/>
              </w:rPr>
            </w:pPr>
            <w:r w:rsidRPr="00F40242">
              <w:rPr>
                <w:color w:val="000000"/>
                <w:sz w:val="26"/>
                <w:lang w:eastAsia="en-AU"/>
              </w:rPr>
              <w:t>ITIND</w:t>
            </w:r>
          </w:p>
        </w:tc>
        <w:tc>
          <w:tcPr>
            <w:tcW w:w="1271" w:type="pct"/>
            <w:noWrap/>
            <w:hideMark/>
          </w:tcPr>
          <w:p w14:paraId="05239F2F"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-0.903</w:t>
            </w:r>
          </w:p>
        </w:tc>
        <w:tc>
          <w:tcPr>
            <w:tcW w:w="1271" w:type="pct"/>
            <w:noWrap/>
            <w:hideMark/>
          </w:tcPr>
          <w:p w14:paraId="429E903C"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-2.229</w:t>
            </w:r>
          </w:p>
        </w:tc>
        <w:tc>
          <w:tcPr>
            <w:tcW w:w="1271" w:type="pct"/>
            <w:noWrap/>
            <w:hideMark/>
          </w:tcPr>
          <w:p w14:paraId="5810368C"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0.027</w:t>
            </w:r>
          </w:p>
        </w:tc>
      </w:tr>
      <w:tr w:rsidR="008F79CB" w:rsidRPr="00F40242" w14:paraId="7680FF2B" w14:textId="77777777" w:rsidTr="008B3BEE">
        <w:trPr>
          <w:trHeight w:val="288"/>
          <w:jc w:val="center"/>
        </w:trPr>
        <w:tc>
          <w:tcPr>
            <w:tcW w:w="1187" w:type="pct"/>
            <w:noWrap/>
            <w:hideMark/>
          </w:tcPr>
          <w:p w14:paraId="62205318" w14:textId="77777777" w:rsidR="008F79CB" w:rsidRPr="00F40242" w:rsidRDefault="008F79CB" w:rsidP="008B3BEE">
            <w:pPr>
              <w:spacing w:line="360" w:lineRule="exact"/>
              <w:ind w:leftChars="100" w:left="240"/>
              <w:jc w:val="both"/>
              <w:rPr>
                <w:color w:val="000000"/>
                <w:sz w:val="26"/>
                <w:lang w:eastAsia="en-AU"/>
              </w:rPr>
            </w:pPr>
            <w:r w:rsidRPr="00F40242">
              <w:rPr>
                <w:color w:val="000000"/>
                <w:sz w:val="26"/>
                <w:lang w:eastAsia="en-AU"/>
              </w:rPr>
              <w:t>FPIND</w:t>
            </w:r>
          </w:p>
        </w:tc>
        <w:tc>
          <w:tcPr>
            <w:tcW w:w="1271" w:type="pct"/>
            <w:noWrap/>
            <w:hideMark/>
          </w:tcPr>
          <w:p w14:paraId="0D20B224"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3.518</w:t>
            </w:r>
          </w:p>
        </w:tc>
        <w:tc>
          <w:tcPr>
            <w:tcW w:w="1271" w:type="pct"/>
            <w:noWrap/>
            <w:hideMark/>
          </w:tcPr>
          <w:p w14:paraId="3A5EB5AB"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6.582</w:t>
            </w:r>
          </w:p>
        </w:tc>
        <w:tc>
          <w:tcPr>
            <w:tcW w:w="1271" w:type="pct"/>
            <w:noWrap/>
            <w:hideMark/>
          </w:tcPr>
          <w:p w14:paraId="5E6C2980"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0.000</w:t>
            </w:r>
          </w:p>
        </w:tc>
      </w:tr>
      <w:tr w:rsidR="008F79CB" w:rsidRPr="00F40242" w14:paraId="7837C647" w14:textId="77777777" w:rsidTr="008B3BEE">
        <w:trPr>
          <w:trHeight w:val="288"/>
          <w:jc w:val="center"/>
        </w:trPr>
        <w:tc>
          <w:tcPr>
            <w:tcW w:w="1187" w:type="pct"/>
            <w:noWrap/>
            <w:hideMark/>
          </w:tcPr>
          <w:p w14:paraId="4DCA157F" w14:textId="77777777" w:rsidR="008F79CB" w:rsidRPr="00F40242" w:rsidRDefault="008F79CB" w:rsidP="008B3BEE">
            <w:pPr>
              <w:spacing w:line="360" w:lineRule="exact"/>
              <w:ind w:leftChars="100" w:left="240"/>
              <w:jc w:val="both"/>
              <w:rPr>
                <w:color w:val="000000"/>
                <w:sz w:val="26"/>
                <w:lang w:eastAsia="en-AU"/>
              </w:rPr>
            </w:pPr>
            <w:r w:rsidRPr="00F40242">
              <w:rPr>
                <w:color w:val="000000"/>
                <w:sz w:val="26"/>
                <w:lang w:eastAsia="en-AU"/>
              </w:rPr>
              <w:t>IE</w:t>
            </w:r>
          </w:p>
        </w:tc>
        <w:tc>
          <w:tcPr>
            <w:tcW w:w="1271" w:type="pct"/>
            <w:noWrap/>
            <w:hideMark/>
          </w:tcPr>
          <w:p w14:paraId="5CA79329"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0.012</w:t>
            </w:r>
          </w:p>
        </w:tc>
        <w:tc>
          <w:tcPr>
            <w:tcW w:w="1271" w:type="pct"/>
            <w:noWrap/>
            <w:hideMark/>
          </w:tcPr>
          <w:p w14:paraId="23C5668F"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2.639</w:t>
            </w:r>
          </w:p>
        </w:tc>
        <w:tc>
          <w:tcPr>
            <w:tcW w:w="1271" w:type="pct"/>
            <w:noWrap/>
            <w:hideMark/>
          </w:tcPr>
          <w:p w14:paraId="66FC4D8B"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0.009</w:t>
            </w:r>
          </w:p>
        </w:tc>
      </w:tr>
      <w:tr w:rsidR="008F79CB" w:rsidRPr="00F40242" w14:paraId="6A7F4842" w14:textId="77777777" w:rsidTr="008B3BEE">
        <w:trPr>
          <w:trHeight w:val="288"/>
          <w:jc w:val="center"/>
        </w:trPr>
        <w:tc>
          <w:tcPr>
            <w:tcW w:w="1187" w:type="pct"/>
            <w:noWrap/>
            <w:hideMark/>
          </w:tcPr>
          <w:p w14:paraId="0EBE8A81" w14:textId="77777777" w:rsidR="008F79CB" w:rsidRPr="00F40242" w:rsidRDefault="008F79CB" w:rsidP="008B3BEE">
            <w:pPr>
              <w:spacing w:line="360" w:lineRule="exact"/>
              <w:ind w:leftChars="100" w:left="240"/>
              <w:jc w:val="both"/>
              <w:rPr>
                <w:color w:val="000000"/>
                <w:sz w:val="26"/>
                <w:lang w:eastAsia="en-AU"/>
              </w:rPr>
            </w:pPr>
            <w:r w:rsidRPr="00F40242">
              <w:rPr>
                <w:color w:val="000000"/>
                <w:sz w:val="26"/>
                <w:lang w:eastAsia="en-AU"/>
              </w:rPr>
              <w:t>LOG_TA</w:t>
            </w:r>
          </w:p>
        </w:tc>
        <w:tc>
          <w:tcPr>
            <w:tcW w:w="1271" w:type="pct"/>
            <w:noWrap/>
            <w:hideMark/>
          </w:tcPr>
          <w:p w14:paraId="3ED44251"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1.429</w:t>
            </w:r>
          </w:p>
        </w:tc>
        <w:tc>
          <w:tcPr>
            <w:tcW w:w="1271" w:type="pct"/>
            <w:noWrap/>
            <w:hideMark/>
          </w:tcPr>
          <w:p w14:paraId="7000F3E4"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10.186</w:t>
            </w:r>
          </w:p>
        </w:tc>
        <w:tc>
          <w:tcPr>
            <w:tcW w:w="1271" w:type="pct"/>
            <w:noWrap/>
            <w:hideMark/>
          </w:tcPr>
          <w:p w14:paraId="6F996331"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0.000</w:t>
            </w:r>
          </w:p>
        </w:tc>
      </w:tr>
      <w:tr w:rsidR="008F79CB" w:rsidRPr="00F40242" w14:paraId="799826B7" w14:textId="77777777" w:rsidTr="008B3BEE">
        <w:trPr>
          <w:trHeight w:val="288"/>
          <w:jc w:val="center"/>
        </w:trPr>
        <w:tc>
          <w:tcPr>
            <w:tcW w:w="1187" w:type="pct"/>
            <w:noWrap/>
            <w:hideMark/>
          </w:tcPr>
          <w:p w14:paraId="3003F6C0" w14:textId="77777777" w:rsidR="008F79CB" w:rsidRPr="00F40242" w:rsidRDefault="008F79CB" w:rsidP="008B3BEE">
            <w:pPr>
              <w:spacing w:line="360" w:lineRule="exact"/>
              <w:ind w:leftChars="100" w:left="240"/>
              <w:jc w:val="both"/>
              <w:rPr>
                <w:color w:val="000000"/>
                <w:sz w:val="26"/>
                <w:lang w:eastAsia="en-AU"/>
              </w:rPr>
            </w:pPr>
            <w:r w:rsidRPr="00F40242">
              <w:rPr>
                <w:color w:val="000000"/>
                <w:sz w:val="26"/>
                <w:lang w:eastAsia="en-AU"/>
              </w:rPr>
              <w:t>ROA</w:t>
            </w:r>
          </w:p>
        </w:tc>
        <w:tc>
          <w:tcPr>
            <w:tcW w:w="1271" w:type="pct"/>
            <w:noWrap/>
            <w:hideMark/>
          </w:tcPr>
          <w:p w14:paraId="231DF75F"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0.029</w:t>
            </w:r>
          </w:p>
        </w:tc>
        <w:tc>
          <w:tcPr>
            <w:tcW w:w="1271" w:type="pct"/>
            <w:noWrap/>
            <w:hideMark/>
          </w:tcPr>
          <w:p w14:paraId="4FA7C643"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4.342</w:t>
            </w:r>
          </w:p>
        </w:tc>
        <w:tc>
          <w:tcPr>
            <w:tcW w:w="1271" w:type="pct"/>
            <w:noWrap/>
            <w:hideMark/>
          </w:tcPr>
          <w:p w14:paraId="726DCE81"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0.000</w:t>
            </w:r>
          </w:p>
        </w:tc>
      </w:tr>
      <w:tr w:rsidR="008F79CB" w:rsidRPr="00F40242" w14:paraId="409C9FBA" w14:textId="77777777" w:rsidTr="008B3BEE">
        <w:trPr>
          <w:trHeight w:val="288"/>
          <w:jc w:val="center"/>
        </w:trPr>
        <w:tc>
          <w:tcPr>
            <w:tcW w:w="1187" w:type="pct"/>
            <w:noWrap/>
            <w:hideMark/>
          </w:tcPr>
          <w:p w14:paraId="06D59E3A" w14:textId="77777777" w:rsidR="008F79CB" w:rsidRPr="00F40242" w:rsidRDefault="008F79CB" w:rsidP="008B3BEE">
            <w:pPr>
              <w:spacing w:line="360" w:lineRule="exact"/>
              <w:ind w:leftChars="100" w:left="240"/>
              <w:jc w:val="both"/>
              <w:rPr>
                <w:color w:val="000000"/>
                <w:sz w:val="26"/>
                <w:lang w:eastAsia="en-AU"/>
              </w:rPr>
            </w:pPr>
            <w:r w:rsidRPr="00F40242">
              <w:rPr>
                <w:color w:val="000000"/>
                <w:sz w:val="26"/>
                <w:lang w:eastAsia="en-AU"/>
              </w:rPr>
              <w:t>R-squared</w:t>
            </w:r>
          </w:p>
        </w:tc>
        <w:tc>
          <w:tcPr>
            <w:tcW w:w="1271" w:type="pct"/>
            <w:noWrap/>
            <w:hideMark/>
          </w:tcPr>
          <w:p w14:paraId="4C23CA52"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0.54</w:t>
            </w:r>
          </w:p>
        </w:tc>
        <w:tc>
          <w:tcPr>
            <w:tcW w:w="1271" w:type="pct"/>
            <w:noWrap/>
          </w:tcPr>
          <w:p w14:paraId="14158EEC" w14:textId="77777777" w:rsidR="008F79CB" w:rsidRPr="00F40242" w:rsidRDefault="008F79CB" w:rsidP="00F5424C">
            <w:pPr>
              <w:spacing w:line="360" w:lineRule="exact"/>
              <w:jc w:val="center"/>
              <w:rPr>
                <w:color w:val="000000"/>
                <w:sz w:val="26"/>
                <w:lang w:eastAsia="en-AU"/>
              </w:rPr>
            </w:pPr>
          </w:p>
        </w:tc>
        <w:tc>
          <w:tcPr>
            <w:tcW w:w="1271" w:type="pct"/>
            <w:noWrap/>
            <w:hideMark/>
          </w:tcPr>
          <w:p w14:paraId="1A18B320" w14:textId="77777777" w:rsidR="008F79CB" w:rsidRPr="00F40242" w:rsidRDefault="008F79CB" w:rsidP="00F5424C">
            <w:pPr>
              <w:spacing w:line="360" w:lineRule="exact"/>
              <w:jc w:val="center"/>
              <w:rPr>
                <w:color w:val="000000"/>
                <w:sz w:val="26"/>
                <w:lang w:eastAsia="en-AU"/>
              </w:rPr>
            </w:pPr>
          </w:p>
        </w:tc>
      </w:tr>
      <w:tr w:rsidR="008F79CB" w:rsidRPr="00F40242" w14:paraId="1908A095" w14:textId="77777777" w:rsidTr="008B3BEE">
        <w:trPr>
          <w:trHeight w:val="288"/>
          <w:jc w:val="center"/>
        </w:trPr>
        <w:tc>
          <w:tcPr>
            <w:tcW w:w="1187" w:type="pct"/>
            <w:noWrap/>
          </w:tcPr>
          <w:p w14:paraId="73CD43AB" w14:textId="77777777" w:rsidR="000D5C8E" w:rsidRDefault="008F79CB" w:rsidP="008B3BEE">
            <w:pPr>
              <w:spacing w:line="360" w:lineRule="exact"/>
              <w:ind w:leftChars="100" w:left="240"/>
              <w:jc w:val="both"/>
              <w:rPr>
                <w:color w:val="000000"/>
                <w:sz w:val="26"/>
                <w:lang w:eastAsia="en-AU"/>
              </w:rPr>
            </w:pPr>
            <w:r w:rsidRPr="00F40242">
              <w:rPr>
                <w:color w:val="000000"/>
                <w:sz w:val="26"/>
                <w:lang w:eastAsia="en-AU"/>
              </w:rPr>
              <w:t xml:space="preserve">Adjusted </w:t>
            </w:r>
          </w:p>
          <w:p w14:paraId="53A878E3" w14:textId="5325FFA5" w:rsidR="008F79CB" w:rsidRPr="00F40242" w:rsidRDefault="008F79CB" w:rsidP="008B3BEE">
            <w:pPr>
              <w:spacing w:line="360" w:lineRule="exact"/>
              <w:ind w:leftChars="100" w:left="240"/>
              <w:jc w:val="both"/>
              <w:rPr>
                <w:color w:val="000000"/>
                <w:sz w:val="26"/>
                <w:lang w:eastAsia="en-AU"/>
              </w:rPr>
            </w:pPr>
            <w:r w:rsidRPr="00F40242">
              <w:rPr>
                <w:color w:val="000000"/>
                <w:sz w:val="26"/>
                <w:lang w:eastAsia="en-AU"/>
              </w:rPr>
              <w:t xml:space="preserve">R-squared </w:t>
            </w:r>
          </w:p>
        </w:tc>
        <w:tc>
          <w:tcPr>
            <w:tcW w:w="1271" w:type="pct"/>
            <w:noWrap/>
          </w:tcPr>
          <w:p w14:paraId="01327FE6"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0.52</w:t>
            </w:r>
          </w:p>
        </w:tc>
        <w:tc>
          <w:tcPr>
            <w:tcW w:w="1271" w:type="pct"/>
            <w:noWrap/>
          </w:tcPr>
          <w:p w14:paraId="09614F75" w14:textId="77777777" w:rsidR="008F79CB" w:rsidRPr="00F40242" w:rsidRDefault="008F79CB" w:rsidP="00F5424C">
            <w:pPr>
              <w:spacing w:line="360" w:lineRule="exact"/>
              <w:jc w:val="center"/>
              <w:rPr>
                <w:color w:val="000000"/>
                <w:sz w:val="26"/>
                <w:lang w:eastAsia="en-AU"/>
              </w:rPr>
            </w:pPr>
          </w:p>
        </w:tc>
        <w:tc>
          <w:tcPr>
            <w:tcW w:w="1271" w:type="pct"/>
            <w:noWrap/>
          </w:tcPr>
          <w:p w14:paraId="7531F81F" w14:textId="77777777" w:rsidR="008F79CB" w:rsidRPr="00F40242" w:rsidRDefault="008F79CB" w:rsidP="00F5424C">
            <w:pPr>
              <w:spacing w:line="360" w:lineRule="exact"/>
              <w:jc w:val="center"/>
              <w:rPr>
                <w:color w:val="000000"/>
                <w:sz w:val="26"/>
                <w:lang w:eastAsia="en-AU"/>
              </w:rPr>
            </w:pPr>
          </w:p>
        </w:tc>
      </w:tr>
      <w:tr w:rsidR="008F79CB" w:rsidRPr="00F40242" w14:paraId="4D583F34" w14:textId="77777777" w:rsidTr="008B3BEE">
        <w:trPr>
          <w:trHeight w:val="288"/>
          <w:jc w:val="center"/>
        </w:trPr>
        <w:tc>
          <w:tcPr>
            <w:tcW w:w="1187" w:type="pct"/>
            <w:noWrap/>
          </w:tcPr>
          <w:p w14:paraId="7B0531CB" w14:textId="77777777" w:rsidR="008F79CB" w:rsidRPr="00F40242" w:rsidRDefault="008F79CB" w:rsidP="008B3BEE">
            <w:pPr>
              <w:spacing w:line="360" w:lineRule="exact"/>
              <w:ind w:leftChars="100" w:left="240"/>
              <w:jc w:val="both"/>
              <w:rPr>
                <w:color w:val="000000"/>
                <w:sz w:val="26"/>
                <w:lang w:eastAsia="en-AU"/>
              </w:rPr>
            </w:pPr>
            <w:r w:rsidRPr="00F40242">
              <w:rPr>
                <w:color w:val="000000"/>
                <w:sz w:val="26"/>
                <w:lang w:eastAsia="en-AU"/>
              </w:rPr>
              <w:t>Durbin-Watson stat</w:t>
            </w:r>
          </w:p>
        </w:tc>
        <w:tc>
          <w:tcPr>
            <w:tcW w:w="1271" w:type="pct"/>
            <w:noWrap/>
          </w:tcPr>
          <w:p w14:paraId="11542565"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1.74</w:t>
            </w:r>
          </w:p>
        </w:tc>
        <w:tc>
          <w:tcPr>
            <w:tcW w:w="1271" w:type="pct"/>
            <w:noWrap/>
          </w:tcPr>
          <w:p w14:paraId="642B55DA" w14:textId="77777777" w:rsidR="008F79CB" w:rsidRPr="00F40242" w:rsidRDefault="008F79CB" w:rsidP="00F5424C">
            <w:pPr>
              <w:spacing w:line="360" w:lineRule="exact"/>
              <w:jc w:val="center"/>
              <w:rPr>
                <w:color w:val="000000"/>
                <w:sz w:val="26"/>
                <w:lang w:eastAsia="en-AU"/>
              </w:rPr>
            </w:pPr>
          </w:p>
        </w:tc>
        <w:tc>
          <w:tcPr>
            <w:tcW w:w="1271" w:type="pct"/>
            <w:noWrap/>
          </w:tcPr>
          <w:p w14:paraId="6D8974F1" w14:textId="77777777" w:rsidR="008F79CB" w:rsidRPr="00F40242" w:rsidRDefault="008F79CB" w:rsidP="00F5424C">
            <w:pPr>
              <w:spacing w:line="360" w:lineRule="exact"/>
              <w:jc w:val="center"/>
              <w:rPr>
                <w:color w:val="000000"/>
                <w:sz w:val="26"/>
                <w:lang w:eastAsia="en-AU"/>
              </w:rPr>
            </w:pPr>
          </w:p>
        </w:tc>
      </w:tr>
      <w:tr w:rsidR="008F79CB" w:rsidRPr="00F40242" w14:paraId="6394853B" w14:textId="77777777" w:rsidTr="008B3BEE">
        <w:trPr>
          <w:trHeight w:val="288"/>
          <w:jc w:val="center"/>
        </w:trPr>
        <w:tc>
          <w:tcPr>
            <w:tcW w:w="1187" w:type="pct"/>
            <w:noWrap/>
            <w:hideMark/>
          </w:tcPr>
          <w:p w14:paraId="4D7D9F42" w14:textId="77777777" w:rsidR="008F79CB" w:rsidRPr="00F40242" w:rsidRDefault="008F79CB" w:rsidP="008B3BEE">
            <w:pPr>
              <w:spacing w:line="360" w:lineRule="exact"/>
              <w:ind w:leftChars="100" w:left="240"/>
              <w:jc w:val="both"/>
              <w:rPr>
                <w:color w:val="000000"/>
                <w:sz w:val="26"/>
                <w:lang w:eastAsia="en-AU"/>
              </w:rPr>
            </w:pPr>
            <w:r w:rsidRPr="00F40242">
              <w:rPr>
                <w:color w:val="000000"/>
                <w:sz w:val="26"/>
                <w:lang w:eastAsia="en-AU"/>
              </w:rPr>
              <w:t>F-statistic</w:t>
            </w:r>
          </w:p>
        </w:tc>
        <w:tc>
          <w:tcPr>
            <w:tcW w:w="1271" w:type="pct"/>
            <w:noWrap/>
            <w:hideMark/>
          </w:tcPr>
          <w:p w14:paraId="675379FF"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38.49</w:t>
            </w:r>
          </w:p>
        </w:tc>
        <w:tc>
          <w:tcPr>
            <w:tcW w:w="1271" w:type="pct"/>
            <w:noWrap/>
          </w:tcPr>
          <w:p w14:paraId="087C0F5F" w14:textId="77777777" w:rsidR="008F79CB" w:rsidRPr="00F40242" w:rsidRDefault="008F79CB" w:rsidP="00F5424C">
            <w:pPr>
              <w:spacing w:line="360" w:lineRule="exact"/>
              <w:jc w:val="center"/>
              <w:rPr>
                <w:color w:val="000000"/>
                <w:sz w:val="26"/>
                <w:lang w:eastAsia="en-AU"/>
              </w:rPr>
            </w:pPr>
          </w:p>
        </w:tc>
        <w:tc>
          <w:tcPr>
            <w:tcW w:w="1271" w:type="pct"/>
            <w:noWrap/>
            <w:hideMark/>
          </w:tcPr>
          <w:p w14:paraId="1A6659EC" w14:textId="77777777" w:rsidR="008F79CB" w:rsidRPr="00F40242" w:rsidRDefault="008F79CB" w:rsidP="00F5424C">
            <w:pPr>
              <w:spacing w:line="360" w:lineRule="exact"/>
              <w:jc w:val="center"/>
              <w:rPr>
                <w:color w:val="000000"/>
                <w:sz w:val="26"/>
                <w:lang w:eastAsia="en-AU"/>
              </w:rPr>
            </w:pPr>
          </w:p>
        </w:tc>
      </w:tr>
      <w:tr w:rsidR="008F79CB" w:rsidRPr="00F40242" w14:paraId="4CE27043" w14:textId="77777777" w:rsidTr="008B3BEE">
        <w:trPr>
          <w:trHeight w:val="288"/>
          <w:jc w:val="center"/>
        </w:trPr>
        <w:tc>
          <w:tcPr>
            <w:tcW w:w="1187" w:type="pct"/>
            <w:noWrap/>
            <w:hideMark/>
          </w:tcPr>
          <w:p w14:paraId="53C801BF" w14:textId="77777777" w:rsidR="008F79CB" w:rsidRPr="00F40242" w:rsidRDefault="008F79CB" w:rsidP="008B3BEE">
            <w:pPr>
              <w:spacing w:line="360" w:lineRule="exact"/>
              <w:ind w:leftChars="100" w:left="240"/>
              <w:jc w:val="both"/>
              <w:rPr>
                <w:color w:val="000000"/>
                <w:sz w:val="26"/>
                <w:lang w:eastAsia="en-AU"/>
              </w:rPr>
            </w:pPr>
            <w:proofErr w:type="spellStart"/>
            <w:r w:rsidRPr="00F40242">
              <w:rPr>
                <w:color w:val="000000"/>
                <w:sz w:val="26"/>
                <w:lang w:eastAsia="en-AU"/>
              </w:rPr>
              <w:t>Prob</w:t>
            </w:r>
            <w:proofErr w:type="spellEnd"/>
            <w:r w:rsidRPr="00F40242">
              <w:rPr>
                <w:color w:val="000000"/>
                <w:sz w:val="26"/>
                <w:lang w:eastAsia="en-AU"/>
              </w:rPr>
              <w:t>(F-statistic)</w:t>
            </w:r>
          </w:p>
        </w:tc>
        <w:tc>
          <w:tcPr>
            <w:tcW w:w="1271" w:type="pct"/>
            <w:noWrap/>
            <w:hideMark/>
          </w:tcPr>
          <w:p w14:paraId="3AF7EA02" w14:textId="77777777" w:rsidR="008F79CB" w:rsidRPr="00F40242" w:rsidRDefault="008F79CB" w:rsidP="00F5424C">
            <w:pPr>
              <w:spacing w:line="360" w:lineRule="exact"/>
              <w:jc w:val="center"/>
              <w:rPr>
                <w:color w:val="000000"/>
                <w:sz w:val="26"/>
                <w:lang w:eastAsia="en-AU"/>
              </w:rPr>
            </w:pPr>
            <w:r w:rsidRPr="00F40242">
              <w:rPr>
                <w:color w:val="000000"/>
                <w:sz w:val="26"/>
                <w:lang w:eastAsia="en-AU"/>
              </w:rPr>
              <w:t>0.00</w:t>
            </w:r>
          </w:p>
        </w:tc>
        <w:tc>
          <w:tcPr>
            <w:tcW w:w="1271" w:type="pct"/>
            <w:noWrap/>
          </w:tcPr>
          <w:p w14:paraId="53D91E99" w14:textId="77777777" w:rsidR="008F79CB" w:rsidRPr="00F40242" w:rsidRDefault="008F79CB" w:rsidP="00F5424C">
            <w:pPr>
              <w:spacing w:line="360" w:lineRule="exact"/>
              <w:jc w:val="center"/>
              <w:rPr>
                <w:sz w:val="26"/>
                <w:lang w:eastAsia="en-AU"/>
              </w:rPr>
            </w:pPr>
          </w:p>
        </w:tc>
        <w:tc>
          <w:tcPr>
            <w:tcW w:w="1271" w:type="pct"/>
            <w:noWrap/>
          </w:tcPr>
          <w:p w14:paraId="4B77C58C" w14:textId="77777777" w:rsidR="008F79CB" w:rsidRPr="00F40242" w:rsidRDefault="008F79CB" w:rsidP="00F5424C">
            <w:pPr>
              <w:spacing w:line="360" w:lineRule="exact"/>
              <w:jc w:val="center"/>
              <w:rPr>
                <w:sz w:val="26"/>
                <w:lang w:eastAsia="en-AU"/>
              </w:rPr>
            </w:pPr>
          </w:p>
        </w:tc>
      </w:tr>
    </w:tbl>
    <w:p w14:paraId="3D9E3CB0" w14:textId="75EB1A00" w:rsidR="008F79CB" w:rsidRPr="00D55CAF" w:rsidRDefault="009E41F8" w:rsidP="00D55CAF">
      <w:pPr>
        <w:spacing w:line="360" w:lineRule="exact"/>
        <w:ind w:left="360" w:hangingChars="150" w:hanging="360"/>
        <w:jc w:val="both"/>
      </w:pPr>
      <w:r w:rsidRPr="001E59DA">
        <w:rPr>
          <w:i/>
          <w:szCs w:val="16"/>
          <w:lang w:eastAsia="en-AU"/>
        </w:rPr>
        <w:t>Note.</w:t>
      </w:r>
      <w:r>
        <w:rPr>
          <w:i/>
          <w:szCs w:val="16"/>
          <w:lang w:eastAsia="en-AU"/>
        </w:rPr>
        <w:t xml:space="preserve"> </w:t>
      </w:r>
      <w:r w:rsidR="008F79CB" w:rsidRPr="00D55CAF">
        <w:rPr>
          <w:szCs w:val="22"/>
          <w:lang w:eastAsia="en-AU"/>
        </w:rPr>
        <w:t>*** denotes statistical significance at 1% level; **at 5% level and * at 10% level.</w:t>
      </w:r>
    </w:p>
    <w:p w14:paraId="7A8AF9EF" w14:textId="0A12FEB8" w:rsidR="008F79CB" w:rsidRPr="00D55CAF" w:rsidRDefault="008F79CB" w:rsidP="00D55CAF">
      <w:pPr>
        <w:autoSpaceDE w:val="0"/>
        <w:autoSpaceDN w:val="0"/>
        <w:adjustRightInd w:val="0"/>
        <w:spacing w:line="360" w:lineRule="exact"/>
        <w:ind w:leftChars="250" w:left="600"/>
        <w:jc w:val="both"/>
        <w:rPr>
          <w:rFonts w:eastAsia="Calibri" w:cs="Arial"/>
          <w:b/>
          <w:color w:val="000000"/>
          <w:szCs w:val="22"/>
          <w:lang w:eastAsia="en-AU"/>
        </w:rPr>
      </w:pPr>
      <w:proofErr w:type="spellStart"/>
      <w:r w:rsidRPr="00D55CAF">
        <w:rPr>
          <w:rFonts w:eastAsia="Calibri"/>
          <w:color w:val="000000"/>
          <w:szCs w:val="22"/>
          <w:lang w:eastAsia="en-AU"/>
        </w:rPr>
        <w:t>DI</w:t>
      </w:r>
      <w:r w:rsidRPr="00D55CAF">
        <w:rPr>
          <w:rFonts w:eastAsia="Calibri"/>
          <w:color w:val="000000"/>
          <w:szCs w:val="22"/>
          <w:vertAlign w:val="subscript"/>
          <w:lang w:eastAsia="en-AU"/>
        </w:rPr>
        <w:t>i</w:t>
      </w:r>
      <w:proofErr w:type="spellEnd"/>
      <w:r w:rsidRPr="00D55CAF">
        <w:rPr>
          <w:rFonts w:eastAsia="Calibri"/>
          <w:color w:val="000000"/>
          <w:szCs w:val="22"/>
          <w:vertAlign w:val="subscript"/>
          <w:lang w:eastAsia="en-AU"/>
        </w:rPr>
        <w:t xml:space="preserve"> </w:t>
      </w:r>
      <w:r w:rsidRPr="00D55CAF">
        <w:rPr>
          <w:rFonts w:eastAsia="Calibri"/>
          <w:color w:val="000000"/>
          <w:szCs w:val="22"/>
          <w:lang w:eastAsia="en-AU"/>
        </w:rPr>
        <w:t xml:space="preserve"> </w:t>
      </w:r>
      <w:r w:rsidR="00F5424C" w:rsidRPr="00D55CAF">
        <w:rPr>
          <w:rFonts w:eastAsia="Calibri"/>
          <w:color w:val="000000"/>
          <w:szCs w:val="22"/>
          <w:lang w:eastAsia="en-AU"/>
        </w:rPr>
        <w:t>=</w:t>
      </w:r>
      <w:r w:rsidRPr="00D55CAF">
        <w:rPr>
          <w:rFonts w:eastAsia="Calibri"/>
          <w:color w:val="000000"/>
          <w:szCs w:val="22"/>
          <w:lang w:eastAsia="en-AU"/>
        </w:rPr>
        <w:t xml:space="preserve"> disclosure index on environmental factors</w:t>
      </w:r>
      <w:r w:rsidR="00F5424C" w:rsidRPr="00D55CAF">
        <w:rPr>
          <w:rFonts w:eastAsia="Calibri"/>
          <w:color w:val="000000"/>
          <w:szCs w:val="22"/>
          <w:lang w:eastAsia="en-AU"/>
        </w:rPr>
        <w:t>,</w:t>
      </w:r>
      <w:r w:rsidRPr="00D55CAF">
        <w:rPr>
          <w:rFonts w:eastAsia="Calibri"/>
          <w:color w:val="000000"/>
          <w:szCs w:val="22"/>
          <w:lang w:eastAsia="en-AU"/>
        </w:rPr>
        <w:t xml:space="preserve"> or social factors</w:t>
      </w:r>
      <w:r w:rsidR="00F5424C" w:rsidRPr="00D55CAF">
        <w:rPr>
          <w:rFonts w:eastAsia="Calibri"/>
          <w:color w:val="000000"/>
          <w:szCs w:val="22"/>
          <w:lang w:eastAsia="en-AU"/>
        </w:rPr>
        <w:t>,</w:t>
      </w:r>
      <w:r w:rsidRPr="00D55CAF">
        <w:rPr>
          <w:rFonts w:eastAsia="Calibri"/>
          <w:color w:val="000000"/>
          <w:szCs w:val="22"/>
          <w:lang w:eastAsia="en-AU"/>
        </w:rPr>
        <w:t xml:space="preserve"> or total of both factors; </w:t>
      </w:r>
      <w:proofErr w:type="spellStart"/>
      <w:r w:rsidRPr="00D55CAF">
        <w:rPr>
          <w:rFonts w:eastAsia="Calibri"/>
          <w:color w:val="000000"/>
          <w:szCs w:val="22"/>
          <w:lang w:eastAsia="en-AU"/>
        </w:rPr>
        <w:t>IE</w:t>
      </w:r>
      <w:r w:rsidRPr="00D55CAF">
        <w:rPr>
          <w:rFonts w:eastAsia="Calibri"/>
          <w:color w:val="000000"/>
          <w:szCs w:val="22"/>
          <w:vertAlign w:val="subscript"/>
          <w:lang w:eastAsia="en-AU"/>
        </w:rPr>
        <w:t>i</w:t>
      </w:r>
      <w:proofErr w:type="spellEnd"/>
      <w:r w:rsidRPr="00D55CAF">
        <w:rPr>
          <w:rFonts w:eastAsia="Calibri"/>
          <w:color w:val="000000"/>
          <w:szCs w:val="22"/>
          <w:vertAlign w:val="subscript"/>
          <w:lang w:eastAsia="en-AU"/>
        </w:rPr>
        <w:t xml:space="preserve">  </w:t>
      </w:r>
      <w:r w:rsidR="00F5424C" w:rsidRPr="00D55CAF">
        <w:rPr>
          <w:rFonts w:eastAsia="Calibri"/>
          <w:color w:val="000000"/>
          <w:szCs w:val="22"/>
          <w:lang w:eastAsia="en-AU"/>
        </w:rPr>
        <w:t xml:space="preserve">= </w:t>
      </w:r>
      <w:r w:rsidRPr="00D55CAF">
        <w:rPr>
          <w:rFonts w:eastAsia="Calibri"/>
          <w:color w:val="000000"/>
          <w:szCs w:val="22"/>
          <w:lang w:eastAsia="en-AU"/>
        </w:rPr>
        <w:t xml:space="preserve">International experience, measured by the percentage of sales outside India to total sale as reported in the annual report; </w:t>
      </w:r>
      <w:proofErr w:type="spellStart"/>
      <w:r w:rsidRPr="00D55CAF">
        <w:rPr>
          <w:rFonts w:eastAsia="Calibri"/>
          <w:color w:val="000000"/>
          <w:szCs w:val="22"/>
          <w:lang w:eastAsia="en-AU"/>
        </w:rPr>
        <w:t>TA</w:t>
      </w:r>
      <w:r w:rsidRPr="00D55CAF">
        <w:rPr>
          <w:rFonts w:eastAsia="Calibri"/>
          <w:color w:val="000000"/>
          <w:szCs w:val="22"/>
          <w:vertAlign w:val="subscript"/>
          <w:lang w:eastAsia="en-AU"/>
        </w:rPr>
        <w:t>i</w:t>
      </w:r>
      <w:proofErr w:type="spellEnd"/>
      <w:r w:rsidRPr="00D55CAF">
        <w:rPr>
          <w:rFonts w:eastAsia="Calibri"/>
          <w:color w:val="000000"/>
          <w:szCs w:val="22"/>
          <w:vertAlign w:val="subscript"/>
          <w:lang w:eastAsia="en-AU"/>
        </w:rPr>
        <w:t xml:space="preserve">   </w:t>
      </w:r>
      <w:r w:rsidR="00F5424C" w:rsidRPr="00D55CAF">
        <w:rPr>
          <w:rFonts w:eastAsia="Calibri"/>
          <w:color w:val="000000"/>
          <w:szCs w:val="22"/>
          <w:lang w:eastAsia="en-AU"/>
        </w:rPr>
        <w:t xml:space="preserve">= </w:t>
      </w:r>
      <w:r w:rsidRPr="00D55CAF">
        <w:rPr>
          <w:rFonts w:eastAsia="Calibri"/>
          <w:color w:val="000000"/>
          <w:szCs w:val="22"/>
          <w:lang w:eastAsia="en-AU"/>
        </w:rPr>
        <w:t xml:space="preserve">logarithm of book value of total assets of the reporting entity at year end; </w:t>
      </w:r>
      <w:proofErr w:type="spellStart"/>
      <w:r w:rsidRPr="00D55CAF">
        <w:rPr>
          <w:rFonts w:eastAsia="Calibri"/>
          <w:color w:val="000000"/>
          <w:szCs w:val="22"/>
          <w:lang w:eastAsia="en-AU"/>
        </w:rPr>
        <w:t>ROTA</w:t>
      </w:r>
      <w:r w:rsidRPr="00D55CAF">
        <w:rPr>
          <w:rFonts w:eastAsia="Calibri"/>
          <w:color w:val="000000"/>
          <w:szCs w:val="22"/>
          <w:vertAlign w:val="subscript"/>
          <w:lang w:eastAsia="en-AU"/>
        </w:rPr>
        <w:t>i</w:t>
      </w:r>
      <w:proofErr w:type="spellEnd"/>
      <w:r w:rsidRPr="00D55CAF">
        <w:rPr>
          <w:rFonts w:eastAsia="Calibri"/>
          <w:color w:val="000000"/>
          <w:szCs w:val="22"/>
          <w:vertAlign w:val="subscript"/>
          <w:lang w:eastAsia="en-AU"/>
        </w:rPr>
        <w:t xml:space="preserve"> </w:t>
      </w:r>
      <w:r w:rsidRPr="00D55CAF">
        <w:rPr>
          <w:rFonts w:eastAsia="Calibri"/>
          <w:color w:val="000000"/>
          <w:szCs w:val="22"/>
          <w:lang w:eastAsia="en-AU"/>
        </w:rPr>
        <w:t xml:space="preserve"> </w:t>
      </w:r>
      <w:r w:rsidR="00F5424C" w:rsidRPr="00D55CAF">
        <w:rPr>
          <w:rFonts w:eastAsia="Calibri"/>
          <w:color w:val="000000"/>
          <w:szCs w:val="22"/>
          <w:lang w:eastAsia="en-AU"/>
        </w:rPr>
        <w:t xml:space="preserve">= </w:t>
      </w:r>
      <w:r w:rsidRPr="00D55CAF">
        <w:rPr>
          <w:rFonts w:eastAsia="Calibri"/>
          <w:color w:val="000000"/>
          <w:szCs w:val="22"/>
          <w:lang w:eastAsia="en-AU"/>
        </w:rPr>
        <w:t xml:space="preserve">return on assets, measured by net profit to the of total assets for company I; C IND </w:t>
      </w:r>
      <w:r w:rsidR="00F5424C" w:rsidRPr="00D55CAF">
        <w:rPr>
          <w:rFonts w:eastAsia="Calibri"/>
          <w:color w:val="000000"/>
          <w:szCs w:val="22"/>
          <w:lang w:eastAsia="en-AU"/>
        </w:rPr>
        <w:t xml:space="preserve">= </w:t>
      </w:r>
      <w:r w:rsidRPr="00D55CAF">
        <w:rPr>
          <w:rFonts w:eastAsia="Calibri"/>
          <w:color w:val="000000"/>
          <w:szCs w:val="22"/>
          <w:lang w:eastAsia="en-AU"/>
        </w:rPr>
        <w:t xml:space="preserve">industry in which the company operates (Chemical); F&amp;P IND </w:t>
      </w:r>
      <w:r w:rsidR="00F5424C" w:rsidRPr="00D55CAF">
        <w:rPr>
          <w:rFonts w:eastAsia="Calibri"/>
          <w:color w:val="000000"/>
          <w:szCs w:val="22"/>
          <w:lang w:eastAsia="en-AU"/>
        </w:rPr>
        <w:t xml:space="preserve">= </w:t>
      </w:r>
      <w:r w:rsidRPr="00D55CAF">
        <w:rPr>
          <w:rFonts w:eastAsia="Calibri"/>
          <w:color w:val="000000"/>
          <w:szCs w:val="22"/>
          <w:lang w:eastAsia="en-AU"/>
        </w:rPr>
        <w:t xml:space="preserve">industry in which the company operates (Forestry and Paper); IT IND </w:t>
      </w:r>
      <w:r w:rsidR="00F5424C" w:rsidRPr="00D55CAF">
        <w:rPr>
          <w:rFonts w:eastAsia="Calibri"/>
          <w:color w:val="000000"/>
          <w:szCs w:val="22"/>
          <w:lang w:eastAsia="en-AU"/>
        </w:rPr>
        <w:t xml:space="preserve">= </w:t>
      </w:r>
      <w:r w:rsidRPr="00D55CAF">
        <w:rPr>
          <w:rFonts w:eastAsia="Calibri"/>
          <w:color w:val="000000"/>
          <w:szCs w:val="22"/>
          <w:lang w:eastAsia="en-AU"/>
        </w:rPr>
        <w:t xml:space="preserve">industry in which the company operates (Industrial Transport); </w:t>
      </w:r>
      <w:proofErr w:type="spellStart"/>
      <w:r w:rsidRPr="00D55CAF">
        <w:rPr>
          <w:rFonts w:eastAsia="Calibri"/>
          <w:color w:val="000000"/>
          <w:szCs w:val="22"/>
          <w:lang w:eastAsia="en-AU"/>
        </w:rPr>
        <w:t>CPi</w:t>
      </w:r>
      <w:proofErr w:type="spellEnd"/>
      <w:r w:rsidRPr="00D55CAF">
        <w:rPr>
          <w:rFonts w:eastAsia="Calibri"/>
          <w:color w:val="000000"/>
          <w:szCs w:val="22"/>
          <w:lang w:eastAsia="en-AU"/>
        </w:rPr>
        <w:t xml:space="preserve"> </w:t>
      </w:r>
      <w:r w:rsidR="00F5424C" w:rsidRPr="00D55CAF">
        <w:rPr>
          <w:rFonts w:eastAsia="Calibri"/>
          <w:color w:val="000000"/>
          <w:szCs w:val="22"/>
          <w:lang w:eastAsia="en-AU"/>
        </w:rPr>
        <w:t xml:space="preserve">= </w:t>
      </w:r>
      <w:r w:rsidRPr="00D55CAF">
        <w:rPr>
          <w:rFonts w:eastAsia="Calibri"/>
          <w:color w:val="000000"/>
          <w:szCs w:val="22"/>
          <w:lang w:eastAsia="en-AU"/>
        </w:rPr>
        <w:t xml:space="preserve">Consumer proximity, a binary measure (high and low profile) is used. 1 if company </w:t>
      </w:r>
      <w:proofErr w:type="spellStart"/>
      <w:r w:rsidRPr="00D55CAF">
        <w:rPr>
          <w:rFonts w:eastAsia="Calibri"/>
          <w:color w:val="000000"/>
          <w:szCs w:val="22"/>
          <w:lang w:eastAsia="en-AU"/>
        </w:rPr>
        <w:t>i</w:t>
      </w:r>
      <w:proofErr w:type="spellEnd"/>
      <w:r w:rsidRPr="00D55CAF">
        <w:rPr>
          <w:rFonts w:eastAsia="Calibri"/>
          <w:color w:val="000000"/>
          <w:szCs w:val="22"/>
          <w:lang w:eastAsia="en-AU"/>
        </w:rPr>
        <w:t xml:space="preserve"> </w:t>
      </w:r>
      <w:r w:rsidR="00F5424C" w:rsidRPr="00D55CAF">
        <w:rPr>
          <w:rFonts w:eastAsia="Calibri"/>
          <w:color w:val="000000"/>
          <w:szCs w:val="22"/>
          <w:lang w:eastAsia="en-AU"/>
        </w:rPr>
        <w:t xml:space="preserve">= </w:t>
      </w:r>
      <w:r w:rsidRPr="00D55CAF">
        <w:rPr>
          <w:rFonts w:eastAsia="Calibri"/>
          <w:color w:val="000000"/>
          <w:szCs w:val="22"/>
          <w:lang w:eastAsia="en-AU"/>
        </w:rPr>
        <w:t xml:space="preserve">a high profile company and 0 if it is a low profile company. Top10% companies of an industry are considered high profile; </w:t>
      </w:r>
      <w:proofErr w:type="spellStart"/>
      <w:r w:rsidRPr="00D55CAF">
        <w:rPr>
          <w:rFonts w:eastAsia="Calibri"/>
          <w:color w:val="000000"/>
          <w:szCs w:val="22"/>
          <w:lang w:eastAsia="en-AU"/>
        </w:rPr>
        <w:t>AREi</w:t>
      </w:r>
      <w:proofErr w:type="spellEnd"/>
      <w:r w:rsidRPr="00D55CAF">
        <w:rPr>
          <w:rFonts w:eastAsia="Calibri"/>
          <w:color w:val="000000"/>
          <w:szCs w:val="22"/>
          <w:lang w:eastAsia="en-AU"/>
        </w:rPr>
        <w:t xml:space="preserve"> </w:t>
      </w:r>
      <w:r w:rsidR="00F5424C" w:rsidRPr="00D55CAF">
        <w:rPr>
          <w:rFonts w:eastAsia="Calibri"/>
          <w:color w:val="000000"/>
          <w:szCs w:val="22"/>
          <w:lang w:eastAsia="en-AU"/>
        </w:rPr>
        <w:t xml:space="preserve">= </w:t>
      </w:r>
      <w:r w:rsidRPr="00D55CAF">
        <w:rPr>
          <w:rFonts w:eastAsia="Calibri"/>
          <w:color w:val="000000"/>
          <w:szCs w:val="22"/>
          <w:lang w:eastAsia="en-AU"/>
        </w:rPr>
        <w:t xml:space="preserve">age in years of the reporting entity based on the date of incorporation; LEV </w:t>
      </w:r>
      <w:r w:rsidR="00F5424C" w:rsidRPr="00D55CAF">
        <w:rPr>
          <w:rFonts w:eastAsia="Calibri"/>
          <w:color w:val="000000"/>
          <w:szCs w:val="22"/>
          <w:lang w:eastAsia="en-AU"/>
        </w:rPr>
        <w:t xml:space="preserve">= </w:t>
      </w:r>
      <w:r w:rsidRPr="00D55CAF">
        <w:rPr>
          <w:rFonts w:eastAsia="Calibri"/>
          <w:color w:val="000000"/>
          <w:szCs w:val="22"/>
          <w:lang w:eastAsia="en-AU"/>
        </w:rPr>
        <w:t>Leverage is measured by the ratio of Total debt/total assets</w:t>
      </w:r>
    </w:p>
    <w:p w14:paraId="40A34966" w14:textId="77777777" w:rsidR="008F79CB" w:rsidRPr="00F40242" w:rsidRDefault="008F79CB" w:rsidP="0011086F">
      <w:pPr>
        <w:tabs>
          <w:tab w:val="left" w:pos="567"/>
        </w:tabs>
        <w:autoSpaceDE w:val="0"/>
        <w:autoSpaceDN w:val="0"/>
        <w:adjustRightInd w:val="0"/>
        <w:spacing w:line="360" w:lineRule="exact"/>
        <w:ind w:left="720"/>
        <w:jc w:val="both"/>
        <w:rPr>
          <w:b/>
          <w:color w:val="000000"/>
          <w:sz w:val="26"/>
          <w:szCs w:val="22"/>
        </w:rPr>
      </w:pPr>
    </w:p>
    <w:p w14:paraId="5534A086" w14:textId="1B70F67B" w:rsidR="00207EB1" w:rsidRPr="00F40242" w:rsidRDefault="000C7ED3" w:rsidP="00D55CAF">
      <w:pPr>
        <w:autoSpaceDE w:val="0"/>
        <w:autoSpaceDN w:val="0"/>
        <w:adjustRightInd w:val="0"/>
        <w:jc w:val="center"/>
        <w:rPr>
          <w:b/>
          <w:caps/>
          <w:sz w:val="26"/>
        </w:rPr>
      </w:pPr>
      <w:r w:rsidRPr="00F40242">
        <w:rPr>
          <w:b/>
          <w:sz w:val="26"/>
        </w:rPr>
        <w:t>DISCUSSION</w:t>
      </w:r>
      <w:bookmarkEnd w:id="5"/>
    </w:p>
    <w:p w14:paraId="71BCE35C" w14:textId="6E58A4B4" w:rsidR="00641753" w:rsidRPr="00F40242" w:rsidRDefault="008A0C33" w:rsidP="000D5C8E">
      <w:pPr>
        <w:autoSpaceDE w:val="0"/>
        <w:autoSpaceDN w:val="0"/>
        <w:adjustRightInd w:val="0"/>
        <w:spacing w:line="360" w:lineRule="exact"/>
        <w:ind w:firstLineChars="200" w:firstLine="520"/>
        <w:jc w:val="both"/>
        <w:rPr>
          <w:sz w:val="26"/>
        </w:rPr>
      </w:pPr>
      <w:r w:rsidRPr="00F40242">
        <w:rPr>
          <w:sz w:val="26"/>
        </w:rPr>
        <w:t xml:space="preserve">In this study, we observed that Indian companies have a very low </w:t>
      </w:r>
      <w:r w:rsidR="00B40CB0" w:rsidRPr="00F40242">
        <w:rPr>
          <w:sz w:val="26"/>
        </w:rPr>
        <w:t xml:space="preserve">rate of </w:t>
      </w:r>
      <w:r w:rsidRPr="00F40242">
        <w:rPr>
          <w:sz w:val="26"/>
        </w:rPr>
        <w:t>SED</w:t>
      </w:r>
      <w:r w:rsidR="00252691" w:rsidRPr="00F40242">
        <w:rPr>
          <w:sz w:val="26"/>
        </w:rPr>
        <w:t xml:space="preserve">, implying that the legitimacy theory may not be valid within the </w:t>
      </w:r>
      <w:r w:rsidR="00820229" w:rsidRPr="00F40242">
        <w:rPr>
          <w:sz w:val="26"/>
        </w:rPr>
        <w:t xml:space="preserve">Indian context. </w:t>
      </w:r>
      <w:r w:rsidR="00B40CB0" w:rsidRPr="00F40242">
        <w:rPr>
          <w:sz w:val="26"/>
        </w:rPr>
        <w:t>P</w:t>
      </w:r>
      <w:r w:rsidR="000B2FC4" w:rsidRPr="00F40242">
        <w:rPr>
          <w:sz w:val="26"/>
        </w:rPr>
        <w:t xml:space="preserve">ragmatic legitimacy </w:t>
      </w:r>
      <w:r w:rsidR="00B40CB0" w:rsidRPr="00F40242">
        <w:rPr>
          <w:sz w:val="26"/>
        </w:rPr>
        <w:t>suggests</w:t>
      </w:r>
      <w:r w:rsidR="000B2FC4" w:rsidRPr="00F40242">
        <w:rPr>
          <w:sz w:val="26"/>
        </w:rPr>
        <w:t xml:space="preserve"> tha</w:t>
      </w:r>
      <w:r w:rsidR="00A866EB" w:rsidRPr="00F40242">
        <w:rPr>
          <w:sz w:val="26"/>
        </w:rPr>
        <w:t xml:space="preserve">t </w:t>
      </w:r>
      <w:r w:rsidR="00B40CB0" w:rsidRPr="00F40242">
        <w:rPr>
          <w:sz w:val="26"/>
        </w:rPr>
        <w:t xml:space="preserve">the needs of the </w:t>
      </w:r>
      <w:r w:rsidR="00A866EB" w:rsidRPr="00F40242">
        <w:rPr>
          <w:sz w:val="26"/>
        </w:rPr>
        <w:t xml:space="preserve">most demanding social stakeholders </w:t>
      </w:r>
      <w:r w:rsidR="00A866EB" w:rsidRPr="00F40242">
        <w:rPr>
          <w:sz w:val="26"/>
        </w:rPr>
        <w:lastRenderedPageBreak/>
        <w:t>(i.e.</w:t>
      </w:r>
      <w:r w:rsidR="00B40CB0" w:rsidRPr="00F40242">
        <w:rPr>
          <w:sz w:val="26"/>
        </w:rPr>
        <w:t>,</w:t>
      </w:r>
      <w:r w:rsidR="00A866EB" w:rsidRPr="00F40242">
        <w:rPr>
          <w:sz w:val="26"/>
        </w:rPr>
        <w:t xml:space="preserve"> social support recipients, charitable organisations and </w:t>
      </w:r>
      <w:r w:rsidR="00B40CB0" w:rsidRPr="00F40242">
        <w:rPr>
          <w:sz w:val="26"/>
        </w:rPr>
        <w:t xml:space="preserve">the </w:t>
      </w:r>
      <w:r w:rsidR="00A866EB" w:rsidRPr="00F40242">
        <w:rPr>
          <w:sz w:val="26"/>
        </w:rPr>
        <w:t xml:space="preserve">government) will be fulfilled by the companies </w:t>
      </w:r>
      <w:r w:rsidR="00DA5D0D">
        <w:rPr>
          <w:sz w:val="26"/>
        </w:rPr>
        <w:t xml:space="preserve"> through </w:t>
      </w:r>
      <w:r w:rsidR="00A866EB" w:rsidRPr="00F40242">
        <w:rPr>
          <w:sz w:val="26"/>
        </w:rPr>
        <w:t>more social information</w:t>
      </w:r>
      <w:r w:rsidR="00DA5D0D">
        <w:rPr>
          <w:sz w:val="26"/>
        </w:rPr>
        <w:t xml:space="preserve"> disclosure</w:t>
      </w:r>
      <w:r w:rsidR="00A866EB" w:rsidRPr="00F40242">
        <w:rPr>
          <w:sz w:val="26"/>
        </w:rPr>
        <w:t xml:space="preserve"> </w:t>
      </w:r>
      <w:r w:rsidR="00820229" w:rsidRPr="00F40242">
        <w:rPr>
          <w:sz w:val="26"/>
        </w:rPr>
        <w:t>(</w:t>
      </w:r>
      <w:proofErr w:type="spellStart"/>
      <w:r w:rsidR="00820229" w:rsidRPr="00F40242">
        <w:rPr>
          <w:sz w:val="26"/>
        </w:rPr>
        <w:t>Suchman</w:t>
      </w:r>
      <w:proofErr w:type="spellEnd"/>
      <w:r w:rsidR="00964109" w:rsidRPr="00F40242">
        <w:rPr>
          <w:sz w:val="26"/>
        </w:rPr>
        <w:t>,</w:t>
      </w:r>
      <w:r w:rsidR="00820229" w:rsidRPr="00F40242">
        <w:rPr>
          <w:sz w:val="26"/>
        </w:rPr>
        <w:t xml:space="preserve"> 1995)</w:t>
      </w:r>
      <w:r w:rsidR="000B2FC4" w:rsidRPr="00F40242">
        <w:rPr>
          <w:sz w:val="26"/>
        </w:rPr>
        <w:t xml:space="preserve">. </w:t>
      </w:r>
      <w:r w:rsidR="004A5701" w:rsidRPr="00F40242">
        <w:rPr>
          <w:sz w:val="26"/>
        </w:rPr>
        <w:t>The l</w:t>
      </w:r>
      <w:r w:rsidR="00424136" w:rsidRPr="00F40242">
        <w:rPr>
          <w:sz w:val="26"/>
        </w:rPr>
        <w:t>ow environmental disclosure of Indian firm</w:t>
      </w:r>
      <w:r w:rsidR="004A5701" w:rsidRPr="00F40242">
        <w:rPr>
          <w:sz w:val="26"/>
        </w:rPr>
        <w:t>s</w:t>
      </w:r>
      <w:r w:rsidR="00424136" w:rsidRPr="00F40242">
        <w:rPr>
          <w:sz w:val="26"/>
        </w:rPr>
        <w:t xml:space="preserve"> could be due to the </w:t>
      </w:r>
      <w:r w:rsidR="00DA5D0D">
        <w:rPr>
          <w:sz w:val="26"/>
        </w:rPr>
        <w:t>improper attitudes</w:t>
      </w:r>
      <w:r w:rsidR="00424136" w:rsidRPr="00F40242">
        <w:rPr>
          <w:sz w:val="26"/>
        </w:rPr>
        <w:t xml:space="preserve"> of the Indian </w:t>
      </w:r>
      <w:r w:rsidR="008E10C8" w:rsidRPr="00F40242">
        <w:rPr>
          <w:sz w:val="26"/>
        </w:rPr>
        <w:t>companies</w:t>
      </w:r>
      <w:r w:rsidR="00424136" w:rsidRPr="00F40242">
        <w:rPr>
          <w:sz w:val="26"/>
        </w:rPr>
        <w:t xml:space="preserve"> </w:t>
      </w:r>
      <w:r w:rsidR="00424136" w:rsidRPr="00F40242">
        <w:rPr>
          <w:noProof/>
          <w:sz w:val="26"/>
        </w:rPr>
        <w:t>that</w:t>
      </w:r>
      <w:r w:rsidR="00523E27" w:rsidRPr="00F40242">
        <w:rPr>
          <w:noProof/>
          <w:sz w:val="26"/>
        </w:rPr>
        <w:t xml:space="preserve"> </w:t>
      </w:r>
      <w:r w:rsidR="00424136" w:rsidRPr="00F40242">
        <w:rPr>
          <w:sz w:val="26"/>
        </w:rPr>
        <w:t xml:space="preserve">admitting environmental impact </w:t>
      </w:r>
      <w:r w:rsidR="00DA5D0D">
        <w:rPr>
          <w:sz w:val="26"/>
        </w:rPr>
        <w:t xml:space="preserve">of their activities </w:t>
      </w:r>
      <w:r w:rsidR="00424136" w:rsidRPr="00F40242">
        <w:rPr>
          <w:sz w:val="26"/>
        </w:rPr>
        <w:t xml:space="preserve">might invite more (unwanted) attention and thus threaten </w:t>
      </w:r>
      <w:r w:rsidR="00DA5D0D">
        <w:rPr>
          <w:sz w:val="26"/>
        </w:rPr>
        <w:t xml:space="preserve">their </w:t>
      </w:r>
      <w:r w:rsidR="00424136" w:rsidRPr="00F40242">
        <w:rPr>
          <w:sz w:val="26"/>
        </w:rPr>
        <w:t xml:space="preserve">organisational legitimacy. </w:t>
      </w:r>
      <w:r w:rsidR="00595A9B" w:rsidRPr="00F40242">
        <w:rPr>
          <w:sz w:val="26"/>
        </w:rPr>
        <w:t xml:space="preserve">The </w:t>
      </w:r>
      <w:proofErr w:type="spellStart"/>
      <w:r w:rsidR="00595A9B" w:rsidRPr="00F40242">
        <w:rPr>
          <w:sz w:val="26"/>
        </w:rPr>
        <w:t>companies</w:t>
      </w:r>
      <w:proofErr w:type="spellEnd"/>
      <w:r w:rsidR="00595A9B" w:rsidRPr="00F40242">
        <w:rPr>
          <w:sz w:val="26"/>
        </w:rPr>
        <w:t xml:space="preserve"> focus more on social disclosure themes because they </w:t>
      </w:r>
      <w:r w:rsidR="004A5701" w:rsidRPr="00F40242">
        <w:rPr>
          <w:sz w:val="26"/>
        </w:rPr>
        <w:t>such disclosures</w:t>
      </w:r>
      <w:r w:rsidR="00595A9B" w:rsidRPr="00F40242">
        <w:rPr>
          <w:sz w:val="26"/>
        </w:rPr>
        <w:t xml:space="preserve"> more legitimating ability compared to environmental disclosures. </w:t>
      </w:r>
      <w:proofErr w:type="spellStart"/>
      <w:r w:rsidR="00641753" w:rsidRPr="00F40242">
        <w:rPr>
          <w:sz w:val="26"/>
        </w:rPr>
        <w:t>Mahadeo</w:t>
      </w:r>
      <w:proofErr w:type="spellEnd"/>
      <w:r w:rsidR="00641753" w:rsidRPr="00F40242">
        <w:rPr>
          <w:sz w:val="26"/>
        </w:rPr>
        <w:t xml:space="preserve"> et al. (2011) commented that</w:t>
      </w:r>
      <w:r w:rsidR="004A5701" w:rsidRPr="00F40242">
        <w:rPr>
          <w:sz w:val="26"/>
        </w:rPr>
        <w:t>,</w:t>
      </w:r>
      <w:r w:rsidR="00641753" w:rsidRPr="00F40242">
        <w:rPr>
          <w:sz w:val="26"/>
        </w:rPr>
        <w:t xml:space="preserve"> from the perspective of pragmatic legitimacy, for their own benefit companies believe that shareholders are their </w:t>
      </w:r>
      <w:r w:rsidR="00DA5D0D">
        <w:rPr>
          <w:sz w:val="26"/>
        </w:rPr>
        <w:t>main</w:t>
      </w:r>
      <w:r w:rsidR="00641753" w:rsidRPr="00F40242">
        <w:rPr>
          <w:sz w:val="26"/>
        </w:rPr>
        <w:t xml:space="preserve"> direct stakeholder</w:t>
      </w:r>
      <w:r w:rsidR="004A5701" w:rsidRPr="00F40242">
        <w:rPr>
          <w:sz w:val="26"/>
        </w:rPr>
        <w:t>s</w:t>
      </w:r>
      <w:r w:rsidR="00641753" w:rsidRPr="00F40242">
        <w:rPr>
          <w:sz w:val="26"/>
        </w:rPr>
        <w:t xml:space="preserve">, and environmental activity is comparatively less important </w:t>
      </w:r>
      <w:r w:rsidR="00DA5D0D">
        <w:rPr>
          <w:sz w:val="26"/>
        </w:rPr>
        <w:t xml:space="preserve">than economic activities </w:t>
      </w:r>
      <w:r w:rsidR="00641753" w:rsidRPr="00F40242">
        <w:rPr>
          <w:sz w:val="26"/>
        </w:rPr>
        <w:t xml:space="preserve">to that group of stakeholders. </w:t>
      </w:r>
    </w:p>
    <w:p w14:paraId="679A4D7F" w14:textId="47F25948" w:rsidR="00184C29" w:rsidRPr="00F40242" w:rsidRDefault="00184C29" w:rsidP="000F3CA1">
      <w:pPr>
        <w:autoSpaceDE w:val="0"/>
        <w:autoSpaceDN w:val="0"/>
        <w:adjustRightInd w:val="0"/>
        <w:spacing w:line="360" w:lineRule="exact"/>
        <w:ind w:firstLineChars="200" w:firstLine="520"/>
        <w:jc w:val="both"/>
        <w:rPr>
          <w:sz w:val="26"/>
        </w:rPr>
      </w:pPr>
      <w:r w:rsidRPr="00F40242">
        <w:rPr>
          <w:sz w:val="26"/>
        </w:rPr>
        <w:t xml:space="preserve">Our results showed a negative relationship of consumer proximity with </w:t>
      </w:r>
      <w:r w:rsidR="00DA5D0D">
        <w:rPr>
          <w:sz w:val="26"/>
        </w:rPr>
        <w:t>s</w:t>
      </w:r>
      <w:r w:rsidRPr="00F40242">
        <w:rPr>
          <w:noProof/>
          <w:sz w:val="26"/>
        </w:rPr>
        <w:t>ocial</w:t>
      </w:r>
      <w:r w:rsidRPr="00F40242">
        <w:rPr>
          <w:sz w:val="26"/>
        </w:rPr>
        <w:t xml:space="preserve"> and </w:t>
      </w:r>
      <w:r w:rsidR="00DA5D0D">
        <w:rPr>
          <w:sz w:val="26"/>
        </w:rPr>
        <w:t>e</w:t>
      </w:r>
      <w:r w:rsidRPr="00F40242">
        <w:rPr>
          <w:bCs/>
          <w:sz w:val="26"/>
        </w:rPr>
        <w:t xml:space="preserve">nvironmental </w:t>
      </w:r>
      <w:r w:rsidR="00DA5D0D">
        <w:rPr>
          <w:bCs/>
          <w:sz w:val="26"/>
        </w:rPr>
        <w:t>d</w:t>
      </w:r>
      <w:r w:rsidRPr="00F40242">
        <w:rPr>
          <w:bCs/>
          <w:noProof/>
          <w:sz w:val="26"/>
        </w:rPr>
        <w:t>isclosure</w:t>
      </w:r>
      <w:r w:rsidRPr="00F40242">
        <w:rPr>
          <w:bCs/>
          <w:sz w:val="26"/>
        </w:rPr>
        <w:t xml:space="preserve">. </w:t>
      </w:r>
      <w:r w:rsidR="000F3CA1">
        <w:rPr>
          <w:bCs/>
          <w:sz w:val="26"/>
        </w:rPr>
        <w:t>C</w:t>
      </w:r>
      <w:r w:rsidR="000F3CA1" w:rsidRPr="00F40242">
        <w:rPr>
          <w:sz w:val="26"/>
        </w:rPr>
        <w:t xml:space="preserve">onsumer proximity </w:t>
      </w:r>
      <w:r w:rsidR="000F3CA1">
        <w:rPr>
          <w:sz w:val="26"/>
        </w:rPr>
        <w:t>leads m</w:t>
      </w:r>
      <w:r w:rsidR="006C2D3D" w:rsidRPr="00F40242">
        <w:rPr>
          <w:bCs/>
          <w:noProof/>
          <w:sz w:val="26"/>
        </w:rPr>
        <w:t xml:space="preserve">ore demand for donations and sponsorship </w:t>
      </w:r>
      <w:r w:rsidRPr="00F40242">
        <w:rPr>
          <w:sz w:val="26"/>
        </w:rPr>
        <w:t xml:space="preserve">in developing </w:t>
      </w:r>
      <w:r w:rsidRPr="00F40242">
        <w:rPr>
          <w:noProof/>
          <w:sz w:val="26"/>
        </w:rPr>
        <w:t>countries</w:t>
      </w:r>
      <w:r w:rsidR="006C2D3D" w:rsidRPr="00F40242">
        <w:rPr>
          <w:noProof/>
          <w:sz w:val="26"/>
        </w:rPr>
        <w:t>, and bi</w:t>
      </w:r>
      <w:r w:rsidR="00CD711D" w:rsidRPr="00F40242">
        <w:rPr>
          <w:noProof/>
          <w:sz w:val="26"/>
        </w:rPr>
        <w:t>g</w:t>
      </w:r>
      <w:r w:rsidR="006C2D3D" w:rsidRPr="00F40242">
        <w:rPr>
          <w:noProof/>
          <w:sz w:val="26"/>
        </w:rPr>
        <w:t xml:space="preserve">ger companies will have to </w:t>
      </w:r>
      <w:r w:rsidR="004A5701" w:rsidRPr="00F40242">
        <w:rPr>
          <w:noProof/>
          <w:sz w:val="26"/>
        </w:rPr>
        <w:t xml:space="preserve">face </w:t>
      </w:r>
      <w:r w:rsidR="006C2D3D" w:rsidRPr="00F40242">
        <w:rPr>
          <w:noProof/>
          <w:sz w:val="26"/>
        </w:rPr>
        <w:t>more consequences if they</w:t>
      </w:r>
      <w:r w:rsidR="004A5701" w:rsidRPr="00F40242">
        <w:rPr>
          <w:noProof/>
          <w:sz w:val="26"/>
        </w:rPr>
        <w:t xml:space="preserve"> are not perceived to be willing to meet</w:t>
      </w:r>
      <w:r w:rsidR="006C2D3D" w:rsidRPr="00F40242">
        <w:rPr>
          <w:noProof/>
          <w:sz w:val="26"/>
        </w:rPr>
        <w:t xml:space="preserve"> such demands</w:t>
      </w:r>
      <w:r w:rsidR="00CC0502" w:rsidRPr="00F40242">
        <w:rPr>
          <w:noProof/>
          <w:sz w:val="26"/>
        </w:rPr>
        <w:t xml:space="preserve"> </w:t>
      </w:r>
      <w:r w:rsidRPr="00F40242">
        <w:rPr>
          <w:sz w:val="26"/>
        </w:rPr>
        <w:t>(</w:t>
      </w:r>
      <w:proofErr w:type="spellStart"/>
      <w:r w:rsidRPr="00F40242">
        <w:rPr>
          <w:sz w:val="26"/>
        </w:rPr>
        <w:t>Mahadeo</w:t>
      </w:r>
      <w:proofErr w:type="spellEnd"/>
      <w:r w:rsidRPr="00F40242">
        <w:rPr>
          <w:sz w:val="26"/>
        </w:rPr>
        <w:t xml:space="preserve"> et al.</w:t>
      </w:r>
      <w:r w:rsidR="003701F5" w:rsidRPr="00F40242">
        <w:rPr>
          <w:sz w:val="26"/>
        </w:rPr>
        <w:t>,</w:t>
      </w:r>
      <w:r w:rsidR="004A5701" w:rsidRPr="00F40242">
        <w:rPr>
          <w:sz w:val="26"/>
        </w:rPr>
        <w:t xml:space="preserve"> </w:t>
      </w:r>
      <w:r w:rsidR="003701F5" w:rsidRPr="00F40242">
        <w:rPr>
          <w:sz w:val="26"/>
        </w:rPr>
        <w:t>2</w:t>
      </w:r>
      <w:r w:rsidRPr="00F40242">
        <w:rPr>
          <w:sz w:val="26"/>
        </w:rPr>
        <w:t xml:space="preserve">011). </w:t>
      </w:r>
      <w:r w:rsidRPr="00F40242">
        <w:rPr>
          <w:noProof/>
          <w:sz w:val="26"/>
        </w:rPr>
        <w:t>This could</w:t>
      </w:r>
      <w:r w:rsidRPr="00F40242">
        <w:rPr>
          <w:sz w:val="26"/>
        </w:rPr>
        <w:t xml:space="preserve"> be the reason why larger Indian companies </w:t>
      </w:r>
      <w:r w:rsidR="004A5701" w:rsidRPr="00F40242">
        <w:rPr>
          <w:sz w:val="26"/>
        </w:rPr>
        <w:t xml:space="preserve">are </w:t>
      </w:r>
      <w:r w:rsidRPr="00F40242">
        <w:rPr>
          <w:sz w:val="26"/>
        </w:rPr>
        <w:t>inclined to disclos</w:t>
      </w:r>
      <w:r w:rsidR="004A5701" w:rsidRPr="00F40242">
        <w:rPr>
          <w:sz w:val="26"/>
        </w:rPr>
        <w:t>e</w:t>
      </w:r>
      <w:r w:rsidRPr="00F40242">
        <w:rPr>
          <w:sz w:val="26"/>
        </w:rPr>
        <w:t xml:space="preserve"> more to foster a relationship with stakeholders </w:t>
      </w:r>
      <w:r w:rsidR="004A5701" w:rsidRPr="00F40242">
        <w:rPr>
          <w:sz w:val="26"/>
        </w:rPr>
        <w:t xml:space="preserve">in order </w:t>
      </w:r>
      <w:r w:rsidRPr="00F40242">
        <w:rPr>
          <w:sz w:val="26"/>
        </w:rPr>
        <w:t xml:space="preserve">to maintain the </w:t>
      </w:r>
      <w:r w:rsidRPr="00F40242">
        <w:rPr>
          <w:noProof/>
          <w:sz w:val="26"/>
        </w:rPr>
        <w:t>pragmatic</w:t>
      </w:r>
      <w:r w:rsidRPr="00F40242">
        <w:rPr>
          <w:sz w:val="26"/>
        </w:rPr>
        <w:t xml:space="preserve"> form of legitimacy. </w:t>
      </w:r>
      <w:proofErr w:type="spellStart"/>
      <w:r w:rsidRPr="00F40242">
        <w:rPr>
          <w:sz w:val="26"/>
        </w:rPr>
        <w:t>Branco</w:t>
      </w:r>
      <w:proofErr w:type="spellEnd"/>
      <w:r w:rsidRPr="00F40242">
        <w:rPr>
          <w:sz w:val="26"/>
        </w:rPr>
        <w:t xml:space="preserve"> and Rodrigues (2008) reported a non-significant association but not </w:t>
      </w:r>
      <w:r w:rsidR="004A5701" w:rsidRPr="00F40242">
        <w:rPr>
          <w:sz w:val="26"/>
        </w:rPr>
        <w:t xml:space="preserve">a </w:t>
      </w:r>
      <w:r w:rsidRPr="00F40242">
        <w:rPr>
          <w:sz w:val="26"/>
        </w:rPr>
        <w:t>negative association</w:t>
      </w:r>
      <w:r w:rsidR="008F6C2F">
        <w:rPr>
          <w:sz w:val="26"/>
        </w:rPr>
        <w:t xml:space="preserve"> between</w:t>
      </w:r>
      <w:r w:rsidR="008F6C2F" w:rsidRPr="008F6C2F">
        <w:rPr>
          <w:sz w:val="26"/>
        </w:rPr>
        <w:t xml:space="preserve"> </w:t>
      </w:r>
      <w:r w:rsidR="008F6C2F" w:rsidRPr="00F40242">
        <w:rPr>
          <w:sz w:val="26"/>
        </w:rPr>
        <w:t>consumer proximity</w:t>
      </w:r>
      <w:r w:rsidR="008F6C2F">
        <w:rPr>
          <w:sz w:val="26"/>
        </w:rPr>
        <w:t xml:space="preserve"> and SED</w:t>
      </w:r>
      <w:r w:rsidRPr="00F40242">
        <w:rPr>
          <w:sz w:val="26"/>
        </w:rPr>
        <w:t xml:space="preserve">. </w:t>
      </w:r>
      <w:r w:rsidR="004A5701" w:rsidRPr="00F40242">
        <w:rPr>
          <w:sz w:val="26"/>
        </w:rPr>
        <w:t xml:space="preserve">The </w:t>
      </w:r>
      <w:r w:rsidRPr="00F40242">
        <w:rPr>
          <w:sz w:val="26"/>
        </w:rPr>
        <w:t xml:space="preserve">legitimacy theoretical framework leads to the expectation that higher levels of SED </w:t>
      </w:r>
      <w:r w:rsidRPr="00F40242">
        <w:rPr>
          <w:noProof/>
          <w:sz w:val="26"/>
        </w:rPr>
        <w:t>are associated</w:t>
      </w:r>
      <w:r w:rsidRPr="00F40242">
        <w:rPr>
          <w:sz w:val="26"/>
        </w:rPr>
        <w:t xml:space="preserve"> with higher social and environmental visibility. </w:t>
      </w:r>
      <w:r w:rsidR="00B447DA" w:rsidRPr="00F40242">
        <w:rPr>
          <w:noProof/>
          <w:sz w:val="26"/>
        </w:rPr>
        <w:t xml:space="preserve">A renowned </w:t>
      </w:r>
      <w:r w:rsidR="004A5701" w:rsidRPr="00F40242">
        <w:rPr>
          <w:noProof/>
          <w:sz w:val="26"/>
        </w:rPr>
        <w:t>c</w:t>
      </w:r>
      <w:r w:rsidR="00B447DA" w:rsidRPr="00F40242">
        <w:rPr>
          <w:noProof/>
          <w:sz w:val="26"/>
        </w:rPr>
        <w:t xml:space="preserve">ompany with </w:t>
      </w:r>
      <w:r w:rsidR="004A5701" w:rsidRPr="00F40242">
        <w:rPr>
          <w:noProof/>
          <w:sz w:val="26"/>
        </w:rPr>
        <w:t xml:space="preserve">a </w:t>
      </w:r>
      <w:r w:rsidR="00B447DA" w:rsidRPr="00F40242">
        <w:rPr>
          <w:noProof/>
          <w:sz w:val="26"/>
        </w:rPr>
        <w:t xml:space="preserve">possible high impact on </w:t>
      </w:r>
      <w:r w:rsidR="004A5701" w:rsidRPr="00F40242">
        <w:rPr>
          <w:noProof/>
          <w:sz w:val="26"/>
        </w:rPr>
        <w:t xml:space="preserve">the </w:t>
      </w:r>
      <w:r w:rsidR="00B447DA" w:rsidRPr="00F40242">
        <w:rPr>
          <w:noProof/>
          <w:sz w:val="26"/>
        </w:rPr>
        <w:t xml:space="preserve">environment will have </w:t>
      </w:r>
      <w:r w:rsidR="004A5701" w:rsidRPr="00F40242">
        <w:rPr>
          <w:noProof/>
          <w:sz w:val="26"/>
        </w:rPr>
        <w:t>more motivation than a less well-known company to validate its presence in society</w:t>
      </w:r>
      <w:r w:rsidR="00F15D58" w:rsidRPr="00F40242">
        <w:rPr>
          <w:noProof/>
          <w:sz w:val="26"/>
        </w:rPr>
        <w:t xml:space="preserve"> (Branco</w:t>
      </w:r>
      <w:r w:rsidR="004A5701" w:rsidRPr="00F40242">
        <w:rPr>
          <w:noProof/>
          <w:sz w:val="26"/>
        </w:rPr>
        <w:t xml:space="preserve"> </w:t>
      </w:r>
      <w:r w:rsidR="00EC7873" w:rsidRPr="00F40242">
        <w:rPr>
          <w:noProof/>
          <w:sz w:val="26"/>
        </w:rPr>
        <w:t>&amp;</w:t>
      </w:r>
      <w:r w:rsidR="004A5701" w:rsidRPr="00F40242">
        <w:rPr>
          <w:noProof/>
          <w:sz w:val="26"/>
        </w:rPr>
        <w:t xml:space="preserve"> </w:t>
      </w:r>
      <w:r w:rsidR="00F15D58" w:rsidRPr="00F40242">
        <w:rPr>
          <w:noProof/>
          <w:sz w:val="26"/>
        </w:rPr>
        <w:t>Rodrigues</w:t>
      </w:r>
      <w:r w:rsidR="003701F5" w:rsidRPr="00F40242">
        <w:rPr>
          <w:noProof/>
          <w:sz w:val="26"/>
        </w:rPr>
        <w:t>,</w:t>
      </w:r>
      <w:r w:rsidR="004A5701" w:rsidRPr="00F40242">
        <w:rPr>
          <w:noProof/>
          <w:sz w:val="26"/>
        </w:rPr>
        <w:t xml:space="preserve"> </w:t>
      </w:r>
      <w:r w:rsidR="003701F5" w:rsidRPr="00F40242">
        <w:rPr>
          <w:noProof/>
          <w:sz w:val="26"/>
        </w:rPr>
        <w:t>2</w:t>
      </w:r>
      <w:r w:rsidR="00F15D58" w:rsidRPr="00F40242">
        <w:rPr>
          <w:noProof/>
          <w:sz w:val="26"/>
        </w:rPr>
        <w:t xml:space="preserve">008). </w:t>
      </w:r>
      <w:r w:rsidR="004A5701" w:rsidRPr="00F40242">
        <w:rPr>
          <w:noProof/>
          <w:sz w:val="26"/>
        </w:rPr>
        <w:t>However, this does</w:t>
      </w:r>
      <w:r w:rsidRPr="00F40242">
        <w:rPr>
          <w:bCs/>
          <w:sz w:val="26"/>
        </w:rPr>
        <w:t xml:space="preserve"> not appea</w:t>
      </w:r>
      <w:r w:rsidR="00F15D58" w:rsidRPr="00F40242">
        <w:rPr>
          <w:bCs/>
          <w:sz w:val="26"/>
        </w:rPr>
        <w:t xml:space="preserve">r to be the motive </w:t>
      </w:r>
      <w:r w:rsidR="00F15D58" w:rsidRPr="00F40242">
        <w:rPr>
          <w:bCs/>
          <w:noProof/>
          <w:sz w:val="26"/>
        </w:rPr>
        <w:t>of</w:t>
      </w:r>
      <w:r w:rsidR="003D438C" w:rsidRPr="00F40242">
        <w:rPr>
          <w:bCs/>
          <w:sz w:val="26"/>
        </w:rPr>
        <w:t xml:space="preserve"> </w:t>
      </w:r>
      <w:r w:rsidRPr="00F40242">
        <w:rPr>
          <w:sz w:val="26"/>
        </w:rPr>
        <w:t>Indian companies</w:t>
      </w:r>
      <w:r w:rsidR="004A5701" w:rsidRPr="00F40242">
        <w:rPr>
          <w:sz w:val="26"/>
        </w:rPr>
        <w:t>, as</w:t>
      </w:r>
      <w:r w:rsidRPr="00F40242">
        <w:rPr>
          <w:bCs/>
          <w:sz w:val="26"/>
        </w:rPr>
        <w:t xml:space="preserve"> </w:t>
      </w:r>
      <w:r w:rsidRPr="00F40242">
        <w:rPr>
          <w:sz w:val="26"/>
        </w:rPr>
        <w:t xml:space="preserve">they disclose </w:t>
      </w:r>
      <w:r w:rsidR="00054C05">
        <w:rPr>
          <w:sz w:val="26"/>
        </w:rPr>
        <w:t xml:space="preserve">equal or </w:t>
      </w:r>
      <w:r w:rsidRPr="00F40242">
        <w:rPr>
          <w:sz w:val="26"/>
        </w:rPr>
        <w:t>less information</w:t>
      </w:r>
      <w:r w:rsidRPr="00F40242">
        <w:rPr>
          <w:bCs/>
          <w:sz w:val="26"/>
        </w:rPr>
        <w:t xml:space="preserve"> related to c</w:t>
      </w:r>
      <w:r w:rsidRPr="00F40242">
        <w:rPr>
          <w:sz w:val="26"/>
        </w:rPr>
        <w:t>ommunity and environmental involvement</w:t>
      </w:r>
      <w:r w:rsidR="008F6C2F">
        <w:rPr>
          <w:sz w:val="26"/>
        </w:rPr>
        <w:t xml:space="preserve"> than</w:t>
      </w:r>
      <w:r w:rsidR="00054C05">
        <w:rPr>
          <w:sz w:val="26"/>
        </w:rPr>
        <w:t xml:space="preserve"> those companies those are far from consumer</w:t>
      </w:r>
      <w:r w:rsidRPr="00F40242">
        <w:rPr>
          <w:sz w:val="26"/>
        </w:rPr>
        <w:t>.</w:t>
      </w:r>
      <w:r w:rsidR="003D438C" w:rsidRPr="00F40242">
        <w:rPr>
          <w:sz w:val="26"/>
        </w:rPr>
        <w:t xml:space="preserve"> Therefore</w:t>
      </w:r>
      <w:r w:rsidR="004A5701" w:rsidRPr="00F40242">
        <w:rPr>
          <w:sz w:val="26"/>
        </w:rPr>
        <w:t>,</w:t>
      </w:r>
      <w:r w:rsidR="003D438C" w:rsidRPr="00F40242">
        <w:rPr>
          <w:sz w:val="26"/>
        </w:rPr>
        <w:t xml:space="preserve"> </w:t>
      </w:r>
      <w:r w:rsidR="008F6C2F">
        <w:rPr>
          <w:sz w:val="26"/>
        </w:rPr>
        <w:t>our results</w:t>
      </w:r>
      <w:r w:rsidR="003D438C" w:rsidRPr="00F40242">
        <w:rPr>
          <w:sz w:val="26"/>
        </w:rPr>
        <w:t xml:space="preserve"> </w:t>
      </w:r>
      <w:r w:rsidR="004A5701" w:rsidRPr="00F40242">
        <w:rPr>
          <w:sz w:val="26"/>
        </w:rPr>
        <w:t>indicates</w:t>
      </w:r>
      <w:r w:rsidR="003D438C" w:rsidRPr="00F40242">
        <w:rPr>
          <w:sz w:val="26"/>
        </w:rPr>
        <w:t xml:space="preserve"> tha</w:t>
      </w:r>
      <w:r w:rsidR="00F15D58" w:rsidRPr="00F40242">
        <w:rPr>
          <w:sz w:val="26"/>
        </w:rPr>
        <w:t xml:space="preserve">t the argument of customer proximity, as well as observance </w:t>
      </w:r>
      <w:r w:rsidR="004A5701" w:rsidRPr="00F40242">
        <w:rPr>
          <w:sz w:val="26"/>
        </w:rPr>
        <w:t xml:space="preserve">of </w:t>
      </w:r>
      <w:r w:rsidR="00F15D58" w:rsidRPr="00F40242">
        <w:rPr>
          <w:sz w:val="26"/>
        </w:rPr>
        <w:t>a moral form of legitimacy (</w:t>
      </w:r>
      <w:r w:rsidR="004A5701" w:rsidRPr="00F40242">
        <w:rPr>
          <w:sz w:val="26"/>
        </w:rPr>
        <w:t>i.e., “</w:t>
      </w:r>
      <w:r w:rsidR="00F15D58" w:rsidRPr="00F40242">
        <w:rPr>
          <w:sz w:val="26"/>
        </w:rPr>
        <w:t>doing the right thing</w:t>
      </w:r>
      <w:r w:rsidR="004A5701" w:rsidRPr="00F40242">
        <w:rPr>
          <w:sz w:val="26"/>
        </w:rPr>
        <w:t>”</w:t>
      </w:r>
      <w:r w:rsidR="00F15D58" w:rsidRPr="00F40242">
        <w:rPr>
          <w:sz w:val="26"/>
        </w:rPr>
        <w:t>)</w:t>
      </w:r>
      <w:r w:rsidR="003D438C" w:rsidRPr="00F40242">
        <w:rPr>
          <w:sz w:val="26"/>
        </w:rPr>
        <w:t xml:space="preserve">, </w:t>
      </w:r>
      <w:r w:rsidRPr="00F40242">
        <w:rPr>
          <w:sz w:val="26"/>
        </w:rPr>
        <w:t>do</w:t>
      </w:r>
      <w:r w:rsidR="004A5701" w:rsidRPr="00F40242">
        <w:rPr>
          <w:sz w:val="26"/>
        </w:rPr>
        <w:t>es</w:t>
      </w:r>
      <w:r w:rsidRPr="00F40242">
        <w:rPr>
          <w:sz w:val="26"/>
        </w:rPr>
        <w:t xml:space="preserve"> not apply in all circumstances. </w:t>
      </w:r>
      <w:r w:rsidR="00054C05">
        <w:rPr>
          <w:sz w:val="26"/>
        </w:rPr>
        <w:t>C</w:t>
      </w:r>
      <w:r w:rsidR="00054C05" w:rsidRPr="00F40242">
        <w:rPr>
          <w:sz w:val="26"/>
        </w:rPr>
        <w:t>ustomer proximity</w:t>
      </w:r>
      <w:r w:rsidR="00054C05">
        <w:rPr>
          <w:sz w:val="26"/>
        </w:rPr>
        <w:t xml:space="preserve"> and more social disclosure</w:t>
      </w:r>
      <w:r w:rsidRPr="00F40242">
        <w:rPr>
          <w:sz w:val="26"/>
        </w:rPr>
        <w:t xml:space="preserve"> </w:t>
      </w:r>
      <w:r w:rsidR="00054C05">
        <w:rPr>
          <w:sz w:val="26"/>
        </w:rPr>
        <w:t xml:space="preserve">relationship </w:t>
      </w:r>
      <w:r w:rsidRPr="00F40242">
        <w:rPr>
          <w:sz w:val="26"/>
        </w:rPr>
        <w:t xml:space="preserve">depends on the context. </w:t>
      </w:r>
    </w:p>
    <w:p w14:paraId="494A3AA9" w14:textId="4EE5D8B4" w:rsidR="00F74C25" w:rsidRPr="000D5C8E" w:rsidRDefault="00F05E5D" w:rsidP="000D5C8E">
      <w:pPr>
        <w:autoSpaceDE w:val="0"/>
        <w:autoSpaceDN w:val="0"/>
        <w:adjustRightInd w:val="0"/>
        <w:spacing w:line="360" w:lineRule="exact"/>
        <w:ind w:firstLineChars="200" w:firstLine="520"/>
        <w:jc w:val="both"/>
        <w:rPr>
          <w:bCs/>
          <w:sz w:val="26"/>
        </w:rPr>
      </w:pPr>
      <w:r w:rsidRPr="00F40242">
        <w:rPr>
          <w:sz w:val="26"/>
        </w:rPr>
        <w:t xml:space="preserve">The results also </w:t>
      </w:r>
      <w:r w:rsidR="004A5701" w:rsidRPr="00F40242">
        <w:rPr>
          <w:sz w:val="26"/>
        </w:rPr>
        <w:t xml:space="preserve">show </w:t>
      </w:r>
      <w:r w:rsidRPr="00F40242">
        <w:rPr>
          <w:sz w:val="26"/>
        </w:rPr>
        <w:t xml:space="preserve">a negative industry category effect on </w:t>
      </w:r>
      <w:r w:rsidR="00E75A99" w:rsidRPr="00F40242">
        <w:rPr>
          <w:sz w:val="26"/>
        </w:rPr>
        <w:t>environmental</w:t>
      </w:r>
      <w:r w:rsidRPr="00F40242">
        <w:rPr>
          <w:sz w:val="26"/>
        </w:rPr>
        <w:t xml:space="preserve"> disclosure, suggesting that companies in </w:t>
      </w:r>
      <w:r w:rsidR="004A5701" w:rsidRPr="00F40242">
        <w:rPr>
          <w:sz w:val="26"/>
        </w:rPr>
        <w:t xml:space="preserve">the </w:t>
      </w:r>
      <w:r w:rsidRPr="00F40242">
        <w:rPr>
          <w:sz w:val="26"/>
        </w:rPr>
        <w:t xml:space="preserve">Indian industrial transport industry give less weight to </w:t>
      </w:r>
      <w:r w:rsidR="00E75A99" w:rsidRPr="00F40242">
        <w:rPr>
          <w:sz w:val="26"/>
        </w:rPr>
        <w:t>environmental</w:t>
      </w:r>
      <w:r w:rsidRPr="00F40242">
        <w:rPr>
          <w:sz w:val="26"/>
        </w:rPr>
        <w:t xml:space="preserve"> disclosure. </w:t>
      </w:r>
      <w:r w:rsidRPr="00F40242">
        <w:rPr>
          <w:noProof/>
          <w:sz w:val="26"/>
        </w:rPr>
        <w:t xml:space="preserve">This result is </w:t>
      </w:r>
      <w:r w:rsidR="004A5701" w:rsidRPr="00F40242">
        <w:rPr>
          <w:noProof/>
          <w:sz w:val="26"/>
        </w:rPr>
        <w:t xml:space="preserve">the </w:t>
      </w:r>
      <w:r w:rsidRPr="00F40242">
        <w:rPr>
          <w:noProof/>
          <w:sz w:val="26"/>
        </w:rPr>
        <w:t>opposite of the expectation of legitimacy theory and contradict</w:t>
      </w:r>
      <w:r w:rsidR="004A5701" w:rsidRPr="00F40242">
        <w:rPr>
          <w:noProof/>
          <w:sz w:val="26"/>
        </w:rPr>
        <w:t>s</w:t>
      </w:r>
      <w:r w:rsidRPr="00F40242">
        <w:rPr>
          <w:noProof/>
          <w:sz w:val="26"/>
        </w:rPr>
        <w:t xml:space="preserve"> various prior studies in developed and developing countries (i.e., Aras et al.</w:t>
      </w:r>
      <w:r w:rsidR="003701F5" w:rsidRPr="00F40242">
        <w:rPr>
          <w:noProof/>
          <w:sz w:val="26"/>
        </w:rPr>
        <w:t>,</w:t>
      </w:r>
      <w:r w:rsidR="004A5701" w:rsidRPr="00F40242">
        <w:rPr>
          <w:noProof/>
          <w:sz w:val="26"/>
        </w:rPr>
        <w:t xml:space="preserve"> </w:t>
      </w:r>
      <w:r w:rsidR="003701F5" w:rsidRPr="00F40242">
        <w:rPr>
          <w:noProof/>
          <w:sz w:val="26"/>
        </w:rPr>
        <w:t>2</w:t>
      </w:r>
      <w:r w:rsidRPr="00F40242">
        <w:rPr>
          <w:noProof/>
          <w:sz w:val="26"/>
        </w:rPr>
        <w:t>010; Branco</w:t>
      </w:r>
      <w:r w:rsidR="004A5701" w:rsidRPr="00F40242">
        <w:rPr>
          <w:noProof/>
          <w:sz w:val="26"/>
        </w:rPr>
        <w:t xml:space="preserve"> </w:t>
      </w:r>
      <w:r w:rsidR="00EC7873" w:rsidRPr="00F40242">
        <w:rPr>
          <w:noProof/>
          <w:sz w:val="26"/>
        </w:rPr>
        <w:t>&amp;</w:t>
      </w:r>
      <w:r w:rsidR="004A5701" w:rsidRPr="00F40242">
        <w:rPr>
          <w:noProof/>
          <w:sz w:val="26"/>
        </w:rPr>
        <w:t xml:space="preserve"> </w:t>
      </w:r>
      <w:r w:rsidRPr="00F40242">
        <w:rPr>
          <w:noProof/>
          <w:sz w:val="26"/>
        </w:rPr>
        <w:t>Rodrigues</w:t>
      </w:r>
      <w:r w:rsidR="003701F5" w:rsidRPr="00F40242">
        <w:rPr>
          <w:noProof/>
          <w:sz w:val="26"/>
        </w:rPr>
        <w:t>,</w:t>
      </w:r>
      <w:r w:rsidR="004A5701" w:rsidRPr="00F40242">
        <w:rPr>
          <w:noProof/>
          <w:sz w:val="26"/>
        </w:rPr>
        <w:t xml:space="preserve"> </w:t>
      </w:r>
      <w:r w:rsidR="003701F5" w:rsidRPr="00F40242">
        <w:rPr>
          <w:noProof/>
          <w:sz w:val="26"/>
        </w:rPr>
        <w:t>2</w:t>
      </w:r>
      <w:r w:rsidRPr="00F40242">
        <w:rPr>
          <w:noProof/>
          <w:sz w:val="26"/>
        </w:rPr>
        <w:t>008; Hackston</w:t>
      </w:r>
      <w:r w:rsidR="004A5701" w:rsidRPr="00F40242">
        <w:rPr>
          <w:noProof/>
          <w:sz w:val="26"/>
        </w:rPr>
        <w:t xml:space="preserve"> </w:t>
      </w:r>
      <w:r w:rsidR="00EC7873" w:rsidRPr="00F40242">
        <w:rPr>
          <w:noProof/>
          <w:sz w:val="26"/>
        </w:rPr>
        <w:t>&amp;</w:t>
      </w:r>
      <w:r w:rsidR="004A5701" w:rsidRPr="00F40242">
        <w:rPr>
          <w:noProof/>
          <w:sz w:val="26"/>
        </w:rPr>
        <w:t xml:space="preserve"> </w:t>
      </w:r>
      <w:r w:rsidRPr="00F40242">
        <w:rPr>
          <w:noProof/>
          <w:sz w:val="26"/>
        </w:rPr>
        <w:t>Milne, 1996;</w:t>
      </w:r>
      <w:r w:rsidR="00E75A99" w:rsidRPr="00F40242">
        <w:rPr>
          <w:bCs/>
          <w:noProof/>
          <w:sz w:val="26"/>
        </w:rPr>
        <w:t xml:space="preserve"> Kansal</w:t>
      </w:r>
      <w:r w:rsidR="00E75A99" w:rsidRPr="00F40242">
        <w:rPr>
          <w:noProof/>
          <w:sz w:val="26"/>
        </w:rPr>
        <w:t xml:space="preserve"> </w:t>
      </w:r>
      <w:r w:rsidR="007736B1">
        <w:rPr>
          <w:noProof/>
          <w:sz w:val="26"/>
        </w:rPr>
        <w:t>et al.</w:t>
      </w:r>
      <w:r w:rsidR="003701F5" w:rsidRPr="00F40242">
        <w:rPr>
          <w:noProof/>
          <w:sz w:val="26"/>
        </w:rPr>
        <w:t>,</w:t>
      </w:r>
      <w:r w:rsidR="004A5701" w:rsidRPr="00F40242">
        <w:rPr>
          <w:noProof/>
          <w:sz w:val="26"/>
        </w:rPr>
        <w:t xml:space="preserve"> </w:t>
      </w:r>
      <w:r w:rsidR="003701F5" w:rsidRPr="00F40242">
        <w:rPr>
          <w:noProof/>
          <w:sz w:val="26"/>
        </w:rPr>
        <w:t>2</w:t>
      </w:r>
      <w:r w:rsidR="00E75A99" w:rsidRPr="00F40242">
        <w:rPr>
          <w:bCs/>
          <w:noProof/>
          <w:sz w:val="26"/>
        </w:rPr>
        <w:t>014;</w:t>
      </w:r>
      <w:r w:rsidRPr="00F40242">
        <w:rPr>
          <w:noProof/>
          <w:sz w:val="26"/>
        </w:rPr>
        <w:t xml:space="preserve"> Lu</w:t>
      </w:r>
      <w:r w:rsidR="004A5701" w:rsidRPr="00F40242">
        <w:rPr>
          <w:noProof/>
          <w:sz w:val="26"/>
        </w:rPr>
        <w:t xml:space="preserve"> </w:t>
      </w:r>
      <w:r w:rsidR="00EC7873" w:rsidRPr="00F40242">
        <w:rPr>
          <w:noProof/>
          <w:sz w:val="26"/>
        </w:rPr>
        <w:t>&amp;</w:t>
      </w:r>
      <w:r w:rsidR="004A5701" w:rsidRPr="00F40242">
        <w:rPr>
          <w:noProof/>
          <w:sz w:val="26"/>
        </w:rPr>
        <w:t xml:space="preserve"> </w:t>
      </w:r>
      <w:r w:rsidRPr="00F40242">
        <w:rPr>
          <w:noProof/>
          <w:sz w:val="26"/>
        </w:rPr>
        <w:t>Abeysekera</w:t>
      </w:r>
      <w:r w:rsidR="003701F5" w:rsidRPr="00F40242">
        <w:rPr>
          <w:noProof/>
          <w:sz w:val="26"/>
        </w:rPr>
        <w:t>,</w:t>
      </w:r>
      <w:r w:rsidR="004A5701" w:rsidRPr="00F40242">
        <w:rPr>
          <w:noProof/>
          <w:sz w:val="26"/>
        </w:rPr>
        <w:t xml:space="preserve"> </w:t>
      </w:r>
      <w:r w:rsidR="003701F5" w:rsidRPr="00F40242">
        <w:rPr>
          <w:noProof/>
          <w:sz w:val="26"/>
        </w:rPr>
        <w:t>2</w:t>
      </w:r>
      <w:r w:rsidRPr="00F40242">
        <w:rPr>
          <w:noProof/>
          <w:sz w:val="26"/>
        </w:rPr>
        <w:t xml:space="preserve">014; </w:t>
      </w:r>
      <w:r w:rsidRPr="00F40242">
        <w:rPr>
          <w:bCs/>
          <w:noProof/>
          <w:sz w:val="26"/>
        </w:rPr>
        <w:t>Omran</w:t>
      </w:r>
      <w:r w:rsidR="004A5701" w:rsidRPr="00F40242">
        <w:rPr>
          <w:bCs/>
          <w:noProof/>
          <w:sz w:val="26"/>
        </w:rPr>
        <w:t xml:space="preserve"> </w:t>
      </w:r>
      <w:r w:rsidR="00EC7873" w:rsidRPr="00F40242">
        <w:rPr>
          <w:bCs/>
          <w:noProof/>
          <w:sz w:val="26"/>
        </w:rPr>
        <w:t>&amp;</w:t>
      </w:r>
      <w:r w:rsidR="004A5701" w:rsidRPr="00F40242">
        <w:rPr>
          <w:bCs/>
          <w:noProof/>
          <w:sz w:val="26"/>
        </w:rPr>
        <w:t xml:space="preserve"> </w:t>
      </w:r>
      <w:r w:rsidRPr="00F40242">
        <w:rPr>
          <w:bCs/>
          <w:noProof/>
          <w:sz w:val="26"/>
        </w:rPr>
        <w:t>Ramdhony</w:t>
      </w:r>
      <w:r w:rsidR="003701F5" w:rsidRPr="00F40242">
        <w:rPr>
          <w:bCs/>
          <w:noProof/>
          <w:sz w:val="26"/>
        </w:rPr>
        <w:t>,</w:t>
      </w:r>
      <w:r w:rsidR="004A5701" w:rsidRPr="00F40242">
        <w:rPr>
          <w:bCs/>
          <w:noProof/>
          <w:sz w:val="26"/>
        </w:rPr>
        <w:t xml:space="preserve"> </w:t>
      </w:r>
      <w:r w:rsidR="003701F5" w:rsidRPr="00F40242">
        <w:rPr>
          <w:bCs/>
          <w:noProof/>
          <w:sz w:val="26"/>
        </w:rPr>
        <w:t>2</w:t>
      </w:r>
      <w:r w:rsidRPr="00F40242">
        <w:rPr>
          <w:noProof/>
          <w:sz w:val="26"/>
        </w:rPr>
        <w:t>015; Reverte</w:t>
      </w:r>
      <w:r w:rsidR="003701F5" w:rsidRPr="00F40242">
        <w:rPr>
          <w:noProof/>
          <w:sz w:val="26"/>
        </w:rPr>
        <w:t>,</w:t>
      </w:r>
      <w:r w:rsidR="004A5701" w:rsidRPr="00F40242">
        <w:rPr>
          <w:noProof/>
          <w:sz w:val="26"/>
        </w:rPr>
        <w:t xml:space="preserve"> </w:t>
      </w:r>
      <w:r w:rsidR="003701F5" w:rsidRPr="00F40242">
        <w:rPr>
          <w:noProof/>
          <w:sz w:val="26"/>
        </w:rPr>
        <w:t>2</w:t>
      </w:r>
      <w:r w:rsidRPr="00F40242">
        <w:rPr>
          <w:noProof/>
          <w:sz w:val="26"/>
        </w:rPr>
        <w:t>009).</w:t>
      </w:r>
      <w:r w:rsidRPr="00F40242">
        <w:rPr>
          <w:sz w:val="26"/>
        </w:rPr>
        <w:t xml:space="preserve"> </w:t>
      </w:r>
      <w:r w:rsidR="00E75A99" w:rsidRPr="00F40242">
        <w:rPr>
          <w:sz w:val="26"/>
        </w:rPr>
        <w:t>Legitimacy theory expects that companies in</w:t>
      </w:r>
      <w:r w:rsidR="00CD711D" w:rsidRPr="00F40242">
        <w:rPr>
          <w:sz w:val="26"/>
        </w:rPr>
        <w:t xml:space="preserve"> </w:t>
      </w:r>
      <w:r w:rsidR="00E75A99" w:rsidRPr="00F40242">
        <w:rPr>
          <w:noProof/>
          <w:sz w:val="26"/>
        </w:rPr>
        <w:t>environmentally</w:t>
      </w:r>
      <w:r w:rsidR="00E75A99" w:rsidRPr="00F40242">
        <w:rPr>
          <w:sz w:val="26"/>
        </w:rPr>
        <w:t xml:space="preserve"> sensitive industr</w:t>
      </w:r>
      <w:r w:rsidR="004A5701" w:rsidRPr="00F40242">
        <w:rPr>
          <w:sz w:val="26"/>
        </w:rPr>
        <w:t>ies</w:t>
      </w:r>
      <w:r w:rsidR="00E75A99" w:rsidRPr="00F40242">
        <w:rPr>
          <w:sz w:val="26"/>
        </w:rPr>
        <w:t xml:space="preserve"> will disclose more social and environmental information to maintain their existing legitimacy.</w:t>
      </w:r>
      <w:r w:rsidR="00165591" w:rsidRPr="00F40242">
        <w:rPr>
          <w:sz w:val="26"/>
        </w:rPr>
        <w:t xml:space="preserve"> Our result</w:t>
      </w:r>
      <w:r w:rsidR="004A5701" w:rsidRPr="00F40242">
        <w:rPr>
          <w:sz w:val="26"/>
        </w:rPr>
        <w:t xml:space="preserve"> contradicts</w:t>
      </w:r>
      <w:r w:rsidR="00165591" w:rsidRPr="00F40242">
        <w:rPr>
          <w:sz w:val="26"/>
        </w:rPr>
        <w:t xml:space="preserve"> this expectation</w:t>
      </w:r>
      <w:r w:rsidR="004A5701" w:rsidRPr="00F40242">
        <w:rPr>
          <w:sz w:val="26"/>
        </w:rPr>
        <w:t>,</w:t>
      </w:r>
      <w:r w:rsidR="00165591" w:rsidRPr="00F40242">
        <w:rPr>
          <w:sz w:val="26"/>
        </w:rPr>
        <w:t xml:space="preserve"> despite </w:t>
      </w:r>
      <w:r w:rsidR="00054C05">
        <w:rPr>
          <w:sz w:val="26"/>
        </w:rPr>
        <w:t xml:space="preserve">our sample companies </w:t>
      </w:r>
      <w:r w:rsidR="00165591" w:rsidRPr="00F40242">
        <w:rPr>
          <w:sz w:val="26"/>
        </w:rPr>
        <w:t xml:space="preserve">being </w:t>
      </w:r>
      <w:r w:rsidR="004A5701" w:rsidRPr="00F40242">
        <w:rPr>
          <w:sz w:val="26"/>
        </w:rPr>
        <w:t xml:space="preserve">a </w:t>
      </w:r>
      <w:r w:rsidR="00165591" w:rsidRPr="00F40242">
        <w:rPr>
          <w:sz w:val="26"/>
        </w:rPr>
        <w:t xml:space="preserve">member of </w:t>
      </w:r>
      <w:r w:rsidR="004A5701" w:rsidRPr="00F40242">
        <w:rPr>
          <w:noProof/>
          <w:sz w:val="26"/>
        </w:rPr>
        <w:t>an industry considered to be</w:t>
      </w:r>
      <w:r w:rsidR="00165591" w:rsidRPr="00F40242">
        <w:rPr>
          <w:sz w:val="26"/>
        </w:rPr>
        <w:t xml:space="preserve"> environmentally sensitive.</w:t>
      </w:r>
      <w:r w:rsidR="00E75A99" w:rsidRPr="00F40242">
        <w:rPr>
          <w:sz w:val="26"/>
        </w:rPr>
        <w:t xml:space="preserve"> </w:t>
      </w:r>
      <w:r w:rsidR="001B0A49" w:rsidRPr="00F40242">
        <w:rPr>
          <w:sz w:val="26"/>
        </w:rPr>
        <w:lastRenderedPageBreak/>
        <w:t>The proponents of legitimacy theory emphasise the importance of communication and companies</w:t>
      </w:r>
      <w:r w:rsidR="004A5701" w:rsidRPr="00F40242">
        <w:rPr>
          <w:sz w:val="26"/>
        </w:rPr>
        <w:t>’ preference for</w:t>
      </w:r>
      <w:r w:rsidR="001B0A49" w:rsidRPr="00F40242">
        <w:rPr>
          <w:sz w:val="26"/>
        </w:rPr>
        <w:t xml:space="preserve"> the strategic use of unilateral corporate communication</w:t>
      </w:r>
      <w:r w:rsidR="004A5701" w:rsidRPr="00F40242">
        <w:rPr>
          <w:sz w:val="26"/>
        </w:rPr>
        <w:t>,</w:t>
      </w:r>
      <w:r w:rsidR="001B0A49" w:rsidRPr="00F40242">
        <w:rPr>
          <w:sz w:val="26"/>
        </w:rPr>
        <w:t xml:space="preserve"> such as social and environmental disclosure (Chen</w:t>
      </w:r>
      <w:r w:rsidR="004A5701" w:rsidRPr="00F40242">
        <w:rPr>
          <w:sz w:val="26"/>
        </w:rPr>
        <w:t xml:space="preserve"> </w:t>
      </w:r>
      <w:r w:rsidR="00EC7873" w:rsidRPr="00F40242">
        <w:rPr>
          <w:sz w:val="26"/>
        </w:rPr>
        <w:t>&amp;</w:t>
      </w:r>
      <w:r w:rsidR="004A5701" w:rsidRPr="00F40242">
        <w:rPr>
          <w:sz w:val="26"/>
        </w:rPr>
        <w:t xml:space="preserve"> </w:t>
      </w:r>
      <w:r w:rsidR="001B0A49" w:rsidRPr="00F40242">
        <w:rPr>
          <w:sz w:val="26"/>
        </w:rPr>
        <w:t>Roberts</w:t>
      </w:r>
      <w:r w:rsidR="003701F5" w:rsidRPr="00F40242">
        <w:rPr>
          <w:sz w:val="26"/>
        </w:rPr>
        <w:t>,</w:t>
      </w:r>
      <w:r w:rsidR="004A5701" w:rsidRPr="00F40242">
        <w:rPr>
          <w:sz w:val="26"/>
        </w:rPr>
        <w:t xml:space="preserve"> </w:t>
      </w:r>
      <w:r w:rsidR="003701F5" w:rsidRPr="00F40242">
        <w:rPr>
          <w:sz w:val="26"/>
        </w:rPr>
        <w:t>2</w:t>
      </w:r>
      <w:r w:rsidR="001B0A49" w:rsidRPr="00F40242">
        <w:rPr>
          <w:sz w:val="26"/>
        </w:rPr>
        <w:t>010, p</w:t>
      </w:r>
      <w:r w:rsidR="00973050" w:rsidRPr="00F40242">
        <w:rPr>
          <w:sz w:val="26"/>
        </w:rPr>
        <w:t>.</w:t>
      </w:r>
      <w:r w:rsidR="004A5701" w:rsidRPr="00F40242">
        <w:rPr>
          <w:sz w:val="26"/>
        </w:rPr>
        <w:t xml:space="preserve"> </w:t>
      </w:r>
      <w:r w:rsidR="001B0A49" w:rsidRPr="00F40242">
        <w:rPr>
          <w:sz w:val="26"/>
        </w:rPr>
        <w:t>660).</w:t>
      </w:r>
      <w:r w:rsidR="00C8160D" w:rsidRPr="00F40242">
        <w:rPr>
          <w:sz w:val="26"/>
        </w:rPr>
        <w:t xml:space="preserve"> </w:t>
      </w:r>
      <w:r w:rsidR="00F74C25" w:rsidRPr="00F40242">
        <w:rPr>
          <w:sz w:val="26"/>
        </w:rPr>
        <w:t xml:space="preserve">Prior </w:t>
      </w:r>
      <w:r w:rsidR="005D7008" w:rsidRPr="00F40242">
        <w:rPr>
          <w:sz w:val="26"/>
        </w:rPr>
        <w:t>studies prox</w:t>
      </w:r>
      <w:r w:rsidR="004A5701" w:rsidRPr="00F40242">
        <w:rPr>
          <w:sz w:val="26"/>
        </w:rPr>
        <w:t>y</w:t>
      </w:r>
      <w:r w:rsidR="005D7008" w:rsidRPr="00F40242">
        <w:rPr>
          <w:sz w:val="26"/>
        </w:rPr>
        <w:t xml:space="preserve"> size for social visibility and advocate that bigger companies will have</w:t>
      </w:r>
      <w:r w:rsidR="00CD711D" w:rsidRPr="00F40242">
        <w:rPr>
          <w:sz w:val="26"/>
        </w:rPr>
        <w:t xml:space="preserve"> a</w:t>
      </w:r>
      <w:r w:rsidR="005D7008" w:rsidRPr="00F40242">
        <w:rPr>
          <w:sz w:val="26"/>
        </w:rPr>
        <w:t xml:space="preserve"> </w:t>
      </w:r>
      <w:r w:rsidR="005D7008" w:rsidRPr="00F40242">
        <w:rPr>
          <w:noProof/>
          <w:sz w:val="26"/>
        </w:rPr>
        <w:t>greater</w:t>
      </w:r>
      <w:r w:rsidR="005D7008" w:rsidRPr="00F40242">
        <w:rPr>
          <w:sz w:val="26"/>
        </w:rPr>
        <w:t xml:space="preserve"> volume of social and environmental disclosure (</w:t>
      </w:r>
      <w:proofErr w:type="spellStart"/>
      <w:r w:rsidR="005D7008" w:rsidRPr="00F40242">
        <w:rPr>
          <w:sz w:val="26"/>
        </w:rPr>
        <w:t>Branco</w:t>
      </w:r>
      <w:proofErr w:type="spellEnd"/>
      <w:r w:rsidR="004A5701" w:rsidRPr="00F40242">
        <w:rPr>
          <w:sz w:val="26"/>
        </w:rPr>
        <w:t xml:space="preserve"> </w:t>
      </w:r>
      <w:r w:rsidR="00EC7873" w:rsidRPr="00F40242">
        <w:rPr>
          <w:sz w:val="26"/>
        </w:rPr>
        <w:t>&amp;</w:t>
      </w:r>
      <w:r w:rsidR="004A5701" w:rsidRPr="00F40242">
        <w:rPr>
          <w:sz w:val="26"/>
        </w:rPr>
        <w:t xml:space="preserve"> </w:t>
      </w:r>
      <w:r w:rsidR="005D7008" w:rsidRPr="00F40242">
        <w:rPr>
          <w:sz w:val="26"/>
        </w:rPr>
        <w:t>Rodrigues</w:t>
      </w:r>
      <w:r w:rsidR="003701F5" w:rsidRPr="00F40242">
        <w:rPr>
          <w:sz w:val="26"/>
        </w:rPr>
        <w:t>,</w:t>
      </w:r>
      <w:r w:rsidR="004A5701" w:rsidRPr="00F40242">
        <w:rPr>
          <w:sz w:val="26"/>
        </w:rPr>
        <w:t xml:space="preserve"> </w:t>
      </w:r>
      <w:r w:rsidR="003701F5" w:rsidRPr="00F40242">
        <w:rPr>
          <w:sz w:val="26"/>
        </w:rPr>
        <w:t>2</w:t>
      </w:r>
      <w:r w:rsidR="005D7008" w:rsidRPr="00F40242">
        <w:rPr>
          <w:sz w:val="26"/>
        </w:rPr>
        <w:t xml:space="preserve">008; </w:t>
      </w:r>
      <w:proofErr w:type="spellStart"/>
      <w:r w:rsidR="005D7008" w:rsidRPr="00F40242">
        <w:rPr>
          <w:sz w:val="26"/>
        </w:rPr>
        <w:t>Reverte</w:t>
      </w:r>
      <w:proofErr w:type="spellEnd"/>
      <w:r w:rsidR="003701F5" w:rsidRPr="00F40242">
        <w:rPr>
          <w:sz w:val="26"/>
        </w:rPr>
        <w:t>,</w:t>
      </w:r>
      <w:r w:rsidR="004A5701" w:rsidRPr="00F40242">
        <w:rPr>
          <w:sz w:val="26"/>
        </w:rPr>
        <w:t xml:space="preserve"> </w:t>
      </w:r>
      <w:r w:rsidR="003701F5" w:rsidRPr="00F40242">
        <w:rPr>
          <w:sz w:val="26"/>
        </w:rPr>
        <w:t>2</w:t>
      </w:r>
      <w:r w:rsidR="005D7008" w:rsidRPr="00F40242">
        <w:rPr>
          <w:sz w:val="26"/>
        </w:rPr>
        <w:t>009</w:t>
      </w:r>
      <w:r w:rsidR="004A5701" w:rsidRPr="00F40242">
        <w:rPr>
          <w:sz w:val="26"/>
        </w:rPr>
        <w:t>)</w:t>
      </w:r>
      <w:r w:rsidR="005D7008" w:rsidRPr="00F40242">
        <w:rPr>
          <w:sz w:val="26"/>
        </w:rPr>
        <w:t>. Our results are consisten</w:t>
      </w:r>
      <w:r w:rsidR="004A5701" w:rsidRPr="00F40242">
        <w:rPr>
          <w:sz w:val="26"/>
        </w:rPr>
        <w:t>t</w:t>
      </w:r>
      <w:r w:rsidR="005D7008" w:rsidRPr="00F40242">
        <w:rPr>
          <w:sz w:val="26"/>
        </w:rPr>
        <w:t xml:space="preserve"> with these studies. Although our results concur </w:t>
      </w:r>
      <w:r w:rsidR="004A5701" w:rsidRPr="00F40242">
        <w:rPr>
          <w:sz w:val="26"/>
        </w:rPr>
        <w:t xml:space="preserve">regarding the </w:t>
      </w:r>
      <w:r w:rsidR="005D7008" w:rsidRPr="00F40242">
        <w:rPr>
          <w:sz w:val="26"/>
        </w:rPr>
        <w:t xml:space="preserve">size effect, it appears </w:t>
      </w:r>
      <w:r w:rsidR="00FC2F97" w:rsidRPr="00F40242">
        <w:rPr>
          <w:sz w:val="26"/>
        </w:rPr>
        <w:t xml:space="preserve">that bigger Indian companies </w:t>
      </w:r>
      <w:r w:rsidR="00F74C25" w:rsidRPr="00F40242">
        <w:rPr>
          <w:sz w:val="26"/>
        </w:rPr>
        <w:t>do not use non-financial di</w:t>
      </w:r>
      <w:r w:rsidR="000B2FC4" w:rsidRPr="00F40242">
        <w:rPr>
          <w:sz w:val="26"/>
        </w:rPr>
        <w:t xml:space="preserve">sclosure as </w:t>
      </w:r>
      <w:r w:rsidR="004A5701" w:rsidRPr="00F40242">
        <w:rPr>
          <w:sz w:val="26"/>
        </w:rPr>
        <w:t xml:space="preserve">a </w:t>
      </w:r>
      <w:r w:rsidR="000B2FC4" w:rsidRPr="00F40242">
        <w:rPr>
          <w:sz w:val="26"/>
        </w:rPr>
        <w:t>legitimating mechanism.</w:t>
      </w:r>
      <w:r w:rsidR="00F74C25" w:rsidRPr="00F40242">
        <w:rPr>
          <w:sz w:val="26"/>
        </w:rPr>
        <w:t xml:space="preserve"> Our result </w:t>
      </w:r>
      <w:r w:rsidR="00C8160D" w:rsidRPr="00F40242">
        <w:rPr>
          <w:sz w:val="26"/>
        </w:rPr>
        <w:t xml:space="preserve">contradicts </w:t>
      </w:r>
      <w:r w:rsidR="004A5701" w:rsidRPr="00F40242">
        <w:rPr>
          <w:sz w:val="26"/>
        </w:rPr>
        <w:t xml:space="preserve">a </w:t>
      </w:r>
      <w:r w:rsidR="00F74C25" w:rsidRPr="00F40242">
        <w:rPr>
          <w:sz w:val="26"/>
        </w:rPr>
        <w:t>recent Indian study (</w:t>
      </w:r>
      <w:proofErr w:type="spellStart"/>
      <w:r w:rsidR="00F74C25" w:rsidRPr="00F40242">
        <w:rPr>
          <w:bCs/>
          <w:sz w:val="26"/>
        </w:rPr>
        <w:t>Kansal</w:t>
      </w:r>
      <w:proofErr w:type="spellEnd"/>
      <w:r w:rsidR="00F74C25" w:rsidRPr="00F40242">
        <w:rPr>
          <w:sz w:val="26"/>
        </w:rPr>
        <w:t xml:space="preserve"> </w:t>
      </w:r>
      <w:r w:rsidR="007736B1">
        <w:rPr>
          <w:sz w:val="26"/>
        </w:rPr>
        <w:t>et al.</w:t>
      </w:r>
      <w:r w:rsidR="003701F5" w:rsidRPr="00F40242">
        <w:rPr>
          <w:sz w:val="26"/>
        </w:rPr>
        <w:t>,</w:t>
      </w:r>
      <w:r w:rsidR="004A5701" w:rsidRPr="00F40242">
        <w:rPr>
          <w:sz w:val="26"/>
        </w:rPr>
        <w:t xml:space="preserve"> </w:t>
      </w:r>
      <w:r w:rsidR="003701F5" w:rsidRPr="00F40242">
        <w:rPr>
          <w:sz w:val="26"/>
        </w:rPr>
        <w:t>2</w:t>
      </w:r>
      <w:r w:rsidR="00F74C25" w:rsidRPr="00F40242">
        <w:rPr>
          <w:bCs/>
          <w:sz w:val="26"/>
        </w:rPr>
        <w:t>014)</w:t>
      </w:r>
      <w:r w:rsidR="004A5701" w:rsidRPr="00F40242">
        <w:rPr>
          <w:bCs/>
          <w:sz w:val="26"/>
        </w:rPr>
        <w:t>,</w:t>
      </w:r>
      <w:r w:rsidR="00F74C25" w:rsidRPr="00F40242">
        <w:rPr>
          <w:bCs/>
          <w:sz w:val="26"/>
        </w:rPr>
        <w:t xml:space="preserve"> which reported </w:t>
      </w:r>
      <w:r w:rsidR="004A5701" w:rsidRPr="00F40242">
        <w:rPr>
          <w:bCs/>
          <w:sz w:val="26"/>
        </w:rPr>
        <w:t xml:space="preserve">a </w:t>
      </w:r>
      <w:r w:rsidR="00F74C25" w:rsidRPr="00F40242">
        <w:rPr>
          <w:bCs/>
          <w:sz w:val="26"/>
        </w:rPr>
        <w:t xml:space="preserve">negative relationship </w:t>
      </w:r>
      <w:r w:rsidR="004A5701" w:rsidRPr="00F40242">
        <w:rPr>
          <w:bCs/>
          <w:sz w:val="26"/>
        </w:rPr>
        <w:t>between</w:t>
      </w:r>
      <w:r w:rsidR="00F74C25" w:rsidRPr="00F40242">
        <w:rPr>
          <w:bCs/>
          <w:sz w:val="26"/>
        </w:rPr>
        <w:t xml:space="preserve"> size and non-financial disclosure. </w:t>
      </w:r>
    </w:p>
    <w:p w14:paraId="61D060C7" w14:textId="57688B7D" w:rsidR="000C0FEA" w:rsidRPr="00F40242" w:rsidRDefault="00D84BEB" w:rsidP="000D5C8E">
      <w:pPr>
        <w:autoSpaceDE w:val="0"/>
        <w:autoSpaceDN w:val="0"/>
        <w:adjustRightInd w:val="0"/>
        <w:spacing w:line="360" w:lineRule="exact"/>
        <w:ind w:firstLineChars="200" w:firstLine="520"/>
        <w:jc w:val="both"/>
        <w:rPr>
          <w:sz w:val="26"/>
        </w:rPr>
      </w:pPr>
      <w:r w:rsidRPr="00F40242">
        <w:rPr>
          <w:sz w:val="26"/>
        </w:rPr>
        <w:t xml:space="preserve">Our result </w:t>
      </w:r>
      <w:r w:rsidRPr="00F40242">
        <w:rPr>
          <w:noProof/>
          <w:sz w:val="26"/>
        </w:rPr>
        <w:t>concur</w:t>
      </w:r>
      <w:r w:rsidR="00523E27" w:rsidRPr="00F40242">
        <w:rPr>
          <w:noProof/>
          <w:sz w:val="26"/>
        </w:rPr>
        <w:t>s</w:t>
      </w:r>
      <w:r w:rsidRPr="00F40242">
        <w:rPr>
          <w:sz w:val="26"/>
        </w:rPr>
        <w:t xml:space="preserve"> </w:t>
      </w:r>
      <w:r w:rsidR="004A5701" w:rsidRPr="00F40242">
        <w:rPr>
          <w:sz w:val="26"/>
        </w:rPr>
        <w:t xml:space="preserve">with </w:t>
      </w:r>
      <w:r w:rsidRPr="00F40242">
        <w:rPr>
          <w:sz w:val="26"/>
        </w:rPr>
        <w:t xml:space="preserve">the findings of </w:t>
      </w:r>
      <w:proofErr w:type="spellStart"/>
      <w:r w:rsidRPr="00F40242">
        <w:rPr>
          <w:sz w:val="26"/>
        </w:rPr>
        <w:t>Behram</w:t>
      </w:r>
      <w:proofErr w:type="spellEnd"/>
      <w:r w:rsidRPr="00F40242">
        <w:rPr>
          <w:sz w:val="26"/>
        </w:rPr>
        <w:t xml:space="preserve"> (2015), which fail to confirm legitimacy theory as an explicator of environmental disclosure in the Turkey case</w:t>
      </w:r>
      <w:r w:rsidR="004A5701" w:rsidRPr="00F40242">
        <w:rPr>
          <w:sz w:val="26"/>
        </w:rPr>
        <w:t xml:space="preserve">, </w:t>
      </w:r>
      <w:r w:rsidRPr="00F40242">
        <w:rPr>
          <w:sz w:val="26"/>
        </w:rPr>
        <w:t xml:space="preserve">and </w:t>
      </w:r>
      <w:proofErr w:type="spellStart"/>
      <w:r w:rsidRPr="00F40242">
        <w:rPr>
          <w:bCs/>
          <w:sz w:val="26"/>
        </w:rPr>
        <w:t>Omran</w:t>
      </w:r>
      <w:proofErr w:type="spellEnd"/>
      <w:r w:rsidRPr="00F40242">
        <w:rPr>
          <w:bCs/>
          <w:sz w:val="26"/>
        </w:rPr>
        <w:t xml:space="preserve"> and </w:t>
      </w:r>
      <w:proofErr w:type="spellStart"/>
      <w:r w:rsidRPr="00F40242">
        <w:rPr>
          <w:bCs/>
          <w:sz w:val="26"/>
        </w:rPr>
        <w:t>Ramdhony</w:t>
      </w:r>
      <w:proofErr w:type="spellEnd"/>
      <w:r w:rsidRPr="00F40242">
        <w:rPr>
          <w:b/>
          <w:bCs/>
          <w:sz w:val="26"/>
        </w:rPr>
        <w:t xml:space="preserve"> </w:t>
      </w:r>
      <w:r w:rsidRPr="00F40242">
        <w:rPr>
          <w:sz w:val="26"/>
        </w:rPr>
        <w:t xml:space="preserve">(2015), </w:t>
      </w:r>
      <w:r w:rsidR="004A5701" w:rsidRPr="00F40242">
        <w:rPr>
          <w:sz w:val="26"/>
        </w:rPr>
        <w:t xml:space="preserve">who </w:t>
      </w:r>
      <w:r w:rsidRPr="00F40242">
        <w:rPr>
          <w:sz w:val="26"/>
        </w:rPr>
        <w:t xml:space="preserve">commented that </w:t>
      </w:r>
      <w:r w:rsidR="00531484" w:rsidRPr="00F40242">
        <w:rPr>
          <w:sz w:val="26"/>
        </w:rPr>
        <w:t>l</w:t>
      </w:r>
      <w:r w:rsidRPr="00F40242">
        <w:rPr>
          <w:sz w:val="26"/>
        </w:rPr>
        <w:t xml:space="preserve">egitimacy theory seems to be more suitable for </w:t>
      </w:r>
      <w:r w:rsidRPr="00F40242">
        <w:rPr>
          <w:noProof/>
          <w:sz w:val="26"/>
        </w:rPr>
        <w:t>organi</w:t>
      </w:r>
      <w:r w:rsidR="00523E27" w:rsidRPr="00F40242">
        <w:rPr>
          <w:noProof/>
          <w:sz w:val="26"/>
        </w:rPr>
        <w:t>s</w:t>
      </w:r>
      <w:r w:rsidRPr="00F40242">
        <w:rPr>
          <w:noProof/>
          <w:sz w:val="26"/>
        </w:rPr>
        <w:t>ations</w:t>
      </w:r>
      <w:r w:rsidRPr="00F40242">
        <w:rPr>
          <w:sz w:val="26"/>
        </w:rPr>
        <w:t xml:space="preserve"> </w:t>
      </w:r>
      <w:r w:rsidR="00BE2D57" w:rsidRPr="00F40242">
        <w:rPr>
          <w:sz w:val="26"/>
        </w:rPr>
        <w:t xml:space="preserve">operating </w:t>
      </w:r>
      <w:r w:rsidRPr="00F40242">
        <w:rPr>
          <w:sz w:val="26"/>
        </w:rPr>
        <w:t xml:space="preserve">in developed </w:t>
      </w:r>
      <w:r w:rsidRPr="00F40242">
        <w:rPr>
          <w:noProof/>
          <w:sz w:val="26"/>
        </w:rPr>
        <w:t>countries</w:t>
      </w:r>
      <w:r w:rsidR="00523E27" w:rsidRPr="00F40242">
        <w:rPr>
          <w:noProof/>
          <w:sz w:val="26"/>
        </w:rPr>
        <w:t>,</w:t>
      </w:r>
      <w:r w:rsidRPr="00F40242">
        <w:rPr>
          <w:sz w:val="26"/>
        </w:rPr>
        <w:t xml:space="preserve"> not in developing countries</w:t>
      </w:r>
      <w:r w:rsidR="00BE2D57" w:rsidRPr="00F40242">
        <w:rPr>
          <w:sz w:val="26"/>
        </w:rPr>
        <w:t xml:space="preserve">. </w:t>
      </w:r>
      <w:r w:rsidR="000C0FEA" w:rsidRPr="00F40242">
        <w:rPr>
          <w:sz w:val="26"/>
        </w:rPr>
        <w:t>Other</w:t>
      </w:r>
      <w:r w:rsidR="007516EB" w:rsidRPr="00F40242">
        <w:rPr>
          <w:sz w:val="26"/>
        </w:rPr>
        <w:t xml:space="preserve"> authors </w:t>
      </w:r>
      <w:r w:rsidR="000C0FEA" w:rsidRPr="00F40242">
        <w:rPr>
          <w:sz w:val="26"/>
        </w:rPr>
        <w:t>(</w:t>
      </w:r>
      <w:proofErr w:type="spellStart"/>
      <w:r w:rsidR="000C0FEA" w:rsidRPr="00F40242">
        <w:rPr>
          <w:sz w:val="26"/>
        </w:rPr>
        <w:t>Belal</w:t>
      </w:r>
      <w:proofErr w:type="spellEnd"/>
      <w:r w:rsidR="004A5701" w:rsidRPr="00F40242">
        <w:rPr>
          <w:sz w:val="26"/>
        </w:rPr>
        <w:t xml:space="preserve"> </w:t>
      </w:r>
      <w:r w:rsidR="00EC7873" w:rsidRPr="00F40242">
        <w:rPr>
          <w:sz w:val="26"/>
        </w:rPr>
        <w:t>&amp;</w:t>
      </w:r>
      <w:r w:rsidR="004A5701" w:rsidRPr="00F40242">
        <w:rPr>
          <w:sz w:val="26"/>
        </w:rPr>
        <w:t xml:space="preserve"> </w:t>
      </w:r>
      <w:proofErr w:type="spellStart"/>
      <w:r w:rsidR="000C0FEA" w:rsidRPr="00F40242">
        <w:rPr>
          <w:sz w:val="26"/>
        </w:rPr>
        <w:t>Momin</w:t>
      </w:r>
      <w:proofErr w:type="spellEnd"/>
      <w:r w:rsidR="003701F5" w:rsidRPr="00F40242">
        <w:rPr>
          <w:sz w:val="26"/>
        </w:rPr>
        <w:t>,</w:t>
      </w:r>
      <w:r w:rsidR="004A5701" w:rsidRPr="00F40242">
        <w:rPr>
          <w:sz w:val="26"/>
        </w:rPr>
        <w:t xml:space="preserve"> </w:t>
      </w:r>
      <w:r w:rsidR="003701F5" w:rsidRPr="00F40242">
        <w:rPr>
          <w:sz w:val="26"/>
        </w:rPr>
        <w:t>2</w:t>
      </w:r>
      <w:r w:rsidR="000C0FEA" w:rsidRPr="00F40242">
        <w:rPr>
          <w:sz w:val="26"/>
        </w:rPr>
        <w:t xml:space="preserve">009; </w:t>
      </w:r>
      <w:proofErr w:type="spellStart"/>
      <w:r w:rsidR="000C0FEA" w:rsidRPr="00F40242">
        <w:rPr>
          <w:sz w:val="26"/>
        </w:rPr>
        <w:t>Jamali</w:t>
      </w:r>
      <w:proofErr w:type="spellEnd"/>
      <w:r w:rsidR="004A5701" w:rsidRPr="00F40242">
        <w:rPr>
          <w:sz w:val="26"/>
        </w:rPr>
        <w:t xml:space="preserve"> </w:t>
      </w:r>
      <w:r w:rsidR="00EC7873" w:rsidRPr="00F40242">
        <w:rPr>
          <w:sz w:val="26"/>
        </w:rPr>
        <w:t>&amp;</w:t>
      </w:r>
      <w:r w:rsidR="004A5701" w:rsidRPr="00F40242">
        <w:rPr>
          <w:sz w:val="26"/>
        </w:rPr>
        <w:t xml:space="preserve"> </w:t>
      </w:r>
      <w:proofErr w:type="spellStart"/>
      <w:r w:rsidR="000C0FEA" w:rsidRPr="00F40242">
        <w:rPr>
          <w:sz w:val="26"/>
        </w:rPr>
        <w:t>Mirshak</w:t>
      </w:r>
      <w:proofErr w:type="spellEnd"/>
      <w:r w:rsidR="003701F5" w:rsidRPr="00F40242">
        <w:rPr>
          <w:sz w:val="26"/>
        </w:rPr>
        <w:t>,</w:t>
      </w:r>
      <w:r w:rsidR="004A5701" w:rsidRPr="00F40242">
        <w:rPr>
          <w:sz w:val="26"/>
        </w:rPr>
        <w:t xml:space="preserve"> </w:t>
      </w:r>
      <w:r w:rsidR="003701F5" w:rsidRPr="00F40242">
        <w:rPr>
          <w:sz w:val="26"/>
        </w:rPr>
        <w:t>2</w:t>
      </w:r>
      <w:r w:rsidR="000C0FEA" w:rsidRPr="00F40242">
        <w:rPr>
          <w:sz w:val="26"/>
        </w:rPr>
        <w:t xml:space="preserve">007) </w:t>
      </w:r>
      <w:r w:rsidR="004A5701" w:rsidRPr="00F40242">
        <w:rPr>
          <w:sz w:val="26"/>
        </w:rPr>
        <w:t xml:space="preserve">have </w:t>
      </w:r>
      <w:r w:rsidR="000C0FEA" w:rsidRPr="00F40242">
        <w:rPr>
          <w:sz w:val="26"/>
        </w:rPr>
        <w:t>also</w:t>
      </w:r>
      <w:r w:rsidR="007516EB" w:rsidRPr="00F40242">
        <w:rPr>
          <w:sz w:val="26"/>
        </w:rPr>
        <w:t xml:space="preserve"> argued that </w:t>
      </w:r>
      <w:r w:rsidR="000C0FEA" w:rsidRPr="00F40242">
        <w:rPr>
          <w:sz w:val="26"/>
        </w:rPr>
        <w:t xml:space="preserve">there is a lack of consensus </w:t>
      </w:r>
      <w:r w:rsidR="004A5701" w:rsidRPr="00F40242">
        <w:rPr>
          <w:sz w:val="26"/>
        </w:rPr>
        <w:t xml:space="preserve">regarding </w:t>
      </w:r>
      <w:r w:rsidR="000C0FEA" w:rsidRPr="00F40242">
        <w:rPr>
          <w:sz w:val="26"/>
        </w:rPr>
        <w:t xml:space="preserve">whether legitimacy can provide an inclusive explanation of SED, particularly in developing countries—where there is a dearth of empirical evidence. </w:t>
      </w:r>
    </w:p>
    <w:p w14:paraId="1BDE0178" w14:textId="0484AA71" w:rsidR="00FC2F97" w:rsidRPr="00F40242" w:rsidRDefault="00FE2E7D" w:rsidP="000D5C8E">
      <w:pPr>
        <w:autoSpaceDE w:val="0"/>
        <w:autoSpaceDN w:val="0"/>
        <w:adjustRightInd w:val="0"/>
        <w:spacing w:line="360" w:lineRule="exact"/>
        <w:ind w:firstLineChars="200" w:firstLine="520"/>
        <w:jc w:val="both"/>
        <w:rPr>
          <w:sz w:val="26"/>
        </w:rPr>
      </w:pPr>
      <w:r w:rsidRPr="00F40242">
        <w:rPr>
          <w:sz w:val="26"/>
        </w:rPr>
        <w:t>O</w:t>
      </w:r>
      <w:r w:rsidR="00A13B13" w:rsidRPr="00F40242">
        <w:rPr>
          <w:sz w:val="26"/>
        </w:rPr>
        <w:t>ur result</w:t>
      </w:r>
      <w:r w:rsidR="00FC2F97" w:rsidRPr="00F40242">
        <w:rPr>
          <w:sz w:val="26"/>
        </w:rPr>
        <w:t xml:space="preserve">s and </w:t>
      </w:r>
      <w:r w:rsidR="004A5701" w:rsidRPr="00F40242">
        <w:rPr>
          <w:sz w:val="26"/>
        </w:rPr>
        <w:t>the reviewed</w:t>
      </w:r>
      <w:r w:rsidR="00A13B13" w:rsidRPr="00F40242">
        <w:rPr>
          <w:sz w:val="26"/>
        </w:rPr>
        <w:t xml:space="preserve"> literature</w:t>
      </w:r>
      <w:r w:rsidRPr="00F40242">
        <w:rPr>
          <w:sz w:val="26"/>
        </w:rPr>
        <w:t xml:space="preserve"> suggest that legitimacy theory alone cannot provide</w:t>
      </w:r>
      <w:r w:rsidR="00523E27" w:rsidRPr="00F40242">
        <w:rPr>
          <w:sz w:val="26"/>
        </w:rPr>
        <w:t xml:space="preserve"> an</w:t>
      </w:r>
      <w:r w:rsidRPr="00F40242">
        <w:rPr>
          <w:sz w:val="26"/>
        </w:rPr>
        <w:t xml:space="preserve"> </w:t>
      </w:r>
      <w:r w:rsidRPr="00F40242">
        <w:rPr>
          <w:noProof/>
          <w:sz w:val="26"/>
        </w:rPr>
        <w:t>inclusive</w:t>
      </w:r>
      <w:r w:rsidRPr="00F40242">
        <w:rPr>
          <w:sz w:val="26"/>
        </w:rPr>
        <w:t xml:space="preserve"> explanation of SED in developing countr</w:t>
      </w:r>
      <w:r w:rsidR="004A5701" w:rsidRPr="00F40242">
        <w:rPr>
          <w:sz w:val="26"/>
        </w:rPr>
        <w:t>ies</w:t>
      </w:r>
      <w:r w:rsidRPr="00F40242">
        <w:rPr>
          <w:sz w:val="26"/>
        </w:rPr>
        <w:t xml:space="preserve">. </w:t>
      </w:r>
      <w:r w:rsidR="004A5701" w:rsidRPr="00F40242">
        <w:rPr>
          <w:sz w:val="26"/>
        </w:rPr>
        <w:t>One determinant of</w:t>
      </w:r>
      <w:r w:rsidRPr="00F40242">
        <w:rPr>
          <w:sz w:val="26"/>
        </w:rPr>
        <w:t xml:space="preserve"> SED in developing countries could be </w:t>
      </w:r>
      <w:r w:rsidRPr="00F40242">
        <w:rPr>
          <w:sz w:val="26"/>
          <w:lang w:val="en-GB"/>
        </w:rPr>
        <w:t>economic security</w:t>
      </w:r>
      <w:r w:rsidR="007516EB" w:rsidRPr="00F40242">
        <w:rPr>
          <w:sz w:val="26"/>
        </w:rPr>
        <w:t xml:space="preserve"> </w:t>
      </w:r>
      <w:r w:rsidRPr="00F40242">
        <w:rPr>
          <w:sz w:val="26"/>
        </w:rPr>
        <w:t>(Renaud et al.</w:t>
      </w:r>
      <w:r w:rsidR="003701F5" w:rsidRPr="00F40242">
        <w:rPr>
          <w:sz w:val="26"/>
        </w:rPr>
        <w:t>,</w:t>
      </w:r>
      <w:r w:rsidR="004A5701" w:rsidRPr="00F40242">
        <w:rPr>
          <w:sz w:val="26"/>
        </w:rPr>
        <w:t xml:space="preserve"> </w:t>
      </w:r>
      <w:r w:rsidR="003701F5" w:rsidRPr="00F40242">
        <w:rPr>
          <w:sz w:val="26"/>
        </w:rPr>
        <w:t>2</w:t>
      </w:r>
      <w:r w:rsidRPr="00F40242">
        <w:rPr>
          <w:sz w:val="26"/>
        </w:rPr>
        <w:t>008)</w:t>
      </w:r>
      <w:r w:rsidR="00372C65" w:rsidRPr="00F40242">
        <w:rPr>
          <w:sz w:val="26"/>
        </w:rPr>
        <w:t>.</w:t>
      </w:r>
      <w:r w:rsidRPr="00F40242">
        <w:rPr>
          <w:sz w:val="26"/>
        </w:rPr>
        <w:t xml:space="preserve"> </w:t>
      </w:r>
      <w:r w:rsidR="00372C65" w:rsidRPr="00F40242">
        <w:rPr>
          <w:sz w:val="26"/>
        </w:rPr>
        <w:t xml:space="preserve">Different stages of economic development demand different </w:t>
      </w:r>
      <w:r w:rsidR="004A5701" w:rsidRPr="00F40242">
        <w:rPr>
          <w:sz w:val="26"/>
        </w:rPr>
        <w:t xml:space="preserve">types of </w:t>
      </w:r>
      <w:r w:rsidR="00372C65" w:rsidRPr="00F40242">
        <w:rPr>
          <w:sz w:val="26"/>
        </w:rPr>
        <w:t xml:space="preserve">national concern </w:t>
      </w:r>
      <w:r w:rsidR="004A5701" w:rsidRPr="00F40242">
        <w:rPr>
          <w:sz w:val="26"/>
        </w:rPr>
        <w:t xml:space="preserve">regarding </w:t>
      </w:r>
      <w:r w:rsidR="00372C65" w:rsidRPr="00F40242">
        <w:rPr>
          <w:sz w:val="26"/>
        </w:rPr>
        <w:t>social and environmental issues and thus demand different types</w:t>
      </w:r>
      <w:r w:rsidR="00A5041B" w:rsidRPr="00F40242">
        <w:rPr>
          <w:sz w:val="26"/>
        </w:rPr>
        <w:t xml:space="preserve"> or </w:t>
      </w:r>
      <w:r w:rsidR="00372C65" w:rsidRPr="00F40242">
        <w:rPr>
          <w:sz w:val="26"/>
        </w:rPr>
        <w:t xml:space="preserve">levels of corporate SED (Xiao et </w:t>
      </w:r>
      <w:r w:rsidR="00A5041B" w:rsidRPr="00F40242">
        <w:rPr>
          <w:sz w:val="26"/>
        </w:rPr>
        <w:t>a</w:t>
      </w:r>
      <w:r w:rsidR="00372C65" w:rsidRPr="00F40242">
        <w:rPr>
          <w:sz w:val="26"/>
        </w:rPr>
        <w:t>l.</w:t>
      </w:r>
      <w:r w:rsidR="003701F5" w:rsidRPr="00F40242">
        <w:rPr>
          <w:sz w:val="26"/>
        </w:rPr>
        <w:t>,</w:t>
      </w:r>
      <w:r w:rsidR="00A5041B" w:rsidRPr="00F40242">
        <w:rPr>
          <w:sz w:val="26"/>
        </w:rPr>
        <w:t xml:space="preserve"> </w:t>
      </w:r>
      <w:r w:rsidR="003701F5" w:rsidRPr="00F40242">
        <w:rPr>
          <w:sz w:val="26"/>
        </w:rPr>
        <w:t>2</w:t>
      </w:r>
      <w:r w:rsidR="00372C65" w:rsidRPr="00F40242">
        <w:rPr>
          <w:sz w:val="26"/>
        </w:rPr>
        <w:t xml:space="preserve">005). Examining the social reporting in the Arab Middle East (AME) region, </w:t>
      </w:r>
      <w:proofErr w:type="spellStart"/>
      <w:r w:rsidR="00372C65" w:rsidRPr="00F40242">
        <w:rPr>
          <w:sz w:val="26"/>
        </w:rPr>
        <w:t>Kamla</w:t>
      </w:r>
      <w:proofErr w:type="spellEnd"/>
      <w:r w:rsidR="00372C65" w:rsidRPr="00F40242">
        <w:rPr>
          <w:sz w:val="26"/>
        </w:rPr>
        <w:t xml:space="preserve"> (2007) concluded that the differences were due to each economy’s social priorities. For Williams and Pei (1999), the differences in SED </w:t>
      </w:r>
      <w:r w:rsidR="00A5041B" w:rsidRPr="00F40242">
        <w:rPr>
          <w:sz w:val="26"/>
        </w:rPr>
        <w:t xml:space="preserve">were </w:t>
      </w:r>
      <w:r w:rsidR="00372C65" w:rsidRPr="00F40242">
        <w:rPr>
          <w:sz w:val="26"/>
        </w:rPr>
        <w:t>due to</w:t>
      </w:r>
      <w:r w:rsidR="00372C65" w:rsidRPr="00F40242">
        <w:rPr>
          <w:sz w:val="26"/>
          <w:lang w:val="en-GB"/>
        </w:rPr>
        <w:t xml:space="preserve"> technological development.</w:t>
      </w:r>
      <w:r w:rsidR="00372C65" w:rsidRPr="00F40242">
        <w:rPr>
          <w:sz w:val="26"/>
        </w:rPr>
        <w:t xml:space="preserve"> Arguably, more social and environmental information can be disclosed via </w:t>
      </w:r>
      <w:r w:rsidR="00372C65" w:rsidRPr="00F40242">
        <w:rPr>
          <w:noProof/>
          <w:sz w:val="26"/>
        </w:rPr>
        <w:t>websites</w:t>
      </w:r>
      <w:r w:rsidR="00372C65" w:rsidRPr="00F40242">
        <w:rPr>
          <w:sz w:val="26"/>
        </w:rPr>
        <w:t xml:space="preserve"> if there </w:t>
      </w:r>
      <w:r w:rsidR="00523E27" w:rsidRPr="00F40242">
        <w:rPr>
          <w:noProof/>
          <w:sz w:val="26"/>
        </w:rPr>
        <w:t>are</w:t>
      </w:r>
      <w:r w:rsidR="00372C65" w:rsidRPr="00F40242">
        <w:rPr>
          <w:sz w:val="26"/>
        </w:rPr>
        <w:t xml:space="preserve"> sufficient investments in internet technologies. However, institutional settings, such as those in developing countries, could serve as a barrier </w:t>
      </w:r>
      <w:r w:rsidR="00A5041B" w:rsidRPr="00F40242">
        <w:rPr>
          <w:sz w:val="26"/>
        </w:rPr>
        <w:t xml:space="preserve">to </w:t>
      </w:r>
      <w:r w:rsidR="00372C65" w:rsidRPr="00F40242">
        <w:rPr>
          <w:sz w:val="26"/>
        </w:rPr>
        <w:t>SED. Importantly, India is starting to place greater emphasis on electronic business and communication</w:t>
      </w:r>
      <w:r w:rsidR="00A5041B" w:rsidRPr="00F40242">
        <w:rPr>
          <w:sz w:val="26"/>
        </w:rPr>
        <w:t>;</w:t>
      </w:r>
      <w:r w:rsidR="00372C65" w:rsidRPr="00F40242">
        <w:rPr>
          <w:sz w:val="26"/>
        </w:rPr>
        <w:t xml:space="preserve"> as such</w:t>
      </w:r>
      <w:r w:rsidR="00A5041B" w:rsidRPr="00F40242">
        <w:rPr>
          <w:sz w:val="26"/>
        </w:rPr>
        <w:t>,</w:t>
      </w:r>
      <w:r w:rsidR="00372C65" w:rsidRPr="00F40242">
        <w:rPr>
          <w:sz w:val="26"/>
        </w:rPr>
        <w:t xml:space="preserve"> SED is becoming increasingly important, but </w:t>
      </w:r>
      <w:r w:rsidR="00A5041B" w:rsidRPr="00F40242">
        <w:rPr>
          <w:sz w:val="26"/>
        </w:rPr>
        <w:t>it is still in</w:t>
      </w:r>
      <w:r w:rsidR="00372C65" w:rsidRPr="00F40242">
        <w:rPr>
          <w:sz w:val="26"/>
        </w:rPr>
        <w:t xml:space="preserve"> its infancy. Corporate social and environmental activities </w:t>
      </w:r>
      <w:r w:rsidR="00372C65" w:rsidRPr="00F40242">
        <w:rPr>
          <w:noProof/>
          <w:sz w:val="26"/>
        </w:rPr>
        <w:t>are actively watched</w:t>
      </w:r>
      <w:r w:rsidR="00372C65" w:rsidRPr="00F40242">
        <w:rPr>
          <w:sz w:val="26"/>
        </w:rPr>
        <w:t xml:space="preserve"> by </w:t>
      </w:r>
      <w:r w:rsidR="00372C65" w:rsidRPr="00F40242">
        <w:rPr>
          <w:noProof/>
          <w:sz w:val="26"/>
        </w:rPr>
        <w:t>organi</w:t>
      </w:r>
      <w:r w:rsidR="00523E27" w:rsidRPr="00F40242">
        <w:rPr>
          <w:noProof/>
          <w:sz w:val="26"/>
        </w:rPr>
        <w:t>s</w:t>
      </w:r>
      <w:r w:rsidR="00372C65" w:rsidRPr="00F40242">
        <w:rPr>
          <w:noProof/>
          <w:sz w:val="26"/>
        </w:rPr>
        <w:t>ations</w:t>
      </w:r>
      <w:r w:rsidR="00372C65" w:rsidRPr="00F40242">
        <w:rPr>
          <w:sz w:val="26"/>
        </w:rPr>
        <w:t xml:space="preserve"> such as Greenpeace and Friends of the Earth in developed countries. </w:t>
      </w:r>
      <w:r w:rsidR="00A5041B" w:rsidRPr="00F40242">
        <w:rPr>
          <w:sz w:val="26"/>
        </w:rPr>
        <w:t xml:space="preserve">However, </w:t>
      </w:r>
      <w:r w:rsidR="00372C65" w:rsidRPr="00F40242">
        <w:rPr>
          <w:sz w:val="26"/>
        </w:rPr>
        <w:t xml:space="preserve">similar </w:t>
      </w:r>
      <w:r w:rsidR="00372C65" w:rsidRPr="00F40242">
        <w:rPr>
          <w:noProof/>
          <w:sz w:val="26"/>
        </w:rPr>
        <w:t>organi</w:t>
      </w:r>
      <w:r w:rsidR="00523E27" w:rsidRPr="00F40242">
        <w:rPr>
          <w:noProof/>
          <w:sz w:val="26"/>
        </w:rPr>
        <w:t>s</w:t>
      </w:r>
      <w:r w:rsidR="00372C65" w:rsidRPr="00F40242">
        <w:rPr>
          <w:noProof/>
          <w:sz w:val="26"/>
        </w:rPr>
        <w:t>ations</w:t>
      </w:r>
      <w:r w:rsidR="00372C65" w:rsidRPr="00F40242">
        <w:rPr>
          <w:sz w:val="26"/>
        </w:rPr>
        <w:t xml:space="preserve"> are very limited in developing countries. </w:t>
      </w:r>
      <w:r w:rsidR="00A5041B" w:rsidRPr="00F40242">
        <w:rPr>
          <w:sz w:val="26"/>
        </w:rPr>
        <w:t>When they are present, they are likely to be</w:t>
      </w:r>
      <w:r w:rsidR="00372C65" w:rsidRPr="00F40242">
        <w:rPr>
          <w:sz w:val="26"/>
        </w:rPr>
        <w:t xml:space="preserve"> from developed countries and </w:t>
      </w:r>
      <w:r w:rsidR="00A5041B" w:rsidRPr="00F40242">
        <w:rPr>
          <w:sz w:val="26"/>
        </w:rPr>
        <w:t xml:space="preserve">to be </w:t>
      </w:r>
      <w:r w:rsidR="00372C65" w:rsidRPr="00F40242">
        <w:rPr>
          <w:sz w:val="26"/>
        </w:rPr>
        <w:t xml:space="preserve">less active in developing countries. Moreover, corporate social and environmental issues attract less attention in developing countries. </w:t>
      </w:r>
      <w:r w:rsidR="00FC2F97" w:rsidRPr="00F40242">
        <w:rPr>
          <w:sz w:val="26"/>
        </w:rPr>
        <w:t xml:space="preserve">The above discussion </w:t>
      </w:r>
      <w:r w:rsidR="00FC2F97" w:rsidRPr="00F40242">
        <w:rPr>
          <w:noProof/>
          <w:sz w:val="26"/>
        </w:rPr>
        <w:t>suggest</w:t>
      </w:r>
      <w:r w:rsidR="00CD711D" w:rsidRPr="00F40242">
        <w:rPr>
          <w:noProof/>
          <w:sz w:val="26"/>
        </w:rPr>
        <w:t>s</w:t>
      </w:r>
      <w:r w:rsidR="00FC2F97" w:rsidRPr="00F40242">
        <w:rPr>
          <w:sz w:val="26"/>
        </w:rPr>
        <w:t xml:space="preserve"> that national culture and the regulatory arrangement shape the overall non-financial </w:t>
      </w:r>
      <w:r w:rsidR="00FC2F97" w:rsidRPr="00F40242">
        <w:rPr>
          <w:sz w:val="26"/>
        </w:rPr>
        <w:lastRenderedPageBreak/>
        <w:t xml:space="preserve">disclosure setting in the developing </w:t>
      </w:r>
      <w:r w:rsidR="00FC2F97" w:rsidRPr="00F40242">
        <w:rPr>
          <w:noProof/>
          <w:sz w:val="26"/>
        </w:rPr>
        <w:t>count</w:t>
      </w:r>
      <w:r w:rsidR="00CD711D" w:rsidRPr="00F40242">
        <w:rPr>
          <w:noProof/>
          <w:sz w:val="26"/>
        </w:rPr>
        <w:t>r</w:t>
      </w:r>
      <w:r w:rsidR="00FC2F97" w:rsidRPr="00F40242">
        <w:rPr>
          <w:noProof/>
          <w:sz w:val="26"/>
        </w:rPr>
        <w:t>ies</w:t>
      </w:r>
      <w:r w:rsidR="00FC2F97" w:rsidRPr="00F40242">
        <w:rPr>
          <w:sz w:val="26"/>
        </w:rPr>
        <w:t xml:space="preserve">, which in turn will </w:t>
      </w:r>
      <w:r w:rsidR="00A5041B" w:rsidRPr="00F40242">
        <w:rPr>
          <w:sz w:val="26"/>
        </w:rPr>
        <w:t>affect</w:t>
      </w:r>
      <w:r w:rsidR="00FC2F97" w:rsidRPr="00F40242">
        <w:rPr>
          <w:sz w:val="26"/>
        </w:rPr>
        <w:t xml:space="preserve"> corporate social and environmental practice at the firm level.</w:t>
      </w:r>
    </w:p>
    <w:p w14:paraId="6A78C868" w14:textId="24B997AA" w:rsidR="000B2FC4" w:rsidRDefault="00A5041B" w:rsidP="000D5C8E">
      <w:pPr>
        <w:autoSpaceDE w:val="0"/>
        <w:autoSpaceDN w:val="0"/>
        <w:adjustRightInd w:val="0"/>
        <w:spacing w:line="360" w:lineRule="exact"/>
        <w:ind w:firstLineChars="200" w:firstLine="520"/>
        <w:jc w:val="both"/>
        <w:rPr>
          <w:sz w:val="26"/>
          <w:lang w:val="en-GB"/>
        </w:rPr>
      </w:pPr>
      <w:r w:rsidRPr="00F40242">
        <w:rPr>
          <w:sz w:val="26"/>
        </w:rPr>
        <w:t>It is increasingly necessary to embed</w:t>
      </w:r>
      <w:r w:rsidR="00991717" w:rsidRPr="00F40242">
        <w:rPr>
          <w:sz w:val="26"/>
        </w:rPr>
        <w:t xml:space="preserve"> CSR norms within the procurement and supply chain practices of companies and </w:t>
      </w:r>
      <w:r w:rsidRPr="00F40242">
        <w:rPr>
          <w:sz w:val="26"/>
        </w:rPr>
        <w:t>to adopt</w:t>
      </w:r>
      <w:r w:rsidR="00991717" w:rsidRPr="00F40242">
        <w:rPr>
          <w:sz w:val="26"/>
        </w:rPr>
        <w:t xml:space="preserve"> international benchmarks </w:t>
      </w:r>
      <w:r w:rsidRPr="00F40242">
        <w:rPr>
          <w:sz w:val="26"/>
        </w:rPr>
        <w:t>in order</w:t>
      </w:r>
      <w:r w:rsidR="00991717" w:rsidRPr="00F40242">
        <w:rPr>
          <w:sz w:val="26"/>
        </w:rPr>
        <w:t xml:space="preserve"> to export goods to countries </w:t>
      </w:r>
      <w:r w:rsidRPr="00F40242">
        <w:rPr>
          <w:sz w:val="26"/>
        </w:rPr>
        <w:t xml:space="preserve">that </w:t>
      </w:r>
      <w:r w:rsidR="00054C05" w:rsidRPr="00F40242">
        <w:rPr>
          <w:sz w:val="26"/>
        </w:rPr>
        <w:t>accommodate</w:t>
      </w:r>
      <w:r w:rsidR="00991717" w:rsidRPr="00F40242">
        <w:rPr>
          <w:sz w:val="26"/>
        </w:rPr>
        <w:t xml:space="preserve"> sustainable practices. </w:t>
      </w:r>
      <w:r w:rsidRPr="00F40242">
        <w:rPr>
          <w:sz w:val="26"/>
        </w:rPr>
        <w:t xml:space="preserve">Thus, </w:t>
      </w:r>
      <w:r w:rsidR="000B2FC4" w:rsidRPr="00F40242">
        <w:rPr>
          <w:sz w:val="26"/>
        </w:rPr>
        <w:t xml:space="preserve">the general expectation is that more international experience will increase SED.  </w:t>
      </w:r>
      <w:r w:rsidRPr="00F40242">
        <w:rPr>
          <w:sz w:val="26"/>
        </w:rPr>
        <w:t xml:space="preserve">However, </w:t>
      </w:r>
      <w:r w:rsidR="000B2FC4" w:rsidRPr="00F40242">
        <w:rPr>
          <w:sz w:val="26"/>
        </w:rPr>
        <w:t xml:space="preserve">our result </w:t>
      </w:r>
      <w:r w:rsidR="00372C65" w:rsidRPr="00F40242">
        <w:rPr>
          <w:sz w:val="26"/>
        </w:rPr>
        <w:t xml:space="preserve">showed a </w:t>
      </w:r>
      <w:r w:rsidR="00C8160D" w:rsidRPr="00F40242">
        <w:rPr>
          <w:sz w:val="26"/>
        </w:rPr>
        <w:t>non-significant</w:t>
      </w:r>
      <w:r w:rsidR="00372C65" w:rsidRPr="00F40242">
        <w:rPr>
          <w:sz w:val="26"/>
        </w:rPr>
        <w:t xml:space="preserve"> association</w:t>
      </w:r>
      <w:r w:rsidR="00C8160D" w:rsidRPr="00F40242">
        <w:rPr>
          <w:sz w:val="26"/>
        </w:rPr>
        <w:t xml:space="preserve"> between international experience and social disclosure</w:t>
      </w:r>
      <w:r w:rsidRPr="00F40242">
        <w:rPr>
          <w:sz w:val="26"/>
        </w:rPr>
        <w:t>,</w:t>
      </w:r>
      <w:r w:rsidR="000B2FC4" w:rsidRPr="00F40242">
        <w:rPr>
          <w:sz w:val="26"/>
        </w:rPr>
        <w:t xml:space="preserve"> indicat</w:t>
      </w:r>
      <w:r w:rsidR="00372C65" w:rsidRPr="00F40242">
        <w:rPr>
          <w:sz w:val="26"/>
        </w:rPr>
        <w:t>ing</w:t>
      </w:r>
      <w:r w:rsidR="000B2FC4" w:rsidRPr="00F40242">
        <w:rPr>
          <w:sz w:val="26"/>
        </w:rPr>
        <w:t xml:space="preserve"> again that legitimacy needs to be placed in its national context</w:t>
      </w:r>
      <w:r w:rsidRPr="00F40242">
        <w:rPr>
          <w:sz w:val="26"/>
        </w:rPr>
        <w:t>; that is, the developed economy norms cannot be simply taken for granted</w:t>
      </w:r>
      <w:r w:rsidR="000B2FC4" w:rsidRPr="00F40242">
        <w:rPr>
          <w:sz w:val="26"/>
        </w:rPr>
        <w:t xml:space="preserve">. </w:t>
      </w:r>
      <w:r w:rsidR="00A126EE" w:rsidRPr="00F40242">
        <w:rPr>
          <w:sz w:val="26"/>
        </w:rPr>
        <w:t xml:space="preserve">The results indicated that Indian companies are not </w:t>
      </w:r>
      <w:r w:rsidR="00A126EE" w:rsidRPr="00F40242">
        <w:rPr>
          <w:noProof/>
          <w:sz w:val="26"/>
        </w:rPr>
        <w:t>export</w:t>
      </w:r>
      <w:r w:rsidR="00FB3869" w:rsidRPr="00F40242">
        <w:rPr>
          <w:noProof/>
          <w:sz w:val="26"/>
        </w:rPr>
        <w:t>-</w:t>
      </w:r>
      <w:r w:rsidR="00A126EE" w:rsidRPr="00F40242">
        <w:rPr>
          <w:noProof/>
          <w:sz w:val="26"/>
        </w:rPr>
        <w:t>oriented</w:t>
      </w:r>
      <w:r w:rsidRPr="00F40242">
        <w:rPr>
          <w:sz w:val="26"/>
        </w:rPr>
        <w:t>;</w:t>
      </w:r>
      <w:r w:rsidR="00A126EE" w:rsidRPr="00F40242">
        <w:rPr>
          <w:sz w:val="26"/>
        </w:rPr>
        <w:t xml:space="preserve"> their </w:t>
      </w:r>
      <w:r w:rsidR="00054C05">
        <w:rPr>
          <w:sz w:val="26"/>
        </w:rPr>
        <w:t>focus</w:t>
      </w:r>
      <w:r w:rsidR="00A126EE" w:rsidRPr="00F40242">
        <w:rPr>
          <w:sz w:val="26"/>
        </w:rPr>
        <w:t xml:space="preserve"> was domestic consumption (average 85%). Although </w:t>
      </w:r>
      <w:r w:rsidRPr="00F40242">
        <w:rPr>
          <w:sz w:val="26"/>
        </w:rPr>
        <w:t xml:space="preserve">the </w:t>
      </w:r>
      <w:r w:rsidR="00A126EE" w:rsidRPr="00F40242">
        <w:rPr>
          <w:sz w:val="26"/>
        </w:rPr>
        <w:t>Indian government is encouraging more and more international expos</w:t>
      </w:r>
      <w:r w:rsidRPr="00F40242">
        <w:rPr>
          <w:sz w:val="26"/>
        </w:rPr>
        <w:t>ur</w:t>
      </w:r>
      <w:r w:rsidR="00A126EE" w:rsidRPr="00F40242">
        <w:rPr>
          <w:sz w:val="26"/>
        </w:rPr>
        <w:t xml:space="preserve">e </w:t>
      </w:r>
      <w:r w:rsidRPr="00F40242">
        <w:rPr>
          <w:sz w:val="26"/>
        </w:rPr>
        <w:t xml:space="preserve">of </w:t>
      </w:r>
      <w:r w:rsidR="00A126EE" w:rsidRPr="00F40242">
        <w:rPr>
          <w:sz w:val="26"/>
        </w:rPr>
        <w:t>and export</w:t>
      </w:r>
      <w:r w:rsidRPr="00F40242">
        <w:rPr>
          <w:sz w:val="26"/>
        </w:rPr>
        <w:t>s</w:t>
      </w:r>
      <w:r w:rsidR="00A126EE" w:rsidRPr="00F40242">
        <w:rPr>
          <w:sz w:val="26"/>
        </w:rPr>
        <w:t xml:space="preserve"> </w:t>
      </w:r>
      <w:r w:rsidRPr="00F40242">
        <w:rPr>
          <w:sz w:val="26"/>
        </w:rPr>
        <w:t xml:space="preserve">from </w:t>
      </w:r>
      <w:r w:rsidR="00A126EE" w:rsidRPr="00F40242">
        <w:rPr>
          <w:sz w:val="26"/>
        </w:rPr>
        <w:t>the Indian companies</w:t>
      </w:r>
      <w:r w:rsidR="00766D2B" w:rsidRPr="00F40242">
        <w:rPr>
          <w:sz w:val="26"/>
        </w:rPr>
        <w:t xml:space="preserve"> (export</w:t>
      </w:r>
      <w:r w:rsidRPr="00F40242">
        <w:rPr>
          <w:sz w:val="26"/>
        </w:rPr>
        <w:t>s</w:t>
      </w:r>
      <w:r w:rsidR="00766D2B" w:rsidRPr="00F40242">
        <w:rPr>
          <w:sz w:val="26"/>
        </w:rPr>
        <w:t xml:space="preserve"> increased marginally </w:t>
      </w:r>
      <w:r w:rsidRPr="00F40242">
        <w:rPr>
          <w:sz w:val="26"/>
        </w:rPr>
        <w:t xml:space="preserve">from </w:t>
      </w:r>
      <w:r w:rsidR="00766D2B" w:rsidRPr="00F40242">
        <w:rPr>
          <w:sz w:val="26"/>
        </w:rPr>
        <w:t>2006 to 2012)</w:t>
      </w:r>
      <w:r w:rsidRPr="00F40242">
        <w:rPr>
          <w:sz w:val="26"/>
        </w:rPr>
        <w:t>, they are still focusing</w:t>
      </w:r>
      <w:r w:rsidR="00A126EE" w:rsidRPr="00F40242">
        <w:rPr>
          <w:sz w:val="26"/>
        </w:rPr>
        <w:t xml:space="preserve"> mainly on the domestic market. </w:t>
      </w:r>
      <w:r w:rsidRPr="00F40242">
        <w:rPr>
          <w:sz w:val="26"/>
        </w:rPr>
        <w:t>T</w:t>
      </w:r>
      <w:r w:rsidR="000B2FC4" w:rsidRPr="00F40242">
        <w:rPr>
          <w:sz w:val="26"/>
        </w:rPr>
        <w:t xml:space="preserve">he major trading partners of Indian companies are from </w:t>
      </w:r>
      <w:r w:rsidRPr="00F40242">
        <w:rPr>
          <w:sz w:val="26"/>
        </w:rPr>
        <w:t>the Middle East – a region</w:t>
      </w:r>
      <w:r w:rsidR="000B2FC4" w:rsidRPr="00F40242">
        <w:rPr>
          <w:sz w:val="26"/>
        </w:rPr>
        <w:t xml:space="preserve"> characterised by different </w:t>
      </w:r>
      <w:r w:rsidR="009E3C5F" w:rsidRPr="00F40242">
        <w:rPr>
          <w:sz w:val="26"/>
        </w:rPr>
        <w:t xml:space="preserve">social, </w:t>
      </w:r>
      <w:r w:rsidR="000B2FC4" w:rsidRPr="00F40242">
        <w:rPr>
          <w:sz w:val="26"/>
        </w:rPr>
        <w:t xml:space="preserve">cultural </w:t>
      </w:r>
      <w:r w:rsidR="009E3C5F" w:rsidRPr="00F40242">
        <w:rPr>
          <w:sz w:val="26"/>
        </w:rPr>
        <w:t xml:space="preserve">and </w:t>
      </w:r>
      <w:r w:rsidR="000B2FC4" w:rsidRPr="00F40242">
        <w:rPr>
          <w:sz w:val="26"/>
          <w:lang w:val="en-GB"/>
        </w:rPr>
        <w:t>technological development</w:t>
      </w:r>
      <w:r w:rsidRPr="00F40242">
        <w:rPr>
          <w:sz w:val="26"/>
          <w:lang w:val="en-GB"/>
        </w:rPr>
        <w:t>, with a</w:t>
      </w:r>
      <w:r w:rsidR="009E3C5F" w:rsidRPr="00F40242">
        <w:rPr>
          <w:sz w:val="26"/>
          <w:lang w:val="en-GB"/>
        </w:rPr>
        <w:t xml:space="preserve"> non-financial disclosure position </w:t>
      </w:r>
      <w:r w:rsidRPr="00F40242">
        <w:rPr>
          <w:sz w:val="26"/>
          <w:lang w:val="en-GB"/>
        </w:rPr>
        <w:t xml:space="preserve">that </w:t>
      </w:r>
      <w:r w:rsidR="009E3C5F" w:rsidRPr="00F40242">
        <w:rPr>
          <w:sz w:val="26"/>
          <w:lang w:val="en-GB"/>
        </w:rPr>
        <w:t xml:space="preserve">is comparatively </w:t>
      </w:r>
      <w:r w:rsidR="00766D2B" w:rsidRPr="00F40242">
        <w:rPr>
          <w:sz w:val="26"/>
          <w:lang w:val="en-GB"/>
        </w:rPr>
        <w:t>inferior</w:t>
      </w:r>
      <w:r w:rsidR="009E3C5F" w:rsidRPr="00F40242">
        <w:rPr>
          <w:sz w:val="26"/>
          <w:lang w:val="en-GB"/>
        </w:rPr>
        <w:t xml:space="preserve"> </w:t>
      </w:r>
      <w:r w:rsidR="00766D2B" w:rsidRPr="00F40242">
        <w:rPr>
          <w:sz w:val="26"/>
          <w:lang w:val="en-GB"/>
        </w:rPr>
        <w:t>to</w:t>
      </w:r>
      <w:r w:rsidR="009E3C5F" w:rsidRPr="00F40242">
        <w:rPr>
          <w:sz w:val="26"/>
          <w:lang w:val="en-GB"/>
        </w:rPr>
        <w:t xml:space="preserve"> </w:t>
      </w:r>
      <w:r w:rsidRPr="00F40242">
        <w:rPr>
          <w:sz w:val="26"/>
          <w:lang w:val="en-GB"/>
        </w:rPr>
        <w:t xml:space="preserve">that of </w:t>
      </w:r>
      <w:r w:rsidR="009E3C5F" w:rsidRPr="00F40242">
        <w:rPr>
          <w:sz w:val="26"/>
          <w:lang w:val="en-GB"/>
        </w:rPr>
        <w:t>India.</w:t>
      </w:r>
      <w:r w:rsidR="000B2FC4" w:rsidRPr="00F40242">
        <w:rPr>
          <w:sz w:val="26"/>
        </w:rPr>
        <w:t xml:space="preserve"> </w:t>
      </w:r>
      <w:r w:rsidR="000B2FC4" w:rsidRPr="00F40242">
        <w:rPr>
          <w:noProof/>
          <w:sz w:val="26"/>
        </w:rPr>
        <w:t xml:space="preserve">This </w:t>
      </w:r>
      <w:r w:rsidR="009E3C5F" w:rsidRPr="00F40242">
        <w:rPr>
          <w:noProof/>
          <w:sz w:val="26"/>
        </w:rPr>
        <w:t>is</w:t>
      </w:r>
      <w:r w:rsidR="009E3C5F" w:rsidRPr="00F40242">
        <w:rPr>
          <w:sz w:val="26"/>
        </w:rPr>
        <w:t xml:space="preserve"> </w:t>
      </w:r>
      <w:r w:rsidR="000B2FC4" w:rsidRPr="00F40242">
        <w:rPr>
          <w:sz w:val="26"/>
        </w:rPr>
        <w:t>the reason for</w:t>
      </w:r>
      <w:r w:rsidR="00523E27" w:rsidRPr="00F40242">
        <w:rPr>
          <w:sz w:val="26"/>
        </w:rPr>
        <w:t xml:space="preserve"> the</w:t>
      </w:r>
      <w:r w:rsidR="000B2FC4" w:rsidRPr="00F40242">
        <w:rPr>
          <w:sz w:val="26"/>
        </w:rPr>
        <w:t xml:space="preserve"> </w:t>
      </w:r>
      <w:r w:rsidR="00505560" w:rsidRPr="00F40242">
        <w:rPr>
          <w:sz w:val="26"/>
        </w:rPr>
        <w:t>non-significant</w:t>
      </w:r>
      <w:r w:rsidR="009E3C5F" w:rsidRPr="00F40242">
        <w:rPr>
          <w:sz w:val="26"/>
        </w:rPr>
        <w:t xml:space="preserve"> </w:t>
      </w:r>
      <w:r w:rsidR="000B2FC4" w:rsidRPr="00F40242">
        <w:rPr>
          <w:sz w:val="26"/>
          <w:lang w:val="en-GB"/>
        </w:rPr>
        <w:t xml:space="preserve">association of </w:t>
      </w:r>
      <w:r w:rsidRPr="00F40242">
        <w:rPr>
          <w:sz w:val="26"/>
        </w:rPr>
        <w:t>i</w:t>
      </w:r>
      <w:r w:rsidR="000B2FC4" w:rsidRPr="00F40242">
        <w:rPr>
          <w:sz w:val="26"/>
        </w:rPr>
        <w:t>nternational experience</w:t>
      </w:r>
      <w:r w:rsidR="000B2FC4" w:rsidRPr="00F40242">
        <w:rPr>
          <w:sz w:val="26"/>
          <w:lang w:val="en-GB"/>
        </w:rPr>
        <w:t xml:space="preserve"> </w:t>
      </w:r>
      <w:r w:rsidRPr="00F40242">
        <w:rPr>
          <w:sz w:val="26"/>
          <w:lang w:val="en-GB"/>
        </w:rPr>
        <w:t xml:space="preserve">with </w:t>
      </w:r>
      <w:r w:rsidR="00505560" w:rsidRPr="00F40242">
        <w:rPr>
          <w:sz w:val="26"/>
          <w:lang w:val="en-GB"/>
        </w:rPr>
        <w:t>social</w:t>
      </w:r>
      <w:r w:rsidR="000B2FC4" w:rsidRPr="00F40242">
        <w:rPr>
          <w:sz w:val="26"/>
          <w:lang w:val="en-GB"/>
        </w:rPr>
        <w:t xml:space="preserve"> disclosure</w:t>
      </w:r>
      <w:r w:rsidR="00766D2B" w:rsidRPr="00F40242">
        <w:rPr>
          <w:sz w:val="26"/>
          <w:lang w:val="en-GB"/>
        </w:rPr>
        <w:t xml:space="preserve"> of Indian companies</w:t>
      </w:r>
      <w:r w:rsidR="009E3C5F" w:rsidRPr="00F40242">
        <w:rPr>
          <w:sz w:val="26"/>
          <w:lang w:val="en-GB"/>
        </w:rPr>
        <w:t>.</w:t>
      </w:r>
    </w:p>
    <w:p w14:paraId="0A3ADDC0" w14:textId="77777777" w:rsidR="000D5C8E" w:rsidRPr="00F40242" w:rsidRDefault="000D5C8E" w:rsidP="000D5C8E">
      <w:pPr>
        <w:autoSpaceDE w:val="0"/>
        <w:autoSpaceDN w:val="0"/>
        <w:adjustRightInd w:val="0"/>
        <w:spacing w:line="360" w:lineRule="exact"/>
        <w:ind w:firstLineChars="200" w:firstLine="520"/>
        <w:jc w:val="both"/>
        <w:rPr>
          <w:sz w:val="26"/>
        </w:rPr>
      </w:pPr>
    </w:p>
    <w:p w14:paraId="78B61C16" w14:textId="4FBA4470" w:rsidR="0082000B" w:rsidRPr="00F40242" w:rsidRDefault="000C7ED3" w:rsidP="00D55CAF">
      <w:pPr>
        <w:autoSpaceDE w:val="0"/>
        <w:autoSpaceDN w:val="0"/>
        <w:adjustRightInd w:val="0"/>
        <w:jc w:val="center"/>
        <w:rPr>
          <w:b/>
          <w:caps/>
          <w:sz w:val="26"/>
        </w:rPr>
      </w:pPr>
      <w:r w:rsidRPr="00F40242">
        <w:rPr>
          <w:b/>
          <w:sz w:val="26"/>
        </w:rPr>
        <w:t>CONCLUSION</w:t>
      </w:r>
    </w:p>
    <w:p w14:paraId="11458461" w14:textId="5B5251A6" w:rsidR="005237EC" w:rsidRPr="00F40242" w:rsidRDefault="005237EC" w:rsidP="000D5C8E">
      <w:pPr>
        <w:autoSpaceDE w:val="0"/>
        <w:autoSpaceDN w:val="0"/>
        <w:adjustRightInd w:val="0"/>
        <w:spacing w:line="360" w:lineRule="exact"/>
        <w:ind w:firstLineChars="200" w:firstLine="520"/>
        <w:jc w:val="both"/>
        <w:rPr>
          <w:sz w:val="26"/>
        </w:rPr>
      </w:pPr>
      <w:r w:rsidRPr="00F40242">
        <w:rPr>
          <w:sz w:val="26"/>
        </w:rPr>
        <w:t xml:space="preserve">This paper investigates whether the legitimacy theory is capable of explaining the determinants of social, environmental and total disclosure of publicly listed companies in India. Our empirical findings are mixed. </w:t>
      </w:r>
      <w:r w:rsidR="004F3B55" w:rsidRPr="00F40242">
        <w:rPr>
          <w:sz w:val="26"/>
        </w:rPr>
        <w:t xml:space="preserve">Our findings show that the </w:t>
      </w:r>
      <w:r w:rsidR="00165591" w:rsidRPr="00F40242">
        <w:rPr>
          <w:sz w:val="26"/>
        </w:rPr>
        <w:t xml:space="preserve">industrial transport industry category </w:t>
      </w:r>
      <w:r w:rsidR="004F3B55" w:rsidRPr="00F40242">
        <w:rPr>
          <w:sz w:val="26"/>
        </w:rPr>
        <w:t xml:space="preserve">of a company is negatively and statistically significantly associated with environmental disclosure. </w:t>
      </w:r>
      <w:r w:rsidR="0020265F" w:rsidRPr="00F40242">
        <w:rPr>
          <w:sz w:val="26"/>
        </w:rPr>
        <w:t xml:space="preserve"> Most importantly, international experience and a company’s worth </w:t>
      </w:r>
      <w:r w:rsidR="001B1610" w:rsidRPr="00F40242">
        <w:rPr>
          <w:sz w:val="26"/>
        </w:rPr>
        <w:t xml:space="preserve">are </w:t>
      </w:r>
      <w:r w:rsidR="0020265F" w:rsidRPr="00F40242">
        <w:rPr>
          <w:sz w:val="26"/>
        </w:rPr>
        <w:t xml:space="preserve">found to statistically non-significant in influencing social disclosure of Indian companies. </w:t>
      </w:r>
      <w:r w:rsidR="004F3B55" w:rsidRPr="00F40242">
        <w:rPr>
          <w:sz w:val="26"/>
        </w:rPr>
        <w:t>Consumer proximity was found to be unrelated</w:t>
      </w:r>
      <w:r w:rsidR="0020265F" w:rsidRPr="00F40242">
        <w:rPr>
          <w:sz w:val="26"/>
        </w:rPr>
        <w:t xml:space="preserve"> (negative, </w:t>
      </w:r>
      <w:r w:rsidR="0020265F" w:rsidRPr="00F40242">
        <w:rPr>
          <w:noProof/>
          <w:sz w:val="26"/>
        </w:rPr>
        <w:t>non</w:t>
      </w:r>
      <w:r w:rsidR="0020265F" w:rsidRPr="00F40242">
        <w:rPr>
          <w:sz w:val="26"/>
        </w:rPr>
        <w:t>-significant)</w:t>
      </w:r>
      <w:r w:rsidR="004F3B55" w:rsidRPr="00F40242">
        <w:rPr>
          <w:sz w:val="26"/>
        </w:rPr>
        <w:t xml:space="preserve"> to voluntary non-financial disclosure of SED of companies in India.</w:t>
      </w:r>
      <w:r w:rsidR="0020265F" w:rsidRPr="00F40242">
        <w:rPr>
          <w:sz w:val="26"/>
        </w:rPr>
        <w:t xml:space="preserve"> </w:t>
      </w:r>
      <w:r w:rsidR="004F3B55" w:rsidRPr="00F40242">
        <w:rPr>
          <w:sz w:val="26"/>
        </w:rPr>
        <w:t>The</w:t>
      </w:r>
      <w:r w:rsidR="0020265F" w:rsidRPr="00F40242">
        <w:rPr>
          <w:sz w:val="26"/>
        </w:rPr>
        <w:t>se</w:t>
      </w:r>
      <w:r w:rsidR="004F3B55" w:rsidRPr="00F40242">
        <w:rPr>
          <w:sz w:val="26"/>
        </w:rPr>
        <w:t xml:space="preserve"> </w:t>
      </w:r>
      <w:r w:rsidR="004F3B55" w:rsidRPr="00F40242">
        <w:rPr>
          <w:noProof/>
          <w:sz w:val="26"/>
        </w:rPr>
        <w:t>findings</w:t>
      </w:r>
      <w:r w:rsidR="0020265F" w:rsidRPr="00F40242">
        <w:rPr>
          <w:noProof/>
          <w:sz w:val="26"/>
        </w:rPr>
        <w:t xml:space="preserve"> are</w:t>
      </w:r>
      <w:r w:rsidR="0020265F" w:rsidRPr="00F40242">
        <w:rPr>
          <w:sz w:val="26"/>
        </w:rPr>
        <w:t xml:space="preserve"> critical as </w:t>
      </w:r>
      <w:r w:rsidR="001B1610" w:rsidRPr="00F40242">
        <w:rPr>
          <w:sz w:val="26"/>
        </w:rPr>
        <w:t xml:space="preserve">they are </w:t>
      </w:r>
      <w:r w:rsidR="0020265F" w:rsidRPr="00F40242">
        <w:rPr>
          <w:sz w:val="26"/>
        </w:rPr>
        <w:t>contrary to the expectation</w:t>
      </w:r>
      <w:r w:rsidR="001B1610" w:rsidRPr="00F40242">
        <w:rPr>
          <w:sz w:val="26"/>
        </w:rPr>
        <w:t>s</w:t>
      </w:r>
      <w:r w:rsidR="0020265F" w:rsidRPr="00F40242">
        <w:rPr>
          <w:sz w:val="26"/>
        </w:rPr>
        <w:t xml:space="preserve"> of </w:t>
      </w:r>
      <w:r w:rsidR="004F3B55" w:rsidRPr="00F40242">
        <w:rPr>
          <w:sz w:val="26"/>
        </w:rPr>
        <w:t>legitimacy theory</w:t>
      </w:r>
      <w:r w:rsidR="0020265F" w:rsidRPr="00F40242">
        <w:rPr>
          <w:sz w:val="26"/>
        </w:rPr>
        <w:t xml:space="preserve">. </w:t>
      </w:r>
      <w:r w:rsidRPr="00F40242">
        <w:rPr>
          <w:sz w:val="26"/>
        </w:rPr>
        <w:t xml:space="preserve">Consistent with legitimacy theory, we find that leverage </w:t>
      </w:r>
      <w:r w:rsidRPr="00F40242">
        <w:rPr>
          <w:noProof/>
          <w:sz w:val="26"/>
        </w:rPr>
        <w:t>is strongly associated</w:t>
      </w:r>
      <w:r w:rsidRPr="00F40242">
        <w:rPr>
          <w:sz w:val="26"/>
        </w:rPr>
        <w:t xml:space="preserve"> with </w:t>
      </w:r>
      <w:r w:rsidR="001B1610" w:rsidRPr="00F40242">
        <w:rPr>
          <w:sz w:val="26"/>
        </w:rPr>
        <w:t xml:space="preserve">the </w:t>
      </w:r>
      <w:r w:rsidRPr="00F40242">
        <w:rPr>
          <w:sz w:val="26"/>
        </w:rPr>
        <w:t xml:space="preserve">total disclosure and environmental disclosure of companies. </w:t>
      </w:r>
    </w:p>
    <w:p w14:paraId="31A9C20A" w14:textId="3B1C838B" w:rsidR="003C4C42" w:rsidRPr="00F40242" w:rsidRDefault="008A0C33" w:rsidP="000D5C8E">
      <w:pPr>
        <w:autoSpaceDE w:val="0"/>
        <w:autoSpaceDN w:val="0"/>
        <w:adjustRightInd w:val="0"/>
        <w:spacing w:line="360" w:lineRule="exact"/>
        <w:ind w:firstLineChars="200" w:firstLine="520"/>
        <w:jc w:val="both"/>
        <w:rPr>
          <w:sz w:val="26"/>
        </w:rPr>
      </w:pPr>
      <w:r w:rsidRPr="00F40242">
        <w:rPr>
          <w:sz w:val="26"/>
        </w:rPr>
        <w:t xml:space="preserve">The findings of this study </w:t>
      </w:r>
      <w:r w:rsidRPr="00F40242">
        <w:rPr>
          <w:noProof/>
          <w:sz w:val="26"/>
        </w:rPr>
        <w:t>ha</w:t>
      </w:r>
      <w:r w:rsidR="00CF2B71" w:rsidRPr="00F40242">
        <w:rPr>
          <w:noProof/>
          <w:sz w:val="26"/>
        </w:rPr>
        <w:t>ve</w:t>
      </w:r>
      <w:r w:rsidRPr="00F40242">
        <w:rPr>
          <w:sz w:val="26"/>
        </w:rPr>
        <w:t xml:space="preserve"> important implications for policy. </w:t>
      </w:r>
      <w:r w:rsidR="000B2FC4" w:rsidRPr="00F40242">
        <w:rPr>
          <w:sz w:val="26"/>
        </w:rPr>
        <w:t xml:space="preserve">From a company perspective, </w:t>
      </w:r>
      <w:r w:rsidRPr="00F40242">
        <w:rPr>
          <w:sz w:val="26"/>
        </w:rPr>
        <w:t xml:space="preserve">the results indicate the need to </w:t>
      </w:r>
      <w:r w:rsidR="001B1610" w:rsidRPr="00F40242">
        <w:rPr>
          <w:sz w:val="26"/>
        </w:rPr>
        <w:t>be cognisant of</w:t>
      </w:r>
      <w:r w:rsidRPr="00F40242">
        <w:rPr>
          <w:sz w:val="26"/>
        </w:rPr>
        <w:t xml:space="preserve"> the impact of </w:t>
      </w:r>
      <w:r w:rsidR="000B2FC4" w:rsidRPr="00F40242">
        <w:rPr>
          <w:sz w:val="26"/>
        </w:rPr>
        <w:t xml:space="preserve">national institutional </w:t>
      </w:r>
      <w:r w:rsidR="00492426" w:rsidRPr="00F40242">
        <w:rPr>
          <w:sz w:val="26"/>
        </w:rPr>
        <w:t>settings</w:t>
      </w:r>
      <w:r w:rsidR="000B2FC4" w:rsidRPr="00F40242">
        <w:rPr>
          <w:sz w:val="26"/>
        </w:rPr>
        <w:t xml:space="preserve"> and cultural traditions </w:t>
      </w:r>
      <w:r w:rsidRPr="00F40242">
        <w:rPr>
          <w:sz w:val="26"/>
        </w:rPr>
        <w:t xml:space="preserve">on non-financial </w:t>
      </w:r>
      <w:r w:rsidR="000B2FC4" w:rsidRPr="00F40242">
        <w:rPr>
          <w:sz w:val="26"/>
        </w:rPr>
        <w:t xml:space="preserve">SED.  </w:t>
      </w:r>
      <w:r w:rsidR="00492426" w:rsidRPr="00F40242">
        <w:rPr>
          <w:sz w:val="26"/>
        </w:rPr>
        <w:t xml:space="preserve">Importantly, </w:t>
      </w:r>
      <w:r w:rsidR="000B2FC4" w:rsidRPr="00F40242">
        <w:rPr>
          <w:sz w:val="26"/>
        </w:rPr>
        <w:t xml:space="preserve">SED initiatives can lead to failure </w:t>
      </w:r>
      <w:r w:rsidRPr="00F40242">
        <w:rPr>
          <w:sz w:val="26"/>
        </w:rPr>
        <w:t xml:space="preserve">in the market economy through the </w:t>
      </w:r>
      <w:r w:rsidR="000B2FC4" w:rsidRPr="00F40242">
        <w:rPr>
          <w:sz w:val="26"/>
        </w:rPr>
        <w:t xml:space="preserve">misallocation of resources </w:t>
      </w:r>
      <w:r w:rsidRPr="00F40242">
        <w:rPr>
          <w:sz w:val="26"/>
        </w:rPr>
        <w:t>in instances where the local expectations of reporting of non-financial disclosures do not match those of foreign markets. Importantly, non</w:t>
      </w:r>
      <w:r w:rsidR="00033E7C" w:rsidRPr="00F40242">
        <w:rPr>
          <w:sz w:val="26"/>
        </w:rPr>
        <w:t xml:space="preserve">-alignment of home and host country </w:t>
      </w:r>
      <w:r w:rsidR="00CB2855" w:rsidRPr="00F40242">
        <w:rPr>
          <w:sz w:val="26"/>
        </w:rPr>
        <w:t xml:space="preserve">SED </w:t>
      </w:r>
      <w:r w:rsidRPr="00F40242">
        <w:rPr>
          <w:sz w:val="26"/>
        </w:rPr>
        <w:t xml:space="preserve">could potentially lead to wastage on the part of domestic businesses. </w:t>
      </w:r>
      <w:r w:rsidR="000B2FC4" w:rsidRPr="00F40242">
        <w:rPr>
          <w:sz w:val="26"/>
        </w:rPr>
        <w:t xml:space="preserve">From a policy perspective, </w:t>
      </w:r>
      <w:r w:rsidR="004201C7" w:rsidRPr="00F40242">
        <w:rPr>
          <w:sz w:val="26"/>
        </w:rPr>
        <w:t xml:space="preserve">the results reveal that it is </w:t>
      </w:r>
      <w:r w:rsidR="000B2FC4" w:rsidRPr="00F40242">
        <w:rPr>
          <w:sz w:val="26"/>
        </w:rPr>
        <w:t xml:space="preserve">prudent </w:t>
      </w:r>
      <w:r w:rsidR="005237EC" w:rsidRPr="00F40242">
        <w:rPr>
          <w:sz w:val="26"/>
        </w:rPr>
        <w:t xml:space="preserve">to </w:t>
      </w:r>
      <w:r w:rsidR="004201C7" w:rsidRPr="00F40242">
        <w:rPr>
          <w:sz w:val="26"/>
        </w:rPr>
        <w:t xml:space="preserve">implement </w:t>
      </w:r>
      <w:r w:rsidR="004201C7" w:rsidRPr="00F40242">
        <w:rPr>
          <w:sz w:val="26"/>
        </w:rPr>
        <w:lastRenderedPageBreak/>
        <w:t xml:space="preserve">measures that ensure </w:t>
      </w:r>
      <w:r w:rsidR="000B2FC4" w:rsidRPr="00F40242">
        <w:rPr>
          <w:sz w:val="26"/>
        </w:rPr>
        <w:t>better integration and acknowledgement of various stakeholder</w:t>
      </w:r>
      <w:r w:rsidR="004201C7" w:rsidRPr="00F40242">
        <w:rPr>
          <w:sz w:val="26"/>
        </w:rPr>
        <w:t xml:space="preserve"> interests</w:t>
      </w:r>
      <w:r w:rsidR="000B2FC4" w:rsidRPr="00F40242">
        <w:rPr>
          <w:sz w:val="26"/>
        </w:rPr>
        <w:t xml:space="preserve">. </w:t>
      </w:r>
      <w:r w:rsidR="001B1610" w:rsidRPr="00F40242">
        <w:rPr>
          <w:sz w:val="26"/>
        </w:rPr>
        <w:t xml:space="preserve">Promotion of </w:t>
      </w:r>
      <w:r w:rsidR="004201C7" w:rsidRPr="00F40242">
        <w:rPr>
          <w:sz w:val="26"/>
        </w:rPr>
        <w:t>inter</w:t>
      </w:r>
      <w:r w:rsidR="00BE2D57" w:rsidRPr="00F40242">
        <w:rPr>
          <w:sz w:val="26"/>
        </w:rPr>
        <w:t xml:space="preserve">-linkages between host and home country </w:t>
      </w:r>
      <w:r w:rsidR="001E731D">
        <w:rPr>
          <w:sz w:val="26"/>
        </w:rPr>
        <w:t>stakeholders</w:t>
      </w:r>
      <w:r w:rsidR="00BE2D57" w:rsidRPr="00F40242">
        <w:rPr>
          <w:sz w:val="26"/>
        </w:rPr>
        <w:t xml:space="preserve"> should be </w:t>
      </w:r>
      <w:r w:rsidR="00A626B4" w:rsidRPr="00F40242">
        <w:rPr>
          <w:sz w:val="26"/>
        </w:rPr>
        <w:t>reinforced through f</w:t>
      </w:r>
      <w:r w:rsidR="00BE2D57" w:rsidRPr="00F40242">
        <w:rPr>
          <w:sz w:val="26"/>
        </w:rPr>
        <w:t xml:space="preserve">eedback </w:t>
      </w:r>
      <w:r w:rsidR="00A626B4" w:rsidRPr="00F40242">
        <w:rPr>
          <w:sz w:val="26"/>
        </w:rPr>
        <w:t xml:space="preserve">channels. </w:t>
      </w:r>
      <w:r w:rsidR="004201C7" w:rsidRPr="00F40242">
        <w:rPr>
          <w:sz w:val="26"/>
        </w:rPr>
        <w:t xml:space="preserve">Given that the </w:t>
      </w:r>
      <w:r w:rsidR="000B2FC4" w:rsidRPr="00F40242">
        <w:rPr>
          <w:sz w:val="26"/>
        </w:rPr>
        <w:t xml:space="preserve">underlying mechanisms of </w:t>
      </w:r>
      <w:r w:rsidR="001B1610" w:rsidRPr="00F40242">
        <w:rPr>
          <w:sz w:val="26"/>
        </w:rPr>
        <w:t xml:space="preserve">the </w:t>
      </w:r>
      <w:r w:rsidR="000B2FC4" w:rsidRPr="00F40242">
        <w:rPr>
          <w:sz w:val="26"/>
        </w:rPr>
        <w:t xml:space="preserve">SED agenda within emerging economies </w:t>
      </w:r>
      <w:r w:rsidR="00CF2B71" w:rsidRPr="00F40242">
        <w:rPr>
          <w:noProof/>
          <w:sz w:val="26"/>
        </w:rPr>
        <w:t>are</w:t>
      </w:r>
      <w:r w:rsidR="000B2FC4" w:rsidRPr="00F40242">
        <w:rPr>
          <w:sz w:val="26"/>
        </w:rPr>
        <w:t xml:space="preserve"> somewhat different from th</w:t>
      </w:r>
      <w:r w:rsidR="001B1610" w:rsidRPr="00F40242">
        <w:rPr>
          <w:sz w:val="26"/>
        </w:rPr>
        <w:t>ose</w:t>
      </w:r>
      <w:r w:rsidR="000B2FC4" w:rsidRPr="00F40242">
        <w:rPr>
          <w:sz w:val="26"/>
        </w:rPr>
        <w:t xml:space="preserve"> in developed economies</w:t>
      </w:r>
      <w:r w:rsidR="004201C7" w:rsidRPr="00F40242">
        <w:rPr>
          <w:sz w:val="26"/>
        </w:rPr>
        <w:t xml:space="preserve">, this study highlights the need to provide </w:t>
      </w:r>
      <w:r w:rsidR="000B2FC4" w:rsidRPr="00F40242">
        <w:rPr>
          <w:sz w:val="26"/>
        </w:rPr>
        <w:t xml:space="preserve">incentives </w:t>
      </w:r>
      <w:r w:rsidR="004201C7" w:rsidRPr="00F40242">
        <w:rPr>
          <w:sz w:val="26"/>
        </w:rPr>
        <w:t xml:space="preserve">through </w:t>
      </w:r>
      <w:r w:rsidR="000B2FC4" w:rsidRPr="00F40242">
        <w:rPr>
          <w:sz w:val="26"/>
        </w:rPr>
        <w:t xml:space="preserve">the regulatory framework, </w:t>
      </w:r>
      <w:r w:rsidR="004201C7" w:rsidRPr="00F40242">
        <w:rPr>
          <w:sz w:val="26"/>
        </w:rPr>
        <w:t xml:space="preserve">creating an effective </w:t>
      </w:r>
      <w:r w:rsidR="000B2FC4" w:rsidRPr="00F40242">
        <w:rPr>
          <w:sz w:val="26"/>
        </w:rPr>
        <w:t xml:space="preserve">business climate and </w:t>
      </w:r>
      <w:r w:rsidR="004201C7" w:rsidRPr="00F40242">
        <w:rPr>
          <w:sz w:val="26"/>
        </w:rPr>
        <w:t xml:space="preserve">empowering </w:t>
      </w:r>
      <w:r w:rsidR="000B2FC4" w:rsidRPr="00F40242">
        <w:rPr>
          <w:sz w:val="26"/>
        </w:rPr>
        <w:t>consumer group</w:t>
      </w:r>
      <w:r w:rsidR="004201C7" w:rsidRPr="00F40242">
        <w:rPr>
          <w:sz w:val="26"/>
        </w:rPr>
        <w:t>s</w:t>
      </w:r>
      <w:r w:rsidR="000B2FC4" w:rsidRPr="00F40242">
        <w:rPr>
          <w:sz w:val="26"/>
        </w:rPr>
        <w:t xml:space="preserve">. </w:t>
      </w:r>
      <w:r w:rsidR="00A626B4" w:rsidRPr="00F40242">
        <w:rPr>
          <w:sz w:val="26"/>
        </w:rPr>
        <w:t>To improve the overall SED, encouraging favourable institutional environment</w:t>
      </w:r>
      <w:r w:rsidR="001B1610" w:rsidRPr="00F40242">
        <w:rPr>
          <w:sz w:val="26"/>
        </w:rPr>
        <w:t>s</w:t>
      </w:r>
      <w:r w:rsidR="00A626B4" w:rsidRPr="00F40242">
        <w:rPr>
          <w:sz w:val="26"/>
        </w:rPr>
        <w:t xml:space="preserve">, </w:t>
      </w:r>
      <w:r w:rsidR="004201C7" w:rsidRPr="00F40242">
        <w:rPr>
          <w:sz w:val="26"/>
        </w:rPr>
        <w:t xml:space="preserve">providing </w:t>
      </w:r>
      <w:r w:rsidR="00A626B4" w:rsidRPr="00F40242">
        <w:rPr>
          <w:sz w:val="26"/>
        </w:rPr>
        <w:t xml:space="preserve">financial incentives and training to companies that take </w:t>
      </w:r>
      <w:r w:rsidR="007B25F1" w:rsidRPr="00F40242">
        <w:rPr>
          <w:sz w:val="26"/>
        </w:rPr>
        <w:t>SED advancement initiative</w:t>
      </w:r>
      <w:r w:rsidR="004201C7" w:rsidRPr="00F40242">
        <w:rPr>
          <w:sz w:val="26"/>
        </w:rPr>
        <w:t>s</w:t>
      </w:r>
      <w:r w:rsidR="00A626B4" w:rsidRPr="00F40242">
        <w:rPr>
          <w:sz w:val="26"/>
        </w:rPr>
        <w:t>, punishing irresponsible behaviour</w:t>
      </w:r>
      <w:r w:rsidR="004201C7" w:rsidRPr="00F40242">
        <w:rPr>
          <w:sz w:val="26"/>
        </w:rPr>
        <w:t xml:space="preserve"> and </w:t>
      </w:r>
      <w:r w:rsidR="007B25F1" w:rsidRPr="00F40242">
        <w:rPr>
          <w:sz w:val="26"/>
        </w:rPr>
        <w:t>influencing</w:t>
      </w:r>
      <w:r w:rsidR="00A626B4" w:rsidRPr="00F40242">
        <w:rPr>
          <w:sz w:val="26"/>
        </w:rPr>
        <w:t xml:space="preserve"> consumer support of responsible business are </w:t>
      </w:r>
      <w:r w:rsidR="007B25F1" w:rsidRPr="00F40242">
        <w:rPr>
          <w:sz w:val="26"/>
        </w:rPr>
        <w:t>essential.</w:t>
      </w:r>
      <w:r w:rsidR="00A626B4" w:rsidRPr="00F40242">
        <w:rPr>
          <w:sz w:val="26"/>
        </w:rPr>
        <w:t xml:space="preserve"> </w:t>
      </w:r>
      <w:r w:rsidR="000B2FC4" w:rsidRPr="00F40242">
        <w:rPr>
          <w:sz w:val="26"/>
        </w:rPr>
        <w:t xml:space="preserve">Future research </w:t>
      </w:r>
      <w:r w:rsidR="001B1610" w:rsidRPr="00F40242">
        <w:rPr>
          <w:sz w:val="26"/>
        </w:rPr>
        <w:t>can extend</w:t>
      </w:r>
      <w:r w:rsidR="00651309" w:rsidRPr="00F40242">
        <w:rPr>
          <w:sz w:val="26"/>
        </w:rPr>
        <w:t xml:space="preserve"> th</w:t>
      </w:r>
      <w:r w:rsidR="001B1610" w:rsidRPr="00F40242">
        <w:rPr>
          <w:sz w:val="26"/>
        </w:rPr>
        <w:t>is</w:t>
      </w:r>
      <w:r w:rsidR="00651309" w:rsidRPr="00F40242">
        <w:rPr>
          <w:sz w:val="26"/>
        </w:rPr>
        <w:t xml:space="preserve"> study to other emerging countries to validate th</w:t>
      </w:r>
      <w:r w:rsidR="001B1610" w:rsidRPr="00F40242">
        <w:rPr>
          <w:sz w:val="26"/>
        </w:rPr>
        <w:t>e</w:t>
      </w:r>
      <w:r w:rsidR="00651309" w:rsidRPr="00F40242">
        <w:rPr>
          <w:sz w:val="26"/>
        </w:rPr>
        <w:t xml:space="preserve"> findings. Future research </w:t>
      </w:r>
      <w:r w:rsidR="001B1610" w:rsidRPr="00F40242">
        <w:rPr>
          <w:sz w:val="26"/>
        </w:rPr>
        <w:t>sh</w:t>
      </w:r>
      <w:r w:rsidR="00651309" w:rsidRPr="00F40242">
        <w:rPr>
          <w:sz w:val="26"/>
        </w:rPr>
        <w:t xml:space="preserve">ould also </w:t>
      </w:r>
      <w:r w:rsidR="004201C7" w:rsidRPr="00F40242">
        <w:rPr>
          <w:sz w:val="26"/>
        </w:rPr>
        <w:t>focus on other</w:t>
      </w:r>
      <w:r w:rsidR="000B2FC4" w:rsidRPr="00F40242">
        <w:rPr>
          <w:sz w:val="26"/>
        </w:rPr>
        <w:t xml:space="preserve"> antecedents specific to emerging economies</w:t>
      </w:r>
      <w:r w:rsidR="004201C7" w:rsidRPr="00F40242">
        <w:rPr>
          <w:sz w:val="26"/>
        </w:rPr>
        <w:t>, such as examining u</w:t>
      </w:r>
      <w:r w:rsidR="000B2FC4" w:rsidRPr="00F40242">
        <w:rPr>
          <w:sz w:val="26"/>
        </w:rPr>
        <w:t>nlisted companies</w:t>
      </w:r>
      <w:r w:rsidR="001B1610" w:rsidRPr="00F40242">
        <w:rPr>
          <w:sz w:val="26"/>
        </w:rPr>
        <w:t>’</w:t>
      </w:r>
      <w:r w:rsidR="000B2FC4" w:rsidRPr="00F40242">
        <w:rPr>
          <w:sz w:val="26"/>
        </w:rPr>
        <w:t xml:space="preserve"> SED practices </w:t>
      </w:r>
      <w:r w:rsidR="004201C7" w:rsidRPr="00F40242">
        <w:rPr>
          <w:sz w:val="26"/>
        </w:rPr>
        <w:t xml:space="preserve">in emerging </w:t>
      </w:r>
      <w:r w:rsidR="004201C7" w:rsidRPr="00F40242">
        <w:rPr>
          <w:noProof/>
          <w:sz w:val="26"/>
        </w:rPr>
        <w:t>economi</w:t>
      </w:r>
      <w:r w:rsidR="00CF2B71" w:rsidRPr="00F40242">
        <w:rPr>
          <w:noProof/>
          <w:sz w:val="26"/>
        </w:rPr>
        <w:t>e</w:t>
      </w:r>
      <w:r w:rsidR="004201C7" w:rsidRPr="00F40242">
        <w:rPr>
          <w:noProof/>
          <w:sz w:val="26"/>
        </w:rPr>
        <w:t>s</w:t>
      </w:r>
      <w:r w:rsidR="00404D9A" w:rsidRPr="00F40242">
        <w:rPr>
          <w:sz w:val="26"/>
        </w:rPr>
        <w:t xml:space="preserve">. </w:t>
      </w:r>
      <w:bookmarkStart w:id="6" w:name="_Toc323222276"/>
      <w:bookmarkEnd w:id="6"/>
    </w:p>
    <w:p w14:paraId="75A8B34F" w14:textId="0424E120" w:rsidR="00885964" w:rsidRPr="00F40242" w:rsidRDefault="00885964" w:rsidP="0011086F">
      <w:pPr>
        <w:autoSpaceDE w:val="0"/>
        <w:autoSpaceDN w:val="0"/>
        <w:adjustRightInd w:val="0"/>
        <w:spacing w:line="360" w:lineRule="exact"/>
        <w:ind w:firstLine="720"/>
        <w:jc w:val="both"/>
        <w:rPr>
          <w:sz w:val="26"/>
        </w:rPr>
      </w:pPr>
    </w:p>
    <w:p w14:paraId="1953C028" w14:textId="470879C0" w:rsidR="00885964" w:rsidRPr="00F40242" w:rsidRDefault="000D5C8E" w:rsidP="00050AB9">
      <w:pPr>
        <w:jc w:val="center"/>
        <w:rPr>
          <w:sz w:val="26"/>
          <w:lang w:eastAsia="en-AU"/>
        </w:rPr>
      </w:pPr>
      <w:r w:rsidRPr="00F40242">
        <w:rPr>
          <w:b/>
          <w:sz w:val="26"/>
        </w:rPr>
        <w:t>REFERENCES</w:t>
      </w:r>
    </w:p>
    <w:p w14:paraId="4DF40C3C" w14:textId="533904E2" w:rsidR="00724376" w:rsidRPr="005B36DB" w:rsidRDefault="00885964" w:rsidP="000D5C8E">
      <w:pPr>
        <w:spacing w:line="360" w:lineRule="exact"/>
        <w:ind w:left="520" w:hangingChars="200" w:hanging="520"/>
        <w:jc w:val="both"/>
        <w:rPr>
          <w:rFonts w:eastAsiaTheme="minorEastAsia"/>
          <w:sz w:val="26"/>
          <w:szCs w:val="26"/>
          <w:lang w:eastAsia="zh-TW"/>
        </w:rPr>
      </w:pPr>
      <w:r w:rsidRPr="005B36DB">
        <w:rPr>
          <w:sz w:val="26"/>
          <w:szCs w:val="26"/>
        </w:rPr>
        <w:t>Adams, C. A. (2002). Internal organisational factors influencin</w:t>
      </w:r>
      <w:r w:rsidR="00050AB9" w:rsidRPr="005B36DB">
        <w:rPr>
          <w:sz w:val="26"/>
          <w:szCs w:val="26"/>
        </w:rPr>
        <w:t xml:space="preserve">g corporate social and ethical </w:t>
      </w:r>
      <w:r w:rsidRPr="005B36DB">
        <w:rPr>
          <w:sz w:val="26"/>
          <w:szCs w:val="26"/>
        </w:rPr>
        <w:t xml:space="preserve">reporting: </w:t>
      </w:r>
      <w:r w:rsidR="00A31D11" w:rsidRPr="005B36DB">
        <w:rPr>
          <w:sz w:val="26"/>
          <w:szCs w:val="26"/>
        </w:rPr>
        <w:t xml:space="preserve">Beyond </w:t>
      </w:r>
      <w:r w:rsidRPr="005B36DB">
        <w:rPr>
          <w:sz w:val="26"/>
          <w:szCs w:val="26"/>
        </w:rPr>
        <w:t xml:space="preserve">current theorising. </w:t>
      </w:r>
      <w:r w:rsidRPr="005B36DB">
        <w:rPr>
          <w:i/>
          <w:iCs/>
          <w:sz w:val="26"/>
          <w:szCs w:val="26"/>
        </w:rPr>
        <w:t>Accounting, Auditing and Accountability</w:t>
      </w:r>
      <w:r w:rsidR="00724376" w:rsidRPr="005B36DB">
        <w:rPr>
          <w:rFonts w:eastAsiaTheme="minorEastAsia"/>
          <w:i/>
          <w:iCs/>
          <w:sz w:val="26"/>
          <w:szCs w:val="26"/>
          <w:lang w:eastAsia="zh-TW"/>
        </w:rPr>
        <w:t xml:space="preserve"> </w:t>
      </w:r>
      <w:r w:rsidRPr="005B36DB">
        <w:rPr>
          <w:i/>
          <w:iCs/>
          <w:sz w:val="26"/>
          <w:szCs w:val="26"/>
        </w:rPr>
        <w:t>Journal,</w:t>
      </w:r>
      <w:r w:rsidR="00724376" w:rsidRPr="005B36DB">
        <w:rPr>
          <w:rFonts w:eastAsiaTheme="minorEastAsia"/>
          <w:i/>
          <w:iCs/>
          <w:sz w:val="26"/>
          <w:szCs w:val="26"/>
          <w:lang w:eastAsia="zh-TW"/>
        </w:rPr>
        <w:t xml:space="preserve"> </w:t>
      </w:r>
      <w:r w:rsidRPr="005B36DB">
        <w:rPr>
          <w:i/>
          <w:sz w:val="26"/>
          <w:szCs w:val="26"/>
        </w:rPr>
        <w:t>5</w:t>
      </w:r>
      <w:r w:rsidRPr="005B36DB">
        <w:rPr>
          <w:sz w:val="26"/>
          <w:szCs w:val="26"/>
        </w:rPr>
        <w:t>(2),</w:t>
      </w:r>
      <w:r w:rsidR="00724376" w:rsidRPr="005B36DB">
        <w:rPr>
          <w:rFonts w:eastAsiaTheme="minorEastAsia"/>
          <w:sz w:val="26"/>
          <w:szCs w:val="26"/>
          <w:lang w:eastAsia="zh-TW"/>
        </w:rPr>
        <w:t xml:space="preserve"> </w:t>
      </w:r>
      <w:r w:rsidRPr="005B36DB">
        <w:rPr>
          <w:sz w:val="26"/>
          <w:szCs w:val="26"/>
        </w:rPr>
        <w:t>223-</w:t>
      </w:r>
      <w:r w:rsidR="00B70E52" w:rsidRPr="005B36DB">
        <w:rPr>
          <w:sz w:val="26"/>
          <w:szCs w:val="26"/>
        </w:rPr>
        <w:t>2</w:t>
      </w:r>
      <w:r w:rsidRPr="005B36DB">
        <w:rPr>
          <w:sz w:val="26"/>
          <w:szCs w:val="26"/>
        </w:rPr>
        <w:t>50.</w:t>
      </w:r>
      <w:r w:rsidR="00724376" w:rsidRPr="005B36DB">
        <w:rPr>
          <w:rFonts w:eastAsiaTheme="minorEastAsia"/>
          <w:sz w:val="26"/>
          <w:szCs w:val="26"/>
          <w:lang w:eastAsia="zh-TW"/>
        </w:rPr>
        <w:t xml:space="preserve"> </w:t>
      </w:r>
    </w:p>
    <w:p w14:paraId="3CFF71DC" w14:textId="26863343" w:rsidR="00885964" w:rsidRPr="005B36DB" w:rsidRDefault="00B70E52" w:rsidP="00A31D11">
      <w:pPr>
        <w:spacing w:line="360" w:lineRule="exact"/>
        <w:ind w:firstLineChars="200" w:firstLine="520"/>
        <w:jc w:val="both"/>
        <w:rPr>
          <w:sz w:val="26"/>
          <w:szCs w:val="26"/>
        </w:rPr>
      </w:pPr>
      <w:r w:rsidRPr="005B36DB">
        <w:rPr>
          <w:sz w:val="26"/>
          <w:szCs w:val="26"/>
        </w:rPr>
        <w:t>https://doi.org/10.1108/09513570210418905</w:t>
      </w:r>
    </w:p>
    <w:p w14:paraId="0569668A" w14:textId="62DA0C24" w:rsidR="00724376" w:rsidRPr="005B36DB" w:rsidRDefault="00885964" w:rsidP="000D5C8E">
      <w:pPr>
        <w:spacing w:line="360" w:lineRule="exact"/>
        <w:ind w:left="520" w:hangingChars="200" w:hanging="520"/>
        <w:jc w:val="both"/>
        <w:rPr>
          <w:sz w:val="26"/>
          <w:szCs w:val="26"/>
        </w:rPr>
      </w:pPr>
      <w:proofErr w:type="spellStart"/>
      <w:r w:rsidRPr="005B36DB">
        <w:rPr>
          <w:sz w:val="26"/>
          <w:szCs w:val="26"/>
        </w:rPr>
        <w:t>Ahn</w:t>
      </w:r>
      <w:proofErr w:type="spellEnd"/>
      <w:r w:rsidRPr="005B36DB">
        <w:rPr>
          <w:sz w:val="26"/>
          <w:szCs w:val="26"/>
        </w:rPr>
        <w:t>, S.Y. &amp; Park, D. J (2018). Corporate Social Responsibility and Corporate Longevity:</w:t>
      </w:r>
      <w:r w:rsidR="00852911" w:rsidRPr="005B36DB">
        <w:rPr>
          <w:sz w:val="26"/>
          <w:szCs w:val="26"/>
        </w:rPr>
        <w:t xml:space="preserve"> </w:t>
      </w:r>
      <w:r w:rsidRPr="005B36DB">
        <w:rPr>
          <w:sz w:val="26"/>
          <w:szCs w:val="26"/>
        </w:rPr>
        <w:t>The Mediating Role of Social Capital and Moral L</w:t>
      </w:r>
      <w:r w:rsidR="00050AB9" w:rsidRPr="005B36DB">
        <w:rPr>
          <w:sz w:val="26"/>
          <w:szCs w:val="26"/>
        </w:rPr>
        <w:t xml:space="preserve">egitimacy in Korea. </w:t>
      </w:r>
      <w:r w:rsidR="00050AB9" w:rsidRPr="005B36DB">
        <w:rPr>
          <w:i/>
          <w:sz w:val="26"/>
          <w:szCs w:val="26"/>
        </w:rPr>
        <w:t xml:space="preserve">Journal of </w:t>
      </w:r>
      <w:r w:rsidRPr="005B36DB">
        <w:rPr>
          <w:i/>
          <w:sz w:val="26"/>
          <w:szCs w:val="26"/>
        </w:rPr>
        <w:t>Business Ethics</w:t>
      </w:r>
      <w:r w:rsidRPr="005B36DB">
        <w:rPr>
          <w:sz w:val="26"/>
          <w:szCs w:val="26"/>
        </w:rPr>
        <w:t xml:space="preserve">, </w:t>
      </w:r>
      <w:r w:rsidRPr="005B36DB">
        <w:rPr>
          <w:i/>
          <w:sz w:val="26"/>
          <w:szCs w:val="26"/>
        </w:rPr>
        <w:t>150</w:t>
      </w:r>
      <w:r w:rsidR="00B70E52" w:rsidRPr="005B36DB">
        <w:rPr>
          <w:sz w:val="26"/>
          <w:szCs w:val="26"/>
        </w:rPr>
        <w:t>(1)</w:t>
      </w:r>
      <w:r w:rsidRPr="005B36DB">
        <w:rPr>
          <w:sz w:val="26"/>
          <w:szCs w:val="26"/>
        </w:rPr>
        <w:t>, 117</w:t>
      </w:r>
      <w:r w:rsidR="00724376" w:rsidRPr="005B36DB">
        <w:rPr>
          <w:sz w:val="26"/>
          <w:szCs w:val="26"/>
        </w:rPr>
        <w:t>-</w:t>
      </w:r>
      <w:r w:rsidRPr="005B36DB">
        <w:rPr>
          <w:sz w:val="26"/>
          <w:szCs w:val="26"/>
        </w:rPr>
        <w:t>134.</w:t>
      </w:r>
      <w:r w:rsidR="00B70E52" w:rsidRPr="005B36DB">
        <w:rPr>
          <w:sz w:val="26"/>
          <w:szCs w:val="26"/>
        </w:rPr>
        <w:t xml:space="preserve"> </w:t>
      </w:r>
    </w:p>
    <w:p w14:paraId="2EBFC8A9" w14:textId="378F5D67" w:rsidR="00885964" w:rsidRPr="005B36DB" w:rsidRDefault="00B70E52" w:rsidP="00A31D11">
      <w:pPr>
        <w:spacing w:line="360" w:lineRule="exact"/>
        <w:ind w:firstLineChars="200" w:firstLine="520"/>
        <w:jc w:val="both"/>
        <w:rPr>
          <w:sz w:val="26"/>
          <w:szCs w:val="26"/>
        </w:rPr>
      </w:pPr>
      <w:r w:rsidRPr="005B36DB">
        <w:rPr>
          <w:sz w:val="26"/>
          <w:szCs w:val="26"/>
        </w:rPr>
        <w:t>https://doi.org/10.1007/s10551-016-3161-3</w:t>
      </w:r>
    </w:p>
    <w:p w14:paraId="39607AFB" w14:textId="77777777" w:rsidR="000C7ED3" w:rsidRDefault="00885964" w:rsidP="000D5C8E">
      <w:pPr>
        <w:spacing w:line="360" w:lineRule="exact"/>
        <w:ind w:left="520" w:hangingChars="200" w:hanging="520"/>
        <w:jc w:val="both"/>
        <w:rPr>
          <w:sz w:val="26"/>
          <w:szCs w:val="26"/>
        </w:rPr>
      </w:pPr>
      <w:r w:rsidRPr="005B36DB">
        <w:rPr>
          <w:sz w:val="26"/>
          <w:szCs w:val="26"/>
        </w:rPr>
        <w:t>Al-</w:t>
      </w:r>
      <w:proofErr w:type="spellStart"/>
      <w:r w:rsidRPr="005B36DB">
        <w:rPr>
          <w:sz w:val="26"/>
          <w:szCs w:val="26"/>
        </w:rPr>
        <w:t>Akra</w:t>
      </w:r>
      <w:proofErr w:type="spellEnd"/>
      <w:r w:rsidRPr="005B36DB">
        <w:rPr>
          <w:sz w:val="26"/>
          <w:szCs w:val="26"/>
        </w:rPr>
        <w:t xml:space="preserve">, M., Eddie, I. A. &amp; Ali, M. J. (2010). The association between privatisation and voluntary disclosure: evidence from Jordan. </w:t>
      </w:r>
      <w:r w:rsidRPr="005B36DB">
        <w:rPr>
          <w:i/>
          <w:sz w:val="26"/>
          <w:szCs w:val="26"/>
        </w:rPr>
        <w:t>Accounting and Business Research</w:t>
      </w:r>
      <w:r w:rsidRPr="005B36DB">
        <w:rPr>
          <w:sz w:val="26"/>
          <w:szCs w:val="26"/>
        </w:rPr>
        <w:t>,</w:t>
      </w:r>
      <w:r w:rsidR="00050AB9" w:rsidRPr="005B36DB">
        <w:rPr>
          <w:sz w:val="26"/>
          <w:szCs w:val="26"/>
        </w:rPr>
        <w:t xml:space="preserve"> </w:t>
      </w:r>
      <w:r w:rsidR="00050AB9" w:rsidRPr="005B36DB">
        <w:rPr>
          <w:i/>
          <w:sz w:val="26"/>
          <w:szCs w:val="26"/>
        </w:rPr>
        <w:t>40</w:t>
      </w:r>
      <w:r w:rsidR="00050AB9" w:rsidRPr="005B36DB">
        <w:rPr>
          <w:sz w:val="26"/>
          <w:szCs w:val="26"/>
        </w:rPr>
        <w:t xml:space="preserve">(1), </w:t>
      </w:r>
      <w:r w:rsidRPr="005B36DB">
        <w:rPr>
          <w:sz w:val="26"/>
          <w:szCs w:val="26"/>
        </w:rPr>
        <w:t>55-74.</w:t>
      </w:r>
      <w:r w:rsidR="00B70E52" w:rsidRPr="005B36DB">
        <w:rPr>
          <w:sz w:val="26"/>
          <w:szCs w:val="26"/>
        </w:rPr>
        <w:t xml:space="preserve"> </w:t>
      </w:r>
    </w:p>
    <w:p w14:paraId="0E81B6AB" w14:textId="455AD250" w:rsidR="00885964" w:rsidRPr="005B36DB" w:rsidRDefault="00B70E52" w:rsidP="000C7ED3">
      <w:pPr>
        <w:spacing w:line="360" w:lineRule="exact"/>
        <w:ind w:firstLineChars="200" w:firstLine="520"/>
        <w:jc w:val="both"/>
        <w:rPr>
          <w:sz w:val="26"/>
          <w:szCs w:val="26"/>
        </w:rPr>
      </w:pPr>
      <w:r w:rsidRPr="005B36DB">
        <w:rPr>
          <w:sz w:val="26"/>
          <w:szCs w:val="26"/>
        </w:rPr>
        <w:t>https://doi.org/10.1080/00014788.2010.9663384</w:t>
      </w:r>
    </w:p>
    <w:p w14:paraId="11FF04C6" w14:textId="71EF9A37" w:rsidR="00724376" w:rsidRPr="005B36DB" w:rsidRDefault="00885964" w:rsidP="000D5C8E">
      <w:pPr>
        <w:spacing w:line="360" w:lineRule="exact"/>
        <w:ind w:left="520" w:hangingChars="200" w:hanging="520"/>
        <w:jc w:val="both"/>
        <w:rPr>
          <w:sz w:val="26"/>
          <w:szCs w:val="26"/>
        </w:rPr>
      </w:pPr>
      <w:r w:rsidRPr="005B36DB">
        <w:rPr>
          <w:sz w:val="26"/>
          <w:szCs w:val="26"/>
        </w:rPr>
        <w:t xml:space="preserve">Aras, G., </w:t>
      </w:r>
      <w:proofErr w:type="spellStart"/>
      <w:r w:rsidRPr="005B36DB">
        <w:rPr>
          <w:sz w:val="26"/>
          <w:szCs w:val="26"/>
        </w:rPr>
        <w:t>Aybars</w:t>
      </w:r>
      <w:proofErr w:type="spellEnd"/>
      <w:r w:rsidRPr="005B36DB">
        <w:rPr>
          <w:sz w:val="26"/>
          <w:szCs w:val="26"/>
        </w:rPr>
        <w:t xml:space="preserve">, A. &amp; </w:t>
      </w:r>
      <w:proofErr w:type="spellStart"/>
      <w:r w:rsidRPr="005B36DB">
        <w:rPr>
          <w:sz w:val="26"/>
          <w:szCs w:val="26"/>
        </w:rPr>
        <w:t>Kutlu</w:t>
      </w:r>
      <w:proofErr w:type="spellEnd"/>
      <w:r w:rsidRPr="005B36DB">
        <w:rPr>
          <w:sz w:val="26"/>
          <w:szCs w:val="26"/>
        </w:rPr>
        <w:t xml:space="preserve">, O. (2010). Managing corporate performance investigating the relationship between corporate social responsibility and financial performance in emerging markets. </w:t>
      </w:r>
      <w:r w:rsidRPr="005B36DB">
        <w:rPr>
          <w:i/>
          <w:sz w:val="26"/>
          <w:szCs w:val="26"/>
        </w:rPr>
        <w:t>International Journal of Productivity and Performance Management</w:t>
      </w:r>
      <w:r w:rsidRPr="005B36DB">
        <w:rPr>
          <w:sz w:val="26"/>
          <w:szCs w:val="26"/>
        </w:rPr>
        <w:t xml:space="preserve">, </w:t>
      </w:r>
      <w:r w:rsidRPr="005B36DB">
        <w:rPr>
          <w:i/>
          <w:sz w:val="26"/>
          <w:szCs w:val="26"/>
        </w:rPr>
        <w:t>59</w:t>
      </w:r>
      <w:r w:rsidR="00724376" w:rsidRPr="005B36DB">
        <w:rPr>
          <w:sz w:val="26"/>
          <w:szCs w:val="26"/>
        </w:rPr>
        <w:t>(3), 229-</w:t>
      </w:r>
      <w:r w:rsidRPr="005B36DB">
        <w:rPr>
          <w:sz w:val="26"/>
          <w:szCs w:val="26"/>
        </w:rPr>
        <w:t xml:space="preserve"> 254.</w:t>
      </w:r>
      <w:r w:rsidR="00B70E52" w:rsidRPr="005B36DB">
        <w:rPr>
          <w:sz w:val="26"/>
          <w:szCs w:val="26"/>
        </w:rPr>
        <w:t xml:space="preserve"> </w:t>
      </w:r>
    </w:p>
    <w:p w14:paraId="17BD8198" w14:textId="7F66D6EC" w:rsidR="00885964" w:rsidRPr="005B36DB" w:rsidRDefault="00B70E52" w:rsidP="00A31D11">
      <w:pPr>
        <w:spacing w:line="360" w:lineRule="exact"/>
        <w:ind w:firstLineChars="200" w:firstLine="520"/>
        <w:jc w:val="both"/>
        <w:rPr>
          <w:sz w:val="26"/>
          <w:szCs w:val="26"/>
        </w:rPr>
      </w:pPr>
      <w:r w:rsidRPr="005B36DB">
        <w:rPr>
          <w:sz w:val="26"/>
          <w:szCs w:val="26"/>
        </w:rPr>
        <w:t>https://doi.org/10.1108/17410401011023573</w:t>
      </w:r>
    </w:p>
    <w:p w14:paraId="599F27F6" w14:textId="77777777" w:rsidR="000C7ED3" w:rsidRDefault="00885964" w:rsidP="000D5C8E">
      <w:pPr>
        <w:spacing w:line="360" w:lineRule="exact"/>
        <w:ind w:left="520" w:hangingChars="200" w:hanging="520"/>
        <w:jc w:val="both"/>
        <w:rPr>
          <w:sz w:val="26"/>
          <w:szCs w:val="26"/>
        </w:rPr>
      </w:pPr>
      <w:proofErr w:type="spellStart"/>
      <w:r w:rsidRPr="005B36DB">
        <w:rPr>
          <w:sz w:val="26"/>
          <w:szCs w:val="26"/>
        </w:rPr>
        <w:t>Amran</w:t>
      </w:r>
      <w:proofErr w:type="spellEnd"/>
      <w:r w:rsidRPr="005B36DB">
        <w:rPr>
          <w:sz w:val="26"/>
          <w:szCs w:val="26"/>
        </w:rPr>
        <w:t xml:space="preserve">, A., &amp; Devi, S.S. (2008). The impact of government and foreign affiliate on corporate social reporting: The case of Malaysia. </w:t>
      </w:r>
      <w:r w:rsidRPr="005B36DB">
        <w:rPr>
          <w:i/>
          <w:sz w:val="26"/>
          <w:szCs w:val="26"/>
        </w:rPr>
        <w:t>Managerial Auditing Journal</w:t>
      </w:r>
      <w:r w:rsidRPr="005B36DB">
        <w:rPr>
          <w:sz w:val="26"/>
          <w:szCs w:val="26"/>
        </w:rPr>
        <w:t xml:space="preserve">, </w:t>
      </w:r>
      <w:r w:rsidRPr="005B36DB">
        <w:rPr>
          <w:i/>
          <w:sz w:val="26"/>
          <w:szCs w:val="26"/>
        </w:rPr>
        <w:t>23</w:t>
      </w:r>
      <w:r w:rsidRPr="005B36DB">
        <w:rPr>
          <w:sz w:val="26"/>
          <w:szCs w:val="26"/>
        </w:rPr>
        <w:t>(4), 386-404.</w:t>
      </w:r>
      <w:r w:rsidR="00B70E52" w:rsidRPr="005B36DB">
        <w:rPr>
          <w:sz w:val="26"/>
          <w:szCs w:val="26"/>
        </w:rPr>
        <w:t xml:space="preserve"> </w:t>
      </w:r>
    </w:p>
    <w:p w14:paraId="5C21730B" w14:textId="49CCF8AF" w:rsidR="00885964" w:rsidRPr="005B36DB" w:rsidRDefault="00B70E52" w:rsidP="000C7ED3">
      <w:pPr>
        <w:spacing w:line="360" w:lineRule="exact"/>
        <w:ind w:firstLineChars="200" w:firstLine="520"/>
        <w:jc w:val="both"/>
        <w:rPr>
          <w:sz w:val="26"/>
          <w:szCs w:val="26"/>
        </w:rPr>
      </w:pPr>
      <w:r w:rsidRPr="005B36DB">
        <w:rPr>
          <w:sz w:val="26"/>
          <w:szCs w:val="26"/>
        </w:rPr>
        <w:t xml:space="preserve">https://doi.org/10.1108/02686900810864327 </w:t>
      </w:r>
      <w:r w:rsidR="00885964" w:rsidRPr="005B36DB">
        <w:rPr>
          <w:sz w:val="26"/>
          <w:szCs w:val="26"/>
        </w:rPr>
        <w:t xml:space="preserve"> </w:t>
      </w:r>
    </w:p>
    <w:p w14:paraId="27502860" w14:textId="6B2CF9CD" w:rsidR="00724376" w:rsidRPr="005B36DB" w:rsidRDefault="00885964" w:rsidP="000D5C8E">
      <w:pPr>
        <w:spacing w:line="360" w:lineRule="exact"/>
        <w:ind w:left="520" w:hangingChars="200" w:hanging="520"/>
        <w:jc w:val="both"/>
        <w:rPr>
          <w:sz w:val="26"/>
          <w:szCs w:val="26"/>
        </w:rPr>
      </w:pPr>
      <w:r w:rsidRPr="005B36DB">
        <w:rPr>
          <w:sz w:val="26"/>
          <w:szCs w:val="26"/>
        </w:rPr>
        <w:t xml:space="preserve">Bachmann, P. &amp; </w:t>
      </w:r>
      <w:proofErr w:type="spellStart"/>
      <w:r w:rsidRPr="005B36DB">
        <w:rPr>
          <w:sz w:val="26"/>
          <w:szCs w:val="26"/>
        </w:rPr>
        <w:t>Ingenhoff</w:t>
      </w:r>
      <w:proofErr w:type="spellEnd"/>
      <w:r w:rsidRPr="005B36DB">
        <w:rPr>
          <w:sz w:val="26"/>
          <w:szCs w:val="26"/>
        </w:rPr>
        <w:t>, D. (2017). How Do Media Companies Gain Legitimacy? An Experimental Study on the (</w:t>
      </w:r>
      <w:proofErr w:type="spellStart"/>
      <w:r w:rsidRPr="005B36DB">
        <w:rPr>
          <w:sz w:val="26"/>
          <w:szCs w:val="26"/>
        </w:rPr>
        <w:t>Ir</w:t>
      </w:r>
      <w:proofErr w:type="spellEnd"/>
      <w:r w:rsidRPr="005B36DB">
        <w:rPr>
          <w:sz w:val="26"/>
          <w:szCs w:val="26"/>
        </w:rPr>
        <w:t xml:space="preserve">) Relevance of CSR Communication. </w:t>
      </w:r>
      <w:r w:rsidRPr="005B36DB">
        <w:rPr>
          <w:i/>
          <w:sz w:val="26"/>
          <w:szCs w:val="26"/>
        </w:rPr>
        <w:t>International Journal of Strategic Communication</w:t>
      </w:r>
      <w:r w:rsidRPr="005B36DB">
        <w:rPr>
          <w:sz w:val="26"/>
          <w:szCs w:val="26"/>
        </w:rPr>
        <w:t xml:space="preserve">, </w:t>
      </w:r>
      <w:r w:rsidRPr="005B36DB">
        <w:rPr>
          <w:i/>
          <w:sz w:val="26"/>
          <w:szCs w:val="26"/>
        </w:rPr>
        <w:t>11</w:t>
      </w:r>
      <w:r w:rsidR="00852911" w:rsidRPr="005B36DB">
        <w:rPr>
          <w:sz w:val="26"/>
          <w:szCs w:val="26"/>
        </w:rPr>
        <w:t>(</w:t>
      </w:r>
      <w:r w:rsidRPr="005B36DB">
        <w:rPr>
          <w:sz w:val="26"/>
          <w:szCs w:val="26"/>
        </w:rPr>
        <w:t>1</w:t>
      </w:r>
      <w:r w:rsidR="00852911" w:rsidRPr="005B36DB">
        <w:rPr>
          <w:sz w:val="26"/>
          <w:szCs w:val="26"/>
        </w:rPr>
        <w:t>)</w:t>
      </w:r>
      <w:r w:rsidRPr="005B36DB">
        <w:rPr>
          <w:sz w:val="26"/>
          <w:szCs w:val="26"/>
        </w:rPr>
        <w:t>, 79-94.</w:t>
      </w:r>
      <w:r w:rsidR="00B70E52" w:rsidRPr="005B36DB">
        <w:rPr>
          <w:sz w:val="26"/>
          <w:szCs w:val="26"/>
        </w:rPr>
        <w:t xml:space="preserve"> </w:t>
      </w:r>
    </w:p>
    <w:p w14:paraId="0A474A23" w14:textId="4929C277" w:rsidR="00885964" w:rsidRPr="005B36DB" w:rsidRDefault="00B70E52" w:rsidP="00A31D11">
      <w:pPr>
        <w:spacing w:line="360" w:lineRule="exact"/>
        <w:ind w:firstLineChars="200" w:firstLine="520"/>
        <w:jc w:val="both"/>
        <w:rPr>
          <w:sz w:val="26"/>
          <w:szCs w:val="26"/>
        </w:rPr>
      </w:pPr>
      <w:r w:rsidRPr="005B36DB">
        <w:rPr>
          <w:sz w:val="26"/>
          <w:szCs w:val="26"/>
        </w:rPr>
        <w:lastRenderedPageBreak/>
        <w:t>https://doi.org/10.1080/1553118x.2016.1249282</w:t>
      </w:r>
    </w:p>
    <w:p w14:paraId="62163608" w14:textId="70EF2ED9" w:rsidR="00724376" w:rsidRPr="005B36DB" w:rsidRDefault="00885964" w:rsidP="000D5C8E">
      <w:pPr>
        <w:spacing w:line="360" w:lineRule="exact"/>
        <w:ind w:left="520" w:hangingChars="200" w:hanging="520"/>
        <w:jc w:val="both"/>
        <w:rPr>
          <w:sz w:val="26"/>
          <w:szCs w:val="26"/>
        </w:rPr>
      </w:pPr>
      <w:proofErr w:type="spellStart"/>
      <w:r w:rsidRPr="005B36DB">
        <w:rPr>
          <w:sz w:val="26"/>
          <w:szCs w:val="26"/>
        </w:rPr>
        <w:t>Baldini</w:t>
      </w:r>
      <w:proofErr w:type="spellEnd"/>
      <w:r w:rsidRPr="005B36DB">
        <w:rPr>
          <w:sz w:val="26"/>
          <w:szCs w:val="26"/>
        </w:rPr>
        <w:t xml:space="preserve">, M, </w:t>
      </w:r>
      <w:proofErr w:type="spellStart"/>
      <w:r w:rsidRPr="005B36DB">
        <w:rPr>
          <w:sz w:val="26"/>
          <w:szCs w:val="26"/>
        </w:rPr>
        <w:t>Maso</w:t>
      </w:r>
      <w:proofErr w:type="spellEnd"/>
      <w:r w:rsidRPr="005B36DB">
        <w:rPr>
          <w:sz w:val="26"/>
          <w:szCs w:val="26"/>
        </w:rPr>
        <w:t xml:space="preserve">, L.D., </w:t>
      </w:r>
      <w:proofErr w:type="spellStart"/>
      <w:r w:rsidRPr="005B36DB">
        <w:rPr>
          <w:sz w:val="26"/>
          <w:szCs w:val="26"/>
        </w:rPr>
        <w:t>Liberatore</w:t>
      </w:r>
      <w:proofErr w:type="spellEnd"/>
      <w:r w:rsidRPr="005B36DB">
        <w:rPr>
          <w:sz w:val="26"/>
          <w:szCs w:val="26"/>
        </w:rPr>
        <w:t xml:space="preserve">, G., </w:t>
      </w:r>
      <w:proofErr w:type="spellStart"/>
      <w:r w:rsidRPr="005B36DB">
        <w:rPr>
          <w:sz w:val="26"/>
          <w:szCs w:val="26"/>
        </w:rPr>
        <w:t>Mazzi</w:t>
      </w:r>
      <w:proofErr w:type="spellEnd"/>
      <w:r w:rsidRPr="005B36DB">
        <w:rPr>
          <w:sz w:val="26"/>
          <w:szCs w:val="26"/>
        </w:rPr>
        <w:t>, F. &amp;</w:t>
      </w:r>
      <w:proofErr w:type="spellStart"/>
      <w:r w:rsidRPr="005B36DB">
        <w:rPr>
          <w:sz w:val="26"/>
          <w:szCs w:val="26"/>
        </w:rPr>
        <w:t>Terzani</w:t>
      </w:r>
      <w:proofErr w:type="spellEnd"/>
      <w:r w:rsidRPr="005B36DB">
        <w:rPr>
          <w:sz w:val="26"/>
          <w:szCs w:val="26"/>
        </w:rPr>
        <w:t>, S. (2018). Role of Country- and Firm-Level Determinants in Environmental, Soci</w:t>
      </w:r>
      <w:r w:rsidR="00050AB9" w:rsidRPr="005B36DB">
        <w:rPr>
          <w:sz w:val="26"/>
          <w:szCs w:val="26"/>
        </w:rPr>
        <w:t>al, and Governance Disclosure.</w:t>
      </w:r>
      <w:r w:rsidR="00050AB9" w:rsidRPr="005B36DB">
        <w:rPr>
          <w:rFonts w:eastAsiaTheme="minorEastAsia"/>
          <w:sz w:val="26"/>
          <w:szCs w:val="26"/>
          <w:lang w:eastAsia="zh-TW"/>
        </w:rPr>
        <w:t xml:space="preserve"> </w:t>
      </w:r>
      <w:r w:rsidRPr="005B36DB">
        <w:rPr>
          <w:i/>
          <w:sz w:val="26"/>
          <w:szCs w:val="26"/>
        </w:rPr>
        <w:t>Journal of Business Ethics</w:t>
      </w:r>
      <w:r w:rsidRPr="005B36DB">
        <w:rPr>
          <w:sz w:val="26"/>
          <w:szCs w:val="26"/>
        </w:rPr>
        <w:t xml:space="preserve">, </w:t>
      </w:r>
      <w:r w:rsidRPr="005B36DB">
        <w:rPr>
          <w:i/>
          <w:sz w:val="26"/>
          <w:szCs w:val="26"/>
        </w:rPr>
        <w:t>150</w:t>
      </w:r>
      <w:r w:rsidRPr="005B36DB">
        <w:rPr>
          <w:sz w:val="26"/>
          <w:szCs w:val="26"/>
        </w:rPr>
        <w:t>(1), 79</w:t>
      </w:r>
      <w:r w:rsidR="00724376" w:rsidRPr="005B36DB">
        <w:rPr>
          <w:sz w:val="26"/>
          <w:szCs w:val="26"/>
        </w:rPr>
        <w:t>-</w:t>
      </w:r>
      <w:r w:rsidRPr="005B36DB">
        <w:rPr>
          <w:sz w:val="26"/>
          <w:szCs w:val="26"/>
        </w:rPr>
        <w:t>98.</w:t>
      </w:r>
      <w:r w:rsidR="001633DA" w:rsidRPr="005B36DB">
        <w:rPr>
          <w:sz w:val="26"/>
          <w:szCs w:val="26"/>
        </w:rPr>
        <w:t xml:space="preserve"> </w:t>
      </w:r>
    </w:p>
    <w:p w14:paraId="6BF3CBB9" w14:textId="0923B2D7" w:rsidR="00885964" w:rsidRPr="005B36DB" w:rsidRDefault="001633DA" w:rsidP="00A31D11">
      <w:pPr>
        <w:spacing w:line="360" w:lineRule="exact"/>
        <w:ind w:firstLineChars="200" w:firstLine="520"/>
        <w:jc w:val="both"/>
        <w:rPr>
          <w:sz w:val="26"/>
          <w:szCs w:val="26"/>
        </w:rPr>
      </w:pPr>
      <w:r w:rsidRPr="005B36DB">
        <w:rPr>
          <w:sz w:val="26"/>
          <w:szCs w:val="26"/>
        </w:rPr>
        <w:t>https://doi.org/10.1007/s10551-016-3139-1</w:t>
      </w:r>
    </w:p>
    <w:p w14:paraId="3990A518" w14:textId="5EE9F919" w:rsidR="00724376" w:rsidRPr="005B36DB" w:rsidRDefault="00885964" w:rsidP="000D5C8E">
      <w:pPr>
        <w:spacing w:line="360" w:lineRule="exact"/>
        <w:ind w:left="520" w:hangingChars="200" w:hanging="520"/>
        <w:jc w:val="both"/>
        <w:rPr>
          <w:sz w:val="26"/>
          <w:szCs w:val="26"/>
        </w:rPr>
      </w:pPr>
      <w:r w:rsidRPr="005B36DB">
        <w:rPr>
          <w:sz w:val="26"/>
          <w:szCs w:val="26"/>
        </w:rPr>
        <w:t>Bansal, P. (2005). Evolving</w:t>
      </w:r>
      <w:r w:rsidR="00E10908" w:rsidRPr="005B36DB">
        <w:rPr>
          <w:sz w:val="26"/>
          <w:szCs w:val="26"/>
        </w:rPr>
        <w:t xml:space="preserve"> sustainability</w:t>
      </w:r>
      <w:r w:rsidRPr="005B36DB">
        <w:rPr>
          <w:sz w:val="26"/>
          <w:szCs w:val="26"/>
        </w:rPr>
        <w:t>: A L</w:t>
      </w:r>
      <w:r w:rsidR="00E10908" w:rsidRPr="005B36DB">
        <w:rPr>
          <w:sz w:val="26"/>
          <w:szCs w:val="26"/>
        </w:rPr>
        <w:t>ongitudinal study of corporate sustainable developmen</w:t>
      </w:r>
      <w:r w:rsidRPr="005B36DB">
        <w:rPr>
          <w:sz w:val="26"/>
          <w:szCs w:val="26"/>
        </w:rPr>
        <w:t xml:space="preserve">t. </w:t>
      </w:r>
      <w:r w:rsidRPr="005B36DB">
        <w:rPr>
          <w:i/>
          <w:sz w:val="26"/>
          <w:szCs w:val="26"/>
        </w:rPr>
        <w:t>Strategic Management Journal</w:t>
      </w:r>
      <w:r w:rsidRPr="005B36DB">
        <w:rPr>
          <w:sz w:val="26"/>
          <w:szCs w:val="26"/>
        </w:rPr>
        <w:t xml:space="preserve">, </w:t>
      </w:r>
      <w:r w:rsidRPr="005B36DB">
        <w:rPr>
          <w:i/>
          <w:sz w:val="26"/>
          <w:szCs w:val="26"/>
        </w:rPr>
        <w:t>26</w:t>
      </w:r>
      <w:r w:rsidRPr="005B36DB">
        <w:rPr>
          <w:sz w:val="26"/>
          <w:szCs w:val="26"/>
        </w:rPr>
        <w:t>(3), 197</w:t>
      </w:r>
      <w:r w:rsidR="00724376" w:rsidRPr="005B36DB">
        <w:rPr>
          <w:sz w:val="26"/>
          <w:szCs w:val="26"/>
        </w:rPr>
        <w:t>-</w:t>
      </w:r>
      <w:r w:rsidRPr="005B36DB">
        <w:rPr>
          <w:sz w:val="26"/>
          <w:szCs w:val="26"/>
        </w:rPr>
        <w:t>218.</w:t>
      </w:r>
      <w:r w:rsidR="001633DA" w:rsidRPr="005B36DB">
        <w:rPr>
          <w:sz w:val="26"/>
          <w:szCs w:val="26"/>
        </w:rPr>
        <w:t xml:space="preserve"> </w:t>
      </w:r>
    </w:p>
    <w:p w14:paraId="346896C7" w14:textId="7D1A4C07" w:rsidR="00885964" w:rsidRPr="005B36DB" w:rsidRDefault="001633DA" w:rsidP="00A31D11">
      <w:pPr>
        <w:spacing w:line="360" w:lineRule="exact"/>
        <w:ind w:firstLineChars="200" w:firstLine="520"/>
        <w:jc w:val="both"/>
        <w:rPr>
          <w:sz w:val="26"/>
          <w:szCs w:val="26"/>
        </w:rPr>
      </w:pPr>
      <w:r w:rsidRPr="005B36DB">
        <w:rPr>
          <w:sz w:val="26"/>
          <w:szCs w:val="26"/>
        </w:rPr>
        <w:t>https://doi.org/10.1002/smj.441</w:t>
      </w:r>
    </w:p>
    <w:p w14:paraId="74E39F3A" w14:textId="279A9A82" w:rsidR="00724376" w:rsidRPr="005B36DB" w:rsidRDefault="00885964" w:rsidP="000D5C8E">
      <w:pPr>
        <w:spacing w:line="360" w:lineRule="exact"/>
        <w:ind w:left="520" w:hangingChars="200" w:hanging="520"/>
        <w:jc w:val="both"/>
        <w:rPr>
          <w:sz w:val="26"/>
          <w:szCs w:val="26"/>
        </w:rPr>
      </w:pPr>
      <w:r w:rsidRPr="005B36DB">
        <w:rPr>
          <w:sz w:val="26"/>
          <w:szCs w:val="26"/>
        </w:rPr>
        <w:t xml:space="preserve">Bansal, P. &amp; Roth, K. (2000). Why companies go green: a model of ecological responsiveness. </w:t>
      </w:r>
      <w:r w:rsidRPr="005B36DB">
        <w:rPr>
          <w:i/>
          <w:sz w:val="26"/>
          <w:szCs w:val="26"/>
        </w:rPr>
        <w:t>Academy of Management Journal</w:t>
      </w:r>
      <w:r w:rsidRPr="005B36DB">
        <w:rPr>
          <w:sz w:val="26"/>
          <w:szCs w:val="26"/>
        </w:rPr>
        <w:t xml:space="preserve">, </w:t>
      </w:r>
      <w:r w:rsidRPr="005B36DB">
        <w:rPr>
          <w:i/>
          <w:sz w:val="26"/>
          <w:szCs w:val="26"/>
        </w:rPr>
        <w:t>43</w:t>
      </w:r>
      <w:r w:rsidRPr="005B36DB">
        <w:rPr>
          <w:sz w:val="26"/>
          <w:szCs w:val="26"/>
        </w:rPr>
        <w:t>(4), 717</w:t>
      </w:r>
      <w:r w:rsidR="00724376" w:rsidRPr="005B36DB">
        <w:rPr>
          <w:sz w:val="26"/>
          <w:szCs w:val="26"/>
        </w:rPr>
        <w:t>-</w:t>
      </w:r>
      <w:r w:rsidRPr="005B36DB">
        <w:rPr>
          <w:sz w:val="26"/>
          <w:szCs w:val="26"/>
        </w:rPr>
        <w:t>736.</w:t>
      </w:r>
      <w:r w:rsidR="001633DA" w:rsidRPr="005B36DB">
        <w:rPr>
          <w:sz w:val="26"/>
          <w:szCs w:val="26"/>
        </w:rPr>
        <w:t xml:space="preserve"> </w:t>
      </w:r>
    </w:p>
    <w:p w14:paraId="2B6D2185" w14:textId="5B60697B" w:rsidR="00885964" w:rsidRPr="005B36DB" w:rsidRDefault="001633DA" w:rsidP="00A31D11">
      <w:pPr>
        <w:spacing w:line="360" w:lineRule="exact"/>
        <w:ind w:firstLineChars="200" w:firstLine="520"/>
        <w:jc w:val="both"/>
        <w:rPr>
          <w:sz w:val="26"/>
          <w:szCs w:val="26"/>
        </w:rPr>
      </w:pPr>
      <w:r w:rsidRPr="005B36DB">
        <w:rPr>
          <w:sz w:val="26"/>
          <w:szCs w:val="26"/>
        </w:rPr>
        <w:t>https://doi.org/10.5465/1556363</w:t>
      </w:r>
    </w:p>
    <w:p w14:paraId="1CBB85CD" w14:textId="14C75C0F" w:rsidR="00724376" w:rsidRPr="005B36DB" w:rsidRDefault="00885964" w:rsidP="000D5C8E">
      <w:pPr>
        <w:spacing w:line="360" w:lineRule="exact"/>
        <w:ind w:left="520" w:hangingChars="200" w:hanging="520"/>
        <w:jc w:val="both"/>
        <w:rPr>
          <w:sz w:val="26"/>
          <w:szCs w:val="26"/>
        </w:rPr>
      </w:pPr>
      <w:proofErr w:type="spellStart"/>
      <w:r w:rsidRPr="005B36DB">
        <w:rPr>
          <w:sz w:val="26"/>
          <w:szCs w:val="26"/>
        </w:rPr>
        <w:t>Barako</w:t>
      </w:r>
      <w:proofErr w:type="spellEnd"/>
      <w:r w:rsidRPr="005B36DB">
        <w:rPr>
          <w:sz w:val="26"/>
          <w:szCs w:val="26"/>
        </w:rPr>
        <w:t xml:space="preserve">, D.G., Hancock, P. &amp; </w:t>
      </w:r>
      <w:proofErr w:type="spellStart"/>
      <w:r w:rsidRPr="005B36DB">
        <w:rPr>
          <w:sz w:val="26"/>
          <w:szCs w:val="26"/>
        </w:rPr>
        <w:t>Izan</w:t>
      </w:r>
      <w:proofErr w:type="spellEnd"/>
      <w:r w:rsidRPr="005B36DB">
        <w:rPr>
          <w:sz w:val="26"/>
          <w:szCs w:val="26"/>
        </w:rPr>
        <w:t xml:space="preserve">, H.Y. (2006). Factors influencing voluntary disclosure by Kenyan companies. </w:t>
      </w:r>
      <w:r w:rsidRPr="005B36DB">
        <w:rPr>
          <w:i/>
          <w:sz w:val="26"/>
          <w:szCs w:val="26"/>
        </w:rPr>
        <w:t>Corporate Governance</w:t>
      </w:r>
      <w:r w:rsidRPr="005B36DB">
        <w:rPr>
          <w:sz w:val="26"/>
          <w:szCs w:val="26"/>
        </w:rPr>
        <w:t xml:space="preserve">, </w:t>
      </w:r>
      <w:r w:rsidRPr="005B36DB">
        <w:rPr>
          <w:i/>
          <w:sz w:val="26"/>
          <w:szCs w:val="26"/>
        </w:rPr>
        <w:t>14</w:t>
      </w:r>
      <w:r w:rsidR="001633DA" w:rsidRPr="005B36DB">
        <w:rPr>
          <w:sz w:val="26"/>
          <w:szCs w:val="26"/>
        </w:rPr>
        <w:t>(2)</w:t>
      </w:r>
      <w:r w:rsidRPr="005B36DB">
        <w:rPr>
          <w:sz w:val="26"/>
          <w:szCs w:val="26"/>
        </w:rPr>
        <w:t>, 107</w:t>
      </w:r>
      <w:r w:rsidR="00724376" w:rsidRPr="005B36DB">
        <w:rPr>
          <w:sz w:val="26"/>
          <w:szCs w:val="26"/>
        </w:rPr>
        <w:t>-</w:t>
      </w:r>
      <w:r w:rsidRPr="005B36DB">
        <w:rPr>
          <w:sz w:val="26"/>
          <w:szCs w:val="26"/>
        </w:rPr>
        <w:t>125.</w:t>
      </w:r>
      <w:r w:rsidR="001633DA" w:rsidRPr="005B36DB">
        <w:rPr>
          <w:sz w:val="26"/>
          <w:szCs w:val="26"/>
        </w:rPr>
        <w:t xml:space="preserve"> </w:t>
      </w:r>
    </w:p>
    <w:p w14:paraId="14ABB1E7" w14:textId="6108D573" w:rsidR="00885964" w:rsidRPr="005B36DB" w:rsidRDefault="001633DA" w:rsidP="00A31D11">
      <w:pPr>
        <w:spacing w:line="360" w:lineRule="exact"/>
        <w:ind w:firstLineChars="200" w:firstLine="520"/>
        <w:jc w:val="both"/>
        <w:rPr>
          <w:sz w:val="26"/>
          <w:szCs w:val="26"/>
        </w:rPr>
      </w:pPr>
      <w:r w:rsidRPr="005B36DB">
        <w:rPr>
          <w:sz w:val="26"/>
          <w:szCs w:val="26"/>
        </w:rPr>
        <w:t>https://doi.org/10.1111/j.1467-8683.2006.00491.x</w:t>
      </w:r>
    </w:p>
    <w:p w14:paraId="0141F726" w14:textId="77777777" w:rsidR="000C7ED3" w:rsidRDefault="00885964" w:rsidP="000D5C8E">
      <w:pPr>
        <w:spacing w:line="360" w:lineRule="exact"/>
        <w:ind w:left="520" w:hangingChars="200" w:hanging="520"/>
        <w:jc w:val="both"/>
        <w:rPr>
          <w:sz w:val="26"/>
          <w:szCs w:val="26"/>
        </w:rPr>
      </w:pPr>
      <w:proofErr w:type="spellStart"/>
      <w:r w:rsidRPr="005B36DB">
        <w:rPr>
          <w:sz w:val="26"/>
          <w:szCs w:val="26"/>
        </w:rPr>
        <w:t>Belal</w:t>
      </w:r>
      <w:proofErr w:type="spellEnd"/>
      <w:r w:rsidRPr="005B36DB">
        <w:rPr>
          <w:sz w:val="26"/>
          <w:szCs w:val="26"/>
        </w:rPr>
        <w:t xml:space="preserve"> A. R. &amp; </w:t>
      </w:r>
      <w:proofErr w:type="spellStart"/>
      <w:r w:rsidRPr="005B36DB">
        <w:rPr>
          <w:sz w:val="26"/>
          <w:szCs w:val="26"/>
        </w:rPr>
        <w:t>Momin</w:t>
      </w:r>
      <w:proofErr w:type="spellEnd"/>
      <w:r w:rsidRPr="005B36DB">
        <w:rPr>
          <w:sz w:val="26"/>
          <w:szCs w:val="26"/>
        </w:rPr>
        <w:t xml:space="preserve">, M. (2009). Corporate </w:t>
      </w:r>
      <w:r w:rsidR="00E10908" w:rsidRPr="005B36DB">
        <w:rPr>
          <w:sz w:val="26"/>
          <w:szCs w:val="26"/>
        </w:rPr>
        <w:t>social reporting</w:t>
      </w:r>
      <w:r w:rsidRPr="005B36DB">
        <w:rPr>
          <w:sz w:val="26"/>
          <w:szCs w:val="26"/>
        </w:rPr>
        <w:t xml:space="preserve"> (CSR) in </w:t>
      </w:r>
      <w:r w:rsidR="00E10908" w:rsidRPr="005B36DB">
        <w:rPr>
          <w:sz w:val="26"/>
          <w:szCs w:val="26"/>
        </w:rPr>
        <w:t>emerging economies</w:t>
      </w:r>
      <w:r w:rsidRPr="005B36DB">
        <w:rPr>
          <w:sz w:val="26"/>
          <w:szCs w:val="26"/>
        </w:rPr>
        <w:t xml:space="preserve">: A </w:t>
      </w:r>
      <w:r w:rsidR="00E10908" w:rsidRPr="005B36DB">
        <w:rPr>
          <w:sz w:val="26"/>
          <w:szCs w:val="26"/>
        </w:rPr>
        <w:t>review and future directio</w:t>
      </w:r>
      <w:r w:rsidRPr="005B36DB">
        <w:rPr>
          <w:sz w:val="26"/>
          <w:szCs w:val="26"/>
        </w:rPr>
        <w:t xml:space="preserve">n. </w:t>
      </w:r>
      <w:r w:rsidRPr="005B36DB">
        <w:rPr>
          <w:i/>
          <w:sz w:val="26"/>
          <w:szCs w:val="26"/>
        </w:rPr>
        <w:t>Research in Accounting in Emerging Economics</w:t>
      </w:r>
      <w:r w:rsidRPr="005B36DB">
        <w:rPr>
          <w:sz w:val="26"/>
          <w:szCs w:val="26"/>
        </w:rPr>
        <w:t>,</w:t>
      </w:r>
      <w:r w:rsidR="00724376" w:rsidRPr="005B36DB">
        <w:rPr>
          <w:rFonts w:eastAsiaTheme="minorEastAsia"/>
          <w:sz w:val="26"/>
          <w:szCs w:val="26"/>
          <w:lang w:eastAsia="zh-TW"/>
        </w:rPr>
        <w:t xml:space="preserve"> </w:t>
      </w:r>
      <w:r w:rsidR="00724376" w:rsidRPr="003006D4">
        <w:rPr>
          <w:rFonts w:eastAsiaTheme="minorEastAsia"/>
          <w:i/>
          <w:sz w:val="26"/>
          <w:szCs w:val="26"/>
          <w:lang w:eastAsia="zh-TW"/>
        </w:rPr>
        <w:t xml:space="preserve">9, </w:t>
      </w:r>
      <w:r w:rsidRPr="005B36DB">
        <w:rPr>
          <w:sz w:val="26"/>
          <w:szCs w:val="26"/>
        </w:rPr>
        <w:t>119-14</w:t>
      </w:r>
      <w:r w:rsidR="001633DA" w:rsidRPr="005B36DB">
        <w:rPr>
          <w:sz w:val="26"/>
          <w:szCs w:val="26"/>
        </w:rPr>
        <w:t>3</w:t>
      </w:r>
      <w:r w:rsidRPr="005B36DB">
        <w:rPr>
          <w:sz w:val="26"/>
          <w:szCs w:val="26"/>
        </w:rPr>
        <w:t>.</w:t>
      </w:r>
      <w:r w:rsidR="001633DA" w:rsidRPr="005B36DB">
        <w:rPr>
          <w:sz w:val="26"/>
          <w:szCs w:val="26"/>
        </w:rPr>
        <w:t xml:space="preserve"> </w:t>
      </w:r>
    </w:p>
    <w:p w14:paraId="19D4A271" w14:textId="5AB30B13" w:rsidR="00885964" w:rsidRPr="005B36DB" w:rsidRDefault="001633DA" w:rsidP="000C7ED3">
      <w:pPr>
        <w:spacing w:line="360" w:lineRule="exact"/>
        <w:ind w:firstLineChars="200" w:firstLine="520"/>
        <w:jc w:val="both"/>
        <w:rPr>
          <w:sz w:val="26"/>
          <w:szCs w:val="26"/>
        </w:rPr>
      </w:pPr>
      <w:r w:rsidRPr="005B36DB">
        <w:rPr>
          <w:sz w:val="26"/>
          <w:szCs w:val="26"/>
        </w:rPr>
        <w:t xml:space="preserve">https://doi.org/10.1108/s1479-3563(2009)0000009007 </w:t>
      </w:r>
      <w:r w:rsidR="00885964" w:rsidRPr="005B36DB">
        <w:rPr>
          <w:sz w:val="26"/>
          <w:szCs w:val="26"/>
        </w:rPr>
        <w:t xml:space="preserve"> </w:t>
      </w:r>
    </w:p>
    <w:p w14:paraId="6F7FCEF9" w14:textId="77777777" w:rsidR="000C7ED3" w:rsidRDefault="00885964" w:rsidP="000D5C8E">
      <w:pPr>
        <w:spacing w:line="360" w:lineRule="exact"/>
        <w:ind w:left="520" w:hangingChars="200" w:hanging="520"/>
        <w:jc w:val="both"/>
        <w:rPr>
          <w:sz w:val="26"/>
          <w:szCs w:val="26"/>
        </w:rPr>
      </w:pPr>
      <w:proofErr w:type="spellStart"/>
      <w:r w:rsidRPr="005B36DB">
        <w:rPr>
          <w:sz w:val="26"/>
          <w:szCs w:val="26"/>
        </w:rPr>
        <w:t>Belal</w:t>
      </w:r>
      <w:proofErr w:type="spellEnd"/>
      <w:r w:rsidRPr="005B36DB">
        <w:rPr>
          <w:sz w:val="26"/>
          <w:szCs w:val="26"/>
        </w:rPr>
        <w:t xml:space="preserve">, A. R. &amp; Owen, D. (2007). The </w:t>
      </w:r>
      <w:r w:rsidR="00E10908" w:rsidRPr="005B36DB">
        <w:rPr>
          <w:sz w:val="26"/>
          <w:szCs w:val="26"/>
        </w:rPr>
        <w:t xml:space="preserve">views of corporate managers on the current state of, and future prospects for, social reporting </w:t>
      </w:r>
      <w:r w:rsidRPr="005B36DB">
        <w:rPr>
          <w:sz w:val="26"/>
          <w:szCs w:val="26"/>
        </w:rPr>
        <w:t xml:space="preserve">in Bangladesh: An </w:t>
      </w:r>
      <w:r w:rsidR="00E10908" w:rsidRPr="005B36DB">
        <w:rPr>
          <w:sz w:val="26"/>
          <w:szCs w:val="26"/>
        </w:rPr>
        <w:t>engagement based stud</w:t>
      </w:r>
      <w:r w:rsidRPr="005B36DB">
        <w:rPr>
          <w:sz w:val="26"/>
          <w:szCs w:val="26"/>
        </w:rPr>
        <w:t xml:space="preserve">y. </w:t>
      </w:r>
      <w:r w:rsidRPr="00E10908">
        <w:rPr>
          <w:i/>
          <w:sz w:val="26"/>
          <w:szCs w:val="26"/>
        </w:rPr>
        <w:t>Accounting, Auditing and Accountability Journal,</w:t>
      </w:r>
      <w:r w:rsidRPr="005B36DB">
        <w:rPr>
          <w:sz w:val="26"/>
          <w:szCs w:val="26"/>
        </w:rPr>
        <w:t xml:space="preserve"> </w:t>
      </w:r>
      <w:r w:rsidRPr="005B36DB">
        <w:rPr>
          <w:i/>
          <w:sz w:val="26"/>
          <w:szCs w:val="26"/>
        </w:rPr>
        <w:t>20</w:t>
      </w:r>
      <w:r w:rsidRPr="005B36DB">
        <w:rPr>
          <w:sz w:val="26"/>
          <w:szCs w:val="26"/>
        </w:rPr>
        <w:t>(3),</w:t>
      </w:r>
      <w:r w:rsidR="001633DA" w:rsidRPr="005B36DB">
        <w:rPr>
          <w:sz w:val="26"/>
          <w:szCs w:val="26"/>
        </w:rPr>
        <w:t xml:space="preserve"> 472-494. </w:t>
      </w:r>
    </w:p>
    <w:p w14:paraId="0D689362" w14:textId="15340731" w:rsidR="00885964" w:rsidRPr="005B36DB" w:rsidRDefault="001633DA" w:rsidP="000C7ED3">
      <w:pPr>
        <w:spacing w:line="360" w:lineRule="exact"/>
        <w:ind w:firstLineChars="200" w:firstLine="520"/>
        <w:jc w:val="both"/>
        <w:rPr>
          <w:sz w:val="26"/>
          <w:szCs w:val="26"/>
        </w:rPr>
      </w:pPr>
      <w:r w:rsidRPr="005B36DB">
        <w:rPr>
          <w:sz w:val="26"/>
          <w:szCs w:val="26"/>
        </w:rPr>
        <w:t>https://doi.org/10.1108/09513570710748599</w:t>
      </w:r>
    </w:p>
    <w:p w14:paraId="4D575534" w14:textId="77777777" w:rsidR="000C7ED3" w:rsidRDefault="00885964" w:rsidP="0011086F">
      <w:pPr>
        <w:autoSpaceDE w:val="0"/>
        <w:autoSpaceDN w:val="0"/>
        <w:adjustRightInd w:val="0"/>
        <w:spacing w:line="360" w:lineRule="exact"/>
        <w:ind w:left="567" w:hanging="567"/>
        <w:jc w:val="both"/>
        <w:rPr>
          <w:sz w:val="26"/>
          <w:szCs w:val="26"/>
        </w:rPr>
      </w:pPr>
      <w:proofErr w:type="spellStart"/>
      <w:r w:rsidRPr="005B36DB">
        <w:rPr>
          <w:color w:val="000000"/>
          <w:sz w:val="26"/>
          <w:szCs w:val="26"/>
        </w:rPr>
        <w:t>Behram</w:t>
      </w:r>
      <w:proofErr w:type="spellEnd"/>
      <w:r w:rsidRPr="005B36DB">
        <w:rPr>
          <w:color w:val="000000"/>
          <w:sz w:val="26"/>
          <w:szCs w:val="26"/>
        </w:rPr>
        <w:t xml:space="preserve">, N.K. (2015). </w:t>
      </w:r>
      <w:r w:rsidRPr="005B36DB">
        <w:rPr>
          <w:noProof/>
          <w:color w:val="000000"/>
          <w:sz w:val="26"/>
          <w:szCs w:val="26"/>
        </w:rPr>
        <w:t xml:space="preserve">A </w:t>
      </w:r>
      <w:r w:rsidR="00E10908" w:rsidRPr="005B36DB">
        <w:rPr>
          <w:noProof/>
          <w:color w:val="000000"/>
          <w:sz w:val="26"/>
          <w:szCs w:val="26"/>
        </w:rPr>
        <w:t>cross-sectoral analysis</w:t>
      </w:r>
      <w:r w:rsidR="00E10908" w:rsidRPr="005B36DB">
        <w:rPr>
          <w:color w:val="000000"/>
          <w:sz w:val="26"/>
          <w:szCs w:val="26"/>
        </w:rPr>
        <w:t xml:space="preserve"> of environmental disclosures in a legitimacy theory context</w:t>
      </w:r>
      <w:r w:rsidRPr="005B36DB">
        <w:rPr>
          <w:color w:val="000000"/>
          <w:sz w:val="26"/>
          <w:szCs w:val="26"/>
        </w:rPr>
        <w:t xml:space="preserve">. </w:t>
      </w:r>
      <w:r w:rsidRPr="005B36DB">
        <w:rPr>
          <w:i/>
          <w:color w:val="000000"/>
          <w:sz w:val="26"/>
          <w:szCs w:val="26"/>
        </w:rPr>
        <w:t>Journal of Management and Sustainability,</w:t>
      </w:r>
      <w:r w:rsidRPr="005B36DB">
        <w:rPr>
          <w:color w:val="000000"/>
          <w:sz w:val="26"/>
          <w:szCs w:val="26"/>
        </w:rPr>
        <w:t xml:space="preserve"> </w:t>
      </w:r>
      <w:r w:rsidRPr="005B36DB">
        <w:rPr>
          <w:i/>
          <w:color w:val="000000"/>
          <w:sz w:val="26"/>
          <w:szCs w:val="26"/>
        </w:rPr>
        <w:t>5</w:t>
      </w:r>
      <w:r w:rsidRPr="005B36DB">
        <w:rPr>
          <w:color w:val="000000"/>
          <w:sz w:val="26"/>
          <w:szCs w:val="26"/>
        </w:rPr>
        <w:t>(1)</w:t>
      </w:r>
      <w:r w:rsidR="00724376" w:rsidRPr="005B36DB">
        <w:rPr>
          <w:color w:val="000000"/>
          <w:sz w:val="26"/>
          <w:szCs w:val="26"/>
        </w:rPr>
        <w:t>, 20-37</w:t>
      </w:r>
      <w:r w:rsidR="001633DA" w:rsidRPr="005B36DB">
        <w:rPr>
          <w:color w:val="000000"/>
          <w:sz w:val="26"/>
          <w:szCs w:val="26"/>
        </w:rPr>
        <w:t>.</w:t>
      </w:r>
      <w:r w:rsidR="001633DA" w:rsidRPr="005B36DB">
        <w:rPr>
          <w:sz w:val="26"/>
          <w:szCs w:val="26"/>
        </w:rPr>
        <w:t xml:space="preserve"> </w:t>
      </w:r>
    </w:p>
    <w:p w14:paraId="7FEAD144" w14:textId="2A6C9072" w:rsidR="00885964" w:rsidRPr="000C7ED3" w:rsidRDefault="001633DA" w:rsidP="000C7ED3">
      <w:pPr>
        <w:spacing w:line="360" w:lineRule="exact"/>
        <w:ind w:firstLineChars="200" w:firstLine="520"/>
        <w:jc w:val="both"/>
        <w:rPr>
          <w:sz w:val="26"/>
          <w:szCs w:val="26"/>
        </w:rPr>
      </w:pPr>
      <w:r w:rsidRPr="000C7ED3">
        <w:rPr>
          <w:sz w:val="26"/>
          <w:szCs w:val="26"/>
        </w:rPr>
        <w:t>https://doi.org/10.5539/jms.v5n1p20</w:t>
      </w:r>
    </w:p>
    <w:p w14:paraId="52C9B9B7" w14:textId="77777777" w:rsidR="000C7ED3" w:rsidRDefault="00885964" w:rsidP="0011086F">
      <w:pPr>
        <w:autoSpaceDE w:val="0"/>
        <w:autoSpaceDN w:val="0"/>
        <w:adjustRightInd w:val="0"/>
        <w:spacing w:line="360" w:lineRule="exact"/>
        <w:ind w:left="567" w:hanging="567"/>
        <w:jc w:val="both"/>
        <w:rPr>
          <w:sz w:val="26"/>
          <w:szCs w:val="26"/>
        </w:rPr>
      </w:pPr>
      <w:proofErr w:type="spellStart"/>
      <w:r w:rsidRPr="005B36DB">
        <w:rPr>
          <w:color w:val="000000"/>
          <w:sz w:val="26"/>
          <w:szCs w:val="26"/>
        </w:rPr>
        <w:t>Bitektine</w:t>
      </w:r>
      <w:proofErr w:type="spellEnd"/>
      <w:r w:rsidRPr="005B36DB">
        <w:rPr>
          <w:color w:val="000000"/>
          <w:sz w:val="26"/>
          <w:szCs w:val="26"/>
        </w:rPr>
        <w:t xml:space="preserve">, A. (2011). Towards a theory of social judgements of organizations: The case of legitimacy, reputation, and status. </w:t>
      </w:r>
      <w:r w:rsidRPr="005B36DB">
        <w:rPr>
          <w:i/>
          <w:color w:val="000000"/>
          <w:sz w:val="26"/>
          <w:szCs w:val="26"/>
        </w:rPr>
        <w:t>Academy of Management Review,</w:t>
      </w:r>
      <w:r w:rsidRPr="005B36DB">
        <w:rPr>
          <w:color w:val="000000"/>
          <w:sz w:val="26"/>
          <w:szCs w:val="26"/>
        </w:rPr>
        <w:t xml:space="preserve"> </w:t>
      </w:r>
      <w:r w:rsidRPr="005B36DB">
        <w:rPr>
          <w:i/>
          <w:color w:val="000000"/>
          <w:sz w:val="26"/>
          <w:szCs w:val="26"/>
        </w:rPr>
        <w:t>36</w:t>
      </w:r>
      <w:r w:rsidRPr="005B36DB">
        <w:rPr>
          <w:color w:val="000000"/>
          <w:sz w:val="26"/>
          <w:szCs w:val="26"/>
        </w:rPr>
        <w:t>(1), 151</w:t>
      </w:r>
      <w:r w:rsidR="00724376" w:rsidRPr="005B36DB">
        <w:rPr>
          <w:color w:val="000000"/>
          <w:sz w:val="26"/>
          <w:szCs w:val="26"/>
        </w:rPr>
        <w:t>-</w:t>
      </w:r>
      <w:r w:rsidRPr="005B36DB">
        <w:rPr>
          <w:color w:val="000000"/>
          <w:sz w:val="26"/>
          <w:szCs w:val="26"/>
        </w:rPr>
        <w:t>179.</w:t>
      </w:r>
      <w:r w:rsidR="001633DA" w:rsidRPr="005B36DB">
        <w:rPr>
          <w:sz w:val="26"/>
          <w:szCs w:val="26"/>
        </w:rPr>
        <w:t xml:space="preserve"> </w:t>
      </w:r>
    </w:p>
    <w:p w14:paraId="6E6B2685" w14:textId="1FE684D6" w:rsidR="00885964" w:rsidRPr="000C7ED3" w:rsidRDefault="001633DA" w:rsidP="000C7ED3">
      <w:pPr>
        <w:spacing w:line="360" w:lineRule="exact"/>
        <w:ind w:firstLineChars="200" w:firstLine="520"/>
        <w:jc w:val="both"/>
        <w:rPr>
          <w:sz w:val="26"/>
          <w:szCs w:val="26"/>
        </w:rPr>
      </w:pPr>
      <w:r w:rsidRPr="000C7ED3">
        <w:rPr>
          <w:sz w:val="26"/>
          <w:szCs w:val="26"/>
        </w:rPr>
        <w:t>https://doi.org/10.5465/amr.2009.0382</w:t>
      </w:r>
    </w:p>
    <w:p w14:paraId="562032EC" w14:textId="44610469" w:rsidR="000C7ED3" w:rsidRDefault="00885964" w:rsidP="0011086F">
      <w:pPr>
        <w:autoSpaceDE w:val="0"/>
        <w:autoSpaceDN w:val="0"/>
        <w:adjustRightInd w:val="0"/>
        <w:spacing w:line="360" w:lineRule="exact"/>
        <w:ind w:left="567" w:hanging="567"/>
        <w:jc w:val="both"/>
        <w:rPr>
          <w:sz w:val="26"/>
          <w:szCs w:val="26"/>
        </w:rPr>
      </w:pPr>
      <w:proofErr w:type="spellStart"/>
      <w:r w:rsidRPr="005B36DB">
        <w:rPr>
          <w:sz w:val="26"/>
          <w:szCs w:val="26"/>
        </w:rPr>
        <w:t>Brammer</w:t>
      </w:r>
      <w:proofErr w:type="spellEnd"/>
      <w:r w:rsidRPr="005B36DB">
        <w:rPr>
          <w:sz w:val="26"/>
          <w:szCs w:val="26"/>
        </w:rPr>
        <w:t xml:space="preserve">, S. &amp; </w:t>
      </w:r>
      <w:proofErr w:type="spellStart"/>
      <w:r w:rsidRPr="005B36DB">
        <w:rPr>
          <w:sz w:val="26"/>
          <w:szCs w:val="26"/>
        </w:rPr>
        <w:t>Pavelin</w:t>
      </w:r>
      <w:proofErr w:type="spellEnd"/>
      <w:r w:rsidRPr="005B36DB">
        <w:rPr>
          <w:sz w:val="26"/>
          <w:szCs w:val="26"/>
        </w:rPr>
        <w:t xml:space="preserve">, S. (2008). </w:t>
      </w:r>
      <w:r w:rsidRPr="005B36DB">
        <w:rPr>
          <w:bCs/>
          <w:sz w:val="26"/>
          <w:szCs w:val="26"/>
        </w:rPr>
        <w:t xml:space="preserve">Factors </w:t>
      </w:r>
      <w:r w:rsidR="00553AB0" w:rsidRPr="005B36DB">
        <w:rPr>
          <w:bCs/>
          <w:sz w:val="26"/>
          <w:szCs w:val="26"/>
        </w:rPr>
        <w:t xml:space="preserve">influencing </w:t>
      </w:r>
      <w:r w:rsidRPr="005B36DB">
        <w:rPr>
          <w:bCs/>
          <w:sz w:val="26"/>
          <w:szCs w:val="26"/>
        </w:rPr>
        <w:t>the</w:t>
      </w:r>
      <w:r w:rsidR="00E10908" w:rsidRPr="005B36DB">
        <w:rPr>
          <w:bCs/>
          <w:sz w:val="26"/>
          <w:szCs w:val="26"/>
        </w:rPr>
        <w:t xml:space="preserve"> quality of corporate environmental disclosure</w:t>
      </w:r>
      <w:r w:rsidRPr="005B36DB">
        <w:rPr>
          <w:bCs/>
          <w:sz w:val="26"/>
          <w:szCs w:val="26"/>
        </w:rPr>
        <w:t xml:space="preserve">. </w:t>
      </w:r>
      <w:r w:rsidRPr="005B36DB">
        <w:rPr>
          <w:i/>
          <w:iCs/>
          <w:sz w:val="26"/>
          <w:szCs w:val="26"/>
        </w:rPr>
        <w:t>Business Strategy and the Environment,</w:t>
      </w:r>
      <w:r w:rsidRPr="005B36DB">
        <w:rPr>
          <w:iCs/>
          <w:sz w:val="26"/>
          <w:szCs w:val="26"/>
        </w:rPr>
        <w:t xml:space="preserve"> </w:t>
      </w:r>
      <w:r w:rsidRPr="005B36DB">
        <w:rPr>
          <w:bCs/>
          <w:i/>
          <w:sz w:val="26"/>
          <w:szCs w:val="26"/>
        </w:rPr>
        <w:t>17</w:t>
      </w:r>
      <w:r w:rsidR="001633DA" w:rsidRPr="005B36DB">
        <w:rPr>
          <w:bCs/>
          <w:sz w:val="26"/>
          <w:szCs w:val="26"/>
        </w:rPr>
        <w:t>(2)</w:t>
      </w:r>
      <w:r w:rsidR="00724376" w:rsidRPr="005B36DB">
        <w:rPr>
          <w:bCs/>
          <w:sz w:val="26"/>
          <w:szCs w:val="26"/>
        </w:rPr>
        <w:t>, 120-136</w:t>
      </w:r>
      <w:r w:rsidR="001633DA" w:rsidRPr="005B36DB">
        <w:rPr>
          <w:bCs/>
          <w:sz w:val="26"/>
          <w:szCs w:val="26"/>
        </w:rPr>
        <w:t>.</w:t>
      </w:r>
      <w:r w:rsidR="001633DA" w:rsidRPr="005B36DB">
        <w:rPr>
          <w:sz w:val="26"/>
          <w:szCs w:val="26"/>
        </w:rPr>
        <w:t xml:space="preserve"> </w:t>
      </w:r>
    </w:p>
    <w:p w14:paraId="1FB1B03C" w14:textId="2C4E72A9" w:rsidR="00885964" w:rsidRPr="005B36DB" w:rsidRDefault="001633DA" w:rsidP="000C7ED3">
      <w:pPr>
        <w:spacing w:line="360" w:lineRule="exact"/>
        <w:ind w:firstLineChars="200" w:firstLine="520"/>
        <w:jc w:val="both"/>
        <w:rPr>
          <w:sz w:val="26"/>
          <w:szCs w:val="26"/>
        </w:rPr>
      </w:pPr>
      <w:r w:rsidRPr="005B36DB">
        <w:rPr>
          <w:sz w:val="26"/>
          <w:szCs w:val="26"/>
        </w:rPr>
        <w:t>https://doi.org/10.1002/bse.506</w:t>
      </w:r>
    </w:p>
    <w:p w14:paraId="66F6D7F9" w14:textId="77777777" w:rsidR="000C7ED3" w:rsidRDefault="00885964" w:rsidP="000D5C8E">
      <w:pPr>
        <w:autoSpaceDE w:val="0"/>
        <w:autoSpaceDN w:val="0"/>
        <w:adjustRightInd w:val="0"/>
        <w:spacing w:line="360" w:lineRule="exact"/>
        <w:ind w:left="520" w:hangingChars="200" w:hanging="520"/>
        <w:jc w:val="both"/>
        <w:rPr>
          <w:sz w:val="26"/>
          <w:szCs w:val="26"/>
        </w:rPr>
      </w:pPr>
      <w:proofErr w:type="spellStart"/>
      <w:r w:rsidRPr="005B36DB">
        <w:rPr>
          <w:sz w:val="26"/>
          <w:szCs w:val="26"/>
          <w:lang w:eastAsia="en-AU"/>
        </w:rPr>
        <w:t>Branco</w:t>
      </w:r>
      <w:proofErr w:type="spellEnd"/>
      <w:r w:rsidRPr="005B36DB">
        <w:rPr>
          <w:sz w:val="26"/>
          <w:szCs w:val="26"/>
          <w:lang w:eastAsia="en-AU"/>
        </w:rPr>
        <w:t>, M. C. &amp; Rodrigues, L. L. (</w:t>
      </w:r>
      <w:r w:rsidRPr="005B36DB">
        <w:rPr>
          <w:sz w:val="26"/>
          <w:szCs w:val="26"/>
        </w:rPr>
        <w:t>2008).</w:t>
      </w:r>
      <w:r w:rsidRPr="005B36DB">
        <w:rPr>
          <w:sz w:val="26"/>
          <w:szCs w:val="26"/>
          <w:lang w:eastAsia="en-AU"/>
        </w:rPr>
        <w:t xml:space="preserve"> Factors </w:t>
      </w:r>
      <w:r w:rsidR="00711A02" w:rsidRPr="005B36DB">
        <w:rPr>
          <w:sz w:val="26"/>
          <w:szCs w:val="26"/>
          <w:lang w:eastAsia="en-AU"/>
        </w:rPr>
        <w:t>influencing social responsibility disclosure b</w:t>
      </w:r>
      <w:r w:rsidRPr="005B36DB">
        <w:rPr>
          <w:sz w:val="26"/>
          <w:szCs w:val="26"/>
          <w:lang w:eastAsia="en-AU"/>
        </w:rPr>
        <w:t>y Portuguese</w:t>
      </w:r>
      <w:r w:rsidR="00711A02" w:rsidRPr="005B36DB">
        <w:rPr>
          <w:sz w:val="26"/>
          <w:szCs w:val="26"/>
          <w:lang w:eastAsia="en-AU"/>
        </w:rPr>
        <w:t xml:space="preserve"> companie</w:t>
      </w:r>
      <w:r w:rsidRPr="005B36DB">
        <w:rPr>
          <w:sz w:val="26"/>
          <w:szCs w:val="26"/>
          <w:lang w:eastAsia="en-AU"/>
        </w:rPr>
        <w:t xml:space="preserve">s. </w:t>
      </w:r>
      <w:r w:rsidRPr="005B36DB">
        <w:rPr>
          <w:i/>
          <w:sz w:val="26"/>
          <w:szCs w:val="26"/>
          <w:lang w:eastAsia="en-AU"/>
        </w:rPr>
        <w:t>Journal of Business Ethics,</w:t>
      </w:r>
      <w:r w:rsidRPr="005B36DB">
        <w:rPr>
          <w:sz w:val="26"/>
          <w:szCs w:val="26"/>
          <w:lang w:eastAsia="en-AU"/>
        </w:rPr>
        <w:t xml:space="preserve"> </w:t>
      </w:r>
      <w:r w:rsidRPr="005B36DB">
        <w:rPr>
          <w:i/>
          <w:sz w:val="26"/>
          <w:szCs w:val="26"/>
          <w:lang w:eastAsia="en-AU"/>
        </w:rPr>
        <w:t>83</w:t>
      </w:r>
      <w:r w:rsidR="00F4474C" w:rsidRPr="005B36DB">
        <w:rPr>
          <w:sz w:val="26"/>
          <w:szCs w:val="26"/>
          <w:lang w:eastAsia="en-AU"/>
        </w:rPr>
        <w:t>(4)</w:t>
      </w:r>
      <w:r w:rsidRPr="005B36DB">
        <w:rPr>
          <w:sz w:val="26"/>
          <w:szCs w:val="26"/>
          <w:lang w:eastAsia="en-AU"/>
        </w:rPr>
        <w:t>, 685</w:t>
      </w:r>
      <w:r w:rsidR="00724376" w:rsidRPr="005B36DB">
        <w:rPr>
          <w:sz w:val="26"/>
          <w:szCs w:val="26"/>
          <w:lang w:eastAsia="en-AU"/>
        </w:rPr>
        <w:t>-</w:t>
      </w:r>
      <w:r w:rsidRPr="005B36DB">
        <w:rPr>
          <w:sz w:val="26"/>
          <w:szCs w:val="26"/>
          <w:lang w:eastAsia="en-AU"/>
        </w:rPr>
        <w:t>701.</w:t>
      </w:r>
      <w:r w:rsidR="00F4474C" w:rsidRPr="005B36DB">
        <w:rPr>
          <w:sz w:val="26"/>
          <w:szCs w:val="26"/>
        </w:rPr>
        <w:t xml:space="preserve"> </w:t>
      </w:r>
    </w:p>
    <w:p w14:paraId="774B2126" w14:textId="26C868D0" w:rsidR="000D5C8E" w:rsidRPr="005B36DB" w:rsidRDefault="000D5C8E" w:rsidP="000C7ED3">
      <w:pPr>
        <w:spacing w:line="360" w:lineRule="exact"/>
        <w:ind w:firstLineChars="200" w:firstLine="520"/>
        <w:jc w:val="both"/>
        <w:rPr>
          <w:sz w:val="26"/>
          <w:szCs w:val="26"/>
        </w:rPr>
      </w:pPr>
      <w:r w:rsidRPr="005B36DB">
        <w:rPr>
          <w:sz w:val="26"/>
          <w:szCs w:val="26"/>
        </w:rPr>
        <w:t>https://doi.org/10.1007/s10551-007-9658-z</w:t>
      </w:r>
    </w:p>
    <w:p w14:paraId="327AB0C7" w14:textId="77777777" w:rsidR="000C7ED3"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 xml:space="preserve">Campbell, J.L. (2007). Why </w:t>
      </w:r>
      <w:r w:rsidR="00711A02" w:rsidRPr="005B36DB">
        <w:rPr>
          <w:sz w:val="26"/>
          <w:szCs w:val="26"/>
          <w:lang w:eastAsia="en-AU"/>
        </w:rPr>
        <w:t>would corporations behave in socially responsible ways</w:t>
      </w:r>
      <w:r w:rsidR="00050AB9" w:rsidRPr="005B36DB">
        <w:rPr>
          <w:sz w:val="26"/>
          <w:szCs w:val="26"/>
          <w:lang w:eastAsia="en-AU"/>
        </w:rPr>
        <w:t xml:space="preserve">? An </w:t>
      </w:r>
      <w:r w:rsidR="00711A02" w:rsidRPr="005B36DB">
        <w:rPr>
          <w:sz w:val="26"/>
          <w:szCs w:val="26"/>
          <w:lang w:eastAsia="en-AU"/>
        </w:rPr>
        <w:t>institutional theory of corporate social responsibility</w:t>
      </w:r>
      <w:r w:rsidRPr="005B36DB">
        <w:rPr>
          <w:sz w:val="26"/>
          <w:szCs w:val="26"/>
          <w:lang w:eastAsia="en-AU"/>
        </w:rPr>
        <w:t xml:space="preserve">. </w:t>
      </w:r>
      <w:r w:rsidRPr="005B36DB">
        <w:rPr>
          <w:i/>
          <w:sz w:val="26"/>
          <w:szCs w:val="26"/>
          <w:lang w:eastAsia="en-AU"/>
        </w:rPr>
        <w:t>The Academy of Management Review</w:t>
      </w:r>
      <w:r w:rsidRPr="005B36DB">
        <w:rPr>
          <w:sz w:val="26"/>
          <w:szCs w:val="26"/>
          <w:lang w:eastAsia="en-AU"/>
        </w:rPr>
        <w:t xml:space="preserve">, </w:t>
      </w:r>
      <w:r w:rsidRPr="005B36DB">
        <w:rPr>
          <w:i/>
          <w:sz w:val="26"/>
          <w:szCs w:val="26"/>
          <w:lang w:eastAsia="en-AU"/>
        </w:rPr>
        <w:t>32</w:t>
      </w:r>
      <w:r w:rsidRPr="005B36DB">
        <w:rPr>
          <w:sz w:val="26"/>
          <w:szCs w:val="26"/>
          <w:lang w:eastAsia="en-AU"/>
        </w:rPr>
        <w:t xml:space="preserve">(3), 946-967. </w:t>
      </w:r>
    </w:p>
    <w:p w14:paraId="0BB1CC1B" w14:textId="27DC9371" w:rsidR="00885964" w:rsidRPr="005B36DB" w:rsidRDefault="00F4474C" w:rsidP="000C7ED3">
      <w:pPr>
        <w:spacing w:line="360" w:lineRule="exact"/>
        <w:ind w:firstLineChars="200" w:firstLine="520"/>
        <w:jc w:val="both"/>
        <w:rPr>
          <w:sz w:val="26"/>
          <w:szCs w:val="26"/>
        </w:rPr>
      </w:pPr>
      <w:r w:rsidRPr="005B36DB">
        <w:rPr>
          <w:sz w:val="26"/>
          <w:szCs w:val="26"/>
        </w:rPr>
        <w:lastRenderedPageBreak/>
        <w:t>https://doi.org/10.5465/amr.2007.25275684</w:t>
      </w:r>
    </w:p>
    <w:p w14:paraId="5CAD0A42" w14:textId="77777777" w:rsidR="000C7ED3"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 xml:space="preserve">Chen, J. C. &amp; Roberts, R. W. (2010). Toward </w:t>
      </w:r>
      <w:r w:rsidR="00711A02" w:rsidRPr="005B36DB">
        <w:rPr>
          <w:sz w:val="26"/>
          <w:szCs w:val="26"/>
          <w:lang w:eastAsia="en-AU"/>
        </w:rPr>
        <w:t>a more coherent understanding of the organisation–society relationship</w:t>
      </w:r>
      <w:r w:rsidRPr="005B36DB">
        <w:rPr>
          <w:sz w:val="26"/>
          <w:szCs w:val="26"/>
          <w:lang w:eastAsia="en-AU"/>
        </w:rPr>
        <w:t xml:space="preserve">: A </w:t>
      </w:r>
      <w:r w:rsidR="00711A02" w:rsidRPr="005B36DB">
        <w:rPr>
          <w:sz w:val="26"/>
          <w:szCs w:val="26"/>
          <w:lang w:eastAsia="en-AU"/>
        </w:rPr>
        <w:t>theoretical consideration for social and environmental accounting researc</w:t>
      </w:r>
      <w:r w:rsidRPr="005B36DB">
        <w:rPr>
          <w:sz w:val="26"/>
          <w:szCs w:val="26"/>
          <w:lang w:eastAsia="en-AU"/>
        </w:rPr>
        <w:t xml:space="preserve">h. </w:t>
      </w:r>
      <w:r w:rsidRPr="005B36DB">
        <w:rPr>
          <w:i/>
          <w:sz w:val="26"/>
          <w:szCs w:val="26"/>
          <w:lang w:eastAsia="en-AU"/>
        </w:rPr>
        <w:t>Journal of Business Ethics</w:t>
      </w:r>
      <w:r w:rsidRPr="005B36DB">
        <w:rPr>
          <w:sz w:val="26"/>
          <w:szCs w:val="26"/>
          <w:lang w:eastAsia="en-AU"/>
        </w:rPr>
        <w:t xml:space="preserve">, </w:t>
      </w:r>
      <w:r w:rsidRPr="005B36DB">
        <w:rPr>
          <w:i/>
          <w:sz w:val="26"/>
          <w:szCs w:val="26"/>
          <w:lang w:eastAsia="en-AU"/>
        </w:rPr>
        <w:t>97</w:t>
      </w:r>
      <w:r w:rsidR="00F4474C" w:rsidRPr="005B36DB">
        <w:rPr>
          <w:sz w:val="26"/>
          <w:szCs w:val="26"/>
          <w:lang w:eastAsia="en-AU"/>
        </w:rPr>
        <w:t>(4)</w:t>
      </w:r>
      <w:r w:rsidRPr="005B36DB">
        <w:rPr>
          <w:sz w:val="26"/>
          <w:szCs w:val="26"/>
          <w:lang w:eastAsia="en-AU"/>
        </w:rPr>
        <w:t>, 651-665.</w:t>
      </w:r>
      <w:r w:rsidR="00F4474C" w:rsidRPr="005B36DB">
        <w:rPr>
          <w:sz w:val="26"/>
          <w:szCs w:val="26"/>
          <w:lang w:eastAsia="en-AU"/>
        </w:rPr>
        <w:t xml:space="preserve"> </w:t>
      </w:r>
    </w:p>
    <w:p w14:paraId="3EEFDAFC" w14:textId="756F7E89" w:rsidR="00885964" w:rsidRPr="005B36DB" w:rsidRDefault="00F4474C" w:rsidP="000C7ED3">
      <w:pPr>
        <w:spacing w:line="360" w:lineRule="exact"/>
        <w:ind w:firstLineChars="200" w:firstLine="520"/>
        <w:jc w:val="both"/>
        <w:rPr>
          <w:sz w:val="26"/>
          <w:szCs w:val="26"/>
        </w:rPr>
      </w:pPr>
      <w:r w:rsidRPr="005B36DB">
        <w:rPr>
          <w:sz w:val="26"/>
          <w:szCs w:val="26"/>
        </w:rPr>
        <w:t>https://doi.org/10.1007/s10551-010-0531-0</w:t>
      </w:r>
    </w:p>
    <w:p w14:paraId="599CC437" w14:textId="77777777" w:rsidR="000C7ED3"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 xml:space="preserve">Cho, C. H. &amp; Patten, D M. (2007). The role of environmental disclosures as tools of legitimacy: A research note. </w:t>
      </w:r>
      <w:r w:rsidRPr="005B36DB">
        <w:rPr>
          <w:i/>
          <w:sz w:val="26"/>
          <w:szCs w:val="26"/>
          <w:lang w:eastAsia="en-AU"/>
        </w:rPr>
        <w:t>Accounting, Organizations and Society</w:t>
      </w:r>
      <w:r w:rsidRPr="005B36DB">
        <w:rPr>
          <w:sz w:val="26"/>
          <w:szCs w:val="26"/>
          <w:lang w:eastAsia="en-AU"/>
        </w:rPr>
        <w:t xml:space="preserve">, </w:t>
      </w:r>
      <w:r w:rsidRPr="005B36DB">
        <w:rPr>
          <w:i/>
          <w:sz w:val="26"/>
          <w:szCs w:val="26"/>
          <w:lang w:eastAsia="en-AU"/>
        </w:rPr>
        <w:t>32</w:t>
      </w:r>
      <w:r w:rsidRPr="005B36DB">
        <w:rPr>
          <w:sz w:val="26"/>
          <w:szCs w:val="26"/>
          <w:lang w:eastAsia="en-AU"/>
        </w:rPr>
        <w:t xml:space="preserve">(7-8), 639-647. </w:t>
      </w:r>
    </w:p>
    <w:p w14:paraId="12B0D1B6" w14:textId="6E205602" w:rsidR="00885964" w:rsidRPr="005B36DB" w:rsidRDefault="00885964" w:rsidP="000C7ED3">
      <w:pPr>
        <w:spacing w:line="360" w:lineRule="exact"/>
        <w:ind w:firstLineChars="200" w:firstLine="520"/>
        <w:jc w:val="both"/>
        <w:rPr>
          <w:sz w:val="26"/>
          <w:szCs w:val="26"/>
        </w:rPr>
      </w:pPr>
      <w:r w:rsidRPr="005B36DB">
        <w:rPr>
          <w:sz w:val="26"/>
          <w:szCs w:val="26"/>
        </w:rPr>
        <w:t>http://dx.doi.org/10.1016/j.aos.2006.09.009</w:t>
      </w:r>
    </w:p>
    <w:p w14:paraId="2469F6A1" w14:textId="24016189" w:rsidR="00885964" w:rsidRPr="005B36DB"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 xml:space="preserve">Choi, J.-S. (1999). An Investigation of the Initial Voluntary Environmental Disclosures </w:t>
      </w:r>
      <w:r w:rsidR="00711A02" w:rsidRPr="005B36DB">
        <w:rPr>
          <w:sz w:val="26"/>
          <w:szCs w:val="26"/>
          <w:lang w:eastAsia="en-AU"/>
        </w:rPr>
        <w:t xml:space="preserve">made </w:t>
      </w:r>
      <w:r w:rsidRPr="005B36DB">
        <w:rPr>
          <w:sz w:val="26"/>
          <w:szCs w:val="26"/>
          <w:lang w:eastAsia="en-AU"/>
        </w:rPr>
        <w:t xml:space="preserve">in Korean </w:t>
      </w:r>
      <w:r w:rsidR="00711A02" w:rsidRPr="005B36DB">
        <w:rPr>
          <w:sz w:val="26"/>
          <w:szCs w:val="26"/>
          <w:lang w:eastAsia="en-AU"/>
        </w:rPr>
        <w:t>semi-annual financial report</w:t>
      </w:r>
      <w:r w:rsidRPr="005B36DB">
        <w:rPr>
          <w:sz w:val="26"/>
          <w:szCs w:val="26"/>
          <w:lang w:eastAsia="en-AU"/>
        </w:rPr>
        <w:t xml:space="preserve">s. </w:t>
      </w:r>
      <w:r w:rsidRPr="005B36DB">
        <w:rPr>
          <w:i/>
          <w:sz w:val="26"/>
          <w:szCs w:val="26"/>
          <w:lang w:eastAsia="en-AU"/>
        </w:rPr>
        <w:t>Pacific Accounting Review</w:t>
      </w:r>
      <w:r w:rsidRPr="005B36DB">
        <w:rPr>
          <w:sz w:val="26"/>
          <w:szCs w:val="26"/>
          <w:lang w:eastAsia="en-AU"/>
        </w:rPr>
        <w:t xml:space="preserve">, </w:t>
      </w:r>
      <w:r w:rsidRPr="005B36DB">
        <w:rPr>
          <w:i/>
          <w:sz w:val="26"/>
          <w:szCs w:val="26"/>
          <w:lang w:eastAsia="en-AU"/>
        </w:rPr>
        <w:t>11</w:t>
      </w:r>
      <w:r w:rsidRPr="005B36DB">
        <w:rPr>
          <w:sz w:val="26"/>
          <w:szCs w:val="26"/>
          <w:lang w:eastAsia="en-AU"/>
        </w:rPr>
        <w:t>(1), 73</w:t>
      </w:r>
      <w:r w:rsidR="00F56823" w:rsidRPr="005B36DB">
        <w:rPr>
          <w:sz w:val="26"/>
          <w:szCs w:val="26"/>
          <w:lang w:eastAsia="en-AU"/>
        </w:rPr>
        <w:t>-</w:t>
      </w:r>
      <w:r w:rsidRPr="005B36DB">
        <w:rPr>
          <w:sz w:val="26"/>
          <w:szCs w:val="26"/>
          <w:lang w:eastAsia="en-AU"/>
        </w:rPr>
        <w:t>102.</w:t>
      </w:r>
    </w:p>
    <w:p w14:paraId="42DEA6D4" w14:textId="77777777" w:rsidR="000C7ED3" w:rsidRDefault="00885964" w:rsidP="000D5C8E">
      <w:pPr>
        <w:autoSpaceDE w:val="0"/>
        <w:autoSpaceDN w:val="0"/>
        <w:adjustRightInd w:val="0"/>
        <w:spacing w:line="360" w:lineRule="exact"/>
        <w:ind w:left="520" w:hangingChars="200" w:hanging="520"/>
        <w:jc w:val="both"/>
        <w:rPr>
          <w:sz w:val="26"/>
          <w:szCs w:val="26"/>
          <w:lang w:eastAsia="en-AU"/>
        </w:rPr>
      </w:pPr>
      <w:proofErr w:type="spellStart"/>
      <w:r w:rsidRPr="005B36DB">
        <w:rPr>
          <w:sz w:val="26"/>
          <w:szCs w:val="26"/>
          <w:lang w:eastAsia="en-AU"/>
        </w:rPr>
        <w:t>Claasen</w:t>
      </w:r>
      <w:proofErr w:type="spellEnd"/>
      <w:r w:rsidRPr="005B36DB">
        <w:rPr>
          <w:sz w:val="26"/>
          <w:szCs w:val="26"/>
          <w:lang w:eastAsia="en-AU"/>
        </w:rPr>
        <w:t xml:space="preserve">, C. &amp; </w:t>
      </w:r>
      <w:proofErr w:type="spellStart"/>
      <w:r w:rsidRPr="005B36DB">
        <w:rPr>
          <w:sz w:val="26"/>
          <w:szCs w:val="26"/>
          <w:lang w:eastAsia="en-AU"/>
        </w:rPr>
        <w:t>Roloff</w:t>
      </w:r>
      <w:proofErr w:type="spellEnd"/>
      <w:r w:rsidRPr="005B36DB">
        <w:rPr>
          <w:sz w:val="26"/>
          <w:szCs w:val="26"/>
          <w:lang w:eastAsia="en-AU"/>
        </w:rPr>
        <w:t xml:space="preserve">, J. (2012).The </w:t>
      </w:r>
      <w:r w:rsidR="00711A02" w:rsidRPr="005B36DB">
        <w:rPr>
          <w:sz w:val="26"/>
          <w:szCs w:val="26"/>
          <w:lang w:eastAsia="en-AU"/>
        </w:rPr>
        <w:t>link between responsibility and legitimac</w:t>
      </w:r>
      <w:r w:rsidRPr="005B36DB">
        <w:rPr>
          <w:sz w:val="26"/>
          <w:szCs w:val="26"/>
          <w:lang w:eastAsia="en-AU"/>
        </w:rPr>
        <w:t xml:space="preserve">y: The </w:t>
      </w:r>
      <w:r w:rsidR="00711A02" w:rsidRPr="005B36DB">
        <w:rPr>
          <w:sz w:val="26"/>
          <w:szCs w:val="26"/>
          <w:lang w:eastAsia="en-AU"/>
        </w:rPr>
        <w:t>case of de beer</w:t>
      </w:r>
      <w:r w:rsidRPr="005B36DB">
        <w:rPr>
          <w:sz w:val="26"/>
          <w:szCs w:val="26"/>
          <w:lang w:eastAsia="en-AU"/>
        </w:rPr>
        <w:t xml:space="preserve">s in Namibia. </w:t>
      </w:r>
      <w:r w:rsidRPr="005B36DB">
        <w:rPr>
          <w:i/>
          <w:sz w:val="26"/>
          <w:szCs w:val="26"/>
          <w:lang w:eastAsia="en-AU"/>
        </w:rPr>
        <w:t>Journal of Business Ethics</w:t>
      </w:r>
      <w:r w:rsidRPr="005B36DB">
        <w:rPr>
          <w:sz w:val="26"/>
          <w:szCs w:val="26"/>
          <w:lang w:eastAsia="en-AU"/>
        </w:rPr>
        <w:t xml:space="preserve">, </w:t>
      </w:r>
      <w:r w:rsidRPr="005B36DB">
        <w:rPr>
          <w:i/>
          <w:sz w:val="26"/>
          <w:szCs w:val="26"/>
          <w:lang w:eastAsia="en-AU"/>
        </w:rPr>
        <w:t>107</w:t>
      </w:r>
      <w:r w:rsidR="00F4474C" w:rsidRPr="005B36DB">
        <w:rPr>
          <w:sz w:val="26"/>
          <w:szCs w:val="26"/>
          <w:lang w:eastAsia="en-AU"/>
        </w:rPr>
        <w:t>(3)</w:t>
      </w:r>
      <w:r w:rsidRPr="005B36DB">
        <w:rPr>
          <w:sz w:val="26"/>
          <w:szCs w:val="26"/>
          <w:lang w:eastAsia="en-AU"/>
        </w:rPr>
        <w:t>, 379–398.</w:t>
      </w:r>
      <w:r w:rsidR="00F4474C" w:rsidRPr="005B36DB">
        <w:rPr>
          <w:sz w:val="26"/>
          <w:szCs w:val="26"/>
          <w:lang w:eastAsia="en-AU"/>
        </w:rPr>
        <w:t xml:space="preserve"> </w:t>
      </w:r>
    </w:p>
    <w:p w14:paraId="10274B38" w14:textId="72B2E030" w:rsidR="00885964" w:rsidRPr="005B36DB" w:rsidRDefault="00F4474C" w:rsidP="000C7ED3">
      <w:pPr>
        <w:spacing w:line="360" w:lineRule="exact"/>
        <w:ind w:firstLineChars="200" w:firstLine="520"/>
        <w:jc w:val="both"/>
        <w:rPr>
          <w:sz w:val="26"/>
          <w:szCs w:val="26"/>
        </w:rPr>
      </w:pPr>
      <w:r w:rsidRPr="005B36DB">
        <w:rPr>
          <w:sz w:val="26"/>
          <w:szCs w:val="26"/>
        </w:rPr>
        <w:t>https://doi.org/10.1007/s10551-011-1045-0</w:t>
      </w:r>
    </w:p>
    <w:p w14:paraId="078BBCE8" w14:textId="77777777" w:rsidR="00F56823" w:rsidRPr="005B36DB"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Cooke, T. E. (1989). Disclosure in the corporate annual</w:t>
      </w:r>
      <w:r w:rsidR="00050AB9" w:rsidRPr="005B36DB">
        <w:rPr>
          <w:sz w:val="26"/>
          <w:szCs w:val="26"/>
          <w:lang w:eastAsia="en-AU"/>
        </w:rPr>
        <w:t xml:space="preserve"> reports of Swedish companies. </w:t>
      </w:r>
      <w:r w:rsidRPr="005B36DB">
        <w:rPr>
          <w:i/>
          <w:sz w:val="26"/>
          <w:szCs w:val="26"/>
          <w:lang w:eastAsia="en-AU"/>
        </w:rPr>
        <w:t>Accounting and Business Research</w:t>
      </w:r>
      <w:r w:rsidRPr="005B36DB">
        <w:rPr>
          <w:sz w:val="26"/>
          <w:szCs w:val="26"/>
          <w:lang w:eastAsia="en-AU"/>
        </w:rPr>
        <w:t xml:space="preserve">, </w:t>
      </w:r>
      <w:r w:rsidRPr="005B36DB">
        <w:rPr>
          <w:i/>
          <w:sz w:val="26"/>
          <w:szCs w:val="26"/>
          <w:lang w:eastAsia="en-AU"/>
        </w:rPr>
        <w:t>19</w:t>
      </w:r>
      <w:r w:rsidR="00F4474C" w:rsidRPr="005B36DB">
        <w:rPr>
          <w:sz w:val="26"/>
          <w:szCs w:val="26"/>
          <w:lang w:eastAsia="en-AU"/>
        </w:rPr>
        <w:t>(74)</w:t>
      </w:r>
      <w:r w:rsidRPr="005B36DB">
        <w:rPr>
          <w:sz w:val="26"/>
          <w:szCs w:val="26"/>
          <w:lang w:eastAsia="en-AU"/>
        </w:rPr>
        <w:t>,</w:t>
      </w:r>
      <w:r w:rsidR="00F4474C" w:rsidRPr="005B36DB">
        <w:rPr>
          <w:sz w:val="26"/>
          <w:szCs w:val="26"/>
          <w:lang w:eastAsia="en-AU"/>
        </w:rPr>
        <w:t xml:space="preserve"> 113-124. </w:t>
      </w:r>
    </w:p>
    <w:p w14:paraId="4E7D56D2" w14:textId="16DAB54C" w:rsidR="00885964" w:rsidRPr="005B36DB" w:rsidRDefault="00F4474C" w:rsidP="00A31D11">
      <w:pPr>
        <w:spacing w:line="360" w:lineRule="exact"/>
        <w:ind w:firstLineChars="200" w:firstLine="520"/>
        <w:jc w:val="both"/>
        <w:rPr>
          <w:sz w:val="26"/>
          <w:szCs w:val="26"/>
          <w:lang w:eastAsia="en-AU"/>
        </w:rPr>
      </w:pPr>
      <w:r w:rsidRPr="005B36DB">
        <w:rPr>
          <w:sz w:val="26"/>
          <w:szCs w:val="26"/>
          <w:lang w:eastAsia="en-AU"/>
        </w:rPr>
        <w:t>https://doi.org/10.1080/00014788.1989.9728841</w:t>
      </w:r>
    </w:p>
    <w:p w14:paraId="25C02742" w14:textId="42CE51CB" w:rsidR="00F56823" w:rsidRPr="005B36DB"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 xml:space="preserve">Cormier, D., </w:t>
      </w:r>
      <w:proofErr w:type="spellStart"/>
      <w:r w:rsidRPr="005B36DB">
        <w:rPr>
          <w:sz w:val="26"/>
          <w:szCs w:val="26"/>
          <w:lang w:eastAsia="en-AU"/>
        </w:rPr>
        <w:t>Magnan</w:t>
      </w:r>
      <w:proofErr w:type="spellEnd"/>
      <w:r w:rsidRPr="005B36DB">
        <w:rPr>
          <w:sz w:val="26"/>
          <w:szCs w:val="26"/>
          <w:lang w:eastAsia="en-AU"/>
        </w:rPr>
        <w:t xml:space="preserve">, M. &amp; Van </w:t>
      </w:r>
      <w:proofErr w:type="spellStart"/>
      <w:r w:rsidRPr="005B36DB">
        <w:rPr>
          <w:sz w:val="26"/>
          <w:szCs w:val="26"/>
          <w:lang w:eastAsia="en-AU"/>
        </w:rPr>
        <w:t>Velthoven</w:t>
      </w:r>
      <w:proofErr w:type="spellEnd"/>
      <w:r w:rsidRPr="005B36DB">
        <w:rPr>
          <w:sz w:val="26"/>
          <w:szCs w:val="26"/>
          <w:lang w:eastAsia="en-AU"/>
        </w:rPr>
        <w:t xml:space="preserve">, B. (2005). Environmental disclosure quality in large German companies: Economic incentives, public pressures or institutional </w:t>
      </w:r>
      <w:proofErr w:type="gramStart"/>
      <w:r w:rsidRPr="005B36DB">
        <w:rPr>
          <w:sz w:val="26"/>
          <w:szCs w:val="26"/>
          <w:lang w:eastAsia="en-AU"/>
        </w:rPr>
        <w:t>conditions?</w:t>
      </w:r>
      <w:r w:rsidR="00852911" w:rsidRPr="005B36DB">
        <w:rPr>
          <w:sz w:val="26"/>
          <w:szCs w:val="26"/>
          <w:lang w:eastAsia="en-AU"/>
        </w:rPr>
        <w:t>.</w:t>
      </w:r>
      <w:proofErr w:type="gramEnd"/>
      <w:r w:rsidR="00DA2591">
        <w:rPr>
          <w:sz w:val="26"/>
          <w:szCs w:val="26"/>
          <w:lang w:eastAsia="en-AU"/>
        </w:rPr>
        <w:t xml:space="preserve"> </w:t>
      </w:r>
      <w:r w:rsidRPr="005B36DB">
        <w:rPr>
          <w:i/>
          <w:sz w:val="26"/>
          <w:szCs w:val="26"/>
          <w:lang w:eastAsia="en-AU"/>
        </w:rPr>
        <w:t>European Accounting Review</w:t>
      </w:r>
      <w:r w:rsidRPr="005B36DB">
        <w:rPr>
          <w:sz w:val="26"/>
          <w:szCs w:val="26"/>
          <w:lang w:eastAsia="en-AU"/>
        </w:rPr>
        <w:t xml:space="preserve">, </w:t>
      </w:r>
      <w:r w:rsidRPr="005B36DB">
        <w:rPr>
          <w:i/>
          <w:sz w:val="26"/>
          <w:szCs w:val="26"/>
          <w:lang w:eastAsia="en-AU"/>
        </w:rPr>
        <w:t>14</w:t>
      </w:r>
      <w:r w:rsidRPr="005B36DB">
        <w:rPr>
          <w:sz w:val="26"/>
          <w:szCs w:val="26"/>
          <w:lang w:eastAsia="en-AU"/>
        </w:rPr>
        <w:t>(1),</w:t>
      </w:r>
      <w:r w:rsidR="00F4474C" w:rsidRPr="005B36DB">
        <w:rPr>
          <w:sz w:val="26"/>
          <w:szCs w:val="26"/>
          <w:lang w:eastAsia="en-AU"/>
        </w:rPr>
        <w:t xml:space="preserve"> 3</w:t>
      </w:r>
      <w:r w:rsidR="00F56823" w:rsidRPr="005B36DB">
        <w:rPr>
          <w:sz w:val="26"/>
          <w:szCs w:val="26"/>
          <w:lang w:eastAsia="en-AU"/>
        </w:rPr>
        <w:t>-</w:t>
      </w:r>
      <w:r w:rsidR="00F4474C" w:rsidRPr="005B36DB">
        <w:rPr>
          <w:sz w:val="26"/>
          <w:szCs w:val="26"/>
          <w:lang w:eastAsia="en-AU"/>
        </w:rPr>
        <w:t>39.</w:t>
      </w:r>
    </w:p>
    <w:p w14:paraId="397887F6" w14:textId="57AECFF0" w:rsidR="00885964" w:rsidRPr="005B36DB" w:rsidRDefault="00F4474C" w:rsidP="00A31D11">
      <w:pPr>
        <w:spacing w:line="360" w:lineRule="exact"/>
        <w:ind w:firstLineChars="200" w:firstLine="520"/>
        <w:jc w:val="both"/>
        <w:rPr>
          <w:sz w:val="26"/>
          <w:szCs w:val="26"/>
          <w:lang w:eastAsia="en-AU"/>
        </w:rPr>
      </w:pPr>
      <w:r w:rsidRPr="005B36DB">
        <w:rPr>
          <w:sz w:val="26"/>
          <w:szCs w:val="26"/>
          <w:lang w:eastAsia="en-AU"/>
        </w:rPr>
        <w:t xml:space="preserve"> https://doi.org/10.1080/0963818042000339617</w:t>
      </w:r>
    </w:p>
    <w:p w14:paraId="5F8A0143" w14:textId="77777777" w:rsidR="000C7ED3"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 xml:space="preserve">Cormier, D. &amp; </w:t>
      </w:r>
      <w:proofErr w:type="spellStart"/>
      <w:r w:rsidRPr="005B36DB">
        <w:rPr>
          <w:sz w:val="26"/>
          <w:szCs w:val="26"/>
          <w:lang w:eastAsia="en-AU"/>
        </w:rPr>
        <w:t>Magnan</w:t>
      </w:r>
      <w:proofErr w:type="spellEnd"/>
      <w:r w:rsidRPr="005B36DB">
        <w:rPr>
          <w:sz w:val="26"/>
          <w:szCs w:val="26"/>
          <w:lang w:eastAsia="en-AU"/>
        </w:rPr>
        <w:t xml:space="preserve">, M. (2003). Environmental </w:t>
      </w:r>
      <w:r w:rsidR="00F56823" w:rsidRPr="005B36DB">
        <w:rPr>
          <w:sz w:val="26"/>
          <w:szCs w:val="26"/>
          <w:lang w:eastAsia="en-AU"/>
        </w:rPr>
        <w:t>reporting management:</w:t>
      </w:r>
      <w:r w:rsidRPr="005B36DB">
        <w:rPr>
          <w:sz w:val="26"/>
          <w:szCs w:val="26"/>
          <w:lang w:eastAsia="en-AU"/>
        </w:rPr>
        <w:t xml:space="preserve"> A Continental </w:t>
      </w:r>
      <w:r w:rsidR="00F56823" w:rsidRPr="005B36DB">
        <w:rPr>
          <w:sz w:val="26"/>
          <w:szCs w:val="26"/>
          <w:lang w:eastAsia="en-AU"/>
        </w:rPr>
        <w:t>European perspect</w:t>
      </w:r>
      <w:r w:rsidRPr="005B36DB">
        <w:rPr>
          <w:sz w:val="26"/>
          <w:szCs w:val="26"/>
          <w:lang w:eastAsia="en-AU"/>
        </w:rPr>
        <w:t xml:space="preserve">ive. </w:t>
      </w:r>
      <w:r w:rsidRPr="005B36DB">
        <w:rPr>
          <w:i/>
          <w:sz w:val="26"/>
          <w:szCs w:val="26"/>
          <w:lang w:eastAsia="en-AU"/>
        </w:rPr>
        <w:t>Journal of Accounting and Public Policy</w:t>
      </w:r>
      <w:r w:rsidRPr="005B36DB">
        <w:rPr>
          <w:sz w:val="26"/>
          <w:szCs w:val="26"/>
          <w:lang w:eastAsia="en-AU"/>
        </w:rPr>
        <w:t xml:space="preserve">, </w:t>
      </w:r>
      <w:r w:rsidRPr="005B36DB">
        <w:rPr>
          <w:i/>
          <w:sz w:val="26"/>
          <w:szCs w:val="26"/>
          <w:lang w:eastAsia="en-AU"/>
        </w:rPr>
        <w:t>22</w:t>
      </w:r>
      <w:r w:rsidRPr="005B36DB">
        <w:rPr>
          <w:sz w:val="26"/>
          <w:szCs w:val="26"/>
          <w:lang w:eastAsia="en-AU"/>
        </w:rPr>
        <w:t>(1), 43</w:t>
      </w:r>
      <w:r w:rsidR="00F56823" w:rsidRPr="005B36DB">
        <w:rPr>
          <w:sz w:val="26"/>
          <w:szCs w:val="26"/>
          <w:lang w:eastAsia="en-AU"/>
        </w:rPr>
        <w:t>-</w:t>
      </w:r>
      <w:r w:rsidRPr="005B36DB">
        <w:rPr>
          <w:sz w:val="26"/>
          <w:szCs w:val="26"/>
          <w:lang w:eastAsia="en-AU"/>
        </w:rPr>
        <w:t>62.</w:t>
      </w:r>
      <w:r w:rsidR="00F4474C" w:rsidRPr="005B36DB">
        <w:rPr>
          <w:sz w:val="26"/>
          <w:szCs w:val="26"/>
          <w:lang w:eastAsia="en-AU"/>
        </w:rPr>
        <w:t xml:space="preserve"> </w:t>
      </w:r>
    </w:p>
    <w:p w14:paraId="6004C1C1" w14:textId="4C5F5A81" w:rsidR="00885964" w:rsidRPr="005B36DB" w:rsidRDefault="002919B2" w:rsidP="000C7ED3">
      <w:pPr>
        <w:spacing w:line="360" w:lineRule="exact"/>
        <w:ind w:firstLineChars="200" w:firstLine="480"/>
        <w:jc w:val="both"/>
        <w:rPr>
          <w:sz w:val="26"/>
          <w:szCs w:val="26"/>
        </w:rPr>
      </w:pPr>
      <w:hyperlink r:id="rId16" w:history="1">
        <w:r w:rsidR="001E731D" w:rsidRPr="000C7ED3">
          <w:t>https://doi.org/10.1016/s0278-</w:t>
        </w:r>
      </w:hyperlink>
      <w:r w:rsidR="001E731D">
        <w:rPr>
          <w:sz w:val="26"/>
          <w:szCs w:val="26"/>
        </w:rPr>
        <w:t xml:space="preserve"> </w:t>
      </w:r>
      <w:r w:rsidR="00F4474C" w:rsidRPr="005B36DB">
        <w:rPr>
          <w:sz w:val="26"/>
          <w:szCs w:val="26"/>
        </w:rPr>
        <w:t>4254(02)00085-6</w:t>
      </w:r>
    </w:p>
    <w:p w14:paraId="67B2358D" w14:textId="4EAA82FC" w:rsidR="00F56823" w:rsidRPr="005B36DB" w:rsidRDefault="00885964" w:rsidP="000D5C8E">
      <w:pPr>
        <w:autoSpaceDE w:val="0"/>
        <w:autoSpaceDN w:val="0"/>
        <w:adjustRightInd w:val="0"/>
        <w:spacing w:line="360" w:lineRule="exact"/>
        <w:ind w:left="520" w:hangingChars="200" w:hanging="520"/>
        <w:jc w:val="both"/>
        <w:rPr>
          <w:sz w:val="26"/>
          <w:szCs w:val="26"/>
          <w:lang w:eastAsia="en-AU"/>
        </w:rPr>
      </w:pPr>
      <w:proofErr w:type="spellStart"/>
      <w:r w:rsidRPr="005B36DB">
        <w:rPr>
          <w:sz w:val="26"/>
          <w:szCs w:val="26"/>
          <w:lang w:eastAsia="en-AU"/>
        </w:rPr>
        <w:t>Crisóstomo</w:t>
      </w:r>
      <w:proofErr w:type="spellEnd"/>
      <w:r w:rsidRPr="005B36DB">
        <w:rPr>
          <w:sz w:val="26"/>
          <w:szCs w:val="26"/>
          <w:lang w:eastAsia="en-AU"/>
        </w:rPr>
        <w:t xml:space="preserve">, V. L., Freire, F. D. S. &amp; </w:t>
      </w:r>
      <w:proofErr w:type="spellStart"/>
      <w:r w:rsidRPr="005B36DB">
        <w:rPr>
          <w:sz w:val="26"/>
          <w:szCs w:val="26"/>
          <w:lang w:eastAsia="en-AU"/>
        </w:rPr>
        <w:t>Vasconcellos</w:t>
      </w:r>
      <w:proofErr w:type="spellEnd"/>
      <w:r w:rsidRPr="005B36DB">
        <w:rPr>
          <w:sz w:val="26"/>
          <w:szCs w:val="26"/>
          <w:lang w:eastAsia="en-AU"/>
        </w:rPr>
        <w:t xml:space="preserve">, F. C. (2011). Corporate social responsibility, firm value and financial performance in Brazil. </w:t>
      </w:r>
      <w:r w:rsidRPr="005B36DB">
        <w:rPr>
          <w:i/>
          <w:sz w:val="26"/>
          <w:szCs w:val="26"/>
          <w:lang w:eastAsia="en-AU"/>
        </w:rPr>
        <w:t>Social Responsibility Journal</w:t>
      </w:r>
      <w:r w:rsidRPr="005B36DB">
        <w:rPr>
          <w:sz w:val="26"/>
          <w:szCs w:val="26"/>
          <w:lang w:eastAsia="en-AU"/>
        </w:rPr>
        <w:t xml:space="preserve">, </w:t>
      </w:r>
      <w:r w:rsidRPr="005B36DB">
        <w:rPr>
          <w:i/>
          <w:sz w:val="26"/>
          <w:szCs w:val="26"/>
          <w:lang w:eastAsia="en-AU"/>
        </w:rPr>
        <w:t>7</w:t>
      </w:r>
      <w:r w:rsidRPr="005B36DB">
        <w:rPr>
          <w:sz w:val="26"/>
          <w:szCs w:val="26"/>
          <w:lang w:eastAsia="en-AU"/>
        </w:rPr>
        <w:t>(2), 295</w:t>
      </w:r>
      <w:r w:rsidR="00F56823" w:rsidRPr="005B36DB">
        <w:rPr>
          <w:sz w:val="26"/>
          <w:szCs w:val="26"/>
          <w:lang w:eastAsia="en-AU"/>
        </w:rPr>
        <w:t>-</w:t>
      </w:r>
      <w:r w:rsidRPr="005B36DB">
        <w:rPr>
          <w:sz w:val="26"/>
          <w:szCs w:val="26"/>
          <w:lang w:eastAsia="en-AU"/>
        </w:rPr>
        <w:t>309.</w:t>
      </w:r>
      <w:r w:rsidR="00F4474C" w:rsidRPr="005B36DB">
        <w:rPr>
          <w:sz w:val="26"/>
          <w:szCs w:val="26"/>
          <w:lang w:eastAsia="en-AU"/>
        </w:rPr>
        <w:t xml:space="preserve"> </w:t>
      </w:r>
    </w:p>
    <w:p w14:paraId="3189FDB4" w14:textId="3ABD6160" w:rsidR="00885964" w:rsidRPr="005B36DB" w:rsidRDefault="00F4474C" w:rsidP="00A31D11">
      <w:pPr>
        <w:spacing w:line="360" w:lineRule="exact"/>
        <w:ind w:firstLineChars="200" w:firstLine="520"/>
        <w:jc w:val="both"/>
        <w:rPr>
          <w:sz w:val="26"/>
          <w:szCs w:val="26"/>
          <w:lang w:eastAsia="en-AU"/>
        </w:rPr>
      </w:pPr>
      <w:r w:rsidRPr="005B36DB">
        <w:rPr>
          <w:sz w:val="26"/>
          <w:szCs w:val="26"/>
          <w:lang w:eastAsia="en-AU"/>
        </w:rPr>
        <w:t>https://doi.org/10.1108/17471111111141549</w:t>
      </w:r>
    </w:p>
    <w:p w14:paraId="09D70EDC" w14:textId="77777777" w:rsidR="000C7ED3"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Deegan, C (2002). The legitimising effect of social &amp; environmental disclosures–</w:t>
      </w:r>
      <w:r w:rsidR="00F56823" w:rsidRPr="005B36DB">
        <w:rPr>
          <w:sz w:val="26"/>
          <w:szCs w:val="26"/>
          <w:lang w:eastAsia="en-AU"/>
        </w:rPr>
        <w:t>A</w:t>
      </w:r>
      <w:r w:rsidRPr="005B36DB">
        <w:rPr>
          <w:sz w:val="26"/>
          <w:szCs w:val="26"/>
          <w:lang w:eastAsia="en-AU"/>
        </w:rPr>
        <w:t xml:space="preserve"> theoretical</w:t>
      </w:r>
      <w:r w:rsidR="00050AB9" w:rsidRPr="005B36DB">
        <w:rPr>
          <w:sz w:val="26"/>
          <w:szCs w:val="26"/>
          <w:lang w:eastAsia="en-AU"/>
        </w:rPr>
        <w:t xml:space="preserve"> </w:t>
      </w:r>
      <w:r w:rsidRPr="005B36DB">
        <w:rPr>
          <w:sz w:val="26"/>
          <w:szCs w:val="26"/>
          <w:lang w:eastAsia="en-AU"/>
        </w:rPr>
        <w:t xml:space="preserve">Foundation. </w:t>
      </w:r>
      <w:r w:rsidRPr="005B36DB">
        <w:rPr>
          <w:i/>
          <w:sz w:val="26"/>
          <w:szCs w:val="26"/>
          <w:lang w:eastAsia="en-AU"/>
        </w:rPr>
        <w:t>Accounting, Auditing &amp; Accountability Journal</w:t>
      </w:r>
      <w:r w:rsidRPr="005B36DB">
        <w:rPr>
          <w:sz w:val="26"/>
          <w:szCs w:val="26"/>
          <w:lang w:eastAsia="en-AU"/>
        </w:rPr>
        <w:t xml:space="preserve">, </w:t>
      </w:r>
      <w:r w:rsidRPr="005B36DB">
        <w:rPr>
          <w:i/>
          <w:sz w:val="26"/>
          <w:szCs w:val="26"/>
          <w:lang w:eastAsia="en-AU"/>
        </w:rPr>
        <w:t>15</w:t>
      </w:r>
      <w:r w:rsidRPr="005B36DB">
        <w:rPr>
          <w:sz w:val="26"/>
          <w:szCs w:val="26"/>
          <w:lang w:eastAsia="en-AU"/>
        </w:rPr>
        <w:t>(3), 282-311.</w:t>
      </w:r>
      <w:r w:rsidR="00F4474C" w:rsidRPr="005B36DB">
        <w:rPr>
          <w:sz w:val="26"/>
          <w:szCs w:val="26"/>
          <w:lang w:eastAsia="en-AU"/>
        </w:rPr>
        <w:t xml:space="preserve"> </w:t>
      </w:r>
    </w:p>
    <w:p w14:paraId="1FB522C1" w14:textId="1A61D69B" w:rsidR="00885964" w:rsidRPr="005B36DB" w:rsidRDefault="00F4474C" w:rsidP="000C7ED3">
      <w:pPr>
        <w:spacing w:line="360" w:lineRule="exact"/>
        <w:ind w:firstLineChars="200" w:firstLine="520"/>
        <w:jc w:val="both"/>
        <w:rPr>
          <w:sz w:val="26"/>
          <w:szCs w:val="26"/>
        </w:rPr>
      </w:pPr>
      <w:r w:rsidRPr="005B36DB">
        <w:rPr>
          <w:sz w:val="26"/>
          <w:szCs w:val="26"/>
        </w:rPr>
        <w:t>https://doi.org/10.1108/09513570210435852</w:t>
      </w:r>
    </w:p>
    <w:p w14:paraId="03031AA3" w14:textId="1F8142A7" w:rsidR="00885964" w:rsidRPr="005B36DB"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 xml:space="preserve">Deegan, C. &amp; Gordon, B. (1996). A study of the </w:t>
      </w:r>
      <w:r w:rsidR="00F56823" w:rsidRPr="005B36DB">
        <w:rPr>
          <w:sz w:val="26"/>
          <w:szCs w:val="26"/>
          <w:lang w:eastAsia="en-AU"/>
        </w:rPr>
        <w:t>environmental disclosure policies</w:t>
      </w:r>
      <w:r w:rsidRPr="005B36DB">
        <w:rPr>
          <w:sz w:val="26"/>
          <w:szCs w:val="26"/>
          <w:lang w:eastAsia="en-AU"/>
        </w:rPr>
        <w:t xml:space="preserve"> of Australian </w:t>
      </w:r>
      <w:r w:rsidR="00F56823" w:rsidRPr="005B36DB">
        <w:rPr>
          <w:sz w:val="26"/>
          <w:szCs w:val="26"/>
          <w:lang w:eastAsia="en-AU"/>
        </w:rPr>
        <w:t>corporations</w:t>
      </w:r>
      <w:r w:rsidRPr="005B36DB">
        <w:rPr>
          <w:sz w:val="26"/>
          <w:szCs w:val="26"/>
          <w:lang w:eastAsia="en-AU"/>
        </w:rPr>
        <w:t xml:space="preserve">. </w:t>
      </w:r>
      <w:r w:rsidRPr="005B36DB">
        <w:rPr>
          <w:i/>
          <w:sz w:val="26"/>
          <w:szCs w:val="26"/>
          <w:lang w:eastAsia="en-AU"/>
        </w:rPr>
        <w:t>Accounting and Business Research</w:t>
      </w:r>
      <w:r w:rsidRPr="005B36DB">
        <w:rPr>
          <w:sz w:val="26"/>
          <w:szCs w:val="26"/>
          <w:lang w:eastAsia="en-AU"/>
        </w:rPr>
        <w:t xml:space="preserve">, </w:t>
      </w:r>
      <w:r w:rsidRPr="005B36DB">
        <w:rPr>
          <w:i/>
          <w:sz w:val="26"/>
          <w:szCs w:val="26"/>
          <w:lang w:eastAsia="en-AU"/>
        </w:rPr>
        <w:t>26</w:t>
      </w:r>
      <w:r w:rsidRPr="005B36DB">
        <w:rPr>
          <w:sz w:val="26"/>
          <w:szCs w:val="26"/>
          <w:lang w:eastAsia="en-AU"/>
        </w:rPr>
        <w:t xml:space="preserve">(3), 187-199. </w:t>
      </w:r>
      <w:r w:rsidR="00663EC7" w:rsidRPr="005B36DB">
        <w:rPr>
          <w:sz w:val="26"/>
          <w:szCs w:val="26"/>
          <w:lang w:eastAsia="en-AU"/>
        </w:rPr>
        <w:t>https://doi.org/10.1080/00014788.1996.9729510</w:t>
      </w:r>
    </w:p>
    <w:p w14:paraId="133BA2B2" w14:textId="77777777" w:rsidR="000C7ED3"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lastRenderedPageBreak/>
        <w:t xml:space="preserve">De Villiers, C. &amp; Van </w:t>
      </w:r>
      <w:proofErr w:type="spellStart"/>
      <w:r w:rsidRPr="005B36DB">
        <w:rPr>
          <w:sz w:val="26"/>
          <w:szCs w:val="26"/>
          <w:lang w:eastAsia="en-AU"/>
        </w:rPr>
        <w:t>Staden</w:t>
      </w:r>
      <w:proofErr w:type="spellEnd"/>
      <w:r w:rsidRPr="005B36DB">
        <w:rPr>
          <w:sz w:val="26"/>
          <w:szCs w:val="26"/>
          <w:lang w:eastAsia="en-AU"/>
        </w:rPr>
        <w:t>, C. (2006). Can less environmental d</w:t>
      </w:r>
      <w:r w:rsidR="00050AB9" w:rsidRPr="005B36DB">
        <w:rPr>
          <w:sz w:val="26"/>
          <w:szCs w:val="26"/>
          <w:lang w:eastAsia="en-AU"/>
        </w:rPr>
        <w:t xml:space="preserve">isclosure have a </w:t>
      </w:r>
      <w:r w:rsidRPr="005B36DB">
        <w:rPr>
          <w:sz w:val="26"/>
          <w:szCs w:val="26"/>
          <w:lang w:eastAsia="en-AU"/>
        </w:rPr>
        <w:t xml:space="preserve">legitimizing effects? Evidence from Africa. </w:t>
      </w:r>
      <w:r w:rsidRPr="005B36DB">
        <w:rPr>
          <w:i/>
          <w:sz w:val="26"/>
          <w:szCs w:val="26"/>
          <w:lang w:eastAsia="en-AU"/>
        </w:rPr>
        <w:t>Account</w:t>
      </w:r>
      <w:r w:rsidR="00050AB9" w:rsidRPr="005B36DB">
        <w:rPr>
          <w:i/>
          <w:sz w:val="26"/>
          <w:szCs w:val="26"/>
          <w:lang w:eastAsia="en-AU"/>
        </w:rPr>
        <w:t>ing, Organisation and Society</w:t>
      </w:r>
      <w:r w:rsidR="00050AB9" w:rsidRPr="005B36DB">
        <w:rPr>
          <w:sz w:val="26"/>
          <w:szCs w:val="26"/>
          <w:lang w:eastAsia="en-AU"/>
        </w:rPr>
        <w:t xml:space="preserve">, </w:t>
      </w:r>
      <w:r w:rsidRPr="005B36DB">
        <w:rPr>
          <w:i/>
          <w:sz w:val="26"/>
          <w:szCs w:val="26"/>
          <w:lang w:eastAsia="en-AU"/>
        </w:rPr>
        <w:t>31</w:t>
      </w:r>
      <w:r w:rsidR="00663EC7" w:rsidRPr="005B36DB">
        <w:rPr>
          <w:sz w:val="26"/>
          <w:szCs w:val="26"/>
          <w:lang w:eastAsia="en-AU"/>
        </w:rPr>
        <w:t>(8)</w:t>
      </w:r>
      <w:r w:rsidRPr="005B36DB">
        <w:rPr>
          <w:sz w:val="26"/>
          <w:szCs w:val="26"/>
          <w:lang w:eastAsia="en-AU"/>
        </w:rPr>
        <w:t>, 763-781</w:t>
      </w:r>
      <w:r w:rsidR="00663EC7" w:rsidRPr="005B36DB">
        <w:rPr>
          <w:sz w:val="26"/>
          <w:szCs w:val="26"/>
          <w:lang w:eastAsia="en-AU"/>
        </w:rPr>
        <w:t xml:space="preserve">. </w:t>
      </w:r>
    </w:p>
    <w:p w14:paraId="29218E7F" w14:textId="71DD3079" w:rsidR="00885964" w:rsidRPr="005B36DB" w:rsidRDefault="00663EC7" w:rsidP="000C7ED3">
      <w:pPr>
        <w:spacing w:line="360" w:lineRule="exact"/>
        <w:ind w:firstLineChars="200" w:firstLine="520"/>
        <w:jc w:val="both"/>
        <w:rPr>
          <w:sz w:val="26"/>
          <w:szCs w:val="26"/>
        </w:rPr>
      </w:pPr>
      <w:r w:rsidRPr="005B36DB">
        <w:rPr>
          <w:sz w:val="26"/>
          <w:szCs w:val="26"/>
        </w:rPr>
        <w:t>https://doi.org/10.1016/j.aos.2006.03.001</w:t>
      </w:r>
    </w:p>
    <w:p w14:paraId="435CE17B" w14:textId="77777777" w:rsidR="000C7ED3"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 xml:space="preserve">Dowling, J. &amp; </w:t>
      </w:r>
      <w:proofErr w:type="spellStart"/>
      <w:r w:rsidRPr="005B36DB">
        <w:rPr>
          <w:sz w:val="26"/>
          <w:szCs w:val="26"/>
          <w:lang w:eastAsia="en-AU"/>
        </w:rPr>
        <w:t>Pfeffer</w:t>
      </w:r>
      <w:proofErr w:type="spellEnd"/>
      <w:r w:rsidRPr="005B36DB">
        <w:rPr>
          <w:sz w:val="26"/>
          <w:szCs w:val="26"/>
          <w:lang w:eastAsia="en-AU"/>
        </w:rPr>
        <w:t xml:space="preserve">, J., (1975). Organisational legitimacy: Social values and organisational behaviour. </w:t>
      </w:r>
      <w:r w:rsidRPr="005B36DB">
        <w:rPr>
          <w:i/>
          <w:sz w:val="26"/>
          <w:szCs w:val="26"/>
          <w:lang w:eastAsia="en-AU"/>
        </w:rPr>
        <w:t>Pacific Sociological Review</w:t>
      </w:r>
      <w:r w:rsidRPr="005B36DB">
        <w:rPr>
          <w:sz w:val="26"/>
          <w:szCs w:val="26"/>
          <w:lang w:eastAsia="en-AU"/>
        </w:rPr>
        <w:t xml:space="preserve">, </w:t>
      </w:r>
      <w:r w:rsidRPr="005B36DB">
        <w:rPr>
          <w:i/>
          <w:sz w:val="26"/>
          <w:szCs w:val="26"/>
          <w:lang w:eastAsia="en-AU"/>
        </w:rPr>
        <w:t>18</w:t>
      </w:r>
      <w:r w:rsidRPr="005B36DB">
        <w:rPr>
          <w:sz w:val="26"/>
          <w:szCs w:val="26"/>
          <w:lang w:eastAsia="en-AU"/>
        </w:rPr>
        <w:t>(1), 122-136.</w:t>
      </w:r>
      <w:r w:rsidR="00663EC7" w:rsidRPr="005B36DB">
        <w:rPr>
          <w:sz w:val="26"/>
          <w:szCs w:val="26"/>
          <w:lang w:eastAsia="en-AU"/>
        </w:rPr>
        <w:t xml:space="preserve"> </w:t>
      </w:r>
    </w:p>
    <w:p w14:paraId="07646939" w14:textId="5D4307C5" w:rsidR="00885964" w:rsidRPr="005B36DB" w:rsidRDefault="00663EC7" w:rsidP="000C7ED3">
      <w:pPr>
        <w:spacing w:line="360" w:lineRule="exact"/>
        <w:ind w:firstLineChars="200" w:firstLine="520"/>
        <w:jc w:val="both"/>
        <w:rPr>
          <w:sz w:val="26"/>
          <w:szCs w:val="26"/>
        </w:rPr>
      </w:pPr>
      <w:r w:rsidRPr="005B36DB">
        <w:rPr>
          <w:sz w:val="26"/>
          <w:szCs w:val="26"/>
        </w:rPr>
        <w:t>https://doi.org/10.2307/1388226</w:t>
      </w:r>
    </w:p>
    <w:p w14:paraId="0443F07D" w14:textId="77777777" w:rsidR="000C7ED3" w:rsidRDefault="00885964" w:rsidP="000D5C8E">
      <w:pPr>
        <w:autoSpaceDE w:val="0"/>
        <w:autoSpaceDN w:val="0"/>
        <w:adjustRightInd w:val="0"/>
        <w:spacing w:line="360" w:lineRule="exact"/>
        <w:ind w:left="520" w:hangingChars="200" w:hanging="520"/>
        <w:jc w:val="both"/>
        <w:rPr>
          <w:sz w:val="26"/>
          <w:szCs w:val="26"/>
          <w:lang w:eastAsia="en-AU"/>
        </w:rPr>
      </w:pPr>
      <w:proofErr w:type="spellStart"/>
      <w:r w:rsidRPr="005B36DB">
        <w:rPr>
          <w:sz w:val="26"/>
          <w:szCs w:val="26"/>
          <w:lang w:eastAsia="en-AU"/>
        </w:rPr>
        <w:t>Dube</w:t>
      </w:r>
      <w:proofErr w:type="spellEnd"/>
      <w:r w:rsidRPr="005B36DB">
        <w:rPr>
          <w:sz w:val="26"/>
          <w:szCs w:val="26"/>
          <w:lang w:eastAsia="en-AU"/>
        </w:rPr>
        <w:t xml:space="preserve">, S. &amp; </w:t>
      </w:r>
      <w:proofErr w:type="spellStart"/>
      <w:r w:rsidRPr="005B36DB">
        <w:rPr>
          <w:sz w:val="26"/>
          <w:szCs w:val="26"/>
          <w:lang w:eastAsia="en-AU"/>
        </w:rPr>
        <w:t>Maroun</w:t>
      </w:r>
      <w:proofErr w:type="spellEnd"/>
      <w:r w:rsidRPr="005B36DB">
        <w:rPr>
          <w:sz w:val="26"/>
          <w:szCs w:val="26"/>
          <w:lang w:eastAsia="en-AU"/>
        </w:rPr>
        <w:t xml:space="preserve">, W. (2017).  Corporate social responsibility reporting by South African mining companies: Evidence of legitimacy theory. </w:t>
      </w:r>
      <w:r w:rsidR="00F56823" w:rsidRPr="005B36DB">
        <w:rPr>
          <w:i/>
          <w:sz w:val="26"/>
          <w:szCs w:val="26"/>
          <w:lang w:eastAsia="en-AU"/>
        </w:rPr>
        <w:t>South African Journal</w:t>
      </w:r>
      <w:r w:rsidR="00F56823" w:rsidRPr="005B36DB">
        <w:rPr>
          <w:sz w:val="26"/>
          <w:szCs w:val="26"/>
          <w:lang w:eastAsia="en-AU"/>
        </w:rPr>
        <w:t xml:space="preserve"> of </w:t>
      </w:r>
      <w:r w:rsidRPr="005B36DB">
        <w:rPr>
          <w:i/>
          <w:sz w:val="26"/>
          <w:szCs w:val="26"/>
          <w:lang w:eastAsia="en-AU"/>
        </w:rPr>
        <w:t>Business Management</w:t>
      </w:r>
      <w:r w:rsidRPr="005B36DB">
        <w:rPr>
          <w:sz w:val="26"/>
          <w:szCs w:val="26"/>
          <w:lang w:eastAsia="en-AU"/>
        </w:rPr>
        <w:t xml:space="preserve"> </w:t>
      </w:r>
      <w:r w:rsidRPr="005B36DB">
        <w:rPr>
          <w:i/>
          <w:sz w:val="26"/>
          <w:szCs w:val="26"/>
          <w:lang w:eastAsia="en-AU"/>
        </w:rPr>
        <w:t>48</w:t>
      </w:r>
      <w:r w:rsidRPr="005B36DB">
        <w:rPr>
          <w:sz w:val="26"/>
          <w:szCs w:val="26"/>
          <w:lang w:eastAsia="en-AU"/>
        </w:rPr>
        <w:t>(1), 23 -34.</w:t>
      </w:r>
      <w:r w:rsidR="00663EC7" w:rsidRPr="005B36DB">
        <w:rPr>
          <w:sz w:val="26"/>
          <w:szCs w:val="26"/>
          <w:lang w:eastAsia="en-AU"/>
        </w:rPr>
        <w:t xml:space="preserve"> </w:t>
      </w:r>
    </w:p>
    <w:p w14:paraId="322553F9" w14:textId="3D6DA5C8" w:rsidR="00885964" w:rsidRPr="005B36DB" w:rsidRDefault="00663EC7" w:rsidP="000C7ED3">
      <w:pPr>
        <w:spacing w:line="360" w:lineRule="exact"/>
        <w:ind w:firstLineChars="200" w:firstLine="520"/>
        <w:jc w:val="both"/>
        <w:rPr>
          <w:sz w:val="26"/>
          <w:szCs w:val="26"/>
        </w:rPr>
      </w:pPr>
      <w:r w:rsidRPr="005B36DB">
        <w:rPr>
          <w:sz w:val="26"/>
          <w:szCs w:val="26"/>
        </w:rPr>
        <w:t>https://doi.org/10.4102/sajbm.v48i1.17</w:t>
      </w:r>
    </w:p>
    <w:p w14:paraId="4BB3D507" w14:textId="33212B78" w:rsidR="00DA2591" w:rsidRPr="00553AB0" w:rsidRDefault="005B7EDF" w:rsidP="00DA2591">
      <w:pPr>
        <w:spacing w:line="360" w:lineRule="exact"/>
        <w:ind w:left="520" w:hangingChars="200" w:hanging="520"/>
        <w:jc w:val="both"/>
        <w:rPr>
          <w:sz w:val="26"/>
          <w:szCs w:val="26"/>
        </w:rPr>
      </w:pPr>
      <w:r w:rsidRPr="00553AB0">
        <w:rPr>
          <w:sz w:val="26"/>
          <w:szCs w:val="26"/>
        </w:rPr>
        <w:t>EC (2012). Emissions trading: annual compliance round-up shows declining emissions in</w:t>
      </w:r>
      <w:r w:rsidR="00465958" w:rsidRPr="00553AB0">
        <w:rPr>
          <w:sz w:val="26"/>
          <w:szCs w:val="26"/>
        </w:rPr>
        <w:t xml:space="preserve"> </w:t>
      </w:r>
      <w:r w:rsidRPr="00553AB0">
        <w:rPr>
          <w:sz w:val="26"/>
          <w:szCs w:val="26"/>
        </w:rPr>
        <w:t xml:space="preserve">2011. </w:t>
      </w:r>
      <w:r w:rsidR="00DA2591" w:rsidRPr="00553AB0">
        <w:rPr>
          <w:sz w:val="26"/>
          <w:szCs w:val="26"/>
        </w:rPr>
        <w:t>Retrieved from</w:t>
      </w:r>
    </w:p>
    <w:p w14:paraId="564A3036" w14:textId="550F6C1F" w:rsidR="005B7EDF" w:rsidRPr="00553AB0" w:rsidRDefault="00465958" w:rsidP="00DA2591">
      <w:pPr>
        <w:spacing w:line="360" w:lineRule="exact"/>
        <w:ind w:firstLineChars="200" w:firstLine="520"/>
        <w:jc w:val="both"/>
        <w:rPr>
          <w:sz w:val="26"/>
          <w:szCs w:val="26"/>
        </w:rPr>
      </w:pPr>
      <w:r w:rsidRPr="00553AB0">
        <w:rPr>
          <w:sz w:val="26"/>
          <w:szCs w:val="26"/>
        </w:rPr>
        <w:t>h</w:t>
      </w:r>
      <w:r w:rsidR="005B7EDF" w:rsidRPr="00553AB0">
        <w:rPr>
          <w:sz w:val="26"/>
          <w:szCs w:val="26"/>
        </w:rPr>
        <w:t>ttp://europa.eu/rapid/pressReleasesAction.do?reference=IP/12/477</w:t>
      </w:r>
    </w:p>
    <w:p w14:paraId="4EDBD1AC" w14:textId="77777777" w:rsidR="000C7ED3" w:rsidRDefault="00885964" w:rsidP="000D5C8E">
      <w:pPr>
        <w:autoSpaceDE w:val="0"/>
        <w:autoSpaceDN w:val="0"/>
        <w:adjustRightInd w:val="0"/>
        <w:spacing w:line="360" w:lineRule="exact"/>
        <w:ind w:left="520" w:hangingChars="200" w:hanging="520"/>
        <w:jc w:val="both"/>
        <w:rPr>
          <w:sz w:val="26"/>
          <w:szCs w:val="26"/>
          <w:lang w:eastAsia="en-AU"/>
        </w:rPr>
      </w:pPr>
      <w:proofErr w:type="spellStart"/>
      <w:r w:rsidRPr="005B36DB">
        <w:rPr>
          <w:sz w:val="26"/>
          <w:szCs w:val="26"/>
          <w:lang w:eastAsia="en-AU"/>
        </w:rPr>
        <w:t>Eng</w:t>
      </w:r>
      <w:proofErr w:type="spellEnd"/>
      <w:r w:rsidRPr="005B36DB">
        <w:rPr>
          <w:sz w:val="26"/>
          <w:szCs w:val="26"/>
          <w:lang w:eastAsia="en-AU"/>
        </w:rPr>
        <w:t xml:space="preserve">, L. L. &amp; </w:t>
      </w:r>
      <w:proofErr w:type="spellStart"/>
      <w:r w:rsidRPr="005B36DB">
        <w:rPr>
          <w:sz w:val="26"/>
          <w:szCs w:val="26"/>
          <w:lang w:eastAsia="en-AU"/>
        </w:rPr>
        <w:t>Mak</w:t>
      </w:r>
      <w:proofErr w:type="spellEnd"/>
      <w:r w:rsidRPr="005B36DB">
        <w:rPr>
          <w:sz w:val="26"/>
          <w:szCs w:val="26"/>
          <w:lang w:eastAsia="en-AU"/>
        </w:rPr>
        <w:t xml:space="preserve">, Y. T., (2003). Corporate governance and voluntary disclosure. </w:t>
      </w:r>
      <w:r w:rsidRPr="005B36DB">
        <w:rPr>
          <w:i/>
          <w:sz w:val="26"/>
          <w:szCs w:val="26"/>
          <w:lang w:eastAsia="en-AU"/>
        </w:rPr>
        <w:t>Journal of Accounting and Public Policy</w:t>
      </w:r>
      <w:r w:rsidRPr="005B36DB">
        <w:rPr>
          <w:sz w:val="26"/>
          <w:szCs w:val="26"/>
          <w:lang w:eastAsia="en-AU"/>
        </w:rPr>
        <w:t xml:space="preserve">, </w:t>
      </w:r>
      <w:r w:rsidRPr="005B36DB">
        <w:rPr>
          <w:i/>
          <w:sz w:val="26"/>
          <w:szCs w:val="26"/>
          <w:lang w:eastAsia="en-AU"/>
        </w:rPr>
        <w:t>22</w:t>
      </w:r>
      <w:r w:rsidRPr="005B36DB">
        <w:rPr>
          <w:sz w:val="26"/>
          <w:szCs w:val="26"/>
          <w:lang w:eastAsia="en-AU"/>
        </w:rPr>
        <w:t>(4), 325–345.</w:t>
      </w:r>
      <w:r w:rsidR="00663EC7" w:rsidRPr="005B36DB">
        <w:rPr>
          <w:sz w:val="26"/>
          <w:szCs w:val="26"/>
          <w:lang w:eastAsia="en-AU"/>
        </w:rPr>
        <w:t xml:space="preserve"> </w:t>
      </w:r>
    </w:p>
    <w:p w14:paraId="5D134DFF" w14:textId="6207902B" w:rsidR="00885964" w:rsidRPr="005B36DB" w:rsidRDefault="002919B2" w:rsidP="000C7ED3">
      <w:pPr>
        <w:spacing w:line="360" w:lineRule="exact"/>
        <w:ind w:firstLineChars="200" w:firstLine="480"/>
        <w:jc w:val="both"/>
        <w:rPr>
          <w:sz w:val="26"/>
          <w:szCs w:val="26"/>
        </w:rPr>
      </w:pPr>
      <w:hyperlink r:id="rId17" w:history="1">
        <w:r w:rsidR="001E731D" w:rsidRPr="000C7ED3">
          <w:t>https://doi.org/10.1016/S0278-4254</w:t>
        </w:r>
      </w:hyperlink>
      <w:r w:rsidR="001E731D">
        <w:rPr>
          <w:sz w:val="26"/>
          <w:szCs w:val="26"/>
        </w:rPr>
        <w:t xml:space="preserve"> </w:t>
      </w:r>
      <w:r w:rsidR="00663EC7" w:rsidRPr="005B36DB">
        <w:rPr>
          <w:sz w:val="26"/>
          <w:szCs w:val="26"/>
        </w:rPr>
        <w:t>(03)00037-1</w:t>
      </w:r>
    </w:p>
    <w:p w14:paraId="0884F647" w14:textId="77777777" w:rsidR="000C7ED3"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 xml:space="preserve">Elkington, J. (1994). Towards the sustainable corporation: Win-win-win business strategies for sustainability. </w:t>
      </w:r>
      <w:r w:rsidRPr="005B36DB">
        <w:rPr>
          <w:i/>
          <w:sz w:val="26"/>
          <w:szCs w:val="26"/>
          <w:lang w:eastAsia="en-AU"/>
        </w:rPr>
        <w:t>California Management Review</w:t>
      </w:r>
      <w:r w:rsidRPr="005B36DB">
        <w:rPr>
          <w:sz w:val="26"/>
          <w:szCs w:val="26"/>
          <w:lang w:eastAsia="en-AU"/>
        </w:rPr>
        <w:t xml:space="preserve">, </w:t>
      </w:r>
      <w:r w:rsidRPr="005B36DB">
        <w:rPr>
          <w:i/>
          <w:sz w:val="26"/>
          <w:szCs w:val="26"/>
          <w:lang w:eastAsia="en-AU"/>
        </w:rPr>
        <w:t>36</w:t>
      </w:r>
      <w:r w:rsidRPr="005B36DB">
        <w:rPr>
          <w:sz w:val="26"/>
          <w:szCs w:val="26"/>
          <w:lang w:eastAsia="en-AU"/>
        </w:rPr>
        <w:t>(2), 90-100.</w:t>
      </w:r>
      <w:r w:rsidR="00663EC7" w:rsidRPr="005B36DB">
        <w:rPr>
          <w:sz w:val="26"/>
          <w:szCs w:val="26"/>
          <w:lang w:eastAsia="en-AU"/>
        </w:rPr>
        <w:t xml:space="preserve"> </w:t>
      </w:r>
    </w:p>
    <w:p w14:paraId="48A427F9" w14:textId="6FE8C4C7" w:rsidR="00885964" w:rsidRPr="005B36DB" w:rsidRDefault="00663EC7" w:rsidP="000C7ED3">
      <w:pPr>
        <w:spacing w:line="360" w:lineRule="exact"/>
        <w:ind w:firstLineChars="200" w:firstLine="520"/>
        <w:jc w:val="both"/>
        <w:rPr>
          <w:sz w:val="26"/>
          <w:szCs w:val="26"/>
        </w:rPr>
      </w:pPr>
      <w:r w:rsidRPr="005B36DB">
        <w:rPr>
          <w:sz w:val="26"/>
          <w:szCs w:val="26"/>
        </w:rPr>
        <w:t>https://doi.org/10.2307/41165746</w:t>
      </w:r>
    </w:p>
    <w:p w14:paraId="3789C2CA" w14:textId="3463AABF" w:rsidR="00F56823" w:rsidRPr="005B36DB" w:rsidRDefault="00885964" w:rsidP="000D5C8E">
      <w:pPr>
        <w:autoSpaceDE w:val="0"/>
        <w:autoSpaceDN w:val="0"/>
        <w:adjustRightInd w:val="0"/>
        <w:spacing w:line="360" w:lineRule="exact"/>
        <w:ind w:left="520" w:hangingChars="200" w:hanging="520"/>
        <w:jc w:val="both"/>
        <w:rPr>
          <w:sz w:val="26"/>
          <w:szCs w:val="26"/>
          <w:lang w:eastAsia="en-AU"/>
        </w:rPr>
      </w:pPr>
      <w:proofErr w:type="spellStart"/>
      <w:r w:rsidRPr="005B36DB">
        <w:rPr>
          <w:sz w:val="26"/>
          <w:szCs w:val="26"/>
          <w:lang w:eastAsia="en-AU"/>
        </w:rPr>
        <w:t>Gray</w:t>
      </w:r>
      <w:proofErr w:type="spellEnd"/>
      <w:r w:rsidRPr="005B36DB">
        <w:rPr>
          <w:sz w:val="26"/>
          <w:szCs w:val="26"/>
          <w:lang w:eastAsia="en-AU"/>
        </w:rPr>
        <w:t xml:space="preserve">, R., </w:t>
      </w:r>
      <w:proofErr w:type="spellStart"/>
      <w:r w:rsidRPr="005B36DB">
        <w:rPr>
          <w:sz w:val="26"/>
          <w:szCs w:val="26"/>
          <w:lang w:eastAsia="en-AU"/>
        </w:rPr>
        <w:t>Kouhy</w:t>
      </w:r>
      <w:proofErr w:type="spellEnd"/>
      <w:r w:rsidRPr="005B36DB">
        <w:rPr>
          <w:sz w:val="26"/>
          <w:szCs w:val="26"/>
          <w:lang w:eastAsia="en-AU"/>
        </w:rPr>
        <w:t xml:space="preserve">, R. &amp; </w:t>
      </w:r>
      <w:hyperlink r:id="rId18" w:tooltip="Author search for Simon Lavers." w:history="1">
        <w:r w:rsidRPr="005B36DB">
          <w:rPr>
            <w:sz w:val="26"/>
            <w:szCs w:val="26"/>
            <w:lang w:eastAsia="en-AU"/>
          </w:rPr>
          <w:t>Lavers</w:t>
        </w:r>
      </w:hyperlink>
      <w:r w:rsidRPr="005B36DB">
        <w:rPr>
          <w:sz w:val="26"/>
          <w:szCs w:val="26"/>
          <w:lang w:eastAsia="en-AU"/>
        </w:rPr>
        <w:t xml:space="preserve">, S. (1995). Corporate social and environmental reporting: </w:t>
      </w:r>
      <w:r w:rsidR="00711A02" w:rsidRPr="005B36DB">
        <w:rPr>
          <w:sz w:val="26"/>
          <w:szCs w:val="26"/>
          <w:lang w:eastAsia="en-AU"/>
        </w:rPr>
        <w:t xml:space="preserve">A </w:t>
      </w:r>
      <w:r w:rsidRPr="005B36DB">
        <w:rPr>
          <w:sz w:val="26"/>
          <w:szCs w:val="26"/>
          <w:lang w:eastAsia="en-AU"/>
        </w:rPr>
        <w:t xml:space="preserve">review of the literature and a longitudinal study of UK disclosure. </w:t>
      </w:r>
      <w:r w:rsidRPr="005B36DB">
        <w:rPr>
          <w:i/>
          <w:sz w:val="26"/>
          <w:szCs w:val="26"/>
          <w:lang w:eastAsia="en-AU"/>
        </w:rPr>
        <w:t>Accounting,</w:t>
      </w:r>
      <w:r w:rsidRPr="005B36DB">
        <w:rPr>
          <w:sz w:val="26"/>
          <w:szCs w:val="26"/>
          <w:lang w:eastAsia="en-AU"/>
        </w:rPr>
        <w:t xml:space="preserve"> </w:t>
      </w:r>
      <w:r w:rsidRPr="005B36DB">
        <w:rPr>
          <w:i/>
          <w:sz w:val="26"/>
          <w:szCs w:val="26"/>
          <w:lang w:eastAsia="en-AU"/>
        </w:rPr>
        <w:t>Auditing and Accountability Journal</w:t>
      </w:r>
      <w:r w:rsidRPr="005B36DB">
        <w:rPr>
          <w:sz w:val="26"/>
          <w:szCs w:val="26"/>
          <w:lang w:eastAsia="en-AU"/>
        </w:rPr>
        <w:t xml:space="preserve">, </w:t>
      </w:r>
      <w:r w:rsidRPr="005B36DB">
        <w:rPr>
          <w:i/>
          <w:sz w:val="26"/>
          <w:szCs w:val="26"/>
          <w:lang w:eastAsia="en-AU"/>
        </w:rPr>
        <w:t>8</w:t>
      </w:r>
      <w:r w:rsidRPr="005B36DB">
        <w:rPr>
          <w:sz w:val="26"/>
          <w:szCs w:val="26"/>
          <w:lang w:eastAsia="en-AU"/>
        </w:rPr>
        <w:t>(2),</w:t>
      </w:r>
      <w:r w:rsidR="00663EC7" w:rsidRPr="005B36DB">
        <w:rPr>
          <w:sz w:val="26"/>
          <w:szCs w:val="26"/>
          <w:lang w:eastAsia="en-AU"/>
        </w:rPr>
        <w:t xml:space="preserve"> 47-77. </w:t>
      </w:r>
    </w:p>
    <w:p w14:paraId="5C9E4A5B" w14:textId="3B028D89" w:rsidR="00885964" w:rsidRPr="005B36DB" w:rsidRDefault="00663EC7" w:rsidP="00A31D11">
      <w:pPr>
        <w:spacing w:line="360" w:lineRule="exact"/>
        <w:ind w:firstLineChars="200" w:firstLine="520"/>
        <w:jc w:val="both"/>
        <w:rPr>
          <w:sz w:val="26"/>
          <w:szCs w:val="26"/>
          <w:lang w:eastAsia="en-AU"/>
        </w:rPr>
      </w:pPr>
      <w:r w:rsidRPr="005B36DB">
        <w:rPr>
          <w:sz w:val="26"/>
          <w:szCs w:val="26"/>
          <w:lang w:eastAsia="en-AU"/>
        </w:rPr>
        <w:t>https://doi.org/</w:t>
      </w:r>
      <w:r w:rsidRPr="005B36DB">
        <w:rPr>
          <w:sz w:val="26"/>
          <w:szCs w:val="26"/>
        </w:rPr>
        <w:t>10</w:t>
      </w:r>
      <w:r w:rsidRPr="005B36DB">
        <w:rPr>
          <w:sz w:val="26"/>
          <w:szCs w:val="26"/>
          <w:lang w:eastAsia="en-AU"/>
        </w:rPr>
        <w:t>.1108/09513579510146996</w:t>
      </w:r>
    </w:p>
    <w:p w14:paraId="3F97692A" w14:textId="09B3BAB5" w:rsidR="00885964" w:rsidRPr="005B36DB" w:rsidRDefault="00885964" w:rsidP="000D5C8E">
      <w:pPr>
        <w:autoSpaceDE w:val="0"/>
        <w:autoSpaceDN w:val="0"/>
        <w:adjustRightInd w:val="0"/>
        <w:spacing w:line="360" w:lineRule="exact"/>
        <w:ind w:left="520" w:hangingChars="200" w:hanging="520"/>
        <w:jc w:val="both"/>
        <w:rPr>
          <w:sz w:val="26"/>
          <w:szCs w:val="26"/>
          <w:lang w:eastAsia="en-AU"/>
        </w:rPr>
      </w:pPr>
      <w:proofErr w:type="spellStart"/>
      <w:r w:rsidRPr="005B36DB">
        <w:rPr>
          <w:sz w:val="26"/>
          <w:szCs w:val="26"/>
          <w:lang w:eastAsia="en-AU"/>
        </w:rPr>
        <w:t>Gray</w:t>
      </w:r>
      <w:proofErr w:type="spellEnd"/>
      <w:r w:rsidRPr="005B36DB">
        <w:rPr>
          <w:sz w:val="26"/>
          <w:szCs w:val="26"/>
          <w:lang w:eastAsia="en-AU"/>
        </w:rPr>
        <w:t>, R., Owen, D. &amp; Adams, C. (1996). A</w:t>
      </w:r>
      <w:r w:rsidRPr="005B36DB">
        <w:rPr>
          <w:i/>
          <w:sz w:val="26"/>
          <w:szCs w:val="26"/>
          <w:lang w:eastAsia="en-AU"/>
        </w:rPr>
        <w:t>ccounting a</w:t>
      </w:r>
      <w:r w:rsidR="00050AB9" w:rsidRPr="005B36DB">
        <w:rPr>
          <w:i/>
          <w:sz w:val="26"/>
          <w:szCs w:val="26"/>
          <w:lang w:eastAsia="en-AU"/>
        </w:rPr>
        <w:t xml:space="preserve">nd </w:t>
      </w:r>
      <w:r w:rsidR="00553AB0" w:rsidRPr="005B36DB">
        <w:rPr>
          <w:i/>
          <w:sz w:val="26"/>
          <w:szCs w:val="26"/>
          <w:lang w:eastAsia="en-AU"/>
        </w:rPr>
        <w:t>accountability</w:t>
      </w:r>
      <w:r w:rsidR="00050AB9" w:rsidRPr="005B36DB">
        <w:rPr>
          <w:i/>
          <w:sz w:val="26"/>
          <w:szCs w:val="26"/>
          <w:lang w:eastAsia="en-AU"/>
        </w:rPr>
        <w:t xml:space="preserve">: Changes and </w:t>
      </w:r>
      <w:r w:rsidRPr="005B36DB">
        <w:rPr>
          <w:i/>
          <w:sz w:val="26"/>
          <w:szCs w:val="26"/>
          <w:lang w:eastAsia="en-AU"/>
        </w:rPr>
        <w:t xml:space="preserve">challenges in </w:t>
      </w:r>
      <w:r w:rsidR="00553AB0" w:rsidRPr="005B36DB">
        <w:rPr>
          <w:i/>
          <w:sz w:val="26"/>
          <w:szCs w:val="26"/>
          <w:lang w:eastAsia="en-AU"/>
        </w:rPr>
        <w:t xml:space="preserve">corporate social </w:t>
      </w:r>
      <w:r w:rsidRPr="005B36DB">
        <w:rPr>
          <w:i/>
          <w:sz w:val="26"/>
          <w:szCs w:val="26"/>
          <w:lang w:eastAsia="en-AU"/>
        </w:rPr>
        <w:t xml:space="preserve">and </w:t>
      </w:r>
      <w:r w:rsidR="00553AB0" w:rsidRPr="005B36DB">
        <w:rPr>
          <w:i/>
          <w:sz w:val="26"/>
          <w:szCs w:val="26"/>
          <w:lang w:eastAsia="en-AU"/>
        </w:rPr>
        <w:t>environmental reporting</w:t>
      </w:r>
      <w:r w:rsidR="00050AB9" w:rsidRPr="005B36DB">
        <w:rPr>
          <w:sz w:val="26"/>
          <w:szCs w:val="26"/>
          <w:lang w:eastAsia="en-AU"/>
        </w:rPr>
        <w:t xml:space="preserve">, Hemel Hempstead: </w:t>
      </w:r>
      <w:r w:rsidRPr="005B36DB">
        <w:rPr>
          <w:sz w:val="26"/>
          <w:szCs w:val="26"/>
          <w:lang w:eastAsia="en-AU"/>
        </w:rPr>
        <w:t>Prentice Hall.</w:t>
      </w:r>
    </w:p>
    <w:p w14:paraId="69CCE472" w14:textId="77777777" w:rsidR="000C7ED3" w:rsidRDefault="00885964" w:rsidP="000D5C8E">
      <w:pPr>
        <w:autoSpaceDE w:val="0"/>
        <w:autoSpaceDN w:val="0"/>
        <w:adjustRightInd w:val="0"/>
        <w:spacing w:line="360" w:lineRule="exact"/>
        <w:ind w:left="520" w:hangingChars="200" w:hanging="520"/>
        <w:jc w:val="both"/>
        <w:rPr>
          <w:sz w:val="26"/>
          <w:szCs w:val="26"/>
          <w:lang w:eastAsia="en-AU"/>
        </w:rPr>
      </w:pPr>
      <w:proofErr w:type="spellStart"/>
      <w:r w:rsidRPr="005B36DB">
        <w:rPr>
          <w:sz w:val="26"/>
          <w:szCs w:val="26"/>
          <w:lang w:eastAsia="en-AU"/>
        </w:rPr>
        <w:t>Hackston</w:t>
      </w:r>
      <w:proofErr w:type="spellEnd"/>
      <w:r w:rsidRPr="005B36DB">
        <w:rPr>
          <w:sz w:val="26"/>
          <w:szCs w:val="26"/>
          <w:lang w:eastAsia="en-AU"/>
        </w:rPr>
        <w:t xml:space="preserve">, D. &amp; Milne, M. J. (1996). Some </w:t>
      </w:r>
      <w:r w:rsidR="00F56823" w:rsidRPr="005B36DB">
        <w:rPr>
          <w:sz w:val="26"/>
          <w:szCs w:val="26"/>
          <w:lang w:eastAsia="en-AU"/>
        </w:rPr>
        <w:t>determinant of social and environmental disclosure</w:t>
      </w:r>
      <w:r w:rsidRPr="005B36DB">
        <w:rPr>
          <w:sz w:val="26"/>
          <w:szCs w:val="26"/>
          <w:lang w:eastAsia="en-AU"/>
        </w:rPr>
        <w:t xml:space="preserve">s in New Zealand </w:t>
      </w:r>
      <w:r w:rsidR="00711A02" w:rsidRPr="005B36DB">
        <w:rPr>
          <w:sz w:val="26"/>
          <w:szCs w:val="26"/>
          <w:lang w:eastAsia="en-AU"/>
        </w:rPr>
        <w:t>companies</w:t>
      </w:r>
      <w:r w:rsidRPr="005B36DB">
        <w:rPr>
          <w:sz w:val="26"/>
          <w:szCs w:val="26"/>
          <w:lang w:eastAsia="en-AU"/>
        </w:rPr>
        <w:t xml:space="preserve">. </w:t>
      </w:r>
      <w:r w:rsidRPr="005B36DB">
        <w:rPr>
          <w:i/>
          <w:sz w:val="26"/>
          <w:szCs w:val="26"/>
          <w:lang w:eastAsia="en-AU"/>
        </w:rPr>
        <w:t>Accountin</w:t>
      </w:r>
      <w:r w:rsidR="00050AB9" w:rsidRPr="005B36DB">
        <w:rPr>
          <w:i/>
          <w:sz w:val="26"/>
          <w:szCs w:val="26"/>
          <w:lang w:eastAsia="en-AU"/>
        </w:rPr>
        <w:t xml:space="preserve">g, Auditing and Accountability </w:t>
      </w:r>
      <w:r w:rsidRPr="005B36DB">
        <w:rPr>
          <w:i/>
          <w:sz w:val="26"/>
          <w:szCs w:val="26"/>
          <w:lang w:eastAsia="en-AU"/>
        </w:rPr>
        <w:t>Journal</w:t>
      </w:r>
      <w:r w:rsidRPr="005B36DB">
        <w:rPr>
          <w:sz w:val="26"/>
          <w:szCs w:val="26"/>
          <w:lang w:eastAsia="en-AU"/>
        </w:rPr>
        <w:t xml:space="preserve">, </w:t>
      </w:r>
      <w:r w:rsidRPr="005B36DB">
        <w:rPr>
          <w:i/>
          <w:sz w:val="26"/>
          <w:szCs w:val="26"/>
          <w:lang w:eastAsia="en-AU"/>
        </w:rPr>
        <w:t>9</w:t>
      </w:r>
      <w:r w:rsidRPr="005B36DB">
        <w:rPr>
          <w:sz w:val="26"/>
          <w:szCs w:val="26"/>
          <w:lang w:eastAsia="en-AU"/>
        </w:rPr>
        <w:t xml:space="preserve"> (1), 77-108.</w:t>
      </w:r>
      <w:r w:rsidR="00EF2A5F" w:rsidRPr="005B36DB">
        <w:rPr>
          <w:sz w:val="26"/>
          <w:szCs w:val="26"/>
          <w:lang w:eastAsia="en-AU"/>
        </w:rPr>
        <w:t xml:space="preserve"> </w:t>
      </w:r>
    </w:p>
    <w:p w14:paraId="2EAA3D83" w14:textId="7464CA85" w:rsidR="00885964" w:rsidRPr="005B36DB" w:rsidRDefault="00EF2A5F" w:rsidP="000C7ED3">
      <w:pPr>
        <w:spacing w:line="360" w:lineRule="exact"/>
        <w:ind w:firstLineChars="200" w:firstLine="520"/>
        <w:jc w:val="both"/>
        <w:rPr>
          <w:sz w:val="26"/>
          <w:szCs w:val="26"/>
        </w:rPr>
      </w:pPr>
      <w:r w:rsidRPr="005B36DB">
        <w:rPr>
          <w:sz w:val="26"/>
          <w:szCs w:val="26"/>
        </w:rPr>
        <w:t>https://doi.org/10.1108/09513579610109987</w:t>
      </w:r>
    </w:p>
    <w:p w14:paraId="3E0C1974" w14:textId="77777777" w:rsidR="000C7ED3" w:rsidRDefault="00885964" w:rsidP="000D5C8E">
      <w:pPr>
        <w:autoSpaceDE w:val="0"/>
        <w:autoSpaceDN w:val="0"/>
        <w:adjustRightInd w:val="0"/>
        <w:spacing w:line="360" w:lineRule="exact"/>
        <w:ind w:left="520" w:hangingChars="200" w:hanging="520"/>
        <w:jc w:val="both"/>
        <w:rPr>
          <w:sz w:val="26"/>
          <w:szCs w:val="26"/>
          <w:lang w:eastAsia="en-AU"/>
        </w:rPr>
      </w:pPr>
      <w:proofErr w:type="spellStart"/>
      <w:r w:rsidRPr="005B36DB">
        <w:rPr>
          <w:sz w:val="26"/>
          <w:szCs w:val="26"/>
          <w:lang w:eastAsia="en-AU"/>
        </w:rPr>
        <w:t>Haniffa</w:t>
      </w:r>
      <w:proofErr w:type="spellEnd"/>
      <w:r w:rsidRPr="005B36DB">
        <w:rPr>
          <w:sz w:val="26"/>
          <w:szCs w:val="26"/>
          <w:lang w:eastAsia="en-AU"/>
        </w:rPr>
        <w:t xml:space="preserve">, R. M. &amp; Cooke, T. E. (2005). The impact of culture and governance on corporate social reporting. </w:t>
      </w:r>
      <w:r w:rsidRPr="005B36DB">
        <w:rPr>
          <w:i/>
          <w:sz w:val="26"/>
          <w:szCs w:val="26"/>
          <w:lang w:eastAsia="en-AU"/>
        </w:rPr>
        <w:t>Journal of Accounting and Public Policy</w:t>
      </w:r>
      <w:r w:rsidRPr="005B36DB">
        <w:rPr>
          <w:sz w:val="26"/>
          <w:szCs w:val="26"/>
          <w:lang w:eastAsia="en-AU"/>
        </w:rPr>
        <w:t xml:space="preserve">, </w:t>
      </w:r>
      <w:r w:rsidRPr="005B36DB">
        <w:rPr>
          <w:i/>
          <w:sz w:val="26"/>
          <w:szCs w:val="26"/>
          <w:lang w:eastAsia="en-AU"/>
        </w:rPr>
        <w:t>24</w:t>
      </w:r>
      <w:r w:rsidR="00EF2A5F" w:rsidRPr="005B36DB">
        <w:rPr>
          <w:sz w:val="26"/>
          <w:szCs w:val="26"/>
          <w:lang w:eastAsia="en-AU"/>
        </w:rPr>
        <w:t>(5)</w:t>
      </w:r>
      <w:r w:rsidRPr="005B36DB">
        <w:rPr>
          <w:sz w:val="26"/>
          <w:szCs w:val="26"/>
          <w:lang w:eastAsia="en-AU"/>
        </w:rPr>
        <w:t>, 391</w:t>
      </w:r>
      <w:r w:rsidR="00F56823" w:rsidRPr="005B36DB">
        <w:rPr>
          <w:sz w:val="26"/>
          <w:szCs w:val="26"/>
          <w:lang w:eastAsia="en-AU"/>
        </w:rPr>
        <w:t>-</w:t>
      </w:r>
      <w:r w:rsidR="00EF2A5F" w:rsidRPr="005B36DB">
        <w:rPr>
          <w:sz w:val="26"/>
          <w:szCs w:val="26"/>
          <w:lang w:eastAsia="en-AU"/>
        </w:rPr>
        <w:t>430</w:t>
      </w:r>
      <w:r w:rsidRPr="005B36DB">
        <w:rPr>
          <w:sz w:val="26"/>
          <w:szCs w:val="26"/>
          <w:lang w:eastAsia="en-AU"/>
        </w:rPr>
        <w:t>.</w:t>
      </w:r>
      <w:r w:rsidR="00EF2A5F" w:rsidRPr="005B36DB">
        <w:rPr>
          <w:sz w:val="26"/>
          <w:szCs w:val="26"/>
          <w:lang w:eastAsia="en-AU"/>
        </w:rPr>
        <w:t xml:space="preserve"> </w:t>
      </w:r>
    </w:p>
    <w:p w14:paraId="5406887B" w14:textId="71395912" w:rsidR="00885964" w:rsidRPr="005B36DB" w:rsidRDefault="00EF2A5F" w:rsidP="000C7ED3">
      <w:pPr>
        <w:spacing w:line="360" w:lineRule="exact"/>
        <w:ind w:firstLineChars="200" w:firstLine="520"/>
        <w:jc w:val="both"/>
        <w:rPr>
          <w:sz w:val="26"/>
          <w:szCs w:val="26"/>
        </w:rPr>
      </w:pPr>
      <w:r w:rsidRPr="005B36DB">
        <w:rPr>
          <w:sz w:val="26"/>
          <w:szCs w:val="26"/>
        </w:rPr>
        <w:t>https://doi.org/10.1016/j.jaccpubpol.2005.06.001</w:t>
      </w:r>
    </w:p>
    <w:p w14:paraId="4FA0FBE4" w14:textId="77777777" w:rsidR="00F56823" w:rsidRPr="005B36DB"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 xml:space="preserve">Islam, M. A. &amp; Deegan, C. (2008). Motivations for an organisation within a developing country to report social responsibility information: Evidence from Bangladesh. </w:t>
      </w:r>
      <w:r w:rsidRPr="005B36DB">
        <w:rPr>
          <w:i/>
          <w:sz w:val="26"/>
          <w:szCs w:val="26"/>
          <w:lang w:eastAsia="en-AU"/>
        </w:rPr>
        <w:t>Accounting,</w:t>
      </w:r>
      <w:r w:rsidRPr="005B36DB">
        <w:rPr>
          <w:sz w:val="26"/>
          <w:szCs w:val="26"/>
          <w:lang w:eastAsia="en-AU"/>
        </w:rPr>
        <w:t xml:space="preserve"> </w:t>
      </w:r>
      <w:r w:rsidRPr="005B36DB">
        <w:rPr>
          <w:i/>
          <w:sz w:val="26"/>
          <w:szCs w:val="26"/>
          <w:lang w:eastAsia="en-AU"/>
        </w:rPr>
        <w:t>Auditing and Accountability Journal,</w:t>
      </w:r>
      <w:r w:rsidRPr="005B36DB">
        <w:rPr>
          <w:sz w:val="26"/>
          <w:szCs w:val="26"/>
          <w:lang w:eastAsia="en-AU"/>
        </w:rPr>
        <w:t xml:space="preserve"> </w:t>
      </w:r>
      <w:r w:rsidRPr="005B36DB">
        <w:rPr>
          <w:i/>
          <w:sz w:val="26"/>
          <w:szCs w:val="26"/>
          <w:lang w:eastAsia="en-AU"/>
        </w:rPr>
        <w:t>21</w:t>
      </w:r>
      <w:r w:rsidRPr="005B36DB">
        <w:rPr>
          <w:sz w:val="26"/>
          <w:szCs w:val="26"/>
          <w:lang w:eastAsia="en-AU"/>
        </w:rPr>
        <w:t>(6), 850</w:t>
      </w:r>
      <w:r w:rsidR="00F56823" w:rsidRPr="005B36DB">
        <w:rPr>
          <w:sz w:val="26"/>
          <w:szCs w:val="26"/>
          <w:lang w:eastAsia="en-AU"/>
        </w:rPr>
        <w:t>-</w:t>
      </w:r>
      <w:r w:rsidRPr="005B36DB">
        <w:rPr>
          <w:sz w:val="26"/>
          <w:szCs w:val="26"/>
          <w:lang w:eastAsia="en-AU"/>
        </w:rPr>
        <w:t>874.</w:t>
      </w:r>
      <w:r w:rsidR="00EF2A5F" w:rsidRPr="005B36DB">
        <w:rPr>
          <w:sz w:val="26"/>
          <w:szCs w:val="26"/>
          <w:lang w:eastAsia="en-AU"/>
        </w:rPr>
        <w:t xml:space="preserve"> </w:t>
      </w:r>
    </w:p>
    <w:p w14:paraId="19AEB1E0" w14:textId="6DEC4A38" w:rsidR="00885964" w:rsidRPr="005B36DB" w:rsidRDefault="00EF2A5F" w:rsidP="00A31D11">
      <w:pPr>
        <w:spacing w:line="360" w:lineRule="exact"/>
        <w:ind w:firstLineChars="200" w:firstLine="520"/>
        <w:jc w:val="both"/>
        <w:rPr>
          <w:sz w:val="26"/>
          <w:szCs w:val="26"/>
          <w:lang w:eastAsia="en-AU"/>
        </w:rPr>
      </w:pPr>
      <w:r w:rsidRPr="005B36DB">
        <w:rPr>
          <w:sz w:val="26"/>
          <w:szCs w:val="26"/>
          <w:lang w:eastAsia="en-AU"/>
        </w:rPr>
        <w:t xml:space="preserve">https://doi.org/10.1108/09513570810893272 </w:t>
      </w:r>
      <w:r w:rsidR="00885964" w:rsidRPr="005B36DB">
        <w:rPr>
          <w:sz w:val="26"/>
          <w:szCs w:val="26"/>
          <w:lang w:eastAsia="en-AU"/>
        </w:rPr>
        <w:t xml:space="preserve"> </w:t>
      </w:r>
    </w:p>
    <w:p w14:paraId="1CE831DE" w14:textId="2BBFA9C1" w:rsidR="00F56823" w:rsidRPr="005B36DB"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lastRenderedPageBreak/>
        <w:t xml:space="preserve">Islam, M. &amp; </w:t>
      </w:r>
      <w:proofErr w:type="spellStart"/>
      <w:r w:rsidRPr="005B36DB">
        <w:rPr>
          <w:sz w:val="26"/>
          <w:szCs w:val="26"/>
          <w:lang w:eastAsia="en-AU"/>
        </w:rPr>
        <w:t>Dellaportas</w:t>
      </w:r>
      <w:proofErr w:type="spellEnd"/>
      <w:r w:rsidRPr="005B36DB">
        <w:rPr>
          <w:sz w:val="26"/>
          <w:szCs w:val="26"/>
          <w:lang w:eastAsia="en-AU"/>
        </w:rPr>
        <w:t xml:space="preserve">, S., (2011). Perceptions of corporate social and environmental accounting and reporting practices from accountants in Bangladesh. </w:t>
      </w:r>
      <w:r w:rsidRPr="005B36DB">
        <w:rPr>
          <w:i/>
          <w:sz w:val="26"/>
          <w:szCs w:val="26"/>
          <w:lang w:eastAsia="en-AU"/>
        </w:rPr>
        <w:t>Social Responsibility Journal</w:t>
      </w:r>
      <w:r w:rsidRPr="005B36DB">
        <w:rPr>
          <w:sz w:val="26"/>
          <w:szCs w:val="26"/>
          <w:lang w:eastAsia="en-AU"/>
        </w:rPr>
        <w:t xml:space="preserve">, </w:t>
      </w:r>
      <w:r w:rsidRPr="005B36DB">
        <w:rPr>
          <w:i/>
          <w:sz w:val="26"/>
          <w:szCs w:val="26"/>
          <w:lang w:eastAsia="en-AU"/>
        </w:rPr>
        <w:t>7</w:t>
      </w:r>
      <w:r w:rsidRPr="005B36DB">
        <w:rPr>
          <w:sz w:val="26"/>
          <w:szCs w:val="26"/>
          <w:lang w:eastAsia="en-AU"/>
        </w:rPr>
        <w:t>(4), 649</w:t>
      </w:r>
      <w:r w:rsidR="00F56823" w:rsidRPr="005B36DB">
        <w:rPr>
          <w:sz w:val="26"/>
          <w:szCs w:val="26"/>
          <w:lang w:eastAsia="en-AU"/>
        </w:rPr>
        <w:t>-</w:t>
      </w:r>
      <w:r w:rsidRPr="005B36DB">
        <w:rPr>
          <w:sz w:val="26"/>
          <w:szCs w:val="26"/>
          <w:lang w:eastAsia="en-AU"/>
        </w:rPr>
        <w:t>664.</w:t>
      </w:r>
      <w:r w:rsidR="00EF2A5F" w:rsidRPr="005B36DB">
        <w:rPr>
          <w:sz w:val="26"/>
          <w:szCs w:val="26"/>
          <w:lang w:eastAsia="en-AU"/>
        </w:rPr>
        <w:t xml:space="preserve"> </w:t>
      </w:r>
    </w:p>
    <w:p w14:paraId="5DEA9406" w14:textId="12CDDE4E" w:rsidR="00885964" w:rsidRPr="005B36DB" w:rsidRDefault="00EF2A5F" w:rsidP="00A31D11">
      <w:pPr>
        <w:spacing w:line="360" w:lineRule="exact"/>
        <w:ind w:firstLineChars="200" w:firstLine="520"/>
        <w:jc w:val="both"/>
        <w:rPr>
          <w:sz w:val="26"/>
          <w:szCs w:val="26"/>
          <w:lang w:eastAsia="en-AU"/>
        </w:rPr>
      </w:pPr>
      <w:r w:rsidRPr="005B36DB">
        <w:rPr>
          <w:sz w:val="26"/>
          <w:szCs w:val="26"/>
          <w:lang w:eastAsia="en-AU"/>
        </w:rPr>
        <w:t>https://doi.org/10.1108/17471111111175191</w:t>
      </w:r>
    </w:p>
    <w:p w14:paraId="1B682CE6" w14:textId="77777777" w:rsidR="000C7ED3" w:rsidRDefault="00885964" w:rsidP="005B7EDF">
      <w:pPr>
        <w:autoSpaceDE w:val="0"/>
        <w:autoSpaceDN w:val="0"/>
        <w:adjustRightInd w:val="0"/>
        <w:spacing w:line="360" w:lineRule="exact"/>
        <w:ind w:left="520" w:hangingChars="200" w:hanging="520"/>
        <w:jc w:val="both"/>
        <w:rPr>
          <w:sz w:val="26"/>
          <w:szCs w:val="26"/>
          <w:lang w:eastAsia="en-AU"/>
        </w:rPr>
      </w:pPr>
      <w:proofErr w:type="spellStart"/>
      <w:r w:rsidRPr="005B36DB">
        <w:rPr>
          <w:sz w:val="26"/>
          <w:szCs w:val="26"/>
          <w:lang w:eastAsia="en-AU"/>
        </w:rPr>
        <w:t>Jamali</w:t>
      </w:r>
      <w:proofErr w:type="spellEnd"/>
      <w:r w:rsidRPr="005B36DB">
        <w:rPr>
          <w:sz w:val="26"/>
          <w:szCs w:val="26"/>
          <w:lang w:eastAsia="en-AU"/>
        </w:rPr>
        <w:t xml:space="preserve">. D. &amp; </w:t>
      </w:r>
      <w:proofErr w:type="spellStart"/>
      <w:r w:rsidRPr="005B36DB">
        <w:rPr>
          <w:sz w:val="26"/>
          <w:szCs w:val="26"/>
          <w:lang w:eastAsia="en-AU"/>
        </w:rPr>
        <w:t>Mirshak</w:t>
      </w:r>
      <w:proofErr w:type="spellEnd"/>
      <w:r w:rsidRPr="005B36DB">
        <w:rPr>
          <w:sz w:val="26"/>
          <w:szCs w:val="26"/>
          <w:lang w:eastAsia="en-AU"/>
        </w:rPr>
        <w:t xml:space="preserve">, R. (2007). Corporate </w:t>
      </w:r>
      <w:r w:rsidR="00F56823" w:rsidRPr="005B36DB">
        <w:rPr>
          <w:sz w:val="26"/>
          <w:szCs w:val="26"/>
          <w:lang w:eastAsia="en-AU"/>
        </w:rPr>
        <w:t xml:space="preserve">social responsibility </w:t>
      </w:r>
      <w:r w:rsidRPr="005B36DB">
        <w:rPr>
          <w:sz w:val="26"/>
          <w:szCs w:val="26"/>
          <w:lang w:eastAsia="en-AU"/>
        </w:rPr>
        <w:t xml:space="preserve">(CSR): Theory and practice in a </w:t>
      </w:r>
      <w:r w:rsidR="00F56823" w:rsidRPr="005B36DB">
        <w:rPr>
          <w:sz w:val="26"/>
          <w:szCs w:val="26"/>
          <w:lang w:eastAsia="en-AU"/>
        </w:rPr>
        <w:t>developing country c</w:t>
      </w:r>
      <w:r w:rsidRPr="005B36DB">
        <w:rPr>
          <w:sz w:val="26"/>
          <w:szCs w:val="26"/>
          <w:lang w:eastAsia="en-AU"/>
        </w:rPr>
        <w:t xml:space="preserve">ontext. </w:t>
      </w:r>
      <w:r w:rsidRPr="005B36DB">
        <w:rPr>
          <w:i/>
          <w:sz w:val="26"/>
          <w:szCs w:val="26"/>
          <w:lang w:eastAsia="en-AU"/>
        </w:rPr>
        <w:t>Journal of Business Ethics</w:t>
      </w:r>
      <w:r w:rsidRPr="005B36DB">
        <w:rPr>
          <w:sz w:val="26"/>
          <w:szCs w:val="26"/>
          <w:lang w:eastAsia="en-AU"/>
        </w:rPr>
        <w:t xml:space="preserve">, </w:t>
      </w:r>
      <w:r w:rsidRPr="005B36DB">
        <w:rPr>
          <w:i/>
          <w:sz w:val="26"/>
          <w:szCs w:val="26"/>
          <w:lang w:eastAsia="en-AU"/>
        </w:rPr>
        <w:t>72</w:t>
      </w:r>
      <w:r w:rsidR="00EF2A5F" w:rsidRPr="005B36DB">
        <w:rPr>
          <w:sz w:val="26"/>
          <w:szCs w:val="26"/>
          <w:lang w:eastAsia="en-AU"/>
        </w:rPr>
        <w:t>(3)</w:t>
      </w:r>
      <w:r w:rsidRPr="005B36DB">
        <w:rPr>
          <w:sz w:val="26"/>
          <w:szCs w:val="26"/>
          <w:lang w:eastAsia="en-AU"/>
        </w:rPr>
        <w:t>, 243-262.</w:t>
      </w:r>
      <w:r w:rsidR="00EF2A5F" w:rsidRPr="005B36DB">
        <w:rPr>
          <w:sz w:val="26"/>
          <w:szCs w:val="26"/>
          <w:lang w:eastAsia="en-AU"/>
        </w:rPr>
        <w:t xml:space="preserve"> </w:t>
      </w:r>
    </w:p>
    <w:p w14:paraId="0B3D861F" w14:textId="068F2755" w:rsidR="00885964" w:rsidRPr="005B36DB" w:rsidRDefault="00EF2A5F" w:rsidP="000C7ED3">
      <w:pPr>
        <w:spacing w:line="360" w:lineRule="exact"/>
        <w:ind w:firstLineChars="200" w:firstLine="520"/>
        <w:jc w:val="both"/>
        <w:rPr>
          <w:sz w:val="26"/>
          <w:szCs w:val="26"/>
          <w:lang w:eastAsia="en-AU"/>
        </w:rPr>
      </w:pPr>
      <w:r w:rsidRPr="005B36DB">
        <w:rPr>
          <w:sz w:val="26"/>
          <w:szCs w:val="26"/>
          <w:lang w:eastAsia="en-AU"/>
        </w:rPr>
        <w:t>https://doi.org/10.1007/s10551-006-9168-4</w:t>
      </w:r>
    </w:p>
    <w:p w14:paraId="0EAB7546" w14:textId="77777777" w:rsidR="00CF0041" w:rsidRPr="00CF0041" w:rsidRDefault="000A44C9" w:rsidP="005B7EDF">
      <w:pPr>
        <w:autoSpaceDE w:val="0"/>
        <w:autoSpaceDN w:val="0"/>
        <w:adjustRightInd w:val="0"/>
        <w:spacing w:line="360" w:lineRule="exact"/>
        <w:ind w:left="520" w:hangingChars="200" w:hanging="520"/>
        <w:jc w:val="both"/>
        <w:rPr>
          <w:sz w:val="26"/>
          <w:szCs w:val="26"/>
        </w:rPr>
      </w:pPr>
      <w:proofErr w:type="spellStart"/>
      <w:r w:rsidRPr="00CF0041">
        <w:rPr>
          <w:sz w:val="26"/>
          <w:szCs w:val="26"/>
        </w:rPr>
        <w:t>Khlif</w:t>
      </w:r>
      <w:proofErr w:type="spellEnd"/>
      <w:r w:rsidRPr="00CF0041">
        <w:rPr>
          <w:sz w:val="26"/>
          <w:szCs w:val="26"/>
        </w:rPr>
        <w:t xml:space="preserve">, H. &amp; </w:t>
      </w:r>
      <w:proofErr w:type="spellStart"/>
      <w:r w:rsidRPr="00CF0041">
        <w:rPr>
          <w:sz w:val="26"/>
          <w:szCs w:val="26"/>
        </w:rPr>
        <w:t>Souissi</w:t>
      </w:r>
      <w:proofErr w:type="spellEnd"/>
      <w:r w:rsidRPr="00CF0041">
        <w:rPr>
          <w:sz w:val="26"/>
          <w:szCs w:val="26"/>
        </w:rPr>
        <w:t>, M. (2010)</w:t>
      </w:r>
      <w:r w:rsidR="005B7EDF" w:rsidRPr="00CF0041">
        <w:rPr>
          <w:sz w:val="26"/>
          <w:szCs w:val="26"/>
        </w:rPr>
        <w:t>.</w:t>
      </w:r>
      <w:r w:rsidRPr="00CF0041">
        <w:rPr>
          <w:sz w:val="26"/>
          <w:szCs w:val="26"/>
        </w:rPr>
        <w:t xml:space="preserve"> The determinants of corporate disclosure: </w:t>
      </w:r>
      <w:r w:rsidR="00DA2591" w:rsidRPr="00CF0041">
        <w:rPr>
          <w:sz w:val="26"/>
          <w:szCs w:val="26"/>
        </w:rPr>
        <w:t xml:space="preserve">A </w:t>
      </w:r>
      <w:r w:rsidRPr="00CF0041">
        <w:rPr>
          <w:sz w:val="26"/>
          <w:szCs w:val="26"/>
        </w:rPr>
        <w:t xml:space="preserve">meta-analysis. </w:t>
      </w:r>
      <w:r w:rsidRPr="00CF0041">
        <w:rPr>
          <w:i/>
          <w:iCs/>
          <w:sz w:val="26"/>
          <w:szCs w:val="26"/>
        </w:rPr>
        <w:t>International Journal of Accounting and Information Management</w:t>
      </w:r>
      <w:r w:rsidRPr="00CF0041">
        <w:rPr>
          <w:sz w:val="26"/>
          <w:szCs w:val="26"/>
        </w:rPr>
        <w:t xml:space="preserve">, </w:t>
      </w:r>
      <w:r w:rsidRPr="00CF0041">
        <w:rPr>
          <w:i/>
          <w:sz w:val="26"/>
          <w:szCs w:val="26"/>
        </w:rPr>
        <w:t>18</w:t>
      </w:r>
      <w:r w:rsidRPr="00CF0041">
        <w:rPr>
          <w:sz w:val="26"/>
          <w:szCs w:val="26"/>
        </w:rPr>
        <w:t>(3), 198-219.</w:t>
      </w:r>
    </w:p>
    <w:p w14:paraId="3FD41218" w14:textId="424902E7" w:rsidR="00396D33" w:rsidRPr="00CF0041" w:rsidRDefault="00CF0041" w:rsidP="00CF0041">
      <w:pPr>
        <w:autoSpaceDE w:val="0"/>
        <w:autoSpaceDN w:val="0"/>
        <w:adjustRightInd w:val="0"/>
        <w:spacing w:line="360" w:lineRule="exact"/>
        <w:ind w:firstLineChars="200" w:firstLine="520"/>
        <w:jc w:val="both"/>
        <w:rPr>
          <w:sz w:val="26"/>
          <w:szCs w:val="26"/>
        </w:rPr>
      </w:pPr>
      <w:r w:rsidRPr="00CF0041">
        <w:rPr>
          <w:sz w:val="26"/>
          <w:szCs w:val="26"/>
        </w:rPr>
        <w:t>https://doi.org/10.1108/18347641011068965</w:t>
      </w:r>
    </w:p>
    <w:p w14:paraId="6F6BE5EB" w14:textId="77777777" w:rsidR="000C7ED3" w:rsidRDefault="00885964" w:rsidP="005B7EDF">
      <w:pPr>
        <w:autoSpaceDE w:val="0"/>
        <w:autoSpaceDN w:val="0"/>
        <w:adjustRightInd w:val="0"/>
        <w:spacing w:line="360" w:lineRule="exact"/>
        <w:ind w:left="520" w:hangingChars="200" w:hanging="520"/>
        <w:jc w:val="both"/>
        <w:rPr>
          <w:sz w:val="26"/>
          <w:szCs w:val="26"/>
          <w:lang w:eastAsia="en-AU"/>
        </w:rPr>
      </w:pPr>
      <w:proofErr w:type="spellStart"/>
      <w:r w:rsidRPr="005B36DB">
        <w:rPr>
          <w:sz w:val="26"/>
          <w:szCs w:val="26"/>
          <w:lang w:eastAsia="en-AU"/>
        </w:rPr>
        <w:t>Kamla</w:t>
      </w:r>
      <w:proofErr w:type="spellEnd"/>
      <w:r w:rsidRPr="005B36DB">
        <w:rPr>
          <w:sz w:val="26"/>
          <w:szCs w:val="26"/>
          <w:lang w:eastAsia="en-AU"/>
        </w:rPr>
        <w:t xml:space="preserve">, R. (2007). Critically </w:t>
      </w:r>
      <w:r w:rsidR="00F56823" w:rsidRPr="005B36DB">
        <w:rPr>
          <w:sz w:val="26"/>
          <w:szCs w:val="26"/>
          <w:lang w:eastAsia="en-AU"/>
        </w:rPr>
        <w:t>appreciating social accounting and reporting in th</w:t>
      </w:r>
      <w:r w:rsidRPr="005B36DB">
        <w:rPr>
          <w:sz w:val="26"/>
          <w:szCs w:val="26"/>
          <w:lang w:eastAsia="en-AU"/>
        </w:rPr>
        <w:t>e Arab Middle East: A</w:t>
      </w:r>
      <w:r w:rsidR="00F56823" w:rsidRPr="005B36DB">
        <w:rPr>
          <w:sz w:val="26"/>
          <w:szCs w:val="26"/>
          <w:lang w:eastAsia="en-AU"/>
        </w:rPr>
        <w:t xml:space="preserve"> postcolonial perspective</w:t>
      </w:r>
      <w:r w:rsidRPr="005B36DB">
        <w:rPr>
          <w:sz w:val="26"/>
          <w:szCs w:val="26"/>
          <w:lang w:eastAsia="en-AU"/>
        </w:rPr>
        <w:t xml:space="preserve">. </w:t>
      </w:r>
      <w:r w:rsidRPr="005B36DB">
        <w:rPr>
          <w:i/>
          <w:sz w:val="26"/>
          <w:szCs w:val="26"/>
          <w:lang w:eastAsia="en-AU"/>
        </w:rPr>
        <w:t>Advances in International Accounting</w:t>
      </w:r>
      <w:r w:rsidRPr="005B36DB">
        <w:rPr>
          <w:sz w:val="26"/>
          <w:szCs w:val="26"/>
          <w:lang w:eastAsia="en-AU"/>
        </w:rPr>
        <w:t xml:space="preserve">, </w:t>
      </w:r>
      <w:r w:rsidRPr="005B36DB">
        <w:rPr>
          <w:i/>
          <w:sz w:val="26"/>
          <w:szCs w:val="26"/>
          <w:lang w:eastAsia="en-AU"/>
        </w:rPr>
        <w:t>20</w:t>
      </w:r>
      <w:r w:rsidRPr="005B36DB">
        <w:rPr>
          <w:sz w:val="26"/>
          <w:szCs w:val="26"/>
          <w:lang w:eastAsia="en-AU"/>
        </w:rPr>
        <w:t>, 105-177.</w:t>
      </w:r>
      <w:r w:rsidR="00EF2A5F" w:rsidRPr="005B36DB">
        <w:rPr>
          <w:sz w:val="26"/>
          <w:szCs w:val="26"/>
          <w:lang w:eastAsia="en-AU"/>
        </w:rPr>
        <w:t xml:space="preserve"> </w:t>
      </w:r>
    </w:p>
    <w:p w14:paraId="3C077ABD" w14:textId="19606BF3" w:rsidR="00885964" w:rsidRPr="005B36DB" w:rsidRDefault="00EF2A5F" w:rsidP="000C7ED3">
      <w:pPr>
        <w:spacing w:line="360" w:lineRule="exact"/>
        <w:ind w:firstLineChars="200" w:firstLine="520"/>
        <w:jc w:val="both"/>
        <w:rPr>
          <w:sz w:val="26"/>
          <w:szCs w:val="26"/>
          <w:lang w:eastAsia="en-AU"/>
        </w:rPr>
      </w:pPr>
      <w:r w:rsidRPr="005B36DB">
        <w:rPr>
          <w:sz w:val="26"/>
          <w:szCs w:val="26"/>
          <w:lang w:eastAsia="en-AU"/>
        </w:rPr>
        <w:t xml:space="preserve">https://doi.org/10.1016/s0897-3660(07)20005-4 </w:t>
      </w:r>
      <w:r w:rsidR="00885964" w:rsidRPr="005B36DB">
        <w:rPr>
          <w:sz w:val="26"/>
          <w:szCs w:val="26"/>
          <w:lang w:eastAsia="en-AU"/>
        </w:rPr>
        <w:t xml:space="preserve"> </w:t>
      </w:r>
    </w:p>
    <w:p w14:paraId="28D00FA5" w14:textId="77777777" w:rsidR="000C7ED3" w:rsidRDefault="002919B2" w:rsidP="000D5C8E">
      <w:pPr>
        <w:autoSpaceDE w:val="0"/>
        <w:autoSpaceDN w:val="0"/>
        <w:adjustRightInd w:val="0"/>
        <w:spacing w:line="360" w:lineRule="exact"/>
        <w:ind w:left="480" w:hangingChars="200" w:hanging="480"/>
        <w:jc w:val="both"/>
        <w:rPr>
          <w:sz w:val="26"/>
          <w:szCs w:val="26"/>
          <w:lang w:eastAsia="en-AU"/>
        </w:rPr>
      </w:pPr>
      <w:hyperlink r:id="rId19" w:history="1">
        <w:r w:rsidR="00885964" w:rsidRPr="005B36DB">
          <w:rPr>
            <w:sz w:val="26"/>
            <w:szCs w:val="26"/>
          </w:rPr>
          <w:t>Kansal</w:t>
        </w:r>
      </w:hyperlink>
      <w:r w:rsidR="00885964" w:rsidRPr="005B36DB">
        <w:rPr>
          <w:sz w:val="26"/>
          <w:szCs w:val="26"/>
          <w:lang w:eastAsia="en-AU"/>
        </w:rPr>
        <w:t xml:space="preserve">, M., Joshi, M. &amp; </w:t>
      </w:r>
      <w:proofErr w:type="spellStart"/>
      <w:r w:rsidR="00885964" w:rsidRPr="005B36DB">
        <w:rPr>
          <w:sz w:val="26"/>
          <w:szCs w:val="26"/>
          <w:lang w:eastAsia="en-AU"/>
        </w:rPr>
        <w:t>Batra</w:t>
      </w:r>
      <w:proofErr w:type="spellEnd"/>
      <w:r w:rsidR="00885964" w:rsidRPr="005B36DB">
        <w:rPr>
          <w:sz w:val="26"/>
          <w:szCs w:val="26"/>
          <w:lang w:eastAsia="en-AU"/>
        </w:rPr>
        <w:t xml:space="preserve">, G.S. (2014). Determinants of corporate social responsibility disclosures: Evidence from India. </w:t>
      </w:r>
      <w:r w:rsidR="00885964" w:rsidRPr="005B36DB">
        <w:rPr>
          <w:i/>
          <w:sz w:val="26"/>
          <w:szCs w:val="26"/>
          <w:lang w:eastAsia="en-AU"/>
        </w:rPr>
        <w:t>Advances in Accounting</w:t>
      </w:r>
      <w:r w:rsidR="00885964" w:rsidRPr="005B36DB">
        <w:rPr>
          <w:sz w:val="26"/>
          <w:szCs w:val="26"/>
          <w:lang w:eastAsia="en-AU"/>
        </w:rPr>
        <w:t xml:space="preserve">, </w:t>
      </w:r>
      <w:r w:rsidR="00885964" w:rsidRPr="005B36DB">
        <w:rPr>
          <w:i/>
          <w:sz w:val="26"/>
          <w:szCs w:val="26"/>
          <w:lang w:eastAsia="en-AU"/>
        </w:rPr>
        <w:t>30</w:t>
      </w:r>
      <w:r w:rsidR="00885964" w:rsidRPr="005B36DB">
        <w:rPr>
          <w:sz w:val="26"/>
          <w:szCs w:val="26"/>
          <w:lang w:eastAsia="en-AU"/>
        </w:rPr>
        <w:t>(1), 217–229.</w:t>
      </w:r>
      <w:r w:rsidR="00EF2A5F" w:rsidRPr="005B36DB">
        <w:rPr>
          <w:sz w:val="26"/>
          <w:szCs w:val="26"/>
          <w:lang w:eastAsia="en-AU"/>
        </w:rPr>
        <w:t xml:space="preserve"> </w:t>
      </w:r>
    </w:p>
    <w:p w14:paraId="05FC7D61" w14:textId="50F4F2B3" w:rsidR="00885964" w:rsidRPr="005B36DB" w:rsidRDefault="00EF2A5F" w:rsidP="000C7ED3">
      <w:pPr>
        <w:spacing w:line="360" w:lineRule="exact"/>
        <w:ind w:firstLineChars="200" w:firstLine="520"/>
        <w:jc w:val="both"/>
        <w:rPr>
          <w:sz w:val="26"/>
          <w:szCs w:val="26"/>
          <w:lang w:eastAsia="en-AU"/>
        </w:rPr>
      </w:pPr>
      <w:r w:rsidRPr="005B36DB">
        <w:rPr>
          <w:sz w:val="26"/>
          <w:szCs w:val="26"/>
          <w:lang w:eastAsia="en-AU"/>
        </w:rPr>
        <w:t>https://doi.org/10.1016/j.adiac.2014.03.009</w:t>
      </w:r>
    </w:p>
    <w:p w14:paraId="4262A81D" w14:textId="112D295E" w:rsidR="00885964" w:rsidRPr="005B36DB" w:rsidRDefault="00885964" w:rsidP="000D5C8E">
      <w:pPr>
        <w:autoSpaceDE w:val="0"/>
        <w:autoSpaceDN w:val="0"/>
        <w:adjustRightInd w:val="0"/>
        <w:spacing w:line="360" w:lineRule="exact"/>
        <w:ind w:left="520" w:hangingChars="200" w:hanging="520"/>
        <w:jc w:val="both"/>
        <w:rPr>
          <w:sz w:val="26"/>
          <w:szCs w:val="26"/>
          <w:lang w:eastAsia="en-AU"/>
        </w:rPr>
      </w:pPr>
      <w:proofErr w:type="spellStart"/>
      <w:r w:rsidRPr="005B36DB">
        <w:rPr>
          <w:sz w:val="26"/>
          <w:szCs w:val="26"/>
          <w:lang w:eastAsia="en-AU"/>
        </w:rPr>
        <w:t>Lindblom</w:t>
      </w:r>
      <w:proofErr w:type="spellEnd"/>
      <w:r w:rsidRPr="005B36DB">
        <w:rPr>
          <w:sz w:val="26"/>
          <w:szCs w:val="26"/>
          <w:lang w:eastAsia="en-AU"/>
        </w:rPr>
        <w:t xml:space="preserve">, C. K. (1994). The Implications of </w:t>
      </w:r>
      <w:r w:rsidR="00711A02" w:rsidRPr="005B36DB">
        <w:rPr>
          <w:sz w:val="26"/>
          <w:szCs w:val="26"/>
          <w:lang w:eastAsia="en-AU"/>
        </w:rPr>
        <w:t>organisational legitimacy for corporate social performance and disclosure</w:t>
      </w:r>
      <w:r w:rsidRPr="005B36DB">
        <w:rPr>
          <w:sz w:val="26"/>
          <w:szCs w:val="26"/>
          <w:lang w:eastAsia="en-AU"/>
        </w:rPr>
        <w:t>. Paper Presented at the Critical Perspectives on Accounting Conference, New York.</w:t>
      </w:r>
    </w:p>
    <w:p w14:paraId="0F1F5A39" w14:textId="77777777" w:rsidR="000C7ED3"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 xml:space="preserve">Lindsay, R. M. (1995). Reconsidering the status of tests of significance: </w:t>
      </w:r>
      <w:r w:rsidR="00F56823" w:rsidRPr="005B36DB">
        <w:rPr>
          <w:sz w:val="26"/>
          <w:szCs w:val="26"/>
          <w:lang w:eastAsia="en-AU"/>
        </w:rPr>
        <w:t xml:space="preserve">An </w:t>
      </w:r>
      <w:r w:rsidRPr="005B36DB">
        <w:rPr>
          <w:sz w:val="26"/>
          <w:szCs w:val="26"/>
          <w:lang w:eastAsia="en-AU"/>
        </w:rPr>
        <w:t xml:space="preserve">alternative criterion of adequacy. </w:t>
      </w:r>
      <w:r w:rsidRPr="005B36DB">
        <w:rPr>
          <w:i/>
          <w:sz w:val="26"/>
          <w:szCs w:val="26"/>
          <w:lang w:eastAsia="en-AU"/>
        </w:rPr>
        <w:t>Accounting, Organisations and Society</w:t>
      </w:r>
      <w:r w:rsidRPr="005B36DB">
        <w:rPr>
          <w:sz w:val="26"/>
          <w:szCs w:val="26"/>
          <w:lang w:eastAsia="en-AU"/>
        </w:rPr>
        <w:t xml:space="preserve">, </w:t>
      </w:r>
      <w:r w:rsidR="00EF2A5F" w:rsidRPr="005B36DB">
        <w:rPr>
          <w:i/>
          <w:sz w:val="26"/>
          <w:szCs w:val="26"/>
          <w:lang w:eastAsia="en-AU"/>
        </w:rPr>
        <w:t>20</w:t>
      </w:r>
      <w:r w:rsidRPr="005B36DB">
        <w:rPr>
          <w:sz w:val="26"/>
          <w:szCs w:val="26"/>
          <w:lang w:eastAsia="en-AU"/>
        </w:rPr>
        <w:t>(1), 35-53.</w:t>
      </w:r>
    </w:p>
    <w:p w14:paraId="5DD82B03" w14:textId="40D4F7FA" w:rsidR="00885964" w:rsidRPr="005B36DB" w:rsidRDefault="00EF2A5F" w:rsidP="000C7ED3">
      <w:pPr>
        <w:spacing w:line="360" w:lineRule="exact"/>
        <w:ind w:firstLineChars="200" w:firstLine="520"/>
        <w:jc w:val="both"/>
        <w:rPr>
          <w:sz w:val="26"/>
          <w:szCs w:val="26"/>
          <w:lang w:eastAsia="en-AU"/>
        </w:rPr>
      </w:pPr>
      <w:r w:rsidRPr="005B36DB">
        <w:rPr>
          <w:sz w:val="26"/>
          <w:szCs w:val="26"/>
          <w:lang w:eastAsia="en-AU"/>
        </w:rPr>
        <w:t xml:space="preserve"> https://doi.org/10.1016/0361-3682(93)e0004-z</w:t>
      </w:r>
    </w:p>
    <w:p w14:paraId="5BF0E89A" w14:textId="77777777" w:rsidR="000C7ED3"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 xml:space="preserve">Liu, W.S. &amp; </w:t>
      </w:r>
      <w:proofErr w:type="spellStart"/>
      <w:r w:rsidRPr="005B36DB">
        <w:rPr>
          <w:sz w:val="26"/>
          <w:szCs w:val="26"/>
          <w:lang w:eastAsia="en-AU"/>
        </w:rPr>
        <w:t>Agbola</w:t>
      </w:r>
      <w:proofErr w:type="spellEnd"/>
      <w:r w:rsidRPr="005B36DB">
        <w:rPr>
          <w:sz w:val="26"/>
          <w:szCs w:val="26"/>
          <w:lang w:eastAsia="en-AU"/>
        </w:rPr>
        <w:t xml:space="preserve">, F.W. (2014). Regional analysis of the impact of inward foreign direct investment on economic growth in the Chinese electronic industry. </w:t>
      </w:r>
      <w:r w:rsidRPr="005B36DB">
        <w:rPr>
          <w:i/>
          <w:sz w:val="26"/>
          <w:szCs w:val="26"/>
          <w:lang w:eastAsia="en-AU"/>
        </w:rPr>
        <w:t>Applied Economics</w:t>
      </w:r>
      <w:r w:rsidRPr="005B36DB">
        <w:rPr>
          <w:sz w:val="26"/>
          <w:szCs w:val="26"/>
          <w:lang w:eastAsia="en-AU"/>
        </w:rPr>
        <w:t xml:space="preserve">, </w:t>
      </w:r>
      <w:r w:rsidRPr="005B36DB">
        <w:rPr>
          <w:i/>
          <w:sz w:val="26"/>
          <w:szCs w:val="26"/>
          <w:lang w:eastAsia="en-AU"/>
        </w:rPr>
        <w:t>46</w:t>
      </w:r>
      <w:r w:rsidRPr="005B36DB">
        <w:rPr>
          <w:sz w:val="26"/>
          <w:szCs w:val="26"/>
          <w:lang w:eastAsia="en-AU"/>
        </w:rPr>
        <w:t>(22), 2576-2592.</w:t>
      </w:r>
      <w:r w:rsidR="00EF2A5F" w:rsidRPr="005B36DB">
        <w:rPr>
          <w:sz w:val="26"/>
          <w:szCs w:val="26"/>
          <w:lang w:eastAsia="en-AU"/>
        </w:rPr>
        <w:t xml:space="preserve"> </w:t>
      </w:r>
    </w:p>
    <w:p w14:paraId="48F7010F" w14:textId="44184D16" w:rsidR="00885964" w:rsidRPr="005B36DB" w:rsidRDefault="00EF2A5F" w:rsidP="000C7ED3">
      <w:pPr>
        <w:spacing w:line="360" w:lineRule="exact"/>
        <w:ind w:firstLineChars="200" w:firstLine="520"/>
        <w:jc w:val="both"/>
        <w:rPr>
          <w:sz w:val="26"/>
          <w:szCs w:val="26"/>
          <w:lang w:eastAsia="en-AU"/>
        </w:rPr>
      </w:pPr>
      <w:r w:rsidRPr="005B36DB">
        <w:rPr>
          <w:sz w:val="26"/>
          <w:szCs w:val="26"/>
          <w:lang w:eastAsia="en-AU"/>
        </w:rPr>
        <w:t>https://doi.org/10.1080/00036846.2014.907478</w:t>
      </w:r>
    </w:p>
    <w:p w14:paraId="72BD3A44" w14:textId="77777777" w:rsidR="000C7ED3"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 xml:space="preserve">Li, W. &amp; Zhang, R. (2010). Corporate </w:t>
      </w:r>
      <w:r w:rsidR="00F56823" w:rsidRPr="005B36DB">
        <w:rPr>
          <w:sz w:val="26"/>
          <w:szCs w:val="26"/>
          <w:lang w:eastAsia="en-AU"/>
        </w:rPr>
        <w:t>social responsibility, ownership structure, and political interferenc</w:t>
      </w:r>
      <w:r w:rsidRPr="005B36DB">
        <w:rPr>
          <w:sz w:val="26"/>
          <w:szCs w:val="26"/>
          <w:lang w:eastAsia="en-AU"/>
        </w:rPr>
        <w:t xml:space="preserve">e: Evidence from </w:t>
      </w:r>
      <w:r w:rsidR="00F56823" w:rsidRPr="005B36DB">
        <w:rPr>
          <w:sz w:val="26"/>
          <w:szCs w:val="26"/>
          <w:lang w:eastAsia="en-AU"/>
        </w:rPr>
        <w:t>China</w:t>
      </w:r>
      <w:r w:rsidRPr="005B36DB">
        <w:rPr>
          <w:sz w:val="26"/>
          <w:szCs w:val="26"/>
          <w:lang w:eastAsia="en-AU"/>
        </w:rPr>
        <w:t xml:space="preserve">. </w:t>
      </w:r>
      <w:r w:rsidRPr="005B36DB">
        <w:rPr>
          <w:i/>
          <w:sz w:val="26"/>
          <w:szCs w:val="26"/>
          <w:lang w:eastAsia="en-AU"/>
        </w:rPr>
        <w:t>Journal of Business Ethics</w:t>
      </w:r>
      <w:r w:rsidRPr="005B36DB">
        <w:rPr>
          <w:sz w:val="26"/>
          <w:szCs w:val="26"/>
          <w:lang w:eastAsia="en-AU"/>
        </w:rPr>
        <w:t xml:space="preserve">, </w:t>
      </w:r>
      <w:r w:rsidRPr="005B36DB">
        <w:rPr>
          <w:i/>
          <w:sz w:val="26"/>
          <w:szCs w:val="26"/>
          <w:lang w:eastAsia="en-AU"/>
        </w:rPr>
        <w:t>96</w:t>
      </w:r>
      <w:r w:rsidR="00EF2A5F" w:rsidRPr="005B36DB">
        <w:rPr>
          <w:sz w:val="26"/>
          <w:szCs w:val="26"/>
          <w:lang w:eastAsia="en-AU"/>
        </w:rPr>
        <w:t>(4)</w:t>
      </w:r>
      <w:r w:rsidRPr="005B36DB">
        <w:rPr>
          <w:sz w:val="26"/>
          <w:szCs w:val="26"/>
          <w:lang w:eastAsia="en-AU"/>
        </w:rPr>
        <w:t>, 631</w:t>
      </w:r>
      <w:r w:rsidR="00F56823" w:rsidRPr="005B36DB">
        <w:rPr>
          <w:sz w:val="26"/>
          <w:szCs w:val="26"/>
          <w:lang w:eastAsia="en-AU"/>
        </w:rPr>
        <w:t>-</w:t>
      </w:r>
      <w:r w:rsidRPr="005B36DB">
        <w:rPr>
          <w:sz w:val="26"/>
          <w:szCs w:val="26"/>
          <w:lang w:eastAsia="en-AU"/>
        </w:rPr>
        <w:t>645.</w:t>
      </w:r>
      <w:r w:rsidR="00EF2A5F" w:rsidRPr="005B36DB">
        <w:rPr>
          <w:sz w:val="26"/>
          <w:szCs w:val="26"/>
          <w:lang w:eastAsia="en-AU"/>
        </w:rPr>
        <w:t xml:space="preserve"> </w:t>
      </w:r>
    </w:p>
    <w:p w14:paraId="46F076AA" w14:textId="60713066" w:rsidR="00885964" w:rsidRPr="005B36DB" w:rsidRDefault="00EF2A5F" w:rsidP="000C7ED3">
      <w:pPr>
        <w:spacing w:line="360" w:lineRule="exact"/>
        <w:ind w:firstLineChars="200" w:firstLine="520"/>
        <w:jc w:val="both"/>
        <w:rPr>
          <w:sz w:val="26"/>
          <w:szCs w:val="26"/>
          <w:lang w:eastAsia="en-AU"/>
        </w:rPr>
      </w:pPr>
      <w:r w:rsidRPr="005B36DB">
        <w:rPr>
          <w:sz w:val="26"/>
          <w:szCs w:val="26"/>
          <w:lang w:eastAsia="en-AU"/>
        </w:rPr>
        <w:t>https://doi.org/10.1007/s10551-010-0488-z</w:t>
      </w:r>
    </w:p>
    <w:p w14:paraId="18FA4F79" w14:textId="77777777" w:rsidR="000C7ED3"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 xml:space="preserve">Lu, Y. &amp; </w:t>
      </w:r>
      <w:proofErr w:type="spellStart"/>
      <w:r w:rsidRPr="005B36DB">
        <w:rPr>
          <w:sz w:val="26"/>
          <w:szCs w:val="26"/>
          <w:lang w:eastAsia="en-AU"/>
        </w:rPr>
        <w:t>Abeysekera</w:t>
      </w:r>
      <w:proofErr w:type="spellEnd"/>
      <w:r w:rsidRPr="005B36DB">
        <w:rPr>
          <w:sz w:val="26"/>
          <w:szCs w:val="26"/>
          <w:lang w:eastAsia="en-AU"/>
        </w:rPr>
        <w:t xml:space="preserve">, I. (2014). Stakeholders’ power, corporate characteristics, and social and environmental disclosure. </w:t>
      </w:r>
      <w:r w:rsidRPr="005B36DB">
        <w:rPr>
          <w:i/>
          <w:sz w:val="26"/>
          <w:szCs w:val="26"/>
          <w:lang w:eastAsia="en-AU"/>
        </w:rPr>
        <w:t>Journal of Cleaner Production</w:t>
      </w:r>
      <w:r w:rsidRPr="005B36DB">
        <w:rPr>
          <w:sz w:val="26"/>
          <w:szCs w:val="26"/>
          <w:lang w:eastAsia="en-AU"/>
        </w:rPr>
        <w:t>,</w:t>
      </w:r>
      <w:r w:rsidR="00EF2A5F" w:rsidRPr="005B36DB">
        <w:rPr>
          <w:sz w:val="26"/>
          <w:szCs w:val="26"/>
          <w:lang w:eastAsia="en-AU"/>
        </w:rPr>
        <w:t xml:space="preserve"> </w:t>
      </w:r>
      <w:r w:rsidR="00EF2A5F" w:rsidRPr="005B36DB">
        <w:rPr>
          <w:i/>
          <w:sz w:val="26"/>
          <w:szCs w:val="26"/>
          <w:lang w:eastAsia="en-AU"/>
        </w:rPr>
        <w:t>64</w:t>
      </w:r>
      <w:r w:rsidRPr="005B36DB">
        <w:rPr>
          <w:sz w:val="26"/>
          <w:szCs w:val="26"/>
          <w:lang w:eastAsia="en-AU"/>
        </w:rPr>
        <w:t>,</w:t>
      </w:r>
      <w:r w:rsidR="00EF2A5F" w:rsidRPr="005B36DB">
        <w:rPr>
          <w:sz w:val="26"/>
          <w:szCs w:val="26"/>
          <w:lang w:eastAsia="en-AU"/>
        </w:rPr>
        <w:t xml:space="preserve"> 426–436. </w:t>
      </w:r>
    </w:p>
    <w:p w14:paraId="120525E9" w14:textId="55C78E47" w:rsidR="00885964" w:rsidRPr="005B36DB" w:rsidRDefault="00EF2A5F" w:rsidP="000C7ED3">
      <w:pPr>
        <w:spacing w:line="360" w:lineRule="exact"/>
        <w:ind w:firstLineChars="200" w:firstLine="520"/>
        <w:jc w:val="both"/>
        <w:rPr>
          <w:sz w:val="26"/>
          <w:szCs w:val="26"/>
          <w:lang w:eastAsia="en-AU"/>
        </w:rPr>
      </w:pPr>
      <w:r w:rsidRPr="005B36DB">
        <w:rPr>
          <w:sz w:val="26"/>
          <w:szCs w:val="26"/>
          <w:lang w:eastAsia="en-AU"/>
        </w:rPr>
        <w:t>https://doi.org/10.1016/j.jclepro.2013.10.005</w:t>
      </w:r>
    </w:p>
    <w:p w14:paraId="047F1E97" w14:textId="77777777" w:rsidR="000C7ED3" w:rsidRDefault="00885964" w:rsidP="000D5C8E">
      <w:pPr>
        <w:autoSpaceDE w:val="0"/>
        <w:autoSpaceDN w:val="0"/>
        <w:adjustRightInd w:val="0"/>
        <w:spacing w:line="360" w:lineRule="exact"/>
        <w:ind w:left="520" w:hangingChars="200" w:hanging="520"/>
        <w:jc w:val="both"/>
        <w:rPr>
          <w:sz w:val="26"/>
          <w:szCs w:val="26"/>
          <w:lang w:eastAsia="en-AU"/>
        </w:rPr>
      </w:pPr>
      <w:proofErr w:type="spellStart"/>
      <w:r w:rsidRPr="005B36DB">
        <w:rPr>
          <w:sz w:val="26"/>
          <w:szCs w:val="26"/>
          <w:lang w:eastAsia="en-AU"/>
        </w:rPr>
        <w:lastRenderedPageBreak/>
        <w:t>Mahadeo</w:t>
      </w:r>
      <w:proofErr w:type="spellEnd"/>
      <w:r w:rsidRPr="005B36DB">
        <w:rPr>
          <w:sz w:val="26"/>
          <w:szCs w:val="26"/>
          <w:lang w:eastAsia="en-AU"/>
        </w:rPr>
        <w:t xml:space="preserve">, J. D., </w:t>
      </w:r>
      <w:proofErr w:type="spellStart"/>
      <w:r w:rsidRPr="005B36DB">
        <w:rPr>
          <w:sz w:val="26"/>
          <w:szCs w:val="26"/>
          <w:lang w:eastAsia="en-AU"/>
        </w:rPr>
        <w:t>Oogarah</w:t>
      </w:r>
      <w:proofErr w:type="spellEnd"/>
      <w:r w:rsidRPr="005B36DB">
        <w:rPr>
          <w:sz w:val="26"/>
          <w:szCs w:val="26"/>
          <w:lang w:eastAsia="en-AU"/>
        </w:rPr>
        <w:t xml:space="preserve">-Hanuman, V. &amp; </w:t>
      </w:r>
      <w:proofErr w:type="spellStart"/>
      <w:r w:rsidRPr="005B36DB">
        <w:rPr>
          <w:sz w:val="26"/>
          <w:szCs w:val="26"/>
          <w:lang w:eastAsia="en-AU"/>
        </w:rPr>
        <w:t>Soobaroyen</w:t>
      </w:r>
      <w:proofErr w:type="spellEnd"/>
      <w:r w:rsidRPr="005B36DB">
        <w:rPr>
          <w:sz w:val="26"/>
          <w:szCs w:val="26"/>
          <w:lang w:eastAsia="en-AU"/>
        </w:rPr>
        <w:t xml:space="preserve">, T. (2011). A </w:t>
      </w:r>
      <w:r w:rsidR="00217840" w:rsidRPr="005B36DB">
        <w:rPr>
          <w:sz w:val="26"/>
          <w:szCs w:val="26"/>
          <w:lang w:eastAsia="en-AU"/>
        </w:rPr>
        <w:t>longitudinal study of corporate social disclosures in a developing economy</w:t>
      </w:r>
      <w:r w:rsidRPr="005B36DB">
        <w:rPr>
          <w:sz w:val="26"/>
          <w:szCs w:val="26"/>
          <w:lang w:eastAsia="en-AU"/>
        </w:rPr>
        <w:t xml:space="preserve">. </w:t>
      </w:r>
      <w:r w:rsidRPr="005B36DB">
        <w:rPr>
          <w:i/>
          <w:sz w:val="26"/>
          <w:szCs w:val="26"/>
          <w:lang w:eastAsia="en-AU"/>
        </w:rPr>
        <w:t>Journal of Business Ethics</w:t>
      </w:r>
      <w:r w:rsidRPr="005B36DB">
        <w:rPr>
          <w:sz w:val="26"/>
          <w:szCs w:val="26"/>
          <w:lang w:eastAsia="en-AU"/>
        </w:rPr>
        <w:t xml:space="preserve">, </w:t>
      </w:r>
      <w:r w:rsidRPr="005B36DB">
        <w:rPr>
          <w:i/>
          <w:sz w:val="26"/>
          <w:szCs w:val="26"/>
          <w:lang w:eastAsia="en-AU"/>
        </w:rPr>
        <w:t>104</w:t>
      </w:r>
      <w:r w:rsidR="00E377FA" w:rsidRPr="005B36DB">
        <w:rPr>
          <w:sz w:val="26"/>
          <w:szCs w:val="26"/>
          <w:lang w:eastAsia="en-AU"/>
        </w:rPr>
        <w:t>(4)</w:t>
      </w:r>
      <w:r w:rsidR="00217840" w:rsidRPr="005B36DB">
        <w:rPr>
          <w:sz w:val="26"/>
          <w:szCs w:val="26"/>
          <w:lang w:eastAsia="en-AU"/>
        </w:rPr>
        <w:t>, 545</w:t>
      </w:r>
      <w:r w:rsidRPr="005B36DB">
        <w:rPr>
          <w:sz w:val="26"/>
          <w:szCs w:val="26"/>
          <w:lang w:eastAsia="en-AU"/>
        </w:rPr>
        <w:t>-558.</w:t>
      </w:r>
      <w:r w:rsidR="00E377FA" w:rsidRPr="005B36DB">
        <w:rPr>
          <w:sz w:val="26"/>
          <w:szCs w:val="26"/>
          <w:lang w:eastAsia="en-AU"/>
        </w:rPr>
        <w:t xml:space="preserve"> </w:t>
      </w:r>
    </w:p>
    <w:p w14:paraId="49A0DBF5" w14:textId="1BC54B6B" w:rsidR="00885964" w:rsidRPr="005B36DB" w:rsidRDefault="00E377FA" w:rsidP="000C7ED3">
      <w:pPr>
        <w:spacing w:line="360" w:lineRule="exact"/>
        <w:ind w:firstLineChars="200" w:firstLine="520"/>
        <w:jc w:val="both"/>
        <w:rPr>
          <w:sz w:val="26"/>
          <w:szCs w:val="26"/>
          <w:lang w:eastAsia="en-AU"/>
        </w:rPr>
      </w:pPr>
      <w:r w:rsidRPr="005B36DB">
        <w:rPr>
          <w:sz w:val="26"/>
          <w:szCs w:val="26"/>
          <w:lang w:eastAsia="en-AU"/>
        </w:rPr>
        <w:t>https://doi.org/10.1007/s10551-011-0929-3</w:t>
      </w:r>
    </w:p>
    <w:p w14:paraId="43696EE6" w14:textId="59E890DB" w:rsidR="00217840" w:rsidRPr="005B36DB"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Marquis, C., Glynn, M.A. &amp; Davis, G.F. (2007). Community isomorphism and corporate social action</w:t>
      </w:r>
      <w:r w:rsidR="00711A02">
        <w:rPr>
          <w:sz w:val="26"/>
          <w:szCs w:val="26"/>
          <w:lang w:eastAsia="en-AU"/>
        </w:rPr>
        <w:t>.</w:t>
      </w:r>
      <w:r w:rsidRPr="005B36DB">
        <w:rPr>
          <w:sz w:val="26"/>
          <w:szCs w:val="26"/>
          <w:lang w:eastAsia="en-AU"/>
        </w:rPr>
        <w:t xml:space="preserve"> </w:t>
      </w:r>
      <w:r w:rsidRPr="005B36DB">
        <w:rPr>
          <w:i/>
          <w:sz w:val="26"/>
          <w:szCs w:val="26"/>
          <w:lang w:eastAsia="en-AU"/>
        </w:rPr>
        <w:t>Academy of Management Review</w:t>
      </w:r>
      <w:r w:rsidRPr="005B36DB">
        <w:rPr>
          <w:sz w:val="26"/>
          <w:szCs w:val="26"/>
          <w:lang w:eastAsia="en-AU"/>
        </w:rPr>
        <w:t xml:space="preserve">, </w:t>
      </w:r>
      <w:r w:rsidRPr="005B36DB">
        <w:rPr>
          <w:i/>
          <w:sz w:val="26"/>
          <w:szCs w:val="26"/>
          <w:lang w:eastAsia="en-AU"/>
        </w:rPr>
        <w:t>32</w:t>
      </w:r>
      <w:r w:rsidRPr="005B36DB">
        <w:rPr>
          <w:sz w:val="26"/>
          <w:szCs w:val="26"/>
          <w:lang w:eastAsia="en-AU"/>
        </w:rPr>
        <w:t>(3), 925-945.</w:t>
      </w:r>
      <w:r w:rsidR="00E377FA" w:rsidRPr="005B36DB">
        <w:rPr>
          <w:sz w:val="26"/>
          <w:szCs w:val="26"/>
          <w:lang w:eastAsia="en-AU"/>
        </w:rPr>
        <w:t xml:space="preserve"> </w:t>
      </w:r>
    </w:p>
    <w:p w14:paraId="3B231E0C" w14:textId="3ED037A9" w:rsidR="00885964" w:rsidRPr="005B36DB" w:rsidRDefault="00E377FA" w:rsidP="00A31D11">
      <w:pPr>
        <w:spacing w:line="360" w:lineRule="exact"/>
        <w:ind w:firstLineChars="200" w:firstLine="520"/>
        <w:jc w:val="both"/>
        <w:rPr>
          <w:sz w:val="26"/>
          <w:szCs w:val="26"/>
          <w:lang w:eastAsia="en-AU"/>
        </w:rPr>
      </w:pPr>
      <w:r w:rsidRPr="005B36DB">
        <w:rPr>
          <w:sz w:val="26"/>
          <w:szCs w:val="26"/>
          <w:lang w:eastAsia="en-AU"/>
        </w:rPr>
        <w:t>https://doi.</w:t>
      </w:r>
      <w:r w:rsidRPr="005B36DB">
        <w:rPr>
          <w:sz w:val="26"/>
          <w:szCs w:val="26"/>
        </w:rPr>
        <w:t>org</w:t>
      </w:r>
      <w:r w:rsidRPr="005B36DB">
        <w:rPr>
          <w:sz w:val="26"/>
          <w:szCs w:val="26"/>
          <w:lang w:eastAsia="en-AU"/>
        </w:rPr>
        <w:t>/10.5465/amr.2007.25275683</w:t>
      </w:r>
    </w:p>
    <w:p w14:paraId="33AA4F23" w14:textId="77777777" w:rsidR="00217840" w:rsidRPr="005B36DB" w:rsidRDefault="00885964" w:rsidP="000D5C8E">
      <w:pPr>
        <w:autoSpaceDE w:val="0"/>
        <w:autoSpaceDN w:val="0"/>
        <w:adjustRightInd w:val="0"/>
        <w:spacing w:line="360" w:lineRule="exact"/>
        <w:ind w:left="520" w:hangingChars="200" w:hanging="520"/>
        <w:jc w:val="both"/>
        <w:rPr>
          <w:sz w:val="26"/>
          <w:szCs w:val="26"/>
          <w:lang w:eastAsia="en-AU"/>
        </w:rPr>
      </w:pPr>
      <w:proofErr w:type="spellStart"/>
      <w:r w:rsidRPr="005B36DB">
        <w:rPr>
          <w:sz w:val="26"/>
          <w:szCs w:val="26"/>
          <w:lang w:eastAsia="en-AU"/>
        </w:rPr>
        <w:t>Mobus</w:t>
      </w:r>
      <w:proofErr w:type="spellEnd"/>
      <w:r w:rsidRPr="005B36DB">
        <w:rPr>
          <w:sz w:val="26"/>
          <w:szCs w:val="26"/>
          <w:lang w:eastAsia="en-AU"/>
        </w:rPr>
        <w:t>, J.L. (2005)</w:t>
      </w:r>
      <w:r w:rsidR="00217840" w:rsidRPr="005B36DB">
        <w:rPr>
          <w:sz w:val="26"/>
          <w:szCs w:val="26"/>
          <w:lang w:eastAsia="en-AU"/>
        </w:rPr>
        <w:t>.</w:t>
      </w:r>
      <w:r w:rsidRPr="005B36DB">
        <w:rPr>
          <w:sz w:val="26"/>
          <w:szCs w:val="26"/>
          <w:lang w:eastAsia="en-AU"/>
        </w:rPr>
        <w:t xml:space="preserve"> Mandatory environmental disclosures in a legitimacy theory context. </w:t>
      </w:r>
      <w:r w:rsidRPr="005B36DB">
        <w:rPr>
          <w:i/>
          <w:sz w:val="26"/>
          <w:szCs w:val="26"/>
          <w:lang w:eastAsia="en-AU"/>
        </w:rPr>
        <w:t>Accounting,</w:t>
      </w:r>
      <w:r w:rsidRPr="005B36DB">
        <w:rPr>
          <w:sz w:val="26"/>
          <w:szCs w:val="26"/>
          <w:lang w:eastAsia="en-AU"/>
        </w:rPr>
        <w:t xml:space="preserve"> </w:t>
      </w:r>
      <w:r w:rsidRPr="005B36DB">
        <w:rPr>
          <w:i/>
          <w:sz w:val="26"/>
          <w:szCs w:val="26"/>
          <w:lang w:eastAsia="en-AU"/>
        </w:rPr>
        <w:t>Auditing &amp; Accountability Journal</w:t>
      </w:r>
      <w:r w:rsidRPr="005B36DB">
        <w:rPr>
          <w:sz w:val="26"/>
          <w:szCs w:val="26"/>
          <w:lang w:eastAsia="en-AU"/>
        </w:rPr>
        <w:t xml:space="preserve">, </w:t>
      </w:r>
      <w:r w:rsidRPr="005B36DB">
        <w:rPr>
          <w:i/>
          <w:sz w:val="26"/>
          <w:szCs w:val="26"/>
          <w:lang w:eastAsia="en-AU"/>
        </w:rPr>
        <w:t>18</w:t>
      </w:r>
      <w:r w:rsidRPr="005B36DB">
        <w:rPr>
          <w:sz w:val="26"/>
          <w:szCs w:val="26"/>
          <w:lang w:eastAsia="en-AU"/>
        </w:rPr>
        <w:t>(4), 492-517.</w:t>
      </w:r>
      <w:r w:rsidR="00E377FA" w:rsidRPr="005B36DB">
        <w:rPr>
          <w:sz w:val="26"/>
          <w:szCs w:val="26"/>
          <w:lang w:eastAsia="en-AU"/>
        </w:rPr>
        <w:t xml:space="preserve"> </w:t>
      </w:r>
    </w:p>
    <w:p w14:paraId="4D44763E" w14:textId="27AABDFE" w:rsidR="00885964" w:rsidRPr="005B36DB" w:rsidRDefault="00E377FA" w:rsidP="00A31D11">
      <w:pPr>
        <w:spacing w:line="360" w:lineRule="exact"/>
        <w:ind w:firstLineChars="200" w:firstLine="520"/>
        <w:jc w:val="both"/>
        <w:rPr>
          <w:sz w:val="26"/>
          <w:szCs w:val="26"/>
          <w:lang w:eastAsia="en-AU"/>
        </w:rPr>
      </w:pPr>
      <w:r w:rsidRPr="005B36DB">
        <w:rPr>
          <w:sz w:val="26"/>
          <w:szCs w:val="26"/>
          <w:lang w:eastAsia="en-AU"/>
        </w:rPr>
        <w:t>https://doi.org/10.1108/09513570510609333</w:t>
      </w:r>
    </w:p>
    <w:p w14:paraId="13B259D8" w14:textId="77777777" w:rsidR="00217840" w:rsidRPr="005B36DB" w:rsidRDefault="00885964" w:rsidP="000D5C8E">
      <w:pPr>
        <w:autoSpaceDE w:val="0"/>
        <w:autoSpaceDN w:val="0"/>
        <w:adjustRightInd w:val="0"/>
        <w:spacing w:line="360" w:lineRule="exact"/>
        <w:ind w:left="520" w:hangingChars="200" w:hanging="520"/>
        <w:jc w:val="both"/>
        <w:rPr>
          <w:sz w:val="26"/>
          <w:szCs w:val="26"/>
          <w:lang w:eastAsia="en-AU"/>
        </w:rPr>
      </w:pPr>
      <w:proofErr w:type="spellStart"/>
      <w:r w:rsidRPr="005B36DB">
        <w:rPr>
          <w:sz w:val="26"/>
          <w:szCs w:val="26"/>
          <w:lang w:eastAsia="en-AU"/>
        </w:rPr>
        <w:t>Muttakin</w:t>
      </w:r>
      <w:proofErr w:type="spellEnd"/>
      <w:r w:rsidRPr="005B36DB">
        <w:rPr>
          <w:sz w:val="26"/>
          <w:szCs w:val="26"/>
          <w:lang w:eastAsia="en-AU"/>
        </w:rPr>
        <w:t xml:space="preserve">, M.B. &amp; Khan, A. (2014). Determinants of corporate social disclosure: Empirical evidence from Bangladesh. </w:t>
      </w:r>
      <w:r w:rsidRPr="005B36DB">
        <w:rPr>
          <w:i/>
          <w:sz w:val="26"/>
          <w:szCs w:val="26"/>
          <w:lang w:eastAsia="en-AU"/>
        </w:rPr>
        <w:t>Advances in Accounting, incorporating Advances in International Accounting</w:t>
      </w:r>
      <w:r w:rsidRPr="005B36DB">
        <w:rPr>
          <w:sz w:val="26"/>
          <w:szCs w:val="26"/>
          <w:lang w:eastAsia="en-AU"/>
        </w:rPr>
        <w:t xml:space="preserve">, </w:t>
      </w:r>
      <w:r w:rsidRPr="005B36DB">
        <w:rPr>
          <w:i/>
          <w:sz w:val="26"/>
          <w:szCs w:val="26"/>
          <w:lang w:eastAsia="en-AU"/>
        </w:rPr>
        <w:t>30</w:t>
      </w:r>
      <w:r w:rsidR="00E377FA" w:rsidRPr="005B36DB">
        <w:rPr>
          <w:sz w:val="26"/>
          <w:szCs w:val="26"/>
          <w:lang w:eastAsia="en-AU"/>
        </w:rPr>
        <w:t>(1)</w:t>
      </w:r>
      <w:r w:rsidRPr="005B36DB">
        <w:rPr>
          <w:sz w:val="26"/>
          <w:szCs w:val="26"/>
          <w:lang w:eastAsia="en-AU"/>
        </w:rPr>
        <w:t>,</w:t>
      </w:r>
      <w:r w:rsidR="00217840" w:rsidRPr="005B36DB">
        <w:rPr>
          <w:sz w:val="26"/>
          <w:szCs w:val="26"/>
          <w:lang w:eastAsia="en-AU"/>
        </w:rPr>
        <w:t xml:space="preserve"> </w:t>
      </w:r>
      <w:r w:rsidR="00E377FA" w:rsidRPr="005B36DB">
        <w:rPr>
          <w:sz w:val="26"/>
          <w:szCs w:val="26"/>
          <w:lang w:eastAsia="en-AU"/>
        </w:rPr>
        <w:t xml:space="preserve">168-175. </w:t>
      </w:r>
    </w:p>
    <w:p w14:paraId="56791817" w14:textId="3C2D6166" w:rsidR="00885964" w:rsidRPr="005B36DB" w:rsidRDefault="00E377FA" w:rsidP="00A31D11">
      <w:pPr>
        <w:spacing w:line="360" w:lineRule="exact"/>
        <w:ind w:firstLineChars="200" w:firstLine="520"/>
        <w:jc w:val="both"/>
        <w:rPr>
          <w:sz w:val="26"/>
          <w:szCs w:val="26"/>
          <w:lang w:eastAsia="en-AU"/>
        </w:rPr>
      </w:pPr>
      <w:r w:rsidRPr="005B36DB">
        <w:rPr>
          <w:sz w:val="26"/>
          <w:szCs w:val="26"/>
          <w:lang w:eastAsia="en-AU"/>
        </w:rPr>
        <w:t>https://</w:t>
      </w:r>
      <w:r w:rsidRPr="005B36DB">
        <w:rPr>
          <w:sz w:val="26"/>
          <w:szCs w:val="26"/>
        </w:rPr>
        <w:t>doi</w:t>
      </w:r>
      <w:r w:rsidRPr="005B36DB">
        <w:rPr>
          <w:sz w:val="26"/>
          <w:szCs w:val="26"/>
          <w:lang w:eastAsia="en-AU"/>
        </w:rPr>
        <w:t>.org/10.1016/j.adiac.2014.03.005</w:t>
      </w:r>
    </w:p>
    <w:p w14:paraId="67EAA3F7" w14:textId="1C0C0A4B" w:rsidR="00217840" w:rsidRPr="005B36DB" w:rsidRDefault="00885964" w:rsidP="000D5C8E">
      <w:pPr>
        <w:autoSpaceDE w:val="0"/>
        <w:autoSpaceDN w:val="0"/>
        <w:adjustRightInd w:val="0"/>
        <w:spacing w:line="360" w:lineRule="exact"/>
        <w:ind w:left="520" w:hangingChars="200" w:hanging="520"/>
        <w:jc w:val="both"/>
        <w:rPr>
          <w:sz w:val="26"/>
          <w:szCs w:val="26"/>
          <w:lang w:eastAsia="en-AU"/>
        </w:rPr>
      </w:pPr>
      <w:proofErr w:type="spellStart"/>
      <w:r w:rsidRPr="005B36DB">
        <w:rPr>
          <w:sz w:val="26"/>
          <w:szCs w:val="26"/>
          <w:lang w:eastAsia="en-AU"/>
        </w:rPr>
        <w:t>Nègre</w:t>
      </w:r>
      <w:proofErr w:type="spellEnd"/>
      <w:r w:rsidRPr="005B36DB">
        <w:rPr>
          <w:sz w:val="26"/>
          <w:szCs w:val="26"/>
          <w:lang w:eastAsia="en-AU"/>
        </w:rPr>
        <w:t xml:space="preserve">, E., </w:t>
      </w:r>
      <w:proofErr w:type="spellStart"/>
      <w:r w:rsidRPr="005B36DB">
        <w:rPr>
          <w:sz w:val="26"/>
          <w:szCs w:val="26"/>
          <w:lang w:eastAsia="en-AU"/>
        </w:rPr>
        <w:t>Verdier</w:t>
      </w:r>
      <w:proofErr w:type="spellEnd"/>
      <w:r w:rsidRPr="005B36DB">
        <w:rPr>
          <w:sz w:val="26"/>
          <w:szCs w:val="26"/>
          <w:lang w:eastAsia="en-AU"/>
        </w:rPr>
        <w:t xml:space="preserve">, M.A, Cho, C.H. &amp; Patten, D.M. (2017). Disclosure strategies and investor </w:t>
      </w:r>
      <w:r w:rsidRPr="005B36DB">
        <w:rPr>
          <w:sz w:val="26"/>
          <w:szCs w:val="26"/>
          <w:lang w:eastAsia="en-AU"/>
        </w:rPr>
        <w:tab/>
        <w:t xml:space="preserve">reactions to downsizing announcements: A legitimacy perspective. </w:t>
      </w:r>
      <w:r w:rsidRPr="005B36DB">
        <w:rPr>
          <w:i/>
          <w:sz w:val="26"/>
          <w:szCs w:val="26"/>
          <w:lang w:eastAsia="en-AU"/>
        </w:rPr>
        <w:t>Journal of Accounting and Public Policy</w:t>
      </w:r>
      <w:r w:rsidRPr="005B36DB">
        <w:rPr>
          <w:sz w:val="26"/>
          <w:szCs w:val="26"/>
          <w:lang w:eastAsia="en-AU"/>
        </w:rPr>
        <w:t xml:space="preserve">, </w:t>
      </w:r>
      <w:r w:rsidRPr="005B36DB">
        <w:rPr>
          <w:i/>
          <w:sz w:val="26"/>
          <w:szCs w:val="26"/>
          <w:lang w:eastAsia="en-AU"/>
        </w:rPr>
        <w:t>36</w:t>
      </w:r>
      <w:r w:rsidRPr="005B36DB">
        <w:rPr>
          <w:sz w:val="26"/>
          <w:szCs w:val="26"/>
          <w:lang w:eastAsia="en-AU"/>
        </w:rPr>
        <w:t xml:space="preserve"> (3), 239</w:t>
      </w:r>
      <w:r w:rsidR="00217840" w:rsidRPr="005B36DB">
        <w:rPr>
          <w:sz w:val="26"/>
          <w:szCs w:val="26"/>
          <w:lang w:eastAsia="en-AU"/>
        </w:rPr>
        <w:t>-</w:t>
      </w:r>
      <w:r w:rsidRPr="005B36DB">
        <w:rPr>
          <w:sz w:val="26"/>
          <w:szCs w:val="26"/>
          <w:lang w:eastAsia="en-AU"/>
        </w:rPr>
        <w:t>257.</w:t>
      </w:r>
      <w:r w:rsidR="00E377FA" w:rsidRPr="005B36DB">
        <w:rPr>
          <w:sz w:val="26"/>
          <w:szCs w:val="26"/>
          <w:lang w:eastAsia="en-AU"/>
        </w:rPr>
        <w:t xml:space="preserve"> </w:t>
      </w:r>
    </w:p>
    <w:p w14:paraId="7E9E15F3" w14:textId="2FA12A73" w:rsidR="00885964" w:rsidRPr="005B36DB" w:rsidRDefault="00E377FA" w:rsidP="00A31D11">
      <w:pPr>
        <w:spacing w:line="360" w:lineRule="exact"/>
        <w:ind w:firstLineChars="200" w:firstLine="520"/>
        <w:jc w:val="both"/>
        <w:rPr>
          <w:sz w:val="26"/>
          <w:szCs w:val="26"/>
          <w:lang w:eastAsia="en-AU"/>
        </w:rPr>
      </w:pPr>
      <w:r w:rsidRPr="005B36DB">
        <w:rPr>
          <w:sz w:val="26"/>
          <w:szCs w:val="26"/>
          <w:lang w:eastAsia="en-AU"/>
        </w:rPr>
        <w:t>https://doi.org/10.1016/j.jaccpubpol.2017.03.003</w:t>
      </w:r>
    </w:p>
    <w:p w14:paraId="5CD3F5ED" w14:textId="77777777" w:rsidR="000C7ED3" w:rsidRDefault="00885964" w:rsidP="000D5C8E">
      <w:pPr>
        <w:autoSpaceDE w:val="0"/>
        <w:autoSpaceDN w:val="0"/>
        <w:adjustRightInd w:val="0"/>
        <w:spacing w:line="360" w:lineRule="exact"/>
        <w:ind w:left="520" w:hangingChars="200" w:hanging="520"/>
        <w:jc w:val="both"/>
        <w:rPr>
          <w:sz w:val="26"/>
          <w:szCs w:val="26"/>
          <w:lang w:eastAsia="en-AU"/>
        </w:rPr>
      </w:pPr>
      <w:proofErr w:type="spellStart"/>
      <w:r w:rsidRPr="005B36DB">
        <w:rPr>
          <w:sz w:val="26"/>
          <w:szCs w:val="26"/>
          <w:lang w:eastAsia="en-AU"/>
        </w:rPr>
        <w:t>Neu</w:t>
      </w:r>
      <w:proofErr w:type="spellEnd"/>
      <w:r w:rsidRPr="005B36DB">
        <w:rPr>
          <w:sz w:val="26"/>
          <w:szCs w:val="26"/>
          <w:lang w:eastAsia="en-AU"/>
        </w:rPr>
        <w:t xml:space="preserve">, D., </w:t>
      </w:r>
      <w:proofErr w:type="spellStart"/>
      <w:r w:rsidRPr="005B36DB">
        <w:rPr>
          <w:sz w:val="26"/>
          <w:szCs w:val="26"/>
          <w:lang w:eastAsia="en-AU"/>
        </w:rPr>
        <w:t>Warsame</w:t>
      </w:r>
      <w:proofErr w:type="spellEnd"/>
      <w:r w:rsidRPr="005B36DB">
        <w:rPr>
          <w:sz w:val="26"/>
          <w:szCs w:val="26"/>
          <w:lang w:eastAsia="en-AU"/>
        </w:rPr>
        <w:t xml:space="preserve">, H. &amp; </w:t>
      </w:r>
      <w:proofErr w:type="spellStart"/>
      <w:r w:rsidRPr="005B36DB">
        <w:rPr>
          <w:sz w:val="26"/>
          <w:szCs w:val="26"/>
          <w:lang w:eastAsia="en-AU"/>
        </w:rPr>
        <w:t>Pedwell</w:t>
      </w:r>
      <w:proofErr w:type="spellEnd"/>
      <w:r w:rsidRPr="005B36DB">
        <w:rPr>
          <w:sz w:val="26"/>
          <w:szCs w:val="26"/>
          <w:lang w:eastAsia="en-AU"/>
        </w:rPr>
        <w:t xml:space="preserve">, K. (1998). Managing public impressions: Environmental disclosures in annual reports. </w:t>
      </w:r>
      <w:r w:rsidRPr="005B36DB">
        <w:rPr>
          <w:i/>
          <w:sz w:val="26"/>
          <w:szCs w:val="26"/>
          <w:lang w:eastAsia="en-AU"/>
        </w:rPr>
        <w:t>Accounting, Organizations and Society</w:t>
      </w:r>
      <w:r w:rsidRPr="005B36DB">
        <w:rPr>
          <w:sz w:val="26"/>
          <w:szCs w:val="26"/>
          <w:lang w:eastAsia="en-AU"/>
        </w:rPr>
        <w:t xml:space="preserve">, </w:t>
      </w:r>
      <w:r w:rsidRPr="005B36DB">
        <w:rPr>
          <w:i/>
          <w:sz w:val="26"/>
          <w:szCs w:val="26"/>
          <w:lang w:eastAsia="en-AU"/>
        </w:rPr>
        <w:t>23</w:t>
      </w:r>
      <w:r w:rsidRPr="005B36DB">
        <w:rPr>
          <w:sz w:val="26"/>
          <w:szCs w:val="26"/>
          <w:lang w:eastAsia="en-AU"/>
        </w:rPr>
        <w:t>(3), 265</w:t>
      </w:r>
      <w:r w:rsidR="00217840" w:rsidRPr="005B36DB">
        <w:rPr>
          <w:sz w:val="26"/>
          <w:szCs w:val="26"/>
          <w:lang w:eastAsia="en-AU"/>
        </w:rPr>
        <w:t>-</w:t>
      </w:r>
      <w:r w:rsidRPr="005B36DB">
        <w:rPr>
          <w:sz w:val="26"/>
          <w:szCs w:val="26"/>
          <w:lang w:eastAsia="en-AU"/>
        </w:rPr>
        <w:t>282.</w:t>
      </w:r>
      <w:r w:rsidR="00E377FA" w:rsidRPr="005B36DB">
        <w:rPr>
          <w:sz w:val="26"/>
          <w:szCs w:val="26"/>
          <w:lang w:eastAsia="en-AU"/>
        </w:rPr>
        <w:t xml:space="preserve"> </w:t>
      </w:r>
    </w:p>
    <w:p w14:paraId="11BD0530" w14:textId="4A8E5D4A" w:rsidR="00885964" w:rsidRPr="005B36DB" w:rsidRDefault="00E377FA" w:rsidP="000C7ED3">
      <w:pPr>
        <w:spacing w:line="360" w:lineRule="exact"/>
        <w:ind w:firstLineChars="200" w:firstLine="520"/>
        <w:jc w:val="both"/>
        <w:rPr>
          <w:sz w:val="26"/>
          <w:szCs w:val="26"/>
          <w:lang w:eastAsia="en-AU"/>
        </w:rPr>
      </w:pPr>
      <w:r w:rsidRPr="005B36DB">
        <w:rPr>
          <w:sz w:val="26"/>
          <w:szCs w:val="26"/>
          <w:lang w:eastAsia="en-AU"/>
        </w:rPr>
        <w:t>https://doi.org/10.1016/s0361-3682(97)00008-1</w:t>
      </w:r>
    </w:p>
    <w:p w14:paraId="2BC62DA9" w14:textId="7BB31725" w:rsidR="00217840" w:rsidRPr="005B36DB" w:rsidRDefault="00885964" w:rsidP="000D5C8E">
      <w:pPr>
        <w:autoSpaceDE w:val="0"/>
        <w:autoSpaceDN w:val="0"/>
        <w:adjustRightInd w:val="0"/>
        <w:spacing w:line="360" w:lineRule="exact"/>
        <w:ind w:left="520" w:hangingChars="200" w:hanging="520"/>
        <w:jc w:val="both"/>
        <w:rPr>
          <w:sz w:val="26"/>
          <w:szCs w:val="26"/>
          <w:lang w:eastAsia="en-AU"/>
        </w:rPr>
      </w:pPr>
      <w:proofErr w:type="spellStart"/>
      <w:r w:rsidRPr="005B36DB">
        <w:rPr>
          <w:sz w:val="26"/>
          <w:szCs w:val="26"/>
          <w:lang w:eastAsia="en-AU"/>
        </w:rPr>
        <w:t>Oeyono</w:t>
      </w:r>
      <w:proofErr w:type="spellEnd"/>
      <w:r w:rsidRPr="005B36DB">
        <w:rPr>
          <w:sz w:val="26"/>
          <w:szCs w:val="26"/>
          <w:lang w:eastAsia="en-AU"/>
        </w:rPr>
        <w:t xml:space="preserve">, J., </w:t>
      </w:r>
      <w:proofErr w:type="spellStart"/>
      <w:r w:rsidRPr="005B36DB">
        <w:rPr>
          <w:sz w:val="26"/>
          <w:szCs w:val="26"/>
          <w:lang w:eastAsia="en-AU"/>
        </w:rPr>
        <w:t>Samy</w:t>
      </w:r>
      <w:proofErr w:type="spellEnd"/>
      <w:r w:rsidRPr="005B36DB">
        <w:rPr>
          <w:sz w:val="26"/>
          <w:szCs w:val="26"/>
          <w:lang w:eastAsia="en-AU"/>
        </w:rPr>
        <w:t xml:space="preserve">, M. &amp; Bampton, R. (2011). An examination of corporate social responsibility and financial performance: A study of the top 50 Indonesian listed corporations. </w:t>
      </w:r>
      <w:r w:rsidRPr="005B36DB">
        <w:rPr>
          <w:i/>
          <w:sz w:val="26"/>
          <w:szCs w:val="26"/>
          <w:lang w:eastAsia="en-AU"/>
        </w:rPr>
        <w:t>Journal of Global Responsibility</w:t>
      </w:r>
      <w:r w:rsidRPr="005B36DB">
        <w:rPr>
          <w:sz w:val="26"/>
          <w:szCs w:val="26"/>
          <w:lang w:eastAsia="en-AU"/>
        </w:rPr>
        <w:t xml:space="preserve">, </w:t>
      </w:r>
      <w:r w:rsidRPr="005B36DB">
        <w:rPr>
          <w:i/>
          <w:sz w:val="26"/>
          <w:szCs w:val="26"/>
          <w:lang w:eastAsia="en-AU"/>
        </w:rPr>
        <w:t>2</w:t>
      </w:r>
      <w:r w:rsidR="00DA2591">
        <w:rPr>
          <w:sz w:val="26"/>
          <w:szCs w:val="26"/>
          <w:lang w:eastAsia="en-AU"/>
        </w:rPr>
        <w:t>(1), 100-</w:t>
      </w:r>
      <w:r w:rsidRPr="005B36DB">
        <w:rPr>
          <w:sz w:val="26"/>
          <w:szCs w:val="26"/>
          <w:lang w:eastAsia="en-AU"/>
        </w:rPr>
        <w:t>112.</w:t>
      </w:r>
      <w:r w:rsidR="00E377FA" w:rsidRPr="005B36DB">
        <w:rPr>
          <w:sz w:val="26"/>
          <w:szCs w:val="26"/>
          <w:lang w:eastAsia="en-AU"/>
        </w:rPr>
        <w:t xml:space="preserve"> </w:t>
      </w:r>
    </w:p>
    <w:p w14:paraId="1B7CCA4C" w14:textId="6CD27FA3" w:rsidR="00885964" w:rsidRPr="005B36DB" w:rsidRDefault="00E377FA" w:rsidP="00A31D11">
      <w:pPr>
        <w:spacing w:line="360" w:lineRule="exact"/>
        <w:ind w:firstLineChars="200" w:firstLine="520"/>
        <w:jc w:val="both"/>
        <w:rPr>
          <w:sz w:val="26"/>
          <w:szCs w:val="26"/>
          <w:lang w:eastAsia="en-AU"/>
        </w:rPr>
      </w:pPr>
      <w:r w:rsidRPr="005B36DB">
        <w:rPr>
          <w:sz w:val="26"/>
          <w:szCs w:val="26"/>
          <w:lang w:eastAsia="en-AU"/>
        </w:rPr>
        <w:t>https://doi.</w:t>
      </w:r>
      <w:r w:rsidRPr="005B36DB">
        <w:rPr>
          <w:sz w:val="26"/>
          <w:szCs w:val="26"/>
        </w:rPr>
        <w:t>org</w:t>
      </w:r>
      <w:r w:rsidRPr="005B36DB">
        <w:rPr>
          <w:sz w:val="26"/>
          <w:szCs w:val="26"/>
          <w:lang w:eastAsia="en-AU"/>
        </w:rPr>
        <w:t>/10.1108/20412561111128555</w:t>
      </w:r>
    </w:p>
    <w:p w14:paraId="50DA415E" w14:textId="77777777" w:rsidR="000C7ED3" w:rsidRDefault="00885964" w:rsidP="00E10908">
      <w:pPr>
        <w:autoSpaceDE w:val="0"/>
        <w:autoSpaceDN w:val="0"/>
        <w:adjustRightInd w:val="0"/>
        <w:spacing w:line="360" w:lineRule="exact"/>
        <w:ind w:left="520" w:hangingChars="200" w:hanging="520"/>
        <w:jc w:val="both"/>
        <w:rPr>
          <w:rFonts w:eastAsiaTheme="minorEastAsia"/>
          <w:sz w:val="26"/>
          <w:szCs w:val="26"/>
          <w:lang w:eastAsia="zh-TW"/>
        </w:rPr>
      </w:pPr>
      <w:proofErr w:type="spellStart"/>
      <w:r w:rsidRPr="005B36DB">
        <w:rPr>
          <w:sz w:val="26"/>
          <w:szCs w:val="26"/>
          <w:lang w:eastAsia="en-AU"/>
        </w:rPr>
        <w:t>Oyelere</w:t>
      </w:r>
      <w:proofErr w:type="spellEnd"/>
      <w:r w:rsidRPr="005B36DB">
        <w:rPr>
          <w:sz w:val="26"/>
          <w:szCs w:val="26"/>
          <w:lang w:eastAsia="en-AU"/>
        </w:rPr>
        <w:t xml:space="preserve">, P., </w:t>
      </w:r>
      <w:proofErr w:type="spellStart"/>
      <w:r w:rsidRPr="005B36DB">
        <w:rPr>
          <w:sz w:val="26"/>
          <w:szCs w:val="26"/>
          <w:lang w:eastAsia="en-AU"/>
        </w:rPr>
        <w:t>Laswad</w:t>
      </w:r>
      <w:proofErr w:type="spellEnd"/>
      <w:r w:rsidRPr="005B36DB">
        <w:rPr>
          <w:sz w:val="26"/>
          <w:szCs w:val="26"/>
          <w:lang w:eastAsia="en-AU"/>
        </w:rPr>
        <w:t xml:space="preserve">, F. &amp; Fisher, R., (2003). Determinants of </w:t>
      </w:r>
      <w:r w:rsidR="00711A02" w:rsidRPr="005B36DB">
        <w:rPr>
          <w:sz w:val="26"/>
          <w:szCs w:val="26"/>
          <w:lang w:eastAsia="en-AU"/>
        </w:rPr>
        <w:t>internet financial reporting by</w:t>
      </w:r>
      <w:r w:rsidRPr="005B36DB">
        <w:rPr>
          <w:sz w:val="26"/>
          <w:szCs w:val="26"/>
          <w:lang w:eastAsia="en-AU"/>
        </w:rPr>
        <w:t xml:space="preserve"> New Zealand </w:t>
      </w:r>
      <w:r w:rsidR="00711A02" w:rsidRPr="005B36DB">
        <w:rPr>
          <w:sz w:val="26"/>
          <w:szCs w:val="26"/>
          <w:lang w:eastAsia="en-AU"/>
        </w:rPr>
        <w:t>companies</w:t>
      </w:r>
      <w:r w:rsidRPr="005B36DB">
        <w:rPr>
          <w:sz w:val="26"/>
          <w:szCs w:val="26"/>
          <w:lang w:eastAsia="en-AU"/>
        </w:rPr>
        <w:t xml:space="preserve">. </w:t>
      </w:r>
      <w:r w:rsidRPr="005B36DB">
        <w:rPr>
          <w:i/>
          <w:sz w:val="26"/>
          <w:szCs w:val="26"/>
          <w:lang w:eastAsia="en-AU"/>
        </w:rPr>
        <w:t>Journal of International Financial Management and Accounting</w:t>
      </w:r>
      <w:r w:rsidRPr="005B36DB">
        <w:rPr>
          <w:sz w:val="26"/>
          <w:szCs w:val="26"/>
          <w:lang w:eastAsia="en-AU"/>
        </w:rPr>
        <w:t xml:space="preserve">, </w:t>
      </w:r>
      <w:r w:rsidRPr="005B36DB">
        <w:rPr>
          <w:i/>
          <w:sz w:val="26"/>
          <w:szCs w:val="26"/>
          <w:lang w:eastAsia="en-AU"/>
        </w:rPr>
        <w:t>14</w:t>
      </w:r>
      <w:r w:rsidRPr="005B36DB">
        <w:rPr>
          <w:sz w:val="26"/>
          <w:szCs w:val="26"/>
          <w:lang w:eastAsia="en-AU"/>
        </w:rPr>
        <w:t>(1), 26</w:t>
      </w:r>
      <w:r w:rsidR="00711A02">
        <w:rPr>
          <w:sz w:val="26"/>
          <w:szCs w:val="26"/>
          <w:lang w:eastAsia="en-AU"/>
        </w:rPr>
        <w:t>-</w:t>
      </w:r>
      <w:r w:rsidRPr="005B36DB">
        <w:rPr>
          <w:sz w:val="26"/>
          <w:szCs w:val="26"/>
          <w:lang w:eastAsia="en-AU"/>
        </w:rPr>
        <w:t>63.</w:t>
      </w:r>
      <w:r w:rsidR="00E10908">
        <w:rPr>
          <w:rFonts w:eastAsiaTheme="minorEastAsia" w:hint="eastAsia"/>
          <w:sz w:val="26"/>
          <w:szCs w:val="26"/>
          <w:lang w:eastAsia="zh-TW"/>
        </w:rPr>
        <w:t xml:space="preserve"> </w:t>
      </w:r>
    </w:p>
    <w:p w14:paraId="1D698081" w14:textId="600A91EE" w:rsidR="00885964" w:rsidRPr="005B36DB" w:rsidRDefault="00E377FA" w:rsidP="000C7ED3">
      <w:pPr>
        <w:spacing w:line="360" w:lineRule="exact"/>
        <w:ind w:firstLineChars="200" w:firstLine="520"/>
        <w:jc w:val="both"/>
        <w:rPr>
          <w:sz w:val="26"/>
          <w:szCs w:val="26"/>
          <w:lang w:eastAsia="en-AU"/>
        </w:rPr>
      </w:pPr>
      <w:r w:rsidRPr="005B36DB">
        <w:rPr>
          <w:sz w:val="26"/>
          <w:szCs w:val="26"/>
          <w:lang w:eastAsia="en-AU"/>
        </w:rPr>
        <w:t>https://doi.org/10.1111/1467-646x.</w:t>
      </w:r>
      <w:r w:rsidR="00E10908">
        <w:rPr>
          <w:sz w:val="26"/>
          <w:szCs w:val="26"/>
          <w:lang w:eastAsia="en-AU"/>
        </w:rPr>
        <w:t xml:space="preserve"> </w:t>
      </w:r>
      <w:r w:rsidRPr="005B36DB">
        <w:rPr>
          <w:sz w:val="26"/>
          <w:szCs w:val="26"/>
          <w:lang w:eastAsia="en-AU"/>
        </w:rPr>
        <w:t>00089</w:t>
      </w:r>
    </w:p>
    <w:p w14:paraId="4D868B1B" w14:textId="16DD25EA" w:rsidR="00D8675F" w:rsidRPr="00CF0041" w:rsidRDefault="00885964" w:rsidP="000D5C8E">
      <w:pPr>
        <w:autoSpaceDE w:val="0"/>
        <w:autoSpaceDN w:val="0"/>
        <w:adjustRightInd w:val="0"/>
        <w:spacing w:line="360" w:lineRule="exact"/>
        <w:ind w:left="520" w:hangingChars="200" w:hanging="520"/>
        <w:jc w:val="both"/>
        <w:rPr>
          <w:sz w:val="26"/>
          <w:szCs w:val="26"/>
          <w:lang w:eastAsia="en-AU"/>
        </w:rPr>
      </w:pPr>
      <w:proofErr w:type="spellStart"/>
      <w:r w:rsidRPr="005B36DB">
        <w:rPr>
          <w:sz w:val="26"/>
          <w:szCs w:val="26"/>
          <w:lang w:eastAsia="en-AU"/>
        </w:rPr>
        <w:t>Om</w:t>
      </w:r>
      <w:r w:rsidRPr="00CF0041">
        <w:rPr>
          <w:sz w:val="26"/>
          <w:szCs w:val="26"/>
          <w:lang w:eastAsia="en-AU"/>
        </w:rPr>
        <w:t>ran</w:t>
      </w:r>
      <w:proofErr w:type="spellEnd"/>
      <w:r w:rsidRPr="00CF0041">
        <w:rPr>
          <w:sz w:val="26"/>
          <w:szCs w:val="26"/>
          <w:lang w:eastAsia="en-AU"/>
        </w:rPr>
        <w:t xml:space="preserve">, M. A. &amp; </w:t>
      </w:r>
      <w:proofErr w:type="spellStart"/>
      <w:r w:rsidRPr="00CF0041">
        <w:rPr>
          <w:sz w:val="26"/>
          <w:szCs w:val="26"/>
          <w:lang w:eastAsia="en-AU"/>
        </w:rPr>
        <w:t>Ramdhony</w:t>
      </w:r>
      <w:proofErr w:type="spellEnd"/>
      <w:r w:rsidRPr="00CF0041">
        <w:rPr>
          <w:sz w:val="26"/>
          <w:szCs w:val="26"/>
          <w:lang w:eastAsia="en-AU"/>
        </w:rPr>
        <w:t xml:space="preserve">, D. (2015). Theoretical </w:t>
      </w:r>
      <w:r w:rsidR="00217840" w:rsidRPr="00CF0041">
        <w:rPr>
          <w:sz w:val="26"/>
          <w:szCs w:val="26"/>
          <w:lang w:eastAsia="en-AU"/>
        </w:rPr>
        <w:t>perspectives on corporate social responsibility disclosur</w:t>
      </w:r>
      <w:r w:rsidRPr="00CF0041">
        <w:rPr>
          <w:sz w:val="26"/>
          <w:szCs w:val="26"/>
          <w:lang w:eastAsia="en-AU"/>
        </w:rPr>
        <w:t xml:space="preserve">e: A </w:t>
      </w:r>
      <w:r w:rsidR="00217840" w:rsidRPr="00CF0041">
        <w:rPr>
          <w:sz w:val="26"/>
          <w:szCs w:val="26"/>
          <w:lang w:eastAsia="en-AU"/>
        </w:rPr>
        <w:t>critical review</w:t>
      </w:r>
      <w:r w:rsidRPr="00CF0041">
        <w:rPr>
          <w:sz w:val="26"/>
          <w:szCs w:val="26"/>
          <w:lang w:eastAsia="en-AU"/>
        </w:rPr>
        <w:t xml:space="preserve">. </w:t>
      </w:r>
      <w:r w:rsidRPr="00CF0041">
        <w:rPr>
          <w:i/>
          <w:sz w:val="26"/>
          <w:szCs w:val="26"/>
          <w:lang w:eastAsia="en-AU"/>
        </w:rPr>
        <w:t>International Journal of Accounting and Financial Reporting</w:t>
      </w:r>
      <w:r w:rsidRPr="00CF0041">
        <w:rPr>
          <w:sz w:val="26"/>
          <w:szCs w:val="26"/>
          <w:lang w:eastAsia="en-AU"/>
        </w:rPr>
        <w:t xml:space="preserve">, </w:t>
      </w:r>
      <w:r w:rsidRPr="00CF0041">
        <w:rPr>
          <w:i/>
          <w:sz w:val="26"/>
          <w:szCs w:val="26"/>
          <w:lang w:eastAsia="en-AU"/>
        </w:rPr>
        <w:t>5</w:t>
      </w:r>
      <w:r w:rsidRPr="00CF0041">
        <w:rPr>
          <w:sz w:val="26"/>
          <w:szCs w:val="26"/>
          <w:lang w:eastAsia="en-AU"/>
        </w:rPr>
        <w:t>(2),</w:t>
      </w:r>
      <w:r w:rsidR="00E377FA" w:rsidRPr="00CF0041">
        <w:rPr>
          <w:sz w:val="26"/>
          <w:szCs w:val="26"/>
          <w:lang w:eastAsia="en-AU"/>
        </w:rPr>
        <w:t xml:space="preserve"> 38</w:t>
      </w:r>
      <w:r w:rsidR="00CF0041">
        <w:rPr>
          <w:sz w:val="26"/>
          <w:szCs w:val="26"/>
          <w:lang w:eastAsia="en-AU"/>
        </w:rPr>
        <w:t>-55</w:t>
      </w:r>
      <w:r w:rsidRPr="00CF0041">
        <w:rPr>
          <w:sz w:val="26"/>
          <w:szCs w:val="26"/>
          <w:lang w:eastAsia="en-AU"/>
        </w:rPr>
        <w:t>.</w:t>
      </w:r>
      <w:r w:rsidR="00E377FA" w:rsidRPr="00CF0041">
        <w:rPr>
          <w:sz w:val="26"/>
          <w:szCs w:val="26"/>
          <w:lang w:eastAsia="en-AU"/>
        </w:rPr>
        <w:t xml:space="preserve"> </w:t>
      </w:r>
    </w:p>
    <w:p w14:paraId="7373A5DC" w14:textId="3D935B49" w:rsidR="00885964" w:rsidRPr="00CF0041" w:rsidRDefault="00E377FA" w:rsidP="00D55CAF">
      <w:pPr>
        <w:spacing w:line="360" w:lineRule="exact"/>
        <w:ind w:firstLineChars="200" w:firstLine="520"/>
        <w:jc w:val="both"/>
        <w:rPr>
          <w:sz w:val="26"/>
          <w:szCs w:val="26"/>
          <w:lang w:eastAsia="en-AU"/>
        </w:rPr>
      </w:pPr>
      <w:r w:rsidRPr="00CF0041">
        <w:rPr>
          <w:sz w:val="26"/>
          <w:szCs w:val="26"/>
          <w:lang w:eastAsia="en-AU"/>
        </w:rPr>
        <w:t>https://doi.org/10.5296/ijafr.v5i2.8035</w:t>
      </w:r>
    </w:p>
    <w:p w14:paraId="58D650C8" w14:textId="77777777" w:rsidR="00217840" w:rsidRPr="005B36DB"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Patten, D. M. (199</w:t>
      </w:r>
      <w:r w:rsidR="00E377FA" w:rsidRPr="005B36DB">
        <w:rPr>
          <w:sz w:val="26"/>
          <w:szCs w:val="26"/>
          <w:lang w:eastAsia="en-AU"/>
        </w:rPr>
        <w:t>1</w:t>
      </w:r>
      <w:r w:rsidRPr="005B36DB">
        <w:rPr>
          <w:sz w:val="26"/>
          <w:szCs w:val="26"/>
          <w:lang w:eastAsia="en-AU"/>
        </w:rPr>
        <w:t xml:space="preserve">). Exposure, </w:t>
      </w:r>
      <w:r w:rsidR="00217840" w:rsidRPr="005B36DB">
        <w:rPr>
          <w:sz w:val="26"/>
          <w:szCs w:val="26"/>
          <w:lang w:eastAsia="en-AU"/>
        </w:rPr>
        <w:t>legitimacy, and social disclosur</w:t>
      </w:r>
      <w:r w:rsidRPr="005B36DB">
        <w:rPr>
          <w:sz w:val="26"/>
          <w:szCs w:val="26"/>
          <w:lang w:eastAsia="en-AU"/>
        </w:rPr>
        <w:t xml:space="preserve">e. </w:t>
      </w:r>
      <w:r w:rsidRPr="005B36DB">
        <w:rPr>
          <w:i/>
          <w:sz w:val="26"/>
          <w:szCs w:val="26"/>
          <w:lang w:eastAsia="en-AU"/>
        </w:rPr>
        <w:t>Journal of Accounting and Public policy</w:t>
      </w:r>
      <w:r w:rsidRPr="005B36DB">
        <w:rPr>
          <w:sz w:val="26"/>
          <w:szCs w:val="26"/>
          <w:lang w:eastAsia="en-AU"/>
        </w:rPr>
        <w:t xml:space="preserve">, </w:t>
      </w:r>
      <w:r w:rsidRPr="005B36DB">
        <w:rPr>
          <w:i/>
          <w:sz w:val="26"/>
          <w:szCs w:val="26"/>
          <w:lang w:eastAsia="en-AU"/>
        </w:rPr>
        <w:t>10</w:t>
      </w:r>
      <w:r w:rsidRPr="005B36DB">
        <w:rPr>
          <w:sz w:val="26"/>
          <w:szCs w:val="26"/>
          <w:lang w:eastAsia="en-AU"/>
        </w:rPr>
        <w:t>(4), 297</w:t>
      </w:r>
      <w:r w:rsidR="00217840" w:rsidRPr="005B36DB">
        <w:rPr>
          <w:sz w:val="26"/>
          <w:szCs w:val="26"/>
          <w:lang w:eastAsia="en-AU"/>
        </w:rPr>
        <w:t>-</w:t>
      </w:r>
      <w:r w:rsidRPr="005B36DB">
        <w:rPr>
          <w:sz w:val="26"/>
          <w:szCs w:val="26"/>
          <w:lang w:eastAsia="en-AU"/>
        </w:rPr>
        <w:t>308.</w:t>
      </w:r>
    </w:p>
    <w:p w14:paraId="36AED053" w14:textId="01C9AA4D" w:rsidR="00885964" w:rsidRPr="005B36DB" w:rsidRDefault="00E377FA" w:rsidP="00A31D11">
      <w:pPr>
        <w:spacing w:line="360" w:lineRule="exact"/>
        <w:ind w:firstLineChars="200" w:firstLine="520"/>
        <w:jc w:val="both"/>
        <w:rPr>
          <w:sz w:val="26"/>
          <w:szCs w:val="26"/>
          <w:lang w:eastAsia="en-AU"/>
        </w:rPr>
      </w:pPr>
      <w:r w:rsidRPr="005B36DB">
        <w:rPr>
          <w:sz w:val="26"/>
          <w:szCs w:val="26"/>
          <w:lang w:eastAsia="en-AU"/>
        </w:rPr>
        <w:t>https://</w:t>
      </w:r>
      <w:r w:rsidRPr="005B36DB">
        <w:rPr>
          <w:sz w:val="26"/>
          <w:szCs w:val="26"/>
        </w:rPr>
        <w:t>doi</w:t>
      </w:r>
      <w:r w:rsidRPr="005B36DB">
        <w:rPr>
          <w:sz w:val="26"/>
          <w:szCs w:val="26"/>
          <w:lang w:eastAsia="en-AU"/>
        </w:rPr>
        <w:t>.org/10.1016/0278-4254(91)90003-3</w:t>
      </w:r>
    </w:p>
    <w:p w14:paraId="513175D5" w14:textId="612B356A" w:rsidR="00217840" w:rsidRPr="005B36DB"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lastRenderedPageBreak/>
        <w:t xml:space="preserve">Rahman, A. S., Lawrence, S. &amp; Roper, J. (2004). Social and environmental reporting at the VRA: </w:t>
      </w:r>
      <w:r w:rsidR="00217840" w:rsidRPr="005B36DB">
        <w:rPr>
          <w:sz w:val="26"/>
          <w:szCs w:val="26"/>
          <w:lang w:eastAsia="en-AU"/>
        </w:rPr>
        <w:t xml:space="preserve">Institutionalized </w:t>
      </w:r>
      <w:r w:rsidRPr="005B36DB">
        <w:rPr>
          <w:sz w:val="26"/>
          <w:szCs w:val="26"/>
          <w:lang w:eastAsia="en-AU"/>
        </w:rPr>
        <w:t xml:space="preserve">legitimacy or legitimation </w:t>
      </w:r>
      <w:proofErr w:type="gramStart"/>
      <w:r w:rsidRPr="005B36DB">
        <w:rPr>
          <w:sz w:val="26"/>
          <w:szCs w:val="26"/>
          <w:lang w:eastAsia="en-AU"/>
        </w:rPr>
        <w:t>crisis?</w:t>
      </w:r>
      <w:r w:rsidR="00D13B6A" w:rsidRPr="005B36DB">
        <w:rPr>
          <w:sz w:val="26"/>
          <w:szCs w:val="26"/>
          <w:lang w:eastAsia="en-AU"/>
        </w:rPr>
        <w:t>.</w:t>
      </w:r>
      <w:proofErr w:type="gramEnd"/>
      <w:r w:rsidR="00DA2591">
        <w:rPr>
          <w:sz w:val="26"/>
          <w:szCs w:val="26"/>
          <w:lang w:eastAsia="en-AU"/>
        </w:rPr>
        <w:t xml:space="preserve"> </w:t>
      </w:r>
      <w:r w:rsidRPr="005B36DB">
        <w:rPr>
          <w:i/>
          <w:sz w:val="26"/>
          <w:szCs w:val="26"/>
          <w:lang w:eastAsia="en-AU"/>
        </w:rPr>
        <w:t>Critical Perspectives on Accounting</w:t>
      </w:r>
      <w:r w:rsidRPr="005B36DB">
        <w:rPr>
          <w:sz w:val="26"/>
          <w:szCs w:val="26"/>
          <w:lang w:eastAsia="en-AU"/>
        </w:rPr>
        <w:t xml:space="preserve">, </w:t>
      </w:r>
      <w:proofErr w:type="gramStart"/>
      <w:r w:rsidR="009F75D1" w:rsidRPr="005B36DB">
        <w:rPr>
          <w:i/>
          <w:sz w:val="26"/>
          <w:szCs w:val="26"/>
          <w:lang w:eastAsia="en-AU"/>
        </w:rPr>
        <w:t>e</w:t>
      </w:r>
      <w:r w:rsidRPr="005B36DB">
        <w:rPr>
          <w:sz w:val="26"/>
          <w:szCs w:val="26"/>
          <w:lang w:eastAsia="en-AU"/>
        </w:rPr>
        <w:t>(</w:t>
      </w:r>
      <w:proofErr w:type="gramEnd"/>
      <w:r w:rsidRPr="005B36DB">
        <w:rPr>
          <w:sz w:val="26"/>
          <w:szCs w:val="26"/>
          <w:lang w:eastAsia="en-AU"/>
        </w:rPr>
        <w:t>1),</w:t>
      </w:r>
      <w:r w:rsidR="00E377FA" w:rsidRPr="005B36DB">
        <w:rPr>
          <w:sz w:val="26"/>
          <w:szCs w:val="26"/>
          <w:lang w:eastAsia="en-AU"/>
        </w:rPr>
        <w:t xml:space="preserve"> 35-56.</w:t>
      </w:r>
    </w:p>
    <w:p w14:paraId="6B7ACD1A" w14:textId="2DBE44AA" w:rsidR="00885964" w:rsidRPr="005B36DB" w:rsidRDefault="00E377FA" w:rsidP="00A31D11">
      <w:pPr>
        <w:spacing w:line="360" w:lineRule="exact"/>
        <w:ind w:firstLineChars="200" w:firstLine="520"/>
        <w:jc w:val="both"/>
        <w:rPr>
          <w:sz w:val="26"/>
          <w:szCs w:val="26"/>
          <w:lang w:eastAsia="en-AU"/>
        </w:rPr>
      </w:pPr>
      <w:r w:rsidRPr="005B36DB">
        <w:rPr>
          <w:sz w:val="26"/>
          <w:szCs w:val="26"/>
          <w:lang w:eastAsia="en-AU"/>
        </w:rPr>
        <w:t>https://</w:t>
      </w:r>
      <w:r w:rsidRPr="005B36DB">
        <w:rPr>
          <w:sz w:val="26"/>
          <w:szCs w:val="26"/>
        </w:rPr>
        <w:t>doi</w:t>
      </w:r>
      <w:r w:rsidRPr="005B36DB">
        <w:rPr>
          <w:sz w:val="26"/>
          <w:szCs w:val="26"/>
          <w:lang w:eastAsia="en-AU"/>
        </w:rPr>
        <w:t>.org/10.1016/s1045-2354(03)00005-4</w:t>
      </w:r>
    </w:p>
    <w:p w14:paraId="37301E6F" w14:textId="77777777" w:rsidR="000C7ED3"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 xml:space="preserve">Raman, S. R. (2006). Corporate </w:t>
      </w:r>
      <w:r w:rsidR="00217840" w:rsidRPr="005B36DB">
        <w:rPr>
          <w:sz w:val="26"/>
          <w:szCs w:val="26"/>
          <w:lang w:eastAsia="en-AU"/>
        </w:rPr>
        <w:t>social reporting in</w:t>
      </w:r>
      <w:r w:rsidRPr="005B36DB">
        <w:rPr>
          <w:sz w:val="26"/>
          <w:szCs w:val="26"/>
          <w:lang w:eastAsia="en-AU"/>
        </w:rPr>
        <w:t xml:space="preserve"> India – A</w:t>
      </w:r>
      <w:r w:rsidR="00217840" w:rsidRPr="005B36DB">
        <w:rPr>
          <w:sz w:val="26"/>
          <w:szCs w:val="26"/>
          <w:lang w:eastAsia="en-AU"/>
        </w:rPr>
        <w:t xml:space="preserve"> view from the top</w:t>
      </w:r>
      <w:r w:rsidRPr="005B36DB">
        <w:rPr>
          <w:sz w:val="26"/>
          <w:szCs w:val="26"/>
          <w:lang w:eastAsia="en-AU"/>
        </w:rPr>
        <w:t xml:space="preserve">. </w:t>
      </w:r>
      <w:r w:rsidRPr="005B36DB">
        <w:rPr>
          <w:i/>
          <w:sz w:val="26"/>
          <w:szCs w:val="26"/>
          <w:lang w:eastAsia="en-AU"/>
        </w:rPr>
        <w:t>Global Business Review</w:t>
      </w:r>
      <w:r w:rsidRPr="005B36DB">
        <w:rPr>
          <w:sz w:val="26"/>
          <w:szCs w:val="26"/>
          <w:lang w:eastAsia="en-AU"/>
        </w:rPr>
        <w:t xml:space="preserve">, </w:t>
      </w:r>
      <w:r w:rsidRPr="005B36DB">
        <w:rPr>
          <w:i/>
          <w:sz w:val="26"/>
          <w:szCs w:val="26"/>
          <w:lang w:eastAsia="en-AU"/>
        </w:rPr>
        <w:t>7</w:t>
      </w:r>
      <w:r w:rsidRPr="005B36DB">
        <w:rPr>
          <w:sz w:val="26"/>
          <w:szCs w:val="26"/>
          <w:lang w:eastAsia="en-AU"/>
        </w:rPr>
        <w:t xml:space="preserve">(2), 313-324. </w:t>
      </w:r>
    </w:p>
    <w:p w14:paraId="611B4D30" w14:textId="4C0C5D5E" w:rsidR="00885964" w:rsidRPr="005B36DB" w:rsidRDefault="00B70E52" w:rsidP="000C7ED3">
      <w:pPr>
        <w:spacing w:line="360" w:lineRule="exact"/>
        <w:ind w:firstLineChars="200" w:firstLine="520"/>
        <w:jc w:val="both"/>
        <w:rPr>
          <w:sz w:val="26"/>
          <w:szCs w:val="26"/>
          <w:lang w:eastAsia="en-AU"/>
        </w:rPr>
      </w:pPr>
      <w:r w:rsidRPr="005B36DB">
        <w:rPr>
          <w:sz w:val="26"/>
          <w:szCs w:val="26"/>
          <w:lang w:eastAsia="en-AU"/>
        </w:rPr>
        <w:t>https://doi.org/10.1177/097215090600700208</w:t>
      </w:r>
    </w:p>
    <w:p w14:paraId="3882C817" w14:textId="6AA47AE0" w:rsidR="00217840" w:rsidRPr="005B36DB" w:rsidRDefault="00885964" w:rsidP="000D5C8E">
      <w:pPr>
        <w:autoSpaceDE w:val="0"/>
        <w:autoSpaceDN w:val="0"/>
        <w:adjustRightInd w:val="0"/>
        <w:spacing w:line="360" w:lineRule="exact"/>
        <w:ind w:left="520" w:hangingChars="200" w:hanging="520"/>
        <w:jc w:val="both"/>
        <w:rPr>
          <w:sz w:val="26"/>
          <w:szCs w:val="26"/>
          <w:lang w:eastAsia="en-AU"/>
        </w:rPr>
      </w:pPr>
      <w:proofErr w:type="spellStart"/>
      <w:r w:rsidRPr="005B36DB">
        <w:rPr>
          <w:sz w:val="26"/>
          <w:szCs w:val="26"/>
          <w:lang w:eastAsia="en-AU"/>
        </w:rPr>
        <w:t>Ramdhony</w:t>
      </w:r>
      <w:proofErr w:type="spellEnd"/>
      <w:r w:rsidRPr="005B36DB">
        <w:rPr>
          <w:sz w:val="26"/>
          <w:szCs w:val="26"/>
          <w:lang w:eastAsia="en-AU"/>
        </w:rPr>
        <w:t xml:space="preserve">, D. (2015).  Corporate </w:t>
      </w:r>
      <w:r w:rsidR="005B36DB" w:rsidRPr="005B36DB">
        <w:rPr>
          <w:sz w:val="26"/>
          <w:szCs w:val="26"/>
          <w:lang w:eastAsia="en-AU"/>
        </w:rPr>
        <w:t>social</w:t>
      </w:r>
      <w:r w:rsidR="00217840" w:rsidRPr="005B36DB">
        <w:rPr>
          <w:sz w:val="26"/>
          <w:szCs w:val="26"/>
          <w:lang w:eastAsia="en-AU"/>
        </w:rPr>
        <w:t xml:space="preserve"> reporting by</w:t>
      </w:r>
      <w:r w:rsidRPr="005B36DB">
        <w:rPr>
          <w:sz w:val="26"/>
          <w:szCs w:val="26"/>
          <w:lang w:eastAsia="en-AU"/>
        </w:rPr>
        <w:t xml:space="preserve"> Mauritian </w:t>
      </w:r>
      <w:r w:rsidR="00217840" w:rsidRPr="005B36DB">
        <w:rPr>
          <w:sz w:val="26"/>
          <w:szCs w:val="26"/>
          <w:lang w:eastAsia="en-AU"/>
        </w:rPr>
        <w:t>banks</w:t>
      </w:r>
      <w:r w:rsidRPr="005B36DB">
        <w:rPr>
          <w:sz w:val="26"/>
          <w:szCs w:val="26"/>
          <w:lang w:eastAsia="en-AU"/>
        </w:rPr>
        <w:t xml:space="preserve">. </w:t>
      </w:r>
      <w:r w:rsidRPr="005B36DB">
        <w:rPr>
          <w:i/>
          <w:sz w:val="26"/>
          <w:szCs w:val="26"/>
          <w:lang w:eastAsia="en-AU"/>
        </w:rPr>
        <w:t>International Journal of Accounting and Financial Reporting</w:t>
      </w:r>
      <w:r w:rsidRPr="005B36DB">
        <w:rPr>
          <w:sz w:val="26"/>
          <w:szCs w:val="26"/>
          <w:lang w:eastAsia="en-AU"/>
        </w:rPr>
        <w:t xml:space="preserve">, </w:t>
      </w:r>
      <w:r w:rsidRPr="005B36DB">
        <w:rPr>
          <w:i/>
          <w:sz w:val="26"/>
          <w:szCs w:val="26"/>
          <w:lang w:eastAsia="en-AU"/>
        </w:rPr>
        <w:t>5</w:t>
      </w:r>
      <w:r w:rsidRPr="005B36DB">
        <w:rPr>
          <w:sz w:val="26"/>
          <w:szCs w:val="26"/>
          <w:lang w:eastAsia="en-AU"/>
        </w:rPr>
        <w:t>(2),</w:t>
      </w:r>
      <w:r w:rsidR="00E377FA" w:rsidRPr="005B36DB">
        <w:rPr>
          <w:sz w:val="26"/>
          <w:szCs w:val="26"/>
          <w:lang w:eastAsia="en-AU"/>
        </w:rPr>
        <w:t xml:space="preserve"> 56</w:t>
      </w:r>
      <w:r w:rsidR="00217840" w:rsidRPr="005B36DB">
        <w:rPr>
          <w:sz w:val="26"/>
          <w:szCs w:val="26"/>
          <w:lang w:eastAsia="en-AU"/>
        </w:rPr>
        <w:t>-73</w:t>
      </w:r>
      <w:r w:rsidRPr="005B36DB">
        <w:rPr>
          <w:sz w:val="26"/>
          <w:szCs w:val="26"/>
          <w:lang w:eastAsia="en-AU"/>
        </w:rPr>
        <w:t>.</w:t>
      </w:r>
      <w:r w:rsidR="00E377FA" w:rsidRPr="005B36DB">
        <w:rPr>
          <w:sz w:val="26"/>
          <w:szCs w:val="26"/>
          <w:lang w:eastAsia="en-AU"/>
        </w:rPr>
        <w:t xml:space="preserve"> </w:t>
      </w:r>
    </w:p>
    <w:p w14:paraId="6F6D1642" w14:textId="0C42E0F1" w:rsidR="00885964" w:rsidRPr="005B36DB" w:rsidRDefault="00E377FA" w:rsidP="00A31D11">
      <w:pPr>
        <w:spacing w:line="360" w:lineRule="exact"/>
        <w:ind w:firstLineChars="200" w:firstLine="520"/>
        <w:jc w:val="both"/>
        <w:rPr>
          <w:sz w:val="26"/>
          <w:szCs w:val="26"/>
          <w:lang w:eastAsia="en-AU"/>
        </w:rPr>
      </w:pPr>
      <w:r w:rsidRPr="005B36DB">
        <w:rPr>
          <w:sz w:val="26"/>
          <w:szCs w:val="26"/>
          <w:lang w:eastAsia="en-AU"/>
        </w:rPr>
        <w:t>https://doi.org/10.5296/ijafr.v5i2.8067</w:t>
      </w:r>
    </w:p>
    <w:p w14:paraId="3B0593B0" w14:textId="77777777" w:rsidR="00217840" w:rsidRPr="005B36DB" w:rsidRDefault="00885964" w:rsidP="000D5C8E">
      <w:pPr>
        <w:autoSpaceDE w:val="0"/>
        <w:autoSpaceDN w:val="0"/>
        <w:adjustRightInd w:val="0"/>
        <w:spacing w:line="360" w:lineRule="exact"/>
        <w:ind w:left="520" w:hangingChars="200" w:hanging="520"/>
        <w:jc w:val="both"/>
        <w:rPr>
          <w:sz w:val="26"/>
          <w:szCs w:val="26"/>
          <w:lang w:eastAsia="en-AU"/>
        </w:rPr>
      </w:pPr>
      <w:proofErr w:type="spellStart"/>
      <w:r w:rsidRPr="005B36DB">
        <w:rPr>
          <w:sz w:val="26"/>
          <w:szCs w:val="26"/>
          <w:lang w:eastAsia="en-AU"/>
        </w:rPr>
        <w:t>Reverte</w:t>
      </w:r>
      <w:proofErr w:type="spellEnd"/>
      <w:r w:rsidRPr="005B36DB">
        <w:rPr>
          <w:sz w:val="26"/>
          <w:szCs w:val="26"/>
          <w:lang w:eastAsia="en-AU"/>
        </w:rPr>
        <w:t xml:space="preserve">, C. (2009). Determinants of corporate social responsibility disclosure ratings by Spanish listed firms. </w:t>
      </w:r>
      <w:r w:rsidRPr="005B36DB">
        <w:rPr>
          <w:i/>
          <w:sz w:val="26"/>
          <w:szCs w:val="26"/>
          <w:lang w:eastAsia="en-AU"/>
        </w:rPr>
        <w:t>Journal of Business Ethics, 88</w:t>
      </w:r>
      <w:r w:rsidRPr="005B36DB">
        <w:rPr>
          <w:sz w:val="26"/>
          <w:szCs w:val="26"/>
          <w:lang w:eastAsia="en-AU"/>
        </w:rPr>
        <w:t>(2), 351</w:t>
      </w:r>
      <w:r w:rsidR="00217840" w:rsidRPr="005B36DB">
        <w:rPr>
          <w:sz w:val="26"/>
          <w:szCs w:val="26"/>
          <w:lang w:eastAsia="en-AU"/>
        </w:rPr>
        <w:t>-</w:t>
      </w:r>
      <w:r w:rsidRPr="005B36DB">
        <w:rPr>
          <w:sz w:val="26"/>
          <w:szCs w:val="26"/>
          <w:lang w:eastAsia="en-AU"/>
        </w:rPr>
        <w:t>366.</w:t>
      </w:r>
      <w:r w:rsidR="00E377FA" w:rsidRPr="005B36DB">
        <w:rPr>
          <w:sz w:val="26"/>
          <w:szCs w:val="26"/>
          <w:lang w:eastAsia="en-AU"/>
        </w:rPr>
        <w:t xml:space="preserve"> </w:t>
      </w:r>
    </w:p>
    <w:p w14:paraId="46FBCA6D" w14:textId="5FFF9456" w:rsidR="00885964" w:rsidRPr="005B36DB" w:rsidRDefault="00E377FA" w:rsidP="00A31D11">
      <w:pPr>
        <w:spacing w:line="360" w:lineRule="exact"/>
        <w:ind w:firstLineChars="200" w:firstLine="520"/>
        <w:jc w:val="both"/>
        <w:rPr>
          <w:sz w:val="26"/>
          <w:szCs w:val="26"/>
          <w:lang w:eastAsia="en-AU"/>
        </w:rPr>
      </w:pPr>
      <w:r w:rsidRPr="005B36DB">
        <w:rPr>
          <w:sz w:val="26"/>
          <w:szCs w:val="26"/>
          <w:lang w:eastAsia="en-AU"/>
        </w:rPr>
        <w:t>https://doi.org/10.1007/s10551-008-9968-9</w:t>
      </w:r>
    </w:p>
    <w:p w14:paraId="44919987" w14:textId="7CA7AD51" w:rsidR="00885964" w:rsidRPr="005B36DB" w:rsidRDefault="00885964" w:rsidP="000A44C9">
      <w:pPr>
        <w:autoSpaceDE w:val="0"/>
        <w:autoSpaceDN w:val="0"/>
        <w:adjustRightInd w:val="0"/>
        <w:spacing w:line="360" w:lineRule="exact"/>
        <w:ind w:left="520" w:hangingChars="200" w:hanging="520"/>
        <w:jc w:val="both"/>
        <w:rPr>
          <w:color w:val="000000"/>
          <w:sz w:val="26"/>
          <w:szCs w:val="26"/>
        </w:rPr>
      </w:pPr>
      <w:r w:rsidRPr="005B36DB">
        <w:rPr>
          <w:sz w:val="26"/>
          <w:szCs w:val="26"/>
          <w:lang w:eastAsia="en-AU"/>
        </w:rPr>
        <w:t xml:space="preserve">Renaud, F., </w:t>
      </w:r>
      <w:proofErr w:type="spellStart"/>
      <w:r w:rsidRPr="005B36DB">
        <w:rPr>
          <w:sz w:val="26"/>
          <w:szCs w:val="26"/>
          <w:lang w:eastAsia="en-AU"/>
        </w:rPr>
        <w:t>Bogardi</w:t>
      </w:r>
      <w:proofErr w:type="spellEnd"/>
      <w:r w:rsidRPr="005B36DB">
        <w:rPr>
          <w:sz w:val="26"/>
          <w:szCs w:val="26"/>
          <w:lang w:eastAsia="en-AU"/>
        </w:rPr>
        <w:t>, J.J., Dun, O. &amp; Warner, K. (2008</w:t>
      </w:r>
      <w:r w:rsidRPr="00FE2B44">
        <w:rPr>
          <w:sz w:val="26"/>
          <w:szCs w:val="26"/>
          <w:lang w:eastAsia="en-AU"/>
        </w:rPr>
        <w:t xml:space="preserve">). Control, </w:t>
      </w:r>
      <w:r w:rsidR="00F33A38" w:rsidRPr="00FE2B44">
        <w:rPr>
          <w:sz w:val="26"/>
          <w:szCs w:val="26"/>
          <w:lang w:eastAsia="en-AU"/>
        </w:rPr>
        <w:t xml:space="preserve">adapt </w:t>
      </w:r>
      <w:r w:rsidRPr="00FE2B44">
        <w:rPr>
          <w:sz w:val="26"/>
          <w:szCs w:val="26"/>
          <w:lang w:eastAsia="en-AU"/>
        </w:rPr>
        <w:t xml:space="preserve">or </w:t>
      </w:r>
      <w:r w:rsidR="00FE2B44" w:rsidRPr="00FE2B44">
        <w:rPr>
          <w:sz w:val="26"/>
          <w:szCs w:val="26"/>
          <w:lang w:eastAsia="en-AU"/>
        </w:rPr>
        <w:t>flee</w:t>
      </w:r>
      <w:r w:rsidRPr="00FE2B44">
        <w:rPr>
          <w:sz w:val="26"/>
          <w:szCs w:val="26"/>
          <w:lang w:eastAsia="en-AU"/>
        </w:rPr>
        <w:t xml:space="preserve">: How to </w:t>
      </w:r>
      <w:r w:rsidR="00FE2B44" w:rsidRPr="00FE2B44">
        <w:rPr>
          <w:sz w:val="26"/>
          <w:szCs w:val="26"/>
          <w:lang w:eastAsia="en-AU"/>
        </w:rPr>
        <w:t>face environmental migration</w:t>
      </w:r>
      <w:r w:rsidRPr="00FE2B44">
        <w:rPr>
          <w:sz w:val="26"/>
          <w:szCs w:val="26"/>
          <w:lang w:eastAsia="en-AU"/>
        </w:rPr>
        <w:t>,</w:t>
      </w:r>
      <w:r w:rsidRPr="00FE2B44">
        <w:rPr>
          <w:i/>
          <w:sz w:val="26"/>
          <w:szCs w:val="26"/>
          <w:lang w:eastAsia="en-AU"/>
        </w:rPr>
        <w:t xml:space="preserve"> United Nations University - Institute for Environment and Human Security (UNU-EHS) | Bonn</w:t>
      </w:r>
      <w:r w:rsidRPr="00FE2B44">
        <w:rPr>
          <w:sz w:val="26"/>
          <w:szCs w:val="26"/>
          <w:lang w:eastAsia="en-AU"/>
        </w:rPr>
        <w:t>, Germany.</w:t>
      </w:r>
      <w:r w:rsidRPr="005B36DB">
        <w:rPr>
          <w:sz w:val="26"/>
          <w:szCs w:val="26"/>
          <w:lang w:eastAsia="en-AU"/>
        </w:rPr>
        <w:t xml:space="preserve"> </w:t>
      </w:r>
      <w:r w:rsidR="00E377FA" w:rsidRPr="005B36DB">
        <w:rPr>
          <w:sz w:val="26"/>
          <w:szCs w:val="26"/>
          <w:lang w:eastAsia="en-AU"/>
        </w:rPr>
        <w:t>5,</w:t>
      </w:r>
      <w:r w:rsidR="00217840" w:rsidRPr="005B36DB">
        <w:rPr>
          <w:sz w:val="26"/>
          <w:szCs w:val="26"/>
          <w:lang w:eastAsia="en-AU"/>
        </w:rPr>
        <w:t xml:space="preserve"> </w:t>
      </w:r>
      <w:r w:rsidR="00E377FA" w:rsidRPr="005B36DB">
        <w:rPr>
          <w:sz w:val="26"/>
          <w:szCs w:val="26"/>
          <w:lang w:eastAsia="en-AU"/>
        </w:rPr>
        <w:t>44.</w:t>
      </w:r>
    </w:p>
    <w:p w14:paraId="7F6BBD7F" w14:textId="301EBAFF" w:rsidR="000A44C9" w:rsidRPr="00553AB0" w:rsidRDefault="000A44C9" w:rsidP="000A44C9">
      <w:pPr>
        <w:spacing w:line="360" w:lineRule="exact"/>
        <w:ind w:left="360" w:hanging="360"/>
        <w:jc w:val="both"/>
        <w:rPr>
          <w:sz w:val="26"/>
          <w:szCs w:val="26"/>
          <w:lang w:val="en-US"/>
        </w:rPr>
      </w:pPr>
      <w:r w:rsidRPr="00553AB0">
        <w:rPr>
          <w:sz w:val="26"/>
          <w:szCs w:val="26"/>
        </w:rPr>
        <w:t xml:space="preserve">Roberts, R. W. (1992). Determinant of corporate social responsibility disclosure: an application of stakeholder theory. </w:t>
      </w:r>
      <w:r w:rsidRPr="00553AB0">
        <w:rPr>
          <w:i/>
          <w:sz w:val="26"/>
          <w:szCs w:val="26"/>
        </w:rPr>
        <w:t>Accounting Organisations and Society</w:t>
      </w:r>
      <w:r w:rsidRPr="00553AB0">
        <w:rPr>
          <w:sz w:val="26"/>
          <w:szCs w:val="26"/>
        </w:rPr>
        <w:t xml:space="preserve"> 17(6), 595-612.</w:t>
      </w:r>
    </w:p>
    <w:p w14:paraId="5CC12714" w14:textId="16511FF3" w:rsidR="00217840" w:rsidRPr="005B36DB" w:rsidRDefault="00885964" w:rsidP="000A44C9">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 xml:space="preserve">Sahay, A. (2004). Environmental reporting by Indian corporations. </w:t>
      </w:r>
      <w:r w:rsidRPr="005B36DB">
        <w:rPr>
          <w:i/>
          <w:sz w:val="26"/>
          <w:szCs w:val="26"/>
          <w:lang w:eastAsia="en-AU"/>
        </w:rPr>
        <w:t>Corporate Social Responsibility and Environmental Management</w:t>
      </w:r>
      <w:r w:rsidR="00D13B6A" w:rsidRPr="005B36DB">
        <w:rPr>
          <w:sz w:val="26"/>
          <w:szCs w:val="26"/>
          <w:lang w:eastAsia="en-AU"/>
        </w:rPr>
        <w:t>,</w:t>
      </w:r>
      <w:r w:rsidRPr="005B36DB">
        <w:rPr>
          <w:i/>
          <w:sz w:val="26"/>
          <w:szCs w:val="26"/>
          <w:lang w:eastAsia="en-AU"/>
        </w:rPr>
        <w:t xml:space="preserve"> 11</w:t>
      </w:r>
      <w:r w:rsidRPr="005B36DB">
        <w:rPr>
          <w:sz w:val="26"/>
          <w:szCs w:val="26"/>
          <w:lang w:eastAsia="en-AU"/>
        </w:rPr>
        <w:t>(1), 12-22.</w:t>
      </w:r>
      <w:r w:rsidR="00520AB4" w:rsidRPr="005B36DB">
        <w:rPr>
          <w:sz w:val="26"/>
          <w:szCs w:val="26"/>
          <w:lang w:eastAsia="en-AU"/>
        </w:rPr>
        <w:t xml:space="preserve"> </w:t>
      </w:r>
    </w:p>
    <w:p w14:paraId="20BBB965" w14:textId="7905176F" w:rsidR="00885964" w:rsidRPr="005B36DB" w:rsidRDefault="00520AB4" w:rsidP="000A44C9">
      <w:pPr>
        <w:spacing w:line="360" w:lineRule="exact"/>
        <w:ind w:firstLineChars="200" w:firstLine="520"/>
        <w:jc w:val="both"/>
        <w:rPr>
          <w:sz w:val="26"/>
          <w:szCs w:val="26"/>
          <w:lang w:eastAsia="en-AU"/>
        </w:rPr>
      </w:pPr>
      <w:r w:rsidRPr="005B36DB">
        <w:rPr>
          <w:sz w:val="26"/>
          <w:szCs w:val="26"/>
          <w:lang w:eastAsia="en-AU"/>
        </w:rPr>
        <w:t>https://doi.org/10.1002/csr.51</w:t>
      </w:r>
      <w:r w:rsidR="00885964" w:rsidRPr="005B36DB">
        <w:rPr>
          <w:sz w:val="26"/>
          <w:szCs w:val="26"/>
          <w:lang w:eastAsia="en-AU"/>
        </w:rPr>
        <w:t xml:space="preserve"> </w:t>
      </w:r>
    </w:p>
    <w:p w14:paraId="392E7DFB" w14:textId="77777777" w:rsidR="000C7ED3"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 xml:space="preserve">Scherer, A.G. (2018). Theory </w:t>
      </w:r>
      <w:r w:rsidR="005B36DB" w:rsidRPr="005B36DB">
        <w:rPr>
          <w:sz w:val="26"/>
          <w:szCs w:val="26"/>
          <w:lang w:eastAsia="en-AU"/>
        </w:rPr>
        <w:t>assessment and agenda setting in politi</w:t>
      </w:r>
      <w:r w:rsidRPr="005B36DB">
        <w:rPr>
          <w:sz w:val="26"/>
          <w:szCs w:val="26"/>
          <w:lang w:eastAsia="en-AU"/>
        </w:rPr>
        <w:t xml:space="preserve">cal CSR: A </w:t>
      </w:r>
      <w:r w:rsidR="005B36DB" w:rsidRPr="005B36DB">
        <w:rPr>
          <w:sz w:val="26"/>
          <w:szCs w:val="26"/>
          <w:lang w:eastAsia="en-AU"/>
        </w:rPr>
        <w:t>critical theory perspective</w:t>
      </w:r>
      <w:r w:rsidRPr="005B36DB">
        <w:rPr>
          <w:sz w:val="26"/>
          <w:szCs w:val="26"/>
          <w:lang w:eastAsia="en-AU"/>
        </w:rPr>
        <w:t xml:space="preserve">. </w:t>
      </w:r>
      <w:r w:rsidRPr="005B36DB">
        <w:rPr>
          <w:i/>
          <w:sz w:val="26"/>
          <w:szCs w:val="26"/>
          <w:lang w:eastAsia="en-AU"/>
        </w:rPr>
        <w:t>International Journal of Management Reviews</w:t>
      </w:r>
      <w:r w:rsidRPr="005B36DB">
        <w:rPr>
          <w:sz w:val="26"/>
          <w:szCs w:val="26"/>
          <w:lang w:eastAsia="en-AU"/>
        </w:rPr>
        <w:t xml:space="preserve">, </w:t>
      </w:r>
      <w:r w:rsidRPr="005B36DB">
        <w:rPr>
          <w:i/>
          <w:sz w:val="26"/>
          <w:szCs w:val="26"/>
          <w:lang w:eastAsia="en-AU"/>
        </w:rPr>
        <w:t>20</w:t>
      </w:r>
      <w:r w:rsidR="00520AB4" w:rsidRPr="005B36DB">
        <w:rPr>
          <w:sz w:val="26"/>
          <w:szCs w:val="26"/>
          <w:lang w:eastAsia="en-AU"/>
        </w:rPr>
        <w:t>(2)</w:t>
      </w:r>
      <w:r w:rsidRPr="005B36DB">
        <w:rPr>
          <w:sz w:val="26"/>
          <w:szCs w:val="26"/>
          <w:lang w:eastAsia="en-AU"/>
        </w:rPr>
        <w:t>, 387</w:t>
      </w:r>
      <w:r w:rsidR="005B36DB" w:rsidRPr="005B36DB">
        <w:rPr>
          <w:sz w:val="26"/>
          <w:szCs w:val="26"/>
          <w:lang w:eastAsia="en-AU"/>
        </w:rPr>
        <w:t>-</w:t>
      </w:r>
      <w:r w:rsidRPr="005B36DB">
        <w:rPr>
          <w:sz w:val="26"/>
          <w:szCs w:val="26"/>
          <w:lang w:eastAsia="en-AU"/>
        </w:rPr>
        <w:t>410.</w:t>
      </w:r>
      <w:r w:rsidR="00520AB4" w:rsidRPr="005B36DB">
        <w:rPr>
          <w:sz w:val="26"/>
          <w:szCs w:val="26"/>
          <w:lang w:eastAsia="en-AU"/>
        </w:rPr>
        <w:t xml:space="preserve"> </w:t>
      </w:r>
    </w:p>
    <w:p w14:paraId="5CC41A00" w14:textId="47A3E6C4" w:rsidR="00885964" w:rsidRPr="005B36DB" w:rsidRDefault="00520AB4" w:rsidP="000C7ED3">
      <w:pPr>
        <w:spacing w:line="360" w:lineRule="exact"/>
        <w:ind w:firstLineChars="200" w:firstLine="520"/>
        <w:jc w:val="both"/>
        <w:rPr>
          <w:sz w:val="26"/>
          <w:szCs w:val="26"/>
          <w:lang w:eastAsia="en-AU"/>
        </w:rPr>
      </w:pPr>
      <w:r w:rsidRPr="005B36DB">
        <w:rPr>
          <w:sz w:val="26"/>
          <w:szCs w:val="26"/>
          <w:lang w:eastAsia="en-AU"/>
        </w:rPr>
        <w:t>https://doi.org/10.1111/ijmr.12137</w:t>
      </w:r>
    </w:p>
    <w:p w14:paraId="5360F01D" w14:textId="49F4413C" w:rsidR="00217840" w:rsidRPr="005B36DB"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 xml:space="preserve">Shafer, W. E. (2007). Social </w:t>
      </w:r>
      <w:r w:rsidR="005B36DB" w:rsidRPr="005B36DB">
        <w:rPr>
          <w:sz w:val="26"/>
          <w:szCs w:val="26"/>
          <w:lang w:eastAsia="en-AU"/>
        </w:rPr>
        <w:t>paradigms and attitudes toward environmental accountabili</w:t>
      </w:r>
      <w:r w:rsidRPr="005B36DB">
        <w:rPr>
          <w:sz w:val="26"/>
          <w:szCs w:val="26"/>
          <w:lang w:eastAsia="en-AU"/>
        </w:rPr>
        <w:t xml:space="preserve">ty. </w:t>
      </w:r>
      <w:r w:rsidRPr="005B36DB">
        <w:rPr>
          <w:i/>
          <w:sz w:val="26"/>
          <w:szCs w:val="26"/>
          <w:lang w:eastAsia="en-AU"/>
        </w:rPr>
        <w:t>Journal of Business Ethics</w:t>
      </w:r>
      <w:r w:rsidRPr="005B36DB">
        <w:rPr>
          <w:sz w:val="26"/>
          <w:szCs w:val="26"/>
          <w:lang w:eastAsia="en-AU"/>
        </w:rPr>
        <w:t xml:space="preserve">, </w:t>
      </w:r>
      <w:r w:rsidR="00520AB4" w:rsidRPr="005B36DB">
        <w:rPr>
          <w:i/>
          <w:sz w:val="26"/>
          <w:szCs w:val="26"/>
          <w:lang w:eastAsia="en-AU"/>
        </w:rPr>
        <w:t>65</w:t>
      </w:r>
      <w:r w:rsidR="00520AB4" w:rsidRPr="005B36DB">
        <w:rPr>
          <w:sz w:val="26"/>
          <w:szCs w:val="26"/>
          <w:lang w:eastAsia="en-AU"/>
        </w:rPr>
        <w:t>(2),</w:t>
      </w:r>
      <w:r w:rsidR="00217840" w:rsidRPr="005B36DB">
        <w:rPr>
          <w:sz w:val="26"/>
          <w:szCs w:val="26"/>
          <w:lang w:eastAsia="en-AU"/>
        </w:rPr>
        <w:t xml:space="preserve"> </w:t>
      </w:r>
      <w:r w:rsidRPr="005B36DB">
        <w:rPr>
          <w:sz w:val="26"/>
          <w:szCs w:val="26"/>
          <w:lang w:eastAsia="en-AU"/>
        </w:rPr>
        <w:t>121</w:t>
      </w:r>
      <w:r w:rsidR="005B36DB" w:rsidRPr="005B36DB">
        <w:rPr>
          <w:sz w:val="26"/>
          <w:szCs w:val="26"/>
          <w:lang w:eastAsia="en-AU"/>
        </w:rPr>
        <w:t>-</w:t>
      </w:r>
      <w:r w:rsidRPr="005B36DB">
        <w:rPr>
          <w:sz w:val="26"/>
          <w:szCs w:val="26"/>
          <w:lang w:eastAsia="en-AU"/>
        </w:rPr>
        <w:t>147.</w:t>
      </w:r>
      <w:r w:rsidR="00520AB4" w:rsidRPr="005B36DB">
        <w:rPr>
          <w:sz w:val="26"/>
          <w:szCs w:val="26"/>
          <w:lang w:eastAsia="en-AU"/>
        </w:rPr>
        <w:t xml:space="preserve"> </w:t>
      </w:r>
    </w:p>
    <w:p w14:paraId="6A2668AF" w14:textId="48E86CDD" w:rsidR="00885964" w:rsidRPr="005B36DB" w:rsidRDefault="00520AB4" w:rsidP="00A31D11">
      <w:pPr>
        <w:spacing w:line="360" w:lineRule="exact"/>
        <w:ind w:firstLineChars="200" w:firstLine="520"/>
        <w:jc w:val="both"/>
        <w:rPr>
          <w:sz w:val="26"/>
          <w:szCs w:val="26"/>
          <w:lang w:eastAsia="en-AU"/>
        </w:rPr>
      </w:pPr>
      <w:r w:rsidRPr="005B36DB">
        <w:rPr>
          <w:sz w:val="26"/>
          <w:szCs w:val="26"/>
          <w:lang w:eastAsia="en-AU"/>
        </w:rPr>
        <w:t xml:space="preserve">https://doi.org/10.1007/s10551-005-4606-2 </w:t>
      </w:r>
      <w:r w:rsidR="00885964" w:rsidRPr="005B36DB">
        <w:rPr>
          <w:sz w:val="26"/>
          <w:szCs w:val="26"/>
          <w:lang w:eastAsia="en-AU"/>
        </w:rPr>
        <w:t xml:space="preserve"> </w:t>
      </w:r>
    </w:p>
    <w:p w14:paraId="59EA1EC8" w14:textId="58EE86E6" w:rsidR="00217840" w:rsidRPr="005B36DB" w:rsidRDefault="00885964" w:rsidP="000D5C8E">
      <w:pPr>
        <w:autoSpaceDE w:val="0"/>
        <w:autoSpaceDN w:val="0"/>
        <w:adjustRightInd w:val="0"/>
        <w:spacing w:line="360" w:lineRule="exact"/>
        <w:ind w:left="520" w:hangingChars="200" w:hanging="520"/>
        <w:jc w:val="both"/>
        <w:rPr>
          <w:sz w:val="26"/>
          <w:szCs w:val="26"/>
          <w:lang w:eastAsia="en-AU"/>
        </w:rPr>
      </w:pPr>
      <w:proofErr w:type="spellStart"/>
      <w:r w:rsidRPr="005B36DB">
        <w:rPr>
          <w:sz w:val="26"/>
          <w:szCs w:val="26"/>
          <w:lang w:eastAsia="en-AU"/>
        </w:rPr>
        <w:t>Suchman</w:t>
      </w:r>
      <w:proofErr w:type="spellEnd"/>
      <w:r w:rsidRPr="005B36DB">
        <w:rPr>
          <w:sz w:val="26"/>
          <w:szCs w:val="26"/>
          <w:lang w:eastAsia="en-AU"/>
        </w:rPr>
        <w:t xml:space="preserve">, M.C. (1995). Managing legitimacy: </w:t>
      </w:r>
      <w:r w:rsidR="00217840" w:rsidRPr="005B36DB">
        <w:rPr>
          <w:sz w:val="26"/>
          <w:szCs w:val="26"/>
          <w:lang w:eastAsia="en-AU"/>
        </w:rPr>
        <w:t xml:space="preserve">Strategic </w:t>
      </w:r>
      <w:r w:rsidRPr="005B36DB">
        <w:rPr>
          <w:sz w:val="26"/>
          <w:szCs w:val="26"/>
          <w:lang w:eastAsia="en-AU"/>
        </w:rPr>
        <w:t xml:space="preserve">and institutional approaches. </w:t>
      </w:r>
      <w:r w:rsidRPr="005B36DB">
        <w:rPr>
          <w:i/>
          <w:sz w:val="26"/>
          <w:szCs w:val="26"/>
          <w:lang w:eastAsia="en-AU"/>
        </w:rPr>
        <w:t>Academy of Management Review</w:t>
      </w:r>
      <w:r w:rsidRPr="005B36DB">
        <w:rPr>
          <w:sz w:val="26"/>
          <w:szCs w:val="26"/>
          <w:lang w:eastAsia="en-AU"/>
        </w:rPr>
        <w:t xml:space="preserve">, </w:t>
      </w:r>
      <w:r w:rsidRPr="005B36DB">
        <w:rPr>
          <w:i/>
          <w:sz w:val="26"/>
          <w:szCs w:val="26"/>
          <w:lang w:eastAsia="en-AU"/>
        </w:rPr>
        <w:t>20</w:t>
      </w:r>
      <w:r w:rsidRPr="005B36DB">
        <w:rPr>
          <w:sz w:val="26"/>
          <w:szCs w:val="26"/>
          <w:lang w:eastAsia="en-AU"/>
        </w:rPr>
        <w:t>(3), 571-610.</w:t>
      </w:r>
      <w:r w:rsidR="00520AB4" w:rsidRPr="005B36DB">
        <w:rPr>
          <w:sz w:val="26"/>
          <w:szCs w:val="26"/>
          <w:lang w:eastAsia="en-AU"/>
        </w:rPr>
        <w:t xml:space="preserve"> </w:t>
      </w:r>
    </w:p>
    <w:p w14:paraId="385F9F4A" w14:textId="05ABB940" w:rsidR="00885964" w:rsidRPr="005B36DB" w:rsidRDefault="00520AB4" w:rsidP="00A31D11">
      <w:pPr>
        <w:spacing w:line="360" w:lineRule="exact"/>
        <w:ind w:firstLineChars="200" w:firstLine="520"/>
        <w:jc w:val="both"/>
        <w:rPr>
          <w:sz w:val="26"/>
          <w:szCs w:val="26"/>
          <w:lang w:eastAsia="en-AU"/>
        </w:rPr>
      </w:pPr>
      <w:r w:rsidRPr="005B36DB">
        <w:rPr>
          <w:sz w:val="26"/>
          <w:szCs w:val="26"/>
          <w:lang w:eastAsia="en-AU"/>
        </w:rPr>
        <w:t>https://doi.org/10.5465/amr.1995.9508080331</w:t>
      </w:r>
    </w:p>
    <w:p w14:paraId="102FD5C9" w14:textId="77777777" w:rsidR="000C7ED3" w:rsidRDefault="00885964" w:rsidP="00050AB9">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 xml:space="preserve">Thompson, P. &amp; </w:t>
      </w:r>
      <w:proofErr w:type="spellStart"/>
      <w:r w:rsidRPr="005B36DB">
        <w:rPr>
          <w:sz w:val="26"/>
          <w:szCs w:val="26"/>
          <w:lang w:eastAsia="en-AU"/>
        </w:rPr>
        <w:t>Zakaria</w:t>
      </w:r>
      <w:proofErr w:type="spellEnd"/>
      <w:r w:rsidRPr="005B36DB">
        <w:rPr>
          <w:sz w:val="26"/>
          <w:szCs w:val="26"/>
          <w:lang w:eastAsia="en-AU"/>
        </w:rPr>
        <w:t xml:space="preserve">, Z. (2004). Corporate </w:t>
      </w:r>
      <w:r w:rsidR="0075112C" w:rsidRPr="005B36DB">
        <w:rPr>
          <w:sz w:val="26"/>
          <w:szCs w:val="26"/>
          <w:lang w:eastAsia="en-AU"/>
        </w:rPr>
        <w:t>social responsibility reporting</w:t>
      </w:r>
      <w:r w:rsidR="00050AB9" w:rsidRPr="005B36DB">
        <w:rPr>
          <w:sz w:val="26"/>
          <w:szCs w:val="26"/>
          <w:lang w:eastAsia="en-AU"/>
        </w:rPr>
        <w:t xml:space="preserve"> in Malaysia: </w:t>
      </w:r>
      <w:r w:rsidRPr="005B36DB">
        <w:rPr>
          <w:sz w:val="26"/>
          <w:szCs w:val="26"/>
          <w:lang w:eastAsia="en-AU"/>
        </w:rPr>
        <w:t xml:space="preserve">Progress and </w:t>
      </w:r>
      <w:r w:rsidR="0075112C" w:rsidRPr="005B36DB">
        <w:rPr>
          <w:sz w:val="26"/>
          <w:szCs w:val="26"/>
          <w:lang w:eastAsia="en-AU"/>
        </w:rPr>
        <w:t>prosp</w:t>
      </w:r>
      <w:r w:rsidRPr="005B36DB">
        <w:rPr>
          <w:sz w:val="26"/>
          <w:szCs w:val="26"/>
          <w:lang w:eastAsia="en-AU"/>
        </w:rPr>
        <w:t xml:space="preserve">ects. </w:t>
      </w:r>
      <w:r w:rsidRPr="005B36DB">
        <w:rPr>
          <w:i/>
          <w:sz w:val="26"/>
          <w:szCs w:val="26"/>
          <w:lang w:eastAsia="en-AU"/>
        </w:rPr>
        <w:t>Journal of Corporate Citizenship</w:t>
      </w:r>
      <w:r w:rsidRPr="005B36DB">
        <w:rPr>
          <w:sz w:val="26"/>
          <w:szCs w:val="26"/>
          <w:lang w:eastAsia="en-AU"/>
        </w:rPr>
        <w:t xml:space="preserve">, </w:t>
      </w:r>
      <w:r w:rsidRPr="005B36DB">
        <w:rPr>
          <w:i/>
          <w:sz w:val="26"/>
          <w:szCs w:val="26"/>
          <w:lang w:eastAsia="en-AU"/>
        </w:rPr>
        <w:t>13</w:t>
      </w:r>
      <w:r w:rsidRPr="005B36DB">
        <w:rPr>
          <w:sz w:val="26"/>
          <w:szCs w:val="26"/>
          <w:lang w:eastAsia="en-AU"/>
        </w:rPr>
        <w:t xml:space="preserve">, 125-136. </w:t>
      </w:r>
    </w:p>
    <w:p w14:paraId="7C171BB4" w14:textId="16294076" w:rsidR="00885964" w:rsidRPr="005B36DB" w:rsidRDefault="0075112C" w:rsidP="000C7ED3">
      <w:pPr>
        <w:spacing w:line="360" w:lineRule="exact"/>
        <w:ind w:firstLineChars="200" w:firstLine="520"/>
        <w:jc w:val="both"/>
        <w:rPr>
          <w:sz w:val="26"/>
          <w:szCs w:val="26"/>
          <w:lang w:eastAsia="en-AU"/>
        </w:rPr>
      </w:pPr>
      <w:r w:rsidRPr="005B36DB">
        <w:rPr>
          <w:sz w:val="26"/>
          <w:szCs w:val="26"/>
          <w:lang w:eastAsia="en-AU"/>
        </w:rPr>
        <w:t>https://doi.org/10.9774/GLEAF.4700.2004.sp.000014</w:t>
      </w:r>
    </w:p>
    <w:p w14:paraId="7E6B26E5" w14:textId="284D128B" w:rsidR="005B7EDF" w:rsidRPr="00DA2591" w:rsidRDefault="005B7EDF" w:rsidP="005B7EDF">
      <w:pPr>
        <w:spacing w:line="360" w:lineRule="exact"/>
        <w:outlineLvl w:val="0"/>
        <w:rPr>
          <w:bCs/>
          <w:kern w:val="36"/>
          <w:sz w:val="26"/>
          <w:szCs w:val="26"/>
          <w:lang w:eastAsia="en-AU"/>
        </w:rPr>
      </w:pPr>
      <w:r w:rsidRPr="00DA2591">
        <w:rPr>
          <w:bCs/>
          <w:kern w:val="36"/>
          <w:sz w:val="26"/>
          <w:szCs w:val="26"/>
          <w:lang w:eastAsia="en-AU"/>
        </w:rPr>
        <w:t xml:space="preserve">The World Bank annual report (2014). </w:t>
      </w:r>
      <w:r w:rsidR="00DA2591">
        <w:rPr>
          <w:bCs/>
          <w:kern w:val="36"/>
          <w:sz w:val="26"/>
          <w:szCs w:val="26"/>
          <w:lang w:eastAsia="en-AU"/>
        </w:rPr>
        <w:t>Retrieved from</w:t>
      </w:r>
    </w:p>
    <w:p w14:paraId="189683E7" w14:textId="299619DE" w:rsidR="004F3459" w:rsidRPr="00DA2591" w:rsidRDefault="005B7EDF" w:rsidP="005B7EDF">
      <w:pPr>
        <w:spacing w:line="360" w:lineRule="exact"/>
        <w:ind w:firstLine="480"/>
        <w:outlineLvl w:val="0"/>
        <w:rPr>
          <w:sz w:val="26"/>
          <w:szCs w:val="26"/>
          <w:lang w:eastAsia="en-AU"/>
        </w:rPr>
      </w:pPr>
      <w:r w:rsidRPr="00DA2591">
        <w:rPr>
          <w:sz w:val="26"/>
          <w:szCs w:val="26"/>
        </w:rPr>
        <w:t>http://documents.worldbank.org/curated/en/111781468170952958/Main-report</w:t>
      </w:r>
    </w:p>
    <w:p w14:paraId="51B9FAAC" w14:textId="69C729AB" w:rsidR="00217840" w:rsidRPr="00DA2591" w:rsidRDefault="00885964" w:rsidP="005B7EDF">
      <w:pPr>
        <w:autoSpaceDE w:val="0"/>
        <w:autoSpaceDN w:val="0"/>
        <w:adjustRightInd w:val="0"/>
        <w:spacing w:line="360" w:lineRule="exact"/>
        <w:ind w:left="520" w:hangingChars="200" w:hanging="520"/>
        <w:jc w:val="both"/>
        <w:rPr>
          <w:sz w:val="26"/>
          <w:szCs w:val="26"/>
          <w:lang w:eastAsia="en-AU"/>
        </w:rPr>
      </w:pPr>
      <w:r w:rsidRPr="00DA2591">
        <w:rPr>
          <w:sz w:val="26"/>
          <w:szCs w:val="26"/>
          <w:lang w:eastAsia="en-AU"/>
        </w:rPr>
        <w:t xml:space="preserve">Van Der </w:t>
      </w:r>
      <w:proofErr w:type="spellStart"/>
      <w:r w:rsidRPr="00DA2591">
        <w:rPr>
          <w:sz w:val="26"/>
          <w:szCs w:val="26"/>
          <w:lang w:eastAsia="en-AU"/>
        </w:rPr>
        <w:t>Laan</w:t>
      </w:r>
      <w:proofErr w:type="spellEnd"/>
      <w:r w:rsidRPr="00DA2591">
        <w:rPr>
          <w:sz w:val="26"/>
          <w:szCs w:val="26"/>
          <w:lang w:eastAsia="en-AU"/>
        </w:rPr>
        <w:t xml:space="preserve"> Smith, J., </w:t>
      </w:r>
      <w:proofErr w:type="spellStart"/>
      <w:r w:rsidRPr="00DA2591">
        <w:rPr>
          <w:sz w:val="26"/>
          <w:szCs w:val="26"/>
          <w:lang w:eastAsia="en-AU"/>
        </w:rPr>
        <w:t>Adhikari</w:t>
      </w:r>
      <w:proofErr w:type="spellEnd"/>
      <w:r w:rsidRPr="00DA2591">
        <w:rPr>
          <w:sz w:val="26"/>
          <w:szCs w:val="26"/>
          <w:lang w:eastAsia="en-AU"/>
        </w:rPr>
        <w:t xml:space="preserve">, A. &amp; </w:t>
      </w:r>
      <w:proofErr w:type="spellStart"/>
      <w:r w:rsidRPr="00DA2591">
        <w:rPr>
          <w:sz w:val="26"/>
          <w:szCs w:val="26"/>
          <w:lang w:eastAsia="en-AU"/>
        </w:rPr>
        <w:t>Tondkar</w:t>
      </w:r>
      <w:proofErr w:type="spellEnd"/>
      <w:r w:rsidRPr="00DA2591">
        <w:rPr>
          <w:sz w:val="26"/>
          <w:szCs w:val="26"/>
          <w:lang w:eastAsia="en-AU"/>
        </w:rPr>
        <w:t xml:space="preserve">, R.H. (2005). Exploring differences in social disclosures internally: A stakeholder perspective. </w:t>
      </w:r>
      <w:r w:rsidRPr="00DA2591">
        <w:rPr>
          <w:i/>
          <w:sz w:val="26"/>
          <w:szCs w:val="26"/>
          <w:lang w:eastAsia="en-AU"/>
        </w:rPr>
        <w:t>Journal of Accounting and Public Policy</w:t>
      </w:r>
      <w:r w:rsidRPr="00DA2591">
        <w:rPr>
          <w:sz w:val="26"/>
          <w:szCs w:val="26"/>
          <w:lang w:eastAsia="en-AU"/>
        </w:rPr>
        <w:t xml:space="preserve">, </w:t>
      </w:r>
      <w:r w:rsidRPr="00DA2591">
        <w:rPr>
          <w:i/>
          <w:sz w:val="26"/>
          <w:szCs w:val="26"/>
          <w:lang w:eastAsia="en-AU"/>
        </w:rPr>
        <w:t>24</w:t>
      </w:r>
      <w:r w:rsidR="00520AB4" w:rsidRPr="00DA2591">
        <w:rPr>
          <w:sz w:val="26"/>
          <w:szCs w:val="26"/>
          <w:lang w:eastAsia="en-AU"/>
        </w:rPr>
        <w:t>(2)</w:t>
      </w:r>
      <w:r w:rsidRPr="00DA2591">
        <w:rPr>
          <w:sz w:val="26"/>
          <w:szCs w:val="26"/>
          <w:lang w:eastAsia="en-AU"/>
        </w:rPr>
        <w:t>, 123-151.</w:t>
      </w:r>
      <w:r w:rsidR="00520AB4" w:rsidRPr="00DA2591">
        <w:rPr>
          <w:sz w:val="26"/>
          <w:szCs w:val="26"/>
          <w:lang w:eastAsia="en-AU"/>
        </w:rPr>
        <w:t xml:space="preserve"> </w:t>
      </w:r>
    </w:p>
    <w:p w14:paraId="1D8ECE71" w14:textId="66D27F82" w:rsidR="00885964" w:rsidRPr="00DA2591" w:rsidRDefault="00520AB4" w:rsidP="00A31D11">
      <w:pPr>
        <w:spacing w:line="360" w:lineRule="exact"/>
        <w:ind w:firstLineChars="200" w:firstLine="520"/>
        <w:jc w:val="both"/>
        <w:rPr>
          <w:sz w:val="26"/>
          <w:szCs w:val="26"/>
          <w:lang w:eastAsia="en-AU"/>
        </w:rPr>
      </w:pPr>
      <w:r w:rsidRPr="00DA2591">
        <w:rPr>
          <w:sz w:val="26"/>
          <w:szCs w:val="26"/>
          <w:lang w:eastAsia="en-AU"/>
        </w:rPr>
        <w:lastRenderedPageBreak/>
        <w:t>https://doi.</w:t>
      </w:r>
      <w:r w:rsidRPr="00DA2591">
        <w:rPr>
          <w:sz w:val="26"/>
          <w:szCs w:val="26"/>
        </w:rPr>
        <w:t>org</w:t>
      </w:r>
      <w:r w:rsidRPr="00DA2591">
        <w:rPr>
          <w:sz w:val="26"/>
          <w:szCs w:val="26"/>
          <w:lang w:eastAsia="en-AU"/>
        </w:rPr>
        <w:t>/10.1016/j.jaccpubpol.2004.12.007</w:t>
      </w:r>
    </w:p>
    <w:p w14:paraId="32BEC577" w14:textId="77777777" w:rsidR="000C7ED3"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 xml:space="preserve">Wallace, R.S. &amp; </w:t>
      </w:r>
      <w:proofErr w:type="spellStart"/>
      <w:r w:rsidRPr="005B36DB">
        <w:rPr>
          <w:sz w:val="26"/>
          <w:szCs w:val="26"/>
          <w:lang w:eastAsia="en-AU"/>
        </w:rPr>
        <w:t>Naser</w:t>
      </w:r>
      <w:proofErr w:type="spellEnd"/>
      <w:r w:rsidRPr="005B36DB">
        <w:rPr>
          <w:sz w:val="26"/>
          <w:szCs w:val="26"/>
          <w:lang w:eastAsia="en-AU"/>
        </w:rPr>
        <w:t xml:space="preserve">, K., (1995). Firm specific determinants of the comprehensiveness of mandatory disclosure in the corporate annual reports of firms listed on the stock exchange of Hong Kong. </w:t>
      </w:r>
      <w:r w:rsidRPr="005B36DB">
        <w:rPr>
          <w:i/>
          <w:sz w:val="26"/>
          <w:szCs w:val="26"/>
          <w:lang w:eastAsia="en-AU"/>
        </w:rPr>
        <w:t>Journal of Accounting and Public Policy</w:t>
      </w:r>
      <w:r w:rsidRPr="005B36DB">
        <w:rPr>
          <w:sz w:val="26"/>
          <w:szCs w:val="26"/>
          <w:lang w:eastAsia="en-AU"/>
        </w:rPr>
        <w:t xml:space="preserve">, </w:t>
      </w:r>
      <w:r w:rsidRPr="005B36DB">
        <w:rPr>
          <w:i/>
          <w:sz w:val="26"/>
          <w:szCs w:val="26"/>
          <w:lang w:eastAsia="en-AU"/>
        </w:rPr>
        <w:t>14</w:t>
      </w:r>
      <w:r w:rsidR="00520AB4" w:rsidRPr="005B36DB">
        <w:rPr>
          <w:sz w:val="26"/>
          <w:szCs w:val="26"/>
          <w:lang w:eastAsia="en-AU"/>
        </w:rPr>
        <w:t>(4)</w:t>
      </w:r>
      <w:r w:rsidRPr="005B36DB">
        <w:rPr>
          <w:sz w:val="26"/>
          <w:szCs w:val="26"/>
          <w:lang w:eastAsia="en-AU"/>
        </w:rPr>
        <w:t>, 311-</w:t>
      </w:r>
      <w:r w:rsidR="00520AB4" w:rsidRPr="005B36DB">
        <w:rPr>
          <w:sz w:val="26"/>
          <w:szCs w:val="26"/>
          <w:lang w:eastAsia="en-AU"/>
        </w:rPr>
        <w:t>3</w:t>
      </w:r>
      <w:r w:rsidRPr="005B36DB">
        <w:rPr>
          <w:sz w:val="26"/>
          <w:szCs w:val="26"/>
          <w:lang w:eastAsia="en-AU"/>
        </w:rPr>
        <w:t>68.</w:t>
      </w:r>
      <w:r w:rsidR="00520AB4" w:rsidRPr="005B36DB">
        <w:rPr>
          <w:sz w:val="26"/>
          <w:szCs w:val="26"/>
          <w:lang w:eastAsia="en-AU"/>
        </w:rPr>
        <w:t xml:space="preserve"> </w:t>
      </w:r>
    </w:p>
    <w:p w14:paraId="0A9276E2" w14:textId="5BAA4610" w:rsidR="00885964" w:rsidRPr="005B36DB" w:rsidRDefault="00520AB4" w:rsidP="000C7ED3">
      <w:pPr>
        <w:spacing w:line="360" w:lineRule="exact"/>
        <w:ind w:firstLineChars="200" w:firstLine="520"/>
        <w:jc w:val="both"/>
        <w:rPr>
          <w:sz w:val="26"/>
          <w:szCs w:val="26"/>
          <w:lang w:eastAsia="en-AU"/>
        </w:rPr>
      </w:pPr>
      <w:r w:rsidRPr="005B36DB">
        <w:rPr>
          <w:sz w:val="26"/>
          <w:szCs w:val="26"/>
          <w:lang w:eastAsia="en-AU"/>
        </w:rPr>
        <w:t>https://doi.org/10.1016/0278-4254(95)00042-9</w:t>
      </w:r>
    </w:p>
    <w:p w14:paraId="2D8B2204" w14:textId="77777777" w:rsidR="000C7ED3"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 xml:space="preserve">Williams, S. &amp; Pei, C. (1999). Corporate </w:t>
      </w:r>
      <w:r w:rsidR="00217840" w:rsidRPr="005B36DB">
        <w:rPr>
          <w:sz w:val="26"/>
          <w:szCs w:val="26"/>
          <w:lang w:eastAsia="en-AU"/>
        </w:rPr>
        <w:t>social disclosur</w:t>
      </w:r>
      <w:r w:rsidRPr="005B36DB">
        <w:rPr>
          <w:sz w:val="26"/>
          <w:szCs w:val="26"/>
          <w:lang w:eastAsia="en-AU"/>
        </w:rPr>
        <w:t xml:space="preserve">es by </w:t>
      </w:r>
      <w:r w:rsidR="0075112C" w:rsidRPr="005B36DB">
        <w:rPr>
          <w:sz w:val="26"/>
          <w:szCs w:val="26"/>
          <w:lang w:eastAsia="en-AU"/>
        </w:rPr>
        <w:t xml:space="preserve">listed </w:t>
      </w:r>
      <w:r w:rsidR="00217840" w:rsidRPr="005B36DB">
        <w:rPr>
          <w:sz w:val="26"/>
          <w:szCs w:val="26"/>
          <w:lang w:eastAsia="en-AU"/>
        </w:rPr>
        <w:t>companies on their web site</w:t>
      </w:r>
      <w:r w:rsidRPr="005B36DB">
        <w:rPr>
          <w:sz w:val="26"/>
          <w:szCs w:val="26"/>
          <w:lang w:eastAsia="en-AU"/>
        </w:rPr>
        <w:t xml:space="preserve">s: An </w:t>
      </w:r>
      <w:r w:rsidR="00217840" w:rsidRPr="005B36DB">
        <w:rPr>
          <w:sz w:val="26"/>
          <w:szCs w:val="26"/>
          <w:lang w:eastAsia="en-AU"/>
        </w:rPr>
        <w:t>international comp</w:t>
      </w:r>
      <w:r w:rsidRPr="005B36DB">
        <w:rPr>
          <w:sz w:val="26"/>
          <w:szCs w:val="26"/>
          <w:lang w:eastAsia="en-AU"/>
        </w:rPr>
        <w:t xml:space="preserve">arison. </w:t>
      </w:r>
      <w:r w:rsidRPr="005B36DB">
        <w:rPr>
          <w:i/>
          <w:sz w:val="26"/>
          <w:szCs w:val="26"/>
          <w:lang w:eastAsia="en-AU"/>
        </w:rPr>
        <w:t>The International Journal of Accounting</w:t>
      </w:r>
      <w:r w:rsidRPr="005B36DB">
        <w:rPr>
          <w:sz w:val="26"/>
          <w:szCs w:val="26"/>
          <w:lang w:eastAsia="en-AU"/>
        </w:rPr>
        <w:t xml:space="preserve">, </w:t>
      </w:r>
      <w:r w:rsidRPr="005B36DB">
        <w:rPr>
          <w:i/>
          <w:sz w:val="26"/>
          <w:szCs w:val="26"/>
          <w:lang w:eastAsia="en-AU"/>
        </w:rPr>
        <w:t>34</w:t>
      </w:r>
      <w:r w:rsidRPr="005B36DB">
        <w:rPr>
          <w:sz w:val="26"/>
          <w:szCs w:val="26"/>
          <w:lang w:eastAsia="en-AU"/>
        </w:rPr>
        <w:t>(3),</w:t>
      </w:r>
      <w:r w:rsidR="00520AB4" w:rsidRPr="005B36DB">
        <w:rPr>
          <w:sz w:val="26"/>
          <w:szCs w:val="26"/>
          <w:lang w:eastAsia="en-AU"/>
        </w:rPr>
        <w:t xml:space="preserve"> 389-419.</w:t>
      </w:r>
      <w:r w:rsidR="00217840" w:rsidRPr="005B36DB">
        <w:rPr>
          <w:sz w:val="26"/>
          <w:szCs w:val="26"/>
          <w:lang w:eastAsia="en-AU"/>
        </w:rPr>
        <w:t xml:space="preserve"> </w:t>
      </w:r>
    </w:p>
    <w:p w14:paraId="2FE76790" w14:textId="4DA4CA12" w:rsidR="00885964" w:rsidRPr="005B36DB" w:rsidRDefault="00520AB4" w:rsidP="000C7ED3">
      <w:pPr>
        <w:spacing w:line="360" w:lineRule="exact"/>
        <w:ind w:firstLineChars="200" w:firstLine="520"/>
        <w:jc w:val="both"/>
        <w:rPr>
          <w:sz w:val="26"/>
          <w:szCs w:val="26"/>
          <w:lang w:eastAsia="en-AU"/>
        </w:rPr>
      </w:pPr>
      <w:r w:rsidRPr="005B36DB">
        <w:rPr>
          <w:sz w:val="26"/>
          <w:szCs w:val="26"/>
          <w:lang w:eastAsia="en-AU"/>
        </w:rPr>
        <w:t>https://doi.org/10.1016/s0020-7063(99)00016-3</w:t>
      </w:r>
    </w:p>
    <w:p w14:paraId="4039D675" w14:textId="77777777" w:rsidR="000C7ED3"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Wilmshurst, T. D. &amp; Frost, G. R. (2000). Corporate environmental reporting</w:t>
      </w:r>
      <w:r w:rsidR="00A31D11" w:rsidRPr="005B36DB">
        <w:rPr>
          <w:sz w:val="26"/>
          <w:szCs w:val="26"/>
          <w:lang w:eastAsia="en-AU"/>
        </w:rPr>
        <w:t>: A test of legitimacy theory</w:t>
      </w:r>
      <w:r w:rsidRPr="005B36DB">
        <w:rPr>
          <w:sz w:val="26"/>
          <w:szCs w:val="26"/>
          <w:lang w:eastAsia="en-AU"/>
        </w:rPr>
        <w:t xml:space="preserve">. </w:t>
      </w:r>
      <w:r w:rsidRPr="005B36DB">
        <w:rPr>
          <w:i/>
          <w:sz w:val="26"/>
          <w:szCs w:val="26"/>
          <w:lang w:eastAsia="en-AU"/>
        </w:rPr>
        <w:t>Accounting, Auditing &amp; Accountability Journal</w:t>
      </w:r>
      <w:r w:rsidRPr="005B36DB">
        <w:rPr>
          <w:sz w:val="26"/>
          <w:szCs w:val="26"/>
          <w:lang w:eastAsia="en-AU"/>
        </w:rPr>
        <w:t xml:space="preserve">. </w:t>
      </w:r>
      <w:r w:rsidRPr="005B36DB">
        <w:rPr>
          <w:i/>
          <w:sz w:val="26"/>
          <w:szCs w:val="26"/>
          <w:lang w:eastAsia="en-AU"/>
        </w:rPr>
        <w:t>13</w:t>
      </w:r>
      <w:r w:rsidRPr="005B36DB">
        <w:rPr>
          <w:sz w:val="26"/>
          <w:szCs w:val="26"/>
          <w:lang w:eastAsia="en-AU"/>
        </w:rPr>
        <w:t xml:space="preserve">(1), 10-26. </w:t>
      </w:r>
    </w:p>
    <w:p w14:paraId="5B7CC046" w14:textId="05E52A03" w:rsidR="00885964" w:rsidRPr="005B36DB" w:rsidRDefault="00A31D11" w:rsidP="000C7ED3">
      <w:pPr>
        <w:spacing w:line="360" w:lineRule="exact"/>
        <w:ind w:firstLineChars="200" w:firstLine="520"/>
        <w:jc w:val="both"/>
        <w:rPr>
          <w:sz w:val="26"/>
          <w:szCs w:val="26"/>
          <w:lang w:eastAsia="en-AU"/>
        </w:rPr>
      </w:pPr>
      <w:r w:rsidRPr="005B36DB">
        <w:rPr>
          <w:sz w:val="26"/>
          <w:szCs w:val="26"/>
          <w:lang w:eastAsia="en-AU"/>
        </w:rPr>
        <w:t>https://doi.org/10.1108/09513570010316126</w:t>
      </w:r>
    </w:p>
    <w:p w14:paraId="52ACEB6B" w14:textId="77777777" w:rsidR="00A31D11" w:rsidRPr="005B36DB"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 xml:space="preserve">Wiseman, J. (1982). An evaluation of environmental disclosures made in corporate annual reports. </w:t>
      </w:r>
      <w:r w:rsidRPr="005B36DB">
        <w:rPr>
          <w:i/>
          <w:sz w:val="26"/>
          <w:szCs w:val="26"/>
          <w:lang w:eastAsia="en-AU"/>
        </w:rPr>
        <w:t>Accounting, Organizations and Society</w:t>
      </w:r>
      <w:r w:rsidRPr="005B36DB">
        <w:rPr>
          <w:sz w:val="26"/>
          <w:szCs w:val="26"/>
          <w:lang w:eastAsia="en-AU"/>
        </w:rPr>
        <w:t xml:space="preserve">, </w:t>
      </w:r>
      <w:r w:rsidRPr="005B36DB">
        <w:rPr>
          <w:i/>
          <w:sz w:val="26"/>
          <w:szCs w:val="26"/>
          <w:lang w:eastAsia="en-AU"/>
        </w:rPr>
        <w:t>7</w:t>
      </w:r>
      <w:r w:rsidRPr="005B36DB">
        <w:rPr>
          <w:sz w:val="26"/>
          <w:szCs w:val="26"/>
          <w:lang w:eastAsia="en-AU"/>
        </w:rPr>
        <w:t>(1), 53-63.</w:t>
      </w:r>
      <w:r w:rsidR="00A31D11" w:rsidRPr="005B36DB">
        <w:rPr>
          <w:sz w:val="26"/>
          <w:szCs w:val="26"/>
          <w:lang w:eastAsia="en-AU"/>
        </w:rPr>
        <w:t xml:space="preserve"> </w:t>
      </w:r>
    </w:p>
    <w:p w14:paraId="1AF483CC" w14:textId="4ED04335" w:rsidR="00885964" w:rsidRPr="005B36DB" w:rsidRDefault="00A31D11" w:rsidP="00A31D11">
      <w:pPr>
        <w:spacing w:line="360" w:lineRule="exact"/>
        <w:ind w:firstLineChars="200" w:firstLine="520"/>
        <w:jc w:val="both"/>
        <w:rPr>
          <w:sz w:val="26"/>
          <w:szCs w:val="26"/>
          <w:lang w:eastAsia="en-AU"/>
        </w:rPr>
      </w:pPr>
      <w:r w:rsidRPr="005B36DB">
        <w:rPr>
          <w:sz w:val="26"/>
          <w:szCs w:val="26"/>
          <w:lang w:eastAsia="en-AU"/>
        </w:rPr>
        <w:t>https://doi.</w:t>
      </w:r>
      <w:r w:rsidRPr="005B36DB">
        <w:rPr>
          <w:sz w:val="26"/>
          <w:szCs w:val="26"/>
        </w:rPr>
        <w:t>org</w:t>
      </w:r>
      <w:r w:rsidRPr="005B36DB">
        <w:rPr>
          <w:sz w:val="26"/>
          <w:szCs w:val="26"/>
          <w:lang w:eastAsia="en-AU"/>
        </w:rPr>
        <w:t>/10.1016/0361-3682(82)90025-3</w:t>
      </w:r>
    </w:p>
    <w:p w14:paraId="7B1A63ED" w14:textId="77777777" w:rsidR="000C7ED3" w:rsidRDefault="00885964" w:rsidP="000D5C8E">
      <w:pPr>
        <w:autoSpaceDE w:val="0"/>
        <w:autoSpaceDN w:val="0"/>
        <w:adjustRightInd w:val="0"/>
        <w:spacing w:line="360" w:lineRule="exact"/>
        <w:ind w:left="520" w:hangingChars="200" w:hanging="520"/>
        <w:jc w:val="both"/>
        <w:rPr>
          <w:sz w:val="26"/>
          <w:szCs w:val="26"/>
          <w:lang w:eastAsia="en-AU"/>
        </w:rPr>
      </w:pPr>
      <w:r w:rsidRPr="005B36DB">
        <w:rPr>
          <w:sz w:val="26"/>
          <w:szCs w:val="26"/>
          <w:lang w:eastAsia="en-AU"/>
        </w:rPr>
        <w:t xml:space="preserve">Xiao, J. Z., Gao, S. S., </w:t>
      </w:r>
      <w:proofErr w:type="spellStart"/>
      <w:r w:rsidRPr="005B36DB">
        <w:rPr>
          <w:sz w:val="26"/>
          <w:szCs w:val="26"/>
          <w:lang w:eastAsia="en-AU"/>
        </w:rPr>
        <w:t>Heravi</w:t>
      </w:r>
      <w:proofErr w:type="spellEnd"/>
      <w:r w:rsidRPr="005B36DB">
        <w:rPr>
          <w:sz w:val="26"/>
          <w:szCs w:val="26"/>
          <w:lang w:eastAsia="en-AU"/>
        </w:rPr>
        <w:t xml:space="preserve">, S. &amp; Cheung, Y. C. (2005). The </w:t>
      </w:r>
      <w:r w:rsidR="00A31D11" w:rsidRPr="005B36DB">
        <w:rPr>
          <w:sz w:val="26"/>
          <w:szCs w:val="26"/>
          <w:lang w:eastAsia="en-AU"/>
        </w:rPr>
        <w:t>impact of social and economic development on corporate social and environmental disclosur</w:t>
      </w:r>
      <w:r w:rsidRPr="005B36DB">
        <w:rPr>
          <w:sz w:val="26"/>
          <w:szCs w:val="26"/>
          <w:lang w:eastAsia="en-AU"/>
        </w:rPr>
        <w:t xml:space="preserve">e in Hong Kong and the U.K. </w:t>
      </w:r>
      <w:r w:rsidRPr="005B36DB">
        <w:rPr>
          <w:i/>
          <w:sz w:val="26"/>
          <w:szCs w:val="26"/>
          <w:lang w:eastAsia="en-AU"/>
        </w:rPr>
        <w:t>Advances in International Accounting</w:t>
      </w:r>
      <w:r w:rsidRPr="005B36DB">
        <w:rPr>
          <w:sz w:val="26"/>
          <w:szCs w:val="26"/>
          <w:lang w:eastAsia="en-AU"/>
        </w:rPr>
        <w:t xml:space="preserve">, </w:t>
      </w:r>
      <w:r w:rsidRPr="005B36DB">
        <w:rPr>
          <w:i/>
          <w:sz w:val="26"/>
          <w:szCs w:val="26"/>
          <w:lang w:eastAsia="en-AU"/>
        </w:rPr>
        <w:t>18</w:t>
      </w:r>
      <w:r w:rsidRPr="005B36DB">
        <w:rPr>
          <w:sz w:val="26"/>
          <w:szCs w:val="26"/>
          <w:lang w:eastAsia="en-AU"/>
        </w:rPr>
        <w:t>, 219-243.</w:t>
      </w:r>
      <w:r w:rsidR="004B126E" w:rsidRPr="005B36DB">
        <w:rPr>
          <w:sz w:val="26"/>
          <w:szCs w:val="26"/>
          <w:lang w:eastAsia="en-AU"/>
        </w:rPr>
        <w:t xml:space="preserve"> </w:t>
      </w:r>
    </w:p>
    <w:p w14:paraId="3170EE0B" w14:textId="3E78760E" w:rsidR="00885964" w:rsidRPr="005B36DB" w:rsidRDefault="004B126E" w:rsidP="000C7ED3">
      <w:pPr>
        <w:spacing w:line="360" w:lineRule="exact"/>
        <w:ind w:firstLineChars="200" w:firstLine="520"/>
        <w:jc w:val="both"/>
        <w:rPr>
          <w:sz w:val="26"/>
          <w:szCs w:val="26"/>
          <w:lang w:eastAsia="en-AU"/>
        </w:rPr>
      </w:pPr>
      <w:r w:rsidRPr="005B36DB">
        <w:rPr>
          <w:sz w:val="26"/>
          <w:szCs w:val="26"/>
          <w:lang w:eastAsia="en-AU"/>
        </w:rPr>
        <w:t>https://doi.org/10.1016/s0897-3660(05)18011-8</w:t>
      </w:r>
    </w:p>
    <w:p w14:paraId="309C082E" w14:textId="77777777" w:rsidR="000C7ED3" w:rsidRDefault="00885964" w:rsidP="00A31D11">
      <w:pPr>
        <w:autoSpaceDE w:val="0"/>
        <w:autoSpaceDN w:val="0"/>
        <w:adjustRightInd w:val="0"/>
        <w:spacing w:line="360" w:lineRule="exact"/>
        <w:ind w:left="520" w:hangingChars="200" w:hanging="520"/>
        <w:jc w:val="both"/>
        <w:rPr>
          <w:sz w:val="26"/>
          <w:szCs w:val="26"/>
          <w:lang w:eastAsia="en-AU"/>
        </w:rPr>
      </w:pPr>
      <w:r w:rsidRPr="005B36DB">
        <w:rPr>
          <w:kern w:val="28"/>
          <w:sz w:val="26"/>
          <w:szCs w:val="26"/>
          <w:lang w:val="en-US"/>
        </w:rPr>
        <w:t>Y</w:t>
      </w:r>
      <w:r w:rsidRPr="005B36DB">
        <w:rPr>
          <w:sz w:val="26"/>
          <w:szCs w:val="26"/>
          <w:lang w:eastAsia="en-AU"/>
        </w:rPr>
        <w:t xml:space="preserve">in, J. &amp; Zhang, Y. (2012). Institutional </w:t>
      </w:r>
      <w:r w:rsidR="00A31D11" w:rsidRPr="005B36DB">
        <w:rPr>
          <w:sz w:val="26"/>
          <w:szCs w:val="26"/>
          <w:lang w:eastAsia="en-AU"/>
        </w:rPr>
        <w:t>dynamics and corporate social responsibility</w:t>
      </w:r>
      <w:r w:rsidRPr="005B36DB">
        <w:rPr>
          <w:sz w:val="26"/>
          <w:szCs w:val="26"/>
          <w:lang w:eastAsia="en-AU"/>
        </w:rPr>
        <w:t xml:space="preserve"> (CSR) in an </w:t>
      </w:r>
      <w:r w:rsidR="00A31D11" w:rsidRPr="005B36DB">
        <w:rPr>
          <w:sz w:val="26"/>
          <w:szCs w:val="26"/>
          <w:lang w:eastAsia="en-AU"/>
        </w:rPr>
        <w:t>emerging country context</w:t>
      </w:r>
      <w:r w:rsidRPr="005B36DB">
        <w:rPr>
          <w:sz w:val="26"/>
          <w:szCs w:val="26"/>
          <w:lang w:eastAsia="en-AU"/>
        </w:rPr>
        <w:t xml:space="preserve">: Evidence from China. </w:t>
      </w:r>
      <w:r w:rsidRPr="005B36DB">
        <w:rPr>
          <w:i/>
          <w:sz w:val="26"/>
          <w:szCs w:val="26"/>
          <w:lang w:eastAsia="en-AU"/>
        </w:rPr>
        <w:t>Journal of Business Ethics</w:t>
      </w:r>
      <w:r w:rsidRPr="005B36DB">
        <w:rPr>
          <w:sz w:val="26"/>
          <w:szCs w:val="26"/>
          <w:lang w:eastAsia="en-AU"/>
        </w:rPr>
        <w:t xml:space="preserve">, </w:t>
      </w:r>
      <w:r w:rsidRPr="005B36DB">
        <w:rPr>
          <w:i/>
          <w:sz w:val="26"/>
          <w:szCs w:val="26"/>
          <w:lang w:eastAsia="en-AU"/>
        </w:rPr>
        <w:t>111</w:t>
      </w:r>
      <w:r w:rsidRPr="005B36DB">
        <w:rPr>
          <w:sz w:val="26"/>
          <w:szCs w:val="26"/>
          <w:lang w:eastAsia="en-AU"/>
        </w:rPr>
        <w:t>(2), 301-316.</w:t>
      </w:r>
      <w:r w:rsidR="004B126E" w:rsidRPr="005B36DB">
        <w:rPr>
          <w:sz w:val="26"/>
          <w:szCs w:val="26"/>
          <w:lang w:eastAsia="en-AU"/>
        </w:rPr>
        <w:t xml:space="preserve"> </w:t>
      </w:r>
    </w:p>
    <w:p w14:paraId="15DD3A61" w14:textId="6CF29E28" w:rsidR="00885964" w:rsidRPr="005B36DB" w:rsidRDefault="004B126E" w:rsidP="000C7ED3">
      <w:pPr>
        <w:spacing w:line="360" w:lineRule="exact"/>
        <w:ind w:firstLineChars="200" w:firstLine="520"/>
        <w:jc w:val="both"/>
        <w:rPr>
          <w:sz w:val="26"/>
          <w:szCs w:val="26"/>
          <w:lang w:eastAsia="en-AU"/>
        </w:rPr>
      </w:pPr>
      <w:r w:rsidRPr="005B36DB">
        <w:rPr>
          <w:sz w:val="26"/>
          <w:szCs w:val="26"/>
          <w:lang w:eastAsia="en-AU"/>
        </w:rPr>
        <w:t>https://doi.org/10.1007</w:t>
      </w:r>
      <w:r w:rsidRPr="000C7ED3">
        <w:rPr>
          <w:sz w:val="26"/>
          <w:szCs w:val="26"/>
          <w:lang w:eastAsia="en-AU"/>
        </w:rPr>
        <w:t>/s10551-012-1243-4</w:t>
      </w:r>
    </w:p>
    <w:sectPr w:rsidR="00885964" w:rsidRPr="005B36DB" w:rsidSect="009F75D1">
      <w:headerReference w:type="default" r:id="rId20"/>
      <w:footerReference w:type="default" r:id="rId21"/>
      <w:pgSz w:w="11906" w:h="16838"/>
      <w:pgMar w:top="1276"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BC56CB" w16cid:durableId="1F5398A4"/>
  <w16cid:commentId w16cid:paraId="4CF33A8D" w16cid:durableId="1F539934"/>
  <w16cid:commentId w16cid:paraId="74970342" w16cid:durableId="1F53994B"/>
  <w16cid:commentId w16cid:paraId="71B0B3B7" w16cid:durableId="1F539984"/>
  <w16cid:commentId w16cid:paraId="081D1CD0" w16cid:durableId="1F53999F"/>
  <w16cid:commentId w16cid:paraId="5B87B2B1" w16cid:durableId="1F5399E4"/>
  <w16cid:commentId w16cid:paraId="2FB473AE" w16cid:durableId="1F539A0B"/>
  <w16cid:commentId w16cid:paraId="7CEDEF0E" w16cid:durableId="1F539ACF"/>
  <w16cid:commentId w16cid:paraId="49BA8083" w16cid:durableId="1F539B25"/>
  <w16cid:commentId w16cid:paraId="5E8245BB" w16cid:durableId="1F539B89"/>
  <w16cid:commentId w16cid:paraId="21E5A6AB" w16cid:durableId="1F539BAE"/>
  <w16cid:commentId w16cid:paraId="7B8A477C" w16cid:durableId="1F539C5C"/>
  <w16cid:commentId w16cid:paraId="7CDCF023" w16cid:durableId="1F539CCB"/>
  <w16cid:commentId w16cid:paraId="462D428F" w16cid:durableId="1F53A276"/>
  <w16cid:commentId w16cid:paraId="0273A013" w16cid:durableId="1F54A28E"/>
  <w16cid:commentId w16cid:paraId="7058A189" w16cid:durableId="1F54A2DB"/>
  <w16cid:commentId w16cid:paraId="14D35236" w16cid:durableId="1F54A4A1"/>
  <w16cid:commentId w16cid:paraId="3732763C" w16cid:durableId="1F54A506"/>
  <w16cid:commentId w16cid:paraId="34A546D4" w16cid:durableId="1F54A535"/>
  <w16cid:commentId w16cid:paraId="2AD969BB" w16cid:durableId="1F54A541"/>
  <w16cid:commentId w16cid:paraId="0F4E92F4" w16cid:durableId="1F54A61D"/>
  <w16cid:commentId w16cid:paraId="46757ACB" w16cid:durableId="1F54A63A"/>
  <w16cid:commentId w16cid:paraId="14B233F5" w16cid:durableId="1F54A6B5"/>
  <w16cid:commentId w16cid:paraId="73C44A89" w16cid:durableId="1F54A6C2"/>
  <w16cid:commentId w16cid:paraId="2174DF5D" w16cid:durableId="1F54A697"/>
  <w16cid:commentId w16cid:paraId="13C5FCF1" w16cid:durableId="1F54A6C7"/>
  <w16cid:commentId w16cid:paraId="4A7B044C" w16cid:durableId="1F54A9BE"/>
  <w16cid:commentId w16cid:paraId="5ADE1C30" w16cid:durableId="1F54A9E8"/>
  <w16cid:commentId w16cid:paraId="3D6E454D" w16cid:durableId="1F54AA02"/>
  <w16cid:commentId w16cid:paraId="67B78F5C" w16cid:durableId="1F54AAC7"/>
  <w16cid:commentId w16cid:paraId="41C87AFA" w16cid:durableId="1F54AAEE"/>
  <w16cid:commentId w16cid:paraId="03CF9F28" w16cid:durableId="1F54AB31"/>
  <w16cid:commentId w16cid:paraId="3013203C" w16cid:durableId="1F54AB7E"/>
  <w16cid:commentId w16cid:paraId="16ADC223" w16cid:durableId="1F54ABC6"/>
  <w16cid:commentId w16cid:paraId="0321EDB6" w16cid:durableId="1F54AD4B"/>
  <w16cid:commentId w16cid:paraId="4E0D5934" w16cid:durableId="1F54D3EF"/>
  <w16cid:commentId w16cid:paraId="049D3079" w16cid:durableId="1F54B025"/>
  <w16cid:commentId w16cid:paraId="51631F2F" w16cid:durableId="1F54D445"/>
  <w16cid:commentId w16cid:paraId="281720A1" w16cid:durableId="1F54D469"/>
  <w16cid:commentId w16cid:paraId="5B0139AD" w16cid:durableId="1F54D490"/>
  <w16cid:commentId w16cid:paraId="7F3CC3C6" w16cid:durableId="1F54D49E"/>
  <w16cid:commentId w16cid:paraId="1287EFC6" w16cid:durableId="1F54D4AA"/>
  <w16cid:commentId w16cid:paraId="4C18401D" w16cid:durableId="1F54D4D0"/>
  <w16cid:commentId w16cid:paraId="60128384" w16cid:durableId="1F54D4FC"/>
  <w16cid:commentId w16cid:paraId="5700C7FA" w16cid:durableId="1F54D507"/>
  <w16cid:commentId w16cid:paraId="6EAFD4A5" w16cid:durableId="1F54D545"/>
  <w16cid:commentId w16cid:paraId="74B4F31E" w16cid:durableId="1F54D553"/>
  <w16cid:commentId w16cid:paraId="2670D40F" w16cid:durableId="1F54D56B"/>
  <w16cid:commentId w16cid:paraId="571CDE31" w16cid:durableId="1F54D5CE"/>
  <w16cid:commentId w16cid:paraId="3B74A44D" w16cid:durableId="1F54D721"/>
  <w16cid:commentId w16cid:paraId="0A001A4D" w16cid:durableId="1F54D761"/>
  <w16cid:commentId w16cid:paraId="508A45B6" w16cid:durableId="1F53A31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3E137" w14:textId="77777777" w:rsidR="002919B2" w:rsidRDefault="002919B2" w:rsidP="00312B51">
      <w:r>
        <w:separator/>
      </w:r>
    </w:p>
  </w:endnote>
  <w:endnote w:type="continuationSeparator" w:id="0">
    <w:p w14:paraId="65331500" w14:textId="77777777" w:rsidR="002919B2" w:rsidRDefault="002919B2" w:rsidP="0031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00000003" w:usb1="00000000" w:usb2="00000000" w:usb3="00000000" w:csb0="00000001" w:csb1="00000000"/>
  </w:font>
  <w:font w:name="Sabon">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BCCE9" w14:textId="58ED5251" w:rsidR="00510C57" w:rsidRDefault="00510C57">
    <w:pPr>
      <w:pStyle w:val="a7"/>
      <w:jc w:val="center"/>
    </w:pPr>
  </w:p>
  <w:p w14:paraId="1770D925" w14:textId="77777777" w:rsidR="00510C57" w:rsidRDefault="00510C5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24234" w14:textId="77777777" w:rsidR="002919B2" w:rsidRDefault="002919B2" w:rsidP="00312B51">
      <w:r>
        <w:separator/>
      </w:r>
    </w:p>
  </w:footnote>
  <w:footnote w:type="continuationSeparator" w:id="0">
    <w:p w14:paraId="39E95DD9" w14:textId="77777777" w:rsidR="002919B2" w:rsidRDefault="002919B2" w:rsidP="00312B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3409D" w14:textId="54F64F99" w:rsidR="00510C57" w:rsidRPr="00F948B3" w:rsidRDefault="00510C57" w:rsidP="006512F2">
    <w:pPr>
      <w:pStyle w:val="a5"/>
      <w:tabs>
        <w:tab w:val="clear" w:pos="4513"/>
        <w:tab w:val="clear" w:pos="9026"/>
        <w:tab w:val="left" w:pos="7157"/>
      </w:tabs>
      <w:rPr>
        <w:lang w:val="x-none"/>
      </w:rPr>
    </w:pPr>
    <w:r w:rsidRPr="00F948B3">
      <w:rPr>
        <w:noProof/>
        <w:lang w:val="en-US" w:eastAsia="zh-TW"/>
      </w:rPr>
      <mc:AlternateContent>
        <mc:Choice Requires="wps">
          <w:drawing>
            <wp:anchor distT="0" distB="0" distL="114300" distR="114300" simplePos="0" relativeHeight="251659264" behindDoc="0" locked="0" layoutInCell="1" allowOverlap="1" wp14:anchorId="779D4702" wp14:editId="5120A243">
              <wp:simplePos x="0" y="0"/>
              <wp:positionH relativeFrom="margin">
                <wp:align>right</wp:align>
              </wp:positionH>
              <wp:positionV relativeFrom="paragraph">
                <wp:posOffset>174475</wp:posOffset>
              </wp:positionV>
              <wp:extent cx="5730844" cy="9054"/>
              <wp:effectExtent l="0" t="0" r="22860" b="2921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0844" cy="90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1A47A" id="直線接點 7"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0.05pt,13.75pt" to="851.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nksNgIAAD0EAAAOAAAAZHJzL2Uyb0RvYy54bWysU82O0zAQviPxDpbvbZJu+hc1XaGk5bJA&#10;pV24u7bTWDi2ZbtNK8Qr8ACLxI03QOLA+7DiLbDdtGzhghA5OGN75ptvZj7PrvcNBzuqDZMih0k/&#10;hoAKLAkTmxy+vlv2JhAYiwRBXAqawwM18Hr+9MmsVRkdyFpyQjVwIMJkrcphba3KosjgmjbI9KWi&#10;wl1WUjfIuq3eRESj1qE3PBrE8ShqpSZKS0yNcafl8RLOA35VUWxfVZWhFvAcOm42rDqsa79G8xnK&#10;NhqpmuGOBvoHFg1iwiU9Q5XIIrDV7A+ohmEtjaxsH8smklXFMA01uGqS+LdqbmukaKjFNceoc5vM&#10;/4PFL3crDRjJ4RgCgRo3ooePXx6+3n//8PnHt09g7DvUKpM5x0KstK8R78WtupH4rQFCFjUSGxqY&#10;3h2UC098RHQR4jdGuTzr9oUkzgdtrQzt2le6ARVn6o0P9OCuJWAf5nM4z4fuLcDucDi+iidpCgF2&#10;d9N4mIZUKPMoPlZpY59T2QBv5JAz4buHMrS7Mdaz+uXij4VcMs6DArgArYMcDoYhwEjOiL/0bkZv&#10;1gXXYIe8hsLX5b1w03IrSACrKSKLzraI8aPtknPh8Vw1jk5nHUXybhpPF5PFJO2lg9Gil8Zl2Xu2&#10;LNLeaJmMh+VVWRRl8t5TS9KsZoRQ4dmdBJukfyeI7ukcpXaW7LkN0SV66Jcje/oH0mGwfpZHVawl&#10;Oaz0aeBOo8G5e0/+ETzeO/vxq5//BAAA//8DAFBLAwQUAAYACAAAACEADmqYpNsAAAAGAQAADwAA&#10;AGRycy9kb3ducmV2LnhtbEyPQU/DMAyF70j8h8hI3FhCEbB2TacJARckJEbZOW1MW5E4VZN15d9j&#10;TnDz87Pe+1xuF+/EjFMcAmm4XikQSG2wA3Ua6venqzWImAxZ4wKhhm+MsK3Oz0pT2HCiN5z3qRMc&#10;QrEwGvqUxkLK2PboTVyFEYm9zzB5k1hOnbSTOXG4dzJT6k56MxA39GbEhx7br/3Ra9gdXh5vXufG&#10;B2fzrv6wvlbPmdaXF8tuAyLhkv6O4Ref0aFipiYcyUbhNPAjSUN2fwuC3VxlPDS8WOcgq1L+x69+&#10;AAAA//8DAFBLAQItABQABgAIAAAAIQC2gziS/gAAAOEBAAATAAAAAAAAAAAAAAAAAAAAAABbQ29u&#10;dGVudF9UeXBlc10ueG1sUEsBAi0AFAAGAAgAAAAhADj9If/WAAAAlAEAAAsAAAAAAAAAAAAAAAAA&#10;LwEAAF9yZWxzLy5yZWxzUEsBAi0AFAAGAAgAAAAhAMfWeSw2AgAAPQQAAA4AAAAAAAAAAAAAAAAA&#10;LgIAAGRycy9lMm9Eb2MueG1sUEsBAi0AFAAGAAgAAAAhAA5qmKTbAAAABgEAAA8AAAAAAAAAAAAA&#10;AAAAkAQAAGRycy9kb3ducmV2LnhtbFBLBQYAAAAABAAEAPMAAACYBQAAAAA=&#10;">
              <w10:wrap anchorx="margin"/>
            </v:line>
          </w:pict>
        </mc:Fallback>
      </mc:AlternateContent>
    </w:r>
    <w:r w:rsidRPr="00F948B3">
      <w:rPr>
        <w:lang w:val="x-none"/>
      </w:rPr>
      <w:t xml:space="preserve">Contemporary Management Research   </w:t>
    </w:r>
    <w:r w:rsidRPr="00F948B3">
      <w:rPr>
        <w:lang w:val="x-none"/>
      </w:rPr>
      <w:fldChar w:fldCharType="begin"/>
    </w:r>
    <w:r w:rsidRPr="00F948B3">
      <w:rPr>
        <w:lang w:val="x-none"/>
      </w:rPr>
      <w:instrText>PAGE   \* MERGEFORMAT</w:instrText>
    </w:r>
    <w:r w:rsidRPr="00F948B3">
      <w:rPr>
        <w:lang w:val="x-none"/>
      </w:rPr>
      <w:fldChar w:fldCharType="separate"/>
    </w:r>
    <w:r w:rsidR="00C45B2C" w:rsidRPr="00C45B2C">
      <w:rPr>
        <w:noProof/>
        <w:lang w:val="zh-TW" w:eastAsia="zh-TW"/>
      </w:rPr>
      <w:t>204</w:t>
    </w:r>
    <w:r w:rsidRPr="00F948B3">
      <w:rPr>
        <w:lang w:val="x-none"/>
      </w:rPr>
      <w:fldChar w:fldCharType="end"/>
    </w:r>
    <w:r>
      <w:rPr>
        <w:lang w:val="x-none"/>
      </w:rPr>
      <w:t xml:space="preserve"> </w:t>
    </w:r>
    <w:r>
      <w:rPr>
        <w:lang w:val="x-none"/>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50EC8" w14:textId="468285B7" w:rsidR="00510C57" w:rsidRDefault="00510C57" w:rsidP="006512F2">
    <w:pPr>
      <w:pStyle w:val="a5"/>
      <w:jc w:val="right"/>
    </w:pPr>
    <w:r w:rsidRPr="006512F2">
      <w:rPr>
        <w:noProof/>
        <w:lang w:val="en-US" w:eastAsia="zh-TW"/>
      </w:rPr>
      <mc:AlternateContent>
        <mc:Choice Requires="wps">
          <w:drawing>
            <wp:anchor distT="0" distB="0" distL="114300" distR="114300" simplePos="0" relativeHeight="251661312" behindDoc="0" locked="0" layoutInCell="1" allowOverlap="1" wp14:anchorId="32317688" wp14:editId="2932AEB4">
              <wp:simplePos x="0" y="0"/>
              <wp:positionH relativeFrom="margin">
                <wp:posOffset>-27160</wp:posOffset>
              </wp:positionH>
              <wp:positionV relativeFrom="paragraph">
                <wp:posOffset>192254</wp:posOffset>
              </wp:positionV>
              <wp:extent cx="5757400" cy="0"/>
              <wp:effectExtent l="0" t="0" r="34290" b="1905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71A36"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5pt,15.15pt" to="451.2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B1KLQIAADAEAAAOAAAAZHJzL2Uyb0RvYy54bWysU02u0zAQ3iNxB8v7Nj+kf1HTJ5S0bB5Q&#10;6T0O4NpOY+HYlu02rRBX4AAgseMGSCy4D0/cAtttqj7YIEQWztgz8/mbmc/zm0PLwZ5qw6QoYDKM&#10;IaACS8LEtoBv7leDKQTGIkEQl4IW8EgNvFk8fTLvVE5T2UhOqAYORJi8UwVsrFV5FBnc0BaZoVRU&#10;OGctdYus2+ptRDTqHHrLozSOx1EnNVFaYmqMO61OTrgI+HVNsX1d14ZawAvouNmw6rBu/Bot5ijf&#10;aqQahs800D+waBET7tILVIUsAjvN/oBqGdbSyNoOsWwjWdcM01CDqyaJf6vmrkGKhlpcc4y6tMn8&#10;P1j8ar/WgJECphAI1LoRPXz6+vDt448PX35+/wxS36FOmdwFlmKtfY34IO7UrcRvDRCybJDY0sD0&#10;/qhceuIzokcpfmOUu2fTvZTExaCdlaFdh1q3HtI1AhzCVI6XqdCDBdgdjiajSRa74eHeF6G8T1Ta&#10;2BdUtsAbBeRM+IahHO1vjfVEUN6H+GMhV4zzMHQuQFfA2SgdhQQjOSPe6cOM3m5KrsEeedmEL1Tl&#10;PNdhWu4ECWANRWR5ti1i/GS7y7nweK4UR+dsnXTxbhbPltPlNBtk6Xg5yOKqGjxfldlgvEomo+pZ&#10;VZZV8t5TS7K8YYRQ4dn1Gk2yv9PA+bWc1HVR6aUN0WP00C9Htv8H0mGWfnwnIWwkOa51P2MnyxB8&#10;fkJe99d7Z18/9MUvAAAA//8DAFBLAwQUAAYACAAAACEATmvEt9wAAAAIAQAADwAAAGRycy9kb3du&#10;cmV2LnhtbEyPQU/DMAyF70j8h8hIXKYtoZ3QKE0nBPTGhcHE1WtNW9E4XZNthV+PEQc4WfZ7ev5e&#10;vp5cr440hs6zhauFAUVc+brjxsLrSzlfgQoRucbeM1n4pADr4vwsx6z2J36m4yY2SkI4ZGihjXHI&#10;tA5VSw7Dwg/Eor370WGUdWx0PeJJwl2vE2OutcOO5UOLA923VH1sDs5CKLe0L79m1cy8pY2nZP/w&#10;9IjWXl5Md7egIk3xzww/+IIOhTDt/IHroHoL82UqTgupkSn6jUmWoHa/B13k+n+B4hsAAP//AwBQ&#10;SwECLQAUAAYACAAAACEAtoM4kv4AAADhAQAAEwAAAAAAAAAAAAAAAAAAAAAAW0NvbnRlbnRfVHlw&#10;ZXNdLnhtbFBLAQItABQABgAIAAAAIQA4/SH/1gAAAJQBAAALAAAAAAAAAAAAAAAAAC8BAABfcmVs&#10;cy8ucmVsc1BLAQItABQABgAIAAAAIQDjqB1KLQIAADAEAAAOAAAAAAAAAAAAAAAAAC4CAABkcnMv&#10;ZTJvRG9jLnhtbFBLAQItABQABgAIAAAAIQBOa8S33AAAAAgBAAAPAAAAAAAAAAAAAAAAAIcEAABk&#10;cnMvZG93bnJldi54bWxQSwUGAAAAAAQABADzAAAAkAUAAAAA&#10;">
              <w10:wrap anchorx="margin"/>
            </v:line>
          </w:pict>
        </mc:Fallback>
      </mc:AlternateContent>
    </w:r>
    <w:r w:rsidRPr="006512F2">
      <w:rPr>
        <w:lang w:val="x-none"/>
      </w:rPr>
      <w:t xml:space="preserve"> Contemporary Management Research</w:t>
    </w:r>
    <w:r w:rsidRPr="006512F2">
      <w:t xml:space="preserve">  </w:t>
    </w:r>
    <w:r w:rsidRPr="006512F2">
      <w:fldChar w:fldCharType="begin"/>
    </w:r>
    <w:r w:rsidRPr="006512F2">
      <w:instrText xml:space="preserve"> PAGE </w:instrText>
    </w:r>
    <w:r w:rsidRPr="006512F2">
      <w:fldChar w:fldCharType="separate"/>
    </w:r>
    <w:r w:rsidR="00C45B2C">
      <w:rPr>
        <w:noProof/>
      </w:rPr>
      <w:t>205</w:t>
    </w:r>
    <w:r w:rsidRPr="006512F2">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f6"/>
      <w:tblW w:w="4308" w:type="dxa"/>
      <w:jc w:val="right"/>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308"/>
    </w:tblGrid>
    <w:tr w:rsidR="00510C57" w14:paraId="51A2BA17" w14:textId="77777777" w:rsidTr="000D5C8E">
      <w:trPr>
        <w:trHeight w:val="454"/>
        <w:jc w:val="right"/>
      </w:trPr>
      <w:tc>
        <w:tcPr>
          <w:tcW w:w="4308" w:type="dxa"/>
          <w:tcBorders>
            <w:top w:val="thinThickSmallGap" w:sz="24" w:space="0" w:color="auto"/>
            <w:left w:val="nil"/>
            <w:bottom w:val="thickThinSmallGap" w:sz="24" w:space="0" w:color="auto"/>
            <w:right w:val="nil"/>
          </w:tcBorders>
          <w:vAlign w:val="bottom"/>
          <w:hideMark/>
        </w:tcPr>
        <w:p w14:paraId="21628DB1" w14:textId="77777777" w:rsidR="00510C57" w:rsidRDefault="00510C57" w:rsidP="009C0197">
          <w:pPr>
            <w:pStyle w:val="a9"/>
            <w:rPr>
              <w:rFonts w:ascii="Times New Roman" w:hAnsi="Times New Roman"/>
            </w:rPr>
          </w:pPr>
          <w:r>
            <w:rPr>
              <w:rFonts w:ascii="Times New Roman" w:hAnsi="Times New Roman"/>
            </w:rPr>
            <w:t>Contemporary Management Research</w:t>
          </w:r>
        </w:p>
        <w:p w14:paraId="5CE29252" w14:textId="4304AF90" w:rsidR="00510C57" w:rsidRDefault="00510C57" w:rsidP="009C0197">
          <w:pPr>
            <w:pStyle w:val="a9"/>
            <w:rPr>
              <w:rFonts w:ascii="Times New Roman" w:hAnsi="Times New Roman"/>
              <w:color w:val="0D0D0D"/>
              <w:sz w:val="20"/>
              <w:szCs w:val="20"/>
            </w:rPr>
          </w:pPr>
          <w:r>
            <w:rPr>
              <w:rFonts w:ascii="Times New Roman" w:hAnsi="Times New Roman"/>
              <w:color w:val="0D0D0D"/>
              <w:sz w:val="20"/>
              <w:szCs w:val="20"/>
            </w:rPr>
            <w:t xml:space="preserve">Pages 191-223, Vol. </w:t>
          </w:r>
          <w:r>
            <w:rPr>
              <w:rFonts w:ascii="Times New Roman" w:eastAsia="新細明體" w:hAnsi="Times New Roman"/>
              <w:color w:val="0D0D0D"/>
              <w:sz w:val="20"/>
              <w:szCs w:val="20"/>
              <w:lang w:eastAsia="zh-TW"/>
            </w:rPr>
            <w:t>14</w:t>
          </w:r>
          <w:r>
            <w:rPr>
              <w:rFonts w:ascii="Times New Roman" w:hAnsi="Times New Roman"/>
              <w:color w:val="0D0D0D"/>
              <w:sz w:val="20"/>
              <w:szCs w:val="20"/>
            </w:rPr>
            <w:t>, No. 3,</w:t>
          </w:r>
          <w:r>
            <w:rPr>
              <w:rFonts w:ascii="Times New Roman" w:eastAsia="Microsoft JhengHei UI" w:hAnsi="Times New Roman"/>
              <w:color w:val="0D0D0D"/>
            </w:rPr>
            <w:t xml:space="preserve"> September</w:t>
          </w:r>
          <w:r>
            <w:rPr>
              <w:rFonts w:ascii="Times New Roman" w:eastAsia="Microsoft JhengHei UI" w:hAnsi="Times New Roman"/>
              <w:color w:val="0D0D0D"/>
              <w:lang w:eastAsia="zh-TW"/>
            </w:rPr>
            <w:t xml:space="preserve"> </w:t>
          </w:r>
          <w:r>
            <w:rPr>
              <w:rFonts w:ascii="Times New Roman" w:hAnsi="Times New Roman"/>
              <w:color w:val="0D0D0D"/>
              <w:sz w:val="20"/>
              <w:szCs w:val="20"/>
            </w:rPr>
            <w:t>2018</w:t>
          </w:r>
        </w:p>
        <w:p w14:paraId="7B143784" w14:textId="0885B6F3" w:rsidR="00510C57" w:rsidRDefault="00510C57" w:rsidP="009C0197">
          <w:pPr>
            <w:rPr>
              <w:rFonts w:eastAsiaTheme="minorEastAsia"/>
            </w:rPr>
          </w:pPr>
          <w:r>
            <w:rPr>
              <w:sz w:val="20"/>
              <w:szCs w:val="20"/>
            </w:rPr>
            <w:t>doi:10.7903/cmr.18247</w:t>
          </w:r>
        </w:p>
      </w:tc>
    </w:tr>
  </w:tbl>
  <w:p w14:paraId="774E8C82" w14:textId="77777777" w:rsidR="00510C57" w:rsidRDefault="00510C57">
    <w:pPr>
      <w:pStyle w:val="a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5BAF8" w14:textId="20D8E3BD" w:rsidR="00510C57" w:rsidRPr="00F948B3" w:rsidRDefault="00510C57" w:rsidP="006512F2">
    <w:pPr>
      <w:pStyle w:val="a5"/>
      <w:tabs>
        <w:tab w:val="clear" w:pos="4513"/>
        <w:tab w:val="clear" w:pos="9026"/>
        <w:tab w:val="left" w:pos="7157"/>
      </w:tabs>
      <w:rPr>
        <w:lang w:val="x-none"/>
      </w:rPr>
    </w:pPr>
    <w:r w:rsidRPr="00F948B3">
      <w:rPr>
        <w:noProof/>
        <w:lang w:val="en-US" w:eastAsia="zh-TW"/>
      </w:rPr>
      <mc:AlternateContent>
        <mc:Choice Requires="wps">
          <w:drawing>
            <wp:anchor distT="0" distB="0" distL="114300" distR="114300" simplePos="0" relativeHeight="251663360" behindDoc="0" locked="0" layoutInCell="1" allowOverlap="1" wp14:anchorId="7D12A956" wp14:editId="4FF74200">
              <wp:simplePos x="0" y="0"/>
              <wp:positionH relativeFrom="margin">
                <wp:align>right</wp:align>
              </wp:positionH>
              <wp:positionV relativeFrom="paragraph">
                <wp:posOffset>147314</wp:posOffset>
              </wp:positionV>
              <wp:extent cx="8944824" cy="14768"/>
              <wp:effectExtent l="0" t="0" r="27940" b="23495"/>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44824" cy="14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B579B" id="直線接點 3"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653.1pt,11.6pt" to="1357.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WoOAIAAD4EAAAOAAAAZHJzL2Uyb0RvYy54bWysU8GO0zAQvSPxD5bvbZo27aZR0xVKWi4L&#10;VNqFu2s7jYVjW7bbtEL8Ah+wSNz4AyQO/A8r/gLbTcsWLgiRgzO2Z968mXmeXe8bDnZUGyZFDuP+&#10;AAIqsCRMbHL4+m7ZSyEwFgmCuBQ0hwdq4PX86ZNZqzI6lLXkhGrgQITJWpXD2lqVRZHBNW2Q6UtF&#10;hbuspG6QdVu9iYhGrUNveDQcDCZRKzVRWmJqjDstj5dwHvCrimL7qqoMtYDn0HGzYdVhXfs1ms9Q&#10;ttFI1Qx3NNA/sGgQEy7pGapEFoGtZn9ANQxraWRl+1g2kawqhmmowVUTD36r5rZGioZaXHOMOrfJ&#10;/D9Y/HK30oCRHI4gEKhxI3r4+OXh6/33D59/fPsERr5DrTKZcyzESvsa8V7cqhuJ3xogZFEjsaGB&#10;6d1BufDYR0QXIX5jlMuzbl9I4nzQ1srQrn2lG1Bxpt74QA/uWgL2YT6H83zo3gLsDtNpkqTDBALs&#10;7uLkapKGXCjzMD5YaWOfU9kAb+SQM+HbhzK0uzHW0/rl4o+FXDLOgwS4AG0Op+PhOAQYyRnxl97N&#10;6M264BrskBdR+Lq8F25abgUJYDVFZNHZFjF+tF1yLjyeK8fR6ayjSt5NB9NFukiTXjKcLHrJoCx7&#10;z5ZF0pss46txOSqLoozfe2pxktWMECo8u5Ni4+TvFNG9naPWzpo9tyG6RA/9cmRP/0A6TNYP8yiL&#10;tSSHlT5N3Ik0OHcPyr+Cx3tnP372858AAAD//wMAUEsDBBQABgAIAAAAIQBfXSaT3AAAAAcBAAAP&#10;AAAAZHJzL2Rvd25yZXYueG1sTI/BTsMwEETvSPyDtUjcqE1KqxLiVBUCLkhIlMB5Ey9JhL2OYjcN&#10;f497osedGc28Lbazs2KiMfSeNdwuFAjixpueWw3Vx/PNBkSIyAatZ9LwSwG25eVFgbnxR36naR9b&#10;kUo45Kihi3HIpQxNRw7Dwg/Eyfv2o8OYzrGVZsRjKndWZkqtpcOe00KHAz121PzsD07D7uv1afk2&#10;1c5bc99Wn8ZV6iXT+vpq3j2AiDTH/zCc8BM6lImp9gc2QVgN6ZGoIVtmIE7undqsQdRJWa1AloU8&#10;5y//AAAA//8DAFBLAQItABQABgAIAAAAIQC2gziS/gAAAOEBAAATAAAAAAAAAAAAAAAAAAAAAABb&#10;Q29udGVudF9UeXBlc10ueG1sUEsBAi0AFAAGAAgAAAAhADj9If/WAAAAlAEAAAsAAAAAAAAAAAAA&#10;AAAALwEAAF9yZWxzLy5yZWxzUEsBAi0AFAAGAAgAAAAhALmz5ag4AgAAPgQAAA4AAAAAAAAAAAAA&#10;AAAALgIAAGRycy9lMm9Eb2MueG1sUEsBAi0AFAAGAAgAAAAhAF9dJpPcAAAABwEAAA8AAAAAAAAA&#10;AAAAAAAAkgQAAGRycy9kb3ducmV2LnhtbFBLBQYAAAAABAAEAPMAAACbBQAAAAA=&#10;">
              <w10:wrap anchorx="margin"/>
            </v:line>
          </w:pict>
        </mc:Fallback>
      </mc:AlternateContent>
    </w:r>
    <w:r w:rsidRPr="00F948B3">
      <w:rPr>
        <w:lang w:val="x-none"/>
      </w:rPr>
      <w:t xml:space="preserve">Contemporary Management Research   </w:t>
    </w:r>
    <w:r w:rsidRPr="00F948B3">
      <w:rPr>
        <w:lang w:val="x-none"/>
      </w:rPr>
      <w:fldChar w:fldCharType="begin"/>
    </w:r>
    <w:r w:rsidRPr="00F948B3">
      <w:rPr>
        <w:lang w:val="x-none"/>
      </w:rPr>
      <w:instrText>PAGE   \* MERGEFORMAT</w:instrText>
    </w:r>
    <w:r w:rsidRPr="00F948B3">
      <w:rPr>
        <w:lang w:val="x-none"/>
      </w:rPr>
      <w:fldChar w:fldCharType="separate"/>
    </w:r>
    <w:r w:rsidR="00C45B2C" w:rsidRPr="00C45B2C">
      <w:rPr>
        <w:noProof/>
        <w:lang w:val="zh-TW" w:eastAsia="zh-TW"/>
      </w:rPr>
      <w:t>222</w:t>
    </w:r>
    <w:r w:rsidRPr="00F948B3">
      <w:rPr>
        <w:lang w:val="x-none"/>
      </w:rPr>
      <w:fldChar w:fldCharType="end"/>
    </w:r>
    <w:r>
      <w:rPr>
        <w:lang w:val="x-none"/>
      </w:rPr>
      <w:t xml:space="preserve"> </w:t>
    </w:r>
    <w:r>
      <w:rPr>
        <w:lang w:val="x-none"/>
      </w:rP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8415F" w14:textId="0B534373" w:rsidR="00510C57" w:rsidRDefault="00510C57" w:rsidP="006512F2">
    <w:pPr>
      <w:pStyle w:val="a5"/>
      <w:jc w:val="right"/>
    </w:pPr>
    <w:r w:rsidRPr="006512F2">
      <w:rPr>
        <w:noProof/>
        <w:lang w:val="en-US" w:eastAsia="zh-TW"/>
      </w:rPr>
      <mc:AlternateContent>
        <mc:Choice Requires="wps">
          <w:drawing>
            <wp:anchor distT="0" distB="0" distL="114300" distR="114300" simplePos="0" relativeHeight="251669504" behindDoc="0" locked="0" layoutInCell="1" allowOverlap="1" wp14:anchorId="2B307D2E" wp14:editId="4A0554A8">
              <wp:simplePos x="0" y="0"/>
              <wp:positionH relativeFrom="margin">
                <wp:align>right</wp:align>
              </wp:positionH>
              <wp:positionV relativeFrom="paragraph">
                <wp:posOffset>192581</wp:posOffset>
              </wp:positionV>
              <wp:extent cx="8981037" cy="9053"/>
              <wp:effectExtent l="0" t="0" r="29845" b="29210"/>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1037" cy="90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37503" id="直線接點 6"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655.95pt,15.15pt" to="1363.1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RsMAIAADMEAAAOAAAAZHJzL2Uyb0RvYy54bWysU0uOEzEQ3SNxB8v7THfnN0krnRFKJ2wG&#10;iDTDARzbnbZw25btpBMhrsABGIkdN0BiwX0YcQvKzkcT2CBEL9xlu+rVq6rnyc2ukWjLrRNaFTi7&#10;SjHiimom1LrAb+8XnRFGzhPFiNSKF3jPHb6ZPn82aU3Ou7rWknGLAES5vDUFrr03eZI4WvOGuCtt&#10;uILLStuGeNjadcIsaQG9kUk3TYdJqy0zVlPuHJyWh0s8jfhVxal/U1WOeyQLDNx8XG1cV2FNphOS&#10;ry0xtaBHGuQfWDREKEh6hiqJJ2hjxR9QjaBWO135K6qbRFeVoDzWANVk6W/V3NXE8FgLNMeZc5vc&#10;/4Olr7dLiwQr8BAjRRoY0ePD18dvn358/PLz+2c0DB1qjcvBcaaWNtRId+rO3Gr6ziGlZzVRax6Z&#10;3u8NhGchIrkICRtnIM+qfaUZ+JCN17Fdu8o2ARIagXZxKvvzVPjOIwqHo/EoS3vXGFG4G6eDXkxA&#10;8lOssc6/5LpBwSiwFCr0jORke+t84ELyk0s4VnohpIxzlwq1ADnoDmKA01KwcBncnF2vZtKiLQnK&#10;id8x74Wb1RvFIljNCZsfbU+EPNiQXKqAB9UAnaN1kMb7cTqej+ajfqffHc47/bQsOy8Ws35nuMiu&#10;B2WvnM3K7EOglvXzWjDGVWB3kmnW/zsZHB/MQWBnoZ7bkFyix34B2dM/ko7jDBM8aGGl2X5pT2MG&#10;ZUbn4ysK0n+6B/vpW5/+AgAA//8DAFBLAwQUAAYACAAAACEAnu6JsdwAAAAHAQAADwAAAGRycy9k&#10;b3ducmV2LnhtbEyPQU/DMAyF70j8h8hIXCaWdp0YKk0nBPTGhcHE1WtMW9E4XZNthV+Pd4Kbn5/1&#10;3udiPbleHWkMnWcD6TwBRVx723Fj4P2turkDFSKyxd4zGfimAOvy8qLA3PoTv9JxExslIRxyNNDG&#10;OORah7olh2HuB2LxPv3oMIocG21HPEm46/UiSW61w46locWBHluqvzYHZyBUW9pXP7N6lnxkjafF&#10;/unlGY25vpoe7kFFmuLfMZzxBR1KYdr5A9ugegPySDSQJRmos7tMlzLtZJOuQJeF/s9f/gIAAP//&#10;AwBQSwECLQAUAAYACAAAACEAtoM4kv4AAADhAQAAEwAAAAAAAAAAAAAAAAAAAAAAW0NvbnRlbnRf&#10;VHlwZXNdLnhtbFBLAQItABQABgAIAAAAIQA4/SH/1gAAAJQBAAALAAAAAAAAAAAAAAAAAC8BAABf&#10;cmVscy8ucmVsc1BLAQItABQABgAIAAAAIQAzOQRsMAIAADMEAAAOAAAAAAAAAAAAAAAAAC4CAABk&#10;cnMvZTJvRG9jLnhtbFBLAQItABQABgAIAAAAIQCe7omx3AAAAAcBAAAPAAAAAAAAAAAAAAAAAIoE&#10;AABkcnMvZG93bnJldi54bWxQSwUGAAAAAAQABADzAAAAkwUAAAAA&#10;">
              <w10:wrap anchorx="margin"/>
            </v:line>
          </w:pict>
        </mc:Fallback>
      </mc:AlternateContent>
    </w:r>
    <w:r w:rsidRPr="006512F2">
      <w:rPr>
        <w:lang w:val="x-none"/>
      </w:rPr>
      <w:t xml:space="preserve"> Contemporary Management Research</w:t>
    </w:r>
    <w:r w:rsidRPr="006512F2">
      <w:t xml:space="preserve">  </w:t>
    </w:r>
    <w:r w:rsidRPr="006512F2">
      <w:fldChar w:fldCharType="begin"/>
    </w:r>
    <w:r w:rsidRPr="006512F2">
      <w:instrText xml:space="preserve"> PAGE </w:instrText>
    </w:r>
    <w:r w:rsidRPr="006512F2">
      <w:fldChar w:fldCharType="separate"/>
    </w:r>
    <w:r w:rsidR="00C45B2C">
      <w:rPr>
        <w:noProof/>
      </w:rPr>
      <w:t>207</w:t>
    </w:r>
    <w:r w:rsidRPr="006512F2">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D77B3" w14:textId="59C69678" w:rsidR="00510C57" w:rsidRDefault="00510C57" w:rsidP="006512F2">
    <w:pPr>
      <w:pStyle w:val="a5"/>
      <w:jc w:val="right"/>
    </w:pPr>
    <w:r w:rsidRPr="006512F2">
      <w:rPr>
        <w:noProof/>
        <w:lang w:val="en-US" w:eastAsia="zh-TW"/>
      </w:rPr>
      <mc:AlternateContent>
        <mc:Choice Requires="wps">
          <w:drawing>
            <wp:anchor distT="0" distB="0" distL="114300" distR="114300" simplePos="0" relativeHeight="251667456" behindDoc="0" locked="0" layoutInCell="1" allowOverlap="1" wp14:anchorId="29C5F2BC" wp14:editId="378DC014">
              <wp:simplePos x="0" y="0"/>
              <wp:positionH relativeFrom="margin">
                <wp:align>right</wp:align>
              </wp:positionH>
              <wp:positionV relativeFrom="paragraph">
                <wp:posOffset>164930</wp:posOffset>
              </wp:positionV>
              <wp:extent cx="5712737" cy="0"/>
              <wp:effectExtent l="0" t="0" r="21590" b="1905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2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8B463" id="直線接點 5" o:spid="_x0000_s1026"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8.6pt,13pt" to="848.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s9NQIAADoEAAAOAAAAZHJzL2Uyb0RvYy54bWysU82O0zAQviPxDpbvbZJu0p+o6QolLZcF&#10;Ku3C3bWdxsKxLdttWiFegQdYJG68ARIH3ocVb4Ht/tCFC0Lk4Iw9M5+/+WY8vd61HGypNkyKAib9&#10;GAIqsCRMrAv4+m7RG0NgLBIEcSloAffUwOvZ0yfTTuV0IBvJCdXAgQiTd6qAjbUqjyKDG9oi05eK&#10;CuespW6RdVu9johGnUNveTSI42HUSU2Ulpga406rgxPOAn5dU2xf1bWhFvACOm42rDqsK79GsynK&#10;1xqphuEjDfQPLFrEhLv0DFUhi8BGsz+gWoa1NLK2fSzbSNY1wzTU4KpJ4t+quW2QoqEWJ45RZ5nM&#10;/4PFL7dLDRgpYAaBQK1r0cPHLw9f779/+Pzj2yeQeYU6ZXIXWIql9jXinbhVNxK/NUDIskFiTQPT&#10;u71y6YnPiB6l+I1R7p5V90ISF4M2Vga5drVuQc2ZeuMTPbiTBOxCf/bn/tCdBdgdZqNkMLoaQYBP&#10;vgjlHsInKm3scypb4I0Ccia8dChH2xtjPaVfIf5YyAXjPLSfC9AVcJINspBgJGfEO32Y0etVyTXY&#10;Ij9A4Qv1Oc9lmJYbQQJYQxGZH22LGD/Y7nIuPJ4rxdE5WocJeTeJJ/PxfJz20sFw3kvjquo9W5Rp&#10;b7hIRll1VZVllbz31JI0bxghVHh2p2lN0r+bhuO7OczZeV7PMkSP0YNejuzpH0iHrvpGHkZiJcl+&#10;qU/ddgMago+Pyb+Ay72zL5/87CcAAAD//wMAUEsDBBQABgAIAAAAIQArGq0D2gAAAAYBAAAPAAAA&#10;ZHJzL2Rvd25yZXYueG1sTI9BS8NAEIXvgv9hGaE3uzGF0MRsSinViyBYo+dNdkyCu7Mhu03jv3fE&#10;g56GN29475tytzgrZpzC4EnB3ToBgdR6M1CnoH59uN2CCFGT0dYTKvjCALvq+qrUhfEXesH5FDvB&#10;IRQKraCPcSykDG2PToe1H5HY+/CT05Hl1Ekz6QuHOyvTJMmk0wNxQ69HPPTYfp7OTsH+/em4eZ4b&#10;563Ju/rNuDp5TJVa3Sz7exARl/h3DD/4jA4VMzX+TCYIq4AfiQrSjCe72zzPQDS/C1mV8j9+9Q0A&#10;AP//AwBQSwECLQAUAAYACAAAACEAtoM4kv4AAADhAQAAEwAAAAAAAAAAAAAAAAAAAAAAW0NvbnRl&#10;bnRfVHlwZXNdLnhtbFBLAQItABQABgAIAAAAIQA4/SH/1gAAAJQBAAALAAAAAAAAAAAAAAAAAC8B&#10;AABfcmVscy8ucmVsc1BLAQItABQABgAIAAAAIQAtjRs9NQIAADoEAAAOAAAAAAAAAAAAAAAAAC4C&#10;AABkcnMvZTJvRG9jLnhtbFBLAQItABQABgAIAAAAIQArGq0D2gAAAAYBAAAPAAAAAAAAAAAAAAAA&#10;AI8EAABkcnMvZG93bnJldi54bWxQSwUGAAAAAAQABADzAAAAlgUAAAAA&#10;">
              <w10:wrap anchorx="margin"/>
            </v:line>
          </w:pict>
        </mc:Fallback>
      </mc:AlternateContent>
    </w:r>
    <w:r w:rsidRPr="006512F2">
      <w:rPr>
        <w:lang w:val="x-none"/>
      </w:rPr>
      <w:t xml:space="preserve"> Contemporary Management Research</w:t>
    </w:r>
    <w:r w:rsidRPr="006512F2">
      <w:t xml:space="preserve">  </w:t>
    </w:r>
    <w:r w:rsidRPr="006512F2">
      <w:fldChar w:fldCharType="begin"/>
    </w:r>
    <w:r w:rsidRPr="006512F2">
      <w:instrText xml:space="preserve"> PAGE </w:instrText>
    </w:r>
    <w:r w:rsidRPr="006512F2">
      <w:fldChar w:fldCharType="separate"/>
    </w:r>
    <w:r w:rsidR="00C45B2C">
      <w:rPr>
        <w:noProof/>
      </w:rPr>
      <w:t>223</w:t>
    </w:r>
    <w:r w:rsidRPr="006512F2">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A5198"/>
    <w:multiLevelType w:val="hybridMultilevel"/>
    <w:tmpl w:val="27763398"/>
    <w:lvl w:ilvl="0" w:tplc="FFFFFFFF">
      <w:start w:val="1"/>
      <w:numFmt w:val="bullet"/>
      <w:pStyle w:val="BulletPoin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C1MDY0MTAxB2ITQyUdpeDU4uLM/DyQAuNaAJ2EO5EsAAAA"/>
  </w:docVars>
  <w:rsids>
    <w:rsidRoot w:val="00312B51"/>
    <w:rsid w:val="000018C5"/>
    <w:rsid w:val="00002080"/>
    <w:rsid w:val="0000253E"/>
    <w:rsid w:val="000025E4"/>
    <w:rsid w:val="00005683"/>
    <w:rsid w:val="00011412"/>
    <w:rsid w:val="00015664"/>
    <w:rsid w:val="00016974"/>
    <w:rsid w:val="00016B03"/>
    <w:rsid w:val="000214D6"/>
    <w:rsid w:val="00021542"/>
    <w:rsid w:val="00024C35"/>
    <w:rsid w:val="0002711B"/>
    <w:rsid w:val="000275D4"/>
    <w:rsid w:val="00027D6D"/>
    <w:rsid w:val="00031CAD"/>
    <w:rsid w:val="000324CB"/>
    <w:rsid w:val="00033E7C"/>
    <w:rsid w:val="00034B97"/>
    <w:rsid w:val="00035170"/>
    <w:rsid w:val="00035DE3"/>
    <w:rsid w:val="0003759D"/>
    <w:rsid w:val="000451FE"/>
    <w:rsid w:val="00050AB9"/>
    <w:rsid w:val="0005238A"/>
    <w:rsid w:val="00053CDC"/>
    <w:rsid w:val="00053FDC"/>
    <w:rsid w:val="00054C05"/>
    <w:rsid w:val="00060228"/>
    <w:rsid w:val="00060BD2"/>
    <w:rsid w:val="00063ADD"/>
    <w:rsid w:val="000658F9"/>
    <w:rsid w:val="00065F6A"/>
    <w:rsid w:val="00066177"/>
    <w:rsid w:val="000668FF"/>
    <w:rsid w:val="00067FA1"/>
    <w:rsid w:val="00072136"/>
    <w:rsid w:val="0007376A"/>
    <w:rsid w:val="0007378B"/>
    <w:rsid w:val="00074E75"/>
    <w:rsid w:val="00075259"/>
    <w:rsid w:val="00075470"/>
    <w:rsid w:val="00076C6B"/>
    <w:rsid w:val="000803DE"/>
    <w:rsid w:val="00080B79"/>
    <w:rsid w:val="00082D6E"/>
    <w:rsid w:val="00083355"/>
    <w:rsid w:val="00083390"/>
    <w:rsid w:val="000841D8"/>
    <w:rsid w:val="000856CB"/>
    <w:rsid w:val="00085D56"/>
    <w:rsid w:val="00090B00"/>
    <w:rsid w:val="00096A08"/>
    <w:rsid w:val="000975FF"/>
    <w:rsid w:val="000A038A"/>
    <w:rsid w:val="000A376D"/>
    <w:rsid w:val="000A44C9"/>
    <w:rsid w:val="000A6BAD"/>
    <w:rsid w:val="000B0D75"/>
    <w:rsid w:val="000B260E"/>
    <w:rsid w:val="000B2C98"/>
    <w:rsid w:val="000B2FC4"/>
    <w:rsid w:val="000B6119"/>
    <w:rsid w:val="000C049F"/>
    <w:rsid w:val="000C0C09"/>
    <w:rsid w:val="000C0FEA"/>
    <w:rsid w:val="000C5448"/>
    <w:rsid w:val="000C5B27"/>
    <w:rsid w:val="000C7ED3"/>
    <w:rsid w:val="000D11F3"/>
    <w:rsid w:val="000D14BC"/>
    <w:rsid w:val="000D5C8E"/>
    <w:rsid w:val="000D5D49"/>
    <w:rsid w:val="000D690C"/>
    <w:rsid w:val="000E1774"/>
    <w:rsid w:val="000E23A6"/>
    <w:rsid w:val="000E2864"/>
    <w:rsid w:val="000E436B"/>
    <w:rsid w:val="000E6F86"/>
    <w:rsid w:val="000F1CC8"/>
    <w:rsid w:val="000F22A9"/>
    <w:rsid w:val="000F3CA1"/>
    <w:rsid w:val="000F41F3"/>
    <w:rsid w:val="000F5F77"/>
    <w:rsid w:val="00102081"/>
    <w:rsid w:val="001049B8"/>
    <w:rsid w:val="001060EF"/>
    <w:rsid w:val="0011086F"/>
    <w:rsid w:val="00113361"/>
    <w:rsid w:val="0011381C"/>
    <w:rsid w:val="00116A0E"/>
    <w:rsid w:val="00117621"/>
    <w:rsid w:val="00121F50"/>
    <w:rsid w:val="00122B6C"/>
    <w:rsid w:val="00130F64"/>
    <w:rsid w:val="00131CC3"/>
    <w:rsid w:val="00132E1E"/>
    <w:rsid w:val="00136F5D"/>
    <w:rsid w:val="00147FFA"/>
    <w:rsid w:val="00151201"/>
    <w:rsid w:val="0015187B"/>
    <w:rsid w:val="00152B86"/>
    <w:rsid w:val="00155AD7"/>
    <w:rsid w:val="001565E4"/>
    <w:rsid w:val="00160CD7"/>
    <w:rsid w:val="00162233"/>
    <w:rsid w:val="0016331D"/>
    <w:rsid w:val="001633DA"/>
    <w:rsid w:val="001651D3"/>
    <w:rsid w:val="00165591"/>
    <w:rsid w:val="00167EA3"/>
    <w:rsid w:val="0017012D"/>
    <w:rsid w:val="001702CF"/>
    <w:rsid w:val="00170FEC"/>
    <w:rsid w:val="001719F7"/>
    <w:rsid w:val="001719FF"/>
    <w:rsid w:val="00172CF9"/>
    <w:rsid w:val="0017303A"/>
    <w:rsid w:val="00173362"/>
    <w:rsid w:val="00174ACC"/>
    <w:rsid w:val="00176C2C"/>
    <w:rsid w:val="00180DF5"/>
    <w:rsid w:val="00184C29"/>
    <w:rsid w:val="0018535E"/>
    <w:rsid w:val="0018748A"/>
    <w:rsid w:val="00194A20"/>
    <w:rsid w:val="00195587"/>
    <w:rsid w:val="001A06E2"/>
    <w:rsid w:val="001A188D"/>
    <w:rsid w:val="001A357F"/>
    <w:rsid w:val="001A50D7"/>
    <w:rsid w:val="001B0A49"/>
    <w:rsid w:val="001B1610"/>
    <w:rsid w:val="001B2B44"/>
    <w:rsid w:val="001B4C56"/>
    <w:rsid w:val="001B68CA"/>
    <w:rsid w:val="001B7064"/>
    <w:rsid w:val="001B7F25"/>
    <w:rsid w:val="001C51C3"/>
    <w:rsid w:val="001C6137"/>
    <w:rsid w:val="001C622D"/>
    <w:rsid w:val="001C6BEB"/>
    <w:rsid w:val="001D1C72"/>
    <w:rsid w:val="001D2298"/>
    <w:rsid w:val="001D3F6A"/>
    <w:rsid w:val="001D40E6"/>
    <w:rsid w:val="001D5C1E"/>
    <w:rsid w:val="001D706E"/>
    <w:rsid w:val="001E0CEC"/>
    <w:rsid w:val="001E731D"/>
    <w:rsid w:val="001E75AD"/>
    <w:rsid w:val="001E786C"/>
    <w:rsid w:val="001E7987"/>
    <w:rsid w:val="001F02A3"/>
    <w:rsid w:val="001F1C3F"/>
    <w:rsid w:val="001F2A0B"/>
    <w:rsid w:val="001F470E"/>
    <w:rsid w:val="001F603E"/>
    <w:rsid w:val="001F65E8"/>
    <w:rsid w:val="001F7AFA"/>
    <w:rsid w:val="0020151A"/>
    <w:rsid w:val="00202386"/>
    <w:rsid w:val="0020265F"/>
    <w:rsid w:val="002039D8"/>
    <w:rsid w:val="00207EB1"/>
    <w:rsid w:val="00210D9C"/>
    <w:rsid w:val="0021333E"/>
    <w:rsid w:val="00213CDD"/>
    <w:rsid w:val="0021676F"/>
    <w:rsid w:val="002174F9"/>
    <w:rsid w:val="00217840"/>
    <w:rsid w:val="002202BC"/>
    <w:rsid w:val="00223C52"/>
    <w:rsid w:val="0022557D"/>
    <w:rsid w:val="00225B3E"/>
    <w:rsid w:val="002262E0"/>
    <w:rsid w:val="00226E85"/>
    <w:rsid w:val="0023053F"/>
    <w:rsid w:val="00230A44"/>
    <w:rsid w:val="002333B1"/>
    <w:rsid w:val="002350B0"/>
    <w:rsid w:val="00237A4D"/>
    <w:rsid w:val="002409C6"/>
    <w:rsid w:val="002430E8"/>
    <w:rsid w:val="0024352D"/>
    <w:rsid w:val="00244214"/>
    <w:rsid w:val="00245584"/>
    <w:rsid w:val="00245B2E"/>
    <w:rsid w:val="0024621C"/>
    <w:rsid w:val="00246CB5"/>
    <w:rsid w:val="00247267"/>
    <w:rsid w:val="002479C8"/>
    <w:rsid w:val="00252691"/>
    <w:rsid w:val="00252883"/>
    <w:rsid w:val="00255659"/>
    <w:rsid w:val="0025566F"/>
    <w:rsid w:val="00256228"/>
    <w:rsid w:val="00256DEE"/>
    <w:rsid w:val="00260152"/>
    <w:rsid w:val="002603DD"/>
    <w:rsid w:val="0026189A"/>
    <w:rsid w:val="00261E60"/>
    <w:rsid w:val="002642DE"/>
    <w:rsid w:val="002651B0"/>
    <w:rsid w:val="00265206"/>
    <w:rsid w:val="00266046"/>
    <w:rsid w:val="0026782E"/>
    <w:rsid w:val="00271EDF"/>
    <w:rsid w:val="00272124"/>
    <w:rsid w:val="002864B0"/>
    <w:rsid w:val="00286845"/>
    <w:rsid w:val="00290D2D"/>
    <w:rsid w:val="002919B2"/>
    <w:rsid w:val="002933F8"/>
    <w:rsid w:val="00293AB1"/>
    <w:rsid w:val="00296F4B"/>
    <w:rsid w:val="002A0DA3"/>
    <w:rsid w:val="002A4A08"/>
    <w:rsid w:val="002B1B19"/>
    <w:rsid w:val="002B52A4"/>
    <w:rsid w:val="002C1DF8"/>
    <w:rsid w:val="002C31EE"/>
    <w:rsid w:val="002D1B6C"/>
    <w:rsid w:val="002D1BCE"/>
    <w:rsid w:val="002D27EA"/>
    <w:rsid w:val="002D48A8"/>
    <w:rsid w:val="002E03A9"/>
    <w:rsid w:val="002E0CBE"/>
    <w:rsid w:val="002E1B8E"/>
    <w:rsid w:val="002E2350"/>
    <w:rsid w:val="002E3E3E"/>
    <w:rsid w:val="002E51B7"/>
    <w:rsid w:val="002E5324"/>
    <w:rsid w:val="002E5CF4"/>
    <w:rsid w:val="002F0902"/>
    <w:rsid w:val="002F23E3"/>
    <w:rsid w:val="002F2E3D"/>
    <w:rsid w:val="002F6D50"/>
    <w:rsid w:val="003006D4"/>
    <w:rsid w:val="00302934"/>
    <w:rsid w:val="00303566"/>
    <w:rsid w:val="003070B2"/>
    <w:rsid w:val="003112CD"/>
    <w:rsid w:val="00312B51"/>
    <w:rsid w:val="003139BA"/>
    <w:rsid w:val="003156BE"/>
    <w:rsid w:val="00317F04"/>
    <w:rsid w:val="00322D6B"/>
    <w:rsid w:val="00323005"/>
    <w:rsid w:val="00324BA2"/>
    <w:rsid w:val="0033003E"/>
    <w:rsid w:val="003312E4"/>
    <w:rsid w:val="00331C00"/>
    <w:rsid w:val="00331F4B"/>
    <w:rsid w:val="00332400"/>
    <w:rsid w:val="00334FBE"/>
    <w:rsid w:val="0033724A"/>
    <w:rsid w:val="003414D2"/>
    <w:rsid w:val="00343A4F"/>
    <w:rsid w:val="00346107"/>
    <w:rsid w:val="00346DB0"/>
    <w:rsid w:val="003501EE"/>
    <w:rsid w:val="00356D03"/>
    <w:rsid w:val="00357548"/>
    <w:rsid w:val="00361A80"/>
    <w:rsid w:val="00362B2E"/>
    <w:rsid w:val="0036347A"/>
    <w:rsid w:val="00363603"/>
    <w:rsid w:val="00363704"/>
    <w:rsid w:val="003701F5"/>
    <w:rsid w:val="00370B8D"/>
    <w:rsid w:val="00371410"/>
    <w:rsid w:val="00372057"/>
    <w:rsid w:val="00372C65"/>
    <w:rsid w:val="003748A0"/>
    <w:rsid w:val="0038084E"/>
    <w:rsid w:val="00383077"/>
    <w:rsid w:val="0038384B"/>
    <w:rsid w:val="003838DE"/>
    <w:rsid w:val="00385900"/>
    <w:rsid w:val="00386971"/>
    <w:rsid w:val="00386A66"/>
    <w:rsid w:val="00387653"/>
    <w:rsid w:val="00391C1A"/>
    <w:rsid w:val="00393031"/>
    <w:rsid w:val="00393B90"/>
    <w:rsid w:val="00394E32"/>
    <w:rsid w:val="0039518B"/>
    <w:rsid w:val="00396BA5"/>
    <w:rsid w:val="00396D33"/>
    <w:rsid w:val="003A0EFA"/>
    <w:rsid w:val="003A1188"/>
    <w:rsid w:val="003A1C72"/>
    <w:rsid w:val="003A6A00"/>
    <w:rsid w:val="003B2C12"/>
    <w:rsid w:val="003B5778"/>
    <w:rsid w:val="003B57BB"/>
    <w:rsid w:val="003B5A57"/>
    <w:rsid w:val="003C4831"/>
    <w:rsid w:val="003C4C42"/>
    <w:rsid w:val="003D3CD8"/>
    <w:rsid w:val="003D438C"/>
    <w:rsid w:val="003D55B4"/>
    <w:rsid w:val="003D58DE"/>
    <w:rsid w:val="003E1E4B"/>
    <w:rsid w:val="003E3429"/>
    <w:rsid w:val="003E3C7F"/>
    <w:rsid w:val="003E4E7C"/>
    <w:rsid w:val="003E5A9F"/>
    <w:rsid w:val="003E5B97"/>
    <w:rsid w:val="003E5DEB"/>
    <w:rsid w:val="003E6661"/>
    <w:rsid w:val="003F01E0"/>
    <w:rsid w:val="003F0B59"/>
    <w:rsid w:val="003F21D0"/>
    <w:rsid w:val="003F45DB"/>
    <w:rsid w:val="003F5955"/>
    <w:rsid w:val="0040249D"/>
    <w:rsid w:val="00402E76"/>
    <w:rsid w:val="0040342F"/>
    <w:rsid w:val="004038C1"/>
    <w:rsid w:val="00404D9A"/>
    <w:rsid w:val="00406068"/>
    <w:rsid w:val="0041253D"/>
    <w:rsid w:val="004201C7"/>
    <w:rsid w:val="00420B2D"/>
    <w:rsid w:val="004213ED"/>
    <w:rsid w:val="0042159F"/>
    <w:rsid w:val="00424136"/>
    <w:rsid w:val="0042523F"/>
    <w:rsid w:val="00426542"/>
    <w:rsid w:val="00431E89"/>
    <w:rsid w:val="00433436"/>
    <w:rsid w:val="004335F1"/>
    <w:rsid w:val="00444D9B"/>
    <w:rsid w:val="004452C9"/>
    <w:rsid w:val="00445CE5"/>
    <w:rsid w:val="004461D9"/>
    <w:rsid w:val="00446605"/>
    <w:rsid w:val="004578D5"/>
    <w:rsid w:val="004623F5"/>
    <w:rsid w:val="0046350B"/>
    <w:rsid w:val="004640B7"/>
    <w:rsid w:val="00465958"/>
    <w:rsid w:val="00470B57"/>
    <w:rsid w:val="00471ED2"/>
    <w:rsid w:val="00475521"/>
    <w:rsid w:val="00475D7E"/>
    <w:rsid w:val="00477869"/>
    <w:rsid w:val="00480860"/>
    <w:rsid w:val="00480D93"/>
    <w:rsid w:val="00480EFA"/>
    <w:rsid w:val="00481611"/>
    <w:rsid w:val="00483844"/>
    <w:rsid w:val="004870D5"/>
    <w:rsid w:val="004873B2"/>
    <w:rsid w:val="004873E6"/>
    <w:rsid w:val="00491871"/>
    <w:rsid w:val="00492426"/>
    <w:rsid w:val="00493779"/>
    <w:rsid w:val="0049457F"/>
    <w:rsid w:val="0049487E"/>
    <w:rsid w:val="004A3345"/>
    <w:rsid w:val="004A5604"/>
    <w:rsid w:val="004A5701"/>
    <w:rsid w:val="004A583B"/>
    <w:rsid w:val="004A63A7"/>
    <w:rsid w:val="004A7107"/>
    <w:rsid w:val="004A76F4"/>
    <w:rsid w:val="004B126E"/>
    <w:rsid w:val="004B5797"/>
    <w:rsid w:val="004B7C83"/>
    <w:rsid w:val="004C047E"/>
    <w:rsid w:val="004C4CC7"/>
    <w:rsid w:val="004D08CD"/>
    <w:rsid w:val="004D28A8"/>
    <w:rsid w:val="004D42F8"/>
    <w:rsid w:val="004D4DD8"/>
    <w:rsid w:val="004D6AD7"/>
    <w:rsid w:val="004D7AD7"/>
    <w:rsid w:val="004E0B5B"/>
    <w:rsid w:val="004E0BD4"/>
    <w:rsid w:val="004E2D82"/>
    <w:rsid w:val="004E3E42"/>
    <w:rsid w:val="004F13BD"/>
    <w:rsid w:val="004F2352"/>
    <w:rsid w:val="004F278C"/>
    <w:rsid w:val="004F3459"/>
    <w:rsid w:val="004F3B55"/>
    <w:rsid w:val="004F453D"/>
    <w:rsid w:val="004F4F1A"/>
    <w:rsid w:val="004F6168"/>
    <w:rsid w:val="004F69A1"/>
    <w:rsid w:val="005020C5"/>
    <w:rsid w:val="00505560"/>
    <w:rsid w:val="00506EAD"/>
    <w:rsid w:val="00510C57"/>
    <w:rsid w:val="005132BB"/>
    <w:rsid w:val="00520AB4"/>
    <w:rsid w:val="00522527"/>
    <w:rsid w:val="005237EC"/>
    <w:rsid w:val="00523E27"/>
    <w:rsid w:val="0052633B"/>
    <w:rsid w:val="00526986"/>
    <w:rsid w:val="00526A20"/>
    <w:rsid w:val="005303C1"/>
    <w:rsid w:val="00531484"/>
    <w:rsid w:val="00531EF6"/>
    <w:rsid w:val="0053208F"/>
    <w:rsid w:val="005321CC"/>
    <w:rsid w:val="00536209"/>
    <w:rsid w:val="005368D1"/>
    <w:rsid w:val="005405CB"/>
    <w:rsid w:val="00540656"/>
    <w:rsid w:val="00550360"/>
    <w:rsid w:val="00553AB0"/>
    <w:rsid w:val="00554C2C"/>
    <w:rsid w:val="00555D4F"/>
    <w:rsid w:val="005609E1"/>
    <w:rsid w:val="00560B45"/>
    <w:rsid w:val="00561569"/>
    <w:rsid w:val="00562A99"/>
    <w:rsid w:val="00565370"/>
    <w:rsid w:val="00571822"/>
    <w:rsid w:val="00571F40"/>
    <w:rsid w:val="00573DCB"/>
    <w:rsid w:val="00574AD0"/>
    <w:rsid w:val="00574F86"/>
    <w:rsid w:val="0057649C"/>
    <w:rsid w:val="005777EA"/>
    <w:rsid w:val="0058030E"/>
    <w:rsid w:val="005804C7"/>
    <w:rsid w:val="00582828"/>
    <w:rsid w:val="005867F9"/>
    <w:rsid w:val="00587450"/>
    <w:rsid w:val="00595A9B"/>
    <w:rsid w:val="0059654B"/>
    <w:rsid w:val="005A6B38"/>
    <w:rsid w:val="005B36DB"/>
    <w:rsid w:val="005B6C62"/>
    <w:rsid w:val="005B720A"/>
    <w:rsid w:val="005B768B"/>
    <w:rsid w:val="005B7EDF"/>
    <w:rsid w:val="005C3281"/>
    <w:rsid w:val="005C53E5"/>
    <w:rsid w:val="005D27AB"/>
    <w:rsid w:val="005D3423"/>
    <w:rsid w:val="005D3AD7"/>
    <w:rsid w:val="005D3E30"/>
    <w:rsid w:val="005D5299"/>
    <w:rsid w:val="005D6BE5"/>
    <w:rsid w:val="005D7008"/>
    <w:rsid w:val="005D70D4"/>
    <w:rsid w:val="005D7DCF"/>
    <w:rsid w:val="005E2771"/>
    <w:rsid w:val="005E50E8"/>
    <w:rsid w:val="005E56F4"/>
    <w:rsid w:val="005E6BB7"/>
    <w:rsid w:val="005F1724"/>
    <w:rsid w:val="005F3138"/>
    <w:rsid w:val="005F4849"/>
    <w:rsid w:val="005F4EB3"/>
    <w:rsid w:val="005F6540"/>
    <w:rsid w:val="005F769E"/>
    <w:rsid w:val="00600D6E"/>
    <w:rsid w:val="00602327"/>
    <w:rsid w:val="00602CD6"/>
    <w:rsid w:val="0060389F"/>
    <w:rsid w:val="00603953"/>
    <w:rsid w:val="00604FEA"/>
    <w:rsid w:val="00606B2E"/>
    <w:rsid w:val="0060728D"/>
    <w:rsid w:val="0061122E"/>
    <w:rsid w:val="00613DE3"/>
    <w:rsid w:val="0061567B"/>
    <w:rsid w:val="00617120"/>
    <w:rsid w:val="00617D44"/>
    <w:rsid w:val="00624B9C"/>
    <w:rsid w:val="00630DCF"/>
    <w:rsid w:val="00631A38"/>
    <w:rsid w:val="0063331B"/>
    <w:rsid w:val="00635746"/>
    <w:rsid w:val="00635AAD"/>
    <w:rsid w:val="00641753"/>
    <w:rsid w:val="00642A38"/>
    <w:rsid w:val="00645189"/>
    <w:rsid w:val="00645415"/>
    <w:rsid w:val="00650318"/>
    <w:rsid w:val="006512F2"/>
    <w:rsid w:val="00651309"/>
    <w:rsid w:val="00653A9A"/>
    <w:rsid w:val="006541BD"/>
    <w:rsid w:val="00655380"/>
    <w:rsid w:val="0065578B"/>
    <w:rsid w:val="00661129"/>
    <w:rsid w:val="00663EC7"/>
    <w:rsid w:val="0066595E"/>
    <w:rsid w:val="0066704E"/>
    <w:rsid w:val="00671938"/>
    <w:rsid w:val="006733B6"/>
    <w:rsid w:val="00676893"/>
    <w:rsid w:val="00682964"/>
    <w:rsid w:val="00682FAB"/>
    <w:rsid w:val="00684ABC"/>
    <w:rsid w:val="00685ABF"/>
    <w:rsid w:val="00690008"/>
    <w:rsid w:val="00691129"/>
    <w:rsid w:val="00692948"/>
    <w:rsid w:val="006933B6"/>
    <w:rsid w:val="00695FDE"/>
    <w:rsid w:val="00696F62"/>
    <w:rsid w:val="00697A8E"/>
    <w:rsid w:val="006A1AED"/>
    <w:rsid w:val="006A67ED"/>
    <w:rsid w:val="006B1EBC"/>
    <w:rsid w:val="006B211F"/>
    <w:rsid w:val="006B220A"/>
    <w:rsid w:val="006B394D"/>
    <w:rsid w:val="006B3A6E"/>
    <w:rsid w:val="006B3FB4"/>
    <w:rsid w:val="006C2D3D"/>
    <w:rsid w:val="006C3B8E"/>
    <w:rsid w:val="006C497B"/>
    <w:rsid w:val="006C4C35"/>
    <w:rsid w:val="006C6DF0"/>
    <w:rsid w:val="006D0E7B"/>
    <w:rsid w:val="006D126F"/>
    <w:rsid w:val="006D187E"/>
    <w:rsid w:val="006D681E"/>
    <w:rsid w:val="006E5E4F"/>
    <w:rsid w:val="006F1CA5"/>
    <w:rsid w:val="006F26CB"/>
    <w:rsid w:val="006F3796"/>
    <w:rsid w:val="006F4204"/>
    <w:rsid w:val="006F6266"/>
    <w:rsid w:val="0070253D"/>
    <w:rsid w:val="00704F69"/>
    <w:rsid w:val="00707159"/>
    <w:rsid w:val="00707C92"/>
    <w:rsid w:val="00711A02"/>
    <w:rsid w:val="007169F5"/>
    <w:rsid w:val="0072408F"/>
    <w:rsid w:val="00724376"/>
    <w:rsid w:val="00724FD7"/>
    <w:rsid w:val="00725468"/>
    <w:rsid w:val="0072600A"/>
    <w:rsid w:val="00726A1A"/>
    <w:rsid w:val="00726CD0"/>
    <w:rsid w:val="007273BB"/>
    <w:rsid w:val="00727E7F"/>
    <w:rsid w:val="0073185B"/>
    <w:rsid w:val="00732727"/>
    <w:rsid w:val="007348DA"/>
    <w:rsid w:val="007371D0"/>
    <w:rsid w:val="00737BB1"/>
    <w:rsid w:val="0074053B"/>
    <w:rsid w:val="00742B48"/>
    <w:rsid w:val="0074382D"/>
    <w:rsid w:val="00745532"/>
    <w:rsid w:val="0074696B"/>
    <w:rsid w:val="00747306"/>
    <w:rsid w:val="00747A2B"/>
    <w:rsid w:val="0075112C"/>
    <w:rsid w:val="007516EB"/>
    <w:rsid w:val="00752404"/>
    <w:rsid w:val="00753636"/>
    <w:rsid w:val="00756981"/>
    <w:rsid w:val="00757299"/>
    <w:rsid w:val="00760032"/>
    <w:rsid w:val="00760403"/>
    <w:rsid w:val="00760867"/>
    <w:rsid w:val="007609C7"/>
    <w:rsid w:val="00761562"/>
    <w:rsid w:val="007617E5"/>
    <w:rsid w:val="00761B5D"/>
    <w:rsid w:val="007629E0"/>
    <w:rsid w:val="00766D2B"/>
    <w:rsid w:val="007717D1"/>
    <w:rsid w:val="007736B1"/>
    <w:rsid w:val="00776C2A"/>
    <w:rsid w:val="00777F9F"/>
    <w:rsid w:val="0078024B"/>
    <w:rsid w:val="0079275D"/>
    <w:rsid w:val="00792A17"/>
    <w:rsid w:val="00794040"/>
    <w:rsid w:val="00794164"/>
    <w:rsid w:val="00796398"/>
    <w:rsid w:val="007965FE"/>
    <w:rsid w:val="00797FEE"/>
    <w:rsid w:val="007A0408"/>
    <w:rsid w:val="007A3D75"/>
    <w:rsid w:val="007A415C"/>
    <w:rsid w:val="007B065C"/>
    <w:rsid w:val="007B25F1"/>
    <w:rsid w:val="007B3121"/>
    <w:rsid w:val="007B384F"/>
    <w:rsid w:val="007B3F64"/>
    <w:rsid w:val="007B4191"/>
    <w:rsid w:val="007B6103"/>
    <w:rsid w:val="007C2990"/>
    <w:rsid w:val="007C29B2"/>
    <w:rsid w:val="007C354D"/>
    <w:rsid w:val="007C3D99"/>
    <w:rsid w:val="007C4822"/>
    <w:rsid w:val="007C74FE"/>
    <w:rsid w:val="007D055D"/>
    <w:rsid w:val="007D3EA6"/>
    <w:rsid w:val="007D46B4"/>
    <w:rsid w:val="007D5BBD"/>
    <w:rsid w:val="007E1C1A"/>
    <w:rsid w:val="007F09F0"/>
    <w:rsid w:val="007F171E"/>
    <w:rsid w:val="007F210A"/>
    <w:rsid w:val="007F353B"/>
    <w:rsid w:val="007F4D7E"/>
    <w:rsid w:val="007F64F8"/>
    <w:rsid w:val="007F6693"/>
    <w:rsid w:val="007F6E43"/>
    <w:rsid w:val="00800181"/>
    <w:rsid w:val="008004FE"/>
    <w:rsid w:val="00800F66"/>
    <w:rsid w:val="0080229E"/>
    <w:rsid w:val="008036FE"/>
    <w:rsid w:val="0080393F"/>
    <w:rsid w:val="00803959"/>
    <w:rsid w:val="00804B4B"/>
    <w:rsid w:val="008051FD"/>
    <w:rsid w:val="00805E2D"/>
    <w:rsid w:val="0080601E"/>
    <w:rsid w:val="0080721C"/>
    <w:rsid w:val="00807696"/>
    <w:rsid w:val="00807976"/>
    <w:rsid w:val="00810644"/>
    <w:rsid w:val="00811E62"/>
    <w:rsid w:val="0081282B"/>
    <w:rsid w:val="00815931"/>
    <w:rsid w:val="0082000B"/>
    <w:rsid w:val="00820229"/>
    <w:rsid w:val="00820CC4"/>
    <w:rsid w:val="00823B43"/>
    <w:rsid w:val="00825746"/>
    <w:rsid w:val="00826ACA"/>
    <w:rsid w:val="00830932"/>
    <w:rsid w:val="00830D5C"/>
    <w:rsid w:val="008314EE"/>
    <w:rsid w:val="00831E52"/>
    <w:rsid w:val="00832F49"/>
    <w:rsid w:val="00833C0E"/>
    <w:rsid w:val="008371D5"/>
    <w:rsid w:val="00840FCF"/>
    <w:rsid w:val="008426C4"/>
    <w:rsid w:val="00844A0A"/>
    <w:rsid w:val="0084632E"/>
    <w:rsid w:val="008500F4"/>
    <w:rsid w:val="00850F50"/>
    <w:rsid w:val="00852911"/>
    <w:rsid w:val="00853C37"/>
    <w:rsid w:val="00856197"/>
    <w:rsid w:val="00863426"/>
    <w:rsid w:val="008656FF"/>
    <w:rsid w:val="00871B8C"/>
    <w:rsid w:val="008723DA"/>
    <w:rsid w:val="0087764B"/>
    <w:rsid w:val="008823B3"/>
    <w:rsid w:val="00884EF2"/>
    <w:rsid w:val="00885964"/>
    <w:rsid w:val="008867B1"/>
    <w:rsid w:val="00894E95"/>
    <w:rsid w:val="00895DB2"/>
    <w:rsid w:val="00897A2A"/>
    <w:rsid w:val="008A0C33"/>
    <w:rsid w:val="008A1428"/>
    <w:rsid w:val="008A16FE"/>
    <w:rsid w:val="008A351E"/>
    <w:rsid w:val="008A39C5"/>
    <w:rsid w:val="008B03F4"/>
    <w:rsid w:val="008B3BEE"/>
    <w:rsid w:val="008C0B77"/>
    <w:rsid w:val="008C1901"/>
    <w:rsid w:val="008C2601"/>
    <w:rsid w:val="008C4F8D"/>
    <w:rsid w:val="008C4FB7"/>
    <w:rsid w:val="008C59EC"/>
    <w:rsid w:val="008C6E77"/>
    <w:rsid w:val="008D180A"/>
    <w:rsid w:val="008D1DB8"/>
    <w:rsid w:val="008D1E78"/>
    <w:rsid w:val="008D2090"/>
    <w:rsid w:val="008D3172"/>
    <w:rsid w:val="008D4BEF"/>
    <w:rsid w:val="008E10C8"/>
    <w:rsid w:val="008E2526"/>
    <w:rsid w:val="008E3BDB"/>
    <w:rsid w:val="008E412A"/>
    <w:rsid w:val="008E45E8"/>
    <w:rsid w:val="008E4C15"/>
    <w:rsid w:val="008E4DE7"/>
    <w:rsid w:val="008E4EF9"/>
    <w:rsid w:val="008E604D"/>
    <w:rsid w:val="008F1DA2"/>
    <w:rsid w:val="008F4001"/>
    <w:rsid w:val="008F616A"/>
    <w:rsid w:val="008F6C2F"/>
    <w:rsid w:val="008F79CB"/>
    <w:rsid w:val="00900206"/>
    <w:rsid w:val="00900289"/>
    <w:rsid w:val="00900637"/>
    <w:rsid w:val="009016C1"/>
    <w:rsid w:val="00902FC9"/>
    <w:rsid w:val="00903B6C"/>
    <w:rsid w:val="00904F94"/>
    <w:rsid w:val="009072B1"/>
    <w:rsid w:val="009100A3"/>
    <w:rsid w:val="00910827"/>
    <w:rsid w:val="0091107C"/>
    <w:rsid w:val="0091720B"/>
    <w:rsid w:val="009178F0"/>
    <w:rsid w:val="0092255C"/>
    <w:rsid w:val="009240BC"/>
    <w:rsid w:val="00924E40"/>
    <w:rsid w:val="00924F59"/>
    <w:rsid w:val="009257D9"/>
    <w:rsid w:val="00925E3E"/>
    <w:rsid w:val="00926183"/>
    <w:rsid w:val="00927A85"/>
    <w:rsid w:val="0093222D"/>
    <w:rsid w:val="009329A5"/>
    <w:rsid w:val="00936B4D"/>
    <w:rsid w:val="00940FCB"/>
    <w:rsid w:val="00941178"/>
    <w:rsid w:val="00941494"/>
    <w:rsid w:val="0094175A"/>
    <w:rsid w:val="00944911"/>
    <w:rsid w:val="00945369"/>
    <w:rsid w:val="00945B4B"/>
    <w:rsid w:val="00945FBA"/>
    <w:rsid w:val="009503BA"/>
    <w:rsid w:val="0095127B"/>
    <w:rsid w:val="009568E2"/>
    <w:rsid w:val="00960523"/>
    <w:rsid w:val="00962371"/>
    <w:rsid w:val="00963ABD"/>
    <w:rsid w:val="00963C38"/>
    <w:rsid w:val="00964109"/>
    <w:rsid w:val="009642F4"/>
    <w:rsid w:val="009672FC"/>
    <w:rsid w:val="00972979"/>
    <w:rsid w:val="00973050"/>
    <w:rsid w:val="0097436C"/>
    <w:rsid w:val="0097564E"/>
    <w:rsid w:val="009778B9"/>
    <w:rsid w:val="00981DEE"/>
    <w:rsid w:val="0098201D"/>
    <w:rsid w:val="009829E6"/>
    <w:rsid w:val="0098336F"/>
    <w:rsid w:val="00984B18"/>
    <w:rsid w:val="00984C4F"/>
    <w:rsid w:val="00987DF6"/>
    <w:rsid w:val="00991717"/>
    <w:rsid w:val="00993016"/>
    <w:rsid w:val="00993D2C"/>
    <w:rsid w:val="00993E32"/>
    <w:rsid w:val="00994223"/>
    <w:rsid w:val="009955D0"/>
    <w:rsid w:val="009A15F2"/>
    <w:rsid w:val="009A1DC0"/>
    <w:rsid w:val="009A39A9"/>
    <w:rsid w:val="009A3BEF"/>
    <w:rsid w:val="009B0884"/>
    <w:rsid w:val="009B1162"/>
    <w:rsid w:val="009B1507"/>
    <w:rsid w:val="009B349C"/>
    <w:rsid w:val="009B4D67"/>
    <w:rsid w:val="009B7F57"/>
    <w:rsid w:val="009C0197"/>
    <w:rsid w:val="009C367C"/>
    <w:rsid w:val="009C5E5E"/>
    <w:rsid w:val="009C5EA3"/>
    <w:rsid w:val="009C6DFC"/>
    <w:rsid w:val="009D276A"/>
    <w:rsid w:val="009D2D5C"/>
    <w:rsid w:val="009D50D8"/>
    <w:rsid w:val="009D789A"/>
    <w:rsid w:val="009D7BC1"/>
    <w:rsid w:val="009E06BF"/>
    <w:rsid w:val="009E107A"/>
    <w:rsid w:val="009E20DA"/>
    <w:rsid w:val="009E3C5F"/>
    <w:rsid w:val="009E41F8"/>
    <w:rsid w:val="009F0A4E"/>
    <w:rsid w:val="009F33ED"/>
    <w:rsid w:val="009F34DB"/>
    <w:rsid w:val="009F3F73"/>
    <w:rsid w:val="009F75D1"/>
    <w:rsid w:val="00A004A9"/>
    <w:rsid w:val="00A01958"/>
    <w:rsid w:val="00A03284"/>
    <w:rsid w:val="00A056E4"/>
    <w:rsid w:val="00A10E6A"/>
    <w:rsid w:val="00A1104B"/>
    <w:rsid w:val="00A126EE"/>
    <w:rsid w:val="00A1362F"/>
    <w:rsid w:val="00A13B13"/>
    <w:rsid w:val="00A20C58"/>
    <w:rsid w:val="00A212D0"/>
    <w:rsid w:val="00A22C40"/>
    <w:rsid w:val="00A22C75"/>
    <w:rsid w:val="00A22D57"/>
    <w:rsid w:val="00A265E6"/>
    <w:rsid w:val="00A3003F"/>
    <w:rsid w:val="00A309CE"/>
    <w:rsid w:val="00A30B01"/>
    <w:rsid w:val="00A31120"/>
    <w:rsid w:val="00A3161B"/>
    <w:rsid w:val="00A31D11"/>
    <w:rsid w:val="00A40BD0"/>
    <w:rsid w:val="00A4153E"/>
    <w:rsid w:val="00A4586B"/>
    <w:rsid w:val="00A45D61"/>
    <w:rsid w:val="00A477B7"/>
    <w:rsid w:val="00A5041B"/>
    <w:rsid w:val="00A53E70"/>
    <w:rsid w:val="00A54FB1"/>
    <w:rsid w:val="00A55C49"/>
    <w:rsid w:val="00A56CF9"/>
    <w:rsid w:val="00A56E6F"/>
    <w:rsid w:val="00A614CC"/>
    <w:rsid w:val="00A626B4"/>
    <w:rsid w:val="00A6435C"/>
    <w:rsid w:val="00A6668C"/>
    <w:rsid w:val="00A66B07"/>
    <w:rsid w:val="00A705F8"/>
    <w:rsid w:val="00A71196"/>
    <w:rsid w:val="00A7216E"/>
    <w:rsid w:val="00A741F8"/>
    <w:rsid w:val="00A7633A"/>
    <w:rsid w:val="00A77298"/>
    <w:rsid w:val="00A81346"/>
    <w:rsid w:val="00A82ED3"/>
    <w:rsid w:val="00A84FFE"/>
    <w:rsid w:val="00A866EB"/>
    <w:rsid w:val="00A902A6"/>
    <w:rsid w:val="00A92D42"/>
    <w:rsid w:val="00A95521"/>
    <w:rsid w:val="00A95B94"/>
    <w:rsid w:val="00AA3E6A"/>
    <w:rsid w:val="00AA665A"/>
    <w:rsid w:val="00AA6D4E"/>
    <w:rsid w:val="00AB0C1B"/>
    <w:rsid w:val="00AB21BE"/>
    <w:rsid w:val="00AB2A5A"/>
    <w:rsid w:val="00AB5594"/>
    <w:rsid w:val="00AC045B"/>
    <w:rsid w:val="00AC332F"/>
    <w:rsid w:val="00AC607D"/>
    <w:rsid w:val="00AC688A"/>
    <w:rsid w:val="00AC7287"/>
    <w:rsid w:val="00AD0022"/>
    <w:rsid w:val="00AD3B55"/>
    <w:rsid w:val="00AD45D7"/>
    <w:rsid w:val="00AD5352"/>
    <w:rsid w:val="00AD6A92"/>
    <w:rsid w:val="00AD7D2E"/>
    <w:rsid w:val="00AE26B6"/>
    <w:rsid w:val="00AE5A99"/>
    <w:rsid w:val="00AE5E8C"/>
    <w:rsid w:val="00AF0281"/>
    <w:rsid w:val="00AF2042"/>
    <w:rsid w:val="00AF2997"/>
    <w:rsid w:val="00AF2E11"/>
    <w:rsid w:val="00AF337D"/>
    <w:rsid w:val="00AF41C4"/>
    <w:rsid w:val="00AF54D1"/>
    <w:rsid w:val="00AF5C4C"/>
    <w:rsid w:val="00AF5E9A"/>
    <w:rsid w:val="00AF62F1"/>
    <w:rsid w:val="00AF77BD"/>
    <w:rsid w:val="00AF7819"/>
    <w:rsid w:val="00B026E2"/>
    <w:rsid w:val="00B03123"/>
    <w:rsid w:val="00B05D0C"/>
    <w:rsid w:val="00B17844"/>
    <w:rsid w:val="00B20787"/>
    <w:rsid w:val="00B23A56"/>
    <w:rsid w:val="00B24839"/>
    <w:rsid w:val="00B32384"/>
    <w:rsid w:val="00B35776"/>
    <w:rsid w:val="00B3600D"/>
    <w:rsid w:val="00B3632E"/>
    <w:rsid w:val="00B36580"/>
    <w:rsid w:val="00B365D7"/>
    <w:rsid w:val="00B36C9C"/>
    <w:rsid w:val="00B371C0"/>
    <w:rsid w:val="00B40CB0"/>
    <w:rsid w:val="00B423FB"/>
    <w:rsid w:val="00B42B6B"/>
    <w:rsid w:val="00B447DA"/>
    <w:rsid w:val="00B4625B"/>
    <w:rsid w:val="00B46372"/>
    <w:rsid w:val="00B51574"/>
    <w:rsid w:val="00B51C0D"/>
    <w:rsid w:val="00B5398D"/>
    <w:rsid w:val="00B6088E"/>
    <w:rsid w:val="00B60B97"/>
    <w:rsid w:val="00B66C69"/>
    <w:rsid w:val="00B6728E"/>
    <w:rsid w:val="00B70E52"/>
    <w:rsid w:val="00B713B4"/>
    <w:rsid w:val="00B80424"/>
    <w:rsid w:val="00B81630"/>
    <w:rsid w:val="00B81F66"/>
    <w:rsid w:val="00B825A5"/>
    <w:rsid w:val="00B86341"/>
    <w:rsid w:val="00B86AB3"/>
    <w:rsid w:val="00B8793C"/>
    <w:rsid w:val="00B92584"/>
    <w:rsid w:val="00B9258A"/>
    <w:rsid w:val="00B936A7"/>
    <w:rsid w:val="00B95A3A"/>
    <w:rsid w:val="00B95D85"/>
    <w:rsid w:val="00B96ABE"/>
    <w:rsid w:val="00B97898"/>
    <w:rsid w:val="00BA2233"/>
    <w:rsid w:val="00BA3BDF"/>
    <w:rsid w:val="00BB3871"/>
    <w:rsid w:val="00BB38A1"/>
    <w:rsid w:val="00BB6F63"/>
    <w:rsid w:val="00BC26F2"/>
    <w:rsid w:val="00BC445A"/>
    <w:rsid w:val="00BC582B"/>
    <w:rsid w:val="00BC6E6F"/>
    <w:rsid w:val="00BD116A"/>
    <w:rsid w:val="00BD3B79"/>
    <w:rsid w:val="00BD51DD"/>
    <w:rsid w:val="00BE053F"/>
    <w:rsid w:val="00BE1034"/>
    <w:rsid w:val="00BE176C"/>
    <w:rsid w:val="00BE247E"/>
    <w:rsid w:val="00BE2A92"/>
    <w:rsid w:val="00BE2D57"/>
    <w:rsid w:val="00BE563A"/>
    <w:rsid w:val="00BF2A27"/>
    <w:rsid w:val="00BF3E8E"/>
    <w:rsid w:val="00C0091A"/>
    <w:rsid w:val="00C01BD7"/>
    <w:rsid w:val="00C028AF"/>
    <w:rsid w:val="00C0319F"/>
    <w:rsid w:val="00C03210"/>
    <w:rsid w:val="00C03857"/>
    <w:rsid w:val="00C06999"/>
    <w:rsid w:val="00C12500"/>
    <w:rsid w:val="00C12E00"/>
    <w:rsid w:val="00C13A73"/>
    <w:rsid w:val="00C170A5"/>
    <w:rsid w:val="00C24755"/>
    <w:rsid w:val="00C24F96"/>
    <w:rsid w:val="00C3120D"/>
    <w:rsid w:val="00C3383D"/>
    <w:rsid w:val="00C340F4"/>
    <w:rsid w:val="00C342A3"/>
    <w:rsid w:val="00C37BBE"/>
    <w:rsid w:val="00C43770"/>
    <w:rsid w:val="00C4391A"/>
    <w:rsid w:val="00C4575D"/>
    <w:rsid w:val="00C45B2C"/>
    <w:rsid w:val="00C527E9"/>
    <w:rsid w:val="00C54254"/>
    <w:rsid w:val="00C557F5"/>
    <w:rsid w:val="00C55880"/>
    <w:rsid w:val="00C56451"/>
    <w:rsid w:val="00C63FD5"/>
    <w:rsid w:val="00C66879"/>
    <w:rsid w:val="00C702C0"/>
    <w:rsid w:val="00C70A18"/>
    <w:rsid w:val="00C73FB5"/>
    <w:rsid w:val="00C77B9A"/>
    <w:rsid w:val="00C801BC"/>
    <w:rsid w:val="00C8160D"/>
    <w:rsid w:val="00C81A01"/>
    <w:rsid w:val="00C84CB2"/>
    <w:rsid w:val="00C8544A"/>
    <w:rsid w:val="00C90E58"/>
    <w:rsid w:val="00C93745"/>
    <w:rsid w:val="00C94521"/>
    <w:rsid w:val="00CA02AB"/>
    <w:rsid w:val="00CA256A"/>
    <w:rsid w:val="00CA5FAB"/>
    <w:rsid w:val="00CB2855"/>
    <w:rsid w:val="00CB50C8"/>
    <w:rsid w:val="00CB5AE8"/>
    <w:rsid w:val="00CB7739"/>
    <w:rsid w:val="00CB7E49"/>
    <w:rsid w:val="00CC0502"/>
    <w:rsid w:val="00CC4D86"/>
    <w:rsid w:val="00CD33DA"/>
    <w:rsid w:val="00CD36FE"/>
    <w:rsid w:val="00CD5031"/>
    <w:rsid w:val="00CD6EC8"/>
    <w:rsid w:val="00CD711D"/>
    <w:rsid w:val="00CD7EB4"/>
    <w:rsid w:val="00CD7FA7"/>
    <w:rsid w:val="00CE2DE4"/>
    <w:rsid w:val="00CE5A08"/>
    <w:rsid w:val="00CE5B97"/>
    <w:rsid w:val="00CE7F80"/>
    <w:rsid w:val="00CF0041"/>
    <w:rsid w:val="00CF1408"/>
    <w:rsid w:val="00CF2B71"/>
    <w:rsid w:val="00CF6A2C"/>
    <w:rsid w:val="00CF7135"/>
    <w:rsid w:val="00D01809"/>
    <w:rsid w:val="00D04901"/>
    <w:rsid w:val="00D04CBE"/>
    <w:rsid w:val="00D10603"/>
    <w:rsid w:val="00D13B6A"/>
    <w:rsid w:val="00D1584E"/>
    <w:rsid w:val="00D15949"/>
    <w:rsid w:val="00D15A85"/>
    <w:rsid w:val="00D176F0"/>
    <w:rsid w:val="00D2092D"/>
    <w:rsid w:val="00D21509"/>
    <w:rsid w:val="00D22AFF"/>
    <w:rsid w:val="00D2572D"/>
    <w:rsid w:val="00D26593"/>
    <w:rsid w:val="00D27C6D"/>
    <w:rsid w:val="00D306A2"/>
    <w:rsid w:val="00D31912"/>
    <w:rsid w:val="00D337DB"/>
    <w:rsid w:val="00D34031"/>
    <w:rsid w:val="00D346B3"/>
    <w:rsid w:val="00D36D25"/>
    <w:rsid w:val="00D374D0"/>
    <w:rsid w:val="00D41404"/>
    <w:rsid w:val="00D42465"/>
    <w:rsid w:val="00D43733"/>
    <w:rsid w:val="00D46F7B"/>
    <w:rsid w:val="00D47F4B"/>
    <w:rsid w:val="00D51AEB"/>
    <w:rsid w:val="00D5439C"/>
    <w:rsid w:val="00D54EB1"/>
    <w:rsid w:val="00D54F3B"/>
    <w:rsid w:val="00D55CAF"/>
    <w:rsid w:val="00D566A5"/>
    <w:rsid w:val="00D6044D"/>
    <w:rsid w:val="00D7083B"/>
    <w:rsid w:val="00D7208E"/>
    <w:rsid w:val="00D72BDE"/>
    <w:rsid w:val="00D73086"/>
    <w:rsid w:val="00D73DF1"/>
    <w:rsid w:val="00D74EAF"/>
    <w:rsid w:val="00D75E16"/>
    <w:rsid w:val="00D7607A"/>
    <w:rsid w:val="00D769B8"/>
    <w:rsid w:val="00D828CE"/>
    <w:rsid w:val="00D84BEB"/>
    <w:rsid w:val="00D8502A"/>
    <w:rsid w:val="00D85F35"/>
    <w:rsid w:val="00D8675F"/>
    <w:rsid w:val="00D9028E"/>
    <w:rsid w:val="00D94DFE"/>
    <w:rsid w:val="00D94F5E"/>
    <w:rsid w:val="00D966B8"/>
    <w:rsid w:val="00D96E99"/>
    <w:rsid w:val="00DA1C2C"/>
    <w:rsid w:val="00DA2591"/>
    <w:rsid w:val="00DA2BA3"/>
    <w:rsid w:val="00DA572C"/>
    <w:rsid w:val="00DA5D0D"/>
    <w:rsid w:val="00DA63D7"/>
    <w:rsid w:val="00DB7EA9"/>
    <w:rsid w:val="00DC0114"/>
    <w:rsid w:val="00DC6BC9"/>
    <w:rsid w:val="00DD014F"/>
    <w:rsid w:val="00DD143E"/>
    <w:rsid w:val="00DD2646"/>
    <w:rsid w:val="00DD3C9F"/>
    <w:rsid w:val="00DE45B3"/>
    <w:rsid w:val="00DE5ED4"/>
    <w:rsid w:val="00DE6C17"/>
    <w:rsid w:val="00DE6F9D"/>
    <w:rsid w:val="00DF4722"/>
    <w:rsid w:val="00DF4EF0"/>
    <w:rsid w:val="00E00D48"/>
    <w:rsid w:val="00E03A0B"/>
    <w:rsid w:val="00E07CC8"/>
    <w:rsid w:val="00E10908"/>
    <w:rsid w:val="00E1584B"/>
    <w:rsid w:val="00E16CCD"/>
    <w:rsid w:val="00E2054D"/>
    <w:rsid w:val="00E2160E"/>
    <w:rsid w:val="00E21FF3"/>
    <w:rsid w:val="00E232BC"/>
    <w:rsid w:val="00E25070"/>
    <w:rsid w:val="00E254F3"/>
    <w:rsid w:val="00E30ABC"/>
    <w:rsid w:val="00E30DBC"/>
    <w:rsid w:val="00E327FB"/>
    <w:rsid w:val="00E333E5"/>
    <w:rsid w:val="00E334A2"/>
    <w:rsid w:val="00E34F2D"/>
    <w:rsid w:val="00E377FA"/>
    <w:rsid w:val="00E42824"/>
    <w:rsid w:val="00E44767"/>
    <w:rsid w:val="00E44A7B"/>
    <w:rsid w:val="00E46662"/>
    <w:rsid w:val="00E47729"/>
    <w:rsid w:val="00E50A69"/>
    <w:rsid w:val="00E54C08"/>
    <w:rsid w:val="00E56FB0"/>
    <w:rsid w:val="00E57C1E"/>
    <w:rsid w:val="00E65B6E"/>
    <w:rsid w:val="00E65C73"/>
    <w:rsid w:val="00E70805"/>
    <w:rsid w:val="00E71026"/>
    <w:rsid w:val="00E726AC"/>
    <w:rsid w:val="00E72DC2"/>
    <w:rsid w:val="00E75A99"/>
    <w:rsid w:val="00E81442"/>
    <w:rsid w:val="00E81F69"/>
    <w:rsid w:val="00E83B25"/>
    <w:rsid w:val="00E84D4B"/>
    <w:rsid w:val="00E856D4"/>
    <w:rsid w:val="00E90F08"/>
    <w:rsid w:val="00E91182"/>
    <w:rsid w:val="00E93B6A"/>
    <w:rsid w:val="00E94363"/>
    <w:rsid w:val="00E96DED"/>
    <w:rsid w:val="00E97691"/>
    <w:rsid w:val="00EA1062"/>
    <w:rsid w:val="00EA3EF7"/>
    <w:rsid w:val="00EA4FD5"/>
    <w:rsid w:val="00EA7F77"/>
    <w:rsid w:val="00EB1888"/>
    <w:rsid w:val="00EB300D"/>
    <w:rsid w:val="00EB33DB"/>
    <w:rsid w:val="00EB4E05"/>
    <w:rsid w:val="00EC36BC"/>
    <w:rsid w:val="00EC3DC5"/>
    <w:rsid w:val="00EC4BEA"/>
    <w:rsid w:val="00EC74DA"/>
    <w:rsid w:val="00EC7873"/>
    <w:rsid w:val="00EC788D"/>
    <w:rsid w:val="00ED3881"/>
    <w:rsid w:val="00ED3E90"/>
    <w:rsid w:val="00ED45B9"/>
    <w:rsid w:val="00ED7BCE"/>
    <w:rsid w:val="00EE08BE"/>
    <w:rsid w:val="00EE36AE"/>
    <w:rsid w:val="00EE3AE6"/>
    <w:rsid w:val="00EE5117"/>
    <w:rsid w:val="00EE617C"/>
    <w:rsid w:val="00EE6AC6"/>
    <w:rsid w:val="00EE73BC"/>
    <w:rsid w:val="00EF1667"/>
    <w:rsid w:val="00EF2A5F"/>
    <w:rsid w:val="00EF382A"/>
    <w:rsid w:val="00EF6C78"/>
    <w:rsid w:val="00F0182F"/>
    <w:rsid w:val="00F03834"/>
    <w:rsid w:val="00F05659"/>
    <w:rsid w:val="00F05E5D"/>
    <w:rsid w:val="00F10892"/>
    <w:rsid w:val="00F11E4C"/>
    <w:rsid w:val="00F11EC3"/>
    <w:rsid w:val="00F12A77"/>
    <w:rsid w:val="00F12D34"/>
    <w:rsid w:val="00F147B4"/>
    <w:rsid w:val="00F15358"/>
    <w:rsid w:val="00F15614"/>
    <w:rsid w:val="00F15D58"/>
    <w:rsid w:val="00F20E2A"/>
    <w:rsid w:val="00F21EE1"/>
    <w:rsid w:val="00F22590"/>
    <w:rsid w:val="00F2372A"/>
    <w:rsid w:val="00F3002D"/>
    <w:rsid w:val="00F315EA"/>
    <w:rsid w:val="00F32196"/>
    <w:rsid w:val="00F33A38"/>
    <w:rsid w:val="00F343D9"/>
    <w:rsid w:val="00F360FB"/>
    <w:rsid w:val="00F374EA"/>
    <w:rsid w:val="00F40242"/>
    <w:rsid w:val="00F403FE"/>
    <w:rsid w:val="00F42B3D"/>
    <w:rsid w:val="00F43C36"/>
    <w:rsid w:val="00F4446E"/>
    <w:rsid w:val="00F4474C"/>
    <w:rsid w:val="00F47B54"/>
    <w:rsid w:val="00F53054"/>
    <w:rsid w:val="00F53D88"/>
    <w:rsid w:val="00F541CF"/>
    <w:rsid w:val="00F5424C"/>
    <w:rsid w:val="00F54989"/>
    <w:rsid w:val="00F5573E"/>
    <w:rsid w:val="00F56823"/>
    <w:rsid w:val="00F71C95"/>
    <w:rsid w:val="00F73B28"/>
    <w:rsid w:val="00F74C25"/>
    <w:rsid w:val="00F755E9"/>
    <w:rsid w:val="00F758DB"/>
    <w:rsid w:val="00F80157"/>
    <w:rsid w:val="00F80A89"/>
    <w:rsid w:val="00F825E7"/>
    <w:rsid w:val="00F8279A"/>
    <w:rsid w:val="00F85B75"/>
    <w:rsid w:val="00F86480"/>
    <w:rsid w:val="00F92B0C"/>
    <w:rsid w:val="00F948B3"/>
    <w:rsid w:val="00F95225"/>
    <w:rsid w:val="00F9563D"/>
    <w:rsid w:val="00F961F9"/>
    <w:rsid w:val="00F9692D"/>
    <w:rsid w:val="00FA59C9"/>
    <w:rsid w:val="00FB3869"/>
    <w:rsid w:val="00FB5227"/>
    <w:rsid w:val="00FB57FA"/>
    <w:rsid w:val="00FB6614"/>
    <w:rsid w:val="00FB6C63"/>
    <w:rsid w:val="00FB7D8A"/>
    <w:rsid w:val="00FC08F2"/>
    <w:rsid w:val="00FC2F97"/>
    <w:rsid w:val="00FC3625"/>
    <w:rsid w:val="00FC5148"/>
    <w:rsid w:val="00FC6943"/>
    <w:rsid w:val="00FC6D1C"/>
    <w:rsid w:val="00FC7258"/>
    <w:rsid w:val="00FC7804"/>
    <w:rsid w:val="00FD101E"/>
    <w:rsid w:val="00FD130A"/>
    <w:rsid w:val="00FD2116"/>
    <w:rsid w:val="00FD23FA"/>
    <w:rsid w:val="00FD3954"/>
    <w:rsid w:val="00FD3BB3"/>
    <w:rsid w:val="00FE079C"/>
    <w:rsid w:val="00FE2B44"/>
    <w:rsid w:val="00FE2E7D"/>
    <w:rsid w:val="00FE31B7"/>
    <w:rsid w:val="00FE336B"/>
    <w:rsid w:val="00FE5C0A"/>
    <w:rsid w:val="00FF269C"/>
    <w:rsid w:val="00FF2DF2"/>
    <w:rsid w:val="00FF2E7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9356F"/>
  <w15:docId w15:val="{AC6EADED-30FF-4BF9-A288-52A00D56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229"/>
    <w:rPr>
      <w:rFonts w:ascii="Times New Roman" w:eastAsia="Times New Roman" w:hAnsi="Times New Roman"/>
      <w:sz w:val="24"/>
      <w:szCs w:val="24"/>
      <w:lang w:eastAsia="en-US"/>
    </w:rPr>
  </w:style>
  <w:style w:type="paragraph" w:styleId="1">
    <w:name w:val="heading 1"/>
    <w:basedOn w:val="a"/>
    <w:next w:val="a"/>
    <w:link w:val="10"/>
    <w:qFormat/>
    <w:rsid w:val="00312B5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312B51"/>
    <w:pPr>
      <w:keepNext/>
      <w:spacing w:after="100"/>
      <w:outlineLvl w:val="1"/>
    </w:pPr>
    <w:rPr>
      <w:rFonts w:ascii="Arial Bold" w:hAnsi="Arial Bold"/>
      <w:b/>
      <w:color w:val="000000"/>
      <w:sz w:val="18"/>
    </w:rPr>
  </w:style>
  <w:style w:type="paragraph" w:styleId="3">
    <w:name w:val="heading 3"/>
    <w:basedOn w:val="a"/>
    <w:next w:val="a"/>
    <w:link w:val="30"/>
    <w:qFormat/>
    <w:rsid w:val="00312B51"/>
    <w:pPr>
      <w:keepNext/>
      <w:spacing w:before="240" w:after="60"/>
      <w:outlineLvl w:val="2"/>
    </w:pPr>
    <w:rPr>
      <w:rFonts w:ascii="Arial" w:hAnsi="Arial" w:cs="Arial"/>
      <w:b/>
      <w:bCs/>
      <w:sz w:val="26"/>
      <w:szCs w:val="26"/>
      <w:lang w:val="en-US"/>
    </w:rPr>
  </w:style>
  <w:style w:type="paragraph" w:styleId="4">
    <w:name w:val="heading 4"/>
    <w:basedOn w:val="a"/>
    <w:next w:val="a"/>
    <w:link w:val="40"/>
    <w:qFormat/>
    <w:rsid w:val="00312B51"/>
    <w:pPr>
      <w:keepNext/>
      <w:tabs>
        <w:tab w:val="left" w:pos="520"/>
        <w:tab w:val="left" w:pos="567"/>
        <w:tab w:val="left" w:pos="1100"/>
        <w:tab w:val="left" w:pos="1276"/>
        <w:tab w:val="left" w:pos="1700"/>
        <w:tab w:val="left" w:pos="8060"/>
        <w:tab w:val="left" w:pos="8560"/>
        <w:tab w:val="left" w:pos="9280"/>
      </w:tabs>
      <w:ind w:right="19"/>
      <w:outlineLvl w:val="3"/>
    </w:pPr>
    <w:rPr>
      <w:rFonts w:ascii="Times" w:eastAsia="Times" w:hAnsi="Times"/>
      <w:b/>
      <w:sz w:val="22"/>
      <w:szCs w:val="20"/>
      <w:lang w:val="en-GB" w:eastAsia="en-AU"/>
    </w:rPr>
  </w:style>
  <w:style w:type="paragraph" w:styleId="5">
    <w:name w:val="heading 5"/>
    <w:basedOn w:val="a"/>
    <w:next w:val="a"/>
    <w:link w:val="50"/>
    <w:qFormat/>
    <w:rsid w:val="00312B51"/>
    <w:pPr>
      <w:spacing w:before="240" w:after="60"/>
      <w:outlineLvl w:val="4"/>
    </w:pPr>
    <w:rPr>
      <w:b/>
      <w:bCs/>
      <w:i/>
      <w:iCs/>
      <w:sz w:val="26"/>
      <w:szCs w:val="26"/>
    </w:rPr>
  </w:style>
  <w:style w:type="paragraph" w:styleId="6">
    <w:name w:val="heading 6"/>
    <w:basedOn w:val="a"/>
    <w:next w:val="a"/>
    <w:link w:val="60"/>
    <w:qFormat/>
    <w:rsid w:val="00312B51"/>
    <w:pPr>
      <w:keepNext/>
      <w:tabs>
        <w:tab w:val="left" w:pos="567"/>
        <w:tab w:val="left" w:pos="1276"/>
        <w:tab w:val="left" w:pos="8060"/>
        <w:tab w:val="left" w:pos="8560"/>
        <w:tab w:val="left" w:pos="9280"/>
      </w:tabs>
      <w:ind w:right="19"/>
      <w:jc w:val="center"/>
      <w:outlineLvl w:val="5"/>
    </w:pPr>
    <w:rPr>
      <w:rFonts w:ascii="Times" w:eastAsia="Times" w:hAnsi="Times"/>
      <w:b/>
      <w:sz w:val="22"/>
      <w:szCs w:val="20"/>
      <w:lang w:eastAsia="en-AU"/>
    </w:rPr>
  </w:style>
  <w:style w:type="paragraph" w:styleId="7">
    <w:name w:val="heading 7"/>
    <w:basedOn w:val="a"/>
    <w:next w:val="a"/>
    <w:link w:val="70"/>
    <w:qFormat/>
    <w:rsid w:val="00312B51"/>
    <w:pPr>
      <w:keepNext/>
      <w:tabs>
        <w:tab w:val="left" w:pos="567"/>
        <w:tab w:val="left" w:pos="1276"/>
      </w:tabs>
      <w:outlineLvl w:val="6"/>
    </w:pPr>
    <w:rPr>
      <w:rFonts w:ascii="Arial" w:hAnsi="Arial"/>
      <w:b/>
      <w:sz w:val="20"/>
      <w:szCs w:val="20"/>
      <w:lang w:val="en-GB" w:eastAsia="en-AU"/>
    </w:rPr>
  </w:style>
  <w:style w:type="paragraph" w:styleId="8">
    <w:name w:val="heading 8"/>
    <w:basedOn w:val="a"/>
    <w:next w:val="a"/>
    <w:link w:val="80"/>
    <w:qFormat/>
    <w:rsid w:val="00312B51"/>
    <w:pPr>
      <w:keepNext/>
      <w:tabs>
        <w:tab w:val="left" w:pos="567"/>
        <w:tab w:val="left" w:pos="8222"/>
        <w:tab w:val="right" w:pos="9639"/>
      </w:tabs>
      <w:ind w:left="709" w:right="-206" w:hanging="284"/>
      <w:jc w:val="both"/>
      <w:outlineLvl w:val="7"/>
    </w:pPr>
    <w:rPr>
      <w:rFonts w:ascii="Times" w:eastAsia="Times" w:hAnsi="Times"/>
      <w:b/>
      <w:sz w:val="22"/>
      <w:szCs w:val="20"/>
      <w:lang w:eastAsia="en-AU"/>
    </w:rPr>
  </w:style>
  <w:style w:type="paragraph" w:styleId="9">
    <w:name w:val="heading 9"/>
    <w:basedOn w:val="a"/>
    <w:next w:val="a"/>
    <w:link w:val="90"/>
    <w:qFormat/>
    <w:rsid w:val="00312B51"/>
    <w:pPr>
      <w:keepNext/>
      <w:tabs>
        <w:tab w:val="left" w:pos="567"/>
        <w:tab w:val="right" w:pos="9639"/>
      </w:tabs>
      <w:ind w:left="709" w:right="-206" w:hanging="284"/>
      <w:outlineLvl w:val="8"/>
    </w:pPr>
    <w:rPr>
      <w:rFonts w:ascii="Times" w:eastAsia="Times" w:hAnsi="Times"/>
      <w:b/>
      <w:sz w:val="22"/>
      <w:szCs w:val="20"/>
      <w:lang w:eastAsia="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312B51"/>
    <w:rPr>
      <w:rFonts w:ascii="Cambria" w:eastAsia="Times New Roman" w:hAnsi="Cambria" w:cs="Times New Roman"/>
      <w:b/>
      <w:bCs/>
      <w:kern w:val="32"/>
      <w:sz w:val="32"/>
      <w:szCs w:val="32"/>
    </w:rPr>
  </w:style>
  <w:style w:type="character" w:customStyle="1" w:styleId="20">
    <w:name w:val="標題 2 字元"/>
    <w:link w:val="2"/>
    <w:rsid w:val="00312B51"/>
    <w:rPr>
      <w:rFonts w:ascii="Arial Bold" w:eastAsia="Times New Roman" w:hAnsi="Arial Bold" w:cs="Times New Roman"/>
      <w:b/>
      <w:color w:val="000000"/>
      <w:sz w:val="18"/>
      <w:szCs w:val="24"/>
    </w:rPr>
  </w:style>
  <w:style w:type="character" w:customStyle="1" w:styleId="30">
    <w:name w:val="標題 3 字元"/>
    <w:link w:val="3"/>
    <w:rsid w:val="00312B51"/>
    <w:rPr>
      <w:rFonts w:ascii="Arial" w:eastAsia="Times New Roman" w:hAnsi="Arial" w:cs="Arial"/>
      <w:b/>
      <w:bCs/>
      <w:sz w:val="26"/>
      <w:szCs w:val="26"/>
      <w:lang w:val="en-US"/>
    </w:rPr>
  </w:style>
  <w:style w:type="character" w:customStyle="1" w:styleId="40">
    <w:name w:val="標題 4 字元"/>
    <w:link w:val="4"/>
    <w:rsid w:val="00312B51"/>
    <w:rPr>
      <w:rFonts w:ascii="Times" w:eastAsia="Times" w:hAnsi="Times" w:cs="Times New Roman"/>
      <w:b/>
      <w:szCs w:val="20"/>
      <w:lang w:val="en-GB" w:eastAsia="en-AU"/>
    </w:rPr>
  </w:style>
  <w:style w:type="character" w:customStyle="1" w:styleId="50">
    <w:name w:val="標題 5 字元"/>
    <w:link w:val="5"/>
    <w:rsid w:val="00312B51"/>
    <w:rPr>
      <w:rFonts w:ascii="Times New Roman" w:eastAsia="Times New Roman" w:hAnsi="Times New Roman" w:cs="Times New Roman"/>
      <w:b/>
      <w:bCs/>
      <w:i/>
      <w:iCs/>
      <w:sz w:val="26"/>
      <w:szCs w:val="26"/>
    </w:rPr>
  </w:style>
  <w:style w:type="character" w:customStyle="1" w:styleId="60">
    <w:name w:val="標題 6 字元"/>
    <w:link w:val="6"/>
    <w:rsid w:val="00312B51"/>
    <w:rPr>
      <w:rFonts w:ascii="Times" w:eastAsia="Times" w:hAnsi="Times" w:cs="Times New Roman"/>
      <w:b/>
      <w:szCs w:val="20"/>
      <w:lang w:eastAsia="en-AU"/>
    </w:rPr>
  </w:style>
  <w:style w:type="character" w:customStyle="1" w:styleId="70">
    <w:name w:val="標題 7 字元"/>
    <w:link w:val="7"/>
    <w:rsid w:val="00312B51"/>
    <w:rPr>
      <w:rFonts w:ascii="Arial" w:eastAsia="Times New Roman" w:hAnsi="Arial" w:cs="Times New Roman"/>
      <w:b/>
      <w:sz w:val="20"/>
      <w:szCs w:val="20"/>
      <w:lang w:val="en-GB" w:eastAsia="en-AU"/>
    </w:rPr>
  </w:style>
  <w:style w:type="character" w:customStyle="1" w:styleId="80">
    <w:name w:val="標題 8 字元"/>
    <w:link w:val="8"/>
    <w:rsid w:val="00312B51"/>
    <w:rPr>
      <w:rFonts w:ascii="Times" w:eastAsia="Times" w:hAnsi="Times" w:cs="Times New Roman"/>
      <w:b/>
      <w:szCs w:val="20"/>
      <w:lang w:eastAsia="en-AU"/>
    </w:rPr>
  </w:style>
  <w:style w:type="character" w:customStyle="1" w:styleId="90">
    <w:name w:val="標題 9 字元"/>
    <w:link w:val="9"/>
    <w:rsid w:val="00312B51"/>
    <w:rPr>
      <w:rFonts w:ascii="Times" w:eastAsia="Times" w:hAnsi="Times" w:cs="Times New Roman"/>
      <w:b/>
      <w:szCs w:val="20"/>
      <w:lang w:eastAsia="en-AU"/>
    </w:rPr>
  </w:style>
  <w:style w:type="paragraph" w:styleId="a3">
    <w:name w:val="Body Text"/>
    <w:basedOn w:val="a"/>
    <w:link w:val="a4"/>
    <w:rsid w:val="00312B51"/>
    <w:pPr>
      <w:spacing w:after="100"/>
    </w:pPr>
    <w:rPr>
      <w:rFonts w:ascii="Arial" w:hAnsi="Arial"/>
      <w:color w:val="000000"/>
      <w:sz w:val="18"/>
    </w:rPr>
  </w:style>
  <w:style w:type="character" w:customStyle="1" w:styleId="a4">
    <w:name w:val="本文 字元"/>
    <w:link w:val="a3"/>
    <w:rsid w:val="00312B51"/>
    <w:rPr>
      <w:rFonts w:ascii="Arial" w:eastAsia="Times New Roman" w:hAnsi="Arial" w:cs="Times New Roman"/>
      <w:color w:val="000000"/>
      <w:sz w:val="18"/>
      <w:szCs w:val="24"/>
    </w:rPr>
  </w:style>
  <w:style w:type="paragraph" w:styleId="a5">
    <w:name w:val="header"/>
    <w:basedOn w:val="a"/>
    <w:link w:val="a6"/>
    <w:unhideWhenUsed/>
    <w:rsid w:val="00312B51"/>
    <w:pPr>
      <w:tabs>
        <w:tab w:val="center" w:pos="4513"/>
        <w:tab w:val="right" w:pos="9026"/>
      </w:tabs>
    </w:pPr>
  </w:style>
  <w:style w:type="character" w:customStyle="1" w:styleId="a6">
    <w:name w:val="頁首 字元"/>
    <w:link w:val="a5"/>
    <w:rsid w:val="00312B51"/>
    <w:rPr>
      <w:rFonts w:ascii="Times New Roman" w:eastAsia="Times New Roman" w:hAnsi="Times New Roman" w:cs="Times New Roman"/>
      <w:sz w:val="24"/>
      <w:szCs w:val="24"/>
    </w:rPr>
  </w:style>
  <w:style w:type="paragraph" w:styleId="a7">
    <w:name w:val="footer"/>
    <w:basedOn w:val="a"/>
    <w:link w:val="a8"/>
    <w:uiPriority w:val="99"/>
    <w:unhideWhenUsed/>
    <w:rsid w:val="00312B51"/>
    <w:pPr>
      <w:tabs>
        <w:tab w:val="center" w:pos="4513"/>
        <w:tab w:val="right" w:pos="9026"/>
      </w:tabs>
    </w:pPr>
  </w:style>
  <w:style w:type="character" w:customStyle="1" w:styleId="a8">
    <w:name w:val="頁尾 字元"/>
    <w:link w:val="a7"/>
    <w:uiPriority w:val="99"/>
    <w:rsid w:val="00312B51"/>
    <w:rPr>
      <w:rFonts w:ascii="Times New Roman" w:eastAsia="Times New Roman" w:hAnsi="Times New Roman" w:cs="Times New Roman"/>
      <w:sz w:val="24"/>
      <w:szCs w:val="24"/>
    </w:rPr>
  </w:style>
  <w:style w:type="paragraph" w:styleId="11">
    <w:name w:val="toc 1"/>
    <w:basedOn w:val="a"/>
    <w:next w:val="a"/>
    <w:autoRedefine/>
    <w:uiPriority w:val="39"/>
    <w:rsid w:val="00312B51"/>
    <w:pPr>
      <w:tabs>
        <w:tab w:val="right" w:pos="8931"/>
      </w:tabs>
      <w:spacing w:line="360" w:lineRule="auto"/>
      <w:ind w:right="1"/>
    </w:pPr>
    <w:rPr>
      <w:rFonts w:ascii="Arial" w:hAnsi="Arial" w:cs="Arial"/>
      <w:lang w:val="en-GB"/>
    </w:rPr>
  </w:style>
  <w:style w:type="paragraph" w:styleId="a9">
    <w:name w:val="No Spacing"/>
    <w:link w:val="aa"/>
    <w:uiPriority w:val="1"/>
    <w:qFormat/>
    <w:rsid w:val="00312B51"/>
    <w:rPr>
      <w:rFonts w:eastAsia="Times New Roman"/>
      <w:sz w:val="22"/>
      <w:szCs w:val="22"/>
      <w:lang w:val="en-US" w:eastAsia="en-US"/>
    </w:rPr>
  </w:style>
  <w:style w:type="character" w:customStyle="1" w:styleId="aa">
    <w:name w:val="無間距 字元"/>
    <w:link w:val="a9"/>
    <w:uiPriority w:val="1"/>
    <w:rsid w:val="00312B51"/>
    <w:rPr>
      <w:rFonts w:eastAsia="Times New Roman"/>
      <w:sz w:val="22"/>
      <w:szCs w:val="22"/>
      <w:lang w:val="en-US" w:eastAsia="en-US" w:bidi="ar-SA"/>
    </w:rPr>
  </w:style>
  <w:style w:type="character" w:customStyle="1" w:styleId="ab">
    <w:name w:val="註解方塊文字 字元"/>
    <w:link w:val="ac"/>
    <w:semiHidden/>
    <w:rsid w:val="00312B51"/>
    <w:rPr>
      <w:rFonts w:ascii="Tahoma" w:eastAsia="Times New Roman" w:hAnsi="Tahoma" w:cs="Tahoma"/>
      <w:sz w:val="16"/>
      <w:szCs w:val="16"/>
    </w:rPr>
  </w:style>
  <w:style w:type="paragraph" w:styleId="ac">
    <w:name w:val="Balloon Text"/>
    <w:basedOn w:val="a"/>
    <w:link w:val="ab"/>
    <w:semiHidden/>
    <w:unhideWhenUsed/>
    <w:rsid w:val="00312B51"/>
    <w:rPr>
      <w:rFonts w:ascii="Tahoma" w:hAnsi="Tahoma" w:cs="Tahoma"/>
      <w:sz w:val="16"/>
      <w:szCs w:val="16"/>
    </w:rPr>
  </w:style>
  <w:style w:type="paragraph" w:styleId="Web">
    <w:name w:val="Normal (Web)"/>
    <w:basedOn w:val="a"/>
    <w:uiPriority w:val="99"/>
    <w:rsid w:val="00312B51"/>
    <w:pPr>
      <w:spacing w:before="100" w:beforeAutospacing="1" w:after="100" w:afterAutospacing="1"/>
    </w:pPr>
    <w:rPr>
      <w:lang w:val="en-US"/>
    </w:rPr>
  </w:style>
  <w:style w:type="paragraph" w:styleId="ad">
    <w:name w:val="List Paragraph"/>
    <w:basedOn w:val="a"/>
    <w:uiPriority w:val="34"/>
    <w:qFormat/>
    <w:rsid w:val="00312B51"/>
    <w:pPr>
      <w:ind w:left="720"/>
      <w:contextualSpacing/>
    </w:pPr>
    <w:rPr>
      <w:lang w:eastAsia="en-AU"/>
    </w:rPr>
  </w:style>
  <w:style w:type="paragraph" w:customStyle="1" w:styleId="Default">
    <w:name w:val="Default"/>
    <w:rsid w:val="00312B51"/>
    <w:pPr>
      <w:autoSpaceDE w:val="0"/>
      <w:autoSpaceDN w:val="0"/>
      <w:adjustRightInd w:val="0"/>
    </w:pPr>
    <w:rPr>
      <w:rFonts w:ascii="Arial" w:hAnsi="Arial" w:cs="Arial"/>
      <w:color w:val="000000"/>
      <w:sz w:val="24"/>
      <w:szCs w:val="24"/>
    </w:rPr>
  </w:style>
  <w:style w:type="character" w:styleId="ae">
    <w:name w:val="Hyperlink"/>
    <w:uiPriority w:val="99"/>
    <w:rsid w:val="00312B51"/>
    <w:rPr>
      <w:color w:val="000000"/>
      <w:u w:val="single"/>
    </w:rPr>
  </w:style>
  <w:style w:type="character" w:customStyle="1" w:styleId="af">
    <w:name w:val="a"/>
    <w:basedOn w:val="a0"/>
    <w:rsid w:val="00312B51"/>
  </w:style>
  <w:style w:type="character" w:styleId="af0">
    <w:name w:val="Strong"/>
    <w:uiPriority w:val="22"/>
    <w:qFormat/>
    <w:rsid w:val="00312B51"/>
    <w:rPr>
      <w:b/>
      <w:bCs/>
    </w:rPr>
  </w:style>
  <w:style w:type="character" w:styleId="af1">
    <w:name w:val="Emphasis"/>
    <w:uiPriority w:val="20"/>
    <w:qFormat/>
    <w:rsid w:val="00312B51"/>
    <w:rPr>
      <w:i/>
      <w:iCs/>
    </w:rPr>
  </w:style>
  <w:style w:type="paragraph" w:customStyle="1" w:styleId="inline">
    <w:name w:val="inline"/>
    <w:basedOn w:val="a"/>
    <w:rsid w:val="00312B51"/>
    <w:pPr>
      <w:spacing w:before="100" w:beforeAutospacing="1" w:after="100" w:afterAutospacing="1"/>
    </w:pPr>
    <w:rPr>
      <w:lang w:eastAsia="en-AU"/>
    </w:rPr>
  </w:style>
  <w:style w:type="character" w:styleId="af2">
    <w:name w:val="page number"/>
    <w:basedOn w:val="a0"/>
    <w:rsid w:val="00312B51"/>
  </w:style>
  <w:style w:type="paragraph" w:customStyle="1" w:styleId="BasicParagraph">
    <w:name w:val="[Basic Paragraph]"/>
    <w:basedOn w:val="a"/>
    <w:rsid w:val="00312B51"/>
    <w:pPr>
      <w:widowControl w:val="0"/>
      <w:autoSpaceDE w:val="0"/>
      <w:autoSpaceDN w:val="0"/>
      <w:adjustRightInd w:val="0"/>
      <w:spacing w:line="288" w:lineRule="auto"/>
      <w:textAlignment w:val="center"/>
    </w:pPr>
    <w:rPr>
      <w:rFonts w:ascii="Times-Roman" w:hAnsi="Times-Roman"/>
      <w:color w:val="000000"/>
      <w:lang w:val="en-US"/>
    </w:rPr>
  </w:style>
  <w:style w:type="paragraph" w:customStyle="1" w:styleId="BodyText1">
    <w:name w:val="Body Text1"/>
    <w:basedOn w:val="a"/>
    <w:rsid w:val="00312B51"/>
    <w:pPr>
      <w:spacing w:line="240" w:lineRule="exact"/>
    </w:pPr>
    <w:rPr>
      <w:rFonts w:ascii="Arial" w:hAnsi="Arial"/>
      <w:sz w:val="20"/>
    </w:rPr>
  </w:style>
  <w:style w:type="paragraph" w:customStyle="1" w:styleId="SUBJECTLINE">
    <w:name w:val="SUBJECT LINE"/>
    <w:basedOn w:val="a"/>
    <w:rsid w:val="00312B51"/>
    <w:rPr>
      <w:rFonts w:ascii="Arial" w:hAnsi="Arial"/>
      <w:b/>
      <w:sz w:val="22"/>
    </w:rPr>
  </w:style>
  <w:style w:type="paragraph" w:customStyle="1" w:styleId="BulletPoint">
    <w:name w:val="Bullet Point"/>
    <w:basedOn w:val="BodyText1"/>
    <w:rsid w:val="00312B51"/>
    <w:pPr>
      <w:numPr>
        <w:numId w:val="1"/>
      </w:numPr>
      <w:tabs>
        <w:tab w:val="clear" w:pos="720"/>
        <w:tab w:val="num" w:pos="284"/>
      </w:tabs>
      <w:ind w:left="284" w:hanging="284"/>
    </w:pPr>
  </w:style>
  <w:style w:type="paragraph" w:customStyle="1" w:styleId="NameTitle">
    <w:name w:val="Name &amp; Title"/>
    <w:basedOn w:val="BodyText1"/>
    <w:rsid w:val="00312B51"/>
    <w:rPr>
      <w:b/>
    </w:rPr>
  </w:style>
  <w:style w:type="paragraph" w:customStyle="1" w:styleId="AddressBlock">
    <w:name w:val="Address Block"/>
    <w:basedOn w:val="BodyText1"/>
    <w:rsid w:val="00312B51"/>
    <w:rPr>
      <w:rFonts w:ascii="Arial Bold" w:hAnsi="Arial Bold"/>
      <w:b/>
    </w:rPr>
  </w:style>
  <w:style w:type="paragraph" w:styleId="af3">
    <w:name w:val="annotation text"/>
    <w:basedOn w:val="a"/>
    <w:link w:val="af4"/>
    <w:rsid w:val="00312B51"/>
    <w:rPr>
      <w:sz w:val="20"/>
      <w:szCs w:val="20"/>
    </w:rPr>
  </w:style>
  <w:style w:type="character" w:customStyle="1" w:styleId="af4">
    <w:name w:val="註解文字 字元"/>
    <w:link w:val="af3"/>
    <w:rsid w:val="00312B51"/>
    <w:rPr>
      <w:rFonts w:ascii="Times New Roman" w:eastAsia="Times New Roman" w:hAnsi="Times New Roman" w:cs="Times New Roman"/>
      <w:sz w:val="20"/>
      <w:szCs w:val="20"/>
    </w:rPr>
  </w:style>
  <w:style w:type="character" w:customStyle="1" w:styleId="CharChar20">
    <w:name w:val="Char Char20"/>
    <w:rsid w:val="00312B51"/>
    <w:rPr>
      <w:rFonts w:ascii="Arial" w:hAnsi="Arial" w:cs="Arial"/>
      <w:b/>
      <w:bCs/>
      <w:sz w:val="26"/>
      <w:szCs w:val="26"/>
      <w:lang w:val="en-US" w:eastAsia="en-US"/>
    </w:rPr>
  </w:style>
  <w:style w:type="paragraph" w:styleId="af5">
    <w:name w:val="Body Text Indent"/>
    <w:basedOn w:val="a"/>
    <w:link w:val="af6"/>
    <w:rsid w:val="00312B51"/>
    <w:pPr>
      <w:spacing w:after="120"/>
      <w:ind w:left="283"/>
    </w:pPr>
  </w:style>
  <w:style w:type="character" w:customStyle="1" w:styleId="af6">
    <w:name w:val="本文縮排 字元"/>
    <w:link w:val="af5"/>
    <w:rsid w:val="00312B51"/>
    <w:rPr>
      <w:rFonts w:ascii="Times New Roman" w:eastAsia="Times New Roman" w:hAnsi="Times New Roman" w:cs="Times New Roman"/>
      <w:sz w:val="24"/>
      <w:szCs w:val="24"/>
    </w:rPr>
  </w:style>
  <w:style w:type="paragraph" w:styleId="21">
    <w:name w:val="Body Text Indent 2"/>
    <w:basedOn w:val="a"/>
    <w:link w:val="22"/>
    <w:rsid w:val="00312B51"/>
    <w:pPr>
      <w:spacing w:after="120" w:line="480" w:lineRule="auto"/>
      <w:ind w:left="283"/>
    </w:pPr>
  </w:style>
  <w:style w:type="character" w:customStyle="1" w:styleId="22">
    <w:name w:val="本文縮排 2 字元"/>
    <w:link w:val="21"/>
    <w:rsid w:val="00312B51"/>
    <w:rPr>
      <w:rFonts w:ascii="Times New Roman" w:eastAsia="Times New Roman" w:hAnsi="Times New Roman" w:cs="Times New Roman"/>
      <w:sz w:val="24"/>
      <w:szCs w:val="24"/>
    </w:rPr>
  </w:style>
  <w:style w:type="paragraph" w:styleId="23">
    <w:name w:val="Body Text 2"/>
    <w:basedOn w:val="a"/>
    <w:link w:val="24"/>
    <w:rsid w:val="00312B51"/>
    <w:pPr>
      <w:spacing w:after="120" w:line="480" w:lineRule="auto"/>
    </w:pPr>
  </w:style>
  <w:style w:type="character" w:customStyle="1" w:styleId="24">
    <w:name w:val="本文 2 字元"/>
    <w:link w:val="23"/>
    <w:rsid w:val="00312B51"/>
    <w:rPr>
      <w:rFonts w:ascii="Times New Roman" w:eastAsia="Times New Roman" w:hAnsi="Times New Roman" w:cs="Times New Roman"/>
      <w:sz w:val="24"/>
      <w:szCs w:val="24"/>
    </w:rPr>
  </w:style>
  <w:style w:type="paragraph" w:styleId="31">
    <w:name w:val="Body Text 3"/>
    <w:basedOn w:val="a"/>
    <w:link w:val="32"/>
    <w:rsid w:val="00312B51"/>
    <w:pPr>
      <w:spacing w:after="120"/>
    </w:pPr>
    <w:rPr>
      <w:sz w:val="16"/>
      <w:szCs w:val="16"/>
    </w:rPr>
  </w:style>
  <w:style w:type="character" w:customStyle="1" w:styleId="32">
    <w:name w:val="本文 3 字元"/>
    <w:link w:val="31"/>
    <w:rsid w:val="00312B51"/>
    <w:rPr>
      <w:rFonts w:ascii="Times New Roman" w:eastAsia="Times New Roman" w:hAnsi="Times New Roman" w:cs="Times New Roman"/>
      <w:sz w:val="16"/>
      <w:szCs w:val="16"/>
    </w:rPr>
  </w:style>
  <w:style w:type="paragraph" w:styleId="33">
    <w:name w:val="Body Text Indent 3"/>
    <w:basedOn w:val="a"/>
    <w:link w:val="34"/>
    <w:rsid w:val="00312B51"/>
    <w:pPr>
      <w:spacing w:after="120"/>
      <w:ind w:left="283"/>
    </w:pPr>
    <w:rPr>
      <w:sz w:val="16"/>
      <w:szCs w:val="16"/>
    </w:rPr>
  </w:style>
  <w:style w:type="character" w:customStyle="1" w:styleId="34">
    <w:name w:val="本文縮排 3 字元"/>
    <w:link w:val="33"/>
    <w:rsid w:val="00312B51"/>
    <w:rPr>
      <w:rFonts w:ascii="Times New Roman" w:eastAsia="Times New Roman" w:hAnsi="Times New Roman" w:cs="Times New Roman"/>
      <w:sz w:val="16"/>
      <w:szCs w:val="16"/>
    </w:rPr>
  </w:style>
  <w:style w:type="paragraph" w:styleId="af7">
    <w:name w:val="Title"/>
    <w:basedOn w:val="a"/>
    <w:link w:val="af8"/>
    <w:qFormat/>
    <w:rsid w:val="00312B51"/>
    <w:pPr>
      <w:tabs>
        <w:tab w:val="left" w:pos="-306"/>
        <w:tab w:val="left" w:pos="28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ind w:left="249" w:right="-165" w:hanging="555"/>
      <w:jc w:val="center"/>
    </w:pPr>
    <w:rPr>
      <w:rFonts w:ascii="Times" w:eastAsia="Times" w:hAnsi="Times"/>
      <w:b/>
      <w:sz w:val="28"/>
      <w:szCs w:val="20"/>
      <w:u w:val="single"/>
      <w:lang w:eastAsia="en-AU"/>
    </w:rPr>
  </w:style>
  <w:style w:type="character" w:customStyle="1" w:styleId="af8">
    <w:name w:val="標題 字元"/>
    <w:link w:val="af7"/>
    <w:rsid w:val="00312B51"/>
    <w:rPr>
      <w:rFonts w:ascii="Times" w:eastAsia="Times" w:hAnsi="Times" w:cs="Times New Roman"/>
      <w:b/>
      <w:sz w:val="28"/>
      <w:szCs w:val="20"/>
      <w:u w:val="single"/>
      <w:lang w:eastAsia="en-AU"/>
    </w:rPr>
  </w:style>
  <w:style w:type="paragraph" w:styleId="af9">
    <w:name w:val="Block Text"/>
    <w:basedOn w:val="a"/>
    <w:rsid w:val="00312B51"/>
    <w:pPr>
      <w:tabs>
        <w:tab w:val="left" w:pos="1276"/>
        <w:tab w:val="left" w:pos="8560"/>
        <w:tab w:val="left" w:pos="9280"/>
      </w:tabs>
      <w:ind w:left="567" w:right="-1298" w:hanging="567"/>
    </w:pPr>
    <w:rPr>
      <w:rFonts w:ascii="Times" w:eastAsia="Times" w:hAnsi="Times"/>
      <w:b/>
      <w:sz w:val="22"/>
      <w:szCs w:val="20"/>
      <w:lang w:val="en-GB" w:eastAsia="en-AU"/>
    </w:rPr>
  </w:style>
  <w:style w:type="paragraph" w:customStyle="1" w:styleId="afa">
    <w:name w:val="_"/>
    <w:basedOn w:val="a"/>
    <w:rsid w:val="00312B51"/>
    <w:pPr>
      <w:widowControl w:val="0"/>
      <w:autoSpaceDE w:val="0"/>
      <w:autoSpaceDN w:val="0"/>
      <w:ind w:left="850" w:right="-254" w:hanging="284"/>
    </w:pPr>
    <w:rPr>
      <w:rFonts w:ascii="Arial" w:hAnsi="Arial"/>
      <w:szCs w:val="20"/>
      <w:lang w:val="en-GB" w:eastAsia="en-AU"/>
    </w:rPr>
  </w:style>
  <w:style w:type="character" w:styleId="afb">
    <w:name w:val="FollowedHyperlink"/>
    <w:rsid w:val="00312B51"/>
    <w:rPr>
      <w:color w:val="800080"/>
      <w:u w:val="single"/>
    </w:rPr>
  </w:style>
  <w:style w:type="paragraph" w:styleId="afc">
    <w:name w:val="caption"/>
    <w:basedOn w:val="a"/>
    <w:next w:val="a"/>
    <w:qFormat/>
    <w:rsid w:val="00312B51"/>
    <w:rPr>
      <w:rFonts w:ascii="Arial" w:hAnsi="Arial"/>
      <w:i/>
      <w:sz w:val="18"/>
      <w:szCs w:val="20"/>
      <w:lang w:eastAsia="en-AU"/>
    </w:rPr>
  </w:style>
  <w:style w:type="paragraph" w:styleId="z-">
    <w:name w:val="HTML Bottom of Form"/>
    <w:basedOn w:val="a"/>
    <w:next w:val="a"/>
    <w:link w:val="z-0"/>
    <w:hidden/>
    <w:rsid w:val="00312B51"/>
    <w:pPr>
      <w:pBdr>
        <w:top w:val="single" w:sz="6" w:space="1" w:color="050000"/>
      </w:pBdr>
      <w:spacing w:before="100" w:after="100"/>
      <w:jc w:val="center"/>
    </w:pPr>
    <w:rPr>
      <w:rFonts w:ascii="Arial" w:eastAsia="Times" w:hAnsi="Arial"/>
      <w:vanish/>
      <w:sz w:val="16"/>
      <w:szCs w:val="20"/>
      <w:lang w:val="en-GB" w:eastAsia="en-AU"/>
    </w:rPr>
  </w:style>
  <w:style w:type="character" w:customStyle="1" w:styleId="z-0">
    <w:name w:val="z-表單的底部 字元"/>
    <w:link w:val="z-"/>
    <w:rsid w:val="00312B51"/>
    <w:rPr>
      <w:rFonts w:ascii="Arial" w:eastAsia="Times" w:hAnsi="Arial" w:cs="Times New Roman"/>
      <w:vanish/>
      <w:sz w:val="16"/>
      <w:szCs w:val="20"/>
      <w:lang w:val="en-GB" w:eastAsia="en-AU"/>
    </w:rPr>
  </w:style>
  <w:style w:type="paragraph" w:styleId="z-1">
    <w:name w:val="HTML Top of Form"/>
    <w:basedOn w:val="a"/>
    <w:next w:val="a"/>
    <w:link w:val="z-2"/>
    <w:hidden/>
    <w:rsid w:val="00312B51"/>
    <w:pPr>
      <w:pBdr>
        <w:bottom w:val="single" w:sz="6" w:space="1" w:color="050000"/>
      </w:pBdr>
      <w:spacing w:before="100" w:after="100"/>
      <w:jc w:val="center"/>
    </w:pPr>
    <w:rPr>
      <w:rFonts w:ascii="Arial" w:eastAsia="Times" w:hAnsi="Arial"/>
      <w:vanish/>
      <w:sz w:val="16"/>
      <w:szCs w:val="20"/>
      <w:lang w:val="en-GB" w:eastAsia="en-AU"/>
    </w:rPr>
  </w:style>
  <w:style w:type="character" w:customStyle="1" w:styleId="z-2">
    <w:name w:val="z-表單的頂端 字元"/>
    <w:link w:val="z-1"/>
    <w:rsid w:val="00312B51"/>
    <w:rPr>
      <w:rFonts w:ascii="Arial" w:eastAsia="Times" w:hAnsi="Arial" w:cs="Times New Roman"/>
      <w:vanish/>
      <w:sz w:val="16"/>
      <w:szCs w:val="20"/>
      <w:lang w:val="en-GB" w:eastAsia="en-AU"/>
    </w:rPr>
  </w:style>
  <w:style w:type="paragraph" w:customStyle="1" w:styleId="ecmsonormal1">
    <w:name w:val="ec_msonormal1"/>
    <w:basedOn w:val="a"/>
    <w:rsid w:val="00312B51"/>
    <w:pPr>
      <w:spacing w:before="100" w:beforeAutospacing="1"/>
    </w:pPr>
    <w:rPr>
      <w:rFonts w:ascii="Arial" w:hAnsi="Arial" w:cs="Arial"/>
      <w:color w:val="FF0000"/>
      <w:lang w:eastAsia="en-AU"/>
    </w:rPr>
  </w:style>
  <w:style w:type="paragraph" w:customStyle="1" w:styleId="HeadingBase">
    <w:name w:val="Heading Base"/>
    <w:basedOn w:val="a"/>
    <w:next w:val="a3"/>
    <w:rsid w:val="00312B51"/>
    <w:pPr>
      <w:keepNext/>
      <w:autoSpaceDE w:val="0"/>
      <w:autoSpaceDN w:val="0"/>
      <w:spacing w:before="240" w:after="120"/>
    </w:pPr>
    <w:rPr>
      <w:rFonts w:ascii="Arial" w:hAnsi="Arial" w:cs="Arial"/>
      <w:b/>
      <w:bCs/>
      <w:kern w:val="28"/>
      <w:sz w:val="36"/>
      <w:szCs w:val="36"/>
      <w:lang w:val="en-GB"/>
    </w:rPr>
  </w:style>
  <w:style w:type="paragraph" w:customStyle="1" w:styleId="TitleCover">
    <w:name w:val="Title Cover"/>
    <w:basedOn w:val="HeadingBase"/>
    <w:next w:val="SubtitleCover"/>
    <w:rsid w:val="00312B51"/>
    <w:pPr>
      <w:spacing w:before="720" w:after="160"/>
      <w:jc w:val="center"/>
    </w:pPr>
    <w:rPr>
      <w:sz w:val="40"/>
      <w:szCs w:val="40"/>
    </w:rPr>
  </w:style>
  <w:style w:type="paragraph" w:customStyle="1" w:styleId="SubtitleCover">
    <w:name w:val="Subtitle Cover"/>
    <w:basedOn w:val="TitleCover"/>
    <w:next w:val="a3"/>
    <w:rsid w:val="00312B51"/>
    <w:pPr>
      <w:spacing w:before="240" w:after="480"/>
    </w:pPr>
    <w:rPr>
      <w:rFonts w:ascii="Times New Roman" w:hAnsi="Times New Roman" w:cs="Times New Roman"/>
      <w:b w:val="0"/>
      <w:bCs w:val="0"/>
      <w:i/>
      <w:iCs/>
      <w:sz w:val="32"/>
      <w:szCs w:val="32"/>
    </w:rPr>
  </w:style>
  <w:style w:type="paragraph" w:customStyle="1" w:styleId="BodyTextKeep">
    <w:name w:val="Body Text Keep"/>
    <w:basedOn w:val="a3"/>
    <w:rsid w:val="00312B51"/>
    <w:pPr>
      <w:keepNext/>
      <w:autoSpaceDE w:val="0"/>
      <w:autoSpaceDN w:val="0"/>
      <w:spacing w:after="160" w:line="480" w:lineRule="auto"/>
    </w:pPr>
    <w:rPr>
      <w:rFonts w:ascii="Times New Roman" w:hAnsi="Times New Roman"/>
      <w:color w:val="auto"/>
      <w:sz w:val="24"/>
      <w:lang w:val="en-GB"/>
    </w:rPr>
  </w:style>
  <w:style w:type="paragraph" w:customStyle="1" w:styleId="Picture">
    <w:name w:val="Picture"/>
    <w:basedOn w:val="a3"/>
    <w:next w:val="afc"/>
    <w:rsid w:val="00312B51"/>
    <w:pPr>
      <w:keepNext/>
      <w:autoSpaceDE w:val="0"/>
      <w:autoSpaceDN w:val="0"/>
      <w:spacing w:before="120" w:after="240" w:line="480" w:lineRule="auto"/>
      <w:jc w:val="center"/>
    </w:pPr>
    <w:rPr>
      <w:rFonts w:ascii="Times New Roman" w:hAnsi="Times New Roman"/>
      <w:color w:val="auto"/>
      <w:sz w:val="24"/>
      <w:lang w:val="en-GB"/>
    </w:rPr>
  </w:style>
  <w:style w:type="paragraph" w:styleId="afd">
    <w:name w:val="footnote text"/>
    <w:basedOn w:val="FootnoteBase"/>
    <w:link w:val="afe"/>
    <w:rsid w:val="00312B51"/>
    <w:pPr>
      <w:spacing w:after="120"/>
    </w:pPr>
  </w:style>
  <w:style w:type="paragraph" w:customStyle="1" w:styleId="FootnoteBase">
    <w:name w:val="Footnote Base"/>
    <w:basedOn w:val="a"/>
    <w:rsid w:val="00312B51"/>
    <w:pPr>
      <w:tabs>
        <w:tab w:val="left" w:pos="187"/>
      </w:tabs>
      <w:autoSpaceDE w:val="0"/>
      <w:autoSpaceDN w:val="0"/>
      <w:spacing w:line="220" w:lineRule="exact"/>
      <w:ind w:left="187" w:hanging="187"/>
    </w:pPr>
    <w:rPr>
      <w:sz w:val="18"/>
      <w:szCs w:val="18"/>
      <w:lang w:val="en-GB"/>
    </w:rPr>
  </w:style>
  <w:style w:type="character" w:customStyle="1" w:styleId="afe">
    <w:name w:val="註腳文字 字元"/>
    <w:link w:val="afd"/>
    <w:rsid w:val="00312B51"/>
    <w:rPr>
      <w:rFonts w:ascii="Times New Roman" w:eastAsia="Times New Roman" w:hAnsi="Times New Roman" w:cs="Times New Roman"/>
      <w:sz w:val="18"/>
      <w:szCs w:val="18"/>
      <w:lang w:val="en-GB"/>
    </w:rPr>
  </w:style>
  <w:style w:type="paragraph" w:styleId="12">
    <w:name w:val="index 1"/>
    <w:basedOn w:val="a"/>
    <w:next w:val="a"/>
    <w:autoRedefine/>
    <w:rsid w:val="00312B51"/>
    <w:pPr>
      <w:tabs>
        <w:tab w:val="right" w:leader="dot" w:pos="4154"/>
      </w:tabs>
      <w:autoSpaceDE w:val="0"/>
      <w:autoSpaceDN w:val="0"/>
      <w:ind w:left="200" w:hanging="200"/>
    </w:pPr>
    <w:rPr>
      <w:sz w:val="20"/>
      <w:szCs w:val="20"/>
      <w:lang w:val="en-GB"/>
    </w:rPr>
  </w:style>
  <w:style w:type="paragraph" w:styleId="aff">
    <w:name w:val="index heading"/>
    <w:basedOn w:val="a"/>
    <w:next w:val="12"/>
    <w:rsid w:val="00312B51"/>
    <w:pPr>
      <w:autoSpaceDE w:val="0"/>
      <w:autoSpaceDN w:val="0"/>
    </w:pPr>
    <w:rPr>
      <w:sz w:val="20"/>
      <w:szCs w:val="20"/>
      <w:lang w:val="en-GB"/>
    </w:rPr>
  </w:style>
  <w:style w:type="paragraph" w:customStyle="1" w:styleId="HeaderOdd">
    <w:name w:val="Header Odd"/>
    <w:basedOn w:val="a5"/>
    <w:rsid w:val="00312B51"/>
    <w:pPr>
      <w:keepLines/>
      <w:tabs>
        <w:tab w:val="clear" w:pos="4513"/>
        <w:tab w:val="clear" w:pos="9026"/>
        <w:tab w:val="right" w:pos="0"/>
        <w:tab w:val="center" w:pos="7200"/>
        <w:tab w:val="right" w:pos="14400"/>
      </w:tabs>
      <w:autoSpaceDE w:val="0"/>
      <w:autoSpaceDN w:val="0"/>
      <w:jc w:val="right"/>
    </w:pPr>
    <w:rPr>
      <w:spacing w:val="80"/>
      <w:sz w:val="20"/>
      <w:szCs w:val="20"/>
      <w:lang w:val="en-GB"/>
    </w:rPr>
  </w:style>
  <w:style w:type="paragraph" w:customStyle="1" w:styleId="HeaderBase">
    <w:name w:val="Header Base"/>
    <w:basedOn w:val="a"/>
    <w:rsid w:val="00312B51"/>
    <w:pPr>
      <w:keepLines/>
      <w:tabs>
        <w:tab w:val="center" w:pos="7200"/>
        <w:tab w:val="right" w:pos="14400"/>
      </w:tabs>
      <w:autoSpaceDE w:val="0"/>
      <w:autoSpaceDN w:val="0"/>
      <w:jc w:val="center"/>
    </w:pPr>
    <w:rPr>
      <w:spacing w:val="80"/>
      <w:sz w:val="20"/>
      <w:szCs w:val="20"/>
      <w:lang w:val="en-GB"/>
    </w:rPr>
  </w:style>
  <w:style w:type="paragraph" w:customStyle="1" w:styleId="Style1">
    <w:name w:val="Style1"/>
    <w:basedOn w:val="afc"/>
    <w:autoRedefine/>
    <w:rsid w:val="00312B51"/>
    <w:pPr>
      <w:keepNext/>
      <w:autoSpaceDE w:val="0"/>
      <w:autoSpaceDN w:val="0"/>
      <w:jc w:val="center"/>
    </w:pPr>
    <w:rPr>
      <w:rFonts w:ascii="Times New Roman" w:hAnsi="Times New Roman"/>
      <w:b/>
      <w:bCs/>
      <w:i w:val="0"/>
      <w:sz w:val="24"/>
      <w:szCs w:val="24"/>
      <w:lang w:val="en-US" w:eastAsia="en-US"/>
    </w:rPr>
  </w:style>
  <w:style w:type="paragraph" w:styleId="aff0">
    <w:name w:val="Salutation"/>
    <w:basedOn w:val="a"/>
    <w:next w:val="a"/>
    <w:link w:val="aff1"/>
    <w:rsid w:val="00312B51"/>
    <w:pPr>
      <w:widowControl w:val="0"/>
      <w:autoSpaceDE w:val="0"/>
      <w:autoSpaceDN w:val="0"/>
    </w:pPr>
    <w:rPr>
      <w:rFonts w:ascii="Times" w:hAnsi="Times" w:cs="Times"/>
    </w:rPr>
  </w:style>
  <w:style w:type="character" w:customStyle="1" w:styleId="aff1">
    <w:name w:val="問候 字元"/>
    <w:link w:val="aff0"/>
    <w:rsid w:val="00312B51"/>
    <w:rPr>
      <w:rFonts w:ascii="Times" w:eastAsia="Times New Roman" w:hAnsi="Times" w:cs="Times"/>
      <w:sz w:val="24"/>
      <w:szCs w:val="24"/>
    </w:rPr>
  </w:style>
  <w:style w:type="paragraph" w:customStyle="1" w:styleId="MailingInstructions">
    <w:name w:val="Mailing Instructions"/>
    <w:basedOn w:val="a"/>
    <w:rsid w:val="00312B51"/>
    <w:pPr>
      <w:widowControl w:val="0"/>
      <w:autoSpaceDE w:val="0"/>
      <w:autoSpaceDN w:val="0"/>
    </w:pPr>
    <w:rPr>
      <w:rFonts w:ascii="Times" w:hAnsi="Times" w:cs="Times"/>
    </w:rPr>
  </w:style>
  <w:style w:type="paragraph" w:styleId="aff2">
    <w:name w:val="Date"/>
    <w:basedOn w:val="a"/>
    <w:next w:val="a"/>
    <w:link w:val="aff3"/>
    <w:rsid w:val="00312B51"/>
    <w:pPr>
      <w:widowControl w:val="0"/>
      <w:autoSpaceDE w:val="0"/>
      <w:autoSpaceDN w:val="0"/>
    </w:pPr>
    <w:rPr>
      <w:rFonts w:ascii="Times" w:hAnsi="Times" w:cs="Times"/>
    </w:rPr>
  </w:style>
  <w:style w:type="character" w:customStyle="1" w:styleId="aff3">
    <w:name w:val="日期 字元"/>
    <w:link w:val="aff2"/>
    <w:rsid w:val="00312B51"/>
    <w:rPr>
      <w:rFonts w:ascii="Times" w:eastAsia="Times New Roman" w:hAnsi="Times" w:cs="Times"/>
      <w:sz w:val="24"/>
      <w:szCs w:val="24"/>
    </w:rPr>
  </w:style>
  <w:style w:type="paragraph" w:styleId="aff4">
    <w:name w:val="Closing"/>
    <w:basedOn w:val="a"/>
    <w:link w:val="aff5"/>
    <w:rsid w:val="00312B51"/>
    <w:pPr>
      <w:widowControl w:val="0"/>
      <w:autoSpaceDE w:val="0"/>
      <w:autoSpaceDN w:val="0"/>
    </w:pPr>
    <w:rPr>
      <w:rFonts w:ascii="Times" w:hAnsi="Times" w:cs="Times"/>
    </w:rPr>
  </w:style>
  <w:style w:type="character" w:customStyle="1" w:styleId="aff5">
    <w:name w:val="結語 字元"/>
    <w:link w:val="aff4"/>
    <w:rsid w:val="00312B51"/>
    <w:rPr>
      <w:rFonts w:ascii="Times" w:eastAsia="Times New Roman" w:hAnsi="Times" w:cs="Times"/>
      <w:sz w:val="24"/>
      <w:szCs w:val="24"/>
    </w:rPr>
  </w:style>
  <w:style w:type="paragraph" w:styleId="aff6">
    <w:name w:val="Signature"/>
    <w:basedOn w:val="a"/>
    <w:link w:val="aff7"/>
    <w:rsid w:val="00312B51"/>
    <w:pPr>
      <w:widowControl w:val="0"/>
      <w:autoSpaceDE w:val="0"/>
      <w:autoSpaceDN w:val="0"/>
    </w:pPr>
    <w:rPr>
      <w:rFonts w:ascii="Times" w:hAnsi="Times" w:cs="Times"/>
    </w:rPr>
  </w:style>
  <w:style w:type="character" w:customStyle="1" w:styleId="aff7">
    <w:name w:val="簽名 字元"/>
    <w:link w:val="aff6"/>
    <w:rsid w:val="00312B51"/>
    <w:rPr>
      <w:rFonts w:ascii="Times" w:eastAsia="Times New Roman" w:hAnsi="Times" w:cs="Times"/>
      <w:sz w:val="24"/>
      <w:szCs w:val="24"/>
    </w:rPr>
  </w:style>
  <w:style w:type="paragraph" w:styleId="aff8">
    <w:name w:val="List"/>
    <w:basedOn w:val="a"/>
    <w:rsid w:val="00312B51"/>
    <w:pPr>
      <w:autoSpaceDE w:val="0"/>
      <w:autoSpaceDN w:val="0"/>
      <w:ind w:left="283" w:hanging="283"/>
    </w:pPr>
    <w:rPr>
      <w:sz w:val="20"/>
      <w:szCs w:val="20"/>
      <w:lang w:val="en-US"/>
    </w:rPr>
  </w:style>
  <w:style w:type="paragraph" w:styleId="aff9">
    <w:name w:val="List Bullet"/>
    <w:basedOn w:val="a"/>
    <w:rsid w:val="00312B51"/>
    <w:pPr>
      <w:tabs>
        <w:tab w:val="num" w:pos="360"/>
      </w:tabs>
      <w:autoSpaceDE w:val="0"/>
      <w:autoSpaceDN w:val="0"/>
      <w:ind w:left="360" w:hanging="360"/>
    </w:pPr>
    <w:rPr>
      <w:sz w:val="20"/>
      <w:szCs w:val="20"/>
      <w:lang w:val="en-US"/>
    </w:rPr>
  </w:style>
  <w:style w:type="paragraph" w:styleId="25">
    <w:name w:val="List Bullet 2"/>
    <w:basedOn w:val="a"/>
    <w:rsid w:val="00312B51"/>
    <w:pPr>
      <w:tabs>
        <w:tab w:val="num" w:pos="643"/>
      </w:tabs>
      <w:autoSpaceDE w:val="0"/>
      <w:autoSpaceDN w:val="0"/>
      <w:ind w:left="643" w:hanging="360"/>
    </w:pPr>
    <w:rPr>
      <w:sz w:val="20"/>
      <w:szCs w:val="20"/>
      <w:lang w:val="en-US"/>
    </w:rPr>
  </w:style>
  <w:style w:type="paragraph" w:styleId="affa">
    <w:name w:val="Body Text First Indent"/>
    <w:basedOn w:val="a3"/>
    <w:link w:val="affb"/>
    <w:rsid w:val="00312B51"/>
    <w:pPr>
      <w:autoSpaceDE w:val="0"/>
      <w:autoSpaceDN w:val="0"/>
      <w:spacing w:after="120"/>
      <w:ind w:firstLine="210"/>
    </w:pPr>
    <w:rPr>
      <w:rFonts w:ascii="Times New Roman" w:hAnsi="Times New Roman"/>
      <w:color w:val="auto"/>
      <w:sz w:val="20"/>
      <w:szCs w:val="20"/>
      <w:lang w:val="en-US"/>
    </w:rPr>
  </w:style>
  <w:style w:type="character" w:customStyle="1" w:styleId="affb">
    <w:name w:val="本文第一層縮排 字元"/>
    <w:link w:val="affa"/>
    <w:rsid w:val="00312B51"/>
    <w:rPr>
      <w:rFonts w:ascii="Times New Roman" w:eastAsia="Times New Roman" w:hAnsi="Times New Roman" w:cs="Times New Roman"/>
      <w:color w:val="000000"/>
      <w:sz w:val="20"/>
      <w:szCs w:val="20"/>
      <w:lang w:val="en-US"/>
    </w:rPr>
  </w:style>
  <w:style w:type="character" w:customStyle="1" w:styleId="CharChar14">
    <w:name w:val="Char Char14"/>
    <w:rsid w:val="00312B51"/>
    <w:rPr>
      <w:rFonts w:ascii="Arial" w:hAnsi="Arial"/>
      <w:color w:val="000000"/>
      <w:sz w:val="18"/>
      <w:szCs w:val="24"/>
      <w:lang w:eastAsia="en-US"/>
    </w:rPr>
  </w:style>
  <w:style w:type="paragraph" w:styleId="26">
    <w:name w:val="Body Text First Indent 2"/>
    <w:basedOn w:val="af5"/>
    <w:link w:val="27"/>
    <w:rsid w:val="00312B51"/>
    <w:pPr>
      <w:autoSpaceDE w:val="0"/>
      <w:autoSpaceDN w:val="0"/>
      <w:ind w:firstLine="210"/>
    </w:pPr>
    <w:rPr>
      <w:sz w:val="20"/>
      <w:szCs w:val="20"/>
      <w:lang w:val="en-US"/>
    </w:rPr>
  </w:style>
  <w:style w:type="character" w:customStyle="1" w:styleId="27">
    <w:name w:val="本文第一層縮排 2 字元"/>
    <w:link w:val="26"/>
    <w:rsid w:val="00312B51"/>
    <w:rPr>
      <w:rFonts w:ascii="Times New Roman" w:eastAsia="Times New Roman" w:hAnsi="Times New Roman" w:cs="Times New Roman"/>
      <w:sz w:val="20"/>
      <w:szCs w:val="20"/>
      <w:lang w:val="en-US"/>
    </w:rPr>
  </w:style>
  <w:style w:type="paragraph" w:styleId="affc">
    <w:name w:val="annotation subject"/>
    <w:basedOn w:val="af3"/>
    <w:next w:val="af3"/>
    <w:link w:val="affd"/>
    <w:rsid w:val="00312B51"/>
    <w:rPr>
      <w:b/>
      <w:bCs/>
    </w:rPr>
  </w:style>
  <w:style w:type="character" w:customStyle="1" w:styleId="affd">
    <w:name w:val="註解主旨 字元"/>
    <w:link w:val="affc"/>
    <w:rsid w:val="00312B51"/>
    <w:rPr>
      <w:rFonts w:ascii="Times New Roman" w:eastAsia="Times New Roman" w:hAnsi="Times New Roman" w:cs="Times New Roman"/>
      <w:b/>
      <w:bCs/>
      <w:sz w:val="20"/>
      <w:szCs w:val="20"/>
    </w:rPr>
  </w:style>
  <w:style w:type="character" w:customStyle="1" w:styleId="Heading3Char1">
    <w:name w:val="Heading 3 Char1"/>
    <w:locked/>
    <w:rsid w:val="00312B51"/>
    <w:rPr>
      <w:rFonts w:ascii="Arial" w:eastAsia="Times New Roman" w:hAnsi="Arial" w:cs="Arial"/>
      <w:b/>
      <w:bCs/>
      <w:sz w:val="26"/>
      <w:szCs w:val="26"/>
      <w:lang w:val="en-US"/>
    </w:rPr>
  </w:style>
  <w:style w:type="character" w:styleId="affe">
    <w:name w:val="annotation reference"/>
    <w:uiPriority w:val="99"/>
    <w:unhideWhenUsed/>
    <w:rsid w:val="00312B51"/>
    <w:rPr>
      <w:sz w:val="16"/>
      <w:szCs w:val="16"/>
    </w:rPr>
  </w:style>
  <w:style w:type="paragraph" w:styleId="35">
    <w:name w:val="toc 3"/>
    <w:basedOn w:val="a"/>
    <w:next w:val="a"/>
    <w:autoRedefine/>
    <w:uiPriority w:val="39"/>
    <w:unhideWhenUsed/>
    <w:rsid w:val="00312B51"/>
    <w:pPr>
      <w:tabs>
        <w:tab w:val="left" w:pos="1560"/>
        <w:tab w:val="right" w:pos="8920"/>
      </w:tabs>
      <w:ind w:left="709"/>
    </w:pPr>
  </w:style>
  <w:style w:type="paragraph" w:styleId="afff">
    <w:name w:val="TOC Heading"/>
    <w:basedOn w:val="1"/>
    <w:next w:val="a"/>
    <w:uiPriority w:val="39"/>
    <w:qFormat/>
    <w:rsid w:val="00312B51"/>
    <w:pPr>
      <w:keepLines/>
      <w:spacing w:before="480" w:after="0" w:line="276" w:lineRule="auto"/>
      <w:outlineLvl w:val="9"/>
    </w:pPr>
    <w:rPr>
      <w:color w:val="365F91"/>
      <w:kern w:val="0"/>
      <w:sz w:val="28"/>
      <w:szCs w:val="28"/>
      <w:lang w:val="en-US"/>
    </w:rPr>
  </w:style>
  <w:style w:type="paragraph" w:customStyle="1" w:styleId="Body">
    <w:name w:val="Body"/>
    <w:rsid w:val="00312B51"/>
    <w:pPr>
      <w:widowControl w:val="0"/>
      <w:autoSpaceDE w:val="0"/>
      <w:autoSpaceDN w:val="0"/>
      <w:spacing w:line="240" w:lineRule="exact"/>
      <w:ind w:firstLine="283"/>
    </w:pPr>
    <w:rPr>
      <w:rFonts w:ascii="Sabon" w:eastAsia="Times New Roman" w:hAnsi="Sabon" w:cs="Sabon"/>
      <w:color w:val="FFFFFF"/>
      <w:sz w:val="19"/>
      <w:szCs w:val="19"/>
      <w:lang w:val="en-US"/>
    </w:rPr>
  </w:style>
  <w:style w:type="character" w:customStyle="1" w:styleId="CharChar6">
    <w:name w:val="Char Char6"/>
    <w:locked/>
    <w:rsid w:val="00312B51"/>
    <w:rPr>
      <w:rFonts w:ascii="Arial" w:hAnsi="Arial" w:cs="Arial"/>
      <w:b/>
      <w:bCs/>
      <w:sz w:val="26"/>
      <w:szCs w:val="26"/>
      <w:lang w:val="en-US" w:eastAsia="en-US" w:bidi="ar-SA"/>
    </w:rPr>
  </w:style>
  <w:style w:type="character" w:styleId="afff0">
    <w:name w:val="footnote reference"/>
    <w:rsid w:val="00312B51"/>
    <w:rPr>
      <w:vertAlign w:val="superscript"/>
    </w:rPr>
  </w:style>
  <w:style w:type="character" w:customStyle="1" w:styleId="CharChar4">
    <w:name w:val="Char Char4"/>
    <w:locked/>
    <w:rsid w:val="00312B51"/>
    <w:rPr>
      <w:rFonts w:ascii="Arial" w:hAnsi="Arial" w:cs="Arial"/>
      <w:b/>
      <w:bCs/>
      <w:sz w:val="26"/>
      <w:szCs w:val="26"/>
      <w:lang w:val="en-US" w:eastAsia="en-US" w:bidi="ar-SA"/>
    </w:rPr>
  </w:style>
  <w:style w:type="character" w:customStyle="1" w:styleId="CharChar2">
    <w:name w:val="Char Char2"/>
    <w:locked/>
    <w:rsid w:val="00312B51"/>
    <w:rPr>
      <w:sz w:val="24"/>
      <w:szCs w:val="24"/>
      <w:lang w:val="en-US" w:eastAsia="en-US" w:bidi="ar-SA"/>
    </w:rPr>
  </w:style>
  <w:style w:type="character" w:customStyle="1" w:styleId="CommentSubjectChar1">
    <w:name w:val="Comment Subject Char1"/>
    <w:uiPriority w:val="99"/>
    <w:rsid w:val="00312B51"/>
    <w:rPr>
      <w:rFonts w:ascii="Times New Roman" w:eastAsia="Times New Roman" w:hAnsi="Times New Roman" w:cs="Times New Roman"/>
      <w:b/>
      <w:bCs/>
      <w:sz w:val="20"/>
      <w:szCs w:val="20"/>
      <w:lang w:eastAsia="en-US"/>
    </w:rPr>
  </w:style>
  <w:style w:type="character" w:customStyle="1" w:styleId="apple-style-span">
    <w:name w:val="apple-style-span"/>
    <w:basedOn w:val="a0"/>
    <w:rsid w:val="00312B51"/>
  </w:style>
  <w:style w:type="character" w:customStyle="1" w:styleId="CharChar3">
    <w:name w:val="Char Char3"/>
    <w:locked/>
    <w:rsid w:val="00312B51"/>
    <w:rPr>
      <w:rFonts w:ascii="Arial" w:hAnsi="Arial" w:cs="Arial"/>
      <w:b/>
      <w:bCs/>
      <w:sz w:val="26"/>
      <w:szCs w:val="26"/>
      <w:lang w:val="en-US" w:eastAsia="en-US" w:bidi="ar-SA"/>
    </w:rPr>
  </w:style>
  <w:style w:type="paragraph" w:styleId="afff1">
    <w:name w:val="endnote text"/>
    <w:basedOn w:val="a"/>
    <w:link w:val="afff2"/>
    <w:rsid w:val="00312B51"/>
    <w:rPr>
      <w:rFonts w:ascii="Arial" w:hAnsi="Arial" w:cs="Helvetica"/>
      <w:sz w:val="20"/>
      <w:szCs w:val="20"/>
      <w:lang w:val="en-GB"/>
    </w:rPr>
  </w:style>
  <w:style w:type="character" w:customStyle="1" w:styleId="afff2">
    <w:name w:val="章節附註文字 字元"/>
    <w:link w:val="afff1"/>
    <w:rsid w:val="00312B51"/>
    <w:rPr>
      <w:rFonts w:ascii="Arial" w:eastAsia="Times New Roman" w:hAnsi="Arial" w:cs="Helvetica"/>
      <w:sz w:val="20"/>
      <w:szCs w:val="20"/>
      <w:lang w:val="en-GB"/>
    </w:rPr>
  </w:style>
  <w:style w:type="character" w:styleId="afff3">
    <w:name w:val="endnote reference"/>
    <w:rsid w:val="00312B51"/>
    <w:rPr>
      <w:vertAlign w:val="superscript"/>
    </w:rPr>
  </w:style>
  <w:style w:type="character" w:customStyle="1" w:styleId="BodyTextChar1">
    <w:name w:val="Body Text Char1"/>
    <w:rsid w:val="00312B51"/>
    <w:rPr>
      <w:rFonts w:ascii="Times New Roman" w:eastAsia="Times New Roman" w:hAnsi="Times New Roman" w:cs="Times New Roman"/>
      <w:sz w:val="24"/>
      <w:szCs w:val="24"/>
      <w:u w:val="none"/>
      <w:lang w:val="en-US"/>
    </w:rPr>
  </w:style>
  <w:style w:type="character" w:customStyle="1" w:styleId="referencetext1">
    <w:name w:val="referencetext1"/>
    <w:rsid w:val="00312B51"/>
    <w:rPr>
      <w:vanish w:val="0"/>
      <w:webHidden w:val="0"/>
      <w:specVanish w:val="0"/>
    </w:rPr>
  </w:style>
  <w:style w:type="paragraph" w:styleId="HTML">
    <w:name w:val="HTML Preformatted"/>
    <w:basedOn w:val="a"/>
    <w:link w:val="HTML0"/>
    <w:rsid w:val="00312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9"/>
      <w:szCs w:val="29"/>
      <w:lang w:val="en-US"/>
    </w:rPr>
  </w:style>
  <w:style w:type="character" w:customStyle="1" w:styleId="HTML0">
    <w:name w:val="HTML 預設格式 字元"/>
    <w:link w:val="HTML"/>
    <w:rsid w:val="00312B51"/>
    <w:rPr>
      <w:rFonts w:ascii="Courier New" w:eastAsia="Times New Roman" w:hAnsi="Courier New" w:cs="Courier New"/>
      <w:sz w:val="29"/>
      <w:szCs w:val="29"/>
      <w:lang w:val="en-US"/>
    </w:rPr>
  </w:style>
  <w:style w:type="paragraph" w:customStyle="1" w:styleId="author">
    <w:name w:val="author"/>
    <w:basedOn w:val="a"/>
    <w:rsid w:val="00312B51"/>
    <w:pPr>
      <w:spacing w:before="100" w:beforeAutospacing="1" w:after="100" w:afterAutospacing="1"/>
    </w:pPr>
    <w:rPr>
      <w:lang w:val="en-US"/>
    </w:rPr>
  </w:style>
  <w:style w:type="paragraph" w:customStyle="1" w:styleId="ColorfulShading-Accent11">
    <w:name w:val="Colorful Shading - Accent 11"/>
    <w:hidden/>
    <w:uiPriority w:val="99"/>
    <w:semiHidden/>
    <w:rsid w:val="00312B51"/>
    <w:rPr>
      <w:rFonts w:ascii="Arial" w:eastAsia="Times New Roman" w:hAnsi="Arial" w:cs="Arial"/>
      <w:sz w:val="24"/>
      <w:szCs w:val="24"/>
      <w:lang w:val="en-GB" w:eastAsia="en-US"/>
    </w:rPr>
  </w:style>
  <w:style w:type="paragraph" w:styleId="28">
    <w:name w:val="toc 2"/>
    <w:basedOn w:val="a"/>
    <w:next w:val="a"/>
    <w:autoRedefine/>
    <w:uiPriority w:val="39"/>
    <w:unhideWhenUsed/>
    <w:rsid w:val="00312B51"/>
    <w:pPr>
      <w:tabs>
        <w:tab w:val="left" w:pos="1560"/>
        <w:tab w:val="right" w:pos="8920"/>
      </w:tabs>
      <w:ind w:left="709" w:hanging="709"/>
    </w:pPr>
    <w:rPr>
      <w:rFonts w:ascii="Arial" w:hAnsi="Arial" w:cs="Arial"/>
      <w:caps/>
      <w:noProof/>
    </w:rPr>
  </w:style>
  <w:style w:type="paragraph" w:styleId="41">
    <w:name w:val="toc 4"/>
    <w:basedOn w:val="a"/>
    <w:next w:val="a"/>
    <w:autoRedefine/>
    <w:uiPriority w:val="39"/>
    <w:unhideWhenUsed/>
    <w:rsid w:val="00312B51"/>
    <w:pPr>
      <w:spacing w:after="100" w:line="276" w:lineRule="auto"/>
      <w:ind w:left="660"/>
    </w:pPr>
    <w:rPr>
      <w:rFonts w:ascii="Calibri" w:hAnsi="Calibri"/>
      <w:sz w:val="22"/>
      <w:szCs w:val="22"/>
      <w:lang w:eastAsia="en-AU"/>
    </w:rPr>
  </w:style>
  <w:style w:type="paragraph" w:styleId="51">
    <w:name w:val="toc 5"/>
    <w:basedOn w:val="a"/>
    <w:next w:val="a"/>
    <w:autoRedefine/>
    <w:uiPriority w:val="39"/>
    <w:unhideWhenUsed/>
    <w:rsid w:val="00312B51"/>
    <w:pPr>
      <w:spacing w:after="100" w:line="276" w:lineRule="auto"/>
      <w:ind w:left="880"/>
    </w:pPr>
    <w:rPr>
      <w:rFonts w:ascii="Calibri" w:hAnsi="Calibri"/>
      <w:sz w:val="22"/>
      <w:szCs w:val="22"/>
      <w:lang w:eastAsia="en-AU"/>
    </w:rPr>
  </w:style>
  <w:style w:type="paragraph" w:styleId="61">
    <w:name w:val="toc 6"/>
    <w:basedOn w:val="a"/>
    <w:next w:val="a"/>
    <w:autoRedefine/>
    <w:uiPriority w:val="39"/>
    <w:unhideWhenUsed/>
    <w:rsid w:val="00312B51"/>
    <w:pPr>
      <w:spacing w:after="100" w:line="276" w:lineRule="auto"/>
      <w:ind w:left="1100"/>
    </w:pPr>
    <w:rPr>
      <w:rFonts w:ascii="Calibri" w:hAnsi="Calibri"/>
      <w:sz w:val="22"/>
      <w:szCs w:val="22"/>
      <w:lang w:eastAsia="en-AU"/>
    </w:rPr>
  </w:style>
  <w:style w:type="paragraph" w:styleId="71">
    <w:name w:val="toc 7"/>
    <w:basedOn w:val="a"/>
    <w:next w:val="a"/>
    <w:autoRedefine/>
    <w:uiPriority w:val="39"/>
    <w:unhideWhenUsed/>
    <w:rsid w:val="00312B51"/>
    <w:pPr>
      <w:spacing w:after="100" w:line="276" w:lineRule="auto"/>
      <w:ind w:left="1320"/>
    </w:pPr>
    <w:rPr>
      <w:rFonts w:ascii="Calibri" w:hAnsi="Calibri"/>
      <w:sz w:val="22"/>
      <w:szCs w:val="22"/>
      <w:lang w:eastAsia="en-AU"/>
    </w:rPr>
  </w:style>
  <w:style w:type="paragraph" w:styleId="81">
    <w:name w:val="toc 8"/>
    <w:basedOn w:val="a"/>
    <w:next w:val="a"/>
    <w:autoRedefine/>
    <w:uiPriority w:val="39"/>
    <w:unhideWhenUsed/>
    <w:rsid w:val="00312B51"/>
    <w:pPr>
      <w:spacing w:after="100" w:line="276" w:lineRule="auto"/>
      <w:ind w:left="1540"/>
    </w:pPr>
    <w:rPr>
      <w:rFonts w:ascii="Calibri" w:hAnsi="Calibri"/>
      <w:sz w:val="22"/>
      <w:szCs w:val="22"/>
      <w:lang w:eastAsia="en-AU"/>
    </w:rPr>
  </w:style>
  <w:style w:type="paragraph" w:styleId="91">
    <w:name w:val="toc 9"/>
    <w:basedOn w:val="a"/>
    <w:next w:val="a"/>
    <w:autoRedefine/>
    <w:uiPriority w:val="39"/>
    <w:unhideWhenUsed/>
    <w:rsid w:val="00312B51"/>
    <w:pPr>
      <w:spacing w:after="100" w:line="276" w:lineRule="auto"/>
      <w:ind w:left="1760"/>
    </w:pPr>
    <w:rPr>
      <w:rFonts w:ascii="Calibri" w:hAnsi="Calibri"/>
      <w:sz w:val="22"/>
      <w:szCs w:val="22"/>
      <w:lang w:eastAsia="en-AU"/>
    </w:rPr>
  </w:style>
  <w:style w:type="paragraph" w:styleId="afff4">
    <w:name w:val="table of figures"/>
    <w:basedOn w:val="a"/>
    <w:next w:val="a"/>
    <w:autoRedefine/>
    <w:uiPriority w:val="99"/>
    <w:unhideWhenUsed/>
    <w:rsid w:val="00312B51"/>
    <w:pPr>
      <w:tabs>
        <w:tab w:val="right" w:leader="dot" w:pos="8780"/>
      </w:tabs>
      <w:spacing w:line="360" w:lineRule="auto"/>
      <w:ind w:left="851" w:right="1" w:hanging="851"/>
    </w:pPr>
    <w:rPr>
      <w:rFonts w:ascii="Arial" w:hAnsi="Arial"/>
      <w:noProof/>
      <w:sz w:val="20"/>
    </w:rPr>
  </w:style>
  <w:style w:type="paragraph" w:customStyle="1" w:styleId="pl1">
    <w:name w:val="pl1"/>
    <w:basedOn w:val="a"/>
    <w:rsid w:val="00312B51"/>
    <w:rPr>
      <w:lang w:eastAsia="en-AU"/>
    </w:rPr>
  </w:style>
  <w:style w:type="paragraph" w:styleId="afff5">
    <w:name w:val="Revision"/>
    <w:hidden/>
    <w:uiPriority w:val="99"/>
    <w:semiHidden/>
    <w:rsid w:val="00312B51"/>
    <w:rPr>
      <w:rFonts w:ascii="Times New Roman" w:eastAsia="Times New Roman" w:hAnsi="Times New Roman"/>
      <w:sz w:val="24"/>
      <w:szCs w:val="24"/>
      <w:lang w:eastAsia="en-US"/>
    </w:rPr>
  </w:style>
  <w:style w:type="character" w:customStyle="1" w:styleId="st1">
    <w:name w:val="st1"/>
    <w:basedOn w:val="a0"/>
    <w:rsid w:val="00312B51"/>
  </w:style>
  <w:style w:type="character" w:customStyle="1" w:styleId="namevolno1">
    <w:name w:val="namevolno1"/>
    <w:rsid w:val="00312B51"/>
    <w:rPr>
      <w:i/>
      <w:iCs/>
    </w:rPr>
  </w:style>
  <w:style w:type="character" w:customStyle="1" w:styleId="issuedate1">
    <w:name w:val="issuedate1"/>
    <w:rsid w:val="00312B51"/>
    <w:rPr>
      <w:i/>
      <w:iCs/>
    </w:rPr>
  </w:style>
  <w:style w:type="paragraph" w:customStyle="1" w:styleId="Style2">
    <w:name w:val="Style2"/>
    <w:basedOn w:val="2"/>
    <w:link w:val="Style2Char"/>
    <w:qFormat/>
    <w:rsid w:val="00312B51"/>
    <w:rPr>
      <w:sz w:val="20"/>
      <w:szCs w:val="20"/>
    </w:rPr>
  </w:style>
  <w:style w:type="character" w:customStyle="1" w:styleId="Style2Char">
    <w:name w:val="Style2 Char"/>
    <w:link w:val="Style2"/>
    <w:rsid w:val="00312B51"/>
    <w:rPr>
      <w:rFonts w:ascii="Arial Bold" w:eastAsia="Times New Roman" w:hAnsi="Arial Bold" w:cs="Times New Roman"/>
      <w:b/>
      <w:color w:val="000000"/>
      <w:sz w:val="20"/>
      <w:szCs w:val="20"/>
    </w:rPr>
  </w:style>
  <w:style w:type="character" w:customStyle="1" w:styleId="gl3">
    <w:name w:val="gl3"/>
    <w:basedOn w:val="a0"/>
    <w:rsid w:val="00312B51"/>
  </w:style>
  <w:style w:type="paragraph" w:customStyle="1" w:styleId="Standaard">
    <w:name w:val="Standaard"/>
    <w:basedOn w:val="a"/>
    <w:next w:val="a"/>
    <w:uiPriority w:val="99"/>
    <w:rsid w:val="00312B51"/>
    <w:pPr>
      <w:autoSpaceDE w:val="0"/>
      <w:autoSpaceDN w:val="0"/>
      <w:adjustRightInd w:val="0"/>
    </w:pPr>
    <w:rPr>
      <w:rFonts w:eastAsia="Calibri"/>
      <w:lang w:eastAsia="en-AU"/>
    </w:rPr>
  </w:style>
  <w:style w:type="character" w:customStyle="1" w:styleId="googqs-tidbit-1">
    <w:name w:val="goog_qs-tidbit-1"/>
    <w:basedOn w:val="a0"/>
    <w:rsid w:val="00312B51"/>
  </w:style>
  <w:style w:type="character" w:customStyle="1" w:styleId="pages">
    <w:name w:val="pages"/>
    <w:basedOn w:val="a0"/>
    <w:rsid w:val="00312B51"/>
  </w:style>
  <w:style w:type="table" w:styleId="afff6">
    <w:name w:val="Table Grid"/>
    <w:basedOn w:val="a1"/>
    <w:uiPriority w:val="39"/>
    <w:rsid w:val="00F343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ff6"/>
    <w:uiPriority w:val="59"/>
    <w:rsid w:val="00A40B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ff6"/>
    <w:uiPriority w:val="59"/>
    <w:rsid w:val="008C190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ff6"/>
    <w:uiPriority w:val="59"/>
    <w:rsid w:val="000721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ff6"/>
    <w:uiPriority w:val="59"/>
    <w:rsid w:val="00993D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basedOn w:val="a0"/>
    <w:rsid w:val="00EF382A"/>
  </w:style>
  <w:style w:type="character" w:customStyle="1" w:styleId="nlmyear">
    <w:name w:val="nlm_year"/>
    <w:basedOn w:val="a0"/>
    <w:rsid w:val="00EF382A"/>
  </w:style>
  <w:style w:type="character" w:customStyle="1" w:styleId="nlmarticle-title">
    <w:name w:val="nlm_article-title"/>
    <w:basedOn w:val="a0"/>
    <w:rsid w:val="00EF382A"/>
  </w:style>
  <w:style w:type="character" w:customStyle="1" w:styleId="nlmfpage">
    <w:name w:val="nlm_fpage"/>
    <w:basedOn w:val="a0"/>
    <w:rsid w:val="00EF382A"/>
  </w:style>
  <w:style w:type="character" w:customStyle="1" w:styleId="nlmlpage">
    <w:name w:val="nlm_lpage"/>
    <w:basedOn w:val="a0"/>
    <w:rsid w:val="00EF382A"/>
  </w:style>
  <w:style w:type="table" w:styleId="6-3">
    <w:name w:val="List Table 6 Colorful Accent 3"/>
    <w:basedOn w:val="a1"/>
    <w:uiPriority w:val="51"/>
    <w:rsid w:val="00830932"/>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2">
    <w:name w:val="List Table 6 Colorful"/>
    <w:basedOn w:val="a1"/>
    <w:uiPriority w:val="51"/>
    <w:rsid w:val="0083093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3">
    <w:name w:val="樣式1"/>
    <w:basedOn w:val="a1"/>
    <w:uiPriority w:val="99"/>
    <w:rsid w:val="00331F4B"/>
    <w:tblPr>
      <w:tblBorders>
        <w:top w:val="single" w:sz="4" w:space="0" w:color="auto"/>
        <w:bottom w:val="single" w:sz="4" w:space="0" w:color="auto"/>
      </w:tblBorders>
    </w:tblPr>
  </w:style>
  <w:style w:type="character" w:styleId="afff7">
    <w:name w:val="line number"/>
    <w:basedOn w:val="a0"/>
    <w:uiPriority w:val="99"/>
    <w:semiHidden/>
    <w:unhideWhenUsed/>
    <w:rsid w:val="00C45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5850">
      <w:bodyDiv w:val="1"/>
      <w:marLeft w:val="0"/>
      <w:marRight w:val="0"/>
      <w:marTop w:val="0"/>
      <w:marBottom w:val="0"/>
      <w:divBdr>
        <w:top w:val="none" w:sz="0" w:space="0" w:color="auto"/>
        <w:left w:val="none" w:sz="0" w:space="0" w:color="auto"/>
        <w:bottom w:val="none" w:sz="0" w:space="0" w:color="auto"/>
        <w:right w:val="none" w:sz="0" w:space="0" w:color="auto"/>
      </w:divBdr>
    </w:div>
    <w:div w:id="217278048">
      <w:bodyDiv w:val="1"/>
      <w:marLeft w:val="0"/>
      <w:marRight w:val="0"/>
      <w:marTop w:val="0"/>
      <w:marBottom w:val="0"/>
      <w:divBdr>
        <w:top w:val="none" w:sz="0" w:space="0" w:color="auto"/>
        <w:left w:val="none" w:sz="0" w:space="0" w:color="auto"/>
        <w:bottom w:val="none" w:sz="0" w:space="0" w:color="auto"/>
        <w:right w:val="none" w:sz="0" w:space="0" w:color="auto"/>
      </w:divBdr>
    </w:div>
    <w:div w:id="243535216">
      <w:bodyDiv w:val="1"/>
      <w:marLeft w:val="0"/>
      <w:marRight w:val="0"/>
      <w:marTop w:val="0"/>
      <w:marBottom w:val="0"/>
      <w:divBdr>
        <w:top w:val="none" w:sz="0" w:space="0" w:color="auto"/>
        <w:left w:val="none" w:sz="0" w:space="0" w:color="auto"/>
        <w:bottom w:val="none" w:sz="0" w:space="0" w:color="auto"/>
        <w:right w:val="none" w:sz="0" w:space="0" w:color="auto"/>
      </w:divBdr>
      <w:divsChild>
        <w:div w:id="182404629">
          <w:marLeft w:val="0"/>
          <w:marRight w:val="0"/>
          <w:marTop w:val="0"/>
          <w:marBottom w:val="0"/>
          <w:divBdr>
            <w:top w:val="none" w:sz="0" w:space="0" w:color="auto"/>
            <w:left w:val="none" w:sz="0" w:space="0" w:color="auto"/>
            <w:bottom w:val="none" w:sz="0" w:space="0" w:color="auto"/>
            <w:right w:val="none" w:sz="0" w:space="0" w:color="auto"/>
          </w:divBdr>
        </w:div>
        <w:div w:id="705906203">
          <w:marLeft w:val="0"/>
          <w:marRight w:val="0"/>
          <w:marTop w:val="0"/>
          <w:marBottom w:val="0"/>
          <w:divBdr>
            <w:top w:val="none" w:sz="0" w:space="0" w:color="auto"/>
            <w:left w:val="none" w:sz="0" w:space="0" w:color="auto"/>
            <w:bottom w:val="none" w:sz="0" w:space="0" w:color="auto"/>
            <w:right w:val="none" w:sz="0" w:space="0" w:color="auto"/>
          </w:divBdr>
        </w:div>
        <w:div w:id="1170485314">
          <w:marLeft w:val="0"/>
          <w:marRight w:val="0"/>
          <w:marTop w:val="0"/>
          <w:marBottom w:val="0"/>
          <w:divBdr>
            <w:top w:val="none" w:sz="0" w:space="0" w:color="auto"/>
            <w:left w:val="none" w:sz="0" w:space="0" w:color="auto"/>
            <w:bottom w:val="none" w:sz="0" w:space="0" w:color="auto"/>
            <w:right w:val="none" w:sz="0" w:space="0" w:color="auto"/>
          </w:divBdr>
        </w:div>
        <w:div w:id="1633174286">
          <w:marLeft w:val="0"/>
          <w:marRight w:val="0"/>
          <w:marTop w:val="0"/>
          <w:marBottom w:val="0"/>
          <w:divBdr>
            <w:top w:val="none" w:sz="0" w:space="0" w:color="auto"/>
            <w:left w:val="none" w:sz="0" w:space="0" w:color="auto"/>
            <w:bottom w:val="none" w:sz="0" w:space="0" w:color="auto"/>
            <w:right w:val="none" w:sz="0" w:space="0" w:color="auto"/>
          </w:divBdr>
        </w:div>
        <w:div w:id="1753089331">
          <w:marLeft w:val="0"/>
          <w:marRight w:val="0"/>
          <w:marTop w:val="0"/>
          <w:marBottom w:val="0"/>
          <w:divBdr>
            <w:top w:val="none" w:sz="0" w:space="0" w:color="auto"/>
            <w:left w:val="none" w:sz="0" w:space="0" w:color="auto"/>
            <w:bottom w:val="none" w:sz="0" w:space="0" w:color="auto"/>
            <w:right w:val="none" w:sz="0" w:space="0" w:color="auto"/>
          </w:divBdr>
        </w:div>
        <w:div w:id="2012833315">
          <w:marLeft w:val="0"/>
          <w:marRight w:val="0"/>
          <w:marTop w:val="0"/>
          <w:marBottom w:val="0"/>
          <w:divBdr>
            <w:top w:val="none" w:sz="0" w:space="0" w:color="auto"/>
            <w:left w:val="none" w:sz="0" w:space="0" w:color="auto"/>
            <w:bottom w:val="none" w:sz="0" w:space="0" w:color="auto"/>
            <w:right w:val="none" w:sz="0" w:space="0" w:color="auto"/>
          </w:divBdr>
        </w:div>
        <w:div w:id="2140300815">
          <w:marLeft w:val="0"/>
          <w:marRight w:val="0"/>
          <w:marTop w:val="0"/>
          <w:marBottom w:val="0"/>
          <w:divBdr>
            <w:top w:val="none" w:sz="0" w:space="0" w:color="auto"/>
            <w:left w:val="none" w:sz="0" w:space="0" w:color="auto"/>
            <w:bottom w:val="none" w:sz="0" w:space="0" w:color="auto"/>
            <w:right w:val="none" w:sz="0" w:space="0" w:color="auto"/>
          </w:divBdr>
        </w:div>
      </w:divsChild>
    </w:div>
    <w:div w:id="262107951">
      <w:bodyDiv w:val="1"/>
      <w:marLeft w:val="0"/>
      <w:marRight w:val="0"/>
      <w:marTop w:val="0"/>
      <w:marBottom w:val="0"/>
      <w:divBdr>
        <w:top w:val="none" w:sz="0" w:space="0" w:color="auto"/>
        <w:left w:val="none" w:sz="0" w:space="0" w:color="auto"/>
        <w:bottom w:val="none" w:sz="0" w:space="0" w:color="auto"/>
        <w:right w:val="none" w:sz="0" w:space="0" w:color="auto"/>
      </w:divBdr>
      <w:divsChild>
        <w:div w:id="1482427132">
          <w:marLeft w:val="0"/>
          <w:marRight w:val="0"/>
          <w:marTop w:val="0"/>
          <w:marBottom w:val="0"/>
          <w:divBdr>
            <w:top w:val="none" w:sz="0" w:space="0" w:color="auto"/>
            <w:left w:val="none" w:sz="0" w:space="0" w:color="auto"/>
            <w:bottom w:val="none" w:sz="0" w:space="0" w:color="auto"/>
            <w:right w:val="none" w:sz="0" w:space="0" w:color="auto"/>
          </w:divBdr>
        </w:div>
        <w:div w:id="1599211464">
          <w:marLeft w:val="0"/>
          <w:marRight w:val="0"/>
          <w:marTop w:val="0"/>
          <w:marBottom w:val="0"/>
          <w:divBdr>
            <w:top w:val="none" w:sz="0" w:space="0" w:color="auto"/>
            <w:left w:val="none" w:sz="0" w:space="0" w:color="auto"/>
            <w:bottom w:val="none" w:sz="0" w:space="0" w:color="auto"/>
            <w:right w:val="none" w:sz="0" w:space="0" w:color="auto"/>
          </w:divBdr>
        </w:div>
        <w:div w:id="1805266549">
          <w:marLeft w:val="0"/>
          <w:marRight w:val="0"/>
          <w:marTop w:val="0"/>
          <w:marBottom w:val="0"/>
          <w:divBdr>
            <w:top w:val="none" w:sz="0" w:space="0" w:color="auto"/>
            <w:left w:val="none" w:sz="0" w:space="0" w:color="auto"/>
            <w:bottom w:val="none" w:sz="0" w:space="0" w:color="auto"/>
            <w:right w:val="none" w:sz="0" w:space="0" w:color="auto"/>
          </w:divBdr>
        </w:div>
        <w:div w:id="1884712520">
          <w:marLeft w:val="0"/>
          <w:marRight w:val="0"/>
          <w:marTop w:val="0"/>
          <w:marBottom w:val="0"/>
          <w:divBdr>
            <w:top w:val="none" w:sz="0" w:space="0" w:color="auto"/>
            <w:left w:val="none" w:sz="0" w:space="0" w:color="auto"/>
            <w:bottom w:val="none" w:sz="0" w:space="0" w:color="auto"/>
            <w:right w:val="none" w:sz="0" w:space="0" w:color="auto"/>
          </w:divBdr>
        </w:div>
      </w:divsChild>
    </w:div>
    <w:div w:id="461389488">
      <w:bodyDiv w:val="1"/>
      <w:marLeft w:val="0"/>
      <w:marRight w:val="0"/>
      <w:marTop w:val="0"/>
      <w:marBottom w:val="0"/>
      <w:divBdr>
        <w:top w:val="none" w:sz="0" w:space="0" w:color="auto"/>
        <w:left w:val="none" w:sz="0" w:space="0" w:color="auto"/>
        <w:bottom w:val="none" w:sz="0" w:space="0" w:color="auto"/>
        <w:right w:val="none" w:sz="0" w:space="0" w:color="auto"/>
      </w:divBdr>
    </w:div>
    <w:div w:id="540824500">
      <w:bodyDiv w:val="1"/>
      <w:marLeft w:val="0"/>
      <w:marRight w:val="0"/>
      <w:marTop w:val="0"/>
      <w:marBottom w:val="0"/>
      <w:divBdr>
        <w:top w:val="none" w:sz="0" w:space="0" w:color="auto"/>
        <w:left w:val="none" w:sz="0" w:space="0" w:color="auto"/>
        <w:bottom w:val="none" w:sz="0" w:space="0" w:color="auto"/>
        <w:right w:val="none" w:sz="0" w:space="0" w:color="auto"/>
      </w:divBdr>
    </w:div>
    <w:div w:id="730621907">
      <w:bodyDiv w:val="1"/>
      <w:marLeft w:val="0"/>
      <w:marRight w:val="0"/>
      <w:marTop w:val="0"/>
      <w:marBottom w:val="0"/>
      <w:divBdr>
        <w:top w:val="none" w:sz="0" w:space="0" w:color="auto"/>
        <w:left w:val="none" w:sz="0" w:space="0" w:color="auto"/>
        <w:bottom w:val="none" w:sz="0" w:space="0" w:color="auto"/>
        <w:right w:val="none" w:sz="0" w:space="0" w:color="auto"/>
      </w:divBdr>
    </w:div>
    <w:div w:id="827132078">
      <w:bodyDiv w:val="1"/>
      <w:marLeft w:val="0"/>
      <w:marRight w:val="0"/>
      <w:marTop w:val="0"/>
      <w:marBottom w:val="0"/>
      <w:divBdr>
        <w:top w:val="none" w:sz="0" w:space="0" w:color="auto"/>
        <w:left w:val="none" w:sz="0" w:space="0" w:color="auto"/>
        <w:bottom w:val="none" w:sz="0" w:space="0" w:color="auto"/>
        <w:right w:val="none" w:sz="0" w:space="0" w:color="auto"/>
      </w:divBdr>
    </w:div>
    <w:div w:id="849107676">
      <w:bodyDiv w:val="1"/>
      <w:marLeft w:val="0"/>
      <w:marRight w:val="0"/>
      <w:marTop w:val="0"/>
      <w:marBottom w:val="0"/>
      <w:divBdr>
        <w:top w:val="none" w:sz="0" w:space="0" w:color="auto"/>
        <w:left w:val="none" w:sz="0" w:space="0" w:color="auto"/>
        <w:bottom w:val="none" w:sz="0" w:space="0" w:color="auto"/>
        <w:right w:val="none" w:sz="0" w:space="0" w:color="auto"/>
      </w:divBdr>
    </w:div>
    <w:div w:id="938835865">
      <w:bodyDiv w:val="1"/>
      <w:marLeft w:val="0"/>
      <w:marRight w:val="0"/>
      <w:marTop w:val="0"/>
      <w:marBottom w:val="0"/>
      <w:divBdr>
        <w:top w:val="none" w:sz="0" w:space="0" w:color="auto"/>
        <w:left w:val="none" w:sz="0" w:space="0" w:color="auto"/>
        <w:bottom w:val="none" w:sz="0" w:space="0" w:color="auto"/>
        <w:right w:val="none" w:sz="0" w:space="0" w:color="auto"/>
      </w:divBdr>
      <w:divsChild>
        <w:div w:id="444691530">
          <w:marLeft w:val="0"/>
          <w:marRight w:val="0"/>
          <w:marTop w:val="0"/>
          <w:marBottom w:val="0"/>
          <w:divBdr>
            <w:top w:val="none" w:sz="0" w:space="0" w:color="auto"/>
            <w:left w:val="none" w:sz="0" w:space="0" w:color="auto"/>
            <w:bottom w:val="none" w:sz="0" w:space="0" w:color="auto"/>
            <w:right w:val="none" w:sz="0" w:space="0" w:color="auto"/>
          </w:divBdr>
        </w:div>
        <w:div w:id="893931725">
          <w:marLeft w:val="0"/>
          <w:marRight w:val="0"/>
          <w:marTop w:val="0"/>
          <w:marBottom w:val="0"/>
          <w:divBdr>
            <w:top w:val="none" w:sz="0" w:space="0" w:color="auto"/>
            <w:left w:val="none" w:sz="0" w:space="0" w:color="auto"/>
            <w:bottom w:val="none" w:sz="0" w:space="0" w:color="auto"/>
            <w:right w:val="none" w:sz="0" w:space="0" w:color="auto"/>
          </w:divBdr>
        </w:div>
        <w:div w:id="936866583">
          <w:marLeft w:val="0"/>
          <w:marRight w:val="0"/>
          <w:marTop w:val="0"/>
          <w:marBottom w:val="0"/>
          <w:divBdr>
            <w:top w:val="none" w:sz="0" w:space="0" w:color="auto"/>
            <w:left w:val="none" w:sz="0" w:space="0" w:color="auto"/>
            <w:bottom w:val="none" w:sz="0" w:space="0" w:color="auto"/>
            <w:right w:val="none" w:sz="0" w:space="0" w:color="auto"/>
          </w:divBdr>
        </w:div>
        <w:div w:id="1476600945">
          <w:marLeft w:val="0"/>
          <w:marRight w:val="0"/>
          <w:marTop w:val="0"/>
          <w:marBottom w:val="0"/>
          <w:divBdr>
            <w:top w:val="none" w:sz="0" w:space="0" w:color="auto"/>
            <w:left w:val="none" w:sz="0" w:space="0" w:color="auto"/>
            <w:bottom w:val="none" w:sz="0" w:space="0" w:color="auto"/>
            <w:right w:val="none" w:sz="0" w:space="0" w:color="auto"/>
          </w:divBdr>
        </w:div>
        <w:div w:id="1481381848">
          <w:marLeft w:val="0"/>
          <w:marRight w:val="0"/>
          <w:marTop w:val="0"/>
          <w:marBottom w:val="0"/>
          <w:divBdr>
            <w:top w:val="none" w:sz="0" w:space="0" w:color="auto"/>
            <w:left w:val="none" w:sz="0" w:space="0" w:color="auto"/>
            <w:bottom w:val="none" w:sz="0" w:space="0" w:color="auto"/>
            <w:right w:val="none" w:sz="0" w:space="0" w:color="auto"/>
          </w:divBdr>
        </w:div>
        <w:div w:id="1488591018">
          <w:marLeft w:val="0"/>
          <w:marRight w:val="0"/>
          <w:marTop w:val="0"/>
          <w:marBottom w:val="0"/>
          <w:divBdr>
            <w:top w:val="none" w:sz="0" w:space="0" w:color="auto"/>
            <w:left w:val="none" w:sz="0" w:space="0" w:color="auto"/>
            <w:bottom w:val="none" w:sz="0" w:space="0" w:color="auto"/>
            <w:right w:val="none" w:sz="0" w:space="0" w:color="auto"/>
          </w:divBdr>
        </w:div>
        <w:div w:id="1636596119">
          <w:marLeft w:val="0"/>
          <w:marRight w:val="0"/>
          <w:marTop w:val="0"/>
          <w:marBottom w:val="0"/>
          <w:divBdr>
            <w:top w:val="none" w:sz="0" w:space="0" w:color="auto"/>
            <w:left w:val="none" w:sz="0" w:space="0" w:color="auto"/>
            <w:bottom w:val="none" w:sz="0" w:space="0" w:color="auto"/>
            <w:right w:val="none" w:sz="0" w:space="0" w:color="auto"/>
          </w:divBdr>
        </w:div>
      </w:divsChild>
    </w:div>
    <w:div w:id="953562626">
      <w:bodyDiv w:val="1"/>
      <w:marLeft w:val="0"/>
      <w:marRight w:val="0"/>
      <w:marTop w:val="0"/>
      <w:marBottom w:val="0"/>
      <w:divBdr>
        <w:top w:val="none" w:sz="0" w:space="0" w:color="auto"/>
        <w:left w:val="none" w:sz="0" w:space="0" w:color="auto"/>
        <w:bottom w:val="none" w:sz="0" w:space="0" w:color="auto"/>
        <w:right w:val="none" w:sz="0" w:space="0" w:color="auto"/>
      </w:divBdr>
      <w:divsChild>
        <w:div w:id="998967687">
          <w:marLeft w:val="0"/>
          <w:marRight w:val="0"/>
          <w:marTop w:val="0"/>
          <w:marBottom w:val="0"/>
          <w:divBdr>
            <w:top w:val="none" w:sz="0" w:space="0" w:color="auto"/>
            <w:left w:val="none" w:sz="0" w:space="0" w:color="auto"/>
            <w:bottom w:val="none" w:sz="0" w:space="0" w:color="auto"/>
            <w:right w:val="none" w:sz="0" w:space="0" w:color="auto"/>
          </w:divBdr>
        </w:div>
        <w:div w:id="430273935">
          <w:marLeft w:val="0"/>
          <w:marRight w:val="0"/>
          <w:marTop w:val="0"/>
          <w:marBottom w:val="0"/>
          <w:divBdr>
            <w:top w:val="none" w:sz="0" w:space="0" w:color="auto"/>
            <w:left w:val="none" w:sz="0" w:space="0" w:color="auto"/>
            <w:bottom w:val="none" w:sz="0" w:space="0" w:color="auto"/>
            <w:right w:val="none" w:sz="0" w:space="0" w:color="auto"/>
          </w:divBdr>
        </w:div>
        <w:div w:id="690110540">
          <w:marLeft w:val="0"/>
          <w:marRight w:val="0"/>
          <w:marTop w:val="0"/>
          <w:marBottom w:val="0"/>
          <w:divBdr>
            <w:top w:val="none" w:sz="0" w:space="0" w:color="auto"/>
            <w:left w:val="none" w:sz="0" w:space="0" w:color="auto"/>
            <w:bottom w:val="none" w:sz="0" w:space="0" w:color="auto"/>
            <w:right w:val="none" w:sz="0" w:space="0" w:color="auto"/>
          </w:divBdr>
        </w:div>
        <w:div w:id="897394729">
          <w:marLeft w:val="0"/>
          <w:marRight w:val="0"/>
          <w:marTop w:val="0"/>
          <w:marBottom w:val="0"/>
          <w:divBdr>
            <w:top w:val="none" w:sz="0" w:space="0" w:color="auto"/>
            <w:left w:val="none" w:sz="0" w:space="0" w:color="auto"/>
            <w:bottom w:val="none" w:sz="0" w:space="0" w:color="auto"/>
            <w:right w:val="none" w:sz="0" w:space="0" w:color="auto"/>
          </w:divBdr>
        </w:div>
        <w:div w:id="1286472848">
          <w:marLeft w:val="0"/>
          <w:marRight w:val="0"/>
          <w:marTop w:val="0"/>
          <w:marBottom w:val="0"/>
          <w:divBdr>
            <w:top w:val="none" w:sz="0" w:space="0" w:color="auto"/>
            <w:left w:val="none" w:sz="0" w:space="0" w:color="auto"/>
            <w:bottom w:val="none" w:sz="0" w:space="0" w:color="auto"/>
            <w:right w:val="none" w:sz="0" w:space="0" w:color="auto"/>
          </w:divBdr>
        </w:div>
        <w:div w:id="244846087">
          <w:marLeft w:val="0"/>
          <w:marRight w:val="0"/>
          <w:marTop w:val="0"/>
          <w:marBottom w:val="0"/>
          <w:divBdr>
            <w:top w:val="none" w:sz="0" w:space="0" w:color="auto"/>
            <w:left w:val="none" w:sz="0" w:space="0" w:color="auto"/>
            <w:bottom w:val="none" w:sz="0" w:space="0" w:color="auto"/>
            <w:right w:val="none" w:sz="0" w:space="0" w:color="auto"/>
          </w:divBdr>
        </w:div>
      </w:divsChild>
    </w:div>
    <w:div w:id="991249128">
      <w:bodyDiv w:val="1"/>
      <w:marLeft w:val="0"/>
      <w:marRight w:val="0"/>
      <w:marTop w:val="0"/>
      <w:marBottom w:val="0"/>
      <w:divBdr>
        <w:top w:val="none" w:sz="0" w:space="0" w:color="auto"/>
        <w:left w:val="none" w:sz="0" w:space="0" w:color="auto"/>
        <w:bottom w:val="none" w:sz="0" w:space="0" w:color="auto"/>
        <w:right w:val="none" w:sz="0" w:space="0" w:color="auto"/>
      </w:divBdr>
    </w:div>
    <w:div w:id="1129133166">
      <w:bodyDiv w:val="1"/>
      <w:marLeft w:val="0"/>
      <w:marRight w:val="0"/>
      <w:marTop w:val="0"/>
      <w:marBottom w:val="0"/>
      <w:divBdr>
        <w:top w:val="none" w:sz="0" w:space="0" w:color="auto"/>
        <w:left w:val="none" w:sz="0" w:space="0" w:color="auto"/>
        <w:bottom w:val="none" w:sz="0" w:space="0" w:color="auto"/>
        <w:right w:val="none" w:sz="0" w:space="0" w:color="auto"/>
      </w:divBdr>
    </w:div>
    <w:div w:id="1157187482">
      <w:bodyDiv w:val="1"/>
      <w:marLeft w:val="0"/>
      <w:marRight w:val="0"/>
      <w:marTop w:val="0"/>
      <w:marBottom w:val="0"/>
      <w:divBdr>
        <w:top w:val="none" w:sz="0" w:space="0" w:color="auto"/>
        <w:left w:val="none" w:sz="0" w:space="0" w:color="auto"/>
        <w:bottom w:val="none" w:sz="0" w:space="0" w:color="auto"/>
        <w:right w:val="none" w:sz="0" w:space="0" w:color="auto"/>
      </w:divBdr>
    </w:div>
    <w:div w:id="1291087214">
      <w:bodyDiv w:val="1"/>
      <w:marLeft w:val="0"/>
      <w:marRight w:val="0"/>
      <w:marTop w:val="0"/>
      <w:marBottom w:val="0"/>
      <w:divBdr>
        <w:top w:val="none" w:sz="0" w:space="0" w:color="auto"/>
        <w:left w:val="none" w:sz="0" w:space="0" w:color="auto"/>
        <w:bottom w:val="none" w:sz="0" w:space="0" w:color="auto"/>
        <w:right w:val="none" w:sz="0" w:space="0" w:color="auto"/>
      </w:divBdr>
    </w:div>
    <w:div w:id="1291741321">
      <w:bodyDiv w:val="1"/>
      <w:marLeft w:val="0"/>
      <w:marRight w:val="0"/>
      <w:marTop w:val="0"/>
      <w:marBottom w:val="0"/>
      <w:divBdr>
        <w:top w:val="none" w:sz="0" w:space="0" w:color="auto"/>
        <w:left w:val="none" w:sz="0" w:space="0" w:color="auto"/>
        <w:bottom w:val="none" w:sz="0" w:space="0" w:color="auto"/>
        <w:right w:val="none" w:sz="0" w:space="0" w:color="auto"/>
      </w:divBdr>
    </w:div>
    <w:div w:id="1407848107">
      <w:bodyDiv w:val="1"/>
      <w:marLeft w:val="0"/>
      <w:marRight w:val="0"/>
      <w:marTop w:val="0"/>
      <w:marBottom w:val="0"/>
      <w:divBdr>
        <w:top w:val="none" w:sz="0" w:space="0" w:color="auto"/>
        <w:left w:val="none" w:sz="0" w:space="0" w:color="auto"/>
        <w:bottom w:val="none" w:sz="0" w:space="0" w:color="auto"/>
        <w:right w:val="none" w:sz="0" w:space="0" w:color="auto"/>
      </w:divBdr>
      <w:divsChild>
        <w:div w:id="72163916">
          <w:marLeft w:val="0"/>
          <w:marRight w:val="0"/>
          <w:marTop w:val="0"/>
          <w:marBottom w:val="0"/>
          <w:divBdr>
            <w:top w:val="none" w:sz="0" w:space="0" w:color="auto"/>
            <w:left w:val="none" w:sz="0" w:space="0" w:color="auto"/>
            <w:bottom w:val="none" w:sz="0" w:space="0" w:color="auto"/>
            <w:right w:val="none" w:sz="0" w:space="0" w:color="auto"/>
          </w:divBdr>
        </w:div>
        <w:div w:id="161237783">
          <w:marLeft w:val="0"/>
          <w:marRight w:val="0"/>
          <w:marTop w:val="0"/>
          <w:marBottom w:val="0"/>
          <w:divBdr>
            <w:top w:val="none" w:sz="0" w:space="0" w:color="auto"/>
            <w:left w:val="none" w:sz="0" w:space="0" w:color="auto"/>
            <w:bottom w:val="none" w:sz="0" w:space="0" w:color="auto"/>
            <w:right w:val="none" w:sz="0" w:space="0" w:color="auto"/>
          </w:divBdr>
        </w:div>
        <w:div w:id="274870498">
          <w:marLeft w:val="0"/>
          <w:marRight w:val="0"/>
          <w:marTop w:val="0"/>
          <w:marBottom w:val="0"/>
          <w:divBdr>
            <w:top w:val="none" w:sz="0" w:space="0" w:color="auto"/>
            <w:left w:val="none" w:sz="0" w:space="0" w:color="auto"/>
            <w:bottom w:val="none" w:sz="0" w:space="0" w:color="auto"/>
            <w:right w:val="none" w:sz="0" w:space="0" w:color="auto"/>
          </w:divBdr>
        </w:div>
        <w:div w:id="396905791">
          <w:marLeft w:val="0"/>
          <w:marRight w:val="0"/>
          <w:marTop w:val="0"/>
          <w:marBottom w:val="0"/>
          <w:divBdr>
            <w:top w:val="none" w:sz="0" w:space="0" w:color="auto"/>
            <w:left w:val="none" w:sz="0" w:space="0" w:color="auto"/>
            <w:bottom w:val="none" w:sz="0" w:space="0" w:color="auto"/>
            <w:right w:val="none" w:sz="0" w:space="0" w:color="auto"/>
          </w:divBdr>
        </w:div>
        <w:div w:id="1183470975">
          <w:marLeft w:val="0"/>
          <w:marRight w:val="0"/>
          <w:marTop w:val="0"/>
          <w:marBottom w:val="0"/>
          <w:divBdr>
            <w:top w:val="none" w:sz="0" w:space="0" w:color="auto"/>
            <w:left w:val="none" w:sz="0" w:space="0" w:color="auto"/>
            <w:bottom w:val="none" w:sz="0" w:space="0" w:color="auto"/>
            <w:right w:val="none" w:sz="0" w:space="0" w:color="auto"/>
          </w:divBdr>
        </w:div>
        <w:div w:id="1420173061">
          <w:marLeft w:val="0"/>
          <w:marRight w:val="0"/>
          <w:marTop w:val="0"/>
          <w:marBottom w:val="0"/>
          <w:divBdr>
            <w:top w:val="none" w:sz="0" w:space="0" w:color="auto"/>
            <w:left w:val="none" w:sz="0" w:space="0" w:color="auto"/>
            <w:bottom w:val="none" w:sz="0" w:space="0" w:color="auto"/>
            <w:right w:val="none" w:sz="0" w:space="0" w:color="auto"/>
          </w:divBdr>
        </w:div>
      </w:divsChild>
    </w:div>
    <w:div w:id="1485732966">
      <w:bodyDiv w:val="1"/>
      <w:marLeft w:val="0"/>
      <w:marRight w:val="0"/>
      <w:marTop w:val="0"/>
      <w:marBottom w:val="0"/>
      <w:divBdr>
        <w:top w:val="none" w:sz="0" w:space="0" w:color="auto"/>
        <w:left w:val="none" w:sz="0" w:space="0" w:color="auto"/>
        <w:bottom w:val="none" w:sz="0" w:space="0" w:color="auto"/>
        <w:right w:val="none" w:sz="0" w:space="0" w:color="auto"/>
      </w:divBdr>
      <w:divsChild>
        <w:div w:id="466312773">
          <w:marLeft w:val="0"/>
          <w:marRight w:val="0"/>
          <w:marTop w:val="0"/>
          <w:marBottom w:val="0"/>
          <w:divBdr>
            <w:top w:val="none" w:sz="0" w:space="0" w:color="auto"/>
            <w:left w:val="none" w:sz="0" w:space="0" w:color="auto"/>
            <w:bottom w:val="none" w:sz="0" w:space="0" w:color="auto"/>
            <w:right w:val="none" w:sz="0" w:space="0" w:color="auto"/>
          </w:divBdr>
        </w:div>
        <w:div w:id="589509785">
          <w:marLeft w:val="0"/>
          <w:marRight w:val="0"/>
          <w:marTop w:val="0"/>
          <w:marBottom w:val="0"/>
          <w:divBdr>
            <w:top w:val="none" w:sz="0" w:space="0" w:color="auto"/>
            <w:left w:val="none" w:sz="0" w:space="0" w:color="auto"/>
            <w:bottom w:val="none" w:sz="0" w:space="0" w:color="auto"/>
            <w:right w:val="none" w:sz="0" w:space="0" w:color="auto"/>
          </w:divBdr>
        </w:div>
        <w:div w:id="771439179">
          <w:marLeft w:val="0"/>
          <w:marRight w:val="0"/>
          <w:marTop w:val="0"/>
          <w:marBottom w:val="0"/>
          <w:divBdr>
            <w:top w:val="none" w:sz="0" w:space="0" w:color="auto"/>
            <w:left w:val="none" w:sz="0" w:space="0" w:color="auto"/>
            <w:bottom w:val="none" w:sz="0" w:space="0" w:color="auto"/>
            <w:right w:val="none" w:sz="0" w:space="0" w:color="auto"/>
          </w:divBdr>
        </w:div>
        <w:div w:id="1538662011">
          <w:marLeft w:val="0"/>
          <w:marRight w:val="0"/>
          <w:marTop w:val="0"/>
          <w:marBottom w:val="0"/>
          <w:divBdr>
            <w:top w:val="none" w:sz="0" w:space="0" w:color="auto"/>
            <w:left w:val="none" w:sz="0" w:space="0" w:color="auto"/>
            <w:bottom w:val="none" w:sz="0" w:space="0" w:color="auto"/>
            <w:right w:val="none" w:sz="0" w:space="0" w:color="auto"/>
          </w:divBdr>
        </w:div>
        <w:div w:id="1566989515">
          <w:marLeft w:val="0"/>
          <w:marRight w:val="0"/>
          <w:marTop w:val="0"/>
          <w:marBottom w:val="0"/>
          <w:divBdr>
            <w:top w:val="none" w:sz="0" w:space="0" w:color="auto"/>
            <w:left w:val="none" w:sz="0" w:space="0" w:color="auto"/>
            <w:bottom w:val="none" w:sz="0" w:space="0" w:color="auto"/>
            <w:right w:val="none" w:sz="0" w:space="0" w:color="auto"/>
          </w:divBdr>
        </w:div>
        <w:div w:id="1909261626">
          <w:marLeft w:val="0"/>
          <w:marRight w:val="0"/>
          <w:marTop w:val="0"/>
          <w:marBottom w:val="0"/>
          <w:divBdr>
            <w:top w:val="none" w:sz="0" w:space="0" w:color="auto"/>
            <w:left w:val="none" w:sz="0" w:space="0" w:color="auto"/>
            <w:bottom w:val="none" w:sz="0" w:space="0" w:color="auto"/>
            <w:right w:val="none" w:sz="0" w:space="0" w:color="auto"/>
          </w:divBdr>
        </w:div>
      </w:divsChild>
    </w:div>
    <w:div w:id="1615400096">
      <w:bodyDiv w:val="1"/>
      <w:marLeft w:val="0"/>
      <w:marRight w:val="0"/>
      <w:marTop w:val="0"/>
      <w:marBottom w:val="0"/>
      <w:divBdr>
        <w:top w:val="none" w:sz="0" w:space="0" w:color="auto"/>
        <w:left w:val="none" w:sz="0" w:space="0" w:color="auto"/>
        <w:bottom w:val="none" w:sz="0" w:space="0" w:color="auto"/>
        <w:right w:val="none" w:sz="0" w:space="0" w:color="auto"/>
      </w:divBdr>
    </w:div>
    <w:div w:id="1629781882">
      <w:bodyDiv w:val="1"/>
      <w:marLeft w:val="0"/>
      <w:marRight w:val="0"/>
      <w:marTop w:val="0"/>
      <w:marBottom w:val="0"/>
      <w:divBdr>
        <w:top w:val="none" w:sz="0" w:space="0" w:color="auto"/>
        <w:left w:val="none" w:sz="0" w:space="0" w:color="auto"/>
        <w:bottom w:val="none" w:sz="0" w:space="0" w:color="auto"/>
        <w:right w:val="none" w:sz="0" w:space="0" w:color="auto"/>
      </w:divBdr>
    </w:div>
    <w:div w:id="1684092941">
      <w:bodyDiv w:val="1"/>
      <w:marLeft w:val="0"/>
      <w:marRight w:val="0"/>
      <w:marTop w:val="0"/>
      <w:marBottom w:val="0"/>
      <w:divBdr>
        <w:top w:val="none" w:sz="0" w:space="0" w:color="auto"/>
        <w:left w:val="none" w:sz="0" w:space="0" w:color="auto"/>
        <w:bottom w:val="none" w:sz="0" w:space="0" w:color="auto"/>
        <w:right w:val="none" w:sz="0" w:space="0" w:color="auto"/>
      </w:divBdr>
      <w:divsChild>
        <w:div w:id="216012823">
          <w:marLeft w:val="0"/>
          <w:marRight w:val="0"/>
          <w:marTop w:val="0"/>
          <w:marBottom w:val="0"/>
          <w:divBdr>
            <w:top w:val="none" w:sz="0" w:space="0" w:color="auto"/>
            <w:left w:val="none" w:sz="0" w:space="0" w:color="auto"/>
            <w:bottom w:val="none" w:sz="0" w:space="0" w:color="auto"/>
            <w:right w:val="none" w:sz="0" w:space="0" w:color="auto"/>
          </w:divBdr>
        </w:div>
        <w:div w:id="835919560">
          <w:marLeft w:val="0"/>
          <w:marRight w:val="0"/>
          <w:marTop w:val="0"/>
          <w:marBottom w:val="0"/>
          <w:divBdr>
            <w:top w:val="none" w:sz="0" w:space="0" w:color="auto"/>
            <w:left w:val="none" w:sz="0" w:space="0" w:color="auto"/>
            <w:bottom w:val="none" w:sz="0" w:space="0" w:color="auto"/>
            <w:right w:val="none" w:sz="0" w:space="0" w:color="auto"/>
          </w:divBdr>
        </w:div>
      </w:divsChild>
    </w:div>
    <w:div w:id="1695885882">
      <w:bodyDiv w:val="1"/>
      <w:marLeft w:val="0"/>
      <w:marRight w:val="0"/>
      <w:marTop w:val="0"/>
      <w:marBottom w:val="0"/>
      <w:divBdr>
        <w:top w:val="none" w:sz="0" w:space="0" w:color="auto"/>
        <w:left w:val="none" w:sz="0" w:space="0" w:color="auto"/>
        <w:bottom w:val="none" w:sz="0" w:space="0" w:color="auto"/>
        <w:right w:val="none" w:sz="0" w:space="0" w:color="auto"/>
      </w:divBdr>
    </w:div>
    <w:div w:id="1725986199">
      <w:bodyDiv w:val="1"/>
      <w:marLeft w:val="0"/>
      <w:marRight w:val="0"/>
      <w:marTop w:val="0"/>
      <w:marBottom w:val="0"/>
      <w:divBdr>
        <w:top w:val="none" w:sz="0" w:space="0" w:color="auto"/>
        <w:left w:val="none" w:sz="0" w:space="0" w:color="auto"/>
        <w:bottom w:val="none" w:sz="0" w:space="0" w:color="auto"/>
        <w:right w:val="none" w:sz="0" w:space="0" w:color="auto"/>
      </w:divBdr>
      <w:divsChild>
        <w:div w:id="331101834">
          <w:marLeft w:val="0"/>
          <w:marRight w:val="0"/>
          <w:marTop w:val="0"/>
          <w:marBottom w:val="0"/>
          <w:divBdr>
            <w:top w:val="none" w:sz="0" w:space="0" w:color="auto"/>
            <w:left w:val="none" w:sz="0" w:space="0" w:color="auto"/>
            <w:bottom w:val="none" w:sz="0" w:space="0" w:color="auto"/>
            <w:right w:val="none" w:sz="0" w:space="0" w:color="auto"/>
          </w:divBdr>
        </w:div>
        <w:div w:id="924345457">
          <w:marLeft w:val="0"/>
          <w:marRight w:val="0"/>
          <w:marTop w:val="0"/>
          <w:marBottom w:val="0"/>
          <w:divBdr>
            <w:top w:val="none" w:sz="0" w:space="0" w:color="auto"/>
            <w:left w:val="none" w:sz="0" w:space="0" w:color="auto"/>
            <w:bottom w:val="none" w:sz="0" w:space="0" w:color="auto"/>
            <w:right w:val="none" w:sz="0" w:space="0" w:color="auto"/>
          </w:divBdr>
        </w:div>
        <w:div w:id="1083844650">
          <w:marLeft w:val="0"/>
          <w:marRight w:val="0"/>
          <w:marTop w:val="0"/>
          <w:marBottom w:val="0"/>
          <w:divBdr>
            <w:top w:val="none" w:sz="0" w:space="0" w:color="auto"/>
            <w:left w:val="none" w:sz="0" w:space="0" w:color="auto"/>
            <w:bottom w:val="none" w:sz="0" w:space="0" w:color="auto"/>
            <w:right w:val="none" w:sz="0" w:space="0" w:color="auto"/>
          </w:divBdr>
        </w:div>
        <w:div w:id="1418207319">
          <w:marLeft w:val="0"/>
          <w:marRight w:val="0"/>
          <w:marTop w:val="0"/>
          <w:marBottom w:val="0"/>
          <w:divBdr>
            <w:top w:val="none" w:sz="0" w:space="0" w:color="auto"/>
            <w:left w:val="none" w:sz="0" w:space="0" w:color="auto"/>
            <w:bottom w:val="none" w:sz="0" w:space="0" w:color="auto"/>
            <w:right w:val="none" w:sz="0" w:space="0" w:color="auto"/>
          </w:divBdr>
        </w:div>
        <w:div w:id="1646425857">
          <w:marLeft w:val="0"/>
          <w:marRight w:val="0"/>
          <w:marTop w:val="0"/>
          <w:marBottom w:val="0"/>
          <w:divBdr>
            <w:top w:val="none" w:sz="0" w:space="0" w:color="auto"/>
            <w:left w:val="none" w:sz="0" w:space="0" w:color="auto"/>
            <w:bottom w:val="none" w:sz="0" w:space="0" w:color="auto"/>
            <w:right w:val="none" w:sz="0" w:space="0" w:color="auto"/>
          </w:divBdr>
        </w:div>
        <w:div w:id="1845198118">
          <w:marLeft w:val="0"/>
          <w:marRight w:val="0"/>
          <w:marTop w:val="0"/>
          <w:marBottom w:val="0"/>
          <w:divBdr>
            <w:top w:val="none" w:sz="0" w:space="0" w:color="auto"/>
            <w:left w:val="none" w:sz="0" w:space="0" w:color="auto"/>
            <w:bottom w:val="none" w:sz="0" w:space="0" w:color="auto"/>
            <w:right w:val="none" w:sz="0" w:space="0" w:color="auto"/>
          </w:divBdr>
        </w:div>
      </w:divsChild>
    </w:div>
    <w:div w:id="2056155672">
      <w:bodyDiv w:val="1"/>
      <w:marLeft w:val="0"/>
      <w:marRight w:val="0"/>
      <w:marTop w:val="0"/>
      <w:marBottom w:val="0"/>
      <w:divBdr>
        <w:top w:val="none" w:sz="0" w:space="0" w:color="auto"/>
        <w:left w:val="none" w:sz="0" w:space="0" w:color="auto"/>
        <w:bottom w:val="none" w:sz="0" w:space="0" w:color="auto"/>
        <w:right w:val="none" w:sz="0" w:space="0" w:color="auto"/>
      </w:divBdr>
      <w:divsChild>
        <w:div w:id="631903213">
          <w:marLeft w:val="0"/>
          <w:marRight w:val="0"/>
          <w:marTop w:val="0"/>
          <w:marBottom w:val="0"/>
          <w:divBdr>
            <w:top w:val="none" w:sz="0" w:space="0" w:color="auto"/>
            <w:left w:val="none" w:sz="0" w:space="0" w:color="auto"/>
            <w:bottom w:val="none" w:sz="0" w:space="0" w:color="auto"/>
            <w:right w:val="none" w:sz="0" w:space="0" w:color="auto"/>
          </w:divBdr>
        </w:div>
        <w:div w:id="894201480">
          <w:marLeft w:val="0"/>
          <w:marRight w:val="0"/>
          <w:marTop w:val="0"/>
          <w:marBottom w:val="0"/>
          <w:divBdr>
            <w:top w:val="none" w:sz="0" w:space="0" w:color="auto"/>
            <w:left w:val="none" w:sz="0" w:space="0" w:color="auto"/>
            <w:bottom w:val="none" w:sz="0" w:space="0" w:color="auto"/>
            <w:right w:val="none" w:sz="0" w:space="0" w:color="auto"/>
          </w:divBdr>
        </w:div>
        <w:div w:id="1007904169">
          <w:marLeft w:val="0"/>
          <w:marRight w:val="0"/>
          <w:marTop w:val="0"/>
          <w:marBottom w:val="0"/>
          <w:divBdr>
            <w:top w:val="none" w:sz="0" w:space="0" w:color="auto"/>
            <w:left w:val="none" w:sz="0" w:space="0" w:color="auto"/>
            <w:bottom w:val="none" w:sz="0" w:space="0" w:color="auto"/>
            <w:right w:val="none" w:sz="0" w:space="0" w:color="auto"/>
          </w:divBdr>
        </w:div>
        <w:div w:id="1064372977">
          <w:marLeft w:val="0"/>
          <w:marRight w:val="0"/>
          <w:marTop w:val="0"/>
          <w:marBottom w:val="0"/>
          <w:divBdr>
            <w:top w:val="none" w:sz="0" w:space="0" w:color="auto"/>
            <w:left w:val="none" w:sz="0" w:space="0" w:color="auto"/>
            <w:bottom w:val="none" w:sz="0" w:space="0" w:color="auto"/>
            <w:right w:val="none" w:sz="0" w:space="0" w:color="auto"/>
          </w:divBdr>
        </w:div>
        <w:div w:id="1943536134">
          <w:marLeft w:val="0"/>
          <w:marRight w:val="0"/>
          <w:marTop w:val="0"/>
          <w:marBottom w:val="0"/>
          <w:divBdr>
            <w:top w:val="none" w:sz="0" w:space="0" w:color="auto"/>
            <w:left w:val="none" w:sz="0" w:space="0" w:color="auto"/>
            <w:bottom w:val="none" w:sz="0" w:space="0" w:color="auto"/>
            <w:right w:val="none" w:sz="0" w:space="0" w:color="auto"/>
          </w:divBdr>
        </w:div>
      </w:divsChild>
    </w:div>
    <w:div w:id="213721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882611014000108" TargetMode="External"/><Relationship Id="rId13" Type="http://schemas.openxmlformats.org/officeDocument/2006/relationships/header" Target="header3.xml"/><Relationship Id="rId18" Type="http://schemas.openxmlformats.org/officeDocument/2006/relationships/hyperlink" Target="http://www.emeraldinsight.com/search.htm?ct=all&amp;st1=Simon+Lavers&amp;fd1=aut&amp;PHPSESSID=p5t2f4c7prtm8v39n3bojqs5c3"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1016/S0278-4254" TargetMode="External"/><Relationship Id="rId2" Type="http://schemas.openxmlformats.org/officeDocument/2006/relationships/numbering" Target="numbering.xml"/><Relationship Id="rId16" Type="http://schemas.openxmlformats.org/officeDocument/2006/relationships/hyperlink" Target="https://doi.org/10.1016/s0278-"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yperlink" Target="http://www.sciencedirect.com/science/article/pii/S0882611014000108" TargetMode="External"/><Relationship Id="rId19" Type="http://schemas.openxmlformats.org/officeDocument/2006/relationships/hyperlink" Target="http://www.sciencedirect.com/science/article/pii/S088261101400010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CC39B-191F-4DA0-8626-C78EC0035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12172</Words>
  <Characters>69384</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University of Newcastle</Company>
  <LinksUpToDate>false</LinksUpToDate>
  <CharactersWithSpaces>81394</CharactersWithSpaces>
  <SharedDoc>false</SharedDoc>
  <HLinks>
    <vt:vector size="30" baseType="variant">
      <vt:variant>
        <vt:i4>1704015</vt:i4>
      </vt:variant>
      <vt:variant>
        <vt:i4>9</vt:i4>
      </vt:variant>
      <vt:variant>
        <vt:i4>0</vt:i4>
      </vt:variant>
      <vt:variant>
        <vt:i4>5</vt:i4>
      </vt:variant>
      <vt:variant>
        <vt:lpwstr>http://www.emeraldinsight.com/search.htm?ct=all&amp;st1=Simon+Lavers&amp;fd1=aut&amp;PHPSESSID=p5t2f4c7prtm8v39n3bojqs5c3</vt:lpwstr>
      </vt:variant>
      <vt:variant>
        <vt:lpwstr/>
      </vt:variant>
      <vt:variant>
        <vt:i4>327710</vt:i4>
      </vt:variant>
      <vt:variant>
        <vt:i4>6</vt:i4>
      </vt:variant>
      <vt:variant>
        <vt:i4>0</vt:i4>
      </vt:variant>
      <vt:variant>
        <vt:i4>5</vt:i4>
      </vt:variant>
      <vt:variant>
        <vt:lpwstr>http://www.ingentaconnect.com/content/mcb/059</vt:lpwstr>
      </vt:variant>
      <vt:variant>
        <vt:lpwstr/>
      </vt:variant>
      <vt:variant>
        <vt:i4>4653067</vt:i4>
      </vt:variant>
      <vt:variant>
        <vt:i4>2</vt:i4>
      </vt:variant>
      <vt:variant>
        <vt:i4>0</vt:i4>
      </vt:variant>
      <vt:variant>
        <vt:i4>5</vt:i4>
      </vt:variant>
      <vt:variant>
        <vt:lpwstr/>
      </vt:variant>
      <vt:variant>
        <vt:lpwstr>_ENREF_6</vt:lpwstr>
      </vt:variant>
      <vt:variant>
        <vt:i4>7471200</vt:i4>
      </vt:variant>
      <vt:variant>
        <vt:i4>3</vt:i4>
      </vt:variant>
      <vt:variant>
        <vt:i4>0</vt:i4>
      </vt:variant>
      <vt:variant>
        <vt:i4>5</vt:i4>
      </vt:variant>
      <vt:variant>
        <vt:lpwstr>http://www.specials.rediff.com/</vt:lpwstr>
      </vt:variant>
      <vt:variant>
        <vt:lpwstr/>
      </vt:variant>
      <vt:variant>
        <vt:i4>8257660</vt:i4>
      </vt:variant>
      <vt:variant>
        <vt:i4>0</vt:i4>
      </vt:variant>
      <vt:variant>
        <vt:i4>0</vt:i4>
      </vt:variant>
      <vt:variant>
        <vt:i4>5</vt:i4>
      </vt:variant>
      <vt:variant>
        <vt:lpwstr>http://edgar.jrc.ec.europa.eu/CO2REPORT2012.pdf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anny yang</cp:lastModifiedBy>
  <cp:revision>2</cp:revision>
  <cp:lastPrinted>2018-10-12T02:43:00Z</cp:lastPrinted>
  <dcterms:created xsi:type="dcterms:W3CDTF">2019-09-30T06:36:00Z</dcterms:created>
  <dcterms:modified xsi:type="dcterms:W3CDTF">2019-09-30T06:36:00Z</dcterms:modified>
</cp:coreProperties>
</file>