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FA80F" w14:textId="3AC4A2F2" w:rsidR="00562D71" w:rsidRPr="005E13B9" w:rsidRDefault="0013600E" w:rsidP="0063681A">
      <w:pPr>
        <w:overflowPunct w:val="0"/>
        <w:adjustRightInd w:val="0"/>
        <w:snapToGrid w:val="0"/>
        <w:jc w:val="center"/>
        <w:rPr>
          <w:rFonts w:eastAsia="標楷體"/>
          <w:b/>
          <w:sz w:val="32"/>
          <w:szCs w:val="32"/>
        </w:rPr>
      </w:pPr>
      <w:r w:rsidRPr="005E13B9">
        <w:rPr>
          <w:rFonts w:eastAsia="標楷體"/>
          <w:b/>
          <w:sz w:val="32"/>
          <w:szCs w:val="32"/>
        </w:rPr>
        <w:t>Doe</w:t>
      </w:r>
      <w:r w:rsidR="00117AE6" w:rsidRPr="005E13B9">
        <w:rPr>
          <w:rFonts w:eastAsia="標楷體"/>
          <w:b/>
          <w:sz w:val="32"/>
          <w:szCs w:val="32"/>
        </w:rPr>
        <w:t xml:space="preserve">s </w:t>
      </w:r>
      <w:r w:rsidR="00FC19DA" w:rsidRPr="005E13B9">
        <w:rPr>
          <w:rFonts w:eastAsia="標楷體"/>
          <w:b/>
          <w:sz w:val="32"/>
          <w:szCs w:val="32"/>
        </w:rPr>
        <w:t>“</w:t>
      </w:r>
      <w:r w:rsidR="0005640F" w:rsidRPr="005E13B9">
        <w:rPr>
          <w:rFonts w:eastAsia="標楷體"/>
          <w:b/>
          <w:sz w:val="32"/>
          <w:szCs w:val="32"/>
        </w:rPr>
        <w:t>Resetting</w:t>
      </w:r>
      <w:r w:rsidR="00FC19DA" w:rsidRPr="005E13B9">
        <w:rPr>
          <w:rFonts w:eastAsia="標楷體"/>
          <w:b/>
          <w:sz w:val="32"/>
          <w:szCs w:val="32"/>
        </w:rPr>
        <w:t>”</w:t>
      </w:r>
      <w:r w:rsidR="005E08BC" w:rsidRPr="005E13B9">
        <w:rPr>
          <w:rFonts w:eastAsia="標楷體"/>
          <w:b/>
          <w:sz w:val="32"/>
          <w:szCs w:val="32"/>
        </w:rPr>
        <w:t xml:space="preserve"> by</w:t>
      </w:r>
      <w:r w:rsidR="0005640F" w:rsidRPr="005E13B9">
        <w:rPr>
          <w:rFonts w:eastAsia="標楷體"/>
          <w:b/>
          <w:sz w:val="32"/>
          <w:szCs w:val="32"/>
        </w:rPr>
        <w:t xml:space="preserve"> Changing Corporate Name </w:t>
      </w:r>
      <w:r w:rsidR="005E08BC" w:rsidRPr="005E13B9">
        <w:rPr>
          <w:rFonts w:eastAsia="標楷體"/>
          <w:b/>
          <w:sz w:val="32"/>
          <w:szCs w:val="32"/>
        </w:rPr>
        <w:t xml:space="preserve">or </w:t>
      </w:r>
      <w:r w:rsidR="006D339A" w:rsidRPr="005E13B9">
        <w:rPr>
          <w:rFonts w:eastAsia="標楷體"/>
          <w:b/>
          <w:sz w:val="32"/>
          <w:szCs w:val="32"/>
        </w:rPr>
        <w:t xml:space="preserve">Industry Category Appeal </w:t>
      </w:r>
      <w:r w:rsidR="00530B8E" w:rsidRPr="005E13B9">
        <w:rPr>
          <w:rFonts w:eastAsia="標楷體" w:hint="eastAsia"/>
          <w:b/>
          <w:sz w:val="32"/>
          <w:szCs w:val="32"/>
        </w:rPr>
        <w:t xml:space="preserve">to </w:t>
      </w:r>
      <w:r w:rsidR="006D339A" w:rsidRPr="005E13B9">
        <w:rPr>
          <w:rFonts w:eastAsia="標楷體"/>
          <w:b/>
          <w:sz w:val="32"/>
          <w:szCs w:val="32"/>
        </w:rPr>
        <w:t>Institutional Investments</w:t>
      </w:r>
      <w:r w:rsidR="005E08BC" w:rsidRPr="005E13B9">
        <w:rPr>
          <w:rFonts w:eastAsia="標楷體"/>
          <w:b/>
          <w:sz w:val="32"/>
          <w:szCs w:val="32"/>
        </w:rPr>
        <w:t>?</w:t>
      </w:r>
    </w:p>
    <w:p w14:paraId="24ABEE17" w14:textId="77777777" w:rsidR="00832A31" w:rsidRPr="005E13B9" w:rsidRDefault="00832A31" w:rsidP="0063681A">
      <w:pPr>
        <w:overflowPunct w:val="0"/>
        <w:adjustRightInd w:val="0"/>
        <w:snapToGrid w:val="0"/>
        <w:jc w:val="center"/>
        <w:rPr>
          <w:rFonts w:eastAsia="標楷體"/>
          <w:b/>
          <w:sz w:val="32"/>
          <w:szCs w:val="32"/>
        </w:rPr>
      </w:pPr>
    </w:p>
    <w:p w14:paraId="497035AD" w14:textId="741A9F0A" w:rsidR="005B4A94" w:rsidRPr="005E13B9" w:rsidRDefault="005B4A94" w:rsidP="0063681A">
      <w:pPr>
        <w:widowControl/>
        <w:overflowPunct w:val="0"/>
        <w:adjustRightInd w:val="0"/>
        <w:ind w:left="140" w:hangingChars="50" w:hanging="140"/>
        <w:jc w:val="center"/>
        <w:rPr>
          <w:rFonts w:eastAsia="標楷體"/>
          <w:sz w:val="28"/>
          <w:szCs w:val="26"/>
          <w:vertAlign w:val="superscript"/>
          <w:lang w:val="sv-SE"/>
        </w:rPr>
      </w:pPr>
      <w:r w:rsidRPr="005E13B9">
        <w:rPr>
          <w:rFonts w:eastAsia="標楷體"/>
          <w:sz w:val="28"/>
          <w:szCs w:val="26"/>
          <w:lang w:val="sv-SE"/>
        </w:rPr>
        <w:t>Paoyu Huang</w:t>
      </w:r>
    </w:p>
    <w:p w14:paraId="448B403B" w14:textId="38370E90" w:rsidR="005B4A94" w:rsidRPr="005E13B9" w:rsidRDefault="005B4A94" w:rsidP="0063681A">
      <w:pPr>
        <w:widowControl/>
        <w:overflowPunct w:val="0"/>
        <w:adjustRightInd w:val="0"/>
        <w:ind w:left="140" w:hangingChars="50" w:hanging="140"/>
        <w:jc w:val="center"/>
        <w:rPr>
          <w:rFonts w:eastAsia="標楷體"/>
          <w:sz w:val="28"/>
          <w:szCs w:val="26"/>
        </w:rPr>
      </w:pPr>
      <w:r w:rsidRPr="005E13B9">
        <w:rPr>
          <w:rFonts w:eastAsia="標楷體"/>
          <w:sz w:val="28"/>
          <w:szCs w:val="26"/>
        </w:rPr>
        <w:t>Department of International Business</w:t>
      </w:r>
      <w:r w:rsidR="000138D5">
        <w:rPr>
          <w:rFonts w:eastAsia="標楷體"/>
          <w:sz w:val="28"/>
          <w:szCs w:val="26"/>
        </w:rPr>
        <w:t>,</w:t>
      </w:r>
      <w:r w:rsidR="00832A31" w:rsidRPr="005E13B9">
        <w:rPr>
          <w:rFonts w:eastAsia="標楷體"/>
          <w:sz w:val="28"/>
          <w:szCs w:val="26"/>
        </w:rPr>
        <w:t xml:space="preserve"> </w:t>
      </w:r>
      <w:r w:rsidRPr="005E13B9">
        <w:rPr>
          <w:rFonts w:eastAsia="標楷體"/>
          <w:sz w:val="28"/>
          <w:szCs w:val="26"/>
        </w:rPr>
        <w:t>Soochow University</w:t>
      </w:r>
    </w:p>
    <w:p w14:paraId="2D2BF146" w14:textId="34A7D182" w:rsidR="005B4A94" w:rsidRPr="005E13B9" w:rsidRDefault="00832A31" w:rsidP="0063681A">
      <w:pPr>
        <w:widowControl/>
        <w:overflowPunct w:val="0"/>
        <w:adjustRightInd w:val="0"/>
        <w:ind w:left="140" w:hangingChars="50" w:hanging="140"/>
        <w:jc w:val="center"/>
        <w:rPr>
          <w:rStyle w:val="af1"/>
          <w:rFonts w:eastAsia="標楷體"/>
          <w:color w:val="auto"/>
          <w:kern w:val="0"/>
          <w:sz w:val="28"/>
          <w:szCs w:val="26"/>
          <w:u w:val="none"/>
        </w:rPr>
      </w:pPr>
      <w:r w:rsidRPr="005E13B9">
        <w:rPr>
          <w:sz w:val="28"/>
          <w:szCs w:val="26"/>
          <w:lang w:val="en-GB"/>
        </w:rPr>
        <w:t xml:space="preserve">E-Mail: </w:t>
      </w:r>
      <w:hyperlink r:id="rId8" w:history="1">
        <w:r w:rsidR="005B4A94" w:rsidRPr="005E13B9">
          <w:rPr>
            <w:rStyle w:val="af1"/>
            <w:rFonts w:eastAsia="標楷體"/>
            <w:color w:val="auto"/>
            <w:kern w:val="0"/>
            <w:sz w:val="28"/>
            <w:szCs w:val="26"/>
            <w:u w:val="none"/>
          </w:rPr>
          <w:t>hpy@scu.edu.tw</w:t>
        </w:r>
      </w:hyperlink>
    </w:p>
    <w:p w14:paraId="251D376E" w14:textId="77777777" w:rsidR="003B140B" w:rsidRPr="005E13B9" w:rsidRDefault="003B140B" w:rsidP="0063681A">
      <w:pPr>
        <w:widowControl/>
        <w:overflowPunct w:val="0"/>
        <w:adjustRightInd w:val="0"/>
        <w:ind w:left="140" w:hangingChars="50" w:hanging="140"/>
        <w:jc w:val="center"/>
        <w:rPr>
          <w:rFonts w:eastAsia="標楷體"/>
          <w:b/>
          <w:sz w:val="28"/>
          <w:szCs w:val="26"/>
          <w:vertAlign w:val="superscript"/>
          <w:lang w:val="sv-SE"/>
        </w:rPr>
      </w:pPr>
    </w:p>
    <w:p w14:paraId="09D3DC1B" w14:textId="77777777" w:rsidR="005B4A94" w:rsidRPr="005E13B9" w:rsidRDefault="005B4A94" w:rsidP="0063681A">
      <w:pPr>
        <w:widowControl/>
        <w:overflowPunct w:val="0"/>
        <w:adjustRightInd w:val="0"/>
        <w:ind w:left="140" w:hangingChars="50" w:hanging="140"/>
        <w:jc w:val="center"/>
        <w:rPr>
          <w:rFonts w:eastAsia="標楷體"/>
          <w:sz w:val="28"/>
          <w:szCs w:val="26"/>
          <w:lang w:val="sv-SE"/>
        </w:rPr>
      </w:pPr>
      <w:r w:rsidRPr="005E13B9">
        <w:rPr>
          <w:rFonts w:eastAsia="標楷體"/>
          <w:sz w:val="28"/>
          <w:szCs w:val="26"/>
          <w:lang w:val="sv-SE"/>
        </w:rPr>
        <w:t>Yensen Ni</w:t>
      </w:r>
    </w:p>
    <w:p w14:paraId="3139A1F8" w14:textId="0339D10F" w:rsidR="005B4A94" w:rsidRPr="005E13B9" w:rsidRDefault="005B4A94" w:rsidP="0063681A">
      <w:pPr>
        <w:widowControl/>
        <w:overflowPunct w:val="0"/>
        <w:adjustRightInd w:val="0"/>
        <w:ind w:left="140" w:hangingChars="50" w:hanging="140"/>
        <w:jc w:val="center"/>
        <w:rPr>
          <w:rFonts w:eastAsia="標楷體"/>
          <w:sz w:val="28"/>
          <w:szCs w:val="26"/>
        </w:rPr>
      </w:pPr>
      <w:r w:rsidRPr="005E13B9">
        <w:rPr>
          <w:rFonts w:eastAsia="標楷體"/>
          <w:sz w:val="28"/>
          <w:szCs w:val="26"/>
        </w:rPr>
        <w:t>Department of Management Sciences</w:t>
      </w:r>
      <w:r w:rsidR="00B42571" w:rsidRPr="005E13B9">
        <w:rPr>
          <w:rFonts w:eastAsia="標楷體" w:hint="eastAsia"/>
          <w:sz w:val="28"/>
          <w:szCs w:val="26"/>
        </w:rPr>
        <w:t>,</w:t>
      </w:r>
      <w:r w:rsidR="00832A31" w:rsidRPr="005E13B9">
        <w:rPr>
          <w:rFonts w:eastAsia="標楷體"/>
          <w:sz w:val="28"/>
          <w:szCs w:val="26"/>
        </w:rPr>
        <w:t xml:space="preserve"> </w:t>
      </w:r>
      <w:r w:rsidRPr="005E13B9">
        <w:rPr>
          <w:rFonts w:eastAsia="標楷體"/>
          <w:sz w:val="28"/>
          <w:szCs w:val="26"/>
        </w:rPr>
        <w:t>Tamkang University</w:t>
      </w:r>
    </w:p>
    <w:p w14:paraId="0B0772DA" w14:textId="338361C3" w:rsidR="005B4A94" w:rsidRPr="005E13B9" w:rsidRDefault="00832A31" w:rsidP="0063681A">
      <w:pPr>
        <w:widowControl/>
        <w:overflowPunct w:val="0"/>
        <w:adjustRightInd w:val="0"/>
        <w:ind w:left="140" w:hangingChars="50" w:hanging="140"/>
        <w:jc w:val="center"/>
        <w:rPr>
          <w:rStyle w:val="af1"/>
          <w:rFonts w:eastAsia="標楷體"/>
          <w:color w:val="auto"/>
          <w:kern w:val="0"/>
          <w:sz w:val="28"/>
          <w:szCs w:val="26"/>
          <w:u w:val="none"/>
        </w:rPr>
      </w:pPr>
      <w:r w:rsidRPr="005E13B9">
        <w:rPr>
          <w:sz w:val="28"/>
          <w:szCs w:val="26"/>
          <w:lang w:val="en-GB"/>
        </w:rPr>
        <w:t xml:space="preserve">E-Mail: </w:t>
      </w:r>
      <w:r w:rsidR="006B589A" w:rsidRPr="005E13B9">
        <w:rPr>
          <w:rFonts w:eastAsia="標楷體"/>
          <w:kern w:val="0"/>
          <w:sz w:val="28"/>
          <w:szCs w:val="26"/>
        </w:rPr>
        <w:t>ysni@mail.tku.edu.tw</w:t>
      </w:r>
    </w:p>
    <w:p w14:paraId="758C1044" w14:textId="77777777" w:rsidR="003B140B" w:rsidRPr="005E13B9" w:rsidRDefault="003B140B" w:rsidP="0063681A">
      <w:pPr>
        <w:widowControl/>
        <w:overflowPunct w:val="0"/>
        <w:adjustRightInd w:val="0"/>
        <w:ind w:left="140" w:hangingChars="50" w:hanging="140"/>
        <w:jc w:val="center"/>
        <w:rPr>
          <w:rFonts w:eastAsia="標楷體"/>
          <w:b/>
          <w:sz w:val="28"/>
          <w:szCs w:val="26"/>
        </w:rPr>
      </w:pPr>
    </w:p>
    <w:p w14:paraId="37CDBACF" w14:textId="77777777" w:rsidR="005B4A94" w:rsidRPr="005E13B9" w:rsidRDefault="005B4A94" w:rsidP="0063681A">
      <w:pPr>
        <w:widowControl/>
        <w:overflowPunct w:val="0"/>
        <w:adjustRightInd w:val="0"/>
        <w:ind w:left="140" w:hangingChars="50" w:hanging="140"/>
        <w:jc w:val="center"/>
        <w:rPr>
          <w:rFonts w:eastAsia="標楷體"/>
          <w:sz w:val="28"/>
          <w:szCs w:val="26"/>
          <w:lang w:val="da-DK"/>
        </w:rPr>
      </w:pPr>
      <w:r w:rsidRPr="005E13B9">
        <w:rPr>
          <w:rFonts w:eastAsia="標楷體"/>
          <w:sz w:val="28"/>
          <w:szCs w:val="26"/>
          <w:lang w:val="da-DK"/>
        </w:rPr>
        <w:t>Yirung Cheng</w:t>
      </w:r>
    </w:p>
    <w:p w14:paraId="76FF9225" w14:textId="78437EAA" w:rsidR="005B4A94" w:rsidRPr="005E13B9" w:rsidRDefault="005B4A94" w:rsidP="0063681A">
      <w:pPr>
        <w:widowControl/>
        <w:overflowPunct w:val="0"/>
        <w:adjustRightInd w:val="0"/>
        <w:ind w:left="140" w:hangingChars="50" w:hanging="140"/>
        <w:jc w:val="center"/>
        <w:rPr>
          <w:rFonts w:eastAsia="標楷體"/>
          <w:sz w:val="28"/>
          <w:szCs w:val="26"/>
        </w:rPr>
      </w:pPr>
      <w:r w:rsidRPr="005E13B9">
        <w:rPr>
          <w:rFonts w:eastAsia="標楷體"/>
          <w:sz w:val="28"/>
          <w:szCs w:val="26"/>
        </w:rPr>
        <w:t>Department of Management Sciences</w:t>
      </w:r>
      <w:r w:rsidR="00B42571" w:rsidRPr="005E13B9">
        <w:rPr>
          <w:rFonts w:eastAsia="標楷體"/>
          <w:sz w:val="28"/>
          <w:szCs w:val="26"/>
        </w:rPr>
        <w:t>,</w:t>
      </w:r>
      <w:r w:rsidR="00832A31" w:rsidRPr="005E13B9">
        <w:rPr>
          <w:rFonts w:eastAsia="標楷體"/>
          <w:sz w:val="28"/>
          <w:szCs w:val="26"/>
        </w:rPr>
        <w:t xml:space="preserve"> </w:t>
      </w:r>
      <w:r w:rsidRPr="005E13B9">
        <w:rPr>
          <w:rFonts w:eastAsia="標楷體"/>
          <w:sz w:val="28"/>
          <w:szCs w:val="26"/>
        </w:rPr>
        <w:t>Tamkang University</w:t>
      </w:r>
    </w:p>
    <w:p w14:paraId="45969173" w14:textId="7469DF7E" w:rsidR="005B4A94" w:rsidRPr="005E13B9" w:rsidRDefault="00832A31" w:rsidP="0063681A">
      <w:pPr>
        <w:widowControl/>
        <w:overflowPunct w:val="0"/>
        <w:adjustRightInd w:val="0"/>
        <w:ind w:left="140" w:hangingChars="50" w:hanging="140"/>
        <w:jc w:val="center"/>
        <w:rPr>
          <w:rStyle w:val="af1"/>
          <w:rFonts w:eastAsia="標楷體"/>
          <w:color w:val="auto"/>
          <w:szCs w:val="22"/>
          <w:u w:val="none"/>
        </w:rPr>
      </w:pPr>
      <w:r w:rsidRPr="005E13B9">
        <w:rPr>
          <w:sz w:val="28"/>
          <w:szCs w:val="26"/>
          <w:lang w:val="en-GB"/>
        </w:rPr>
        <w:t xml:space="preserve">E-Mail: </w:t>
      </w:r>
      <w:hyperlink r:id="rId9" w:tgtFrame="new_win" w:history="1">
        <w:r w:rsidR="005B4A94" w:rsidRPr="005E13B9">
          <w:rPr>
            <w:rStyle w:val="af1"/>
            <w:rFonts w:eastAsia="標楷體"/>
            <w:color w:val="auto"/>
            <w:sz w:val="28"/>
            <w:szCs w:val="26"/>
            <w:u w:val="none"/>
          </w:rPr>
          <w:t>yirung@scsb.com.tw</w:t>
        </w:r>
      </w:hyperlink>
    </w:p>
    <w:p w14:paraId="0DBF299C" w14:textId="4DC832B9" w:rsidR="00955F8A" w:rsidRPr="005E13B9" w:rsidRDefault="00955F8A" w:rsidP="0063681A">
      <w:pPr>
        <w:overflowPunct w:val="0"/>
        <w:adjustRightInd w:val="0"/>
        <w:jc w:val="center"/>
        <w:outlineLvl w:val="1"/>
        <w:rPr>
          <w:b/>
          <w:iCs/>
          <w:kern w:val="0"/>
          <w:sz w:val="28"/>
          <w:szCs w:val="28"/>
        </w:rPr>
      </w:pPr>
    </w:p>
    <w:p w14:paraId="144EB87A" w14:textId="77777777" w:rsidR="00EE3C33" w:rsidRPr="005E13B9" w:rsidRDefault="00EE3C33" w:rsidP="0063681A">
      <w:pPr>
        <w:overflowPunct w:val="0"/>
        <w:adjustRightInd w:val="0"/>
        <w:jc w:val="center"/>
        <w:outlineLvl w:val="1"/>
        <w:rPr>
          <w:b/>
          <w:iCs/>
          <w:kern w:val="0"/>
          <w:sz w:val="28"/>
          <w:szCs w:val="28"/>
        </w:rPr>
      </w:pPr>
    </w:p>
    <w:p w14:paraId="79ABF732" w14:textId="77777777" w:rsidR="00955F8A" w:rsidRPr="005E13B9" w:rsidRDefault="00955F8A" w:rsidP="00711897">
      <w:pPr>
        <w:overflowPunct w:val="0"/>
        <w:adjustRightInd w:val="0"/>
        <w:jc w:val="center"/>
        <w:outlineLvl w:val="1"/>
        <w:rPr>
          <w:b/>
          <w:iCs/>
          <w:kern w:val="0"/>
          <w:sz w:val="26"/>
          <w:szCs w:val="26"/>
        </w:rPr>
      </w:pPr>
      <w:r w:rsidRPr="005E13B9">
        <w:rPr>
          <w:b/>
          <w:iCs/>
          <w:kern w:val="0"/>
          <w:sz w:val="26"/>
          <w:szCs w:val="26"/>
        </w:rPr>
        <w:t>ABSTRACT</w:t>
      </w:r>
    </w:p>
    <w:p w14:paraId="55373BD7" w14:textId="77777777" w:rsidR="00955F8A" w:rsidRPr="005E13B9" w:rsidRDefault="00955F8A" w:rsidP="00711897">
      <w:pPr>
        <w:overflowPunct w:val="0"/>
        <w:adjustRightInd w:val="0"/>
        <w:ind w:firstLineChars="200" w:firstLine="520"/>
        <w:jc w:val="both"/>
        <w:outlineLvl w:val="1"/>
        <w:rPr>
          <w:rFonts w:eastAsia="標楷體"/>
          <w:sz w:val="26"/>
          <w:szCs w:val="26"/>
        </w:rPr>
      </w:pPr>
      <w:r w:rsidRPr="005E13B9">
        <w:rPr>
          <w:rFonts w:eastAsia="標楷體"/>
          <w:sz w:val="26"/>
          <w:szCs w:val="26"/>
        </w:rPr>
        <w:t>We investigate whether firms changing their names or industry categor</w:t>
      </w:r>
      <w:r w:rsidRPr="005E13B9">
        <w:rPr>
          <w:rFonts w:eastAsia="標楷體" w:hint="eastAsia"/>
          <w:sz w:val="26"/>
          <w:szCs w:val="26"/>
        </w:rPr>
        <w:t xml:space="preserve">ies </w:t>
      </w:r>
      <w:r w:rsidRPr="005E13B9">
        <w:rPr>
          <w:rFonts w:eastAsia="標楷體"/>
          <w:sz w:val="26"/>
          <w:szCs w:val="26"/>
        </w:rPr>
        <w:t xml:space="preserve">once and more than once would affect institutional </w:t>
      </w:r>
      <w:r w:rsidRPr="005E13B9">
        <w:rPr>
          <w:rFonts w:eastAsia="標楷體" w:hint="eastAsia"/>
          <w:sz w:val="26"/>
          <w:szCs w:val="26"/>
        </w:rPr>
        <w:t>shareholding</w:t>
      </w:r>
      <w:r w:rsidRPr="005E13B9">
        <w:rPr>
          <w:rFonts w:eastAsia="標楷體"/>
          <w:sz w:val="26"/>
          <w:szCs w:val="26"/>
        </w:rPr>
        <w:t xml:space="preserve">s. </w:t>
      </w:r>
      <w:r w:rsidR="006E4DF1" w:rsidRPr="005E13B9">
        <w:rPr>
          <w:rFonts w:eastAsia="標楷體"/>
          <w:sz w:val="26"/>
          <w:szCs w:val="26"/>
        </w:rPr>
        <w:t xml:space="preserve">By utilizing </w:t>
      </w:r>
      <w:r w:rsidR="003F0A1A" w:rsidRPr="005E13B9">
        <w:rPr>
          <w:rFonts w:eastAsia="標楷體" w:hint="eastAsia"/>
          <w:sz w:val="26"/>
          <w:szCs w:val="26"/>
        </w:rPr>
        <w:t>5</w:t>
      </w:r>
      <w:r w:rsidR="00530B8E" w:rsidRPr="005E13B9">
        <w:rPr>
          <w:rFonts w:eastAsia="標楷體" w:hint="eastAsia"/>
          <w:sz w:val="26"/>
          <w:szCs w:val="26"/>
        </w:rPr>
        <w:t>,</w:t>
      </w:r>
      <w:r w:rsidR="003F0A1A" w:rsidRPr="005E13B9">
        <w:rPr>
          <w:rFonts w:eastAsia="標楷體" w:hint="eastAsia"/>
          <w:sz w:val="26"/>
          <w:szCs w:val="26"/>
        </w:rPr>
        <w:t>733 observations</w:t>
      </w:r>
      <w:r w:rsidR="006E4DF1" w:rsidRPr="005E13B9">
        <w:rPr>
          <w:rFonts w:eastAsia="標楷體"/>
          <w:sz w:val="26"/>
          <w:szCs w:val="26"/>
        </w:rPr>
        <w:t xml:space="preserve"> of </w:t>
      </w:r>
      <w:r w:rsidR="003F0A1A" w:rsidRPr="005E13B9">
        <w:rPr>
          <w:rFonts w:eastAsia="標楷體" w:hint="eastAsia"/>
          <w:sz w:val="26"/>
          <w:szCs w:val="26"/>
        </w:rPr>
        <w:t xml:space="preserve">the </w:t>
      </w:r>
      <w:r w:rsidR="006E4DF1" w:rsidRPr="005E13B9">
        <w:rPr>
          <w:rFonts w:eastAsia="標楷體"/>
          <w:sz w:val="26"/>
          <w:szCs w:val="26"/>
        </w:rPr>
        <w:t xml:space="preserve">Taiwan Stock Exchange listed firms, </w:t>
      </w:r>
      <w:r w:rsidR="006E4DF1" w:rsidRPr="005E13B9">
        <w:rPr>
          <w:rFonts w:eastAsia="標楷體" w:hint="eastAsia"/>
          <w:sz w:val="26"/>
          <w:szCs w:val="26"/>
        </w:rPr>
        <w:t>we</w:t>
      </w:r>
      <w:r w:rsidR="006E4DF1" w:rsidRPr="005E13B9">
        <w:rPr>
          <w:rFonts w:eastAsia="標楷體"/>
          <w:sz w:val="26"/>
          <w:szCs w:val="26"/>
        </w:rPr>
        <w:t xml:space="preserve"> appl</w:t>
      </w:r>
      <w:r w:rsidR="006E4DF1" w:rsidRPr="005E13B9">
        <w:rPr>
          <w:rFonts w:eastAsia="標楷體" w:hint="eastAsia"/>
          <w:sz w:val="26"/>
          <w:szCs w:val="26"/>
        </w:rPr>
        <w:t>y</w:t>
      </w:r>
      <w:r w:rsidR="006E4DF1" w:rsidRPr="005E13B9">
        <w:rPr>
          <w:rFonts w:eastAsia="標楷體"/>
          <w:sz w:val="26"/>
          <w:szCs w:val="26"/>
        </w:rPr>
        <w:t xml:space="preserve"> </w:t>
      </w:r>
      <w:r w:rsidR="00530B8E" w:rsidRPr="005E13B9">
        <w:rPr>
          <w:rFonts w:eastAsia="標楷體" w:hint="eastAsia"/>
          <w:sz w:val="26"/>
          <w:szCs w:val="26"/>
        </w:rPr>
        <w:t xml:space="preserve">multiple regression </w:t>
      </w:r>
      <w:r w:rsidR="006E4DF1" w:rsidRPr="005E13B9">
        <w:rPr>
          <w:rFonts w:eastAsia="標楷體"/>
          <w:sz w:val="26"/>
          <w:szCs w:val="26"/>
        </w:rPr>
        <w:t>models firstly and Petersen regression models for further investigation to enhance the robustness of the empirical results.</w:t>
      </w:r>
      <w:r w:rsidR="006E4DF1" w:rsidRPr="005E13B9">
        <w:rPr>
          <w:rFonts w:eastAsia="標楷體" w:hint="eastAsia"/>
          <w:sz w:val="26"/>
          <w:szCs w:val="26"/>
        </w:rPr>
        <w:t xml:space="preserve"> </w:t>
      </w:r>
      <w:r w:rsidR="006E4DF1" w:rsidRPr="005E13B9">
        <w:rPr>
          <w:rFonts w:eastAsia="標楷體"/>
          <w:sz w:val="26"/>
          <w:szCs w:val="26"/>
        </w:rPr>
        <w:t>W</w:t>
      </w:r>
      <w:r w:rsidR="006E4DF1" w:rsidRPr="005E13B9">
        <w:rPr>
          <w:rFonts w:eastAsia="標楷體" w:hint="eastAsia"/>
          <w:sz w:val="26"/>
          <w:szCs w:val="26"/>
        </w:rPr>
        <w:t xml:space="preserve">e then </w:t>
      </w:r>
      <w:r w:rsidR="00530B8E" w:rsidRPr="005E13B9">
        <w:rPr>
          <w:rFonts w:eastAsia="標楷體"/>
          <w:sz w:val="26"/>
          <w:szCs w:val="26"/>
        </w:rPr>
        <w:t>disclose</w:t>
      </w:r>
      <w:r w:rsidRPr="005E13B9">
        <w:rPr>
          <w:rFonts w:eastAsia="標楷體"/>
          <w:sz w:val="26"/>
          <w:szCs w:val="26"/>
        </w:rPr>
        <w:t xml:space="preserve"> several </w:t>
      </w:r>
      <w:r w:rsidRPr="005E13B9">
        <w:rPr>
          <w:rFonts w:eastAsia="標楷體"/>
          <w:noProof/>
          <w:sz w:val="26"/>
          <w:szCs w:val="26"/>
        </w:rPr>
        <w:t>important</w:t>
      </w:r>
      <w:r w:rsidRPr="005E13B9">
        <w:rPr>
          <w:rFonts w:eastAsia="標楷體"/>
          <w:sz w:val="26"/>
          <w:szCs w:val="26"/>
        </w:rPr>
        <w:t xml:space="preserve"> findings as follows. First, institutional investors might not prefer holding the shares of the firms changing their names more than once. We infer that the performances of the firms changing names more than once might be doubtful. Second, institutional investors might decrease the shareholdings of the firms with industry categories changed. We </w:t>
      </w:r>
      <w:r w:rsidR="00FD4F5B" w:rsidRPr="005E13B9">
        <w:rPr>
          <w:rFonts w:eastAsia="標楷體" w:hint="eastAsia"/>
          <w:sz w:val="26"/>
          <w:szCs w:val="26"/>
        </w:rPr>
        <w:t>claim</w:t>
      </w:r>
      <w:r w:rsidRPr="005E13B9">
        <w:rPr>
          <w:rFonts w:eastAsia="標楷體"/>
          <w:sz w:val="26"/>
          <w:szCs w:val="26"/>
        </w:rPr>
        <w:t xml:space="preserve"> that institutional investors might suspect these firms </w:t>
      </w:r>
      <w:r w:rsidR="00FD4F5B" w:rsidRPr="005E13B9">
        <w:rPr>
          <w:rFonts w:eastAsia="標楷體" w:hint="eastAsia"/>
          <w:sz w:val="26"/>
          <w:szCs w:val="26"/>
        </w:rPr>
        <w:t>probably existing</w:t>
      </w:r>
      <w:r w:rsidRPr="005E13B9">
        <w:rPr>
          <w:rFonts w:eastAsia="標楷體"/>
          <w:sz w:val="26"/>
          <w:szCs w:val="26"/>
        </w:rPr>
        <w:t xml:space="preserve"> corporate governance issues. </w:t>
      </w:r>
      <w:r w:rsidR="00FD4F5B" w:rsidRPr="005E13B9">
        <w:rPr>
          <w:rFonts w:eastAsia="標楷體"/>
          <w:sz w:val="26"/>
          <w:szCs w:val="26"/>
        </w:rPr>
        <w:t>B</w:t>
      </w:r>
      <w:r w:rsidR="00FD4F5B" w:rsidRPr="005E13B9">
        <w:rPr>
          <w:rFonts w:eastAsia="標楷體" w:hint="eastAsia"/>
          <w:sz w:val="26"/>
          <w:szCs w:val="26"/>
        </w:rPr>
        <w:t xml:space="preserve">esides, </w:t>
      </w:r>
      <w:r w:rsidRPr="005E13B9">
        <w:rPr>
          <w:rFonts w:eastAsia="標楷體"/>
          <w:sz w:val="26"/>
          <w:szCs w:val="26"/>
        </w:rPr>
        <w:t>we argue that</w:t>
      </w:r>
      <w:r w:rsidR="00FD4F5B" w:rsidRPr="005E13B9">
        <w:rPr>
          <w:rFonts w:eastAsia="標楷體" w:hint="eastAsia"/>
          <w:sz w:val="26"/>
          <w:szCs w:val="26"/>
        </w:rPr>
        <w:t>, t</w:t>
      </w:r>
      <w:r w:rsidR="00FD4F5B" w:rsidRPr="005E13B9">
        <w:rPr>
          <w:rFonts w:eastAsia="標楷體"/>
          <w:sz w:val="26"/>
          <w:szCs w:val="26"/>
        </w:rPr>
        <w:t>o our best understanding,</w:t>
      </w:r>
      <w:r w:rsidRPr="005E13B9">
        <w:rPr>
          <w:rFonts w:eastAsia="標楷體"/>
          <w:sz w:val="26"/>
          <w:szCs w:val="26"/>
        </w:rPr>
        <w:t xml:space="preserve"> this study might fill the gap in the existing literature due to that the issues, firms changing their names or industry categories once or more than once, seem rarely explored in the relevant studies.</w:t>
      </w:r>
    </w:p>
    <w:p w14:paraId="42FF788D" w14:textId="77777777" w:rsidR="00955F8A" w:rsidRPr="005E13B9" w:rsidRDefault="00955F8A" w:rsidP="00711897">
      <w:pPr>
        <w:overflowPunct w:val="0"/>
        <w:rPr>
          <w:rFonts w:eastAsia="標楷體"/>
        </w:rPr>
      </w:pPr>
    </w:p>
    <w:p w14:paraId="5DC0A412" w14:textId="77777777" w:rsidR="006E2578" w:rsidRPr="005E13B9" w:rsidRDefault="00955F8A" w:rsidP="00711897">
      <w:pPr>
        <w:overflowPunct w:val="0"/>
        <w:ind w:left="1301" w:hangingChars="500" w:hanging="1301"/>
        <w:rPr>
          <w:sz w:val="26"/>
          <w:szCs w:val="26"/>
        </w:rPr>
      </w:pPr>
      <w:r w:rsidRPr="005E13B9">
        <w:rPr>
          <w:b/>
          <w:sz w:val="26"/>
          <w:szCs w:val="26"/>
        </w:rPr>
        <w:t xml:space="preserve">Keywords: </w:t>
      </w:r>
      <w:r w:rsidRPr="005E13B9">
        <w:rPr>
          <w:sz w:val="26"/>
          <w:szCs w:val="26"/>
        </w:rPr>
        <w:t>Corporate Name Change,</w:t>
      </w:r>
      <w:r w:rsidRPr="005E13B9">
        <w:rPr>
          <w:b/>
          <w:sz w:val="26"/>
          <w:szCs w:val="26"/>
        </w:rPr>
        <w:t xml:space="preserve"> </w:t>
      </w:r>
      <w:r w:rsidRPr="005E13B9">
        <w:rPr>
          <w:sz w:val="26"/>
          <w:szCs w:val="26"/>
        </w:rPr>
        <w:t>Industry Category Change,</w:t>
      </w:r>
      <w:r w:rsidRPr="005E13B9">
        <w:rPr>
          <w:b/>
          <w:sz w:val="26"/>
          <w:szCs w:val="26"/>
        </w:rPr>
        <w:t xml:space="preserve"> </w:t>
      </w:r>
      <w:r w:rsidRPr="005E13B9">
        <w:rPr>
          <w:sz w:val="26"/>
          <w:szCs w:val="26"/>
        </w:rPr>
        <w:t>Board Structure, Financial Ratio, Firm Value</w:t>
      </w:r>
    </w:p>
    <w:p w14:paraId="7A8906CF" w14:textId="77777777" w:rsidR="005B4A94" w:rsidRPr="005E13B9" w:rsidRDefault="005B4A94" w:rsidP="00711897">
      <w:pPr>
        <w:widowControl/>
        <w:overflowPunct w:val="0"/>
        <w:rPr>
          <w:sz w:val="26"/>
          <w:szCs w:val="26"/>
        </w:rPr>
      </w:pPr>
    </w:p>
    <w:p w14:paraId="42632121" w14:textId="0425B7CB" w:rsidR="006E2578" w:rsidRPr="005E13B9" w:rsidRDefault="006E2578" w:rsidP="00711897">
      <w:pPr>
        <w:widowControl/>
        <w:overflowPunct w:val="0"/>
        <w:rPr>
          <w:sz w:val="26"/>
          <w:szCs w:val="26"/>
        </w:rPr>
      </w:pPr>
    </w:p>
    <w:p w14:paraId="799E6C7F" w14:textId="77777777" w:rsidR="00BA57B5" w:rsidRPr="005E13B9" w:rsidRDefault="00BA57B5">
      <w:pPr>
        <w:widowControl/>
        <w:rPr>
          <w:rFonts w:eastAsia="標楷體"/>
          <w:b/>
          <w:sz w:val="26"/>
          <w:szCs w:val="26"/>
        </w:rPr>
      </w:pPr>
      <w:r w:rsidRPr="005E13B9">
        <w:rPr>
          <w:rFonts w:eastAsia="標楷體"/>
          <w:b/>
          <w:sz w:val="26"/>
          <w:szCs w:val="26"/>
        </w:rPr>
        <w:br w:type="page"/>
      </w:r>
    </w:p>
    <w:p w14:paraId="6FFAB99D" w14:textId="739D6E53" w:rsidR="00562D71" w:rsidRPr="005E13B9" w:rsidRDefault="00005145" w:rsidP="001C65C7">
      <w:pPr>
        <w:widowControl/>
        <w:overflowPunct w:val="0"/>
        <w:jc w:val="center"/>
        <w:rPr>
          <w:rFonts w:eastAsia="標楷體"/>
          <w:b/>
          <w:sz w:val="26"/>
          <w:szCs w:val="26"/>
        </w:rPr>
      </w:pPr>
      <w:r w:rsidRPr="005E13B9">
        <w:rPr>
          <w:rFonts w:eastAsia="標楷體"/>
          <w:b/>
          <w:sz w:val="26"/>
          <w:szCs w:val="26"/>
        </w:rPr>
        <w:lastRenderedPageBreak/>
        <w:t>INTRODUCTION</w:t>
      </w:r>
    </w:p>
    <w:p w14:paraId="00AFB8F2" w14:textId="4DB5B39F" w:rsidR="00562D71" w:rsidRPr="005E13B9" w:rsidRDefault="005B4A94" w:rsidP="001C65C7">
      <w:pPr>
        <w:overflowPunct w:val="0"/>
        <w:adjustRightInd w:val="0"/>
        <w:ind w:firstLineChars="200" w:firstLine="520"/>
        <w:jc w:val="both"/>
        <w:outlineLvl w:val="1"/>
        <w:rPr>
          <w:kern w:val="0"/>
          <w:sz w:val="26"/>
          <w:szCs w:val="26"/>
        </w:rPr>
      </w:pPr>
      <w:r w:rsidRPr="005E13B9">
        <w:rPr>
          <w:noProof/>
          <w:kern w:val="0"/>
          <w:sz w:val="26"/>
          <w:szCs w:val="26"/>
        </w:rPr>
        <w:t>Researchers have emphasized the importance of the role which institutional investors act in the business world</w:t>
      </w:r>
      <w:r w:rsidR="002432F8" w:rsidRPr="005E13B9">
        <w:rPr>
          <w:rFonts w:hint="eastAsia"/>
          <w:kern w:val="0"/>
          <w:sz w:val="26"/>
          <w:szCs w:val="26"/>
        </w:rPr>
        <w:t xml:space="preserve"> for a long time</w:t>
      </w:r>
      <w:r w:rsidR="00ED6447" w:rsidRPr="005E13B9">
        <w:rPr>
          <w:rFonts w:hint="eastAsia"/>
          <w:kern w:val="0"/>
          <w:sz w:val="26"/>
          <w:szCs w:val="26"/>
        </w:rPr>
        <w:t xml:space="preserve">. </w:t>
      </w:r>
      <w:r w:rsidR="0013600E" w:rsidRPr="005E13B9">
        <w:rPr>
          <w:kern w:val="0"/>
          <w:sz w:val="26"/>
          <w:szCs w:val="26"/>
        </w:rPr>
        <w:t>For example, Garg and Chawla (2015) argue</w:t>
      </w:r>
      <w:r w:rsidR="002967F0" w:rsidRPr="005E13B9">
        <w:rPr>
          <w:kern w:val="0"/>
          <w:sz w:val="26"/>
          <w:szCs w:val="26"/>
        </w:rPr>
        <w:t>d</w:t>
      </w:r>
      <w:r w:rsidR="0013600E" w:rsidRPr="005E13B9">
        <w:rPr>
          <w:kern w:val="0"/>
          <w:sz w:val="26"/>
          <w:szCs w:val="26"/>
        </w:rPr>
        <w:t xml:space="preserve"> that</w:t>
      </w:r>
      <w:r w:rsidR="0013600E" w:rsidRPr="005E13B9">
        <w:rPr>
          <w:noProof/>
          <w:kern w:val="0"/>
          <w:sz w:val="26"/>
          <w:szCs w:val="26"/>
        </w:rPr>
        <w:t xml:space="preserve"> institutional</w:t>
      </w:r>
      <w:r w:rsidR="0013600E" w:rsidRPr="005E13B9">
        <w:rPr>
          <w:kern w:val="0"/>
          <w:sz w:val="26"/>
          <w:szCs w:val="26"/>
        </w:rPr>
        <w:t xml:space="preserve"> investors are called the elephants, the movers, and the shakers of stock markets because of their money power. Stepanyan (2011) point</w:t>
      </w:r>
      <w:r w:rsidR="002F6C6D" w:rsidRPr="005E13B9">
        <w:rPr>
          <w:kern w:val="0"/>
          <w:sz w:val="26"/>
          <w:szCs w:val="26"/>
        </w:rPr>
        <w:t>ed</w:t>
      </w:r>
      <w:r w:rsidR="0013600E" w:rsidRPr="005E13B9">
        <w:rPr>
          <w:kern w:val="0"/>
          <w:sz w:val="26"/>
          <w:szCs w:val="26"/>
        </w:rPr>
        <w:t xml:space="preserve"> out that foreign institutional investors have become significant players in the increasingly global financial markets. </w:t>
      </w:r>
      <w:r w:rsidR="0013600E" w:rsidRPr="005E13B9">
        <w:rPr>
          <w:noProof/>
          <w:kern w:val="0"/>
          <w:sz w:val="26"/>
          <w:szCs w:val="26"/>
        </w:rPr>
        <w:t>In addition</w:t>
      </w:r>
      <w:r w:rsidR="0013600E" w:rsidRPr="005E13B9">
        <w:rPr>
          <w:kern w:val="0"/>
          <w:sz w:val="26"/>
          <w:szCs w:val="26"/>
        </w:rPr>
        <w:t xml:space="preserve">, institutional investors are also of various significant functions. For instance, Ferreira and Matos (2008) </w:t>
      </w:r>
      <w:r w:rsidR="002F6C6D" w:rsidRPr="005E13B9">
        <w:rPr>
          <w:kern w:val="0"/>
          <w:sz w:val="26"/>
          <w:szCs w:val="26"/>
        </w:rPr>
        <w:t xml:space="preserve">found </w:t>
      </w:r>
      <w:r w:rsidR="0013600E" w:rsidRPr="005E13B9">
        <w:rPr>
          <w:kern w:val="0"/>
          <w:sz w:val="26"/>
          <w:szCs w:val="26"/>
        </w:rPr>
        <w:t>that foreign and independent institutions are involved in monitoring corporations worldwide. Tai, Lai, and Lin (2014) claim</w:t>
      </w:r>
      <w:r w:rsidR="002F6C6D" w:rsidRPr="005E13B9">
        <w:rPr>
          <w:kern w:val="0"/>
          <w:sz w:val="26"/>
          <w:szCs w:val="26"/>
        </w:rPr>
        <w:t>ed</w:t>
      </w:r>
      <w:r w:rsidR="0013600E" w:rsidRPr="005E13B9">
        <w:rPr>
          <w:kern w:val="0"/>
          <w:sz w:val="26"/>
          <w:szCs w:val="26"/>
        </w:rPr>
        <w:t xml:space="preserve"> that institutional investors are </w:t>
      </w:r>
      <w:r w:rsidR="0013600E" w:rsidRPr="005E13B9">
        <w:rPr>
          <w:noProof/>
          <w:kern w:val="0"/>
          <w:sz w:val="26"/>
          <w:szCs w:val="26"/>
        </w:rPr>
        <w:t>effective</w:t>
      </w:r>
      <w:r w:rsidR="0013600E" w:rsidRPr="005E13B9">
        <w:rPr>
          <w:kern w:val="0"/>
          <w:sz w:val="26"/>
          <w:szCs w:val="26"/>
        </w:rPr>
        <w:t xml:space="preserve"> monitors of corporate risk management to enhance the probability and extent of hedging. Bajo et al. (2013) reveal</w:t>
      </w:r>
      <w:r w:rsidR="002F6C6D" w:rsidRPr="005E13B9">
        <w:rPr>
          <w:kern w:val="0"/>
          <w:sz w:val="26"/>
          <w:szCs w:val="26"/>
        </w:rPr>
        <w:t>ed</w:t>
      </w:r>
      <w:r w:rsidR="0013600E" w:rsidRPr="005E13B9">
        <w:rPr>
          <w:kern w:val="0"/>
          <w:sz w:val="26"/>
          <w:szCs w:val="26"/>
        </w:rPr>
        <w:t xml:space="preserve"> that institutional investors play a central role in the bid process and can protect minority shareholders from being frozen out in the bid. Bushee (1998) declare</w:t>
      </w:r>
      <w:r w:rsidR="002F6C6D" w:rsidRPr="005E13B9">
        <w:rPr>
          <w:kern w:val="0"/>
          <w:sz w:val="26"/>
          <w:szCs w:val="26"/>
        </w:rPr>
        <w:t>d</w:t>
      </w:r>
      <w:r w:rsidR="0013600E" w:rsidRPr="005E13B9">
        <w:rPr>
          <w:kern w:val="0"/>
          <w:sz w:val="26"/>
          <w:szCs w:val="26"/>
        </w:rPr>
        <w:t xml:space="preserve"> that institutions are sophisticated investors who typically serve a monitoring role in reducing pressures for myopic behavior. Furthermore, foreign institutional investors </w:t>
      </w:r>
      <w:r w:rsidR="007D3FAF" w:rsidRPr="005E13B9">
        <w:rPr>
          <w:kern w:val="0"/>
          <w:sz w:val="26"/>
          <w:szCs w:val="26"/>
        </w:rPr>
        <w:t>own</w:t>
      </w:r>
      <w:r w:rsidR="0013600E" w:rsidRPr="005E13B9">
        <w:rPr>
          <w:kern w:val="0"/>
          <w:sz w:val="26"/>
          <w:szCs w:val="26"/>
        </w:rPr>
        <w:t xml:space="preserve"> several features</w:t>
      </w:r>
      <w:r w:rsidR="000552E7" w:rsidRPr="005E13B9">
        <w:rPr>
          <w:kern w:val="0"/>
          <w:sz w:val="26"/>
          <w:szCs w:val="26"/>
        </w:rPr>
        <w:t>,</w:t>
      </w:r>
      <w:r w:rsidR="0013600E" w:rsidRPr="005E13B9">
        <w:rPr>
          <w:kern w:val="0"/>
          <w:sz w:val="26"/>
          <w:szCs w:val="26"/>
        </w:rPr>
        <w:t xml:space="preserve"> </w:t>
      </w:r>
      <w:r w:rsidR="0013600E" w:rsidRPr="005E13B9">
        <w:rPr>
          <w:noProof/>
          <w:kern w:val="0"/>
          <w:sz w:val="26"/>
          <w:szCs w:val="26"/>
        </w:rPr>
        <w:t>including</w:t>
      </w:r>
      <w:r w:rsidR="0013600E" w:rsidRPr="005E13B9">
        <w:rPr>
          <w:kern w:val="0"/>
          <w:sz w:val="26"/>
          <w:szCs w:val="26"/>
        </w:rPr>
        <w:t xml:space="preserve"> independence from local management, internationally diversified portfolios, and expertise in monitoring firms </w:t>
      </w:r>
      <w:r w:rsidR="007C6883" w:rsidRPr="005E13B9">
        <w:rPr>
          <w:rFonts w:hint="eastAsia"/>
          <w:kern w:val="0"/>
          <w:sz w:val="26"/>
          <w:szCs w:val="26"/>
        </w:rPr>
        <w:t>(</w:t>
      </w:r>
      <w:r w:rsidR="007C6883" w:rsidRPr="005E13B9">
        <w:rPr>
          <w:kern w:val="0"/>
          <w:sz w:val="26"/>
          <w:szCs w:val="26"/>
        </w:rPr>
        <w:t>Foster &amp; Warren, 2016</w:t>
      </w:r>
      <w:r w:rsidR="007C6883" w:rsidRPr="005E13B9">
        <w:rPr>
          <w:rFonts w:hint="eastAsia"/>
          <w:kern w:val="0"/>
          <w:sz w:val="26"/>
          <w:szCs w:val="26"/>
        </w:rPr>
        <w:t xml:space="preserve">; </w:t>
      </w:r>
      <w:r w:rsidR="0013600E" w:rsidRPr="005E13B9">
        <w:rPr>
          <w:kern w:val="0"/>
          <w:sz w:val="26"/>
          <w:szCs w:val="26"/>
        </w:rPr>
        <w:t xml:space="preserve">Luong et al., 2017). </w:t>
      </w:r>
    </w:p>
    <w:p w14:paraId="7056C798" w14:textId="1F6B2451" w:rsidR="00562D71" w:rsidRPr="005E13B9" w:rsidRDefault="002F6C6D" w:rsidP="001C65C7">
      <w:pPr>
        <w:overflowPunct w:val="0"/>
        <w:adjustRightInd w:val="0"/>
        <w:ind w:firstLineChars="200" w:firstLine="520"/>
        <w:jc w:val="both"/>
        <w:outlineLvl w:val="1"/>
        <w:rPr>
          <w:kern w:val="0"/>
          <w:sz w:val="26"/>
          <w:szCs w:val="26"/>
        </w:rPr>
      </w:pPr>
      <w:r w:rsidRPr="005E13B9">
        <w:rPr>
          <w:kern w:val="0"/>
          <w:sz w:val="26"/>
          <w:szCs w:val="26"/>
        </w:rPr>
        <w:t>I</w:t>
      </w:r>
      <w:r w:rsidR="0013600E" w:rsidRPr="005E13B9">
        <w:rPr>
          <w:kern w:val="0"/>
          <w:sz w:val="26"/>
          <w:szCs w:val="26"/>
        </w:rPr>
        <w:t>nstitutional investors manage considerable funds worldwide. Davis (2002) claim</w:t>
      </w:r>
      <w:r w:rsidRPr="005E13B9">
        <w:rPr>
          <w:kern w:val="0"/>
          <w:sz w:val="26"/>
          <w:szCs w:val="26"/>
        </w:rPr>
        <w:t>ed</w:t>
      </w:r>
      <w:r w:rsidR="0013600E" w:rsidRPr="005E13B9">
        <w:rPr>
          <w:kern w:val="0"/>
          <w:sz w:val="26"/>
          <w:szCs w:val="26"/>
        </w:rPr>
        <w:t xml:space="preserve"> that </w:t>
      </w:r>
      <w:r w:rsidR="00B23424" w:rsidRPr="005E13B9">
        <w:rPr>
          <w:rFonts w:hint="eastAsia"/>
          <w:noProof/>
          <w:kern w:val="0"/>
          <w:sz w:val="26"/>
          <w:szCs w:val="26"/>
        </w:rPr>
        <w:t xml:space="preserve">the </w:t>
      </w:r>
      <w:r w:rsidR="0013600E" w:rsidRPr="005E13B9">
        <w:rPr>
          <w:noProof/>
          <w:kern w:val="0"/>
          <w:sz w:val="26"/>
          <w:szCs w:val="26"/>
        </w:rPr>
        <w:t>proportions</w:t>
      </w:r>
      <w:r w:rsidR="0013600E" w:rsidRPr="005E13B9">
        <w:rPr>
          <w:kern w:val="0"/>
          <w:sz w:val="26"/>
          <w:szCs w:val="26"/>
        </w:rPr>
        <w:t xml:space="preserve"> of equity held by institutional investors are rising across all OECD countries. While in the emerging markets, institutional investors contribute 30% of total market capitalization in India stock markets (Guha, 201</w:t>
      </w:r>
      <w:r w:rsidR="00FE6949" w:rsidRPr="005E13B9">
        <w:rPr>
          <w:kern w:val="0"/>
          <w:sz w:val="26"/>
          <w:szCs w:val="26"/>
        </w:rPr>
        <w:t>8</w:t>
      </w:r>
      <w:r w:rsidR="0013600E" w:rsidRPr="005E13B9">
        <w:rPr>
          <w:kern w:val="0"/>
          <w:sz w:val="26"/>
          <w:szCs w:val="26"/>
        </w:rPr>
        <w:t xml:space="preserve">) as well as about 40% share outstanding held by foreign institutional investors in the Taiwan Stock Exchange (Ni, Liao, &amp; Huang, 2017). To sum up, in many countries, institutional investors have become dominant players in the financial markets (Gillan </w:t>
      </w:r>
      <w:r w:rsidR="00132E90" w:rsidRPr="005E13B9">
        <w:rPr>
          <w:rFonts w:hint="eastAsia"/>
          <w:kern w:val="0"/>
          <w:sz w:val="26"/>
          <w:szCs w:val="26"/>
        </w:rPr>
        <w:t>&amp;</w:t>
      </w:r>
      <w:r w:rsidR="0013600E" w:rsidRPr="005E13B9">
        <w:rPr>
          <w:kern w:val="0"/>
          <w:sz w:val="26"/>
          <w:szCs w:val="26"/>
        </w:rPr>
        <w:t xml:space="preserve"> Starks, 2003</w:t>
      </w:r>
      <w:r w:rsidR="00132E90" w:rsidRPr="005E13B9">
        <w:rPr>
          <w:rFonts w:hint="eastAsia"/>
          <w:kern w:val="0"/>
          <w:sz w:val="26"/>
          <w:szCs w:val="26"/>
        </w:rPr>
        <w:t>;</w:t>
      </w:r>
      <w:r w:rsidR="00132E90" w:rsidRPr="005E13B9">
        <w:rPr>
          <w:sz w:val="26"/>
          <w:szCs w:val="26"/>
        </w:rPr>
        <w:t xml:space="preserve"> </w:t>
      </w:r>
      <w:r w:rsidR="00132E90" w:rsidRPr="005E13B9">
        <w:rPr>
          <w:kern w:val="0"/>
          <w:sz w:val="26"/>
          <w:szCs w:val="26"/>
        </w:rPr>
        <w:t>Lemma</w:t>
      </w:r>
      <w:r w:rsidR="00132E90" w:rsidRPr="005E13B9">
        <w:rPr>
          <w:rFonts w:hint="eastAsia"/>
          <w:kern w:val="0"/>
          <w:sz w:val="26"/>
          <w:szCs w:val="26"/>
        </w:rPr>
        <w:t xml:space="preserve"> et al. 2018</w:t>
      </w:r>
      <w:r w:rsidR="0013600E" w:rsidRPr="005E13B9">
        <w:rPr>
          <w:kern w:val="0"/>
          <w:sz w:val="26"/>
          <w:szCs w:val="26"/>
        </w:rPr>
        <w:t>).</w:t>
      </w:r>
    </w:p>
    <w:p w14:paraId="4C340E73" w14:textId="4EA18617" w:rsidR="00562D71" w:rsidRPr="005E13B9" w:rsidRDefault="0013600E" w:rsidP="001C65C7">
      <w:pPr>
        <w:overflowPunct w:val="0"/>
        <w:adjustRightInd w:val="0"/>
        <w:ind w:firstLineChars="200" w:firstLine="520"/>
        <w:jc w:val="both"/>
        <w:outlineLvl w:val="1"/>
        <w:rPr>
          <w:kern w:val="0"/>
          <w:sz w:val="26"/>
          <w:szCs w:val="26"/>
        </w:rPr>
      </w:pPr>
      <w:r w:rsidRPr="005E13B9">
        <w:rPr>
          <w:kern w:val="0"/>
          <w:sz w:val="26"/>
          <w:szCs w:val="26"/>
        </w:rPr>
        <w:t xml:space="preserve">Aside from the investor aspect, we consider that </w:t>
      </w:r>
      <w:r w:rsidR="00572EF8" w:rsidRPr="005E13B9">
        <w:rPr>
          <w:kern w:val="0"/>
          <w:sz w:val="26"/>
          <w:szCs w:val="26"/>
        </w:rPr>
        <w:t xml:space="preserve">corporate </w:t>
      </w:r>
      <w:r w:rsidR="00572EF8" w:rsidRPr="005E13B9">
        <w:rPr>
          <w:rFonts w:hint="eastAsia"/>
          <w:kern w:val="0"/>
          <w:sz w:val="26"/>
          <w:szCs w:val="26"/>
        </w:rPr>
        <w:t>n</w:t>
      </w:r>
      <w:r w:rsidR="00572EF8" w:rsidRPr="005E13B9">
        <w:rPr>
          <w:kern w:val="0"/>
          <w:sz w:val="26"/>
          <w:szCs w:val="26"/>
        </w:rPr>
        <w:t>ame</w:t>
      </w:r>
      <w:r w:rsidR="00572EF8" w:rsidRPr="005E13B9">
        <w:rPr>
          <w:rFonts w:hint="eastAsia"/>
          <w:kern w:val="0"/>
          <w:sz w:val="26"/>
          <w:szCs w:val="26"/>
        </w:rPr>
        <w:t xml:space="preserve"> </w:t>
      </w:r>
      <w:r w:rsidRPr="005E13B9">
        <w:rPr>
          <w:kern w:val="0"/>
          <w:sz w:val="26"/>
          <w:szCs w:val="26"/>
        </w:rPr>
        <w:t xml:space="preserve">might be another </w:t>
      </w:r>
      <w:r w:rsidRPr="005E13B9">
        <w:rPr>
          <w:noProof/>
          <w:kern w:val="0"/>
          <w:sz w:val="26"/>
          <w:szCs w:val="26"/>
        </w:rPr>
        <w:t>important</w:t>
      </w:r>
      <w:r w:rsidRPr="005E13B9">
        <w:rPr>
          <w:kern w:val="0"/>
          <w:sz w:val="26"/>
          <w:szCs w:val="26"/>
        </w:rPr>
        <w:t xml:space="preserve"> factor for firm performance and find that names do matter for firms from the previous studies. For example, Horsky and Swyngedouw (1987) claim</w:t>
      </w:r>
      <w:r w:rsidR="002F6C6D" w:rsidRPr="005E13B9">
        <w:rPr>
          <w:kern w:val="0"/>
          <w:sz w:val="26"/>
          <w:szCs w:val="26"/>
        </w:rPr>
        <w:t>ed</w:t>
      </w:r>
      <w:r w:rsidRPr="005E13B9">
        <w:rPr>
          <w:kern w:val="0"/>
          <w:sz w:val="26"/>
          <w:szCs w:val="26"/>
        </w:rPr>
        <w:t xml:space="preserve"> that a company's name is commonly considered to be an integral part of its image, just like the quality of its products or the quality of its technical services. Furthermore, a firm's only asset is its name or reputation (Tadelis, 2003) and, once a firm </w:t>
      </w:r>
      <w:r w:rsidRPr="005E13B9">
        <w:rPr>
          <w:noProof/>
          <w:kern w:val="0"/>
          <w:sz w:val="26"/>
          <w:szCs w:val="26"/>
        </w:rPr>
        <w:t>is established</w:t>
      </w:r>
      <w:r w:rsidRPr="005E13B9">
        <w:rPr>
          <w:kern w:val="0"/>
          <w:sz w:val="26"/>
          <w:szCs w:val="26"/>
        </w:rPr>
        <w:t>, it is recognized by its name</w:t>
      </w:r>
      <w:r w:rsidR="002F6C6D" w:rsidRPr="005E13B9">
        <w:rPr>
          <w:kern w:val="0"/>
          <w:sz w:val="26"/>
          <w:szCs w:val="26"/>
        </w:rPr>
        <w:t>,</w:t>
      </w:r>
      <w:r w:rsidRPr="005E13B9">
        <w:rPr>
          <w:kern w:val="0"/>
          <w:sz w:val="26"/>
          <w:szCs w:val="26"/>
        </w:rPr>
        <w:t xml:space="preserve"> which is uniquely associated with its characteristics and past performance (Tadelis, 1999). Muzellec (2006) argue</w:t>
      </w:r>
      <w:r w:rsidR="002F6C6D" w:rsidRPr="005E13B9">
        <w:rPr>
          <w:kern w:val="0"/>
          <w:sz w:val="26"/>
          <w:szCs w:val="26"/>
        </w:rPr>
        <w:t>d</w:t>
      </w:r>
      <w:r w:rsidRPr="005E13B9">
        <w:rPr>
          <w:kern w:val="0"/>
          <w:sz w:val="26"/>
          <w:szCs w:val="26"/>
        </w:rPr>
        <w:t xml:space="preserve"> that companies manage their corporate names more actively and treat them as corporate brands rather than merely trade names. Daly and Moloney (2004) point</w:t>
      </w:r>
      <w:r w:rsidR="002F6C6D" w:rsidRPr="005E13B9">
        <w:rPr>
          <w:kern w:val="0"/>
          <w:sz w:val="26"/>
          <w:szCs w:val="26"/>
        </w:rPr>
        <w:t>ed</w:t>
      </w:r>
      <w:r w:rsidRPr="005E13B9">
        <w:rPr>
          <w:kern w:val="0"/>
          <w:sz w:val="26"/>
          <w:szCs w:val="26"/>
        </w:rPr>
        <w:t xml:space="preserve"> out that</w:t>
      </w:r>
      <w:r w:rsidR="00B23424" w:rsidRPr="005E13B9">
        <w:rPr>
          <w:kern w:val="0"/>
          <w:sz w:val="26"/>
          <w:szCs w:val="26"/>
        </w:rPr>
        <w:t xml:space="preserve"> a</w:t>
      </w:r>
      <w:r w:rsidRPr="005E13B9">
        <w:rPr>
          <w:kern w:val="0"/>
          <w:sz w:val="26"/>
          <w:szCs w:val="26"/>
        </w:rPr>
        <w:t xml:space="preserve"> </w:t>
      </w:r>
      <w:r w:rsidRPr="005E13B9">
        <w:rPr>
          <w:noProof/>
          <w:kern w:val="0"/>
          <w:sz w:val="26"/>
          <w:szCs w:val="26"/>
        </w:rPr>
        <w:t>brand</w:t>
      </w:r>
      <w:r w:rsidRPr="005E13B9">
        <w:rPr>
          <w:kern w:val="0"/>
          <w:sz w:val="26"/>
          <w:szCs w:val="26"/>
        </w:rPr>
        <w:t xml:space="preserve"> is much more than </w:t>
      </w:r>
      <w:r w:rsidRPr="005E13B9">
        <w:rPr>
          <w:noProof/>
          <w:kern w:val="0"/>
          <w:sz w:val="26"/>
          <w:szCs w:val="26"/>
        </w:rPr>
        <w:t>simply</w:t>
      </w:r>
      <w:r w:rsidRPr="005E13B9">
        <w:rPr>
          <w:kern w:val="0"/>
          <w:sz w:val="26"/>
          <w:szCs w:val="26"/>
        </w:rPr>
        <w:t xml:space="preserve"> a name or a logo. It represents value, promise, attitude, and feeling about brand and product. It </w:t>
      </w:r>
      <w:r w:rsidRPr="005E13B9">
        <w:rPr>
          <w:noProof/>
          <w:kern w:val="0"/>
          <w:sz w:val="26"/>
          <w:szCs w:val="26"/>
        </w:rPr>
        <w:t>is recognized</w:t>
      </w:r>
      <w:r w:rsidRPr="005E13B9">
        <w:rPr>
          <w:kern w:val="0"/>
          <w:sz w:val="26"/>
          <w:szCs w:val="26"/>
        </w:rPr>
        <w:t xml:space="preserve"> as a </w:t>
      </w:r>
      <w:r w:rsidRPr="005E13B9">
        <w:rPr>
          <w:noProof/>
          <w:kern w:val="0"/>
          <w:sz w:val="26"/>
          <w:szCs w:val="26"/>
        </w:rPr>
        <w:t>major</w:t>
      </w:r>
      <w:r w:rsidRPr="005E13B9">
        <w:rPr>
          <w:kern w:val="0"/>
          <w:sz w:val="26"/>
          <w:szCs w:val="26"/>
        </w:rPr>
        <w:t xml:space="preserve"> asset </w:t>
      </w:r>
      <w:r w:rsidR="002F6C6D" w:rsidRPr="005E13B9">
        <w:rPr>
          <w:kern w:val="0"/>
          <w:sz w:val="26"/>
          <w:szCs w:val="26"/>
        </w:rPr>
        <w:t xml:space="preserve">that the firm had established and invested </w:t>
      </w:r>
      <w:bookmarkStart w:id="0" w:name="_GoBack"/>
      <w:bookmarkEnd w:id="0"/>
      <w:r w:rsidR="002F6C6D" w:rsidRPr="005E13B9">
        <w:rPr>
          <w:kern w:val="0"/>
          <w:sz w:val="26"/>
          <w:szCs w:val="26"/>
        </w:rPr>
        <w:lastRenderedPageBreak/>
        <w:t>over a prolonged period of years</w:t>
      </w:r>
      <w:r w:rsidRPr="005E13B9">
        <w:rPr>
          <w:kern w:val="0"/>
          <w:sz w:val="26"/>
          <w:szCs w:val="26"/>
        </w:rPr>
        <w:t>. Delattre (2002) argue</w:t>
      </w:r>
      <w:r w:rsidR="002F6C6D" w:rsidRPr="005E13B9">
        <w:rPr>
          <w:kern w:val="0"/>
          <w:sz w:val="26"/>
          <w:szCs w:val="26"/>
        </w:rPr>
        <w:t>d</w:t>
      </w:r>
      <w:r w:rsidRPr="005E13B9">
        <w:rPr>
          <w:kern w:val="0"/>
          <w:sz w:val="26"/>
          <w:szCs w:val="26"/>
        </w:rPr>
        <w:t xml:space="preserve"> that the name is the main component of any organization's identity. </w:t>
      </w:r>
      <w:r w:rsidR="003C2B7F" w:rsidRPr="005E13B9">
        <w:rPr>
          <w:sz w:val="26"/>
          <w:szCs w:val="26"/>
        </w:rPr>
        <w:t>Chang and Young (2016)</w:t>
      </w:r>
      <w:r w:rsidR="001760EA" w:rsidRPr="005E13B9">
        <w:rPr>
          <w:kern w:val="0"/>
          <w:sz w:val="26"/>
          <w:szCs w:val="26"/>
        </w:rPr>
        <w:t xml:space="preserve"> </w:t>
      </w:r>
      <w:r w:rsidR="007D3FAF" w:rsidRPr="005E13B9">
        <w:rPr>
          <w:rFonts w:hint="eastAsia"/>
          <w:kern w:val="0"/>
          <w:sz w:val="26"/>
          <w:szCs w:val="26"/>
        </w:rPr>
        <w:t>demonstrate</w:t>
      </w:r>
      <w:r w:rsidR="002F6C6D" w:rsidRPr="005E13B9">
        <w:rPr>
          <w:kern w:val="0"/>
          <w:sz w:val="26"/>
          <w:szCs w:val="26"/>
        </w:rPr>
        <w:t>d</w:t>
      </w:r>
      <w:r w:rsidR="001760EA" w:rsidRPr="005E13B9">
        <w:rPr>
          <w:kern w:val="0"/>
          <w:sz w:val="26"/>
          <w:szCs w:val="26"/>
        </w:rPr>
        <w:t xml:space="preserve"> that</w:t>
      </w:r>
      <w:r w:rsidR="007D3FAF" w:rsidRPr="005E13B9">
        <w:rPr>
          <w:rFonts w:hint="eastAsia"/>
          <w:kern w:val="0"/>
          <w:sz w:val="26"/>
          <w:szCs w:val="26"/>
        </w:rPr>
        <w:t>,</w:t>
      </w:r>
      <w:r w:rsidR="001760EA" w:rsidRPr="005E13B9">
        <w:rPr>
          <w:kern w:val="0"/>
          <w:sz w:val="26"/>
          <w:szCs w:val="26"/>
        </w:rPr>
        <w:t xml:space="preserve"> compared with non‐brand firms, brand firms performed better in and recovered quicker from the </w:t>
      </w:r>
      <w:r w:rsidR="001760EA" w:rsidRPr="005E13B9">
        <w:rPr>
          <w:noProof/>
          <w:kern w:val="0"/>
          <w:sz w:val="26"/>
          <w:szCs w:val="26"/>
        </w:rPr>
        <w:t>difficult</w:t>
      </w:r>
      <w:r w:rsidR="001760EA" w:rsidRPr="005E13B9">
        <w:rPr>
          <w:kern w:val="0"/>
          <w:sz w:val="26"/>
          <w:szCs w:val="26"/>
        </w:rPr>
        <w:t xml:space="preserve"> economic times of the late 2000s. </w:t>
      </w:r>
      <w:r w:rsidRPr="005E13B9">
        <w:rPr>
          <w:kern w:val="0"/>
          <w:sz w:val="26"/>
          <w:szCs w:val="26"/>
        </w:rPr>
        <w:t>Glynn and Abzug (2002) reveal</w:t>
      </w:r>
      <w:r w:rsidR="002D7D46" w:rsidRPr="005E13B9">
        <w:rPr>
          <w:rFonts w:hint="eastAsia"/>
          <w:kern w:val="0"/>
          <w:sz w:val="26"/>
          <w:szCs w:val="26"/>
        </w:rPr>
        <w:t>ed</w:t>
      </w:r>
      <w:r w:rsidRPr="005E13B9">
        <w:rPr>
          <w:kern w:val="0"/>
          <w:sz w:val="26"/>
          <w:szCs w:val="26"/>
        </w:rPr>
        <w:t xml:space="preserve"> that organizational names encode central features of meaning (Olins, 1989) and organizational identity (Ashforth &amp; Gibbs, 1990; </w:t>
      </w:r>
      <w:r w:rsidR="00786D57" w:rsidRPr="005E13B9">
        <w:rPr>
          <w:kern w:val="0"/>
          <w:sz w:val="26"/>
          <w:szCs w:val="26"/>
        </w:rPr>
        <w:t>Watson</w:t>
      </w:r>
      <w:r w:rsidR="00786D57" w:rsidRPr="005E13B9">
        <w:rPr>
          <w:rFonts w:hint="eastAsia"/>
          <w:kern w:val="0"/>
          <w:sz w:val="26"/>
          <w:szCs w:val="26"/>
        </w:rPr>
        <w:t xml:space="preserve"> et al. </w:t>
      </w:r>
      <w:r w:rsidR="00786D57" w:rsidRPr="005E13B9">
        <w:rPr>
          <w:kern w:val="0"/>
          <w:sz w:val="26"/>
          <w:szCs w:val="26"/>
        </w:rPr>
        <w:t>2016</w:t>
      </w:r>
      <w:r w:rsidRPr="005E13B9">
        <w:rPr>
          <w:kern w:val="0"/>
          <w:sz w:val="26"/>
          <w:szCs w:val="26"/>
        </w:rPr>
        <w:t>).</w:t>
      </w:r>
    </w:p>
    <w:p w14:paraId="041B3D4E" w14:textId="5041F645" w:rsidR="00562D71" w:rsidRPr="005E13B9" w:rsidRDefault="0013600E" w:rsidP="001C65C7">
      <w:pPr>
        <w:overflowPunct w:val="0"/>
        <w:adjustRightInd w:val="0"/>
        <w:ind w:firstLineChars="200" w:firstLine="520"/>
        <w:jc w:val="both"/>
        <w:outlineLvl w:val="1"/>
        <w:rPr>
          <w:kern w:val="0"/>
          <w:sz w:val="26"/>
          <w:szCs w:val="26"/>
        </w:rPr>
      </w:pPr>
      <w:r w:rsidRPr="005E13B9">
        <w:rPr>
          <w:noProof/>
          <w:kern w:val="0"/>
          <w:sz w:val="26"/>
          <w:szCs w:val="26"/>
        </w:rPr>
        <w:t>In addition</w:t>
      </w:r>
      <w:r w:rsidRPr="005E13B9">
        <w:rPr>
          <w:kern w:val="0"/>
          <w:sz w:val="26"/>
          <w:szCs w:val="26"/>
        </w:rPr>
        <w:t xml:space="preserve">, although names may not capture the entirety of a firm's identity, to most of the people, corporations are </w:t>
      </w:r>
      <w:r w:rsidR="00FF5690" w:rsidRPr="005E13B9">
        <w:rPr>
          <w:kern w:val="0"/>
          <w:sz w:val="26"/>
          <w:szCs w:val="26"/>
        </w:rPr>
        <w:t>“</w:t>
      </w:r>
      <w:r w:rsidRPr="005E13B9">
        <w:rPr>
          <w:kern w:val="0"/>
          <w:sz w:val="26"/>
          <w:szCs w:val="26"/>
        </w:rPr>
        <w:t>nothing but a name</w:t>
      </w:r>
      <w:r w:rsidR="00FF5690" w:rsidRPr="005E13B9">
        <w:rPr>
          <w:kern w:val="0"/>
          <w:sz w:val="26"/>
          <w:szCs w:val="26"/>
        </w:rPr>
        <w:t>”</w:t>
      </w:r>
      <w:r w:rsidRPr="005E13B9">
        <w:rPr>
          <w:kern w:val="0"/>
          <w:sz w:val="26"/>
          <w:szCs w:val="26"/>
        </w:rPr>
        <w:t xml:space="preserve"> (Boddewyn, 1967). Howe (1982) claim</w:t>
      </w:r>
      <w:r w:rsidR="002F6C6D" w:rsidRPr="005E13B9">
        <w:rPr>
          <w:kern w:val="0"/>
          <w:sz w:val="26"/>
          <w:szCs w:val="26"/>
        </w:rPr>
        <w:t>ed</w:t>
      </w:r>
      <w:r w:rsidRPr="005E13B9">
        <w:rPr>
          <w:kern w:val="0"/>
          <w:sz w:val="26"/>
          <w:szCs w:val="26"/>
        </w:rPr>
        <w:t xml:space="preserve"> that </w:t>
      </w:r>
      <w:r w:rsidR="002D7D46" w:rsidRPr="005E13B9">
        <w:rPr>
          <w:kern w:val="0"/>
          <w:sz w:val="26"/>
          <w:szCs w:val="26"/>
        </w:rPr>
        <w:t xml:space="preserve">the </w:t>
      </w:r>
      <w:r w:rsidRPr="005E13B9">
        <w:rPr>
          <w:kern w:val="0"/>
          <w:sz w:val="26"/>
          <w:szCs w:val="26"/>
        </w:rPr>
        <w:t xml:space="preserve">company’s name is one of its public images and a poor choice of name may be an obstacle for the firm to overcome, while a </w:t>
      </w:r>
      <w:r w:rsidRPr="005E13B9">
        <w:rPr>
          <w:noProof/>
          <w:kern w:val="0"/>
          <w:sz w:val="26"/>
          <w:szCs w:val="26"/>
        </w:rPr>
        <w:t>clever</w:t>
      </w:r>
      <w:r w:rsidR="00624F80" w:rsidRPr="005E13B9">
        <w:rPr>
          <w:rFonts w:hint="eastAsia"/>
          <w:noProof/>
          <w:kern w:val="0"/>
          <w:sz w:val="26"/>
          <w:szCs w:val="26"/>
        </w:rPr>
        <w:t xml:space="preserve">, such as </w:t>
      </w:r>
      <w:r w:rsidRPr="005E13B9">
        <w:rPr>
          <w:kern w:val="0"/>
          <w:sz w:val="26"/>
          <w:szCs w:val="26"/>
        </w:rPr>
        <w:t>amusing</w:t>
      </w:r>
      <w:r w:rsidR="00624F80" w:rsidRPr="005E13B9">
        <w:rPr>
          <w:rFonts w:hint="eastAsia"/>
          <w:kern w:val="0"/>
          <w:sz w:val="26"/>
          <w:szCs w:val="26"/>
        </w:rPr>
        <w:t xml:space="preserve"> and </w:t>
      </w:r>
      <w:r w:rsidRPr="005E13B9">
        <w:rPr>
          <w:kern w:val="0"/>
          <w:sz w:val="26"/>
          <w:szCs w:val="26"/>
        </w:rPr>
        <w:t xml:space="preserve">informative, name may have a positive influence on individuals’ perceptions of the company. Morris and Reyes (2011) </w:t>
      </w:r>
      <w:r w:rsidR="00FF5690" w:rsidRPr="005E13B9">
        <w:rPr>
          <w:rFonts w:hint="eastAsia"/>
          <w:kern w:val="0"/>
          <w:sz w:val="26"/>
          <w:szCs w:val="26"/>
        </w:rPr>
        <w:t>argue</w:t>
      </w:r>
      <w:r w:rsidR="002F6C6D" w:rsidRPr="005E13B9">
        <w:rPr>
          <w:kern w:val="0"/>
          <w:sz w:val="26"/>
          <w:szCs w:val="26"/>
        </w:rPr>
        <w:t>d</w:t>
      </w:r>
      <w:r w:rsidRPr="005E13B9">
        <w:rPr>
          <w:kern w:val="0"/>
          <w:sz w:val="26"/>
          <w:szCs w:val="26"/>
        </w:rPr>
        <w:t xml:space="preserve"> that a well-chosen corporate name communicates much information and emotion to the firm's public. Green and Jame (2013) </w:t>
      </w:r>
      <w:r w:rsidR="002F6C6D" w:rsidRPr="005E13B9">
        <w:rPr>
          <w:kern w:val="0"/>
          <w:sz w:val="26"/>
          <w:szCs w:val="26"/>
        </w:rPr>
        <w:t xml:space="preserve">found </w:t>
      </w:r>
      <w:r w:rsidRPr="005E13B9">
        <w:rPr>
          <w:kern w:val="0"/>
          <w:sz w:val="26"/>
          <w:szCs w:val="26"/>
        </w:rPr>
        <w:t>that companies with short</w:t>
      </w:r>
      <w:r w:rsidR="00FF5690" w:rsidRPr="005E13B9">
        <w:rPr>
          <w:rFonts w:hint="eastAsia"/>
          <w:kern w:val="0"/>
          <w:sz w:val="26"/>
          <w:szCs w:val="26"/>
        </w:rPr>
        <w:t xml:space="preserve"> and</w:t>
      </w:r>
      <w:r w:rsidRPr="005E13B9">
        <w:rPr>
          <w:kern w:val="0"/>
          <w:sz w:val="26"/>
          <w:szCs w:val="26"/>
        </w:rPr>
        <w:t xml:space="preserve"> easy to pronounce names have </w:t>
      </w:r>
      <w:r w:rsidR="00B23424" w:rsidRPr="005E13B9">
        <w:rPr>
          <w:noProof/>
          <w:kern w:val="0"/>
          <w:sz w:val="26"/>
          <w:szCs w:val="26"/>
        </w:rPr>
        <w:t xml:space="preserve">a </w:t>
      </w:r>
      <w:r w:rsidRPr="005E13B9">
        <w:rPr>
          <w:noProof/>
          <w:kern w:val="0"/>
          <w:sz w:val="26"/>
          <w:szCs w:val="26"/>
        </w:rPr>
        <w:t>higher</w:t>
      </w:r>
      <w:r w:rsidRPr="005E13B9">
        <w:rPr>
          <w:kern w:val="0"/>
          <w:sz w:val="26"/>
          <w:szCs w:val="26"/>
        </w:rPr>
        <w:t xml:space="preserve"> breadth of ownership, </w:t>
      </w:r>
      <w:r w:rsidRPr="005E13B9">
        <w:rPr>
          <w:noProof/>
          <w:kern w:val="0"/>
          <w:sz w:val="26"/>
          <w:szCs w:val="26"/>
        </w:rPr>
        <w:t>greater</w:t>
      </w:r>
      <w:r w:rsidRPr="005E13B9">
        <w:rPr>
          <w:kern w:val="0"/>
          <w:sz w:val="26"/>
          <w:szCs w:val="26"/>
        </w:rPr>
        <w:t xml:space="preserve"> share turnover, lower transaction price impacts, and higher valuation ratios.</w:t>
      </w:r>
    </w:p>
    <w:p w14:paraId="240B7F8D" w14:textId="7D36C337" w:rsidR="006B0F8A" w:rsidRPr="005E13B9" w:rsidRDefault="0013600E" w:rsidP="001C65C7">
      <w:pPr>
        <w:overflowPunct w:val="0"/>
        <w:adjustRightInd w:val="0"/>
        <w:ind w:firstLineChars="200" w:firstLine="520"/>
        <w:jc w:val="both"/>
        <w:outlineLvl w:val="1"/>
        <w:rPr>
          <w:kern w:val="0"/>
          <w:sz w:val="26"/>
          <w:szCs w:val="26"/>
        </w:rPr>
      </w:pPr>
      <w:r w:rsidRPr="005E13B9">
        <w:rPr>
          <w:kern w:val="0"/>
          <w:sz w:val="26"/>
          <w:szCs w:val="26"/>
        </w:rPr>
        <w:t>Although some academic studies have analyzed the issue related to firm name</w:t>
      </w:r>
      <w:r w:rsidR="00A27124" w:rsidRPr="005E13B9">
        <w:rPr>
          <w:rFonts w:hint="eastAsia"/>
          <w:kern w:val="0"/>
          <w:sz w:val="26"/>
          <w:szCs w:val="26"/>
        </w:rPr>
        <w:t>s</w:t>
      </w:r>
      <w:r w:rsidRPr="005E13B9">
        <w:rPr>
          <w:kern w:val="0"/>
          <w:sz w:val="26"/>
          <w:szCs w:val="26"/>
        </w:rPr>
        <w:t xml:space="preserve"> changed, few studies have </w:t>
      </w:r>
      <w:r w:rsidRPr="005E13B9">
        <w:rPr>
          <w:noProof/>
          <w:kern w:val="0"/>
          <w:sz w:val="26"/>
          <w:szCs w:val="26"/>
        </w:rPr>
        <w:t>been explored</w:t>
      </w:r>
      <w:r w:rsidRPr="005E13B9">
        <w:rPr>
          <w:kern w:val="0"/>
          <w:sz w:val="26"/>
          <w:szCs w:val="26"/>
        </w:rPr>
        <w:t xml:space="preserve"> the issue, whether institutional shareholdings would be affected by firm name</w:t>
      </w:r>
      <w:r w:rsidR="00A27124" w:rsidRPr="005E13B9">
        <w:rPr>
          <w:rFonts w:hint="eastAsia"/>
          <w:kern w:val="0"/>
          <w:sz w:val="26"/>
          <w:szCs w:val="26"/>
        </w:rPr>
        <w:t>s</w:t>
      </w:r>
      <w:r w:rsidRPr="005E13B9">
        <w:rPr>
          <w:kern w:val="0"/>
          <w:sz w:val="26"/>
          <w:szCs w:val="26"/>
        </w:rPr>
        <w:t xml:space="preserve"> changed</w:t>
      </w:r>
      <w:r w:rsidR="00B23424" w:rsidRPr="005E13B9">
        <w:rPr>
          <w:rFonts w:hint="eastAsia"/>
          <w:kern w:val="0"/>
          <w:sz w:val="26"/>
          <w:szCs w:val="26"/>
        </w:rPr>
        <w:t>,</w:t>
      </w:r>
      <w:r w:rsidRPr="005E13B9">
        <w:rPr>
          <w:kern w:val="0"/>
          <w:sz w:val="26"/>
          <w:szCs w:val="26"/>
        </w:rPr>
        <w:t xml:space="preserve"> </w:t>
      </w:r>
      <w:r w:rsidRPr="005E13B9">
        <w:rPr>
          <w:noProof/>
          <w:kern w:val="0"/>
          <w:sz w:val="26"/>
          <w:szCs w:val="26"/>
        </w:rPr>
        <w:t>including</w:t>
      </w:r>
      <w:r w:rsidRPr="005E13B9">
        <w:rPr>
          <w:kern w:val="0"/>
          <w:sz w:val="26"/>
          <w:szCs w:val="26"/>
        </w:rPr>
        <w:t xml:space="preserve"> once and more than once. </w:t>
      </w:r>
      <w:r w:rsidR="002F6C6D" w:rsidRPr="005E13B9">
        <w:rPr>
          <w:kern w:val="0"/>
          <w:sz w:val="26"/>
          <w:szCs w:val="26"/>
        </w:rPr>
        <w:t>Besides</w:t>
      </w:r>
      <w:r w:rsidRPr="005E13B9">
        <w:rPr>
          <w:kern w:val="0"/>
          <w:sz w:val="26"/>
          <w:szCs w:val="26"/>
        </w:rPr>
        <w:t xml:space="preserve">, to </w:t>
      </w:r>
      <w:r w:rsidR="00FF5690" w:rsidRPr="005E13B9">
        <w:rPr>
          <w:rFonts w:hint="eastAsia"/>
          <w:noProof/>
          <w:kern w:val="0"/>
          <w:sz w:val="26"/>
          <w:szCs w:val="26"/>
        </w:rPr>
        <w:t>our</w:t>
      </w:r>
      <w:r w:rsidRPr="005E13B9">
        <w:rPr>
          <w:kern w:val="0"/>
          <w:sz w:val="26"/>
          <w:szCs w:val="26"/>
        </w:rPr>
        <w:t xml:space="preserve"> best understanding, we argue that whether the firms changing </w:t>
      </w:r>
      <w:r w:rsidR="007474CA" w:rsidRPr="005E13B9">
        <w:rPr>
          <w:kern w:val="0"/>
          <w:sz w:val="26"/>
          <w:szCs w:val="26"/>
        </w:rPr>
        <w:t>industry categories</w:t>
      </w:r>
      <w:r w:rsidR="00B23424" w:rsidRPr="005E13B9">
        <w:rPr>
          <w:rFonts w:hint="eastAsia"/>
          <w:kern w:val="0"/>
          <w:sz w:val="26"/>
          <w:szCs w:val="26"/>
        </w:rPr>
        <w:t>,</w:t>
      </w:r>
      <w:r w:rsidRPr="005E13B9">
        <w:rPr>
          <w:kern w:val="0"/>
          <w:sz w:val="26"/>
          <w:szCs w:val="26"/>
        </w:rPr>
        <w:t xml:space="preserve"> </w:t>
      </w:r>
      <w:r w:rsidRPr="005E13B9">
        <w:rPr>
          <w:noProof/>
          <w:kern w:val="0"/>
          <w:sz w:val="26"/>
          <w:szCs w:val="26"/>
        </w:rPr>
        <w:t>including</w:t>
      </w:r>
      <w:r w:rsidRPr="005E13B9">
        <w:rPr>
          <w:kern w:val="0"/>
          <w:sz w:val="26"/>
          <w:szCs w:val="26"/>
        </w:rPr>
        <w:t xml:space="preserve"> once or more than once</w:t>
      </w:r>
      <w:r w:rsidR="00FF5690" w:rsidRPr="005E13B9">
        <w:rPr>
          <w:rFonts w:hint="eastAsia"/>
          <w:kern w:val="0"/>
          <w:sz w:val="26"/>
          <w:szCs w:val="26"/>
        </w:rPr>
        <w:t>,</w:t>
      </w:r>
      <w:r w:rsidRPr="005E13B9">
        <w:rPr>
          <w:kern w:val="0"/>
          <w:sz w:val="26"/>
          <w:szCs w:val="26"/>
        </w:rPr>
        <w:t xml:space="preserve"> might not </w:t>
      </w:r>
      <w:r w:rsidRPr="005E13B9">
        <w:rPr>
          <w:noProof/>
          <w:kern w:val="0"/>
          <w:sz w:val="26"/>
          <w:szCs w:val="26"/>
        </w:rPr>
        <w:t xml:space="preserve">be </w:t>
      </w:r>
      <w:r w:rsidR="00FF5690" w:rsidRPr="005E13B9">
        <w:rPr>
          <w:rFonts w:hint="eastAsia"/>
          <w:noProof/>
          <w:kern w:val="0"/>
          <w:sz w:val="26"/>
          <w:szCs w:val="26"/>
        </w:rPr>
        <w:t>discuss</w:t>
      </w:r>
      <w:r w:rsidRPr="005E13B9">
        <w:rPr>
          <w:noProof/>
          <w:kern w:val="0"/>
          <w:sz w:val="26"/>
          <w:szCs w:val="26"/>
        </w:rPr>
        <w:t>ed</w:t>
      </w:r>
      <w:r w:rsidRPr="005E13B9">
        <w:rPr>
          <w:kern w:val="0"/>
          <w:sz w:val="26"/>
          <w:szCs w:val="26"/>
        </w:rPr>
        <w:t xml:space="preserve"> in </w:t>
      </w:r>
      <w:r w:rsidR="00B23424" w:rsidRPr="005E13B9">
        <w:rPr>
          <w:noProof/>
          <w:kern w:val="0"/>
          <w:sz w:val="26"/>
          <w:szCs w:val="26"/>
        </w:rPr>
        <w:t xml:space="preserve">the </w:t>
      </w:r>
      <w:r w:rsidRPr="005E13B9">
        <w:rPr>
          <w:noProof/>
          <w:kern w:val="0"/>
          <w:sz w:val="26"/>
          <w:szCs w:val="26"/>
        </w:rPr>
        <w:t>existing</w:t>
      </w:r>
      <w:r w:rsidRPr="005E13B9">
        <w:rPr>
          <w:kern w:val="0"/>
          <w:sz w:val="26"/>
          <w:szCs w:val="26"/>
        </w:rPr>
        <w:t xml:space="preserve"> literature. </w:t>
      </w:r>
      <w:r w:rsidR="002F6C6D" w:rsidRPr="005E13B9">
        <w:rPr>
          <w:kern w:val="0"/>
          <w:sz w:val="26"/>
          <w:szCs w:val="26"/>
        </w:rPr>
        <w:t>Moreover</w:t>
      </w:r>
      <w:r w:rsidRPr="005E13B9">
        <w:rPr>
          <w:kern w:val="0"/>
          <w:sz w:val="26"/>
          <w:szCs w:val="26"/>
        </w:rPr>
        <w:t xml:space="preserve">, we control the variables </w:t>
      </w:r>
      <w:r w:rsidR="002F6C6D" w:rsidRPr="005E13B9">
        <w:rPr>
          <w:noProof/>
          <w:kern w:val="0"/>
          <w:sz w:val="26"/>
          <w:szCs w:val="26"/>
        </w:rPr>
        <w:t>concerning</w:t>
      </w:r>
      <w:r w:rsidRPr="005E13B9">
        <w:rPr>
          <w:kern w:val="0"/>
          <w:sz w:val="26"/>
          <w:szCs w:val="26"/>
        </w:rPr>
        <w:t xml:space="preserve"> fundamentals such as board structure and financial performance variables, which might derive the reason why </w:t>
      </w:r>
      <w:r w:rsidRPr="005E13B9">
        <w:rPr>
          <w:noProof/>
          <w:kern w:val="0"/>
          <w:sz w:val="26"/>
          <w:szCs w:val="26"/>
        </w:rPr>
        <w:t>firms</w:t>
      </w:r>
      <w:r w:rsidR="00B23424" w:rsidRPr="005E13B9">
        <w:rPr>
          <w:noProof/>
          <w:kern w:val="0"/>
          <w:sz w:val="26"/>
          <w:szCs w:val="26"/>
        </w:rPr>
        <w:t xml:space="preserve"> are</w:t>
      </w:r>
      <w:r w:rsidRPr="005E13B9">
        <w:rPr>
          <w:kern w:val="0"/>
          <w:sz w:val="26"/>
          <w:szCs w:val="26"/>
        </w:rPr>
        <w:t xml:space="preserve"> changing either firm name</w:t>
      </w:r>
      <w:r w:rsidR="00A27124" w:rsidRPr="005E13B9">
        <w:rPr>
          <w:rFonts w:hint="eastAsia"/>
          <w:kern w:val="0"/>
          <w:sz w:val="26"/>
          <w:szCs w:val="26"/>
        </w:rPr>
        <w:t>s</w:t>
      </w:r>
      <w:r w:rsidRPr="005E13B9">
        <w:rPr>
          <w:kern w:val="0"/>
          <w:sz w:val="26"/>
          <w:szCs w:val="26"/>
        </w:rPr>
        <w:t xml:space="preserve"> or </w:t>
      </w:r>
      <w:r w:rsidR="007474CA" w:rsidRPr="005E13B9">
        <w:rPr>
          <w:kern w:val="0"/>
          <w:sz w:val="26"/>
          <w:szCs w:val="26"/>
        </w:rPr>
        <w:t>industry categories</w:t>
      </w:r>
      <w:r w:rsidRPr="005E13B9">
        <w:rPr>
          <w:kern w:val="0"/>
          <w:sz w:val="26"/>
          <w:szCs w:val="26"/>
        </w:rPr>
        <w:t>. Thus, we argue that this study may contribute to our understanding of the firms changing either firm name</w:t>
      </w:r>
      <w:r w:rsidR="00A27124" w:rsidRPr="005E13B9">
        <w:rPr>
          <w:rFonts w:hint="eastAsia"/>
          <w:kern w:val="0"/>
          <w:sz w:val="26"/>
          <w:szCs w:val="26"/>
        </w:rPr>
        <w:t>s</w:t>
      </w:r>
      <w:r w:rsidRPr="005E13B9">
        <w:rPr>
          <w:kern w:val="0"/>
          <w:sz w:val="26"/>
          <w:szCs w:val="26"/>
        </w:rPr>
        <w:t xml:space="preserve"> or </w:t>
      </w:r>
      <w:r w:rsidR="007474CA" w:rsidRPr="005E13B9">
        <w:rPr>
          <w:kern w:val="0"/>
          <w:sz w:val="26"/>
          <w:szCs w:val="26"/>
        </w:rPr>
        <w:t>industry categories</w:t>
      </w:r>
      <w:r w:rsidRPr="005E13B9">
        <w:rPr>
          <w:kern w:val="0"/>
          <w:sz w:val="26"/>
          <w:szCs w:val="26"/>
        </w:rPr>
        <w:t>.</w:t>
      </w:r>
    </w:p>
    <w:p w14:paraId="6829101F" w14:textId="63E7CC89" w:rsidR="006B0F8A" w:rsidRPr="005E13B9" w:rsidRDefault="002F6C6D" w:rsidP="001C65C7">
      <w:pPr>
        <w:overflowPunct w:val="0"/>
        <w:adjustRightInd w:val="0"/>
        <w:ind w:firstLineChars="200" w:firstLine="520"/>
        <w:jc w:val="both"/>
        <w:outlineLvl w:val="1"/>
        <w:rPr>
          <w:kern w:val="0"/>
          <w:sz w:val="26"/>
          <w:szCs w:val="26"/>
        </w:rPr>
      </w:pPr>
      <w:r w:rsidRPr="005E13B9">
        <w:rPr>
          <w:noProof/>
          <w:kern w:val="0"/>
          <w:sz w:val="26"/>
          <w:szCs w:val="26"/>
        </w:rPr>
        <w:t>T</w:t>
      </w:r>
      <w:r w:rsidR="00A27124" w:rsidRPr="005E13B9">
        <w:rPr>
          <w:rFonts w:hint="eastAsia"/>
          <w:kern w:val="0"/>
          <w:sz w:val="26"/>
          <w:szCs w:val="26"/>
        </w:rPr>
        <w:t xml:space="preserve">he </w:t>
      </w:r>
      <w:r w:rsidR="0013600E" w:rsidRPr="005E13B9">
        <w:rPr>
          <w:kern w:val="0"/>
          <w:sz w:val="26"/>
          <w:szCs w:val="26"/>
        </w:rPr>
        <w:t>firm</w:t>
      </w:r>
      <w:r w:rsidR="00A27124" w:rsidRPr="005E13B9">
        <w:rPr>
          <w:rFonts w:hint="eastAsia"/>
          <w:kern w:val="0"/>
          <w:sz w:val="26"/>
          <w:szCs w:val="26"/>
        </w:rPr>
        <w:t>s</w:t>
      </w:r>
      <w:r w:rsidR="0013600E" w:rsidRPr="005E13B9">
        <w:rPr>
          <w:kern w:val="0"/>
          <w:sz w:val="26"/>
          <w:szCs w:val="26"/>
        </w:rPr>
        <w:t xml:space="preserve"> </w:t>
      </w:r>
      <w:r w:rsidRPr="005E13B9">
        <w:rPr>
          <w:kern w:val="0"/>
          <w:sz w:val="26"/>
          <w:szCs w:val="26"/>
        </w:rPr>
        <w:t>which have changed their</w:t>
      </w:r>
      <w:r w:rsidR="0013600E" w:rsidRPr="005E13B9">
        <w:rPr>
          <w:kern w:val="0"/>
          <w:sz w:val="26"/>
          <w:szCs w:val="26"/>
        </w:rPr>
        <w:t xml:space="preserve"> name</w:t>
      </w:r>
      <w:r w:rsidR="00A27124" w:rsidRPr="005E13B9">
        <w:rPr>
          <w:rFonts w:hint="eastAsia"/>
          <w:kern w:val="0"/>
          <w:sz w:val="26"/>
          <w:szCs w:val="26"/>
        </w:rPr>
        <w:t>s</w:t>
      </w:r>
      <w:r w:rsidR="0013600E" w:rsidRPr="005E13B9">
        <w:rPr>
          <w:kern w:val="0"/>
          <w:sz w:val="26"/>
          <w:szCs w:val="26"/>
        </w:rPr>
        <w:t xml:space="preserve"> </w:t>
      </w:r>
      <w:r w:rsidR="00A723F7" w:rsidRPr="005E13B9">
        <w:rPr>
          <w:rFonts w:hint="eastAsia"/>
          <w:kern w:val="0"/>
          <w:sz w:val="26"/>
          <w:szCs w:val="26"/>
        </w:rPr>
        <w:t>or</w:t>
      </w:r>
      <w:r w:rsidR="0013600E" w:rsidRPr="005E13B9">
        <w:rPr>
          <w:kern w:val="0"/>
          <w:sz w:val="26"/>
          <w:szCs w:val="26"/>
        </w:rPr>
        <w:t xml:space="preserve"> </w:t>
      </w:r>
      <w:r w:rsidR="007474CA" w:rsidRPr="005E13B9">
        <w:rPr>
          <w:kern w:val="0"/>
          <w:sz w:val="26"/>
          <w:szCs w:val="26"/>
        </w:rPr>
        <w:t>industry categories</w:t>
      </w:r>
      <w:r w:rsidR="00A723F7" w:rsidRPr="005E13B9">
        <w:rPr>
          <w:kern w:val="0"/>
          <w:sz w:val="26"/>
          <w:szCs w:val="26"/>
        </w:rPr>
        <w:t xml:space="preserve"> </w:t>
      </w:r>
      <w:r w:rsidRPr="005E13B9">
        <w:rPr>
          <w:kern w:val="0"/>
          <w:sz w:val="26"/>
          <w:szCs w:val="26"/>
        </w:rPr>
        <w:t>usually are</w:t>
      </w:r>
      <w:r w:rsidR="0013600E" w:rsidRPr="005E13B9">
        <w:rPr>
          <w:noProof/>
          <w:kern w:val="0"/>
          <w:sz w:val="26"/>
          <w:szCs w:val="26"/>
        </w:rPr>
        <w:t xml:space="preserve"> suspected</w:t>
      </w:r>
      <w:r w:rsidR="0013600E" w:rsidRPr="005E13B9">
        <w:rPr>
          <w:kern w:val="0"/>
          <w:sz w:val="26"/>
          <w:szCs w:val="26"/>
        </w:rPr>
        <w:t xml:space="preserve"> </w:t>
      </w:r>
      <w:r w:rsidRPr="005E13B9">
        <w:rPr>
          <w:kern w:val="0"/>
          <w:sz w:val="26"/>
          <w:szCs w:val="26"/>
        </w:rPr>
        <w:t>of the fundamental issues</w:t>
      </w:r>
      <w:r w:rsidR="0013600E" w:rsidRPr="005E13B9">
        <w:rPr>
          <w:kern w:val="0"/>
          <w:sz w:val="26"/>
          <w:szCs w:val="26"/>
        </w:rPr>
        <w:t xml:space="preserve">. However, we argue that the firms changing </w:t>
      </w:r>
      <w:r w:rsidRPr="005E13B9">
        <w:rPr>
          <w:kern w:val="0"/>
          <w:sz w:val="26"/>
          <w:szCs w:val="26"/>
        </w:rPr>
        <w:t>their</w:t>
      </w:r>
      <w:r w:rsidR="0013600E" w:rsidRPr="005E13B9">
        <w:rPr>
          <w:kern w:val="0"/>
          <w:sz w:val="26"/>
          <w:szCs w:val="26"/>
        </w:rPr>
        <w:t xml:space="preserve"> name</w:t>
      </w:r>
      <w:r w:rsidR="00A27124" w:rsidRPr="005E13B9">
        <w:rPr>
          <w:rFonts w:hint="eastAsia"/>
          <w:kern w:val="0"/>
          <w:sz w:val="26"/>
          <w:szCs w:val="26"/>
        </w:rPr>
        <w:t>s</w:t>
      </w:r>
      <w:r w:rsidR="0013600E" w:rsidRPr="005E13B9">
        <w:rPr>
          <w:kern w:val="0"/>
          <w:sz w:val="26"/>
          <w:szCs w:val="26"/>
        </w:rPr>
        <w:t xml:space="preserve"> or </w:t>
      </w:r>
      <w:r w:rsidR="007474CA" w:rsidRPr="005E13B9">
        <w:rPr>
          <w:kern w:val="0"/>
          <w:sz w:val="26"/>
          <w:szCs w:val="26"/>
        </w:rPr>
        <w:t>industry categories</w:t>
      </w:r>
      <w:r w:rsidR="00A27124" w:rsidRPr="005E13B9">
        <w:rPr>
          <w:rFonts w:hint="eastAsia"/>
          <w:kern w:val="0"/>
          <w:sz w:val="26"/>
          <w:szCs w:val="26"/>
        </w:rPr>
        <w:t xml:space="preserve"> </w:t>
      </w:r>
      <w:r w:rsidR="0013600E" w:rsidRPr="005E13B9">
        <w:rPr>
          <w:kern w:val="0"/>
          <w:sz w:val="26"/>
          <w:szCs w:val="26"/>
        </w:rPr>
        <w:t xml:space="preserve">might not </w:t>
      </w:r>
      <w:r w:rsidR="00A723F7" w:rsidRPr="005E13B9">
        <w:rPr>
          <w:rFonts w:hint="eastAsia"/>
          <w:kern w:val="0"/>
          <w:sz w:val="26"/>
          <w:szCs w:val="26"/>
        </w:rPr>
        <w:t xml:space="preserve">result in the </w:t>
      </w:r>
      <w:r w:rsidR="0013600E" w:rsidRPr="005E13B9">
        <w:rPr>
          <w:kern w:val="0"/>
          <w:sz w:val="26"/>
          <w:szCs w:val="26"/>
        </w:rPr>
        <w:t>decrease</w:t>
      </w:r>
      <w:r w:rsidR="00A723F7" w:rsidRPr="005E13B9">
        <w:rPr>
          <w:rFonts w:hint="eastAsia"/>
          <w:kern w:val="0"/>
          <w:sz w:val="26"/>
          <w:szCs w:val="26"/>
        </w:rPr>
        <w:t xml:space="preserve"> of</w:t>
      </w:r>
      <w:r w:rsidR="0013600E" w:rsidRPr="005E13B9">
        <w:rPr>
          <w:kern w:val="0"/>
          <w:sz w:val="26"/>
          <w:szCs w:val="26"/>
        </w:rPr>
        <w:t xml:space="preserve"> institutional shareholdings</w:t>
      </w:r>
      <w:r w:rsidR="00F12ACD" w:rsidRPr="005E13B9">
        <w:rPr>
          <w:rFonts w:hint="eastAsia"/>
          <w:kern w:val="0"/>
          <w:sz w:val="26"/>
          <w:szCs w:val="26"/>
        </w:rPr>
        <w:t xml:space="preserve"> </w:t>
      </w:r>
      <w:r w:rsidR="00A723F7" w:rsidRPr="005E13B9">
        <w:rPr>
          <w:rFonts w:hint="eastAsia"/>
          <w:kern w:val="0"/>
          <w:sz w:val="26"/>
          <w:szCs w:val="26"/>
        </w:rPr>
        <w:t xml:space="preserve">because </w:t>
      </w:r>
      <w:r w:rsidR="0013600E" w:rsidRPr="005E13B9">
        <w:rPr>
          <w:kern w:val="0"/>
          <w:sz w:val="26"/>
          <w:szCs w:val="26"/>
        </w:rPr>
        <w:t xml:space="preserve">some industries </w:t>
      </w:r>
      <w:r w:rsidR="00A723F7" w:rsidRPr="005E13B9">
        <w:rPr>
          <w:rFonts w:hint="eastAsia"/>
          <w:kern w:val="0"/>
          <w:sz w:val="26"/>
          <w:szCs w:val="26"/>
        </w:rPr>
        <w:t>might have</w:t>
      </w:r>
      <w:r w:rsidR="0013600E" w:rsidRPr="005E13B9">
        <w:rPr>
          <w:kern w:val="0"/>
          <w:sz w:val="26"/>
          <w:szCs w:val="26"/>
        </w:rPr>
        <w:t xml:space="preserve"> higher </w:t>
      </w:r>
      <w:r w:rsidR="00EF7221" w:rsidRPr="005E13B9">
        <w:rPr>
          <w:rFonts w:hint="eastAsia"/>
          <w:kern w:val="0"/>
          <w:sz w:val="26"/>
          <w:szCs w:val="26"/>
        </w:rPr>
        <w:t>P</w:t>
      </w:r>
      <w:r w:rsidR="00DC1C06" w:rsidRPr="005E13B9">
        <w:rPr>
          <w:rFonts w:hint="eastAsia"/>
          <w:kern w:val="0"/>
          <w:sz w:val="26"/>
          <w:szCs w:val="26"/>
        </w:rPr>
        <w:t>rice</w:t>
      </w:r>
      <w:r w:rsidR="00944832" w:rsidRPr="005E13B9">
        <w:rPr>
          <w:rFonts w:hint="eastAsia"/>
          <w:kern w:val="0"/>
          <w:sz w:val="26"/>
          <w:szCs w:val="26"/>
        </w:rPr>
        <w:t>-</w:t>
      </w:r>
      <w:r w:rsidR="00DC1C06" w:rsidRPr="005E13B9">
        <w:rPr>
          <w:rFonts w:hint="eastAsia"/>
          <w:kern w:val="0"/>
          <w:sz w:val="26"/>
          <w:szCs w:val="26"/>
        </w:rPr>
        <w:t>to</w:t>
      </w:r>
      <w:r w:rsidR="00944832" w:rsidRPr="005E13B9">
        <w:rPr>
          <w:rFonts w:hint="eastAsia"/>
          <w:kern w:val="0"/>
          <w:sz w:val="26"/>
          <w:szCs w:val="26"/>
        </w:rPr>
        <w:t>-</w:t>
      </w:r>
      <w:r w:rsidR="00EF7221" w:rsidRPr="005E13B9">
        <w:rPr>
          <w:rFonts w:hint="eastAsia"/>
          <w:kern w:val="0"/>
          <w:sz w:val="26"/>
          <w:szCs w:val="26"/>
        </w:rPr>
        <w:t>E</w:t>
      </w:r>
      <w:r w:rsidR="00DC1C06" w:rsidRPr="005E13B9">
        <w:rPr>
          <w:rFonts w:hint="eastAsia"/>
          <w:kern w:val="0"/>
          <w:sz w:val="26"/>
          <w:szCs w:val="26"/>
        </w:rPr>
        <w:t>arning</w:t>
      </w:r>
      <w:r w:rsidR="008258B9" w:rsidRPr="005E13B9">
        <w:rPr>
          <w:rFonts w:hint="eastAsia"/>
          <w:kern w:val="0"/>
          <w:sz w:val="26"/>
          <w:szCs w:val="26"/>
        </w:rPr>
        <w:t>s</w:t>
      </w:r>
      <w:r w:rsidR="00DC1C06" w:rsidRPr="005E13B9">
        <w:rPr>
          <w:rFonts w:hint="eastAsia"/>
          <w:kern w:val="0"/>
          <w:sz w:val="26"/>
          <w:szCs w:val="26"/>
        </w:rPr>
        <w:t xml:space="preserve"> </w:t>
      </w:r>
      <w:r w:rsidR="00600B76" w:rsidRPr="005E13B9">
        <w:rPr>
          <w:rFonts w:hint="eastAsia"/>
          <w:kern w:val="0"/>
          <w:sz w:val="26"/>
          <w:szCs w:val="26"/>
        </w:rPr>
        <w:t xml:space="preserve">(P/E) </w:t>
      </w:r>
      <w:r w:rsidR="00DC1C06" w:rsidRPr="005E13B9">
        <w:rPr>
          <w:rFonts w:hint="eastAsia"/>
          <w:kern w:val="0"/>
          <w:sz w:val="26"/>
          <w:szCs w:val="26"/>
        </w:rPr>
        <w:t>ratio</w:t>
      </w:r>
      <w:r w:rsidR="00F12ACD" w:rsidRPr="005E13B9">
        <w:rPr>
          <w:rFonts w:hint="eastAsia"/>
          <w:kern w:val="0"/>
          <w:sz w:val="26"/>
          <w:szCs w:val="26"/>
        </w:rPr>
        <w:t xml:space="preserve">, </w:t>
      </w:r>
      <w:r w:rsidR="00F12ACD" w:rsidRPr="005E13B9">
        <w:rPr>
          <w:kern w:val="0"/>
          <w:sz w:val="26"/>
          <w:szCs w:val="26"/>
        </w:rPr>
        <w:t>which</w:t>
      </w:r>
      <w:r w:rsidR="00F12ACD" w:rsidRPr="005E13B9">
        <w:rPr>
          <w:rFonts w:hint="eastAsia"/>
          <w:kern w:val="0"/>
          <w:sz w:val="26"/>
          <w:szCs w:val="26"/>
        </w:rPr>
        <w:t xml:space="preserve"> might </w:t>
      </w:r>
      <w:r w:rsidR="00F12ACD" w:rsidRPr="005E13B9">
        <w:rPr>
          <w:kern w:val="0"/>
          <w:sz w:val="26"/>
          <w:szCs w:val="26"/>
        </w:rPr>
        <w:t>appeal</w:t>
      </w:r>
      <w:r w:rsidR="00F12ACD" w:rsidRPr="005E13B9">
        <w:rPr>
          <w:rFonts w:hint="eastAsia"/>
          <w:kern w:val="0"/>
          <w:sz w:val="26"/>
          <w:szCs w:val="26"/>
        </w:rPr>
        <w:t xml:space="preserve"> </w:t>
      </w:r>
      <w:r w:rsidR="00624F80" w:rsidRPr="005E13B9">
        <w:rPr>
          <w:rFonts w:hint="eastAsia"/>
          <w:kern w:val="0"/>
          <w:sz w:val="26"/>
          <w:szCs w:val="26"/>
        </w:rPr>
        <w:t xml:space="preserve">to </w:t>
      </w:r>
      <w:r w:rsidR="00A723F7" w:rsidRPr="005E13B9">
        <w:rPr>
          <w:rFonts w:hint="eastAsia"/>
          <w:kern w:val="0"/>
          <w:sz w:val="26"/>
          <w:szCs w:val="26"/>
        </w:rPr>
        <w:t xml:space="preserve">institutional </w:t>
      </w:r>
      <w:r w:rsidR="00F12ACD" w:rsidRPr="005E13B9">
        <w:rPr>
          <w:rFonts w:hint="eastAsia"/>
          <w:kern w:val="0"/>
          <w:sz w:val="26"/>
          <w:szCs w:val="26"/>
        </w:rPr>
        <w:t>invest</w:t>
      </w:r>
      <w:r w:rsidR="00A723F7" w:rsidRPr="005E13B9">
        <w:rPr>
          <w:rFonts w:hint="eastAsia"/>
          <w:kern w:val="0"/>
          <w:sz w:val="26"/>
          <w:szCs w:val="26"/>
        </w:rPr>
        <w:t>or</w:t>
      </w:r>
      <w:r w:rsidR="00F12ACD" w:rsidRPr="005E13B9">
        <w:rPr>
          <w:rFonts w:hint="eastAsia"/>
          <w:kern w:val="0"/>
          <w:sz w:val="26"/>
          <w:szCs w:val="26"/>
        </w:rPr>
        <w:t>s to increase their shareholdings</w:t>
      </w:r>
      <w:r w:rsidR="0013600E" w:rsidRPr="005E13B9">
        <w:rPr>
          <w:kern w:val="0"/>
          <w:sz w:val="26"/>
          <w:szCs w:val="26"/>
        </w:rPr>
        <w:t xml:space="preserve">. </w:t>
      </w:r>
      <w:r w:rsidRPr="005E13B9">
        <w:rPr>
          <w:noProof/>
          <w:kern w:val="0"/>
          <w:sz w:val="26"/>
          <w:szCs w:val="26"/>
        </w:rPr>
        <w:t>Besides</w:t>
      </w:r>
      <w:r w:rsidR="0013600E" w:rsidRPr="005E13B9">
        <w:rPr>
          <w:kern w:val="0"/>
          <w:sz w:val="26"/>
          <w:szCs w:val="26"/>
        </w:rPr>
        <w:t xml:space="preserve">, </w:t>
      </w:r>
      <w:r w:rsidR="00E95B48" w:rsidRPr="005E13B9">
        <w:rPr>
          <w:rFonts w:hint="eastAsia"/>
          <w:kern w:val="0"/>
          <w:sz w:val="26"/>
          <w:szCs w:val="26"/>
        </w:rPr>
        <w:t xml:space="preserve">we argue that the </w:t>
      </w:r>
      <w:r w:rsidR="00326078" w:rsidRPr="005E13B9">
        <w:rPr>
          <w:rFonts w:hint="eastAsia"/>
          <w:kern w:val="0"/>
          <w:sz w:val="26"/>
          <w:szCs w:val="26"/>
        </w:rPr>
        <w:t>firm</w:t>
      </w:r>
      <w:r w:rsidR="00E95B48" w:rsidRPr="005E13B9">
        <w:rPr>
          <w:rFonts w:hint="eastAsia"/>
          <w:kern w:val="0"/>
          <w:sz w:val="26"/>
          <w:szCs w:val="26"/>
        </w:rPr>
        <w:t>s</w:t>
      </w:r>
      <w:r w:rsidR="00326078" w:rsidRPr="005E13B9">
        <w:rPr>
          <w:rFonts w:hint="eastAsia"/>
          <w:kern w:val="0"/>
          <w:sz w:val="26"/>
          <w:szCs w:val="26"/>
        </w:rPr>
        <w:t xml:space="preserve"> </w:t>
      </w:r>
      <w:r w:rsidR="00326078" w:rsidRPr="005E13B9">
        <w:rPr>
          <w:kern w:val="0"/>
          <w:sz w:val="26"/>
          <w:szCs w:val="26"/>
        </w:rPr>
        <w:t>changing</w:t>
      </w:r>
      <w:r w:rsidR="00326078" w:rsidRPr="005E13B9">
        <w:rPr>
          <w:rFonts w:hint="eastAsia"/>
          <w:kern w:val="0"/>
          <w:sz w:val="26"/>
          <w:szCs w:val="26"/>
        </w:rPr>
        <w:t xml:space="preserve"> </w:t>
      </w:r>
      <w:r w:rsidR="00326078" w:rsidRPr="005E13B9">
        <w:rPr>
          <w:kern w:val="0"/>
          <w:sz w:val="26"/>
          <w:szCs w:val="26"/>
        </w:rPr>
        <w:t>their</w:t>
      </w:r>
      <w:r w:rsidR="00326078" w:rsidRPr="005E13B9">
        <w:rPr>
          <w:rFonts w:hint="eastAsia"/>
          <w:kern w:val="0"/>
          <w:sz w:val="26"/>
          <w:szCs w:val="26"/>
        </w:rPr>
        <w:t xml:space="preserve"> firm names might change their </w:t>
      </w:r>
      <w:r w:rsidR="0013600E" w:rsidRPr="005E13B9">
        <w:rPr>
          <w:kern w:val="0"/>
          <w:sz w:val="26"/>
          <w:szCs w:val="26"/>
        </w:rPr>
        <w:t xml:space="preserve">fortune </w:t>
      </w:r>
      <w:r w:rsidR="00E95B48" w:rsidRPr="005E13B9">
        <w:rPr>
          <w:rFonts w:hint="eastAsia"/>
          <w:kern w:val="0"/>
          <w:sz w:val="26"/>
          <w:szCs w:val="26"/>
        </w:rPr>
        <w:t xml:space="preserve">according to </w:t>
      </w:r>
      <w:r w:rsidR="00E95B48" w:rsidRPr="005E13B9">
        <w:rPr>
          <w:kern w:val="0"/>
          <w:sz w:val="26"/>
          <w:szCs w:val="26"/>
        </w:rPr>
        <w:t>the wisdom of</w:t>
      </w:r>
      <w:r w:rsidR="00E95B48" w:rsidRPr="005E13B9">
        <w:rPr>
          <w:rFonts w:hint="eastAsia"/>
          <w:kern w:val="0"/>
          <w:sz w:val="26"/>
          <w:szCs w:val="26"/>
        </w:rPr>
        <w:t xml:space="preserve"> the</w:t>
      </w:r>
      <w:r w:rsidR="00E95B48" w:rsidRPr="005E13B9">
        <w:rPr>
          <w:kern w:val="0"/>
          <w:sz w:val="26"/>
          <w:szCs w:val="26"/>
        </w:rPr>
        <w:t xml:space="preserve"> </w:t>
      </w:r>
      <w:r w:rsidR="00E95B48" w:rsidRPr="005E13B9">
        <w:rPr>
          <w:noProof/>
          <w:kern w:val="0"/>
          <w:sz w:val="26"/>
          <w:szCs w:val="26"/>
        </w:rPr>
        <w:t>oriental</w:t>
      </w:r>
      <w:r w:rsidR="00E95B48" w:rsidRPr="005E13B9">
        <w:rPr>
          <w:kern w:val="0"/>
          <w:sz w:val="26"/>
          <w:szCs w:val="26"/>
        </w:rPr>
        <w:t xml:space="preserve"> culture</w:t>
      </w:r>
      <w:r w:rsidR="00E95B48" w:rsidRPr="005E13B9">
        <w:rPr>
          <w:rFonts w:hint="eastAsia"/>
          <w:kern w:val="0"/>
          <w:sz w:val="26"/>
          <w:szCs w:val="26"/>
        </w:rPr>
        <w:t xml:space="preserve">. </w:t>
      </w:r>
      <w:r w:rsidR="0013600E" w:rsidRPr="005E13B9">
        <w:rPr>
          <w:kern w:val="0"/>
          <w:sz w:val="26"/>
          <w:szCs w:val="26"/>
        </w:rPr>
        <w:t>Thus, we employ the Taiwan data due to the concern of oriental culture</w:t>
      </w:r>
      <w:r w:rsidR="00F12ACD" w:rsidRPr="005E13B9">
        <w:rPr>
          <w:rFonts w:hint="eastAsia"/>
          <w:kern w:val="0"/>
          <w:sz w:val="26"/>
          <w:szCs w:val="26"/>
        </w:rPr>
        <w:t xml:space="preserve">, and the </w:t>
      </w:r>
      <w:r w:rsidR="00F12ACD" w:rsidRPr="005E13B9">
        <w:rPr>
          <w:kern w:val="0"/>
          <w:sz w:val="26"/>
          <w:szCs w:val="26"/>
        </w:rPr>
        <w:t xml:space="preserve">revealed results might </w:t>
      </w:r>
      <w:r w:rsidR="00F12ACD" w:rsidRPr="005E13B9">
        <w:rPr>
          <w:rFonts w:hint="eastAsia"/>
          <w:kern w:val="0"/>
          <w:sz w:val="26"/>
          <w:szCs w:val="26"/>
        </w:rPr>
        <w:t>be different from the cognitions in terms of Western culture</w:t>
      </w:r>
      <w:r w:rsidR="0013600E" w:rsidRPr="005E13B9">
        <w:rPr>
          <w:kern w:val="0"/>
          <w:sz w:val="26"/>
          <w:szCs w:val="26"/>
        </w:rPr>
        <w:t>.</w:t>
      </w:r>
    </w:p>
    <w:p w14:paraId="0A5C758B" w14:textId="2F12D0E0" w:rsidR="006B0F8A" w:rsidRPr="005E13B9" w:rsidRDefault="002F6C6D" w:rsidP="001C65C7">
      <w:pPr>
        <w:overflowPunct w:val="0"/>
        <w:adjustRightInd w:val="0"/>
        <w:ind w:firstLineChars="200" w:firstLine="520"/>
        <w:jc w:val="both"/>
        <w:outlineLvl w:val="1"/>
        <w:rPr>
          <w:kern w:val="0"/>
          <w:sz w:val="26"/>
          <w:szCs w:val="26"/>
        </w:rPr>
      </w:pPr>
      <w:r w:rsidRPr="005E13B9">
        <w:rPr>
          <w:kern w:val="0"/>
          <w:sz w:val="26"/>
          <w:szCs w:val="26"/>
        </w:rPr>
        <w:t>W</w:t>
      </w:r>
      <w:r w:rsidR="0013600E" w:rsidRPr="005E13B9">
        <w:rPr>
          <w:kern w:val="0"/>
          <w:sz w:val="26"/>
          <w:szCs w:val="26"/>
        </w:rPr>
        <w:t xml:space="preserve">hether there </w:t>
      </w:r>
      <w:r w:rsidR="003C56EF" w:rsidRPr="005E13B9">
        <w:rPr>
          <w:rFonts w:hint="eastAsia"/>
          <w:kern w:val="0"/>
          <w:sz w:val="26"/>
          <w:szCs w:val="26"/>
        </w:rPr>
        <w:t>are</w:t>
      </w:r>
      <w:r w:rsidR="004D7A03" w:rsidRPr="005E13B9">
        <w:rPr>
          <w:noProof/>
          <w:kern w:val="0"/>
          <w:sz w:val="26"/>
          <w:szCs w:val="26"/>
        </w:rPr>
        <w:t xml:space="preserve"> </w:t>
      </w:r>
      <w:r w:rsidR="0013600E" w:rsidRPr="005E13B9">
        <w:rPr>
          <w:noProof/>
          <w:kern w:val="0"/>
          <w:sz w:val="26"/>
          <w:szCs w:val="26"/>
        </w:rPr>
        <w:t>difference</w:t>
      </w:r>
      <w:r w:rsidR="003C56EF" w:rsidRPr="005E13B9">
        <w:rPr>
          <w:rFonts w:hint="eastAsia"/>
          <w:noProof/>
          <w:kern w:val="0"/>
          <w:sz w:val="26"/>
          <w:szCs w:val="26"/>
        </w:rPr>
        <w:t>s</w:t>
      </w:r>
      <w:r w:rsidR="0013600E" w:rsidRPr="005E13B9">
        <w:rPr>
          <w:kern w:val="0"/>
          <w:sz w:val="26"/>
          <w:szCs w:val="26"/>
        </w:rPr>
        <w:t xml:space="preserve"> between changing once </w:t>
      </w:r>
      <w:r w:rsidR="00326078" w:rsidRPr="005E13B9">
        <w:rPr>
          <w:rFonts w:hint="eastAsia"/>
          <w:kern w:val="0"/>
          <w:sz w:val="26"/>
          <w:szCs w:val="26"/>
        </w:rPr>
        <w:t xml:space="preserve">(i.e. once only) </w:t>
      </w:r>
      <w:r w:rsidR="0013600E" w:rsidRPr="005E13B9">
        <w:rPr>
          <w:kern w:val="0"/>
          <w:sz w:val="26"/>
          <w:szCs w:val="26"/>
        </w:rPr>
        <w:t xml:space="preserve">and more than once </w:t>
      </w:r>
      <w:r w:rsidR="00326078" w:rsidRPr="005E13B9">
        <w:rPr>
          <w:rFonts w:hint="eastAsia"/>
          <w:kern w:val="0"/>
          <w:sz w:val="26"/>
          <w:szCs w:val="26"/>
        </w:rPr>
        <w:t>(</w:t>
      </w:r>
      <w:r w:rsidR="00326078" w:rsidRPr="005E13B9">
        <w:rPr>
          <w:kern w:val="0"/>
          <w:sz w:val="26"/>
          <w:szCs w:val="26"/>
        </w:rPr>
        <w:t xml:space="preserve">i.e. </w:t>
      </w:r>
      <w:r w:rsidR="00326078" w:rsidRPr="005E13B9">
        <w:rPr>
          <w:rFonts w:hint="eastAsia"/>
          <w:kern w:val="0"/>
          <w:sz w:val="26"/>
          <w:szCs w:val="26"/>
        </w:rPr>
        <w:t xml:space="preserve">twice or above) </w:t>
      </w:r>
      <w:r w:rsidR="0013600E" w:rsidRPr="005E13B9">
        <w:rPr>
          <w:kern w:val="0"/>
          <w:sz w:val="26"/>
          <w:szCs w:val="26"/>
        </w:rPr>
        <w:t>for firm name</w:t>
      </w:r>
      <w:r w:rsidR="00A27124" w:rsidRPr="005E13B9">
        <w:rPr>
          <w:rFonts w:hint="eastAsia"/>
          <w:kern w:val="0"/>
          <w:sz w:val="26"/>
          <w:szCs w:val="26"/>
        </w:rPr>
        <w:t>s</w:t>
      </w:r>
      <w:r w:rsidR="0013600E" w:rsidRPr="005E13B9">
        <w:rPr>
          <w:kern w:val="0"/>
          <w:sz w:val="26"/>
          <w:szCs w:val="26"/>
        </w:rPr>
        <w:t xml:space="preserve"> and </w:t>
      </w:r>
      <w:r w:rsidR="007474CA" w:rsidRPr="005E13B9">
        <w:rPr>
          <w:kern w:val="0"/>
          <w:sz w:val="26"/>
          <w:szCs w:val="26"/>
        </w:rPr>
        <w:t>industry categories</w:t>
      </w:r>
      <w:r w:rsidR="00F12ACD" w:rsidRPr="005E13B9">
        <w:rPr>
          <w:rFonts w:hint="eastAsia"/>
          <w:kern w:val="0"/>
          <w:sz w:val="26"/>
          <w:szCs w:val="26"/>
        </w:rPr>
        <w:t xml:space="preserve"> </w:t>
      </w:r>
      <w:r w:rsidR="0013600E" w:rsidRPr="005E13B9">
        <w:rPr>
          <w:kern w:val="0"/>
          <w:sz w:val="26"/>
          <w:szCs w:val="26"/>
        </w:rPr>
        <w:t xml:space="preserve">would be concerned in this study. </w:t>
      </w:r>
      <w:r w:rsidR="0013600E" w:rsidRPr="005E13B9">
        <w:rPr>
          <w:noProof/>
          <w:kern w:val="0"/>
          <w:sz w:val="26"/>
          <w:szCs w:val="26"/>
        </w:rPr>
        <w:t xml:space="preserve">We infer that the firms changing </w:t>
      </w:r>
      <w:r w:rsidR="003C56EF" w:rsidRPr="005E13B9">
        <w:rPr>
          <w:rFonts w:hint="eastAsia"/>
          <w:noProof/>
          <w:kern w:val="0"/>
          <w:sz w:val="26"/>
          <w:szCs w:val="26"/>
        </w:rPr>
        <w:t xml:space="preserve">their names </w:t>
      </w:r>
      <w:r w:rsidR="0013600E" w:rsidRPr="005E13B9">
        <w:rPr>
          <w:noProof/>
          <w:kern w:val="0"/>
          <w:sz w:val="26"/>
          <w:szCs w:val="26"/>
        </w:rPr>
        <w:t xml:space="preserve">once </w:t>
      </w:r>
      <w:r w:rsidR="00175D88" w:rsidRPr="005E13B9">
        <w:rPr>
          <w:rFonts w:hint="eastAsia"/>
          <w:noProof/>
          <w:kern w:val="0"/>
          <w:sz w:val="26"/>
          <w:szCs w:val="26"/>
        </w:rPr>
        <w:t xml:space="preserve">might result </w:t>
      </w:r>
      <w:r w:rsidR="00175D88" w:rsidRPr="005E13B9">
        <w:rPr>
          <w:rFonts w:hint="eastAsia"/>
          <w:noProof/>
          <w:kern w:val="0"/>
          <w:sz w:val="26"/>
          <w:szCs w:val="26"/>
        </w:rPr>
        <w:lastRenderedPageBreak/>
        <w:t xml:space="preserve">from </w:t>
      </w:r>
      <w:r w:rsidR="00F12ACD" w:rsidRPr="005E13B9">
        <w:rPr>
          <w:rFonts w:hint="eastAsia"/>
          <w:noProof/>
          <w:kern w:val="0"/>
          <w:sz w:val="26"/>
          <w:szCs w:val="26"/>
        </w:rPr>
        <w:t xml:space="preserve">the </w:t>
      </w:r>
      <w:r w:rsidR="00253C52" w:rsidRPr="005E13B9">
        <w:rPr>
          <w:rFonts w:hint="eastAsia"/>
          <w:noProof/>
          <w:kern w:val="0"/>
          <w:sz w:val="26"/>
          <w:szCs w:val="26"/>
        </w:rPr>
        <w:t xml:space="preserve">attempt </w:t>
      </w:r>
      <w:r w:rsidR="00175D88" w:rsidRPr="005E13B9">
        <w:rPr>
          <w:rFonts w:hint="eastAsia"/>
          <w:noProof/>
          <w:kern w:val="0"/>
          <w:sz w:val="26"/>
          <w:szCs w:val="26"/>
        </w:rPr>
        <w:t xml:space="preserve">to </w:t>
      </w:r>
      <w:r w:rsidR="00253C52" w:rsidRPr="005E13B9">
        <w:rPr>
          <w:rFonts w:hint="eastAsia"/>
          <w:noProof/>
          <w:kern w:val="0"/>
          <w:sz w:val="26"/>
          <w:szCs w:val="26"/>
        </w:rPr>
        <w:t xml:space="preserve">enhance </w:t>
      </w:r>
      <w:r w:rsidR="00F12ACD" w:rsidRPr="005E13B9">
        <w:rPr>
          <w:rFonts w:hint="eastAsia"/>
          <w:noProof/>
          <w:kern w:val="0"/>
          <w:sz w:val="26"/>
          <w:szCs w:val="26"/>
        </w:rPr>
        <w:t>their business</w:t>
      </w:r>
      <w:r w:rsidR="003C56EF" w:rsidRPr="005E13B9">
        <w:rPr>
          <w:rFonts w:hint="eastAsia"/>
          <w:noProof/>
          <w:kern w:val="0"/>
          <w:sz w:val="26"/>
          <w:szCs w:val="26"/>
        </w:rPr>
        <w:t>es</w:t>
      </w:r>
      <w:r w:rsidR="00F12ACD" w:rsidRPr="005E13B9">
        <w:rPr>
          <w:rFonts w:hint="eastAsia"/>
          <w:noProof/>
          <w:kern w:val="0"/>
          <w:sz w:val="26"/>
          <w:szCs w:val="26"/>
        </w:rPr>
        <w:t xml:space="preserve"> in </w:t>
      </w:r>
      <w:r w:rsidR="003C56EF" w:rsidRPr="005E13B9">
        <w:rPr>
          <w:rFonts w:hint="eastAsia"/>
          <w:noProof/>
          <w:kern w:val="0"/>
          <w:sz w:val="26"/>
          <w:szCs w:val="26"/>
        </w:rPr>
        <w:t>each</w:t>
      </w:r>
      <w:r w:rsidR="00F12ACD" w:rsidRPr="005E13B9">
        <w:rPr>
          <w:rFonts w:hint="eastAsia"/>
          <w:noProof/>
          <w:kern w:val="0"/>
          <w:sz w:val="26"/>
          <w:szCs w:val="26"/>
        </w:rPr>
        <w:t xml:space="preserve"> aspect</w:t>
      </w:r>
      <w:r w:rsidR="00175D88" w:rsidRPr="005E13B9">
        <w:rPr>
          <w:rFonts w:hint="eastAsia"/>
          <w:noProof/>
          <w:kern w:val="0"/>
          <w:sz w:val="26"/>
          <w:szCs w:val="26"/>
        </w:rPr>
        <w:t>.</w:t>
      </w:r>
      <w:r w:rsidR="00F12ACD" w:rsidRPr="005E13B9">
        <w:rPr>
          <w:rFonts w:hint="eastAsia"/>
          <w:noProof/>
          <w:kern w:val="0"/>
          <w:sz w:val="26"/>
          <w:szCs w:val="26"/>
        </w:rPr>
        <w:t xml:space="preserve"> </w:t>
      </w:r>
      <w:r w:rsidR="00175D88" w:rsidRPr="005E13B9">
        <w:rPr>
          <w:noProof/>
          <w:kern w:val="0"/>
          <w:sz w:val="26"/>
          <w:szCs w:val="26"/>
        </w:rPr>
        <w:t>I</w:t>
      </w:r>
      <w:r w:rsidR="00175D88" w:rsidRPr="005E13B9">
        <w:rPr>
          <w:rFonts w:hint="eastAsia"/>
          <w:noProof/>
          <w:kern w:val="0"/>
          <w:sz w:val="26"/>
          <w:szCs w:val="26"/>
        </w:rPr>
        <w:t xml:space="preserve">n </w:t>
      </w:r>
      <w:r w:rsidR="00DA7BFD" w:rsidRPr="005E13B9">
        <w:rPr>
          <w:rFonts w:hint="eastAsia"/>
          <w:noProof/>
          <w:kern w:val="0"/>
          <w:sz w:val="26"/>
          <w:szCs w:val="26"/>
        </w:rPr>
        <w:t>consequ</w:t>
      </w:r>
      <w:r w:rsidR="00DA7BFD" w:rsidRPr="005E13B9">
        <w:rPr>
          <w:noProof/>
          <w:kern w:val="0"/>
          <w:sz w:val="26"/>
          <w:szCs w:val="26"/>
        </w:rPr>
        <w:t>en</w:t>
      </w:r>
      <w:r w:rsidR="00DA7BFD" w:rsidRPr="005E13B9">
        <w:rPr>
          <w:rFonts w:hint="eastAsia"/>
          <w:noProof/>
          <w:kern w:val="0"/>
          <w:sz w:val="26"/>
          <w:szCs w:val="26"/>
        </w:rPr>
        <w:t>ce</w:t>
      </w:r>
      <w:r w:rsidR="00175D88" w:rsidRPr="005E13B9">
        <w:rPr>
          <w:rFonts w:hint="eastAsia"/>
          <w:noProof/>
          <w:kern w:val="0"/>
          <w:sz w:val="26"/>
          <w:szCs w:val="26"/>
        </w:rPr>
        <w:t>,</w:t>
      </w:r>
      <w:r w:rsidR="0013600E" w:rsidRPr="005E13B9">
        <w:rPr>
          <w:noProof/>
          <w:kern w:val="0"/>
          <w:sz w:val="26"/>
          <w:szCs w:val="26"/>
        </w:rPr>
        <w:t xml:space="preserve"> the firm would be better off finally, which might encourage </w:t>
      </w:r>
      <w:r w:rsidR="004F6BA5" w:rsidRPr="005E13B9">
        <w:rPr>
          <w:noProof/>
          <w:kern w:val="0"/>
          <w:sz w:val="26"/>
          <w:szCs w:val="26"/>
        </w:rPr>
        <w:t>institution</w:t>
      </w:r>
      <w:r w:rsidR="004F6BA5" w:rsidRPr="005E13B9">
        <w:rPr>
          <w:rFonts w:hint="eastAsia"/>
          <w:noProof/>
          <w:kern w:val="0"/>
          <w:sz w:val="26"/>
          <w:szCs w:val="26"/>
        </w:rPr>
        <w:t xml:space="preserve">al </w:t>
      </w:r>
      <w:r w:rsidR="004F6BA5" w:rsidRPr="005E13B9">
        <w:rPr>
          <w:noProof/>
          <w:kern w:val="0"/>
          <w:sz w:val="26"/>
          <w:szCs w:val="26"/>
        </w:rPr>
        <w:t>invest</w:t>
      </w:r>
      <w:r w:rsidR="004F6BA5" w:rsidRPr="005E13B9">
        <w:rPr>
          <w:rFonts w:hint="eastAsia"/>
          <w:noProof/>
          <w:kern w:val="0"/>
          <w:sz w:val="26"/>
          <w:szCs w:val="26"/>
        </w:rPr>
        <w:t>ors</w:t>
      </w:r>
      <w:r w:rsidR="004F6BA5" w:rsidRPr="005E13B9">
        <w:rPr>
          <w:noProof/>
          <w:kern w:val="0"/>
          <w:sz w:val="26"/>
          <w:szCs w:val="26"/>
        </w:rPr>
        <w:t xml:space="preserve"> </w:t>
      </w:r>
      <w:r w:rsidR="0013600E" w:rsidRPr="005E13B9">
        <w:rPr>
          <w:noProof/>
          <w:kern w:val="0"/>
          <w:sz w:val="26"/>
          <w:szCs w:val="26"/>
        </w:rPr>
        <w:t>to increase their shareholding</w:t>
      </w:r>
      <w:r w:rsidR="004F6BA5" w:rsidRPr="005E13B9">
        <w:rPr>
          <w:rFonts w:hint="eastAsia"/>
          <w:noProof/>
          <w:kern w:val="0"/>
          <w:sz w:val="26"/>
          <w:szCs w:val="26"/>
        </w:rPr>
        <w:t>s</w:t>
      </w:r>
      <w:r w:rsidR="00944832" w:rsidRPr="005E13B9">
        <w:rPr>
          <w:rFonts w:hint="eastAsia"/>
          <w:noProof/>
          <w:kern w:val="0"/>
          <w:sz w:val="26"/>
          <w:szCs w:val="26"/>
        </w:rPr>
        <w:t xml:space="preserve">. </w:t>
      </w:r>
      <w:r w:rsidR="00DC1C06" w:rsidRPr="005E13B9">
        <w:rPr>
          <w:rFonts w:hint="eastAsia"/>
          <w:noProof/>
          <w:kern w:val="0"/>
          <w:sz w:val="26"/>
          <w:szCs w:val="26"/>
        </w:rPr>
        <w:t xml:space="preserve">On the contrary, </w:t>
      </w:r>
      <w:r w:rsidR="004F6BA5" w:rsidRPr="005E13B9">
        <w:rPr>
          <w:rFonts w:hint="eastAsia"/>
          <w:noProof/>
          <w:kern w:val="0"/>
          <w:sz w:val="26"/>
          <w:szCs w:val="26"/>
        </w:rPr>
        <w:t>when chang</w:t>
      </w:r>
      <w:r w:rsidR="00175D88" w:rsidRPr="005E13B9">
        <w:rPr>
          <w:rFonts w:hint="eastAsia"/>
          <w:noProof/>
          <w:kern w:val="0"/>
          <w:sz w:val="26"/>
          <w:szCs w:val="26"/>
        </w:rPr>
        <w:t>ing names</w:t>
      </w:r>
      <w:r w:rsidR="004F6BA5" w:rsidRPr="005E13B9">
        <w:rPr>
          <w:rFonts w:hint="eastAsia"/>
          <w:noProof/>
          <w:kern w:val="0"/>
          <w:sz w:val="26"/>
          <w:szCs w:val="26"/>
        </w:rPr>
        <w:t xml:space="preserve"> more than once, </w:t>
      </w:r>
      <w:r w:rsidR="004F6BA5" w:rsidRPr="005E13B9">
        <w:rPr>
          <w:noProof/>
          <w:kern w:val="0"/>
          <w:sz w:val="26"/>
          <w:szCs w:val="26"/>
        </w:rPr>
        <w:t>institution</w:t>
      </w:r>
      <w:r w:rsidR="004F6BA5" w:rsidRPr="005E13B9">
        <w:rPr>
          <w:rFonts w:hint="eastAsia"/>
          <w:noProof/>
          <w:kern w:val="0"/>
          <w:sz w:val="26"/>
          <w:szCs w:val="26"/>
        </w:rPr>
        <w:t xml:space="preserve">al </w:t>
      </w:r>
      <w:r w:rsidR="004F6BA5" w:rsidRPr="005E13B9">
        <w:rPr>
          <w:noProof/>
          <w:kern w:val="0"/>
          <w:sz w:val="26"/>
          <w:szCs w:val="26"/>
        </w:rPr>
        <w:t>invest</w:t>
      </w:r>
      <w:r w:rsidR="004F6BA5" w:rsidRPr="005E13B9">
        <w:rPr>
          <w:rFonts w:hint="eastAsia"/>
          <w:noProof/>
          <w:kern w:val="0"/>
          <w:sz w:val="26"/>
          <w:szCs w:val="26"/>
        </w:rPr>
        <w:t>ors speculate that the firm</w:t>
      </w:r>
      <w:r w:rsidR="00811442" w:rsidRPr="005E13B9">
        <w:rPr>
          <w:rFonts w:hint="eastAsia"/>
          <w:noProof/>
          <w:kern w:val="0"/>
          <w:sz w:val="26"/>
          <w:szCs w:val="26"/>
        </w:rPr>
        <w:t>s</w:t>
      </w:r>
      <w:r w:rsidR="004F6BA5" w:rsidRPr="005E13B9">
        <w:rPr>
          <w:rFonts w:hint="eastAsia"/>
          <w:noProof/>
          <w:kern w:val="0"/>
          <w:sz w:val="26"/>
          <w:szCs w:val="26"/>
        </w:rPr>
        <w:t xml:space="preserve"> m</w:t>
      </w:r>
      <w:r w:rsidR="00811442" w:rsidRPr="005E13B9">
        <w:rPr>
          <w:rFonts w:hint="eastAsia"/>
          <w:noProof/>
          <w:kern w:val="0"/>
          <w:sz w:val="26"/>
          <w:szCs w:val="26"/>
        </w:rPr>
        <w:t>i</w:t>
      </w:r>
      <w:r w:rsidR="004F6BA5" w:rsidRPr="005E13B9">
        <w:rPr>
          <w:rFonts w:hint="eastAsia"/>
          <w:noProof/>
          <w:kern w:val="0"/>
          <w:sz w:val="26"/>
          <w:szCs w:val="26"/>
        </w:rPr>
        <w:t xml:space="preserve">ght </w:t>
      </w:r>
      <w:r w:rsidR="00811442" w:rsidRPr="005E13B9">
        <w:rPr>
          <w:rFonts w:hint="eastAsia"/>
          <w:noProof/>
          <w:kern w:val="0"/>
          <w:sz w:val="26"/>
          <w:szCs w:val="26"/>
        </w:rPr>
        <w:t xml:space="preserve">not </w:t>
      </w:r>
      <w:r w:rsidR="004F6BA5" w:rsidRPr="005E13B9">
        <w:rPr>
          <w:rFonts w:hint="eastAsia"/>
          <w:noProof/>
          <w:kern w:val="0"/>
          <w:sz w:val="26"/>
          <w:szCs w:val="26"/>
        </w:rPr>
        <w:t>generate be</w:t>
      </w:r>
      <w:r w:rsidR="00811442" w:rsidRPr="005E13B9">
        <w:rPr>
          <w:rFonts w:hint="eastAsia"/>
          <w:noProof/>
          <w:kern w:val="0"/>
          <w:sz w:val="26"/>
          <w:szCs w:val="26"/>
        </w:rPr>
        <w:t>ne</w:t>
      </w:r>
      <w:r w:rsidR="004F6BA5" w:rsidRPr="005E13B9">
        <w:rPr>
          <w:rFonts w:hint="eastAsia"/>
          <w:noProof/>
          <w:kern w:val="0"/>
          <w:sz w:val="26"/>
          <w:szCs w:val="26"/>
        </w:rPr>
        <w:t>fit</w:t>
      </w:r>
      <w:r w:rsidR="00811442" w:rsidRPr="005E13B9">
        <w:rPr>
          <w:rFonts w:hint="eastAsia"/>
          <w:noProof/>
          <w:kern w:val="0"/>
          <w:sz w:val="26"/>
          <w:szCs w:val="26"/>
        </w:rPr>
        <w:t xml:space="preserve">s from the changes and result in the decrease in </w:t>
      </w:r>
      <w:r w:rsidR="00DA7BFD" w:rsidRPr="005E13B9">
        <w:rPr>
          <w:rFonts w:hint="eastAsia"/>
          <w:noProof/>
          <w:kern w:val="0"/>
          <w:sz w:val="26"/>
          <w:szCs w:val="26"/>
        </w:rPr>
        <w:t>shareho</w:t>
      </w:r>
      <w:r w:rsidR="00DA7BFD" w:rsidRPr="005E13B9">
        <w:rPr>
          <w:noProof/>
          <w:kern w:val="0"/>
          <w:sz w:val="26"/>
          <w:szCs w:val="26"/>
        </w:rPr>
        <w:t>ld</w:t>
      </w:r>
      <w:r w:rsidR="00DA7BFD" w:rsidRPr="005E13B9">
        <w:rPr>
          <w:rFonts w:hint="eastAsia"/>
          <w:noProof/>
          <w:kern w:val="0"/>
          <w:sz w:val="26"/>
          <w:szCs w:val="26"/>
        </w:rPr>
        <w:t xml:space="preserve">ings </w:t>
      </w:r>
      <w:r w:rsidR="00811442" w:rsidRPr="005E13B9">
        <w:rPr>
          <w:rFonts w:hint="eastAsia"/>
          <w:noProof/>
          <w:kern w:val="0"/>
          <w:sz w:val="26"/>
          <w:szCs w:val="26"/>
        </w:rPr>
        <w:t xml:space="preserve">for the firms </w:t>
      </w:r>
      <w:r w:rsidR="00175D88" w:rsidRPr="005E13B9">
        <w:rPr>
          <w:noProof/>
          <w:kern w:val="0"/>
          <w:sz w:val="26"/>
          <w:szCs w:val="26"/>
        </w:rPr>
        <w:t>accordingly</w:t>
      </w:r>
      <w:r w:rsidR="00811442" w:rsidRPr="005E13B9">
        <w:rPr>
          <w:rFonts w:hint="eastAsia"/>
          <w:noProof/>
          <w:kern w:val="0"/>
          <w:sz w:val="26"/>
          <w:szCs w:val="26"/>
        </w:rPr>
        <w:t>.</w:t>
      </w:r>
      <w:r w:rsidR="004F6BA5" w:rsidRPr="005E13B9">
        <w:rPr>
          <w:rFonts w:hint="eastAsia"/>
          <w:noProof/>
          <w:kern w:val="0"/>
          <w:sz w:val="26"/>
          <w:szCs w:val="26"/>
        </w:rPr>
        <w:t xml:space="preserve"> </w:t>
      </w:r>
      <w:r w:rsidR="00F12ACD" w:rsidRPr="005E13B9">
        <w:rPr>
          <w:rFonts w:hint="eastAsia"/>
          <w:noProof/>
          <w:kern w:val="0"/>
          <w:sz w:val="26"/>
          <w:szCs w:val="26"/>
        </w:rPr>
        <w:t>In</w:t>
      </w:r>
      <w:r w:rsidR="00F12ACD" w:rsidRPr="005E13B9">
        <w:rPr>
          <w:rFonts w:hint="eastAsia"/>
          <w:kern w:val="0"/>
          <w:sz w:val="26"/>
          <w:szCs w:val="26"/>
        </w:rPr>
        <w:t xml:space="preserve"> reality, </w:t>
      </w:r>
      <w:r w:rsidR="0013600E" w:rsidRPr="005E13B9">
        <w:rPr>
          <w:kern w:val="0"/>
          <w:sz w:val="26"/>
          <w:szCs w:val="26"/>
        </w:rPr>
        <w:t xml:space="preserve">we argue that the </w:t>
      </w:r>
      <w:r w:rsidR="0013600E" w:rsidRPr="005E13B9">
        <w:rPr>
          <w:noProof/>
          <w:kern w:val="0"/>
          <w:sz w:val="26"/>
          <w:szCs w:val="26"/>
        </w:rPr>
        <w:t>inference</w:t>
      </w:r>
      <w:r w:rsidR="00253C52" w:rsidRPr="005E13B9">
        <w:rPr>
          <w:rFonts w:hint="eastAsia"/>
          <w:noProof/>
          <w:kern w:val="0"/>
          <w:sz w:val="26"/>
          <w:szCs w:val="26"/>
        </w:rPr>
        <w:t xml:space="preserve"> afore</w:t>
      </w:r>
      <w:r w:rsidR="0013600E" w:rsidRPr="005E13B9">
        <w:rPr>
          <w:kern w:val="0"/>
          <w:sz w:val="26"/>
          <w:szCs w:val="26"/>
        </w:rPr>
        <w:t xml:space="preserve">mentioned </w:t>
      </w:r>
      <w:r w:rsidR="009C5619" w:rsidRPr="005E13B9">
        <w:rPr>
          <w:kern w:val="0"/>
          <w:sz w:val="26"/>
          <w:szCs w:val="26"/>
        </w:rPr>
        <w:t>is</w:t>
      </w:r>
      <w:r w:rsidR="00253C52" w:rsidRPr="005E13B9">
        <w:rPr>
          <w:rFonts w:hint="eastAsia"/>
          <w:kern w:val="0"/>
          <w:sz w:val="26"/>
          <w:szCs w:val="26"/>
        </w:rPr>
        <w:t xml:space="preserve"> </w:t>
      </w:r>
      <w:r w:rsidR="0013600E" w:rsidRPr="005E13B9">
        <w:rPr>
          <w:kern w:val="0"/>
          <w:sz w:val="26"/>
          <w:szCs w:val="26"/>
        </w:rPr>
        <w:t xml:space="preserve">rarely discussed in the relevant studies. </w:t>
      </w:r>
      <w:r w:rsidR="00253C52" w:rsidRPr="005E13B9">
        <w:rPr>
          <w:rFonts w:hint="eastAsia"/>
          <w:kern w:val="0"/>
          <w:sz w:val="26"/>
          <w:szCs w:val="26"/>
        </w:rPr>
        <w:t>Therefore</w:t>
      </w:r>
      <w:r w:rsidR="0013600E" w:rsidRPr="005E13B9">
        <w:rPr>
          <w:kern w:val="0"/>
          <w:sz w:val="26"/>
          <w:szCs w:val="26"/>
        </w:rPr>
        <w:t xml:space="preserve">, the above concern </w:t>
      </w:r>
      <w:r w:rsidR="00253C52" w:rsidRPr="005E13B9">
        <w:rPr>
          <w:rFonts w:hint="eastAsia"/>
          <w:kern w:val="0"/>
          <w:sz w:val="26"/>
          <w:szCs w:val="26"/>
        </w:rPr>
        <w:t>is</w:t>
      </w:r>
      <w:r w:rsidR="0013600E" w:rsidRPr="005E13B9">
        <w:rPr>
          <w:kern w:val="0"/>
          <w:sz w:val="26"/>
          <w:szCs w:val="26"/>
        </w:rPr>
        <w:t xml:space="preserve"> the </w:t>
      </w:r>
      <w:r w:rsidR="009C5619" w:rsidRPr="005E13B9">
        <w:rPr>
          <w:noProof/>
          <w:kern w:val="0"/>
          <w:sz w:val="26"/>
          <w:szCs w:val="26"/>
        </w:rPr>
        <w:t>primary</w:t>
      </w:r>
      <w:r w:rsidR="009C5619" w:rsidRPr="005E13B9">
        <w:rPr>
          <w:kern w:val="0"/>
          <w:sz w:val="26"/>
          <w:szCs w:val="26"/>
        </w:rPr>
        <w:t xml:space="preserve"> </w:t>
      </w:r>
      <w:r w:rsidR="0013600E" w:rsidRPr="005E13B9">
        <w:rPr>
          <w:kern w:val="0"/>
          <w:sz w:val="26"/>
          <w:szCs w:val="26"/>
        </w:rPr>
        <w:t>motivation for this study.</w:t>
      </w:r>
    </w:p>
    <w:p w14:paraId="181607C7" w14:textId="77777777" w:rsidR="00562D71" w:rsidRPr="005E13B9" w:rsidRDefault="0013600E" w:rsidP="001C65C7">
      <w:pPr>
        <w:overflowPunct w:val="0"/>
        <w:adjustRightInd w:val="0"/>
        <w:ind w:firstLineChars="200" w:firstLine="520"/>
        <w:jc w:val="both"/>
        <w:outlineLvl w:val="1"/>
        <w:rPr>
          <w:kern w:val="0"/>
          <w:sz w:val="26"/>
          <w:szCs w:val="26"/>
        </w:rPr>
      </w:pPr>
      <w:r w:rsidRPr="005E13B9">
        <w:rPr>
          <w:rFonts w:hint="eastAsia"/>
          <w:noProof/>
          <w:kern w:val="0"/>
          <w:sz w:val="26"/>
          <w:szCs w:val="26"/>
        </w:rPr>
        <w:t>As a result, d</w:t>
      </w:r>
      <w:r w:rsidR="000C085B" w:rsidRPr="005E13B9">
        <w:rPr>
          <w:noProof/>
          <w:kern w:val="0"/>
          <w:sz w:val="26"/>
          <w:szCs w:val="26"/>
        </w:rPr>
        <w:t>ue to interest</w:t>
      </w:r>
      <w:r w:rsidR="0024356D" w:rsidRPr="005E13B9">
        <w:rPr>
          <w:rFonts w:hint="eastAsia"/>
          <w:noProof/>
          <w:kern w:val="0"/>
          <w:sz w:val="26"/>
          <w:szCs w:val="26"/>
        </w:rPr>
        <w:t>ed</w:t>
      </w:r>
      <w:r w:rsidR="000C085B" w:rsidRPr="005E13B9">
        <w:rPr>
          <w:noProof/>
          <w:kern w:val="0"/>
          <w:sz w:val="26"/>
          <w:szCs w:val="26"/>
        </w:rPr>
        <w:t xml:space="preserve"> in the importance of </w:t>
      </w:r>
      <w:r w:rsidR="00572EF8" w:rsidRPr="005E13B9">
        <w:rPr>
          <w:noProof/>
          <w:kern w:val="0"/>
          <w:sz w:val="26"/>
          <w:szCs w:val="26"/>
        </w:rPr>
        <w:t xml:space="preserve">corporate </w:t>
      </w:r>
      <w:r w:rsidR="00355B1B" w:rsidRPr="005E13B9">
        <w:rPr>
          <w:rFonts w:hint="eastAsia"/>
          <w:noProof/>
          <w:kern w:val="0"/>
          <w:sz w:val="26"/>
          <w:szCs w:val="26"/>
        </w:rPr>
        <w:t>n</w:t>
      </w:r>
      <w:r w:rsidR="00572EF8" w:rsidRPr="005E13B9">
        <w:rPr>
          <w:noProof/>
          <w:kern w:val="0"/>
          <w:sz w:val="26"/>
          <w:szCs w:val="26"/>
        </w:rPr>
        <w:t>ame</w:t>
      </w:r>
      <w:r w:rsidR="00355B1B" w:rsidRPr="005E13B9">
        <w:rPr>
          <w:rFonts w:hint="eastAsia"/>
          <w:noProof/>
          <w:kern w:val="0"/>
          <w:sz w:val="26"/>
          <w:szCs w:val="26"/>
        </w:rPr>
        <w:t xml:space="preserve"> </w:t>
      </w:r>
      <w:r w:rsidR="000C085B" w:rsidRPr="005E13B9">
        <w:rPr>
          <w:noProof/>
          <w:kern w:val="0"/>
          <w:sz w:val="26"/>
          <w:szCs w:val="26"/>
        </w:rPr>
        <w:t xml:space="preserve">for corporate performance, we explore whether changing firm names or </w:t>
      </w:r>
      <w:r w:rsidR="007474CA" w:rsidRPr="005E13B9">
        <w:rPr>
          <w:noProof/>
          <w:kern w:val="0"/>
          <w:sz w:val="26"/>
          <w:szCs w:val="26"/>
        </w:rPr>
        <w:t>industry categories</w:t>
      </w:r>
      <w:r w:rsidR="000C085B" w:rsidRPr="005E13B9">
        <w:rPr>
          <w:noProof/>
          <w:kern w:val="0"/>
          <w:sz w:val="26"/>
          <w:szCs w:val="26"/>
        </w:rPr>
        <w:t xml:space="preserve"> once and even more than once would affect shareholdings of institutional investors</w:t>
      </w:r>
      <w:r w:rsidR="00944832" w:rsidRPr="005E13B9">
        <w:rPr>
          <w:rFonts w:hint="eastAsia"/>
          <w:noProof/>
          <w:kern w:val="0"/>
          <w:sz w:val="26"/>
          <w:szCs w:val="26"/>
        </w:rPr>
        <w:t>.</w:t>
      </w:r>
      <w:r w:rsidR="007476A7" w:rsidRPr="005E13B9">
        <w:rPr>
          <w:noProof/>
          <w:kern w:val="0"/>
          <w:sz w:val="26"/>
          <w:szCs w:val="26"/>
        </w:rPr>
        <w:t xml:space="preserve"> </w:t>
      </w:r>
      <w:r w:rsidR="0024356D" w:rsidRPr="005E13B9">
        <w:rPr>
          <w:rFonts w:hint="eastAsia"/>
          <w:noProof/>
          <w:kern w:val="0"/>
          <w:sz w:val="26"/>
          <w:szCs w:val="26"/>
        </w:rPr>
        <w:t>B</w:t>
      </w:r>
      <w:r w:rsidR="007476A7" w:rsidRPr="005E13B9">
        <w:rPr>
          <w:rFonts w:hint="eastAsia"/>
          <w:noProof/>
          <w:kern w:val="0"/>
          <w:sz w:val="26"/>
          <w:szCs w:val="26"/>
        </w:rPr>
        <w:t xml:space="preserve">esides, we </w:t>
      </w:r>
      <w:r w:rsidR="007476A7" w:rsidRPr="005E13B9">
        <w:rPr>
          <w:noProof/>
          <w:kern w:val="0"/>
          <w:sz w:val="26"/>
          <w:szCs w:val="26"/>
        </w:rPr>
        <w:t>tak</w:t>
      </w:r>
      <w:r w:rsidR="007476A7" w:rsidRPr="005E13B9">
        <w:rPr>
          <w:rFonts w:hint="eastAsia"/>
          <w:noProof/>
          <w:kern w:val="0"/>
          <w:sz w:val="26"/>
          <w:szCs w:val="26"/>
        </w:rPr>
        <w:t>e</w:t>
      </w:r>
      <w:r w:rsidR="007476A7" w:rsidRPr="005E13B9">
        <w:rPr>
          <w:noProof/>
          <w:kern w:val="0"/>
          <w:sz w:val="26"/>
          <w:szCs w:val="26"/>
        </w:rPr>
        <w:t xml:space="preserve"> the variables related to corporate governance and financial performance into account as controlling variables since corporate governance and financial performance </w:t>
      </w:r>
      <w:r w:rsidR="007476A7" w:rsidRPr="005E13B9">
        <w:rPr>
          <w:rFonts w:hint="eastAsia"/>
          <w:noProof/>
          <w:kern w:val="0"/>
          <w:sz w:val="26"/>
          <w:szCs w:val="26"/>
        </w:rPr>
        <w:t xml:space="preserve">also </w:t>
      </w:r>
      <w:r w:rsidR="007476A7" w:rsidRPr="005E13B9">
        <w:rPr>
          <w:noProof/>
          <w:kern w:val="0"/>
          <w:sz w:val="26"/>
          <w:szCs w:val="26"/>
        </w:rPr>
        <w:t>tend to influence firm values.</w:t>
      </w:r>
      <w:r w:rsidR="007476A7" w:rsidRPr="005E13B9">
        <w:rPr>
          <w:rFonts w:hint="eastAsia"/>
          <w:kern w:val="0"/>
          <w:sz w:val="26"/>
          <w:szCs w:val="26"/>
        </w:rPr>
        <w:t xml:space="preserve"> </w:t>
      </w:r>
      <w:r w:rsidR="0024356D" w:rsidRPr="005E13B9">
        <w:rPr>
          <w:rFonts w:hint="eastAsia"/>
          <w:kern w:val="0"/>
          <w:sz w:val="26"/>
          <w:szCs w:val="26"/>
        </w:rPr>
        <w:t>Therefore</w:t>
      </w:r>
      <w:r w:rsidR="000C085B" w:rsidRPr="005E13B9">
        <w:rPr>
          <w:kern w:val="0"/>
          <w:sz w:val="26"/>
          <w:szCs w:val="26"/>
        </w:rPr>
        <w:t xml:space="preserve">, </w:t>
      </w:r>
      <w:r w:rsidR="0024356D" w:rsidRPr="005E13B9">
        <w:rPr>
          <w:rFonts w:hint="eastAsia"/>
          <w:kern w:val="0"/>
          <w:sz w:val="26"/>
          <w:szCs w:val="26"/>
        </w:rPr>
        <w:t xml:space="preserve">we consider that </w:t>
      </w:r>
      <w:r w:rsidR="000C085B" w:rsidRPr="005E13B9">
        <w:rPr>
          <w:kern w:val="0"/>
          <w:sz w:val="26"/>
          <w:szCs w:val="26"/>
        </w:rPr>
        <w:t>the shareholding changes of institutional investors are likely affected by the variables related to corporate governance and financial statements.</w:t>
      </w:r>
    </w:p>
    <w:p w14:paraId="20350C33" w14:textId="55DFD4F2" w:rsidR="00562D71" w:rsidRPr="005E13B9" w:rsidRDefault="00624F80" w:rsidP="001C65C7">
      <w:pPr>
        <w:overflowPunct w:val="0"/>
        <w:adjustRightInd w:val="0"/>
        <w:ind w:firstLineChars="200" w:firstLine="520"/>
        <w:jc w:val="both"/>
        <w:outlineLvl w:val="1"/>
        <w:rPr>
          <w:kern w:val="0"/>
          <w:sz w:val="26"/>
          <w:szCs w:val="26"/>
        </w:rPr>
      </w:pPr>
      <w:r w:rsidRPr="005E13B9">
        <w:rPr>
          <w:noProof/>
          <w:kern w:val="0"/>
          <w:sz w:val="26"/>
          <w:szCs w:val="26"/>
        </w:rPr>
        <w:t>B</w:t>
      </w:r>
      <w:r w:rsidRPr="005E13B9">
        <w:rPr>
          <w:rFonts w:hint="eastAsia"/>
          <w:noProof/>
          <w:kern w:val="0"/>
          <w:sz w:val="26"/>
          <w:szCs w:val="26"/>
        </w:rPr>
        <w:t>esides</w:t>
      </w:r>
      <w:r w:rsidR="0013600E" w:rsidRPr="005E13B9">
        <w:rPr>
          <w:noProof/>
          <w:kern w:val="0"/>
          <w:sz w:val="26"/>
          <w:szCs w:val="26"/>
        </w:rPr>
        <w:t>,</w:t>
      </w:r>
      <w:r w:rsidR="0013600E" w:rsidRPr="005E13B9">
        <w:rPr>
          <w:kern w:val="0"/>
          <w:sz w:val="26"/>
          <w:szCs w:val="26"/>
        </w:rPr>
        <w:t xml:space="preserve"> we </w:t>
      </w:r>
      <w:r w:rsidRPr="005E13B9">
        <w:rPr>
          <w:rFonts w:hint="eastAsia"/>
          <w:kern w:val="0"/>
          <w:sz w:val="26"/>
          <w:szCs w:val="26"/>
        </w:rPr>
        <w:t>claim</w:t>
      </w:r>
      <w:r w:rsidR="0013600E" w:rsidRPr="005E13B9">
        <w:rPr>
          <w:kern w:val="0"/>
          <w:sz w:val="26"/>
          <w:szCs w:val="26"/>
        </w:rPr>
        <w:t xml:space="preserve"> that </w:t>
      </w:r>
      <w:r w:rsidR="0013600E" w:rsidRPr="005E13B9">
        <w:rPr>
          <w:noProof/>
          <w:kern w:val="0"/>
          <w:sz w:val="26"/>
          <w:szCs w:val="26"/>
        </w:rPr>
        <w:t xml:space="preserve">the </w:t>
      </w:r>
      <w:r w:rsidR="00140010" w:rsidRPr="005E13B9">
        <w:rPr>
          <w:noProof/>
          <w:kern w:val="0"/>
          <w:sz w:val="26"/>
          <w:szCs w:val="26"/>
        </w:rPr>
        <w:t>board often makes the decisions of enterprises</w:t>
      </w:r>
      <w:r w:rsidR="0013600E" w:rsidRPr="005E13B9">
        <w:rPr>
          <w:kern w:val="0"/>
          <w:sz w:val="26"/>
          <w:szCs w:val="26"/>
        </w:rPr>
        <w:t>. Thus, board structure variables</w:t>
      </w:r>
      <w:r w:rsidRPr="005E13B9">
        <w:rPr>
          <w:rFonts w:hint="eastAsia"/>
          <w:kern w:val="0"/>
          <w:sz w:val="26"/>
          <w:szCs w:val="26"/>
        </w:rPr>
        <w:t>,</w:t>
      </w:r>
      <w:r w:rsidR="0013600E" w:rsidRPr="005E13B9">
        <w:rPr>
          <w:kern w:val="0"/>
          <w:sz w:val="26"/>
          <w:szCs w:val="26"/>
        </w:rPr>
        <w:t xml:space="preserve"> </w:t>
      </w:r>
      <w:r w:rsidRPr="005E13B9">
        <w:rPr>
          <w:rFonts w:hint="eastAsia"/>
          <w:kern w:val="0"/>
          <w:sz w:val="26"/>
          <w:szCs w:val="26"/>
        </w:rPr>
        <w:t>including</w:t>
      </w:r>
      <w:r w:rsidR="0013600E" w:rsidRPr="005E13B9">
        <w:rPr>
          <w:kern w:val="0"/>
          <w:sz w:val="26"/>
          <w:szCs w:val="26"/>
        </w:rPr>
        <w:t xml:space="preserve"> directors’ </w:t>
      </w:r>
      <w:r w:rsidRPr="005E13B9">
        <w:rPr>
          <w:rFonts w:hint="eastAsia"/>
          <w:kern w:val="0"/>
          <w:sz w:val="26"/>
          <w:szCs w:val="26"/>
        </w:rPr>
        <w:t>share</w:t>
      </w:r>
      <w:r w:rsidR="0013600E" w:rsidRPr="005E13B9">
        <w:rPr>
          <w:kern w:val="0"/>
          <w:sz w:val="26"/>
          <w:szCs w:val="26"/>
        </w:rPr>
        <w:t xml:space="preserve">holding ratio, managers’ </w:t>
      </w:r>
      <w:r w:rsidRPr="005E13B9">
        <w:rPr>
          <w:rFonts w:hint="eastAsia"/>
          <w:kern w:val="0"/>
          <w:sz w:val="26"/>
          <w:szCs w:val="26"/>
        </w:rPr>
        <w:t>share</w:t>
      </w:r>
      <w:r w:rsidR="0013600E" w:rsidRPr="005E13B9">
        <w:rPr>
          <w:kern w:val="0"/>
          <w:sz w:val="26"/>
          <w:szCs w:val="26"/>
        </w:rPr>
        <w:t xml:space="preserve">holding ratio, directors’ pledge ratio, CEO duality dummy, </w:t>
      </w:r>
      <w:r w:rsidR="00B23424" w:rsidRPr="005E13B9">
        <w:rPr>
          <w:noProof/>
          <w:kern w:val="0"/>
          <w:sz w:val="26"/>
          <w:szCs w:val="26"/>
        </w:rPr>
        <w:t xml:space="preserve">the </w:t>
      </w:r>
      <w:r w:rsidR="0013600E" w:rsidRPr="005E13B9">
        <w:rPr>
          <w:noProof/>
          <w:kern w:val="0"/>
          <w:sz w:val="26"/>
          <w:szCs w:val="26"/>
        </w:rPr>
        <w:t>board</w:t>
      </w:r>
      <w:r w:rsidR="0013600E" w:rsidRPr="005E13B9">
        <w:rPr>
          <w:kern w:val="0"/>
          <w:sz w:val="26"/>
          <w:szCs w:val="26"/>
        </w:rPr>
        <w:t xml:space="preserve"> size, and electronic dummy</w:t>
      </w:r>
      <w:r w:rsidRPr="005E13B9">
        <w:rPr>
          <w:rFonts w:hint="eastAsia"/>
          <w:kern w:val="0"/>
          <w:sz w:val="26"/>
          <w:szCs w:val="26"/>
        </w:rPr>
        <w:t>,</w:t>
      </w:r>
      <w:r w:rsidR="0013600E" w:rsidRPr="005E13B9">
        <w:rPr>
          <w:kern w:val="0"/>
          <w:sz w:val="26"/>
          <w:szCs w:val="26"/>
        </w:rPr>
        <w:t xml:space="preserve"> are concerned in this study. </w:t>
      </w:r>
      <w:r w:rsidRPr="005E13B9">
        <w:rPr>
          <w:kern w:val="0"/>
          <w:sz w:val="26"/>
          <w:szCs w:val="26"/>
        </w:rPr>
        <w:t>M</w:t>
      </w:r>
      <w:r w:rsidRPr="005E13B9">
        <w:rPr>
          <w:rFonts w:hint="eastAsia"/>
          <w:kern w:val="0"/>
          <w:sz w:val="26"/>
          <w:szCs w:val="26"/>
        </w:rPr>
        <w:t>oreover</w:t>
      </w:r>
      <w:r w:rsidR="0013600E" w:rsidRPr="005E13B9">
        <w:rPr>
          <w:kern w:val="0"/>
          <w:sz w:val="26"/>
          <w:szCs w:val="26"/>
        </w:rPr>
        <w:t>, financial variables</w:t>
      </w:r>
      <w:r w:rsidR="00B23424" w:rsidRPr="005E13B9">
        <w:rPr>
          <w:kern w:val="0"/>
          <w:sz w:val="26"/>
          <w:szCs w:val="26"/>
        </w:rPr>
        <w:t>,</w:t>
      </w:r>
      <w:r w:rsidR="0013600E" w:rsidRPr="005E13B9">
        <w:rPr>
          <w:kern w:val="0"/>
          <w:sz w:val="26"/>
          <w:szCs w:val="26"/>
        </w:rPr>
        <w:t xml:space="preserve"> </w:t>
      </w:r>
      <w:r w:rsidR="0013600E" w:rsidRPr="005E13B9">
        <w:rPr>
          <w:noProof/>
          <w:kern w:val="0"/>
          <w:sz w:val="26"/>
          <w:szCs w:val="26"/>
        </w:rPr>
        <w:t>including</w:t>
      </w:r>
      <w:r w:rsidR="0013600E" w:rsidRPr="005E13B9">
        <w:rPr>
          <w:kern w:val="0"/>
          <w:sz w:val="26"/>
          <w:szCs w:val="26"/>
        </w:rPr>
        <w:t xml:space="preserve"> net profit ratio, asset turnover ratio, and </w:t>
      </w:r>
      <w:r w:rsidR="0013600E" w:rsidRPr="005E13B9">
        <w:rPr>
          <w:noProof/>
          <w:kern w:val="0"/>
          <w:sz w:val="26"/>
          <w:szCs w:val="26"/>
        </w:rPr>
        <w:t>debt</w:t>
      </w:r>
      <w:r w:rsidR="0013600E" w:rsidRPr="005E13B9">
        <w:rPr>
          <w:kern w:val="0"/>
          <w:sz w:val="26"/>
          <w:szCs w:val="26"/>
        </w:rPr>
        <w:t xml:space="preserve"> </w:t>
      </w:r>
      <w:r w:rsidR="0013600E" w:rsidRPr="005E13B9">
        <w:rPr>
          <w:noProof/>
          <w:kern w:val="0"/>
          <w:sz w:val="26"/>
          <w:szCs w:val="26"/>
        </w:rPr>
        <w:t>ratio</w:t>
      </w:r>
      <w:r w:rsidR="00B23424" w:rsidRPr="005E13B9">
        <w:rPr>
          <w:rFonts w:hint="eastAsia"/>
          <w:noProof/>
          <w:kern w:val="0"/>
          <w:sz w:val="26"/>
          <w:szCs w:val="26"/>
        </w:rPr>
        <w:t>,</w:t>
      </w:r>
      <w:r w:rsidR="0013600E" w:rsidRPr="005E13B9">
        <w:rPr>
          <w:kern w:val="0"/>
          <w:sz w:val="26"/>
          <w:szCs w:val="26"/>
        </w:rPr>
        <w:t xml:space="preserve"> are taken into account in this study as well. Th</w:t>
      </w:r>
      <w:r w:rsidRPr="005E13B9">
        <w:rPr>
          <w:rFonts w:hint="eastAsia"/>
          <w:kern w:val="0"/>
          <w:sz w:val="26"/>
          <w:szCs w:val="26"/>
        </w:rPr>
        <w:t>erefore</w:t>
      </w:r>
      <w:r w:rsidR="0013600E" w:rsidRPr="005E13B9">
        <w:rPr>
          <w:kern w:val="0"/>
          <w:sz w:val="26"/>
          <w:szCs w:val="26"/>
        </w:rPr>
        <w:t xml:space="preserve">, </w:t>
      </w:r>
      <w:r w:rsidRPr="005E13B9">
        <w:rPr>
          <w:rFonts w:hint="eastAsia"/>
          <w:kern w:val="0"/>
          <w:sz w:val="26"/>
          <w:szCs w:val="26"/>
        </w:rPr>
        <w:t xml:space="preserve">for </w:t>
      </w:r>
      <w:r w:rsidR="0013600E" w:rsidRPr="005E13B9">
        <w:rPr>
          <w:kern w:val="0"/>
          <w:sz w:val="26"/>
          <w:szCs w:val="26"/>
        </w:rPr>
        <w:t xml:space="preserve">more precise, we explore whether changing firm names or </w:t>
      </w:r>
      <w:r w:rsidR="007474CA" w:rsidRPr="005E13B9">
        <w:rPr>
          <w:kern w:val="0"/>
          <w:sz w:val="26"/>
          <w:szCs w:val="26"/>
        </w:rPr>
        <w:t>industry categories</w:t>
      </w:r>
      <w:r w:rsidR="0013600E" w:rsidRPr="005E13B9">
        <w:rPr>
          <w:kern w:val="0"/>
          <w:sz w:val="26"/>
          <w:szCs w:val="26"/>
        </w:rPr>
        <w:t xml:space="preserve"> once and even more than once would affect </w:t>
      </w:r>
      <w:r w:rsidR="00B23424" w:rsidRPr="005E13B9">
        <w:rPr>
          <w:noProof/>
          <w:kern w:val="0"/>
          <w:sz w:val="26"/>
          <w:szCs w:val="26"/>
        </w:rPr>
        <w:t xml:space="preserve">the </w:t>
      </w:r>
      <w:r w:rsidR="0013600E" w:rsidRPr="005E13B9">
        <w:rPr>
          <w:noProof/>
          <w:kern w:val="0"/>
          <w:sz w:val="26"/>
          <w:szCs w:val="26"/>
        </w:rPr>
        <w:t>shareholdings</w:t>
      </w:r>
      <w:r w:rsidR="0013600E" w:rsidRPr="005E13B9">
        <w:rPr>
          <w:kern w:val="0"/>
          <w:sz w:val="26"/>
          <w:szCs w:val="26"/>
        </w:rPr>
        <w:t xml:space="preserve"> of institutional investors after controlling these board structure</w:t>
      </w:r>
      <w:r w:rsidR="00140010" w:rsidRPr="005E13B9">
        <w:rPr>
          <w:kern w:val="0"/>
          <w:sz w:val="26"/>
          <w:szCs w:val="26"/>
        </w:rPr>
        <w:t>s</w:t>
      </w:r>
      <w:r w:rsidR="0013600E" w:rsidRPr="005E13B9">
        <w:rPr>
          <w:kern w:val="0"/>
          <w:sz w:val="26"/>
          <w:szCs w:val="26"/>
        </w:rPr>
        <w:t xml:space="preserve"> and financial variables in this study. </w:t>
      </w:r>
    </w:p>
    <w:p w14:paraId="2E21CF21" w14:textId="692F57DC" w:rsidR="00562D71" w:rsidRPr="005E13B9" w:rsidRDefault="00624F80" w:rsidP="001C65C7">
      <w:pPr>
        <w:overflowPunct w:val="0"/>
        <w:adjustRightInd w:val="0"/>
        <w:ind w:firstLineChars="200" w:firstLine="520"/>
        <w:jc w:val="both"/>
        <w:outlineLvl w:val="1"/>
        <w:rPr>
          <w:kern w:val="0"/>
          <w:sz w:val="26"/>
          <w:szCs w:val="26"/>
        </w:rPr>
      </w:pPr>
      <w:r w:rsidRPr="005E13B9">
        <w:rPr>
          <w:rFonts w:hint="eastAsia"/>
          <w:kern w:val="0"/>
          <w:sz w:val="26"/>
          <w:szCs w:val="26"/>
        </w:rPr>
        <w:t>W</w:t>
      </w:r>
      <w:r w:rsidR="0013600E" w:rsidRPr="005E13B9">
        <w:rPr>
          <w:kern w:val="0"/>
          <w:sz w:val="26"/>
          <w:szCs w:val="26"/>
        </w:rPr>
        <w:t xml:space="preserve">e conduct a literature review and find that there are many studies related to the </w:t>
      </w:r>
      <w:r w:rsidR="00572EF8" w:rsidRPr="005E13B9">
        <w:rPr>
          <w:kern w:val="0"/>
          <w:sz w:val="26"/>
          <w:szCs w:val="26"/>
        </w:rPr>
        <w:t xml:space="preserve">corporate </w:t>
      </w:r>
      <w:r w:rsidR="00572EF8" w:rsidRPr="005E13B9">
        <w:rPr>
          <w:rFonts w:hint="eastAsia"/>
          <w:kern w:val="0"/>
          <w:sz w:val="26"/>
          <w:szCs w:val="26"/>
        </w:rPr>
        <w:t>n</w:t>
      </w:r>
      <w:r w:rsidR="00572EF8" w:rsidRPr="005E13B9">
        <w:rPr>
          <w:kern w:val="0"/>
          <w:sz w:val="26"/>
          <w:szCs w:val="26"/>
        </w:rPr>
        <w:t>ame</w:t>
      </w:r>
      <w:r w:rsidR="00572EF8" w:rsidRPr="005E13B9">
        <w:rPr>
          <w:rFonts w:hint="eastAsia"/>
          <w:kern w:val="0"/>
          <w:sz w:val="26"/>
          <w:szCs w:val="26"/>
        </w:rPr>
        <w:t xml:space="preserve"> </w:t>
      </w:r>
      <w:r w:rsidR="0013600E" w:rsidRPr="005E13B9">
        <w:rPr>
          <w:kern w:val="0"/>
          <w:sz w:val="26"/>
          <w:szCs w:val="26"/>
        </w:rPr>
        <w:t>change</w:t>
      </w:r>
      <w:r w:rsidR="00140010" w:rsidRPr="005E13B9">
        <w:rPr>
          <w:kern w:val="0"/>
          <w:sz w:val="26"/>
          <w:szCs w:val="26"/>
        </w:rPr>
        <w:t>,</w:t>
      </w:r>
      <w:r w:rsidR="0013600E" w:rsidRPr="005E13B9">
        <w:rPr>
          <w:kern w:val="0"/>
          <w:sz w:val="26"/>
          <w:szCs w:val="26"/>
        </w:rPr>
        <w:t xml:space="preserve"> but few of them </w:t>
      </w:r>
      <w:r w:rsidRPr="005E13B9">
        <w:rPr>
          <w:rFonts w:hint="eastAsia"/>
          <w:kern w:val="0"/>
          <w:sz w:val="26"/>
          <w:szCs w:val="26"/>
        </w:rPr>
        <w:t>discuss</w:t>
      </w:r>
      <w:r w:rsidR="0013600E" w:rsidRPr="005E13B9">
        <w:rPr>
          <w:kern w:val="0"/>
          <w:sz w:val="26"/>
          <w:szCs w:val="26"/>
        </w:rPr>
        <w:t xml:space="preserve"> the influence of the </w:t>
      </w:r>
      <w:r w:rsidR="00572EF8" w:rsidRPr="005E13B9">
        <w:rPr>
          <w:kern w:val="0"/>
          <w:sz w:val="26"/>
          <w:szCs w:val="26"/>
        </w:rPr>
        <w:t xml:space="preserve">corporate </w:t>
      </w:r>
      <w:r w:rsidR="00572EF8" w:rsidRPr="005E13B9">
        <w:rPr>
          <w:rFonts w:hint="eastAsia"/>
          <w:kern w:val="0"/>
          <w:sz w:val="26"/>
          <w:szCs w:val="26"/>
        </w:rPr>
        <w:t>n</w:t>
      </w:r>
      <w:r w:rsidR="00572EF8" w:rsidRPr="005E13B9">
        <w:rPr>
          <w:kern w:val="0"/>
          <w:sz w:val="26"/>
          <w:szCs w:val="26"/>
        </w:rPr>
        <w:t>ame</w:t>
      </w:r>
      <w:r w:rsidR="00572EF8" w:rsidRPr="005E13B9">
        <w:rPr>
          <w:rFonts w:hint="eastAsia"/>
          <w:kern w:val="0"/>
          <w:sz w:val="26"/>
          <w:szCs w:val="26"/>
        </w:rPr>
        <w:t xml:space="preserve"> </w:t>
      </w:r>
      <w:r w:rsidR="0013600E" w:rsidRPr="005E13B9">
        <w:rPr>
          <w:kern w:val="0"/>
          <w:sz w:val="26"/>
          <w:szCs w:val="26"/>
        </w:rPr>
        <w:t xml:space="preserve">or industry </w:t>
      </w:r>
      <w:r w:rsidR="007474CA" w:rsidRPr="005E13B9">
        <w:rPr>
          <w:kern w:val="0"/>
          <w:sz w:val="26"/>
          <w:szCs w:val="26"/>
        </w:rPr>
        <w:t>category</w:t>
      </w:r>
      <w:r w:rsidR="0013600E" w:rsidRPr="005E13B9">
        <w:rPr>
          <w:kern w:val="0"/>
          <w:sz w:val="26"/>
          <w:szCs w:val="26"/>
        </w:rPr>
        <w:t xml:space="preserve"> changed more than once. By employing the firms listed </w:t>
      </w:r>
      <w:r w:rsidR="006E4DF1" w:rsidRPr="005E13B9">
        <w:rPr>
          <w:rFonts w:hint="eastAsia"/>
          <w:kern w:val="0"/>
          <w:sz w:val="26"/>
          <w:szCs w:val="26"/>
        </w:rPr>
        <w:t>o</w:t>
      </w:r>
      <w:r w:rsidR="0013600E" w:rsidRPr="005E13B9">
        <w:rPr>
          <w:kern w:val="0"/>
          <w:sz w:val="26"/>
          <w:szCs w:val="26"/>
        </w:rPr>
        <w:t xml:space="preserve">n </w:t>
      </w:r>
      <w:r w:rsidR="006E4DF1" w:rsidRPr="005E13B9">
        <w:rPr>
          <w:rFonts w:hint="eastAsia"/>
          <w:kern w:val="0"/>
          <w:sz w:val="26"/>
          <w:szCs w:val="26"/>
        </w:rPr>
        <w:t>the</w:t>
      </w:r>
      <w:r w:rsidR="00944832" w:rsidRPr="005E13B9">
        <w:rPr>
          <w:rFonts w:hint="eastAsia"/>
          <w:kern w:val="0"/>
          <w:sz w:val="26"/>
          <w:szCs w:val="26"/>
        </w:rPr>
        <w:t xml:space="preserve"> </w:t>
      </w:r>
      <w:r w:rsidR="0013600E" w:rsidRPr="005E13B9">
        <w:rPr>
          <w:kern w:val="0"/>
          <w:sz w:val="26"/>
          <w:szCs w:val="26"/>
        </w:rPr>
        <w:t>Taiwan Stock Exchange</w:t>
      </w:r>
      <w:r w:rsidRPr="005E13B9">
        <w:rPr>
          <w:rFonts w:hint="eastAsia"/>
          <w:kern w:val="0"/>
          <w:sz w:val="26"/>
          <w:szCs w:val="26"/>
        </w:rPr>
        <w:t xml:space="preserve"> (TWSE)</w:t>
      </w:r>
      <w:r w:rsidR="0013600E" w:rsidRPr="005E13B9">
        <w:rPr>
          <w:kern w:val="0"/>
          <w:sz w:val="26"/>
          <w:szCs w:val="26"/>
        </w:rPr>
        <w:t xml:space="preserve"> as our samples, we explore whether the changes of shareholdings for institutional investors would be affected by the firms chang</w:t>
      </w:r>
      <w:r w:rsidRPr="005E13B9">
        <w:rPr>
          <w:rFonts w:hint="eastAsia"/>
          <w:kern w:val="0"/>
          <w:sz w:val="26"/>
          <w:szCs w:val="26"/>
        </w:rPr>
        <w:t>ing</w:t>
      </w:r>
      <w:r w:rsidR="0013600E" w:rsidRPr="005E13B9">
        <w:rPr>
          <w:kern w:val="0"/>
          <w:sz w:val="26"/>
          <w:szCs w:val="26"/>
        </w:rPr>
        <w:t xml:space="preserve"> their names or </w:t>
      </w:r>
      <w:r w:rsidR="007474CA" w:rsidRPr="005E13B9">
        <w:rPr>
          <w:kern w:val="0"/>
          <w:sz w:val="26"/>
          <w:szCs w:val="26"/>
        </w:rPr>
        <w:t>industry categories</w:t>
      </w:r>
      <w:r w:rsidR="0013600E" w:rsidRPr="005E13B9">
        <w:rPr>
          <w:kern w:val="0"/>
          <w:sz w:val="26"/>
          <w:szCs w:val="26"/>
        </w:rPr>
        <w:t xml:space="preserve"> once and even more times.</w:t>
      </w:r>
    </w:p>
    <w:p w14:paraId="6213ED38" w14:textId="77777777" w:rsidR="00562D71" w:rsidRPr="005E13B9" w:rsidRDefault="0013600E" w:rsidP="001C65C7">
      <w:pPr>
        <w:overflowPunct w:val="0"/>
        <w:adjustRightInd w:val="0"/>
        <w:ind w:firstLineChars="200" w:firstLine="520"/>
        <w:jc w:val="both"/>
        <w:outlineLvl w:val="1"/>
        <w:rPr>
          <w:kern w:val="0"/>
          <w:sz w:val="26"/>
          <w:szCs w:val="26"/>
        </w:rPr>
      </w:pPr>
      <w:r w:rsidRPr="005E13B9">
        <w:rPr>
          <w:kern w:val="0"/>
          <w:sz w:val="26"/>
          <w:szCs w:val="26"/>
        </w:rPr>
        <w:t xml:space="preserve">In this study, we reveal several </w:t>
      </w:r>
      <w:r w:rsidRPr="005E13B9">
        <w:rPr>
          <w:noProof/>
          <w:kern w:val="0"/>
          <w:sz w:val="26"/>
          <w:szCs w:val="26"/>
        </w:rPr>
        <w:t>important</w:t>
      </w:r>
      <w:r w:rsidRPr="005E13B9">
        <w:rPr>
          <w:kern w:val="0"/>
          <w:sz w:val="26"/>
          <w:szCs w:val="26"/>
        </w:rPr>
        <w:t xml:space="preserve"> findings as follows. First, institutional investors might not prefer holding the shares of firms with names changed more than once. We infer that</w:t>
      </w:r>
      <w:r w:rsidR="008D71CE" w:rsidRPr="005E13B9">
        <w:rPr>
          <w:rFonts w:hint="eastAsia"/>
          <w:kern w:val="0"/>
          <w:sz w:val="26"/>
          <w:szCs w:val="26"/>
        </w:rPr>
        <w:t xml:space="preserve">, suspected by </w:t>
      </w:r>
      <w:r w:rsidR="008D71CE" w:rsidRPr="005E13B9">
        <w:rPr>
          <w:kern w:val="0"/>
          <w:sz w:val="26"/>
          <w:szCs w:val="26"/>
        </w:rPr>
        <w:t>institutional investors</w:t>
      </w:r>
      <w:r w:rsidR="008D71CE" w:rsidRPr="005E13B9">
        <w:rPr>
          <w:rFonts w:hint="eastAsia"/>
          <w:kern w:val="0"/>
          <w:sz w:val="26"/>
          <w:szCs w:val="26"/>
        </w:rPr>
        <w:t>,</w:t>
      </w:r>
      <w:r w:rsidRPr="005E13B9">
        <w:rPr>
          <w:kern w:val="0"/>
          <w:sz w:val="26"/>
          <w:szCs w:val="26"/>
        </w:rPr>
        <w:t xml:space="preserve"> </w:t>
      </w:r>
      <w:r w:rsidR="00624F80" w:rsidRPr="005E13B9">
        <w:rPr>
          <w:rFonts w:hint="eastAsia"/>
          <w:kern w:val="0"/>
          <w:sz w:val="26"/>
          <w:szCs w:val="26"/>
        </w:rPr>
        <w:t>changing</w:t>
      </w:r>
      <w:r w:rsidRPr="005E13B9">
        <w:rPr>
          <w:kern w:val="0"/>
          <w:sz w:val="26"/>
          <w:szCs w:val="26"/>
        </w:rPr>
        <w:t xml:space="preserve"> </w:t>
      </w:r>
      <w:r w:rsidR="00572EF8" w:rsidRPr="005E13B9">
        <w:rPr>
          <w:kern w:val="0"/>
          <w:sz w:val="26"/>
          <w:szCs w:val="26"/>
        </w:rPr>
        <w:t xml:space="preserve">corporate </w:t>
      </w:r>
      <w:r w:rsidR="00355B1B" w:rsidRPr="005E13B9">
        <w:rPr>
          <w:rFonts w:hint="eastAsia"/>
          <w:kern w:val="0"/>
          <w:sz w:val="26"/>
          <w:szCs w:val="26"/>
        </w:rPr>
        <w:t>n</w:t>
      </w:r>
      <w:r w:rsidR="00572EF8" w:rsidRPr="005E13B9">
        <w:rPr>
          <w:kern w:val="0"/>
          <w:sz w:val="26"/>
          <w:szCs w:val="26"/>
        </w:rPr>
        <w:t>ame</w:t>
      </w:r>
      <w:r w:rsidR="00355B1B" w:rsidRPr="005E13B9">
        <w:rPr>
          <w:rFonts w:hint="eastAsia"/>
          <w:kern w:val="0"/>
          <w:sz w:val="26"/>
          <w:szCs w:val="26"/>
        </w:rPr>
        <w:t xml:space="preserve"> </w:t>
      </w:r>
      <w:r w:rsidRPr="005E13B9">
        <w:rPr>
          <w:kern w:val="0"/>
          <w:sz w:val="26"/>
          <w:szCs w:val="26"/>
        </w:rPr>
        <w:t xml:space="preserve">more than once </w:t>
      </w:r>
      <w:r w:rsidRPr="005E13B9">
        <w:rPr>
          <w:noProof/>
          <w:kern w:val="0"/>
          <w:sz w:val="26"/>
          <w:szCs w:val="26"/>
        </w:rPr>
        <w:t>probably</w:t>
      </w:r>
      <w:r w:rsidRPr="005E13B9">
        <w:rPr>
          <w:kern w:val="0"/>
          <w:sz w:val="26"/>
          <w:szCs w:val="26"/>
        </w:rPr>
        <w:t xml:space="preserve"> because of the poor financial performance or the difficulty in operating business. Second, institutional investors might decrease the shareholdings of </w:t>
      </w:r>
      <w:r w:rsidR="008D71CE" w:rsidRPr="005E13B9">
        <w:rPr>
          <w:rFonts w:hint="eastAsia"/>
          <w:kern w:val="0"/>
          <w:sz w:val="26"/>
          <w:szCs w:val="26"/>
        </w:rPr>
        <w:t xml:space="preserve">the </w:t>
      </w:r>
      <w:r w:rsidRPr="005E13B9">
        <w:rPr>
          <w:kern w:val="0"/>
          <w:sz w:val="26"/>
          <w:szCs w:val="26"/>
        </w:rPr>
        <w:t xml:space="preserve">firms with </w:t>
      </w:r>
      <w:r w:rsidR="007474CA" w:rsidRPr="005E13B9">
        <w:rPr>
          <w:kern w:val="0"/>
          <w:sz w:val="26"/>
          <w:szCs w:val="26"/>
        </w:rPr>
        <w:t>industry categories</w:t>
      </w:r>
      <w:r w:rsidRPr="005E13B9">
        <w:rPr>
          <w:kern w:val="0"/>
          <w:sz w:val="26"/>
          <w:szCs w:val="26"/>
        </w:rPr>
        <w:t xml:space="preserve"> changed once and even more. We consider that </w:t>
      </w:r>
      <w:r w:rsidR="008D71CE" w:rsidRPr="005E13B9">
        <w:rPr>
          <w:rFonts w:hint="eastAsia"/>
          <w:kern w:val="0"/>
          <w:sz w:val="26"/>
          <w:szCs w:val="26"/>
        </w:rPr>
        <w:t>it</w:t>
      </w:r>
      <w:r w:rsidRPr="005E13B9">
        <w:rPr>
          <w:kern w:val="0"/>
          <w:sz w:val="26"/>
          <w:szCs w:val="26"/>
        </w:rPr>
        <w:t xml:space="preserve"> is due to the weak corporate governance for the </w:t>
      </w:r>
      <w:r w:rsidR="008D71CE" w:rsidRPr="005E13B9">
        <w:rPr>
          <w:rFonts w:hint="eastAsia"/>
          <w:kern w:val="0"/>
          <w:sz w:val="26"/>
          <w:szCs w:val="26"/>
        </w:rPr>
        <w:t xml:space="preserve">TWSE </w:t>
      </w:r>
      <w:r w:rsidRPr="005E13B9">
        <w:rPr>
          <w:kern w:val="0"/>
          <w:sz w:val="26"/>
          <w:szCs w:val="26"/>
        </w:rPr>
        <w:t>list</w:t>
      </w:r>
      <w:r w:rsidR="008D71CE" w:rsidRPr="005E13B9">
        <w:rPr>
          <w:rFonts w:hint="eastAsia"/>
          <w:kern w:val="0"/>
          <w:sz w:val="26"/>
          <w:szCs w:val="26"/>
        </w:rPr>
        <w:t>ed</w:t>
      </w:r>
      <w:r w:rsidRPr="005E13B9">
        <w:rPr>
          <w:kern w:val="0"/>
          <w:sz w:val="26"/>
          <w:szCs w:val="26"/>
        </w:rPr>
        <w:t xml:space="preserve"> firms. These findings, to our best understanding, are </w:t>
      </w:r>
      <w:r w:rsidR="008D71CE" w:rsidRPr="005E13B9">
        <w:rPr>
          <w:rFonts w:hint="eastAsia"/>
          <w:kern w:val="0"/>
          <w:sz w:val="26"/>
          <w:szCs w:val="26"/>
        </w:rPr>
        <w:t>scant</w:t>
      </w:r>
      <w:r w:rsidRPr="005E13B9">
        <w:rPr>
          <w:kern w:val="0"/>
          <w:sz w:val="26"/>
          <w:szCs w:val="26"/>
        </w:rPr>
        <w:t xml:space="preserve">ly reported in the past and </w:t>
      </w:r>
      <w:r w:rsidR="008D71CE" w:rsidRPr="005E13B9">
        <w:rPr>
          <w:rFonts w:hint="eastAsia"/>
          <w:kern w:val="0"/>
          <w:sz w:val="26"/>
          <w:szCs w:val="26"/>
        </w:rPr>
        <w:t xml:space="preserve">are </w:t>
      </w:r>
      <w:r w:rsidRPr="005E13B9">
        <w:rPr>
          <w:kern w:val="0"/>
          <w:sz w:val="26"/>
          <w:szCs w:val="26"/>
        </w:rPr>
        <w:t xml:space="preserve">valuable for investors to </w:t>
      </w:r>
      <w:r w:rsidRPr="005E13B9">
        <w:rPr>
          <w:kern w:val="0"/>
          <w:sz w:val="26"/>
          <w:szCs w:val="26"/>
        </w:rPr>
        <w:lastRenderedPageBreak/>
        <w:t>make investment strategies. Third, we find that debt ratio and board size are negatively related to the shareholding change of institutional investors, which is consistent with that the firms with large board size or higher debt ratio might not have better corporate governance.</w:t>
      </w:r>
    </w:p>
    <w:p w14:paraId="31805B15" w14:textId="0CBC7CA8" w:rsidR="00562D71" w:rsidRPr="005E13B9" w:rsidRDefault="0013600E" w:rsidP="001C65C7">
      <w:pPr>
        <w:overflowPunct w:val="0"/>
        <w:adjustRightInd w:val="0"/>
        <w:ind w:firstLineChars="200" w:firstLine="520"/>
        <w:jc w:val="both"/>
        <w:outlineLvl w:val="1"/>
        <w:rPr>
          <w:kern w:val="0"/>
          <w:sz w:val="26"/>
          <w:szCs w:val="26"/>
        </w:rPr>
      </w:pPr>
      <w:r w:rsidRPr="005E13B9">
        <w:rPr>
          <w:kern w:val="0"/>
          <w:sz w:val="26"/>
          <w:szCs w:val="26"/>
        </w:rPr>
        <w:t>This study may contribute to</w:t>
      </w:r>
      <w:r w:rsidR="00B23424" w:rsidRPr="005E13B9">
        <w:rPr>
          <w:kern w:val="0"/>
          <w:sz w:val="26"/>
          <w:szCs w:val="26"/>
        </w:rPr>
        <w:t xml:space="preserve"> the</w:t>
      </w:r>
      <w:r w:rsidRPr="005E13B9">
        <w:rPr>
          <w:kern w:val="0"/>
          <w:sz w:val="26"/>
          <w:szCs w:val="26"/>
        </w:rPr>
        <w:t xml:space="preserve"> </w:t>
      </w:r>
      <w:r w:rsidRPr="005E13B9">
        <w:rPr>
          <w:noProof/>
          <w:kern w:val="0"/>
          <w:sz w:val="26"/>
          <w:szCs w:val="26"/>
        </w:rPr>
        <w:t>existing</w:t>
      </w:r>
      <w:r w:rsidRPr="005E13B9">
        <w:rPr>
          <w:kern w:val="0"/>
          <w:sz w:val="26"/>
          <w:szCs w:val="26"/>
        </w:rPr>
        <w:t xml:space="preserve"> literature in several aspects. First, we pioneer to explore whether either firm names or </w:t>
      </w:r>
      <w:r w:rsidR="007474CA" w:rsidRPr="005E13B9">
        <w:rPr>
          <w:kern w:val="0"/>
          <w:sz w:val="26"/>
          <w:szCs w:val="26"/>
        </w:rPr>
        <w:t>industry categories</w:t>
      </w:r>
      <w:r w:rsidRPr="005E13B9">
        <w:rPr>
          <w:kern w:val="0"/>
          <w:sz w:val="26"/>
          <w:szCs w:val="26"/>
        </w:rPr>
        <w:t xml:space="preserve"> change</w:t>
      </w:r>
      <w:r w:rsidR="008D71CE" w:rsidRPr="005E13B9">
        <w:rPr>
          <w:rFonts w:hint="eastAsia"/>
          <w:kern w:val="0"/>
          <w:sz w:val="26"/>
          <w:szCs w:val="26"/>
        </w:rPr>
        <w:t>s</w:t>
      </w:r>
      <w:r w:rsidRPr="005E13B9">
        <w:rPr>
          <w:kern w:val="0"/>
          <w:sz w:val="26"/>
          <w:szCs w:val="26"/>
        </w:rPr>
        <w:t xml:space="preserve"> would affect the shareholding change</w:t>
      </w:r>
      <w:r w:rsidR="008D71CE" w:rsidRPr="005E13B9">
        <w:rPr>
          <w:rFonts w:hint="eastAsia"/>
          <w:kern w:val="0"/>
          <w:sz w:val="26"/>
          <w:szCs w:val="26"/>
        </w:rPr>
        <w:t>s</w:t>
      </w:r>
      <w:r w:rsidRPr="005E13B9">
        <w:rPr>
          <w:kern w:val="0"/>
          <w:sz w:val="26"/>
          <w:szCs w:val="26"/>
        </w:rPr>
        <w:t xml:space="preserve"> of institutional investors, which seem to </w:t>
      </w:r>
      <w:r w:rsidRPr="005E13B9">
        <w:rPr>
          <w:noProof/>
          <w:kern w:val="0"/>
          <w:sz w:val="26"/>
          <w:szCs w:val="26"/>
        </w:rPr>
        <w:t xml:space="preserve">be </w:t>
      </w:r>
      <w:r w:rsidR="008D71CE" w:rsidRPr="005E13B9">
        <w:rPr>
          <w:noProof/>
          <w:kern w:val="0"/>
          <w:sz w:val="26"/>
          <w:szCs w:val="26"/>
        </w:rPr>
        <w:t>hardly</w:t>
      </w:r>
      <w:r w:rsidRPr="005E13B9">
        <w:rPr>
          <w:noProof/>
          <w:kern w:val="0"/>
          <w:sz w:val="26"/>
          <w:szCs w:val="26"/>
        </w:rPr>
        <w:t xml:space="preserve"> explored</w:t>
      </w:r>
      <w:r w:rsidRPr="005E13B9">
        <w:rPr>
          <w:kern w:val="0"/>
          <w:sz w:val="26"/>
          <w:szCs w:val="26"/>
        </w:rPr>
        <w:t xml:space="preserve"> even unexplored in the relevant studies. Thus, the results of this study provide more valuable information for institutional investors in making investment decisions. Second, we ex</w:t>
      </w:r>
      <w:r w:rsidR="008D71CE" w:rsidRPr="005E13B9">
        <w:rPr>
          <w:rFonts w:hint="eastAsia"/>
          <w:kern w:val="0"/>
          <w:sz w:val="26"/>
          <w:szCs w:val="26"/>
        </w:rPr>
        <w:t>amine</w:t>
      </w:r>
      <w:r w:rsidRPr="005E13B9">
        <w:rPr>
          <w:kern w:val="0"/>
          <w:sz w:val="26"/>
          <w:szCs w:val="26"/>
        </w:rPr>
        <w:t xml:space="preserve"> the behaviors (i.e.</w:t>
      </w:r>
      <w:r w:rsidR="00264446" w:rsidRPr="005E13B9">
        <w:rPr>
          <w:kern w:val="0"/>
          <w:sz w:val="26"/>
          <w:szCs w:val="26"/>
        </w:rPr>
        <w:t>,</w:t>
      </w:r>
      <w:r w:rsidRPr="005E13B9">
        <w:rPr>
          <w:kern w:val="0"/>
          <w:sz w:val="26"/>
          <w:szCs w:val="26"/>
        </w:rPr>
        <w:t xml:space="preserve"> the shareholding change</w:t>
      </w:r>
      <w:r w:rsidR="008D71CE" w:rsidRPr="005E13B9">
        <w:rPr>
          <w:rFonts w:hint="eastAsia"/>
          <w:kern w:val="0"/>
          <w:sz w:val="26"/>
          <w:szCs w:val="26"/>
        </w:rPr>
        <w:t>s</w:t>
      </w:r>
      <w:r w:rsidRPr="005E13B9">
        <w:rPr>
          <w:kern w:val="0"/>
          <w:sz w:val="26"/>
          <w:szCs w:val="26"/>
        </w:rPr>
        <w:t>) of diverse institutional investors</w:t>
      </w:r>
      <w:r w:rsidR="0018531E" w:rsidRPr="005E13B9">
        <w:rPr>
          <w:rFonts w:hint="eastAsia"/>
          <w:kern w:val="0"/>
          <w:sz w:val="26"/>
          <w:szCs w:val="26"/>
        </w:rPr>
        <w:t>,</w:t>
      </w:r>
      <w:r w:rsidRPr="005E13B9">
        <w:rPr>
          <w:kern w:val="0"/>
          <w:sz w:val="26"/>
          <w:szCs w:val="26"/>
        </w:rPr>
        <w:t xml:space="preserve"> including foreign institutional investors, domestic institutional investors, and security dealers in this study, which might be beneficial for investors due to being familiar with the decision making of diverse institutional investors in terms of either </w:t>
      </w:r>
      <w:r w:rsidR="00572EF8" w:rsidRPr="005E13B9">
        <w:rPr>
          <w:kern w:val="0"/>
          <w:sz w:val="26"/>
          <w:szCs w:val="26"/>
        </w:rPr>
        <w:t xml:space="preserve">corporate </w:t>
      </w:r>
      <w:r w:rsidR="00572EF8" w:rsidRPr="005E13B9">
        <w:rPr>
          <w:rFonts w:hint="eastAsia"/>
          <w:kern w:val="0"/>
          <w:sz w:val="26"/>
          <w:szCs w:val="26"/>
        </w:rPr>
        <w:t>n</w:t>
      </w:r>
      <w:r w:rsidR="00572EF8" w:rsidRPr="005E13B9">
        <w:rPr>
          <w:kern w:val="0"/>
          <w:sz w:val="26"/>
          <w:szCs w:val="26"/>
        </w:rPr>
        <w:t>ame</w:t>
      </w:r>
      <w:r w:rsidR="00572EF8" w:rsidRPr="005E13B9">
        <w:rPr>
          <w:rFonts w:hint="eastAsia"/>
          <w:kern w:val="0"/>
          <w:sz w:val="26"/>
          <w:szCs w:val="26"/>
        </w:rPr>
        <w:t xml:space="preserve"> </w:t>
      </w:r>
      <w:r w:rsidRPr="005E13B9">
        <w:rPr>
          <w:kern w:val="0"/>
          <w:sz w:val="26"/>
          <w:szCs w:val="26"/>
        </w:rPr>
        <w:t xml:space="preserve">or industry </w:t>
      </w:r>
      <w:r w:rsidR="007474CA" w:rsidRPr="005E13B9">
        <w:rPr>
          <w:kern w:val="0"/>
          <w:sz w:val="26"/>
          <w:szCs w:val="26"/>
        </w:rPr>
        <w:t>category</w:t>
      </w:r>
      <w:r w:rsidRPr="005E13B9">
        <w:rPr>
          <w:kern w:val="0"/>
          <w:sz w:val="26"/>
          <w:szCs w:val="26"/>
        </w:rPr>
        <w:t xml:space="preserve"> changed.</w:t>
      </w:r>
    </w:p>
    <w:p w14:paraId="2432F106" w14:textId="08C317DF" w:rsidR="00562D71" w:rsidRPr="005E13B9" w:rsidRDefault="0013600E" w:rsidP="001C65C7">
      <w:pPr>
        <w:overflowPunct w:val="0"/>
        <w:adjustRightInd w:val="0"/>
        <w:ind w:firstLineChars="200" w:firstLine="520"/>
        <w:jc w:val="both"/>
        <w:outlineLvl w:val="1"/>
        <w:rPr>
          <w:kern w:val="0"/>
          <w:sz w:val="26"/>
          <w:szCs w:val="26"/>
        </w:rPr>
      </w:pPr>
      <w:r w:rsidRPr="005E13B9">
        <w:rPr>
          <w:kern w:val="0"/>
          <w:sz w:val="26"/>
          <w:szCs w:val="26"/>
        </w:rPr>
        <w:t>Th</w:t>
      </w:r>
      <w:r w:rsidR="00264446" w:rsidRPr="005E13B9">
        <w:rPr>
          <w:kern w:val="0"/>
          <w:sz w:val="26"/>
          <w:szCs w:val="26"/>
        </w:rPr>
        <w:t>is</w:t>
      </w:r>
      <w:r w:rsidRPr="005E13B9">
        <w:rPr>
          <w:kern w:val="0"/>
          <w:sz w:val="26"/>
          <w:szCs w:val="26"/>
        </w:rPr>
        <w:t xml:space="preserve"> paper </w:t>
      </w:r>
      <w:r w:rsidRPr="005E13B9">
        <w:rPr>
          <w:noProof/>
          <w:kern w:val="0"/>
          <w:sz w:val="26"/>
          <w:szCs w:val="26"/>
        </w:rPr>
        <w:t>is organized</w:t>
      </w:r>
      <w:r w:rsidRPr="005E13B9">
        <w:rPr>
          <w:kern w:val="0"/>
          <w:sz w:val="26"/>
          <w:szCs w:val="26"/>
        </w:rPr>
        <w:t xml:space="preserve"> as follows. </w:t>
      </w:r>
      <w:r w:rsidR="00264446" w:rsidRPr="005E13B9">
        <w:rPr>
          <w:kern w:val="0"/>
          <w:sz w:val="26"/>
          <w:szCs w:val="26"/>
        </w:rPr>
        <w:t xml:space="preserve">The literature </w:t>
      </w:r>
      <w:r w:rsidRPr="005E13B9">
        <w:rPr>
          <w:kern w:val="0"/>
          <w:sz w:val="26"/>
          <w:szCs w:val="26"/>
        </w:rPr>
        <w:t xml:space="preserve">review and hypotheses proposed </w:t>
      </w:r>
      <w:r w:rsidRPr="005E13B9">
        <w:rPr>
          <w:noProof/>
          <w:kern w:val="0"/>
          <w:sz w:val="26"/>
          <w:szCs w:val="26"/>
        </w:rPr>
        <w:t xml:space="preserve">are </w:t>
      </w:r>
      <w:r w:rsidR="009B6579" w:rsidRPr="005E13B9">
        <w:rPr>
          <w:sz w:val="26"/>
          <w:szCs w:val="26"/>
        </w:rPr>
        <w:t>describe</w:t>
      </w:r>
      <w:r w:rsidRPr="005E13B9">
        <w:rPr>
          <w:noProof/>
          <w:kern w:val="0"/>
          <w:sz w:val="26"/>
          <w:szCs w:val="26"/>
        </w:rPr>
        <w:t>d</w:t>
      </w:r>
      <w:r w:rsidRPr="005E13B9">
        <w:rPr>
          <w:kern w:val="0"/>
          <w:sz w:val="26"/>
          <w:szCs w:val="26"/>
        </w:rPr>
        <w:t xml:space="preserve"> in </w:t>
      </w:r>
      <w:r w:rsidR="009B6579" w:rsidRPr="005E13B9">
        <w:rPr>
          <w:rFonts w:hint="eastAsia"/>
          <w:kern w:val="0"/>
          <w:sz w:val="26"/>
          <w:szCs w:val="26"/>
        </w:rPr>
        <w:t xml:space="preserve">the second section. The third section introduces </w:t>
      </w:r>
      <w:r w:rsidR="00264446" w:rsidRPr="005E13B9">
        <w:rPr>
          <w:kern w:val="0"/>
          <w:sz w:val="26"/>
          <w:szCs w:val="26"/>
        </w:rPr>
        <w:t xml:space="preserve">the </w:t>
      </w:r>
      <w:r w:rsidR="009B6579" w:rsidRPr="005E13B9">
        <w:rPr>
          <w:rFonts w:hint="eastAsia"/>
          <w:kern w:val="0"/>
          <w:sz w:val="26"/>
          <w:szCs w:val="26"/>
        </w:rPr>
        <w:t>d</w:t>
      </w:r>
      <w:r w:rsidRPr="005E13B9">
        <w:rPr>
          <w:kern w:val="0"/>
          <w:sz w:val="26"/>
          <w:szCs w:val="26"/>
        </w:rPr>
        <w:t>ata and methodolog</w:t>
      </w:r>
      <w:r w:rsidR="0018531E" w:rsidRPr="005E13B9">
        <w:rPr>
          <w:rFonts w:hint="eastAsia"/>
          <w:kern w:val="0"/>
          <w:sz w:val="26"/>
          <w:szCs w:val="26"/>
        </w:rPr>
        <w:t>y</w:t>
      </w:r>
      <w:r w:rsidRPr="005E13B9">
        <w:rPr>
          <w:kern w:val="0"/>
          <w:sz w:val="26"/>
          <w:szCs w:val="26"/>
        </w:rPr>
        <w:t xml:space="preserve"> employed in this study</w:t>
      </w:r>
      <w:r w:rsidR="002D6D11" w:rsidRPr="005E13B9">
        <w:rPr>
          <w:rFonts w:hint="eastAsia"/>
          <w:kern w:val="0"/>
          <w:sz w:val="26"/>
          <w:szCs w:val="26"/>
        </w:rPr>
        <w:t>.</w:t>
      </w:r>
      <w:r w:rsidRPr="005E13B9">
        <w:rPr>
          <w:kern w:val="0"/>
          <w:sz w:val="26"/>
          <w:szCs w:val="26"/>
        </w:rPr>
        <w:t xml:space="preserve"> </w:t>
      </w:r>
      <w:r w:rsidR="009B6579" w:rsidRPr="005E13B9">
        <w:rPr>
          <w:sz w:val="26"/>
          <w:szCs w:val="26"/>
        </w:rPr>
        <w:t>The fourth section</w:t>
      </w:r>
      <w:r w:rsidRPr="005E13B9">
        <w:rPr>
          <w:kern w:val="0"/>
          <w:sz w:val="26"/>
          <w:szCs w:val="26"/>
        </w:rPr>
        <w:t xml:space="preserve"> presents the empirical </w:t>
      </w:r>
      <w:r w:rsidR="009B6579" w:rsidRPr="005E13B9">
        <w:rPr>
          <w:rFonts w:hint="eastAsia"/>
          <w:kern w:val="0"/>
          <w:sz w:val="26"/>
          <w:szCs w:val="26"/>
        </w:rPr>
        <w:t>finding</w:t>
      </w:r>
      <w:r w:rsidRPr="005E13B9">
        <w:rPr>
          <w:kern w:val="0"/>
          <w:sz w:val="26"/>
          <w:szCs w:val="26"/>
        </w:rPr>
        <w:t>s and analys</w:t>
      </w:r>
      <w:r w:rsidR="00F85C79" w:rsidRPr="005E13B9">
        <w:rPr>
          <w:rFonts w:hint="eastAsia"/>
          <w:kern w:val="0"/>
          <w:sz w:val="26"/>
          <w:szCs w:val="26"/>
        </w:rPr>
        <w:t>i</w:t>
      </w:r>
      <w:r w:rsidRPr="005E13B9">
        <w:rPr>
          <w:kern w:val="0"/>
          <w:sz w:val="26"/>
          <w:szCs w:val="26"/>
        </w:rPr>
        <w:t xml:space="preserve">s. </w:t>
      </w:r>
      <w:r w:rsidR="00264446" w:rsidRPr="005E13B9">
        <w:rPr>
          <w:kern w:val="0"/>
          <w:sz w:val="26"/>
          <w:szCs w:val="26"/>
        </w:rPr>
        <w:t>The c</w:t>
      </w:r>
      <w:r w:rsidR="00264446" w:rsidRPr="005E13B9">
        <w:rPr>
          <w:rFonts w:hint="eastAsia"/>
          <w:kern w:val="0"/>
          <w:sz w:val="26"/>
          <w:szCs w:val="26"/>
        </w:rPr>
        <w:t xml:space="preserve">onclusion </w:t>
      </w:r>
      <w:r w:rsidR="00F6219A" w:rsidRPr="005E13B9">
        <w:rPr>
          <w:rFonts w:hint="eastAsia"/>
          <w:kern w:val="0"/>
          <w:sz w:val="26"/>
          <w:szCs w:val="26"/>
        </w:rPr>
        <w:t xml:space="preserve">is illustrated in the last </w:t>
      </w:r>
      <w:r w:rsidR="009B6579" w:rsidRPr="005E13B9">
        <w:rPr>
          <w:sz w:val="26"/>
          <w:szCs w:val="26"/>
        </w:rPr>
        <w:t>section</w:t>
      </w:r>
      <w:r w:rsidR="00F6219A" w:rsidRPr="005E13B9">
        <w:rPr>
          <w:rFonts w:hint="eastAsia"/>
          <w:kern w:val="0"/>
          <w:sz w:val="26"/>
          <w:szCs w:val="26"/>
        </w:rPr>
        <w:t xml:space="preserve">. </w:t>
      </w:r>
    </w:p>
    <w:p w14:paraId="51553617" w14:textId="77777777" w:rsidR="00EF7221" w:rsidRPr="005E13B9" w:rsidRDefault="00EF7221" w:rsidP="001C65C7">
      <w:pPr>
        <w:overflowPunct w:val="0"/>
        <w:adjustRightInd w:val="0"/>
        <w:ind w:firstLine="480"/>
        <w:jc w:val="both"/>
        <w:outlineLvl w:val="1"/>
        <w:rPr>
          <w:kern w:val="0"/>
        </w:rPr>
      </w:pPr>
    </w:p>
    <w:p w14:paraId="4D08F210" w14:textId="77777777" w:rsidR="00562D71" w:rsidRPr="005E13B9" w:rsidRDefault="00005145" w:rsidP="001C65C7">
      <w:pPr>
        <w:overflowPunct w:val="0"/>
        <w:adjustRightInd w:val="0"/>
        <w:jc w:val="center"/>
        <w:rPr>
          <w:rFonts w:eastAsia="標楷體"/>
          <w:b/>
          <w:sz w:val="26"/>
          <w:szCs w:val="26"/>
        </w:rPr>
      </w:pPr>
      <w:r w:rsidRPr="005E13B9">
        <w:rPr>
          <w:rFonts w:eastAsia="標楷體"/>
          <w:b/>
          <w:sz w:val="26"/>
          <w:szCs w:val="26"/>
        </w:rPr>
        <w:t>LITERATURE REVIEW AND HYPOTHESES</w:t>
      </w:r>
      <w:r w:rsidR="00EF7221" w:rsidRPr="005E13B9">
        <w:rPr>
          <w:rFonts w:eastAsia="標楷體"/>
          <w:b/>
          <w:sz w:val="26"/>
          <w:szCs w:val="26"/>
        </w:rPr>
        <w:t xml:space="preserve"> </w:t>
      </w:r>
      <w:r w:rsidRPr="005E13B9">
        <w:rPr>
          <w:rFonts w:eastAsia="標楷體"/>
          <w:b/>
          <w:sz w:val="26"/>
          <w:szCs w:val="26"/>
        </w:rPr>
        <w:t>PROPOSED</w:t>
      </w:r>
    </w:p>
    <w:p w14:paraId="6B3B2441" w14:textId="35D90F06" w:rsidR="002510B0" w:rsidRPr="005E13B9" w:rsidRDefault="0013600E" w:rsidP="001C65C7">
      <w:pPr>
        <w:overflowPunct w:val="0"/>
        <w:adjustRightInd w:val="0"/>
        <w:ind w:firstLineChars="200" w:firstLine="520"/>
        <w:jc w:val="both"/>
        <w:outlineLvl w:val="1"/>
        <w:rPr>
          <w:kern w:val="0"/>
          <w:sz w:val="26"/>
          <w:szCs w:val="26"/>
        </w:rPr>
      </w:pPr>
      <w:r w:rsidRPr="005E13B9">
        <w:rPr>
          <w:kern w:val="0"/>
          <w:sz w:val="26"/>
          <w:szCs w:val="26"/>
        </w:rPr>
        <w:t>In this study, to familiarize ourselves with relevant studies, we conduct a survey</w:t>
      </w:r>
      <w:r w:rsidRPr="005E13B9">
        <w:rPr>
          <w:noProof/>
          <w:kern w:val="0"/>
          <w:sz w:val="26"/>
          <w:szCs w:val="26"/>
        </w:rPr>
        <w:t xml:space="preserve"> of</w:t>
      </w:r>
      <w:r w:rsidRPr="005E13B9">
        <w:rPr>
          <w:kern w:val="0"/>
          <w:sz w:val="26"/>
          <w:szCs w:val="26"/>
        </w:rPr>
        <w:t xml:space="preserve"> relevant literature related to institutional investors, </w:t>
      </w:r>
      <w:r w:rsidR="00572EF8" w:rsidRPr="005E13B9">
        <w:rPr>
          <w:kern w:val="0"/>
          <w:sz w:val="26"/>
          <w:szCs w:val="26"/>
        </w:rPr>
        <w:t xml:space="preserve">corporate </w:t>
      </w:r>
      <w:r w:rsidR="00355B1B" w:rsidRPr="005E13B9">
        <w:rPr>
          <w:rFonts w:hint="eastAsia"/>
          <w:kern w:val="0"/>
          <w:sz w:val="26"/>
          <w:szCs w:val="26"/>
        </w:rPr>
        <w:t>n</w:t>
      </w:r>
      <w:r w:rsidR="00572EF8" w:rsidRPr="005E13B9">
        <w:rPr>
          <w:kern w:val="0"/>
          <w:sz w:val="26"/>
          <w:szCs w:val="26"/>
        </w:rPr>
        <w:t>ame</w:t>
      </w:r>
      <w:r w:rsidR="00355B1B" w:rsidRPr="005E13B9">
        <w:rPr>
          <w:rFonts w:hint="eastAsia"/>
          <w:kern w:val="0"/>
          <w:sz w:val="26"/>
          <w:szCs w:val="26"/>
        </w:rPr>
        <w:t xml:space="preserve"> </w:t>
      </w:r>
      <w:r w:rsidRPr="005E13B9">
        <w:rPr>
          <w:kern w:val="0"/>
          <w:sz w:val="26"/>
          <w:szCs w:val="26"/>
        </w:rPr>
        <w:t xml:space="preserve">or industry </w:t>
      </w:r>
      <w:r w:rsidR="007474CA" w:rsidRPr="005E13B9">
        <w:rPr>
          <w:kern w:val="0"/>
          <w:sz w:val="26"/>
          <w:szCs w:val="26"/>
        </w:rPr>
        <w:t>category</w:t>
      </w:r>
      <w:r w:rsidRPr="005E13B9">
        <w:rPr>
          <w:kern w:val="0"/>
          <w:sz w:val="26"/>
          <w:szCs w:val="26"/>
        </w:rPr>
        <w:t xml:space="preserve"> change</w:t>
      </w:r>
      <w:r w:rsidR="00897DC1" w:rsidRPr="005E13B9">
        <w:rPr>
          <w:rFonts w:hint="eastAsia"/>
          <w:kern w:val="0"/>
          <w:sz w:val="26"/>
          <w:szCs w:val="26"/>
        </w:rPr>
        <w:t xml:space="preserve">, </w:t>
      </w:r>
      <w:r w:rsidR="00897DC1" w:rsidRPr="005E13B9">
        <w:rPr>
          <w:kern w:val="0"/>
          <w:sz w:val="26"/>
          <w:szCs w:val="26"/>
        </w:rPr>
        <w:t xml:space="preserve">corporate </w:t>
      </w:r>
      <w:r w:rsidR="00897DC1" w:rsidRPr="005E13B9">
        <w:rPr>
          <w:rFonts w:hint="eastAsia"/>
          <w:kern w:val="0"/>
          <w:sz w:val="26"/>
          <w:szCs w:val="26"/>
        </w:rPr>
        <w:t>n</w:t>
      </w:r>
      <w:r w:rsidR="00897DC1" w:rsidRPr="005E13B9">
        <w:rPr>
          <w:kern w:val="0"/>
          <w:sz w:val="26"/>
          <w:szCs w:val="26"/>
        </w:rPr>
        <w:t>ame</w:t>
      </w:r>
      <w:r w:rsidR="00897DC1" w:rsidRPr="005E13B9">
        <w:rPr>
          <w:rFonts w:hint="eastAsia"/>
          <w:kern w:val="0"/>
          <w:sz w:val="26"/>
          <w:szCs w:val="26"/>
        </w:rPr>
        <w:t xml:space="preserve"> </w:t>
      </w:r>
      <w:r w:rsidR="00897DC1" w:rsidRPr="005E13B9">
        <w:rPr>
          <w:kern w:val="0"/>
          <w:sz w:val="26"/>
          <w:szCs w:val="26"/>
        </w:rPr>
        <w:t>or industry category change</w:t>
      </w:r>
      <w:r w:rsidR="00897DC1" w:rsidRPr="005E13B9">
        <w:rPr>
          <w:rFonts w:hint="eastAsia"/>
          <w:kern w:val="0"/>
          <w:sz w:val="26"/>
          <w:szCs w:val="26"/>
        </w:rPr>
        <w:t xml:space="preserve"> and financial markets</w:t>
      </w:r>
      <w:r w:rsidRPr="005E13B9">
        <w:rPr>
          <w:kern w:val="0"/>
          <w:sz w:val="26"/>
          <w:szCs w:val="26"/>
        </w:rPr>
        <w:t>, corporate governance, financial statements, and institutional investors</w:t>
      </w:r>
      <w:r w:rsidR="00897DC1" w:rsidRPr="005E13B9">
        <w:rPr>
          <w:rFonts w:hint="eastAsia"/>
          <w:kern w:val="0"/>
          <w:sz w:val="26"/>
          <w:szCs w:val="26"/>
        </w:rPr>
        <w:t>,</w:t>
      </w:r>
      <w:r w:rsidRPr="005E13B9">
        <w:rPr>
          <w:kern w:val="0"/>
          <w:sz w:val="26"/>
          <w:szCs w:val="26"/>
        </w:rPr>
        <w:t xml:space="preserve"> as well as the </w:t>
      </w:r>
      <w:r w:rsidR="00572EF8" w:rsidRPr="005E13B9">
        <w:rPr>
          <w:kern w:val="0"/>
          <w:sz w:val="26"/>
          <w:szCs w:val="26"/>
        </w:rPr>
        <w:t xml:space="preserve">corporate </w:t>
      </w:r>
      <w:r w:rsidR="00572EF8" w:rsidRPr="005E13B9">
        <w:rPr>
          <w:rFonts w:hint="eastAsia"/>
          <w:kern w:val="0"/>
          <w:sz w:val="26"/>
          <w:szCs w:val="26"/>
        </w:rPr>
        <w:t>n</w:t>
      </w:r>
      <w:r w:rsidR="00572EF8" w:rsidRPr="005E13B9">
        <w:rPr>
          <w:kern w:val="0"/>
          <w:sz w:val="26"/>
          <w:szCs w:val="26"/>
        </w:rPr>
        <w:t>ame</w:t>
      </w:r>
      <w:r w:rsidR="00572EF8" w:rsidRPr="005E13B9">
        <w:rPr>
          <w:rFonts w:hint="eastAsia"/>
          <w:kern w:val="0"/>
          <w:sz w:val="26"/>
          <w:szCs w:val="26"/>
        </w:rPr>
        <w:t xml:space="preserve"> </w:t>
      </w:r>
      <w:r w:rsidRPr="005E13B9">
        <w:rPr>
          <w:kern w:val="0"/>
          <w:sz w:val="26"/>
          <w:szCs w:val="26"/>
        </w:rPr>
        <w:t xml:space="preserve">or industry </w:t>
      </w:r>
      <w:r w:rsidR="007474CA" w:rsidRPr="005E13B9">
        <w:rPr>
          <w:kern w:val="0"/>
          <w:sz w:val="26"/>
          <w:szCs w:val="26"/>
        </w:rPr>
        <w:t>category</w:t>
      </w:r>
      <w:r w:rsidRPr="005E13B9">
        <w:rPr>
          <w:kern w:val="0"/>
          <w:sz w:val="26"/>
          <w:szCs w:val="26"/>
        </w:rPr>
        <w:t xml:space="preserve"> change and institutional investors.</w:t>
      </w:r>
    </w:p>
    <w:p w14:paraId="6322363D" w14:textId="77777777" w:rsidR="00832A31" w:rsidRPr="005E13B9" w:rsidRDefault="00832A31" w:rsidP="001C65C7">
      <w:pPr>
        <w:overflowPunct w:val="0"/>
        <w:adjustRightInd w:val="0"/>
        <w:ind w:firstLineChars="200" w:firstLine="520"/>
        <w:jc w:val="both"/>
        <w:outlineLvl w:val="1"/>
        <w:rPr>
          <w:kern w:val="0"/>
          <w:sz w:val="26"/>
          <w:szCs w:val="26"/>
        </w:rPr>
      </w:pPr>
    </w:p>
    <w:p w14:paraId="56EAC6A6" w14:textId="77777777" w:rsidR="00562D71" w:rsidRPr="005E13B9" w:rsidRDefault="0013600E" w:rsidP="001C65C7">
      <w:pPr>
        <w:overflowPunct w:val="0"/>
        <w:adjustRightInd w:val="0"/>
        <w:rPr>
          <w:rFonts w:eastAsia="標楷體"/>
          <w:b/>
          <w:sz w:val="26"/>
          <w:szCs w:val="26"/>
        </w:rPr>
      </w:pPr>
      <w:r w:rsidRPr="005E13B9">
        <w:rPr>
          <w:rFonts w:eastAsia="標楷體"/>
          <w:b/>
          <w:sz w:val="26"/>
          <w:szCs w:val="26"/>
        </w:rPr>
        <w:t>Institutional</w:t>
      </w:r>
      <w:r w:rsidR="006C7919" w:rsidRPr="005E13B9">
        <w:rPr>
          <w:rFonts w:eastAsia="標楷體"/>
          <w:b/>
          <w:sz w:val="26"/>
          <w:szCs w:val="26"/>
        </w:rPr>
        <w:t xml:space="preserve"> </w:t>
      </w:r>
      <w:r w:rsidR="00005145" w:rsidRPr="005E13B9">
        <w:rPr>
          <w:rFonts w:eastAsia="標楷體"/>
          <w:b/>
          <w:sz w:val="26"/>
          <w:szCs w:val="26"/>
        </w:rPr>
        <w:t>Investors</w:t>
      </w:r>
    </w:p>
    <w:p w14:paraId="07D3C405" w14:textId="0C8628B9" w:rsidR="00562D71" w:rsidRPr="005E13B9" w:rsidRDefault="0013600E" w:rsidP="001C65C7">
      <w:pPr>
        <w:overflowPunct w:val="0"/>
        <w:adjustRightInd w:val="0"/>
        <w:ind w:firstLineChars="200" w:firstLine="520"/>
        <w:jc w:val="both"/>
        <w:outlineLvl w:val="1"/>
        <w:rPr>
          <w:sz w:val="26"/>
          <w:szCs w:val="26"/>
        </w:rPr>
      </w:pPr>
      <w:r w:rsidRPr="005E13B9">
        <w:rPr>
          <w:sz w:val="26"/>
          <w:szCs w:val="26"/>
        </w:rPr>
        <w:t xml:space="preserve">Institutional investors are, in general, composed of foreign institutional investors, domestic institutional investors, as well as security dealers and act as </w:t>
      </w:r>
      <w:r w:rsidR="00BE3309" w:rsidRPr="005E13B9">
        <w:rPr>
          <w:rFonts w:hint="eastAsia"/>
          <w:sz w:val="26"/>
          <w:szCs w:val="26"/>
        </w:rPr>
        <w:t>the</w:t>
      </w:r>
      <w:r w:rsidRPr="005E13B9">
        <w:rPr>
          <w:sz w:val="26"/>
          <w:szCs w:val="26"/>
        </w:rPr>
        <w:t xml:space="preserve"> significant role</w:t>
      </w:r>
      <w:r w:rsidR="00BE3309" w:rsidRPr="005E13B9">
        <w:rPr>
          <w:rFonts w:hint="eastAsia"/>
          <w:sz w:val="26"/>
          <w:szCs w:val="26"/>
        </w:rPr>
        <w:t>s</w:t>
      </w:r>
      <w:r w:rsidRPr="005E13B9">
        <w:rPr>
          <w:sz w:val="26"/>
          <w:szCs w:val="26"/>
        </w:rPr>
        <w:t xml:space="preserve"> in the business world. For the relevant studies, Aggarwal et al. (2011) </w:t>
      </w:r>
      <w:r w:rsidR="00264446" w:rsidRPr="005E13B9">
        <w:rPr>
          <w:sz w:val="26"/>
          <w:szCs w:val="26"/>
        </w:rPr>
        <w:t>found</w:t>
      </w:r>
      <w:r w:rsidRPr="005E13B9">
        <w:rPr>
          <w:sz w:val="26"/>
          <w:szCs w:val="26"/>
        </w:rPr>
        <w:t xml:space="preserve"> that firms with higher institutional ownership are more likely to terminate poorly performing Chief Executive Officers (CEOs) and exhibit improvements in valuation over time, indicating that international portfolio invest</w:t>
      </w:r>
      <w:r w:rsidR="00BE3309" w:rsidRPr="005E13B9">
        <w:rPr>
          <w:rFonts w:hint="eastAsia"/>
          <w:sz w:val="26"/>
          <w:szCs w:val="26"/>
        </w:rPr>
        <w:t>ed</w:t>
      </w:r>
      <w:r w:rsidRPr="005E13B9">
        <w:rPr>
          <w:sz w:val="26"/>
          <w:szCs w:val="26"/>
        </w:rPr>
        <w:t xml:space="preserve"> by institutional investors promotes good corporate governance practices around the world. Bena et al. (2017) argue</w:t>
      </w:r>
      <w:r w:rsidR="00264446" w:rsidRPr="005E13B9">
        <w:rPr>
          <w:sz w:val="26"/>
          <w:szCs w:val="26"/>
        </w:rPr>
        <w:t>d</w:t>
      </w:r>
      <w:r w:rsidRPr="005E13B9">
        <w:rPr>
          <w:sz w:val="26"/>
          <w:szCs w:val="26"/>
        </w:rPr>
        <w:t xml:space="preserve"> that greater foreign institutional ownership fosters long-term investment in tangible, intangible, </w:t>
      </w:r>
      <w:r w:rsidR="00BE3309" w:rsidRPr="005E13B9">
        <w:rPr>
          <w:rFonts w:hint="eastAsia"/>
          <w:sz w:val="26"/>
          <w:szCs w:val="26"/>
        </w:rPr>
        <w:t>as well as</w:t>
      </w:r>
      <w:r w:rsidRPr="005E13B9">
        <w:rPr>
          <w:sz w:val="26"/>
          <w:szCs w:val="26"/>
        </w:rPr>
        <w:t xml:space="preserve"> human capital</w:t>
      </w:r>
      <w:r w:rsidR="00BE3309" w:rsidRPr="005E13B9">
        <w:rPr>
          <w:rFonts w:hint="eastAsia"/>
          <w:sz w:val="26"/>
          <w:szCs w:val="26"/>
        </w:rPr>
        <w:t xml:space="preserve"> and</w:t>
      </w:r>
      <w:r w:rsidRPr="005E13B9">
        <w:rPr>
          <w:sz w:val="26"/>
          <w:szCs w:val="26"/>
        </w:rPr>
        <w:t xml:space="preserve"> lead</w:t>
      </w:r>
      <w:r w:rsidR="00BE3309" w:rsidRPr="005E13B9">
        <w:rPr>
          <w:rFonts w:hint="eastAsia"/>
          <w:sz w:val="26"/>
          <w:szCs w:val="26"/>
        </w:rPr>
        <w:t>s</w:t>
      </w:r>
      <w:r w:rsidRPr="005E13B9">
        <w:rPr>
          <w:sz w:val="26"/>
          <w:szCs w:val="26"/>
        </w:rPr>
        <w:t xml:space="preserve"> to significant increases in innovation output. Feng, Zhou, and Chan (2014) document</w:t>
      </w:r>
      <w:r w:rsidR="00264446" w:rsidRPr="005E13B9">
        <w:rPr>
          <w:sz w:val="26"/>
          <w:szCs w:val="26"/>
        </w:rPr>
        <w:t>ed</w:t>
      </w:r>
      <w:r w:rsidRPr="005E13B9">
        <w:rPr>
          <w:sz w:val="26"/>
          <w:szCs w:val="26"/>
        </w:rPr>
        <w:t xml:space="preserve"> that institutional investors exhibit a smart money </w:t>
      </w:r>
      <w:r w:rsidRPr="005E13B9">
        <w:rPr>
          <w:noProof/>
          <w:sz w:val="26"/>
          <w:szCs w:val="26"/>
        </w:rPr>
        <w:t xml:space="preserve">effect </w:t>
      </w:r>
      <w:r w:rsidR="00264446" w:rsidRPr="005E13B9">
        <w:rPr>
          <w:noProof/>
          <w:sz w:val="26"/>
          <w:szCs w:val="26"/>
        </w:rPr>
        <w:t>that</w:t>
      </w:r>
      <w:r w:rsidR="00264446" w:rsidRPr="005E13B9">
        <w:rPr>
          <w:sz w:val="26"/>
          <w:szCs w:val="26"/>
        </w:rPr>
        <w:t xml:space="preserve"> </w:t>
      </w:r>
      <w:r w:rsidR="00B23424" w:rsidRPr="005E13B9">
        <w:rPr>
          <w:sz w:val="26"/>
          <w:szCs w:val="26"/>
        </w:rPr>
        <w:t xml:space="preserve">can </w:t>
      </w:r>
      <w:r w:rsidRPr="005E13B9">
        <w:rPr>
          <w:sz w:val="26"/>
          <w:szCs w:val="26"/>
        </w:rPr>
        <w:t xml:space="preserve">move new money into (out of) future good (poor) performers. Ferreira, </w:t>
      </w:r>
      <w:r w:rsidRPr="005E13B9">
        <w:rPr>
          <w:sz w:val="26"/>
          <w:szCs w:val="26"/>
        </w:rPr>
        <w:lastRenderedPageBreak/>
        <w:t xml:space="preserve">Massa, and Matos (2009) </w:t>
      </w:r>
      <w:r w:rsidR="00264446" w:rsidRPr="005E13B9">
        <w:rPr>
          <w:sz w:val="26"/>
          <w:szCs w:val="26"/>
        </w:rPr>
        <w:t>found</w:t>
      </w:r>
      <w:r w:rsidRPr="005E13B9">
        <w:rPr>
          <w:sz w:val="26"/>
          <w:szCs w:val="26"/>
        </w:rPr>
        <w:t xml:space="preserve"> that foreign institutional investors</w:t>
      </w:r>
      <w:r w:rsidR="00BE3309" w:rsidRPr="005E13B9">
        <w:rPr>
          <w:rFonts w:hint="eastAsia"/>
          <w:sz w:val="26"/>
          <w:szCs w:val="26"/>
        </w:rPr>
        <w:t>,</w:t>
      </w:r>
      <w:r w:rsidR="00BE3309" w:rsidRPr="005E13B9">
        <w:rPr>
          <w:sz w:val="26"/>
          <w:szCs w:val="26"/>
        </w:rPr>
        <w:t xml:space="preserve"> who buil</w:t>
      </w:r>
      <w:r w:rsidR="00264446" w:rsidRPr="005E13B9">
        <w:rPr>
          <w:sz w:val="26"/>
          <w:szCs w:val="26"/>
        </w:rPr>
        <w:t>t</w:t>
      </w:r>
      <w:r w:rsidR="00BE3309" w:rsidRPr="005E13B9">
        <w:rPr>
          <w:sz w:val="26"/>
          <w:szCs w:val="26"/>
        </w:rPr>
        <w:t xml:space="preserve"> bridges between firms and reduce transaction costs as well as information asymmetry between bidder and target</w:t>
      </w:r>
      <w:r w:rsidR="00BE3309" w:rsidRPr="005E13B9">
        <w:rPr>
          <w:rFonts w:hint="eastAsia"/>
          <w:sz w:val="26"/>
          <w:szCs w:val="26"/>
        </w:rPr>
        <w:t>,</w:t>
      </w:r>
      <w:r w:rsidRPr="005E13B9">
        <w:rPr>
          <w:sz w:val="26"/>
          <w:szCs w:val="26"/>
        </w:rPr>
        <w:t xml:space="preserve"> act as </w:t>
      </w:r>
      <w:r w:rsidR="00BE3309" w:rsidRPr="005E13B9">
        <w:rPr>
          <w:rFonts w:hint="eastAsia"/>
          <w:sz w:val="26"/>
          <w:szCs w:val="26"/>
        </w:rPr>
        <w:t xml:space="preserve">the </w:t>
      </w:r>
      <w:r w:rsidRPr="005E13B9">
        <w:rPr>
          <w:sz w:val="26"/>
          <w:szCs w:val="26"/>
        </w:rPr>
        <w:t xml:space="preserve">facilitators </w:t>
      </w:r>
      <w:r w:rsidR="00BE3309" w:rsidRPr="005E13B9">
        <w:rPr>
          <w:sz w:val="26"/>
          <w:szCs w:val="26"/>
        </w:rPr>
        <w:t xml:space="preserve">for corporate control </w:t>
      </w:r>
      <w:r w:rsidRPr="005E13B9">
        <w:rPr>
          <w:sz w:val="26"/>
          <w:szCs w:val="26"/>
        </w:rPr>
        <w:t>in the international market</w:t>
      </w:r>
      <w:r w:rsidR="00BE3309" w:rsidRPr="005E13B9">
        <w:rPr>
          <w:rFonts w:hint="eastAsia"/>
          <w:sz w:val="26"/>
          <w:szCs w:val="26"/>
        </w:rPr>
        <w:t>s</w:t>
      </w:r>
      <w:r w:rsidRPr="005E13B9">
        <w:rPr>
          <w:sz w:val="26"/>
          <w:szCs w:val="26"/>
        </w:rPr>
        <w:t xml:space="preserve">. </w:t>
      </w:r>
      <w:r w:rsidR="00977094" w:rsidRPr="005E13B9">
        <w:rPr>
          <w:rFonts w:hint="eastAsia"/>
          <w:sz w:val="26"/>
          <w:szCs w:val="26"/>
        </w:rPr>
        <w:t xml:space="preserve">In sum, the </w:t>
      </w:r>
      <w:r w:rsidRPr="005E13B9">
        <w:rPr>
          <w:sz w:val="26"/>
          <w:szCs w:val="26"/>
        </w:rPr>
        <w:t xml:space="preserve">increased stability of institutional </w:t>
      </w:r>
      <w:r w:rsidR="00977094" w:rsidRPr="005E13B9">
        <w:rPr>
          <w:rFonts w:hint="eastAsia"/>
          <w:sz w:val="26"/>
          <w:szCs w:val="26"/>
        </w:rPr>
        <w:t>share</w:t>
      </w:r>
      <w:r w:rsidRPr="005E13B9">
        <w:rPr>
          <w:sz w:val="26"/>
          <w:szCs w:val="26"/>
        </w:rPr>
        <w:t>holdings is related to better firm performance</w:t>
      </w:r>
      <w:r w:rsidR="00977094" w:rsidRPr="005E13B9">
        <w:rPr>
          <w:rFonts w:hint="eastAsia"/>
          <w:sz w:val="26"/>
          <w:szCs w:val="26"/>
        </w:rPr>
        <w:t xml:space="preserve"> (</w:t>
      </w:r>
      <w:r w:rsidR="00977094" w:rsidRPr="005E13B9">
        <w:rPr>
          <w:sz w:val="26"/>
          <w:szCs w:val="26"/>
        </w:rPr>
        <w:t xml:space="preserve">Hsu </w:t>
      </w:r>
      <w:r w:rsidR="00977094" w:rsidRPr="005E13B9">
        <w:rPr>
          <w:rFonts w:hint="eastAsia"/>
          <w:sz w:val="26"/>
          <w:szCs w:val="26"/>
        </w:rPr>
        <w:t>&amp;</w:t>
      </w:r>
      <w:r w:rsidR="00977094" w:rsidRPr="005E13B9">
        <w:rPr>
          <w:sz w:val="26"/>
          <w:szCs w:val="26"/>
        </w:rPr>
        <w:t xml:space="preserve"> Wang</w:t>
      </w:r>
      <w:r w:rsidR="00977094" w:rsidRPr="005E13B9">
        <w:rPr>
          <w:rFonts w:hint="eastAsia"/>
          <w:sz w:val="26"/>
          <w:szCs w:val="26"/>
        </w:rPr>
        <w:t>,</w:t>
      </w:r>
      <w:r w:rsidR="00977094" w:rsidRPr="005E13B9">
        <w:rPr>
          <w:sz w:val="26"/>
          <w:szCs w:val="26"/>
        </w:rPr>
        <w:t xml:space="preserve"> 2014)</w:t>
      </w:r>
      <w:r w:rsidR="00977094" w:rsidRPr="005E13B9">
        <w:rPr>
          <w:rFonts w:hint="eastAsia"/>
          <w:sz w:val="26"/>
          <w:szCs w:val="26"/>
        </w:rPr>
        <w:t xml:space="preserve"> and</w:t>
      </w:r>
      <w:r w:rsidR="00330EE8" w:rsidRPr="005E13B9">
        <w:rPr>
          <w:rFonts w:hint="eastAsia"/>
          <w:sz w:val="26"/>
          <w:szCs w:val="26"/>
        </w:rPr>
        <w:t xml:space="preserve"> </w:t>
      </w:r>
      <w:r w:rsidR="00330EE8" w:rsidRPr="005E13B9">
        <w:rPr>
          <w:sz w:val="26"/>
          <w:szCs w:val="26"/>
        </w:rPr>
        <w:t xml:space="preserve">share ownership by institutional investors, </w:t>
      </w:r>
      <w:r w:rsidR="00977094" w:rsidRPr="005E13B9">
        <w:rPr>
          <w:sz w:val="26"/>
          <w:szCs w:val="26"/>
        </w:rPr>
        <w:t>particular</w:t>
      </w:r>
      <w:r w:rsidR="00977094" w:rsidRPr="005E13B9">
        <w:rPr>
          <w:rFonts w:hint="eastAsia"/>
          <w:sz w:val="26"/>
          <w:szCs w:val="26"/>
        </w:rPr>
        <w:t>ly</w:t>
      </w:r>
      <w:r w:rsidR="00330EE8" w:rsidRPr="005E13B9">
        <w:rPr>
          <w:sz w:val="26"/>
          <w:szCs w:val="26"/>
        </w:rPr>
        <w:t xml:space="preserve"> </w:t>
      </w:r>
      <w:r w:rsidR="00977094" w:rsidRPr="005E13B9">
        <w:rPr>
          <w:rFonts w:hint="eastAsia"/>
          <w:sz w:val="26"/>
          <w:szCs w:val="26"/>
        </w:rPr>
        <w:t xml:space="preserve">for </w:t>
      </w:r>
      <w:r w:rsidR="00330EE8" w:rsidRPr="005E13B9">
        <w:rPr>
          <w:sz w:val="26"/>
          <w:szCs w:val="26"/>
        </w:rPr>
        <w:t>foreign financial institutions</w:t>
      </w:r>
      <w:r w:rsidR="00977094" w:rsidRPr="005E13B9">
        <w:rPr>
          <w:rFonts w:hint="eastAsia"/>
          <w:sz w:val="26"/>
          <w:szCs w:val="26"/>
        </w:rPr>
        <w:t xml:space="preserve"> (</w:t>
      </w:r>
      <w:r w:rsidR="00977094" w:rsidRPr="005E13B9">
        <w:rPr>
          <w:sz w:val="26"/>
          <w:szCs w:val="26"/>
        </w:rPr>
        <w:t xml:space="preserve">Filatotchev, Lien, </w:t>
      </w:r>
      <w:r w:rsidR="00977094" w:rsidRPr="005E13B9">
        <w:rPr>
          <w:rFonts w:hint="eastAsia"/>
          <w:sz w:val="26"/>
          <w:szCs w:val="26"/>
        </w:rPr>
        <w:t xml:space="preserve">&amp; </w:t>
      </w:r>
      <w:r w:rsidR="00977094" w:rsidRPr="005E13B9">
        <w:rPr>
          <w:sz w:val="26"/>
          <w:szCs w:val="26"/>
        </w:rPr>
        <w:t>Piesse</w:t>
      </w:r>
      <w:r w:rsidR="00977094" w:rsidRPr="005E13B9">
        <w:rPr>
          <w:rFonts w:hint="eastAsia"/>
          <w:sz w:val="26"/>
          <w:szCs w:val="26"/>
        </w:rPr>
        <w:t>,</w:t>
      </w:r>
      <w:r w:rsidR="00977094" w:rsidRPr="005E13B9">
        <w:rPr>
          <w:sz w:val="26"/>
          <w:szCs w:val="26"/>
        </w:rPr>
        <w:t xml:space="preserve"> 2005)</w:t>
      </w:r>
      <w:r w:rsidR="00330EE8" w:rsidRPr="005E13B9">
        <w:rPr>
          <w:sz w:val="26"/>
          <w:szCs w:val="26"/>
        </w:rPr>
        <w:t>.</w:t>
      </w:r>
    </w:p>
    <w:p w14:paraId="6213B501" w14:textId="4F0596BF" w:rsidR="00562D71" w:rsidRPr="005E13B9" w:rsidRDefault="0013600E" w:rsidP="001C65C7">
      <w:pPr>
        <w:overflowPunct w:val="0"/>
        <w:adjustRightInd w:val="0"/>
        <w:ind w:firstLineChars="200" w:firstLine="520"/>
        <w:jc w:val="both"/>
        <w:outlineLvl w:val="1"/>
        <w:rPr>
          <w:sz w:val="26"/>
          <w:szCs w:val="26"/>
        </w:rPr>
      </w:pPr>
      <w:r w:rsidRPr="005E13B9">
        <w:rPr>
          <w:sz w:val="26"/>
          <w:szCs w:val="26"/>
        </w:rPr>
        <w:t xml:space="preserve">Furthermore, when the long-term institutional shareholdings, </w:t>
      </w:r>
      <w:r w:rsidR="00977094" w:rsidRPr="005E13B9">
        <w:rPr>
          <w:rFonts w:hint="eastAsia"/>
          <w:sz w:val="26"/>
          <w:szCs w:val="26"/>
        </w:rPr>
        <w:t>especiall</w:t>
      </w:r>
      <w:r w:rsidRPr="005E13B9">
        <w:rPr>
          <w:sz w:val="26"/>
          <w:szCs w:val="26"/>
        </w:rPr>
        <w:t>y f</w:t>
      </w:r>
      <w:r w:rsidR="00977094" w:rsidRPr="005E13B9">
        <w:rPr>
          <w:rFonts w:hint="eastAsia"/>
          <w:sz w:val="26"/>
          <w:szCs w:val="26"/>
        </w:rPr>
        <w:t>or</w:t>
      </w:r>
      <w:r w:rsidRPr="005E13B9">
        <w:rPr>
          <w:sz w:val="26"/>
          <w:szCs w:val="26"/>
        </w:rPr>
        <w:t xml:space="preserve"> foreign institutions, are higher, the firm performance is better. Huang and Shiu (2009) reveal</w:t>
      </w:r>
      <w:r w:rsidR="00264446" w:rsidRPr="005E13B9">
        <w:rPr>
          <w:sz w:val="26"/>
          <w:szCs w:val="26"/>
        </w:rPr>
        <w:t>ed</w:t>
      </w:r>
      <w:r w:rsidRPr="005E13B9">
        <w:rPr>
          <w:sz w:val="26"/>
          <w:szCs w:val="26"/>
        </w:rPr>
        <w:t xml:space="preserve"> a pronounced foreign ownership effect, whereby stocks with high foreign ownership outperform stocks with low foreign ownership. Khurana and Moser (201</w:t>
      </w:r>
      <w:r w:rsidR="006C7AFA" w:rsidRPr="005E13B9">
        <w:rPr>
          <w:sz w:val="26"/>
          <w:szCs w:val="26"/>
        </w:rPr>
        <w:t>3</w:t>
      </w:r>
      <w:r w:rsidRPr="005E13B9">
        <w:rPr>
          <w:sz w:val="26"/>
          <w:szCs w:val="26"/>
        </w:rPr>
        <w:t>) declare</w:t>
      </w:r>
      <w:r w:rsidR="00264446" w:rsidRPr="005E13B9">
        <w:rPr>
          <w:sz w:val="26"/>
          <w:szCs w:val="26"/>
        </w:rPr>
        <w:t>d</w:t>
      </w:r>
      <w:r w:rsidRPr="005E13B9">
        <w:rPr>
          <w:sz w:val="26"/>
          <w:szCs w:val="26"/>
        </w:rPr>
        <w:t xml:space="preserve"> that institutions with long-term investment horizons are likely to discourage tax avoidance activities if such activities encourage managerial opportunism and reduce transparency. Luong et al. (2017) demonstrate</w:t>
      </w:r>
      <w:r w:rsidR="00264446" w:rsidRPr="005E13B9">
        <w:rPr>
          <w:sz w:val="26"/>
          <w:szCs w:val="26"/>
        </w:rPr>
        <w:t>d</w:t>
      </w:r>
      <w:r w:rsidRPr="005E13B9">
        <w:rPr>
          <w:sz w:val="26"/>
          <w:szCs w:val="26"/>
        </w:rPr>
        <w:t xml:space="preserve"> that foreign institutional ownership has a positive, causal effect on firm innovation, indicating that foreign institutions act as </w:t>
      </w:r>
      <w:r w:rsidR="00977094" w:rsidRPr="005E13B9">
        <w:rPr>
          <w:rFonts w:hint="eastAsia"/>
          <w:sz w:val="26"/>
          <w:szCs w:val="26"/>
        </w:rPr>
        <w:t xml:space="preserve">the </w:t>
      </w:r>
      <w:r w:rsidRPr="005E13B9">
        <w:rPr>
          <w:sz w:val="26"/>
          <w:szCs w:val="26"/>
        </w:rPr>
        <w:t>active monitors</w:t>
      </w:r>
      <w:r w:rsidR="00977094" w:rsidRPr="005E13B9">
        <w:rPr>
          <w:rFonts w:hint="eastAsia"/>
          <w:sz w:val="26"/>
          <w:szCs w:val="26"/>
        </w:rPr>
        <w:t xml:space="preserve"> who</w:t>
      </w:r>
      <w:r w:rsidRPr="005E13B9">
        <w:rPr>
          <w:sz w:val="26"/>
          <w:szCs w:val="26"/>
        </w:rPr>
        <w:t xml:space="preserve"> provide insurance for firm managers against innovation failures and promote knowledge spillovers from high-innovation economies. Schuppli and Bohl (2010) argue</w:t>
      </w:r>
      <w:r w:rsidR="00264446" w:rsidRPr="005E13B9">
        <w:rPr>
          <w:sz w:val="26"/>
          <w:szCs w:val="26"/>
        </w:rPr>
        <w:t>d</w:t>
      </w:r>
      <w:r w:rsidRPr="005E13B9">
        <w:rPr>
          <w:sz w:val="26"/>
          <w:szCs w:val="26"/>
        </w:rPr>
        <w:t xml:space="preserve"> that foreign institutions have a stabilizing effect on Chinese stock markets and contribute to market efficiency.</w:t>
      </w:r>
    </w:p>
    <w:p w14:paraId="2913C241" w14:textId="3B8BA576" w:rsidR="00562D71" w:rsidRPr="005E13B9" w:rsidRDefault="0013600E" w:rsidP="001C65C7">
      <w:pPr>
        <w:overflowPunct w:val="0"/>
        <w:adjustRightInd w:val="0"/>
        <w:ind w:firstLineChars="200" w:firstLine="520"/>
        <w:jc w:val="both"/>
        <w:outlineLvl w:val="1"/>
        <w:rPr>
          <w:sz w:val="26"/>
          <w:szCs w:val="26"/>
        </w:rPr>
      </w:pPr>
      <w:r w:rsidRPr="005E13B9">
        <w:rPr>
          <w:sz w:val="26"/>
          <w:szCs w:val="26"/>
        </w:rPr>
        <w:t>As for the investment strategy in term</w:t>
      </w:r>
      <w:r w:rsidR="00824B20" w:rsidRPr="005E13B9">
        <w:rPr>
          <w:sz w:val="26"/>
          <w:szCs w:val="26"/>
        </w:rPr>
        <w:t>s</w:t>
      </w:r>
      <w:r w:rsidRPr="005E13B9">
        <w:rPr>
          <w:sz w:val="26"/>
          <w:szCs w:val="26"/>
        </w:rPr>
        <w:t xml:space="preserve"> of institutional investors, Grinblatt and Keloharju (2000) f</w:t>
      </w:r>
      <w:r w:rsidR="00264446" w:rsidRPr="005E13B9">
        <w:rPr>
          <w:sz w:val="26"/>
          <w:szCs w:val="26"/>
        </w:rPr>
        <w:t>ou</w:t>
      </w:r>
      <w:r w:rsidRPr="005E13B9">
        <w:rPr>
          <w:sz w:val="26"/>
          <w:szCs w:val="26"/>
        </w:rPr>
        <w:t>nd that foreign investors tend to be momentum investors</w:t>
      </w:r>
      <w:r w:rsidR="00977094" w:rsidRPr="005E13B9">
        <w:rPr>
          <w:rFonts w:hint="eastAsia"/>
          <w:sz w:val="26"/>
          <w:szCs w:val="26"/>
        </w:rPr>
        <w:t xml:space="preserve"> who are</w:t>
      </w:r>
      <w:r w:rsidRPr="005E13B9">
        <w:rPr>
          <w:sz w:val="26"/>
          <w:szCs w:val="26"/>
        </w:rPr>
        <w:t xml:space="preserve"> buying past winning stocks </w:t>
      </w:r>
      <w:r w:rsidRPr="005E13B9">
        <w:rPr>
          <w:noProof/>
          <w:sz w:val="26"/>
          <w:szCs w:val="26"/>
        </w:rPr>
        <w:t>and</w:t>
      </w:r>
      <w:r w:rsidRPr="005E13B9">
        <w:rPr>
          <w:sz w:val="26"/>
          <w:szCs w:val="26"/>
        </w:rPr>
        <w:t xml:space="preserve"> selling past losers. Ko, Kim, and Cho (2007) discover</w:t>
      </w:r>
      <w:r w:rsidR="00550A31" w:rsidRPr="005E13B9">
        <w:rPr>
          <w:sz w:val="26"/>
          <w:szCs w:val="26"/>
        </w:rPr>
        <w:t>ed</w:t>
      </w:r>
      <w:r w:rsidRPr="005E13B9">
        <w:rPr>
          <w:sz w:val="26"/>
          <w:szCs w:val="26"/>
        </w:rPr>
        <w:t xml:space="preserve"> that </w:t>
      </w:r>
      <w:r w:rsidR="00550A31" w:rsidRPr="005E13B9">
        <w:rPr>
          <w:sz w:val="26"/>
          <w:szCs w:val="26"/>
        </w:rPr>
        <w:t xml:space="preserve">foreigners and institutional investors tended to take a momentum strategy in response to </w:t>
      </w:r>
      <w:r w:rsidR="00550A31" w:rsidRPr="005E13B9">
        <w:rPr>
          <w:rFonts w:hint="eastAsia"/>
          <w:sz w:val="26"/>
          <w:szCs w:val="26"/>
        </w:rPr>
        <w:t xml:space="preserve">the </w:t>
      </w:r>
      <w:r w:rsidR="00550A31" w:rsidRPr="005E13B9">
        <w:rPr>
          <w:sz w:val="26"/>
          <w:szCs w:val="26"/>
        </w:rPr>
        <w:t xml:space="preserve">U.S. market returns, which seem to be information-driven of them </w:t>
      </w:r>
      <w:r w:rsidRPr="005E13B9">
        <w:rPr>
          <w:sz w:val="26"/>
          <w:szCs w:val="26"/>
        </w:rPr>
        <w:t>in equity markets. Liu et al. (2014) reveal</w:t>
      </w:r>
      <w:r w:rsidR="00550A31" w:rsidRPr="005E13B9">
        <w:rPr>
          <w:sz w:val="26"/>
          <w:szCs w:val="26"/>
        </w:rPr>
        <w:t>ed</w:t>
      </w:r>
      <w:r w:rsidRPr="005E13B9">
        <w:rPr>
          <w:sz w:val="26"/>
          <w:szCs w:val="26"/>
        </w:rPr>
        <w:t xml:space="preserve"> that</w:t>
      </w:r>
      <w:r w:rsidR="00977094" w:rsidRPr="005E13B9">
        <w:rPr>
          <w:rFonts w:hint="eastAsia"/>
          <w:sz w:val="26"/>
          <w:szCs w:val="26"/>
        </w:rPr>
        <w:t>,</w:t>
      </w:r>
      <w:r w:rsidRPr="005E13B9">
        <w:rPr>
          <w:sz w:val="26"/>
          <w:szCs w:val="26"/>
        </w:rPr>
        <w:t xml:space="preserve"> when making investment decisions, foreign funds tend to rely on some corporate governance indicators</w:t>
      </w:r>
      <w:r w:rsidR="00977094" w:rsidRPr="005E13B9">
        <w:rPr>
          <w:rFonts w:hint="eastAsia"/>
          <w:sz w:val="26"/>
          <w:szCs w:val="26"/>
        </w:rPr>
        <w:t xml:space="preserve"> and</w:t>
      </w:r>
      <w:r w:rsidRPr="005E13B9">
        <w:rPr>
          <w:sz w:val="26"/>
          <w:szCs w:val="26"/>
        </w:rPr>
        <w:t xml:space="preserve"> have a preference for firms with a high percentage of state-owned shares.</w:t>
      </w:r>
    </w:p>
    <w:p w14:paraId="760FF7C0" w14:textId="7757865E" w:rsidR="00562D71" w:rsidRPr="005E13B9" w:rsidRDefault="0013600E" w:rsidP="001C65C7">
      <w:pPr>
        <w:overflowPunct w:val="0"/>
        <w:adjustRightInd w:val="0"/>
        <w:ind w:firstLineChars="200" w:firstLine="520"/>
        <w:jc w:val="both"/>
        <w:outlineLvl w:val="1"/>
        <w:rPr>
          <w:sz w:val="26"/>
          <w:szCs w:val="26"/>
        </w:rPr>
      </w:pPr>
      <w:r w:rsidRPr="005E13B9">
        <w:rPr>
          <w:noProof/>
          <w:sz w:val="26"/>
          <w:szCs w:val="26"/>
        </w:rPr>
        <w:t>In addition</w:t>
      </w:r>
      <w:r w:rsidRPr="005E13B9">
        <w:rPr>
          <w:sz w:val="26"/>
          <w:szCs w:val="26"/>
        </w:rPr>
        <w:t>, Lai and Wang (2014) f</w:t>
      </w:r>
      <w:r w:rsidR="00550A31" w:rsidRPr="005E13B9">
        <w:rPr>
          <w:sz w:val="26"/>
          <w:szCs w:val="26"/>
        </w:rPr>
        <w:t>ou</w:t>
      </w:r>
      <w:r w:rsidRPr="005E13B9">
        <w:rPr>
          <w:sz w:val="26"/>
          <w:szCs w:val="26"/>
        </w:rPr>
        <w:t>nd that net trading volume</w:t>
      </w:r>
      <w:r w:rsidR="00B80BAF" w:rsidRPr="005E13B9">
        <w:rPr>
          <w:rFonts w:hint="eastAsia"/>
          <w:sz w:val="26"/>
          <w:szCs w:val="26"/>
        </w:rPr>
        <w:t>s</w:t>
      </w:r>
      <w:r w:rsidRPr="005E13B9">
        <w:rPr>
          <w:sz w:val="26"/>
          <w:szCs w:val="26"/>
        </w:rPr>
        <w:t xml:space="preserve"> by foreign investors and investment trust</w:t>
      </w:r>
      <w:r w:rsidR="00B80BAF" w:rsidRPr="005E13B9">
        <w:rPr>
          <w:rFonts w:hint="eastAsia"/>
          <w:sz w:val="26"/>
          <w:szCs w:val="26"/>
        </w:rPr>
        <w:t>s</w:t>
      </w:r>
      <w:r w:rsidRPr="005E13B9">
        <w:rPr>
          <w:sz w:val="26"/>
          <w:szCs w:val="26"/>
        </w:rPr>
        <w:t xml:space="preserve"> have </w:t>
      </w:r>
      <w:r w:rsidR="00B80BAF" w:rsidRPr="005E13B9">
        <w:rPr>
          <w:rFonts w:hint="eastAsia"/>
          <w:sz w:val="26"/>
          <w:szCs w:val="26"/>
        </w:rPr>
        <w:t xml:space="preserve">the </w:t>
      </w:r>
      <w:r w:rsidRPr="005E13B9">
        <w:rPr>
          <w:sz w:val="26"/>
          <w:szCs w:val="26"/>
        </w:rPr>
        <w:t>forecasting power for futures returns. Kaur and Dhillon (2010) conclude</w:t>
      </w:r>
      <w:r w:rsidR="00550A31" w:rsidRPr="005E13B9">
        <w:rPr>
          <w:sz w:val="26"/>
          <w:szCs w:val="26"/>
        </w:rPr>
        <w:t>d</w:t>
      </w:r>
      <w:r w:rsidRPr="005E13B9">
        <w:rPr>
          <w:sz w:val="26"/>
          <w:szCs w:val="26"/>
        </w:rPr>
        <w:t xml:space="preserve"> that the investment performance of </w:t>
      </w:r>
      <w:r w:rsidR="00F85C79" w:rsidRPr="005E13B9">
        <w:rPr>
          <w:sz w:val="26"/>
          <w:szCs w:val="26"/>
        </w:rPr>
        <w:t>Qualified Foreign Institutional Investor</w:t>
      </w:r>
      <w:r w:rsidR="00F85C79" w:rsidRPr="005E13B9">
        <w:rPr>
          <w:rFonts w:hint="eastAsia"/>
          <w:sz w:val="26"/>
          <w:szCs w:val="26"/>
        </w:rPr>
        <w:t>s</w:t>
      </w:r>
      <w:r w:rsidR="00F85C79" w:rsidRPr="005E13B9">
        <w:rPr>
          <w:sz w:val="26"/>
          <w:szCs w:val="26"/>
        </w:rPr>
        <w:t>’</w:t>
      </w:r>
      <w:r w:rsidR="00F85C79" w:rsidRPr="005E13B9">
        <w:rPr>
          <w:rFonts w:hint="eastAsia"/>
          <w:sz w:val="26"/>
          <w:szCs w:val="26"/>
        </w:rPr>
        <w:t xml:space="preserve"> </w:t>
      </w:r>
      <w:r w:rsidR="00600B76" w:rsidRPr="005E13B9">
        <w:rPr>
          <w:rFonts w:hint="eastAsia"/>
          <w:sz w:val="26"/>
          <w:szCs w:val="26"/>
        </w:rPr>
        <w:t>(</w:t>
      </w:r>
      <w:r w:rsidRPr="005E13B9">
        <w:rPr>
          <w:sz w:val="26"/>
          <w:szCs w:val="26"/>
        </w:rPr>
        <w:t>QFIIs’</w:t>
      </w:r>
      <w:r w:rsidR="00600B76" w:rsidRPr="005E13B9">
        <w:rPr>
          <w:rFonts w:hint="eastAsia"/>
          <w:sz w:val="26"/>
          <w:szCs w:val="26"/>
        </w:rPr>
        <w:t>)</w:t>
      </w:r>
      <w:r w:rsidRPr="005E13B9">
        <w:rPr>
          <w:sz w:val="26"/>
          <w:szCs w:val="26"/>
        </w:rPr>
        <w:t xml:space="preserve"> high holdings stocks is significantly better than that of QFIIs’ low holdings stocks, which indicates that QFIIs’ trading behavior has generated better returns and portfolio performance </w:t>
      </w:r>
      <w:r w:rsidR="00B80BAF" w:rsidRPr="005E13B9">
        <w:rPr>
          <w:rFonts w:hint="eastAsia"/>
          <w:sz w:val="26"/>
          <w:szCs w:val="26"/>
        </w:rPr>
        <w:t>due to</w:t>
      </w:r>
      <w:r w:rsidRPr="005E13B9">
        <w:rPr>
          <w:sz w:val="26"/>
          <w:szCs w:val="26"/>
        </w:rPr>
        <w:t xml:space="preserve"> the full liberalization</w:t>
      </w:r>
      <w:r w:rsidR="00B80BAF" w:rsidRPr="005E13B9">
        <w:rPr>
          <w:rFonts w:hint="eastAsia"/>
          <w:sz w:val="26"/>
          <w:szCs w:val="26"/>
        </w:rPr>
        <w:t xml:space="preserve"> of </w:t>
      </w:r>
      <w:r w:rsidR="00B80BAF" w:rsidRPr="005E13B9">
        <w:rPr>
          <w:sz w:val="26"/>
          <w:szCs w:val="26"/>
        </w:rPr>
        <w:t>stock market</w:t>
      </w:r>
      <w:r w:rsidR="00B80BAF" w:rsidRPr="005E13B9">
        <w:rPr>
          <w:rFonts w:hint="eastAsia"/>
          <w:sz w:val="26"/>
          <w:szCs w:val="26"/>
        </w:rPr>
        <w:t>s</w:t>
      </w:r>
      <w:r w:rsidRPr="005E13B9">
        <w:rPr>
          <w:sz w:val="26"/>
          <w:szCs w:val="26"/>
        </w:rPr>
        <w:t>.</w:t>
      </w:r>
    </w:p>
    <w:p w14:paraId="5DA06D2B" w14:textId="79C35983" w:rsidR="00562D71" w:rsidRPr="005E13B9" w:rsidRDefault="0013600E" w:rsidP="001C65C7">
      <w:pPr>
        <w:overflowPunct w:val="0"/>
        <w:adjustRightInd w:val="0"/>
        <w:ind w:firstLineChars="200" w:firstLine="520"/>
        <w:jc w:val="both"/>
        <w:outlineLvl w:val="1"/>
        <w:rPr>
          <w:sz w:val="26"/>
          <w:szCs w:val="26"/>
        </w:rPr>
      </w:pPr>
      <w:r w:rsidRPr="005E13B9">
        <w:rPr>
          <w:sz w:val="26"/>
          <w:szCs w:val="26"/>
        </w:rPr>
        <w:t>Moreover, Zou, Tang, and Li (2016) reveal</w:t>
      </w:r>
      <w:r w:rsidR="00550A31" w:rsidRPr="005E13B9">
        <w:rPr>
          <w:sz w:val="26"/>
          <w:szCs w:val="26"/>
        </w:rPr>
        <w:t>ed</w:t>
      </w:r>
      <w:r w:rsidRPr="005E13B9">
        <w:rPr>
          <w:sz w:val="26"/>
          <w:szCs w:val="26"/>
        </w:rPr>
        <w:t xml:space="preserve"> that both domestic funds and QFIIs tend to hold</w:t>
      </w:r>
      <w:r w:rsidR="00B80BAF" w:rsidRPr="005E13B9">
        <w:rPr>
          <w:rFonts w:hint="eastAsia"/>
          <w:sz w:val="26"/>
          <w:szCs w:val="26"/>
        </w:rPr>
        <w:t xml:space="preserve"> the shares of firms which are</w:t>
      </w:r>
      <w:r w:rsidRPr="005E13B9">
        <w:rPr>
          <w:sz w:val="26"/>
          <w:szCs w:val="26"/>
        </w:rPr>
        <w:t xml:space="preserve"> big, with relatively higher transaction costs, with better accounting performances, with higher </w:t>
      </w:r>
      <w:r w:rsidR="00EF7221" w:rsidRPr="005E13B9">
        <w:rPr>
          <w:rFonts w:hint="eastAsia"/>
          <w:sz w:val="26"/>
          <w:szCs w:val="26"/>
        </w:rPr>
        <w:t>B</w:t>
      </w:r>
      <w:r w:rsidR="00600B76" w:rsidRPr="005E13B9">
        <w:rPr>
          <w:rFonts w:hint="eastAsia"/>
          <w:sz w:val="26"/>
          <w:szCs w:val="26"/>
        </w:rPr>
        <w:t>ook</w:t>
      </w:r>
      <w:r w:rsidR="00F85C79" w:rsidRPr="005E13B9">
        <w:rPr>
          <w:rFonts w:hint="eastAsia"/>
          <w:sz w:val="26"/>
          <w:szCs w:val="26"/>
        </w:rPr>
        <w:t>-</w:t>
      </w:r>
      <w:r w:rsidR="00600B76" w:rsidRPr="005E13B9">
        <w:rPr>
          <w:rFonts w:hint="eastAsia"/>
          <w:sz w:val="26"/>
          <w:szCs w:val="26"/>
        </w:rPr>
        <w:t>to</w:t>
      </w:r>
      <w:r w:rsidR="00F85C79" w:rsidRPr="005E13B9">
        <w:rPr>
          <w:rFonts w:hint="eastAsia"/>
          <w:sz w:val="26"/>
          <w:szCs w:val="26"/>
        </w:rPr>
        <w:t>-</w:t>
      </w:r>
      <w:r w:rsidR="00EF7221" w:rsidRPr="005E13B9">
        <w:rPr>
          <w:rFonts w:hint="eastAsia"/>
          <w:sz w:val="26"/>
          <w:szCs w:val="26"/>
        </w:rPr>
        <w:t>M</w:t>
      </w:r>
      <w:r w:rsidR="00600B76" w:rsidRPr="005E13B9">
        <w:rPr>
          <w:rFonts w:hint="eastAsia"/>
          <w:sz w:val="26"/>
          <w:szCs w:val="26"/>
        </w:rPr>
        <w:t>arket (</w:t>
      </w:r>
      <w:r w:rsidRPr="005E13B9">
        <w:rPr>
          <w:sz w:val="26"/>
          <w:szCs w:val="26"/>
        </w:rPr>
        <w:t>B/M</w:t>
      </w:r>
      <w:r w:rsidR="00600B76" w:rsidRPr="005E13B9">
        <w:rPr>
          <w:rFonts w:hint="eastAsia"/>
          <w:sz w:val="26"/>
          <w:szCs w:val="26"/>
        </w:rPr>
        <w:t>)</w:t>
      </w:r>
      <w:r w:rsidRPr="005E13B9">
        <w:rPr>
          <w:sz w:val="26"/>
          <w:szCs w:val="26"/>
        </w:rPr>
        <w:t xml:space="preserve"> ratios</w:t>
      </w:r>
      <w:r w:rsidR="00B80BAF" w:rsidRPr="005E13B9">
        <w:rPr>
          <w:rFonts w:hint="eastAsia"/>
          <w:sz w:val="26"/>
          <w:szCs w:val="26"/>
        </w:rPr>
        <w:t>,</w:t>
      </w:r>
      <w:r w:rsidRPr="005E13B9">
        <w:rPr>
          <w:sz w:val="26"/>
          <w:szCs w:val="26"/>
        </w:rPr>
        <w:t xml:space="preserve"> </w:t>
      </w:r>
      <w:r w:rsidR="00B80BAF" w:rsidRPr="005E13B9">
        <w:rPr>
          <w:rFonts w:hint="eastAsia"/>
          <w:sz w:val="26"/>
          <w:szCs w:val="26"/>
        </w:rPr>
        <w:t>or with</w:t>
      </w:r>
      <w:r w:rsidRPr="005E13B9">
        <w:rPr>
          <w:sz w:val="26"/>
          <w:szCs w:val="26"/>
        </w:rPr>
        <w:t xml:space="preserve"> </w:t>
      </w:r>
      <w:r w:rsidR="000552E7" w:rsidRPr="005E13B9">
        <w:rPr>
          <w:sz w:val="26"/>
          <w:szCs w:val="26"/>
        </w:rPr>
        <w:t xml:space="preserve">a </w:t>
      </w:r>
      <w:r w:rsidRPr="005E13B9">
        <w:rPr>
          <w:sz w:val="26"/>
          <w:szCs w:val="26"/>
        </w:rPr>
        <w:t xml:space="preserve">higher price to cash flow ratios. </w:t>
      </w:r>
      <w:r w:rsidR="00B80BAF" w:rsidRPr="005E13B9">
        <w:rPr>
          <w:sz w:val="26"/>
          <w:szCs w:val="26"/>
        </w:rPr>
        <w:t xml:space="preserve">Dahlquist and Robertsson (2001) </w:t>
      </w:r>
      <w:r w:rsidR="00B80BAF" w:rsidRPr="005E13B9">
        <w:rPr>
          <w:rFonts w:hint="eastAsia"/>
          <w:sz w:val="26"/>
          <w:szCs w:val="26"/>
        </w:rPr>
        <w:t xml:space="preserve">also </w:t>
      </w:r>
      <w:r w:rsidR="00B80BAF" w:rsidRPr="005E13B9">
        <w:rPr>
          <w:sz w:val="26"/>
          <w:szCs w:val="26"/>
        </w:rPr>
        <w:t>demonstrate</w:t>
      </w:r>
      <w:r w:rsidR="00550A31" w:rsidRPr="005E13B9">
        <w:rPr>
          <w:sz w:val="26"/>
          <w:szCs w:val="26"/>
        </w:rPr>
        <w:t>d</w:t>
      </w:r>
      <w:r w:rsidR="00B80BAF" w:rsidRPr="005E13B9">
        <w:rPr>
          <w:sz w:val="26"/>
          <w:szCs w:val="26"/>
        </w:rPr>
        <w:t xml:space="preserve"> that foreigners show a preference for large firms, firms paying low dividends, and firms with </w:t>
      </w:r>
      <w:r w:rsidR="00B80BAF" w:rsidRPr="005E13B9">
        <w:rPr>
          <w:noProof/>
          <w:sz w:val="26"/>
          <w:szCs w:val="26"/>
        </w:rPr>
        <w:t>large</w:t>
      </w:r>
      <w:r w:rsidR="00B80BAF" w:rsidRPr="005E13B9">
        <w:rPr>
          <w:sz w:val="26"/>
          <w:szCs w:val="26"/>
        </w:rPr>
        <w:t xml:space="preserve"> cash positions on their balance sheets.</w:t>
      </w:r>
      <w:r w:rsidRPr="005E13B9">
        <w:rPr>
          <w:sz w:val="26"/>
          <w:szCs w:val="26"/>
        </w:rPr>
        <w:t xml:space="preserve"> </w:t>
      </w:r>
      <w:r w:rsidR="00B80BAF" w:rsidRPr="005E13B9">
        <w:rPr>
          <w:rFonts w:hint="eastAsia"/>
          <w:sz w:val="26"/>
          <w:szCs w:val="26"/>
        </w:rPr>
        <w:t xml:space="preserve">To sum up, </w:t>
      </w:r>
      <w:r w:rsidRPr="005E13B9">
        <w:rPr>
          <w:sz w:val="26"/>
          <w:szCs w:val="26"/>
        </w:rPr>
        <w:t xml:space="preserve">all institutional investors </w:t>
      </w:r>
      <w:r w:rsidRPr="005E13B9">
        <w:rPr>
          <w:sz w:val="26"/>
          <w:szCs w:val="26"/>
        </w:rPr>
        <w:lastRenderedPageBreak/>
        <w:t>have a strong preference for the stock of large firms and firms with good governance</w:t>
      </w:r>
      <w:r w:rsidR="00B80BAF" w:rsidRPr="005E13B9">
        <w:rPr>
          <w:rFonts w:hint="eastAsia"/>
          <w:sz w:val="26"/>
          <w:szCs w:val="26"/>
        </w:rPr>
        <w:t xml:space="preserve"> (</w:t>
      </w:r>
      <w:r w:rsidR="00B80BAF" w:rsidRPr="005E13B9">
        <w:rPr>
          <w:sz w:val="26"/>
          <w:szCs w:val="26"/>
        </w:rPr>
        <w:t xml:space="preserve">Ferreira </w:t>
      </w:r>
      <w:r w:rsidR="00B80BAF" w:rsidRPr="005E13B9">
        <w:rPr>
          <w:rFonts w:hint="eastAsia"/>
          <w:sz w:val="26"/>
          <w:szCs w:val="26"/>
        </w:rPr>
        <w:t>&amp;</w:t>
      </w:r>
      <w:r w:rsidR="00B80BAF" w:rsidRPr="005E13B9">
        <w:rPr>
          <w:sz w:val="26"/>
          <w:szCs w:val="26"/>
        </w:rPr>
        <w:t xml:space="preserve"> Matos</w:t>
      </w:r>
      <w:r w:rsidR="00B80BAF" w:rsidRPr="005E13B9">
        <w:rPr>
          <w:rFonts w:hint="eastAsia"/>
          <w:sz w:val="26"/>
          <w:szCs w:val="26"/>
        </w:rPr>
        <w:t>,</w:t>
      </w:r>
      <w:r w:rsidR="00B80BAF" w:rsidRPr="005E13B9">
        <w:rPr>
          <w:sz w:val="26"/>
          <w:szCs w:val="26"/>
        </w:rPr>
        <w:t xml:space="preserve"> 2008)</w:t>
      </w:r>
      <w:r w:rsidRPr="005E13B9">
        <w:rPr>
          <w:sz w:val="26"/>
          <w:szCs w:val="26"/>
        </w:rPr>
        <w:t xml:space="preserve">. </w:t>
      </w:r>
    </w:p>
    <w:p w14:paraId="6E890487" w14:textId="77777777" w:rsidR="0007169D" w:rsidRPr="005E13B9" w:rsidRDefault="0007169D" w:rsidP="001C65C7">
      <w:pPr>
        <w:overflowPunct w:val="0"/>
        <w:adjustRightInd w:val="0"/>
        <w:rPr>
          <w:rFonts w:eastAsia="標楷體"/>
          <w:b/>
          <w:sz w:val="26"/>
          <w:szCs w:val="26"/>
        </w:rPr>
      </w:pPr>
    </w:p>
    <w:p w14:paraId="197F9D31" w14:textId="77777777" w:rsidR="00562D71" w:rsidRPr="005E13B9" w:rsidRDefault="00572EF8" w:rsidP="001C65C7">
      <w:pPr>
        <w:overflowPunct w:val="0"/>
        <w:adjustRightInd w:val="0"/>
        <w:rPr>
          <w:rFonts w:eastAsia="標楷體"/>
          <w:b/>
          <w:sz w:val="26"/>
          <w:szCs w:val="26"/>
        </w:rPr>
      </w:pPr>
      <w:r w:rsidRPr="005E13B9">
        <w:rPr>
          <w:rFonts w:eastAsia="標楷體"/>
          <w:b/>
          <w:sz w:val="26"/>
          <w:szCs w:val="26"/>
        </w:rPr>
        <w:t>Corpor</w:t>
      </w:r>
      <w:r w:rsidR="00B3266D" w:rsidRPr="005E13B9">
        <w:rPr>
          <w:rFonts w:eastAsia="標楷體"/>
          <w:b/>
          <w:sz w:val="26"/>
          <w:szCs w:val="26"/>
        </w:rPr>
        <w:t xml:space="preserve">ate </w:t>
      </w:r>
      <w:r w:rsidR="00005145" w:rsidRPr="005E13B9">
        <w:rPr>
          <w:rFonts w:eastAsia="標楷體"/>
          <w:b/>
          <w:sz w:val="26"/>
          <w:szCs w:val="26"/>
        </w:rPr>
        <w:t xml:space="preserve">Name </w:t>
      </w:r>
      <w:r w:rsidR="00B3266D" w:rsidRPr="005E13B9">
        <w:rPr>
          <w:rFonts w:eastAsia="標楷體"/>
          <w:b/>
          <w:sz w:val="26"/>
          <w:szCs w:val="26"/>
        </w:rPr>
        <w:t xml:space="preserve">or </w:t>
      </w:r>
      <w:r w:rsidR="00005145" w:rsidRPr="005E13B9">
        <w:rPr>
          <w:rFonts w:eastAsia="標楷體"/>
          <w:b/>
          <w:sz w:val="26"/>
          <w:szCs w:val="26"/>
        </w:rPr>
        <w:t>Industry Category Change</w:t>
      </w:r>
    </w:p>
    <w:p w14:paraId="4FBE14E0" w14:textId="27EFBC57" w:rsidR="00562D71" w:rsidRPr="005E13B9" w:rsidRDefault="0013600E" w:rsidP="001C65C7">
      <w:pPr>
        <w:overflowPunct w:val="0"/>
        <w:adjustRightInd w:val="0"/>
        <w:ind w:firstLineChars="200" w:firstLine="520"/>
        <w:jc w:val="both"/>
        <w:outlineLvl w:val="1"/>
        <w:rPr>
          <w:iCs/>
          <w:kern w:val="0"/>
          <w:sz w:val="26"/>
          <w:szCs w:val="26"/>
        </w:rPr>
      </w:pPr>
      <w:r w:rsidRPr="005E13B9">
        <w:rPr>
          <w:bCs/>
          <w:kern w:val="0"/>
          <w:sz w:val="26"/>
          <w:szCs w:val="26"/>
        </w:rPr>
        <w:t xml:space="preserve">Due to the importance of a name for the firm, changing a </w:t>
      </w:r>
      <w:r w:rsidR="0007169D" w:rsidRPr="005E13B9">
        <w:rPr>
          <w:rFonts w:hint="eastAsia"/>
          <w:bCs/>
          <w:kern w:val="0"/>
          <w:sz w:val="26"/>
          <w:szCs w:val="26"/>
        </w:rPr>
        <w:t>firm</w:t>
      </w:r>
      <w:r w:rsidRPr="005E13B9">
        <w:rPr>
          <w:bCs/>
          <w:kern w:val="0"/>
          <w:sz w:val="26"/>
          <w:szCs w:val="26"/>
        </w:rPr>
        <w:t xml:space="preserve">'s name is a </w:t>
      </w:r>
      <w:r w:rsidRPr="005E13B9">
        <w:rPr>
          <w:bCs/>
          <w:noProof/>
          <w:kern w:val="0"/>
          <w:sz w:val="26"/>
          <w:szCs w:val="26"/>
        </w:rPr>
        <w:t>major</w:t>
      </w:r>
      <w:r w:rsidRPr="005E13B9">
        <w:rPr>
          <w:bCs/>
          <w:kern w:val="0"/>
          <w:sz w:val="26"/>
          <w:szCs w:val="26"/>
        </w:rPr>
        <w:t xml:space="preserve"> policy decision (Horsky </w:t>
      </w:r>
      <w:r w:rsidR="0063733B" w:rsidRPr="005E13B9">
        <w:rPr>
          <w:rFonts w:hint="eastAsia"/>
          <w:bCs/>
          <w:kern w:val="0"/>
          <w:sz w:val="26"/>
          <w:szCs w:val="26"/>
        </w:rPr>
        <w:t>&amp;</w:t>
      </w:r>
      <w:r w:rsidRPr="005E13B9">
        <w:rPr>
          <w:bCs/>
          <w:kern w:val="0"/>
          <w:sz w:val="26"/>
          <w:szCs w:val="26"/>
        </w:rPr>
        <w:t xml:space="preserve"> Swyngedouw</w:t>
      </w:r>
      <w:r w:rsidR="0063733B" w:rsidRPr="005E13B9">
        <w:rPr>
          <w:rFonts w:hint="eastAsia"/>
          <w:bCs/>
          <w:kern w:val="0"/>
          <w:sz w:val="26"/>
          <w:szCs w:val="26"/>
        </w:rPr>
        <w:t xml:space="preserve">, </w:t>
      </w:r>
      <w:r w:rsidRPr="005E13B9">
        <w:rPr>
          <w:bCs/>
          <w:kern w:val="0"/>
          <w:sz w:val="26"/>
          <w:szCs w:val="26"/>
        </w:rPr>
        <w:t>1987</w:t>
      </w:r>
      <w:r w:rsidR="0063733B" w:rsidRPr="005E13B9">
        <w:rPr>
          <w:rFonts w:hint="eastAsia"/>
          <w:bCs/>
          <w:kern w:val="0"/>
          <w:sz w:val="26"/>
          <w:szCs w:val="26"/>
        </w:rPr>
        <w:t xml:space="preserve">; </w:t>
      </w:r>
      <w:r w:rsidR="0063733B" w:rsidRPr="005E13B9">
        <w:rPr>
          <w:bCs/>
          <w:kern w:val="0"/>
          <w:sz w:val="26"/>
          <w:szCs w:val="26"/>
        </w:rPr>
        <w:t>Kashmiri &amp; Mahajan, 2015</w:t>
      </w:r>
      <w:r w:rsidRPr="005E13B9">
        <w:rPr>
          <w:bCs/>
          <w:kern w:val="0"/>
          <w:sz w:val="26"/>
          <w:szCs w:val="26"/>
        </w:rPr>
        <w:t xml:space="preserve">) and rebranding, that is changing firm’s asset, should not be undertaken without careful planning (Daly </w:t>
      </w:r>
      <w:r w:rsidR="002B4D01" w:rsidRPr="005E13B9">
        <w:rPr>
          <w:rFonts w:hint="eastAsia"/>
          <w:bCs/>
          <w:kern w:val="0"/>
          <w:sz w:val="26"/>
          <w:szCs w:val="26"/>
        </w:rPr>
        <w:t>&amp;</w:t>
      </w:r>
      <w:r w:rsidRPr="005E13B9">
        <w:rPr>
          <w:bCs/>
          <w:kern w:val="0"/>
          <w:sz w:val="26"/>
          <w:szCs w:val="26"/>
        </w:rPr>
        <w:t xml:space="preserve"> Moloney, 2004). Delattre (2002) argue</w:t>
      </w:r>
      <w:r w:rsidR="00550A31" w:rsidRPr="005E13B9">
        <w:rPr>
          <w:bCs/>
          <w:kern w:val="0"/>
          <w:sz w:val="26"/>
          <w:szCs w:val="26"/>
        </w:rPr>
        <w:t>d</w:t>
      </w:r>
      <w:r w:rsidRPr="005E13B9">
        <w:rPr>
          <w:bCs/>
          <w:kern w:val="0"/>
          <w:sz w:val="26"/>
          <w:szCs w:val="26"/>
        </w:rPr>
        <w:t xml:space="preserve"> that </w:t>
      </w:r>
      <w:r w:rsidR="0007169D" w:rsidRPr="005E13B9">
        <w:rPr>
          <w:rFonts w:hint="eastAsia"/>
          <w:bCs/>
          <w:kern w:val="0"/>
          <w:sz w:val="26"/>
          <w:szCs w:val="26"/>
        </w:rPr>
        <w:t>each</w:t>
      </w:r>
      <w:r w:rsidRPr="005E13B9">
        <w:rPr>
          <w:sz w:val="26"/>
          <w:szCs w:val="26"/>
        </w:rPr>
        <w:t xml:space="preserve"> decision of corporate name modification has financial, marketing, and strategic effects. </w:t>
      </w:r>
      <w:r w:rsidRPr="005E13B9">
        <w:rPr>
          <w:kern w:val="0"/>
          <w:sz w:val="26"/>
          <w:szCs w:val="26"/>
        </w:rPr>
        <w:t>Green and Jame (2013) f</w:t>
      </w:r>
      <w:r w:rsidR="00550A31" w:rsidRPr="005E13B9">
        <w:rPr>
          <w:kern w:val="0"/>
          <w:sz w:val="26"/>
          <w:szCs w:val="26"/>
        </w:rPr>
        <w:t>ou</w:t>
      </w:r>
      <w:r w:rsidRPr="005E13B9">
        <w:rPr>
          <w:kern w:val="0"/>
          <w:sz w:val="26"/>
          <w:szCs w:val="26"/>
        </w:rPr>
        <w:t xml:space="preserve">nd that </w:t>
      </w:r>
      <w:r w:rsidRPr="005E13B9">
        <w:rPr>
          <w:sz w:val="26"/>
          <w:szCs w:val="26"/>
        </w:rPr>
        <w:t>corporate</w:t>
      </w:r>
      <w:r w:rsidRPr="005E13B9">
        <w:rPr>
          <w:kern w:val="0"/>
          <w:sz w:val="26"/>
          <w:szCs w:val="26"/>
        </w:rPr>
        <w:t xml:space="preserve"> name changes increase fluency on average, and fluency-improving name changes are associated with </w:t>
      </w:r>
      <w:r w:rsidR="0007169D" w:rsidRPr="005E13B9">
        <w:rPr>
          <w:rFonts w:hint="eastAsia"/>
          <w:kern w:val="0"/>
          <w:sz w:val="26"/>
          <w:szCs w:val="26"/>
        </w:rPr>
        <w:t xml:space="preserve">the </w:t>
      </w:r>
      <w:r w:rsidRPr="005E13B9">
        <w:rPr>
          <w:kern w:val="0"/>
          <w:sz w:val="26"/>
          <w:szCs w:val="26"/>
        </w:rPr>
        <w:t>increases in the breadth of ownership, liquidity, and firm value. Howe (1982) claim</w:t>
      </w:r>
      <w:r w:rsidR="00550A31" w:rsidRPr="005E13B9">
        <w:rPr>
          <w:kern w:val="0"/>
          <w:sz w:val="26"/>
          <w:szCs w:val="26"/>
        </w:rPr>
        <w:t>ed</w:t>
      </w:r>
      <w:r w:rsidRPr="005E13B9">
        <w:rPr>
          <w:kern w:val="0"/>
          <w:sz w:val="26"/>
          <w:szCs w:val="26"/>
        </w:rPr>
        <w:t xml:space="preserve"> that selecting new name </w:t>
      </w:r>
      <w:r w:rsidR="000552E7" w:rsidRPr="005E13B9">
        <w:rPr>
          <w:kern w:val="0"/>
          <w:sz w:val="26"/>
          <w:szCs w:val="26"/>
        </w:rPr>
        <w:t xml:space="preserve">is </w:t>
      </w:r>
      <w:r w:rsidRPr="005E13B9">
        <w:rPr>
          <w:kern w:val="0"/>
          <w:sz w:val="26"/>
          <w:szCs w:val="26"/>
        </w:rPr>
        <w:t>costly, implying that companies place positive value</w:t>
      </w:r>
      <w:r w:rsidR="0007169D" w:rsidRPr="005E13B9">
        <w:rPr>
          <w:rFonts w:hint="eastAsia"/>
          <w:kern w:val="0"/>
          <w:sz w:val="26"/>
          <w:szCs w:val="26"/>
        </w:rPr>
        <w:t>s</w:t>
      </w:r>
      <w:r w:rsidRPr="005E13B9">
        <w:rPr>
          <w:kern w:val="0"/>
          <w:sz w:val="26"/>
          <w:szCs w:val="26"/>
        </w:rPr>
        <w:t xml:space="preserve"> on the choice</w:t>
      </w:r>
      <w:r w:rsidR="0007169D" w:rsidRPr="005E13B9">
        <w:rPr>
          <w:rFonts w:hint="eastAsia"/>
          <w:kern w:val="0"/>
          <w:sz w:val="26"/>
          <w:szCs w:val="26"/>
        </w:rPr>
        <w:t>s</w:t>
      </w:r>
      <w:r w:rsidRPr="005E13B9">
        <w:rPr>
          <w:kern w:val="0"/>
          <w:sz w:val="26"/>
          <w:szCs w:val="26"/>
        </w:rPr>
        <w:t xml:space="preserve"> of "good" name</w:t>
      </w:r>
      <w:r w:rsidR="0007169D" w:rsidRPr="005E13B9">
        <w:rPr>
          <w:rFonts w:hint="eastAsia"/>
          <w:kern w:val="0"/>
          <w:sz w:val="26"/>
          <w:szCs w:val="26"/>
        </w:rPr>
        <w:t>s</w:t>
      </w:r>
      <w:r w:rsidR="000552E7" w:rsidRPr="005E13B9">
        <w:rPr>
          <w:kern w:val="0"/>
          <w:sz w:val="26"/>
          <w:szCs w:val="26"/>
        </w:rPr>
        <w:t>,</w:t>
      </w:r>
      <w:r w:rsidRPr="005E13B9">
        <w:rPr>
          <w:kern w:val="0"/>
          <w:sz w:val="26"/>
          <w:szCs w:val="26"/>
        </w:rPr>
        <w:t xml:space="preserve"> and investors may pay premium</w:t>
      </w:r>
      <w:r w:rsidR="0007169D" w:rsidRPr="005E13B9">
        <w:rPr>
          <w:rFonts w:hint="eastAsia"/>
          <w:kern w:val="0"/>
          <w:sz w:val="26"/>
          <w:szCs w:val="26"/>
        </w:rPr>
        <w:t>s</w:t>
      </w:r>
      <w:r w:rsidRPr="005E13B9">
        <w:rPr>
          <w:kern w:val="0"/>
          <w:sz w:val="26"/>
          <w:szCs w:val="26"/>
        </w:rPr>
        <w:t xml:space="preserve"> for </w:t>
      </w:r>
      <w:r w:rsidR="0007169D" w:rsidRPr="005E13B9">
        <w:rPr>
          <w:rFonts w:hint="eastAsia"/>
          <w:kern w:val="0"/>
          <w:sz w:val="26"/>
          <w:szCs w:val="26"/>
        </w:rPr>
        <w:t xml:space="preserve">the </w:t>
      </w:r>
      <w:r w:rsidRPr="005E13B9">
        <w:rPr>
          <w:kern w:val="0"/>
          <w:sz w:val="26"/>
          <w:szCs w:val="26"/>
        </w:rPr>
        <w:t xml:space="preserve">securities of </w:t>
      </w:r>
      <w:r w:rsidR="0007169D" w:rsidRPr="005E13B9">
        <w:rPr>
          <w:rFonts w:hint="eastAsia"/>
          <w:kern w:val="0"/>
          <w:sz w:val="26"/>
          <w:szCs w:val="26"/>
        </w:rPr>
        <w:t xml:space="preserve">the </w:t>
      </w:r>
      <w:r w:rsidRPr="005E13B9">
        <w:rPr>
          <w:kern w:val="0"/>
          <w:sz w:val="26"/>
          <w:szCs w:val="26"/>
        </w:rPr>
        <w:t xml:space="preserve">companies with carefully selected names. </w:t>
      </w:r>
      <w:r w:rsidRPr="005E13B9">
        <w:rPr>
          <w:iCs/>
          <w:kern w:val="0"/>
          <w:sz w:val="26"/>
          <w:szCs w:val="26"/>
        </w:rPr>
        <w:t>Josev, Chan, and Faff (2004) f</w:t>
      </w:r>
      <w:r w:rsidR="00550A31" w:rsidRPr="005E13B9">
        <w:rPr>
          <w:iCs/>
          <w:kern w:val="0"/>
          <w:sz w:val="26"/>
          <w:szCs w:val="26"/>
        </w:rPr>
        <w:t>ou</w:t>
      </w:r>
      <w:r w:rsidRPr="005E13B9">
        <w:rPr>
          <w:iCs/>
          <w:kern w:val="0"/>
          <w:sz w:val="26"/>
          <w:szCs w:val="26"/>
        </w:rPr>
        <w:t xml:space="preserve">nd some evidence of a negative association between the </w:t>
      </w:r>
      <w:r w:rsidRPr="005E13B9">
        <w:rPr>
          <w:sz w:val="26"/>
          <w:szCs w:val="26"/>
        </w:rPr>
        <w:t>corporate</w:t>
      </w:r>
      <w:r w:rsidRPr="005E13B9">
        <w:rPr>
          <w:iCs/>
          <w:kern w:val="0"/>
          <w:sz w:val="26"/>
          <w:szCs w:val="26"/>
        </w:rPr>
        <w:t xml:space="preserve"> name change event and </w:t>
      </w:r>
      <w:r w:rsidR="000552E7" w:rsidRPr="005E13B9">
        <w:rPr>
          <w:rFonts w:hint="eastAsia"/>
          <w:iCs/>
          <w:kern w:val="0"/>
          <w:sz w:val="26"/>
          <w:szCs w:val="26"/>
        </w:rPr>
        <w:t xml:space="preserve">the </w:t>
      </w:r>
      <w:r w:rsidRPr="005E13B9">
        <w:rPr>
          <w:iCs/>
          <w:kern w:val="0"/>
          <w:sz w:val="26"/>
          <w:szCs w:val="26"/>
        </w:rPr>
        <w:t>abnormal return.</w:t>
      </w:r>
    </w:p>
    <w:p w14:paraId="4A33B86E" w14:textId="7891D8F5" w:rsidR="00562D71" w:rsidRPr="005E13B9" w:rsidRDefault="0013600E" w:rsidP="001C65C7">
      <w:pPr>
        <w:overflowPunct w:val="0"/>
        <w:adjustRightInd w:val="0"/>
        <w:ind w:firstLineChars="200" w:firstLine="520"/>
        <w:jc w:val="both"/>
        <w:outlineLvl w:val="1"/>
        <w:rPr>
          <w:bCs/>
          <w:kern w:val="0"/>
          <w:sz w:val="26"/>
          <w:szCs w:val="26"/>
        </w:rPr>
      </w:pPr>
      <w:r w:rsidRPr="005E13B9">
        <w:rPr>
          <w:bCs/>
          <w:kern w:val="0"/>
          <w:sz w:val="26"/>
          <w:szCs w:val="26"/>
        </w:rPr>
        <w:t>Morris and Reyes (2011) reveal</w:t>
      </w:r>
      <w:r w:rsidR="00550A31" w:rsidRPr="005E13B9">
        <w:rPr>
          <w:bCs/>
          <w:kern w:val="0"/>
          <w:sz w:val="26"/>
          <w:szCs w:val="26"/>
        </w:rPr>
        <w:t>ed</w:t>
      </w:r>
      <w:r w:rsidRPr="005E13B9">
        <w:rPr>
          <w:bCs/>
          <w:kern w:val="0"/>
          <w:sz w:val="26"/>
          <w:szCs w:val="26"/>
        </w:rPr>
        <w:t xml:space="preserve"> that</w:t>
      </w:r>
      <w:r w:rsidR="0007169D" w:rsidRPr="005E13B9">
        <w:rPr>
          <w:rFonts w:hint="eastAsia"/>
          <w:bCs/>
          <w:kern w:val="0"/>
          <w:sz w:val="26"/>
          <w:szCs w:val="26"/>
        </w:rPr>
        <w:t>,</w:t>
      </w:r>
      <w:r w:rsidRPr="005E13B9">
        <w:rPr>
          <w:bCs/>
          <w:kern w:val="0"/>
          <w:sz w:val="26"/>
          <w:szCs w:val="26"/>
        </w:rPr>
        <w:t xml:space="preserve"> despite the tremendous costs involved in corporate name change</w:t>
      </w:r>
      <w:r w:rsidR="0007169D" w:rsidRPr="005E13B9">
        <w:rPr>
          <w:rFonts w:hint="eastAsia"/>
          <w:bCs/>
          <w:kern w:val="0"/>
          <w:sz w:val="26"/>
          <w:szCs w:val="26"/>
        </w:rPr>
        <w:t>s</w:t>
      </w:r>
      <w:r w:rsidRPr="005E13B9">
        <w:rPr>
          <w:bCs/>
          <w:kern w:val="0"/>
          <w:sz w:val="26"/>
          <w:szCs w:val="26"/>
        </w:rPr>
        <w:t xml:space="preserve">, many corporations change names when pursuing a new strategic direction. Muzellec and Lambkin (2006) </w:t>
      </w:r>
      <w:r w:rsidR="0007169D" w:rsidRPr="005E13B9">
        <w:rPr>
          <w:rFonts w:hint="eastAsia"/>
          <w:bCs/>
          <w:kern w:val="0"/>
          <w:sz w:val="26"/>
          <w:szCs w:val="26"/>
        </w:rPr>
        <w:t>argue</w:t>
      </w:r>
      <w:r w:rsidR="00550A31" w:rsidRPr="005E13B9">
        <w:rPr>
          <w:bCs/>
          <w:kern w:val="0"/>
          <w:sz w:val="26"/>
          <w:szCs w:val="26"/>
        </w:rPr>
        <w:t>d</w:t>
      </w:r>
      <w:r w:rsidRPr="005E13B9">
        <w:rPr>
          <w:bCs/>
          <w:kern w:val="0"/>
          <w:sz w:val="26"/>
          <w:szCs w:val="26"/>
        </w:rPr>
        <w:t xml:space="preserve"> that </w:t>
      </w:r>
      <w:r w:rsidR="0007169D" w:rsidRPr="005E13B9">
        <w:rPr>
          <w:rFonts w:hint="eastAsia"/>
          <w:bCs/>
          <w:kern w:val="0"/>
          <w:sz w:val="26"/>
          <w:szCs w:val="26"/>
        </w:rPr>
        <w:t>the</w:t>
      </w:r>
      <w:r w:rsidRPr="005E13B9">
        <w:rPr>
          <w:bCs/>
          <w:kern w:val="0"/>
          <w:sz w:val="26"/>
          <w:szCs w:val="26"/>
        </w:rPr>
        <w:t xml:space="preserve"> decision to rebrand </w:t>
      </w:r>
      <w:r w:rsidRPr="005E13B9">
        <w:rPr>
          <w:bCs/>
          <w:noProof/>
          <w:kern w:val="0"/>
          <w:sz w:val="26"/>
          <w:szCs w:val="26"/>
        </w:rPr>
        <w:t>is often provoked</w:t>
      </w:r>
      <w:r w:rsidRPr="005E13B9">
        <w:rPr>
          <w:bCs/>
          <w:kern w:val="0"/>
          <w:sz w:val="26"/>
          <w:szCs w:val="26"/>
        </w:rPr>
        <w:t xml:space="preserve"> by structural changes, particularly </w:t>
      </w:r>
      <w:r w:rsidR="0007169D" w:rsidRPr="005E13B9">
        <w:rPr>
          <w:rFonts w:hint="eastAsia"/>
          <w:bCs/>
          <w:kern w:val="0"/>
          <w:sz w:val="26"/>
          <w:szCs w:val="26"/>
        </w:rPr>
        <w:t xml:space="preserve">for </w:t>
      </w:r>
      <w:r w:rsidRPr="005E13B9">
        <w:rPr>
          <w:bCs/>
          <w:kern w:val="0"/>
          <w:sz w:val="26"/>
          <w:szCs w:val="26"/>
        </w:rPr>
        <w:t xml:space="preserve">mergers and acquisitions, which have </w:t>
      </w:r>
      <w:r w:rsidR="000552E7" w:rsidRPr="005E13B9">
        <w:rPr>
          <w:bCs/>
          <w:noProof/>
          <w:kern w:val="0"/>
          <w:sz w:val="26"/>
          <w:szCs w:val="26"/>
        </w:rPr>
        <w:t>major</w:t>
      </w:r>
      <w:r w:rsidR="000552E7" w:rsidRPr="005E13B9">
        <w:rPr>
          <w:bCs/>
          <w:kern w:val="0"/>
          <w:sz w:val="26"/>
          <w:szCs w:val="26"/>
        </w:rPr>
        <w:t xml:space="preserve"> </w:t>
      </w:r>
      <w:r w:rsidRPr="005E13B9">
        <w:rPr>
          <w:bCs/>
          <w:kern w:val="0"/>
          <w:sz w:val="26"/>
          <w:szCs w:val="26"/>
        </w:rPr>
        <w:t>effect</w:t>
      </w:r>
      <w:r w:rsidR="0007169D" w:rsidRPr="005E13B9">
        <w:rPr>
          <w:rFonts w:hint="eastAsia"/>
          <w:bCs/>
          <w:kern w:val="0"/>
          <w:sz w:val="26"/>
          <w:szCs w:val="26"/>
        </w:rPr>
        <w:t>s</w:t>
      </w:r>
      <w:r w:rsidRPr="005E13B9">
        <w:rPr>
          <w:bCs/>
          <w:kern w:val="0"/>
          <w:sz w:val="26"/>
          <w:szCs w:val="26"/>
        </w:rPr>
        <w:t xml:space="preserve"> on the corporation's identity and core strategy. Schmeltz and Kjeldsen (2016) </w:t>
      </w:r>
      <w:r w:rsidR="0007169D" w:rsidRPr="005E13B9">
        <w:rPr>
          <w:rFonts w:hint="eastAsia"/>
          <w:bCs/>
          <w:kern w:val="0"/>
          <w:sz w:val="26"/>
          <w:szCs w:val="26"/>
        </w:rPr>
        <w:t>f</w:t>
      </w:r>
      <w:r w:rsidR="00550A31" w:rsidRPr="005E13B9">
        <w:rPr>
          <w:bCs/>
          <w:kern w:val="0"/>
          <w:sz w:val="26"/>
          <w:szCs w:val="26"/>
        </w:rPr>
        <w:t>ou</w:t>
      </w:r>
      <w:r w:rsidR="0007169D" w:rsidRPr="005E13B9">
        <w:rPr>
          <w:rFonts w:hint="eastAsia"/>
          <w:bCs/>
          <w:kern w:val="0"/>
          <w:sz w:val="26"/>
          <w:szCs w:val="26"/>
        </w:rPr>
        <w:t>nd</w:t>
      </w:r>
      <w:r w:rsidRPr="005E13B9">
        <w:rPr>
          <w:bCs/>
          <w:kern w:val="0"/>
          <w:sz w:val="26"/>
          <w:szCs w:val="26"/>
        </w:rPr>
        <w:t xml:space="preserve"> that, from a corporate branding perspective, the choice of a new name can be seen as a wish to stand out from a group of similar organizations. Conversely, from an institutional perspective, the name change can be perceived as a way to claim membership </w:t>
      </w:r>
      <w:r w:rsidR="000552E7" w:rsidRPr="005E13B9">
        <w:rPr>
          <w:bCs/>
          <w:kern w:val="0"/>
          <w:sz w:val="26"/>
          <w:szCs w:val="26"/>
        </w:rPr>
        <w:t xml:space="preserve">in </w:t>
      </w:r>
      <w:r w:rsidRPr="005E13B9">
        <w:rPr>
          <w:bCs/>
          <w:kern w:val="0"/>
          <w:sz w:val="26"/>
          <w:szCs w:val="26"/>
        </w:rPr>
        <w:t>a given organizational field. Wu (2010) point</w:t>
      </w:r>
      <w:r w:rsidR="00550A31" w:rsidRPr="005E13B9">
        <w:rPr>
          <w:bCs/>
          <w:kern w:val="0"/>
          <w:sz w:val="26"/>
          <w:szCs w:val="26"/>
        </w:rPr>
        <w:t>ed</w:t>
      </w:r>
      <w:r w:rsidRPr="005E13B9">
        <w:rPr>
          <w:bCs/>
          <w:kern w:val="0"/>
          <w:sz w:val="26"/>
          <w:szCs w:val="26"/>
        </w:rPr>
        <w:t xml:space="preserve"> out that a firm adopts </w:t>
      </w:r>
      <w:r w:rsidR="0007169D" w:rsidRPr="005E13B9">
        <w:rPr>
          <w:rFonts w:hint="eastAsia"/>
          <w:bCs/>
          <w:kern w:val="0"/>
          <w:sz w:val="26"/>
          <w:szCs w:val="26"/>
        </w:rPr>
        <w:t xml:space="preserve">either </w:t>
      </w:r>
      <w:r w:rsidRPr="005E13B9">
        <w:rPr>
          <w:bCs/>
          <w:kern w:val="0"/>
          <w:sz w:val="26"/>
          <w:szCs w:val="26"/>
        </w:rPr>
        <w:t>a radically different name to disass</w:t>
      </w:r>
      <w:r w:rsidR="0007169D" w:rsidRPr="005E13B9">
        <w:rPr>
          <w:bCs/>
          <w:kern w:val="0"/>
          <w:sz w:val="26"/>
          <w:szCs w:val="26"/>
        </w:rPr>
        <w:t xml:space="preserve">ociate from a poor reputation </w:t>
      </w:r>
      <w:r w:rsidRPr="005E13B9">
        <w:rPr>
          <w:bCs/>
          <w:kern w:val="0"/>
          <w:sz w:val="26"/>
          <w:szCs w:val="26"/>
        </w:rPr>
        <w:t xml:space="preserve">to a good </w:t>
      </w:r>
      <w:r w:rsidR="0007169D" w:rsidRPr="005E13B9">
        <w:rPr>
          <w:rFonts w:hint="eastAsia"/>
          <w:bCs/>
          <w:kern w:val="0"/>
          <w:sz w:val="26"/>
          <w:szCs w:val="26"/>
        </w:rPr>
        <w:t>one</w:t>
      </w:r>
      <w:r w:rsidRPr="005E13B9">
        <w:rPr>
          <w:bCs/>
          <w:kern w:val="0"/>
          <w:sz w:val="26"/>
          <w:szCs w:val="26"/>
        </w:rPr>
        <w:t xml:space="preserve"> or a minor change by adding or deleting a part </w:t>
      </w:r>
      <w:r w:rsidR="0007169D" w:rsidRPr="005E13B9">
        <w:rPr>
          <w:rFonts w:hint="eastAsia"/>
          <w:bCs/>
          <w:kern w:val="0"/>
          <w:sz w:val="26"/>
          <w:szCs w:val="26"/>
        </w:rPr>
        <w:t>in</w:t>
      </w:r>
      <w:r w:rsidRPr="005E13B9">
        <w:rPr>
          <w:bCs/>
          <w:kern w:val="0"/>
          <w:sz w:val="26"/>
          <w:szCs w:val="26"/>
        </w:rPr>
        <w:t xml:space="preserve"> its name that identifies it with a particular product to accompany a narrower or a broader business focus.</w:t>
      </w:r>
    </w:p>
    <w:p w14:paraId="3D3732BF" w14:textId="5352F1C4" w:rsidR="00562D71" w:rsidRPr="005E13B9" w:rsidRDefault="0013600E" w:rsidP="001C65C7">
      <w:pPr>
        <w:overflowPunct w:val="0"/>
        <w:adjustRightInd w:val="0"/>
        <w:ind w:firstLineChars="200" w:firstLine="520"/>
        <w:jc w:val="both"/>
        <w:outlineLvl w:val="1"/>
        <w:rPr>
          <w:bCs/>
          <w:kern w:val="0"/>
          <w:sz w:val="26"/>
          <w:szCs w:val="26"/>
        </w:rPr>
      </w:pPr>
      <w:r w:rsidRPr="005E13B9">
        <w:rPr>
          <w:bCs/>
          <w:kern w:val="0"/>
          <w:sz w:val="26"/>
          <w:szCs w:val="26"/>
        </w:rPr>
        <w:t xml:space="preserve">As for the effect of the </w:t>
      </w:r>
      <w:r w:rsidR="00572EF8" w:rsidRPr="005E13B9">
        <w:rPr>
          <w:bCs/>
          <w:kern w:val="0"/>
          <w:sz w:val="26"/>
          <w:szCs w:val="26"/>
        </w:rPr>
        <w:t xml:space="preserve">corporate </w:t>
      </w:r>
      <w:r w:rsidR="00572EF8" w:rsidRPr="005E13B9">
        <w:rPr>
          <w:rFonts w:hint="eastAsia"/>
          <w:bCs/>
          <w:kern w:val="0"/>
          <w:sz w:val="26"/>
          <w:szCs w:val="26"/>
        </w:rPr>
        <w:t>n</w:t>
      </w:r>
      <w:r w:rsidR="00572EF8" w:rsidRPr="005E13B9">
        <w:rPr>
          <w:bCs/>
          <w:kern w:val="0"/>
          <w:sz w:val="26"/>
          <w:szCs w:val="26"/>
        </w:rPr>
        <w:t>ame</w:t>
      </w:r>
      <w:r w:rsidR="00572EF8" w:rsidRPr="005E13B9">
        <w:rPr>
          <w:rFonts w:hint="eastAsia"/>
          <w:bCs/>
          <w:kern w:val="0"/>
          <w:sz w:val="26"/>
          <w:szCs w:val="26"/>
        </w:rPr>
        <w:t xml:space="preserve"> </w:t>
      </w:r>
      <w:r w:rsidRPr="005E13B9">
        <w:rPr>
          <w:bCs/>
          <w:kern w:val="0"/>
          <w:sz w:val="26"/>
          <w:szCs w:val="26"/>
        </w:rPr>
        <w:t>change, Kot (2011) f</w:t>
      </w:r>
      <w:r w:rsidR="00550A31" w:rsidRPr="005E13B9">
        <w:rPr>
          <w:bCs/>
          <w:kern w:val="0"/>
          <w:sz w:val="26"/>
          <w:szCs w:val="26"/>
        </w:rPr>
        <w:t>ou</w:t>
      </w:r>
      <w:r w:rsidRPr="005E13B9">
        <w:rPr>
          <w:bCs/>
          <w:kern w:val="0"/>
          <w:sz w:val="26"/>
          <w:szCs w:val="26"/>
        </w:rPr>
        <w:t>nd that name changes have short-term stock price effects but no long-term relationship with stock price or operating performance. Bosch and Hirschey (1989) demonstrate</w:t>
      </w:r>
      <w:r w:rsidR="00550A31" w:rsidRPr="005E13B9">
        <w:rPr>
          <w:bCs/>
          <w:kern w:val="0"/>
          <w:sz w:val="26"/>
          <w:szCs w:val="26"/>
        </w:rPr>
        <w:t>d</w:t>
      </w:r>
      <w:r w:rsidRPr="005E13B9">
        <w:rPr>
          <w:bCs/>
          <w:kern w:val="0"/>
          <w:sz w:val="26"/>
          <w:szCs w:val="26"/>
        </w:rPr>
        <w:t xml:space="preserve"> a positive stock-price reaction to name change announcements by firms </w:t>
      </w:r>
      <w:r w:rsidR="000552E7" w:rsidRPr="005E13B9">
        <w:rPr>
          <w:bCs/>
          <w:kern w:val="0"/>
          <w:sz w:val="26"/>
          <w:szCs w:val="26"/>
        </w:rPr>
        <w:t xml:space="preserve">that </w:t>
      </w:r>
      <w:r w:rsidRPr="005E13B9">
        <w:rPr>
          <w:bCs/>
          <w:kern w:val="0"/>
          <w:sz w:val="26"/>
          <w:szCs w:val="26"/>
        </w:rPr>
        <w:t>have undergone major corporate restructuring</w:t>
      </w:r>
      <w:r w:rsidR="00867BDA" w:rsidRPr="005E13B9">
        <w:rPr>
          <w:bCs/>
          <w:kern w:val="0"/>
          <w:sz w:val="26"/>
          <w:szCs w:val="26"/>
        </w:rPr>
        <w:t xml:space="preserve"> recently</w:t>
      </w:r>
      <w:r w:rsidRPr="005E13B9">
        <w:rPr>
          <w:bCs/>
          <w:kern w:val="0"/>
          <w:sz w:val="26"/>
          <w:szCs w:val="26"/>
        </w:rPr>
        <w:t>. However, these effects are largely canceled in the post-announcement period. Thus, the valuation effects of name changes are only modest and transitory. Karbhari, Muhamad Sori, and Mohamad (2004) claim</w:t>
      </w:r>
      <w:r w:rsidR="00550A31" w:rsidRPr="005E13B9">
        <w:rPr>
          <w:bCs/>
          <w:kern w:val="0"/>
          <w:sz w:val="26"/>
          <w:szCs w:val="26"/>
        </w:rPr>
        <w:t>ed</w:t>
      </w:r>
      <w:r w:rsidRPr="005E13B9">
        <w:rPr>
          <w:bCs/>
          <w:kern w:val="0"/>
          <w:sz w:val="26"/>
          <w:szCs w:val="26"/>
        </w:rPr>
        <w:t xml:space="preserve"> that corporate name changes have no impact on shareholder wealth unless the </w:t>
      </w:r>
      <w:r w:rsidR="000552E7" w:rsidRPr="005E13B9">
        <w:rPr>
          <w:bCs/>
          <w:kern w:val="0"/>
          <w:sz w:val="26"/>
          <w:szCs w:val="26"/>
        </w:rPr>
        <w:t>news of approved corporate restructuring accompanies the announcement</w:t>
      </w:r>
      <w:r w:rsidRPr="005E13B9">
        <w:rPr>
          <w:bCs/>
          <w:kern w:val="0"/>
          <w:sz w:val="26"/>
          <w:szCs w:val="26"/>
        </w:rPr>
        <w:t>. Karpoff and Rankine (1994) f</w:t>
      </w:r>
      <w:r w:rsidR="00550A31" w:rsidRPr="005E13B9">
        <w:rPr>
          <w:bCs/>
          <w:kern w:val="0"/>
          <w:sz w:val="26"/>
          <w:szCs w:val="26"/>
        </w:rPr>
        <w:t>ou</w:t>
      </w:r>
      <w:r w:rsidRPr="005E13B9">
        <w:rPr>
          <w:bCs/>
          <w:kern w:val="0"/>
          <w:sz w:val="26"/>
          <w:szCs w:val="26"/>
        </w:rPr>
        <w:t xml:space="preserve">nd that </w:t>
      </w:r>
      <w:r w:rsidR="0018696A" w:rsidRPr="005E13B9">
        <w:rPr>
          <w:rFonts w:hint="eastAsia"/>
          <w:bCs/>
          <w:kern w:val="0"/>
          <w:sz w:val="26"/>
          <w:szCs w:val="26"/>
        </w:rPr>
        <w:t xml:space="preserve">the </w:t>
      </w:r>
      <w:r w:rsidRPr="005E13B9">
        <w:rPr>
          <w:bCs/>
          <w:kern w:val="0"/>
          <w:sz w:val="26"/>
          <w:szCs w:val="26"/>
        </w:rPr>
        <w:t xml:space="preserve">positive stock price reaction to the announcement of a name </w:t>
      </w:r>
      <w:r w:rsidRPr="005E13B9">
        <w:rPr>
          <w:bCs/>
          <w:kern w:val="0"/>
          <w:sz w:val="26"/>
          <w:szCs w:val="26"/>
        </w:rPr>
        <w:lastRenderedPageBreak/>
        <w:t xml:space="preserve">change is weak and sensitive to sample selection. </w:t>
      </w:r>
      <w:r w:rsidR="00867BDA" w:rsidRPr="005E13B9">
        <w:rPr>
          <w:bCs/>
          <w:kern w:val="0"/>
          <w:sz w:val="26"/>
          <w:szCs w:val="26"/>
        </w:rPr>
        <w:t>I</w:t>
      </w:r>
      <w:r w:rsidR="00867BDA" w:rsidRPr="005E13B9">
        <w:rPr>
          <w:rFonts w:hint="eastAsia"/>
          <w:bCs/>
          <w:kern w:val="0"/>
          <w:sz w:val="26"/>
          <w:szCs w:val="26"/>
        </w:rPr>
        <w:t xml:space="preserve">n general, </w:t>
      </w:r>
      <w:r w:rsidR="00550A31" w:rsidRPr="005E13B9">
        <w:rPr>
          <w:bCs/>
          <w:kern w:val="0"/>
          <w:sz w:val="26"/>
          <w:szCs w:val="26"/>
        </w:rPr>
        <w:t xml:space="preserve">the </w:t>
      </w:r>
      <w:r w:rsidR="00867BDA" w:rsidRPr="005E13B9">
        <w:rPr>
          <w:rFonts w:hint="eastAsia"/>
          <w:bCs/>
          <w:kern w:val="0"/>
          <w:sz w:val="26"/>
          <w:szCs w:val="26"/>
        </w:rPr>
        <w:t>c</w:t>
      </w:r>
      <w:r w:rsidRPr="005E13B9">
        <w:rPr>
          <w:bCs/>
          <w:kern w:val="0"/>
          <w:sz w:val="26"/>
          <w:szCs w:val="26"/>
        </w:rPr>
        <w:t>orporate name ch</w:t>
      </w:r>
      <w:r w:rsidR="00867BDA" w:rsidRPr="005E13B9">
        <w:rPr>
          <w:bCs/>
          <w:kern w:val="0"/>
          <w:sz w:val="26"/>
          <w:szCs w:val="26"/>
        </w:rPr>
        <w:t>anges may serve useful purposes</w:t>
      </w:r>
      <w:r w:rsidRPr="005E13B9">
        <w:rPr>
          <w:bCs/>
          <w:kern w:val="0"/>
          <w:sz w:val="26"/>
          <w:szCs w:val="26"/>
        </w:rPr>
        <w:t xml:space="preserve"> </w:t>
      </w:r>
      <w:r w:rsidR="0018696A" w:rsidRPr="005E13B9">
        <w:rPr>
          <w:rFonts w:hint="eastAsia"/>
          <w:bCs/>
          <w:kern w:val="0"/>
          <w:sz w:val="26"/>
          <w:szCs w:val="26"/>
        </w:rPr>
        <w:t>which</w:t>
      </w:r>
      <w:r w:rsidRPr="005E13B9">
        <w:rPr>
          <w:bCs/>
          <w:kern w:val="0"/>
          <w:sz w:val="26"/>
          <w:szCs w:val="26"/>
        </w:rPr>
        <w:t xml:space="preserve"> have small valuation effects or tend to be anticipated by investors. Rani and Asija (2017) reveal</w:t>
      </w:r>
      <w:r w:rsidR="00550A31" w:rsidRPr="005E13B9">
        <w:rPr>
          <w:bCs/>
          <w:kern w:val="0"/>
          <w:sz w:val="26"/>
          <w:szCs w:val="26"/>
        </w:rPr>
        <w:t>ed</w:t>
      </w:r>
      <w:r w:rsidRPr="005E13B9">
        <w:rPr>
          <w:bCs/>
          <w:kern w:val="0"/>
          <w:sz w:val="26"/>
          <w:szCs w:val="26"/>
        </w:rPr>
        <w:t xml:space="preserve"> </w:t>
      </w:r>
      <w:r w:rsidR="00867BDA" w:rsidRPr="005E13B9">
        <w:rPr>
          <w:rFonts w:hint="eastAsia"/>
          <w:bCs/>
          <w:kern w:val="0"/>
          <w:sz w:val="26"/>
          <w:szCs w:val="26"/>
        </w:rPr>
        <w:t>a</w:t>
      </w:r>
      <w:r w:rsidRPr="005E13B9">
        <w:rPr>
          <w:bCs/>
          <w:kern w:val="0"/>
          <w:sz w:val="26"/>
          <w:szCs w:val="26"/>
        </w:rPr>
        <w:t xml:space="preserve"> positive and significant average abnormal return around the announcement date</w:t>
      </w:r>
      <w:r w:rsidR="00867BDA" w:rsidRPr="005E13B9">
        <w:rPr>
          <w:rFonts w:hint="eastAsia"/>
          <w:bCs/>
          <w:kern w:val="0"/>
          <w:sz w:val="26"/>
          <w:szCs w:val="26"/>
        </w:rPr>
        <w:t xml:space="preserve"> of </w:t>
      </w:r>
      <w:r w:rsidR="00867BDA" w:rsidRPr="005E13B9">
        <w:rPr>
          <w:bCs/>
          <w:kern w:val="0"/>
          <w:sz w:val="26"/>
          <w:szCs w:val="26"/>
        </w:rPr>
        <w:t>name change</w:t>
      </w:r>
      <w:r w:rsidRPr="005E13B9">
        <w:rPr>
          <w:bCs/>
          <w:kern w:val="0"/>
          <w:sz w:val="26"/>
          <w:szCs w:val="26"/>
        </w:rPr>
        <w:t xml:space="preserve">. </w:t>
      </w:r>
      <w:r w:rsidR="0018696A" w:rsidRPr="005E13B9">
        <w:rPr>
          <w:bCs/>
          <w:kern w:val="0"/>
          <w:sz w:val="26"/>
          <w:szCs w:val="26"/>
        </w:rPr>
        <w:t>I</w:t>
      </w:r>
      <w:r w:rsidR="0018696A" w:rsidRPr="005E13B9">
        <w:rPr>
          <w:rFonts w:hint="eastAsia"/>
          <w:bCs/>
          <w:kern w:val="0"/>
          <w:sz w:val="26"/>
          <w:szCs w:val="26"/>
        </w:rPr>
        <w:t>n addition, a</w:t>
      </w:r>
      <w:r w:rsidRPr="005E13B9">
        <w:rPr>
          <w:bCs/>
          <w:kern w:val="0"/>
          <w:sz w:val="26"/>
          <w:szCs w:val="26"/>
        </w:rPr>
        <w:t>n increase in cumulative average abnormal return</w:t>
      </w:r>
      <w:r w:rsidR="00B23424" w:rsidRPr="005E13B9">
        <w:rPr>
          <w:bCs/>
          <w:kern w:val="0"/>
          <w:sz w:val="26"/>
          <w:szCs w:val="26"/>
        </w:rPr>
        <w:t xml:space="preserve"> a</w:t>
      </w:r>
      <w:r w:rsidRPr="005E13B9">
        <w:rPr>
          <w:bCs/>
          <w:kern w:val="0"/>
          <w:sz w:val="26"/>
          <w:szCs w:val="26"/>
        </w:rPr>
        <w:t xml:space="preserve"> </w:t>
      </w:r>
      <w:r w:rsidRPr="005E13B9">
        <w:rPr>
          <w:bCs/>
          <w:noProof/>
          <w:kern w:val="0"/>
          <w:sz w:val="26"/>
          <w:szCs w:val="26"/>
        </w:rPr>
        <w:t>few</w:t>
      </w:r>
      <w:r w:rsidRPr="005E13B9">
        <w:rPr>
          <w:bCs/>
          <w:kern w:val="0"/>
          <w:sz w:val="26"/>
          <w:szCs w:val="26"/>
        </w:rPr>
        <w:t xml:space="preserve"> days before the announcement date has also been observed. </w:t>
      </w:r>
      <w:r w:rsidR="0018696A" w:rsidRPr="005E13B9">
        <w:rPr>
          <w:bCs/>
          <w:kern w:val="0"/>
          <w:sz w:val="26"/>
          <w:szCs w:val="26"/>
        </w:rPr>
        <w:t>H</w:t>
      </w:r>
      <w:r w:rsidR="0018696A" w:rsidRPr="005E13B9">
        <w:rPr>
          <w:rFonts w:hint="eastAsia"/>
          <w:bCs/>
          <w:kern w:val="0"/>
          <w:sz w:val="26"/>
          <w:szCs w:val="26"/>
        </w:rPr>
        <w:t>owever, t</w:t>
      </w:r>
      <w:r w:rsidRPr="005E13B9">
        <w:rPr>
          <w:bCs/>
          <w:kern w:val="0"/>
          <w:sz w:val="26"/>
          <w:szCs w:val="26"/>
        </w:rPr>
        <w:t xml:space="preserve">he announcement of the new name change does not have positive </w:t>
      </w:r>
      <w:r w:rsidR="00001174" w:rsidRPr="005E13B9">
        <w:rPr>
          <w:bCs/>
          <w:kern w:val="0"/>
          <w:sz w:val="26"/>
          <w:szCs w:val="26"/>
        </w:rPr>
        <w:t>signalling</w:t>
      </w:r>
      <w:r w:rsidRPr="005E13B9">
        <w:rPr>
          <w:bCs/>
          <w:kern w:val="0"/>
          <w:sz w:val="26"/>
          <w:szCs w:val="26"/>
        </w:rPr>
        <w:t xml:space="preserve"> effects.</w:t>
      </w:r>
    </w:p>
    <w:p w14:paraId="09A29A9D" w14:textId="77777777" w:rsidR="00EE7CC9" w:rsidRPr="005E13B9" w:rsidRDefault="00EE7CC9" w:rsidP="001C65C7">
      <w:pPr>
        <w:overflowPunct w:val="0"/>
        <w:adjustRightInd w:val="0"/>
        <w:ind w:firstLine="420"/>
        <w:jc w:val="both"/>
        <w:outlineLvl w:val="1"/>
        <w:rPr>
          <w:bCs/>
          <w:kern w:val="0"/>
          <w:sz w:val="26"/>
          <w:szCs w:val="26"/>
        </w:rPr>
      </w:pPr>
    </w:p>
    <w:p w14:paraId="3E12289D" w14:textId="77777777" w:rsidR="00EE7CC9" w:rsidRPr="005E13B9" w:rsidRDefault="00EE7CC9" w:rsidP="001C65C7">
      <w:pPr>
        <w:overflowPunct w:val="0"/>
        <w:adjustRightInd w:val="0"/>
        <w:jc w:val="both"/>
        <w:rPr>
          <w:rFonts w:eastAsia="標楷體"/>
          <w:b/>
          <w:sz w:val="26"/>
          <w:szCs w:val="26"/>
        </w:rPr>
      </w:pPr>
      <w:r w:rsidRPr="005E13B9">
        <w:rPr>
          <w:rFonts w:eastAsia="標楷體"/>
          <w:b/>
          <w:sz w:val="26"/>
          <w:szCs w:val="26"/>
        </w:rPr>
        <w:t>Corporate Name or Industry Category Change</w:t>
      </w:r>
      <w:r w:rsidRPr="005E13B9">
        <w:rPr>
          <w:rFonts w:eastAsia="標楷體" w:hint="eastAsia"/>
          <w:b/>
          <w:sz w:val="26"/>
          <w:szCs w:val="26"/>
        </w:rPr>
        <w:t xml:space="preserve"> and Financial Markets</w:t>
      </w:r>
    </w:p>
    <w:p w14:paraId="59ACF5FC" w14:textId="77777777" w:rsidR="00560A99" w:rsidRPr="005E13B9" w:rsidRDefault="00FB0D63" w:rsidP="001C65C7">
      <w:pPr>
        <w:overflowPunct w:val="0"/>
        <w:adjustRightInd w:val="0"/>
        <w:ind w:firstLineChars="200" w:firstLine="520"/>
        <w:jc w:val="both"/>
        <w:outlineLvl w:val="1"/>
        <w:rPr>
          <w:bCs/>
          <w:kern w:val="0"/>
          <w:sz w:val="26"/>
          <w:szCs w:val="26"/>
        </w:rPr>
      </w:pPr>
      <w:r w:rsidRPr="005E13B9">
        <w:rPr>
          <w:bCs/>
          <w:kern w:val="0"/>
          <w:sz w:val="26"/>
          <w:szCs w:val="26"/>
        </w:rPr>
        <w:t>I</w:t>
      </w:r>
      <w:r w:rsidRPr="005E13B9">
        <w:rPr>
          <w:rFonts w:hint="eastAsia"/>
          <w:bCs/>
          <w:kern w:val="0"/>
          <w:sz w:val="26"/>
          <w:szCs w:val="26"/>
        </w:rPr>
        <w:t xml:space="preserve">n general, the ultimate </w:t>
      </w:r>
      <w:r w:rsidRPr="005E13B9">
        <w:rPr>
          <w:bCs/>
          <w:kern w:val="0"/>
          <w:sz w:val="26"/>
          <w:szCs w:val="26"/>
        </w:rPr>
        <w:t>goal</w:t>
      </w:r>
      <w:r w:rsidRPr="005E13B9">
        <w:rPr>
          <w:rFonts w:hint="eastAsia"/>
          <w:bCs/>
          <w:kern w:val="0"/>
          <w:sz w:val="26"/>
          <w:szCs w:val="26"/>
        </w:rPr>
        <w:t xml:space="preserve"> of c</w:t>
      </w:r>
      <w:r w:rsidRPr="005E13B9">
        <w:rPr>
          <w:bCs/>
          <w:kern w:val="0"/>
          <w:sz w:val="26"/>
          <w:szCs w:val="26"/>
        </w:rPr>
        <w:t xml:space="preserve">orporate </w:t>
      </w:r>
      <w:r w:rsidRPr="005E13B9">
        <w:rPr>
          <w:rFonts w:hint="eastAsia"/>
          <w:bCs/>
          <w:kern w:val="0"/>
          <w:sz w:val="26"/>
          <w:szCs w:val="26"/>
        </w:rPr>
        <w:t>n</w:t>
      </w:r>
      <w:r w:rsidRPr="005E13B9">
        <w:rPr>
          <w:bCs/>
          <w:kern w:val="0"/>
          <w:sz w:val="26"/>
          <w:szCs w:val="26"/>
        </w:rPr>
        <w:t>ame</w:t>
      </w:r>
      <w:r w:rsidRPr="005E13B9">
        <w:t xml:space="preserve"> </w:t>
      </w:r>
      <w:r w:rsidRPr="005E13B9">
        <w:rPr>
          <w:rFonts w:hint="eastAsia"/>
          <w:bCs/>
          <w:kern w:val="0"/>
          <w:sz w:val="26"/>
          <w:szCs w:val="26"/>
        </w:rPr>
        <w:t>c</w:t>
      </w:r>
      <w:r w:rsidRPr="005E13B9">
        <w:rPr>
          <w:bCs/>
          <w:kern w:val="0"/>
          <w:sz w:val="26"/>
          <w:szCs w:val="26"/>
        </w:rPr>
        <w:t>hange</w:t>
      </w:r>
      <w:r w:rsidRPr="005E13B9">
        <w:rPr>
          <w:rFonts w:hint="eastAsia"/>
          <w:bCs/>
          <w:kern w:val="0"/>
          <w:sz w:val="26"/>
          <w:szCs w:val="26"/>
        </w:rPr>
        <w:t xml:space="preserve"> is to increase the </w:t>
      </w:r>
      <w:r w:rsidR="007A497B" w:rsidRPr="005E13B9">
        <w:rPr>
          <w:rFonts w:hint="eastAsia"/>
          <w:bCs/>
          <w:kern w:val="0"/>
          <w:sz w:val="26"/>
          <w:szCs w:val="26"/>
        </w:rPr>
        <w:t>financial</w:t>
      </w:r>
      <w:r w:rsidRPr="005E13B9">
        <w:rPr>
          <w:rFonts w:hint="eastAsia"/>
          <w:bCs/>
          <w:kern w:val="0"/>
          <w:sz w:val="26"/>
          <w:szCs w:val="26"/>
        </w:rPr>
        <w:t xml:space="preserve"> performance of the firm. </w:t>
      </w:r>
      <w:r w:rsidR="007A497B" w:rsidRPr="005E13B9">
        <w:rPr>
          <w:bCs/>
          <w:kern w:val="0"/>
          <w:sz w:val="26"/>
          <w:szCs w:val="26"/>
        </w:rPr>
        <w:t>W</w:t>
      </w:r>
      <w:r w:rsidR="007A497B" w:rsidRPr="005E13B9">
        <w:rPr>
          <w:rFonts w:hint="eastAsia"/>
          <w:bCs/>
          <w:kern w:val="0"/>
          <w:sz w:val="26"/>
          <w:szCs w:val="26"/>
        </w:rPr>
        <w:t xml:space="preserve">ith the usage of the data reported by the Dow Jones News Service, </w:t>
      </w:r>
      <w:r w:rsidR="0020437E" w:rsidRPr="005E13B9">
        <w:rPr>
          <w:bCs/>
          <w:kern w:val="0"/>
          <w:sz w:val="26"/>
          <w:szCs w:val="26"/>
        </w:rPr>
        <w:t>Horsky</w:t>
      </w:r>
      <w:r w:rsidR="0020437E" w:rsidRPr="005E13B9">
        <w:rPr>
          <w:rFonts w:hint="eastAsia"/>
          <w:bCs/>
          <w:kern w:val="0"/>
          <w:sz w:val="26"/>
          <w:szCs w:val="26"/>
        </w:rPr>
        <w:t xml:space="preserve"> and</w:t>
      </w:r>
      <w:r w:rsidR="0020437E" w:rsidRPr="005E13B9">
        <w:rPr>
          <w:bCs/>
          <w:kern w:val="0"/>
          <w:sz w:val="26"/>
          <w:szCs w:val="26"/>
        </w:rPr>
        <w:t xml:space="preserve"> Swyngedouw</w:t>
      </w:r>
      <w:r w:rsidR="0020437E" w:rsidRPr="005E13B9">
        <w:rPr>
          <w:rFonts w:hint="eastAsia"/>
          <w:bCs/>
          <w:kern w:val="0"/>
          <w:sz w:val="26"/>
          <w:szCs w:val="26"/>
        </w:rPr>
        <w:t xml:space="preserve"> </w:t>
      </w:r>
      <w:r w:rsidR="0020437E" w:rsidRPr="005E13B9">
        <w:rPr>
          <w:bCs/>
          <w:kern w:val="0"/>
          <w:sz w:val="26"/>
          <w:szCs w:val="26"/>
        </w:rPr>
        <w:t>(1987)</w:t>
      </w:r>
      <w:r w:rsidR="0020437E" w:rsidRPr="005E13B9">
        <w:rPr>
          <w:rFonts w:hint="eastAsia"/>
          <w:bCs/>
          <w:kern w:val="0"/>
          <w:sz w:val="26"/>
          <w:szCs w:val="26"/>
        </w:rPr>
        <w:t xml:space="preserve"> reveal that</w:t>
      </w:r>
      <w:r w:rsidR="000D4E0C" w:rsidRPr="005E13B9">
        <w:rPr>
          <w:rFonts w:hint="eastAsia"/>
          <w:bCs/>
          <w:kern w:val="0"/>
          <w:sz w:val="26"/>
          <w:szCs w:val="26"/>
        </w:rPr>
        <w:t xml:space="preserve"> </w:t>
      </w:r>
      <w:r w:rsidR="0020437E" w:rsidRPr="005E13B9">
        <w:rPr>
          <w:rFonts w:hint="eastAsia"/>
          <w:bCs/>
          <w:kern w:val="0"/>
          <w:sz w:val="26"/>
          <w:szCs w:val="26"/>
        </w:rPr>
        <w:t xml:space="preserve">the act of a name change serves as a signal </w:t>
      </w:r>
      <w:r w:rsidR="00FD359C" w:rsidRPr="005E13B9">
        <w:rPr>
          <w:rFonts w:hint="eastAsia"/>
          <w:bCs/>
          <w:kern w:val="0"/>
          <w:sz w:val="26"/>
          <w:szCs w:val="26"/>
        </w:rPr>
        <w:t>which</w:t>
      </w:r>
      <w:r w:rsidR="0020437E" w:rsidRPr="005E13B9">
        <w:rPr>
          <w:rFonts w:hint="eastAsia"/>
          <w:bCs/>
          <w:kern w:val="0"/>
          <w:sz w:val="26"/>
          <w:szCs w:val="26"/>
        </w:rPr>
        <w:t xml:space="preserve"> other measures to improve per</w:t>
      </w:r>
      <w:r w:rsidR="000D4E0C" w:rsidRPr="005E13B9">
        <w:rPr>
          <w:rFonts w:hint="eastAsia"/>
          <w:bCs/>
          <w:kern w:val="0"/>
          <w:sz w:val="26"/>
          <w:szCs w:val="26"/>
        </w:rPr>
        <w:t>f</w:t>
      </w:r>
      <w:r w:rsidR="0020437E" w:rsidRPr="005E13B9">
        <w:rPr>
          <w:rFonts w:hint="eastAsia"/>
          <w:bCs/>
          <w:kern w:val="0"/>
          <w:sz w:val="26"/>
          <w:szCs w:val="26"/>
        </w:rPr>
        <w:t>ormance</w:t>
      </w:r>
      <w:r w:rsidR="006770B8" w:rsidRPr="005E13B9">
        <w:rPr>
          <w:bCs/>
          <w:kern w:val="0"/>
          <w:sz w:val="26"/>
          <w:szCs w:val="26"/>
        </w:rPr>
        <w:t>, such as changes in product offerings and organizational changes,</w:t>
      </w:r>
      <w:r w:rsidR="0020437E" w:rsidRPr="005E13B9">
        <w:rPr>
          <w:rFonts w:hint="eastAsia"/>
          <w:bCs/>
          <w:kern w:val="0"/>
          <w:sz w:val="26"/>
          <w:szCs w:val="26"/>
        </w:rPr>
        <w:t xml:space="preserve"> will be seriously and successfully undertaken. </w:t>
      </w:r>
      <w:r w:rsidR="00EE7CC9" w:rsidRPr="005E13B9">
        <w:rPr>
          <w:bCs/>
          <w:kern w:val="0"/>
          <w:sz w:val="26"/>
          <w:szCs w:val="26"/>
        </w:rPr>
        <w:t xml:space="preserve">Agnihotri and Bhattacharya (2017) find that investors </w:t>
      </w:r>
      <w:r w:rsidR="00EC38DD" w:rsidRPr="005E13B9">
        <w:rPr>
          <w:bCs/>
          <w:kern w:val="0"/>
          <w:sz w:val="26"/>
          <w:szCs w:val="26"/>
        </w:rPr>
        <w:t xml:space="preserve">in India </w:t>
      </w:r>
      <w:r w:rsidR="00EE7CC9" w:rsidRPr="005E13B9">
        <w:rPr>
          <w:bCs/>
          <w:kern w:val="0"/>
          <w:sz w:val="26"/>
          <w:szCs w:val="26"/>
        </w:rPr>
        <w:t>respond positively to the announcement of firm name changes</w:t>
      </w:r>
      <w:r w:rsidR="00EC38DD" w:rsidRPr="005E13B9">
        <w:rPr>
          <w:rFonts w:hint="eastAsia"/>
          <w:bCs/>
          <w:kern w:val="0"/>
          <w:sz w:val="26"/>
          <w:szCs w:val="26"/>
        </w:rPr>
        <w:t xml:space="preserve"> but </w:t>
      </w:r>
      <w:r w:rsidR="00F0083C" w:rsidRPr="005E13B9">
        <w:rPr>
          <w:rFonts w:hint="eastAsia"/>
          <w:bCs/>
          <w:kern w:val="0"/>
          <w:sz w:val="26"/>
          <w:szCs w:val="26"/>
        </w:rPr>
        <w:t xml:space="preserve">this finding </w:t>
      </w:r>
      <w:r w:rsidR="00EC38DD" w:rsidRPr="005E13B9">
        <w:rPr>
          <w:rFonts w:hint="eastAsia"/>
          <w:bCs/>
          <w:kern w:val="0"/>
          <w:sz w:val="26"/>
          <w:szCs w:val="26"/>
        </w:rPr>
        <w:t>c</w:t>
      </w:r>
      <w:r w:rsidR="007A497B" w:rsidRPr="005E13B9">
        <w:rPr>
          <w:rFonts w:hint="eastAsia"/>
          <w:bCs/>
          <w:kern w:val="0"/>
          <w:sz w:val="26"/>
          <w:szCs w:val="26"/>
        </w:rPr>
        <w:t>ould</w:t>
      </w:r>
      <w:r w:rsidR="00EC38DD" w:rsidRPr="005E13B9">
        <w:rPr>
          <w:rFonts w:hint="eastAsia"/>
          <w:bCs/>
          <w:kern w:val="0"/>
          <w:sz w:val="26"/>
          <w:szCs w:val="26"/>
        </w:rPr>
        <w:t xml:space="preserve"> not be used for predicting the long-term market performance of a firm with a name change. </w:t>
      </w:r>
      <w:r w:rsidR="00F0083C" w:rsidRPr="005E13B9">
        <w:rPr>
          <w:bCs/>
          <w:kern w:val="0"/>
          <w:sz w:val="26"/>
          <w:szCs w:val="26"/>
        </w:rPr>
        <w:t>In contrast</w:t>
      </w:r>
      <w:r w:rsidR="00F0083C" w:rsidRPr="005E13B9">
        <w:rPr>
          <w:rFonts w:hint="eastAsia"/>
          <w:bCs/>
          <w:kern w:val="0"/>
          <w:sz w:val="26"/>
          <w:szCs w:val="26"/>
        </w:rPr>
        <w:t xml:space="preserve">, </w:t>
      </w:r>
      <w:r w:rsidR="00EC38DD" w:rsidRPr="005E13B9">
        <w:rPr>
          <w:rFonts w:hint="eastAsia"/>
          <w:bCs/>
          <w:kern w:val="0"/>
          <w:sz w:val="26"/>
          <w:szCs w:val="26"/>
        </w:rPr>
        <w:t xml:space="preserve">in the developed markets, </w:t>
      </w:r>
      <w:r w:rsidR="00655397" w:rsidRPr="005E13B9">
        <w:rPr>
          <w:rFonts w:hint="eastAsia"/>
          <w:bCs/>
          <w:kern w:val="0"/>
          <w:sz w:val="26"/>
          <w:szCs w:val="26"/>
        </w:rPr>
        <w:t xml:space="preserve">a name change might follow </w:t>
      </w:r>
      <w:r w:rsidR="00EC38DD" w:rsidRPr="005E13B9">
        <w:rPr>
          <w:rFonts w:hint="eastAsia"/>
          <w:bCs/>
          <w:kern w:val="0"/>
          <w:sz w:val="26"/>
          <w:szCs w:val="26"/>
        </w:rPr>
        <w:t>an improvement in long-term performance</w:t>
      </w:r>
      <w:r w:rsidR="00655397" w:rsidRPr="005E13B9">
        <w:rPr>
          <w:rFonts w:hint="eastAsia"/>
          <w:bCs/>
          <w:kern w:val="0"/>
          <w:sz w:val="26"/>
          <w:szCs w:val="26"/>
        </w:rPr>
        <w:t xml:space="preserve"> of the firm</w:t>
      </w:r>
      <w:r w:rsidR="00EC38DD" w:rsidRPr="005E13B9">
        <w:rPr>
          <w:rFonts w:hint="eastAsia"/>
          <w:bCs/>
          <w:kern w:val="0"/>
          <w:sz w:val="26"/>
          <w:szCs w:val="26"/>
        </w:rPr>
        <w:t>.</w:t>
      </w:r>
      <w:r w:rsidR="00655397" w:rsidRPr="005E13B9">
        <w:rPr>
          <w:rFonts w:hint="eastAsia"/>
          <w:bCs/>
          <w:kern w:val="0"/>
          <w:sz w:val="26"/>
          <w:szCs w:val="26"/>
        </w:rPr>
        <w:t xml:space="preserve"> </w:t>
      </w:r>
      <w:r w:rsidR="007A497B" w:rsidRPr="005E13B9">
        <w:rPr>
          <w:bCs/>
          <w:kern w:val="0"/>
          <w:sz w:val="26"/>
          <w:szCs w:val="26"/>
        </w:rPr>
        <w:t>B</w:t>
      </w:r>
      <w:r w:rsidR="007A497B" w:rsidRPr="005E13B9">
        <w:rPr>
          <w:rFonts w:hint="eastAsia"/>
          <w:bCs/>
          <w:kern w:val="0"/>
          <w:sz w:val="26"/>
          <w:szCs w:val="26"/>
        </w:rPr>
        <w:t>esides</w:t>
      </w:r>
      <w:r w:rsidR="00655397" w:rsidRPr="005E13B9">
        <w:rPr>
          <w:rFonts w:hint="eastAsia"/>
          <w:bCs/>
          <w:kern w:val="0"/>
          <w:sz w:val="26"/>
          <w:szCs w:val="26"/>
        </w:rPr>
        <w:t xml:space="preserve">, </w:t>
      </w:r>
      <w:r w:rsidR="00EE7CC9" w:rsidRPr="005E13B9">
        <w:rPr>
          <w:bCs/>
          <w:kern w:val="0"/>
          <w:sz w:val="26"/>
          <w:szCs w:val="26"/>
        </w:rPr>
        <w:t>Mathuva, Muthuma, and Kiweu (2016) point out that the positive impact of name change seems to be experienced about four years after the name change in Kenya.</w:t>
      </w:r>
      <w:r w:rsidR="00655397" w:rsidRPr="005E13B9">
        <w:rPr>
          <w:rFonts w:hint="eastAsia"/>
          <w:bCs/>
          <w:kern w:val="0"/>
          <w:sz w:val="26"/>
          <w:szCs w:val="26"/>
        </w:rPr>
        <w:t xml:space="preserve"> </w:t>
      </w:r>
      <w:r w:rsidR="00EE7CC9" w:rsidRPr="005E13B9">
        <w:rPr>
          <w:bCs/>
          <w:kern w:val="0"/>
          <w:sz w:val="26"/>
          <w:szCs w:val="26"/>
        </w:rPr>
        <w:t xml:space="preserve">Yoon and Park (2015) disclose that </w:t>
      </w:r>
      <w:r w:rsidR="00655397" w:rsidRPr="005E13B9">
        <w:rPr>
          <w:rFonts w:hint="eastAsia"/>
          <w:bCs/>
          <w:kern w:val="0"/>
          <w:sz w:val="26"/>
          <w:szCs w:val="26"/>
        </w:rPr>
        <w:t xml:space="preserve">firm </w:t>
      </w:r>
      <w:r w:rsidR="00EE7CC9" w:rsidRPr="005E13B9">
        <w:rPr>
          <w:bCs/>
          <w:kern w:val="0"/>
          <w:sz w:val="26"/>
          <w:szCs w:val="26"/>
        </w:rPr>
        <w:t xml:space="preserve">name changes </w:t>
      </w:r>
      <w:r w:rsidR="00655397" w:rsidRPr="005E13B9">
        <w:rPr>
          <w:bCs/>
          <w:kern w:val="0"/>
          <w:sz w:val="26"/>
          <w:szCs w:val="26"/>
        </w:rPr>
        <w:t xml:space="preserve">in Korea </w:t>
      </w:r>
      <w:r w:rsidR="00EE7CC9" w:rsidRPr="005E13B9">
        <w:rPr>
          <w:bCs/>
          <w:kern w:val="0"/>
          <w:sz w:val="26"/>
          <w:szCs w:val="26"/>
        </w:rPr>
        <w:t>are negatively related with discretionary accruals, particularly when the</w:t>
      </w:r>
      <w:r w:rsidR="00655397" w:rsidRPr="005E13B9">
        <w:rPr>
          <w:rFonts w:hint="eastAsia"/>
          <w:bCs/>
          <w:kern w:val="0"/>
          <w:sz w:val="26"/>
          <w:szCs w:val="26"/>
        </w:rPr>
        <w:t xml:space="preserve"> firms</w:t>
      </w:r>
      <w:r w:rsidR="00EE7CC9" w:rsidRPr="005E13B9">
        <w:rPr>
          <w:bCs/>
          <w:kern w:val="0"/>
          <w:sz w:val="26"/>
          <w:szCs w:val="26"/>
        </w:rPr>
        <w:t xml:space="preserve"> change </w:t>
      </w:r>
      <w:r w:rsidR="00655397" w:rsidRPr="005E13B9">
        <w:rPr>
          <w:rFonts w:hint="eastAsia"/>
          <w:bCs/>
          <w:kern w:val="0"/>
          <w:sz w:val="26"/>
          <w:szCs w:val="26"/>
        </w:rPr>
        <w:t xml:space="preserve">their </w:t>
      </w:r>
      <w:r w:rsidR="00EE7CC9" w:rsidRPr="005E13B9">
        <w:rPr>
          <w:bCs/>
          <w:kern w:val="0"/>
          <w:sz w:val="26"/>
          <w:szCs w:val="26"/>
        </w:rPr>
        <w:t>names due to accumulated losses.</w:t>
      </w:r>
    </w:p>
    <w:p w14:paraId="5B65B46A" w14:textId="77777777" w:rsidR="00560A99" w:rsidRPr="005E13B9" w:rsidRDefault="00655397" w:rsidP="001C65C7">
      <w:pPr>
        <w:overflowPunct w:val="0"/>
        <w:adjustRightInd w:val="0"/>
        <w:ind w:firstLineChars="200" w:firstLine="520"/>
        <w:jc w:val="both"/>
        <w:outlineLvl w:val="1"/>
        <w:rPr>
          <w:bCs/>
          <w:kern w:val="0"/>
          <w:sz w:val="26"/>
          <w:szCs w:val="26"/>
        </w:rPr>
      </w:pPr>
      <w:r w:rsidRPr="005E13B9">
        <w:rPr>
          <w:bCs/>
          <w:kern w:val="0"/>
          <w:sz w:val="26"/>
          <w:szCs w:val="26"/>
        </w:rPr>
        <w:t>A</w:t>
      </w:r>
      <w:r w:rsidRPr="005E13B9">
        <w:rPr>
          <w:rFonts w:hint="eastAsia"/>
          <w:bCs/>
          <w:kern w:val="0"/>
          <w:sz w:val="26"/>
          <w:szCs w:val="26"/>
        </w:rPr>
        <w:t>side from countries, firm</w:t>
      </w:r>
      <w:r w:rsidR="007A497B" w:rsidRPr="005E13B9">
        <w:rPr>
          <w:rFonts w:hint="eastAsia"/>
          <w:bCs/>
          <w:kern w:val="0"/>
          <w:sz w:val="26"/>
          <w:szCs w:val="26"/>
        </w:rPr>
        <w:t xml:space="preserve"> name changes might also affect </w:t>
      </w:r>
      <w:r w:rsidRPr="005E13B9">
        <w:rPr>
          <w:rFonts w:hint="eastAsia"/>
          <w:bCs/>
          <w:kern w:val="0"/>
          <w:sz w:val="26"/>
          <w:szCs w:val="26"/>
        </w:rPr>
        <w:t xml:space="preserve">other markets </w:t>
      </w:r>
      <w:r w:rsidR="007A497B" w:rsidRPr="005E13B9">
        <w:rPr>
          <w:rFonts w:hint="eastAsia"/>
          <w:bCs/>
          <w:kern w:val="0"/>
          <w:sz w:val="26"/>
          <w:szCs w:val="26"/>
        </w:rPr>
        <w:t>and</w:t>
      </w:r>
      <w:r w:rsidRPr="005E13B9">
        <w:rPr>
          <w:rFonts w:hint="eastAsia"/>
          <w:bCs/>
          <w:kern w:val="0"/>
          <w:sz w:val="26"/>
          <w:szCs w:val="26"/>
        </w:rPr>
        <w:t xml:space="preserve"> industries. </w:t>
      </w:r>
      <w:r w:rsidR="007A497B" w:rsidRPr="005E13B9">
        <w:rPr>
          <w:bCs/>
          <w:kern w:val="0"/>
          <w:sz w:val="26"/>
          <w:szCs w:val="26"/>
        </w:rPr>
        <w:t>F</w:t>
      </w:r>
      <w:r w:rsidR="007A497B" w:rsidRPr="005E13B9">
        <w:rPr>
          <w:rFonts w:hint="eastAsia"/>
          <w:bCs/>
          <w:kern w:val="0"/>
          <w:sz w:val="26"/>
          <w:szCs w:val="26"/>
        </w:rPr>
        <w:t xml:space="preserve">or example, </w:t>
      </w:r>
      <w:r w:rsidR="00EE7CC9" w:rsidRPr="005E13B9">
        <w:rPr>
          <w:bCs/>
          <w:kern w:val="0"/>
          <w:sz w:val="26"/>
          <w:szCs w:val="26"/>
        </w:rPr>
        <w:t xml:space="preserve">Lin, Yang, and Chang (2016) </w:t>
      </w:r>
      <w:r w:rsidR="00F0083C" w:rsidRPr="005E13B9">
        <w:rPr>
          <w:rFonts w:hint="eastAsia"/>
          <w:bCs/>
          <w:kern w:val="0"/>
          <w:sz w:val="26"/>
          <w:szCs w:val="26"/>
        </w:rPr>
        <w:t>illustrate</w:t>
      </w:r>
      <w:r w:rsidR="00EE7CC9" w:rsidRPr="005E13B9">
        <w:rPr>
          <w:bCs/>
          <w:kern w:val="0"/>
          <w:sz w:val="26"/>
          <w:szCs w:val="26"/>
        </w:rPr>
        <w:t xml:space="preserve"> that investors in the U.S. market</w:t>
      </w:r>
      <w:r w:rsidR="007A497B" w:rsidRPr="005E13B9">
        <w:rPr>
          <w:rFonts w:hint="eastAsia"/>
          <w:bCs/>
          <w:kern w:val="0"/>
          <w:sz w:val="26"/>
          <w:szCs w:val="26"/>
        </w:rPr>
        <w:t>s</w:t>
      </w:r>
      <w:r w:rsidR="00EE7CC9" w:rsidRPr="005E13B9">
        <w:rPr>
          <w:bCs/>
          <w:kern w:val="0"/>
          <w:sz w:val="26"/>
          <w:szCs w:val="26"/>
        </w:rPr>
        <w:t xml:space="preserve"> react more positively towards firms experiencing oil-related name changes during the oil price surge. On the other hand, </w:t>
      </w:r>
      <w:r w:rsidR="007A497B" w:rsidRPr="005E13B9">
        <w:rPr>
          <w:rFonts w:hint="eastAsia"/>
          <w:bCs/>
          <w:kern w:val="0"/>
          <w:sz w:val="26"/>
          <w:szCs w:val="26"/>
        </w:rPr>
        <w:t xml:space="preserve">the </w:t>
      </w:r>
      <w:r w:rsidR="00EE7CC9" w:rsidRPr="005E13B9">
        <w:rPr>
          <w:bCs/>
          <w:kern w:val="0"/>
          <w:sz w:val="26"/>
          <w:szCs w:val="26"/>
        </w:rPr>
        <w:t xml:space="preserve">effects </w:t>
      </w:r>
      <w:r w:rsidR="007A497B" w:rsidRPr="005E13B9">
        <w:rPr>
          <w:rFonts w:hint="eastAsia"/>
          <w:bCs/>
          <w:kern w:val="0"/>
          <w:sz w:val="26"/>
          <w:szCs w:val="26"/>
        </w:rPr>
        <w:t xml:space="preserve">of </w:t>
      </w:r>
      <w:r w:rsidR="007A497B" w:rsidRPr="005E13B9">
        <w:rPr>
          <w:bCs/>
          <w:kern w:val="0"/>
          <w:sz w:val="26"/>
          <w:szCs w:val="26"/>
        </w:rPr>
        <w:t>oil-related name change</w:t>
      </w:r>
      <w:r w:rsidR="00544EB9" w:rsidRPr="005E13B9">
        <w:rPr>
          <w:rFonts w:hint="eastAsia"/>
          <w:bCs/>
          <w:kern w:val="0"/>
          <w:sz w:val="26"/>
          <w:szCs w:val="26"/>
        </w:rPr>
        <w:t>s</w:t>
      </w:r>
      <w:r w:rsidR="007A497B" w:rsidRPr="005E13B9">
        <w:rPr>
          <w:bCs/>
          <w:kern w:val="0"/>
          <w:sz w:val="26"/>
          <w:szCs w:val="26"/>
        </w:rPr>
        <w:t xml:space="preserve"> </w:t>
      </w:r>
      <w:r w:rsidR="00EE7CC9" w:rsidRPr="005E13B9">
        <w:rPr>
          <w:bCs/>
          <w:kern w:val="0"/>
          <w:sz w:val="26"/>
          <w:szCs w:val="26"/>
        </w:rPr>
        <w:t>appear to be transitory in the Canadian market.</w:t>
      </w:r>
      <w:r w:rsidRPr="005E13B9">
        <w:rPr>
          <w:rFonts w:hint="eastAsia"/>
          <w:bCs/>
          <w:kern w:val="0"/>
          <w:sz w:val="26"/>
          <w:szCs w:val="26"/>
        </w:rPr>
        <w:t xml:space="preserve"> </w:t>
      </w:r>
      <w:r w:rsidR="00544EB9" w:rsidRPr="005E13B9">
        <w:rPr>
          <w:bCs/>
          <w:kern w:val="0"/>
          <w:sz w:val="26"/>
          <w:szCs w:val="26"/>
        </w:rPr>
        <w:t>F</w:t>
      </w:r>
      <w:r w:rsidR="00544EB9" w:rsidRPr="005E13B9">
        <w:rPr>
          <w:rFonts w:hint="eastAsia"/>
          <w:bCs/>
          <w:kern w:val="0"/>
          <w:sz w:val="26"/>
          <w:szCs w:val="26"/>
        </w:rPr>
        <w:t xml:space="preserve">urthermore, </w:t>
      </w:r>
      <w:r w:rsidR="00EE7CC9" w:rsidRPr="005E13B9">
        <w:rPr>
          <w:bCs/>
          <w:kern w:val="0"/>
          <w:sz w:val="26"/>
          <w:szCs w:val="26"/>
        </w:rPr>
        <w:t>Carson, Cole, and Fier (2016) argue that corporate name changes have positive wealth effects for insurers and th</w:t>
      </w:r>
      <w:r w:rsidR="00544EB9" w:rsidRPr="005E13B9">
        <w:rPr>
          <w:rFonts w:hint="eastAsia"/>
          <w:bCs/>
          <w:kern w:val="0"/>
          <w:sz w:val="26"/>
          <w:szCs w:val="26"/>
        </w:rPr>
        <w:t>e</w:t>
      </w:r>
      <w:r w:rsidR="00EE7CC9" w:rsidRPr="005E13B9">
        <w:rPr>
          <w:bCs/>
          <w:kern w:val="0"/>
          <w:sz w:val="26"/>
          <w:szCs w:val="26"/>
        </w:rPr>
        <w:t>s</w:t>
      </w:r>
      <w:r w:rsidR="00544EB9" w:rsidRPr="005E13B9">
        <w:rPr>
          <w:rFonts w:hint="eastAsia"/>
          <w:bCs/>
          <w:kern w:val="0"/>
          <w:sz w:val="26"/>
          <w:szCs w:val="26"/>
        </w:rPr>
        <w:t>e</w:t>
      </w:r>
      <w:r w:rsidR="00EE7CC9" w:rsidRPr="005E13B9">
        <w:rPr>
          <w:bCs/>
          <w:kern w:val="0"/>
          <w:sz w:val="26"/>
          <w:szCs w:val="26"/>
        </w:rPr>
        <w:t xml:space="preserve"> effect</w:t>
      </w:r>
      <w:r w:rsidR="00544EB9" w:rsidRPr="005E13B9">
        <w:rPr>
          <w:rFonts w:hint="eastAsia"/>
          <w:bCs/>
          <w:kern w:val="0"/>
          <w:sz w:val="26"/>
          <w:szCs w:val="26"/>
        </w:rPr>
        <w:t>s</w:t>
      </w:r>
      <w:r w:rsidR="00EE7CC9" w:rsidRPr="005E13B9">
        <w:rPr>
          <w:bCs/>
          <w:kern w:val="0"/>
          <w:sz w:val="26"/>
          <w:szCs w:val="26"/>
        </w:rPr>
        <w:t xml:space="preserve"> </w:t>
      </w:r>
      <w:r w:rsidR="00544EB9" w:rsidRPr="005E13B9">
        <w:rPr>
          <w:rFonts w:hint="eastAsia"/>
          <w:bCs/>
          <w:kern w:val="0"/>
          <w:sz w:val="26"/>
          <w:szCs w:val="26"/>
        </w:rPr>
        <w:t>are</w:t>
      </w:r>
      <w:r w:rsidR="00EE7CC9" w:rsidRPr="005E13B9">
        <w:rPr>
          <w:bCs/>
          <w:kern w:val="0"/>
          <w:sz w:val="26"/>
          <w:szCs w:val="26"/>
        </w:rPr>
        <w:t xml:space="preserve"> driven by </w:t>
      </w:r>
      <w:r w:rsidR="00544EB9" w:rsidRPr="005E13B9">
        <w:rPr>
          <w:rFonts w:hint="eastAsia"/>
          <w:bCs/>
          <w:kern w:val="0"/>
          <w:sz w:val="26"/>
          <w:szCs w:val="26"/>
        </w:rPr>
        <w:t xml:space="preserve">the </w:t>
      </w:r>
      <w:r w:rsidR="00EE7CC9" w:rsidRPr="005E13B9">
        <w:rPr>
          <w:bCs/>
          <w:kern w:val="0"/>
          <w:sz w:val="26"/>
          <w:szCs w:val="26"/>
        </w:rPr>
        <w:t>increased policy counts for those insurers that primarily sell to individual consumers.</w:t>
      </w:r>
    </w:p>
    <w:p w14:paraId="67C7279D" w14:textId="77777777" w:rsidR="00EF7221" w:rsidRPr="005E13B9" w:rsidRDefault="008242D3" w:rsidP="001C65C7">
      <w:pPr>
        <w:overflowPunct w:val="0"/>
        <w:adjustRightInd w:val="0"/>
        <w:ind w:firstLineChars="200" w:firstLine="520"/>
        <w:jc w:val="both"/>
        <w:outlineLvl w:val="1"/>
        <w:rPr>
          <w:sz w:val="27"/>
          <w:szCs w:val="27"/>
        </w:rPr>
      </w:pPr>
      <w:r w:rsidRPr="005E13B9">
        <w:rPr>
          <w:bCs/>
          <w:kern w:val="0"/>
          <w:sz w:val="26"/>
          <w:szCs w:val="26"/>
        </w:rPr>
        <w:t>M</w:t>
      </w:r>
      <w:r w:rsidRPr="005E13B9">
        <w:rPr>
          <w:rFonts w:hint="eastAsia"/>
          <w:bCs/>
          <w:kern w:val="0"/>
          <w:sz w:val="26"/>
          <w:szCs w:val="26"/>
        </w:rPr>
        <w:t xml:space="preserve">oreover, </w:t>
      </w:r>
      <w:r w:rsidR="00544EB9" w:rsidRPr="005E13B9">
        <w:rPr>
          <w:bCs/>
          <w:kern w:val="0"/>
          <w:sz w:val="26"/>
          <w:szCs w:val="26"/>
        </w:rPr>
        <w:t>Cooper, Dimitrov, and Rau (2001) document a striking positive stock price reaction to corporate name changes to dotcom names. The “dotcom” effect produces cumulative abnormal return of 74 percent for 10 days surrounding the announcement day. Cooper et al. (2005) claim that, after the internet “crash” of mid-2000, investors react positively to name changes for firms that remove dot.com from their name. This dot.com deletion effect produces cumulative abnormal return of 64% for 60 days surrounding the announcement day.</w:t>
      </w:r>
    </w:p>
    <w:p w14:paraId="5E479B75" w14:textId="77777777" w:rsidR="00EE7CC9" w:rsidRPr="005E13B9" w:rsidRDefault="00EE7CC9" w:rsidP="001C65C7">
      <w:pPr>
        <w:overflowPunct w:val="0"/>
        <w:adjustRightInd w:val="0"/>
        <w:rPr>
          <w:rFonts w:eastAsia="標楷體"/>
          <w:b/>
          <w:sz w:val="26"/>
          <w:szCs w:val="26"/>
        </w:rPr>
      </w:pPr>
    </w:p>
    <w:p w14:paraId="0FF3B5E0" w14:textId="3D659F90" w:rsidR="00A23DA1" w:rsidRPr="005E13B9" w:rsidRDefault="0013600E" w:rsidP="001C65C7">
      <w:pPr>
        <w:overflowPunct w:val="0"/>
        <w:adjustRightInd w:val="0"/>
        <w:rPr>
          <w:rFonts w:eastAsia="標楷體"/>
          <w:sz w:val="26"/>
          <w:szCs w:val="26"/>
        </w:rPr>
      </w:pPr>
      <w:r w:rsidRPr="005E13B9">
        <w:rPr>
          <w:rFonts w:eastAsia="標楷體"/>
          <w:b/>
          <w:sz w:val="26"/>
          <w:szCs w:val="26"/>
        </w:rPr>
        <w:t xml:space="preserve">Corporate </w:t>
      </w:r>
      <w:r w:rsidR="00D001BC" w:rsidRPr="005E13B9">
        <w:rPr>
          <w:rFonts w:eastAsia="標楷體"/>
          <w:b/>
          <w:sz w:val="26"/>
          <w:szCs w:val="26"/>
        </w:rPr>
        <w:t>Governance, Financial Statements,</w:t>
      </w:r>
      <w:r w:rsidRPr="005E13B9">
        <w:rPr>
          <w:rFonts w:eastAsia="標楷體"/>
          <w:b/>
          <w:sz w:val="26"/>
          <w:szCs w:val="26"/>
        </w:rPr>
        <w:t xml:space="preserve"> and </w:t>
      </w:r>
      <w:r w:rsidR="00D001BC" w:rsidRPr="005E13B9">
        <w:rPr>
          <w:rFonts w:eastAsia="標楷體"/>
          <w:b/>
          <w:sz w:val="26"/>
          <w:szCs w:val="26"/>
        </w:rPr>
        <w:t>Institutional Investors</w:t>
      </w:r>
    </w:p>
    <w:p w14:paraId="039BC903" w14:textId="22221105" w:rsidR="00562D71" w:rsidRPr="005E13B9" w:rsidRDefault="0013600E" w:rsidP="001C65C7">
      <w:pPr>
        <w:overflowPunct w:val="0"/>
        <w:adjustRightInd w:val="0"/>
        <w:ind w:firstLineChars="200" w:firstLine="520"/>
        <w:jc w:val="both"/>
        <w:rPr>
          <w:sz w:val="26"/>
          <w:szCs w:val="26"/>
          <w:lang w:val="en-GB"/>
        </w:rPr>
      </w:pPr>
      <w:r w:rsidRPr="005E13B9">
        <w:rPr>
          <w:rFonts w:eastAsia="標楷體"/>
          <w:sz w:val="26"/>
          <w:szCs w:val="26"/>
        </w:rPr>
        <w:t xml:space="preserve">As for investors’ viewpoints, </w:t>
      </w:r>
      <w:r w:rsidRPr="005E13B9">
        <w:rPr>
          <w:sz w:val="26"/>
          <w:szCs w:val="26"/>
        </w:rPr>
        <w:t>corporate governance would be regarded as an important index for investors</w:t>
      </w:r>
      <w:r w:rsidR="00474D07" w:rsidRPr="005E13B9">
        <w:rPr>
          <w:rFonts w:hint="eastAsia"/>
          <w:sz w:val="26"/>
          <w:szCs w:val="26"/>
        </w:rPr>
        <w:t>.</w:t>
      </w:r>
      <w:r w:rsidRPr="005E13B9">
        <w:rPr>
          <w:sz w:val="26"/>
          <w:szCs w:val="26"/>
        </w:rPr>
        <w:t xml:space="preserve"> </w:t>
      </w:r>
      <w:r w:rsidR="00474D07" w:rsidRPr="005E13B9">
        <w:rPr>
          <w:kern w:val="0"/>
          <w:sz w:val="26"/>
          <w:szCs w:val="26"/>
        </w:rPr>
        <w:t xml:space="preserve">Das </w:t>
      </w:r>
      <w:r w:rsidR="00474D07" w:rsidRPr="005E13B9">
        <w:rPr>
          <w:rFonts w:hint="eastAsia"/>
          <w:kern w:val="0"/>
          <w:sz w:val="26"/>
          <w:szCs w:val="26"/>
        </w:rPr>
        <w:t>(</w:t>
      </w:r>
      <w:r w:rsidR="00474D07" w:rsidRPr="005E13B9">
        <w:rPr>
          <w:kern w:val="0"/>
          <w:sz w:val="26"/>
          <w:szCs w:val="26"/>
        </w:rPr>
        <w:t>2014)</w:t>
      </w:r>
      <w:r w:rsidR="00474D07" w:rsidRPr="005E13B9">
        <w:rPr>
          <w:rFonts w:hint="eastAsia"/>
          <w:kern w:val="0"/>
          <w:sz w:val="26"/>
          <w:szCs w:val="26"/>
        </w:rPr>
        <w:t xml:space="preserve"> finds that f</w:t>
      </w:r>
      <w:r w:rsidRPr="005E13B9">
        <w:rPr>
          <w:sz w:val="26"/>
          <w:szCs w:val="26"/>
        </w:rPr>
        <w:t>irms with better corporate governance tend to be well-managed and have preeminent performance, which would increase the firms’ values</w:t>
      </w:r>
      <w:r w:rsidR="00474D07" w:rsidRPr="005E13B9">
        <w:rPr>
          <w:rFonts w:hint="eastAsia"/>
          <w:sz w:val="26"/>
          <w:szCs w:val="26"/>
        </w:rPr>
        <w:t xml:space="preserve"> eventually and </w:t>
      </w:r>
      <w:r w:rsidRPr="005E13B9">
        <w:rPr>
          <w:sz w:val="26"/>
          <w:szCs w:val="26"/>
        </w:rPr>
        <w:t>attract foreign invest</w:t>
      </w:r>
      <w:r w:rsidR="00474D07" w:rsidRPr="005E13B9">
        <w:rPr>
          <w:rFonts w:hint="eastAsia"/>
          <w:sz w:val="26"/>
          <w:szCs w:val="26"/>
        </w:rPr>
        <w:t>or</w:t>
      </w:r>
      <w:r w:rsidRPr="005E13B9">
        <w:rPr>
          <w:sz w:val="26"/>
          <w:szCs w:val="26"/>
        </w:rPr>
        <w:t xml:space="preserve">s. </w:t>
      </w:r>
      <w:r w:rsidRPr="005E13B9">
        <w:rPr>
          <w:kern w:val="0"/>
          <w:sz w:val="26"/>
          <w:szCs w:val="26"/>
        </w:rPr>
        <w:t xml:space="preserve">Chen et al. (2015) point out that </w:t>
      </w:r>
      <w:r w:rsidRPr="005E13B9">
        <w:rPr>
          <w:sz w:val="26"/>
          <w:szCs w:val="26"/>
        </w:rPr>
        <w:t xml:space="preserve">interim CEOs are more likely to engage in earnings management to improve firm earnings performance than non-interim CEOs because the greater the income-increasing earnings management are, the more likely the interim CEOs are promoted. </w:t>
      </w:r>
      <w:r w:rsidR="002C2F40" w:rsidRPr="005E13B9">
        <w:rPr>
          <w:sz w:val="26"/>
          <w:szCs w:val="26"/>
        </w:rPr>
        <w:t xml:space="preserve">Li and Zaiats (2018) show that dual class firms are more likely to employ more shareholder rights provisions while exhibiting lower board and board committee independence than single class firms. </w:t>
      </w:r>
      <w:r w:rsidRPr="005E13B9">
        <w:rPr>
          <w:kern w:val="0"/>
          <w:sz w:val="26"/>
          <w:szCs w:val="26"/>
        </w:rPr>
        <w:t>Chung and Zhang (2011) argue</w:t>
      </w:r>
      <w:r w:rsidRPr="005E13B9">
        <w:rPr>
          <w:sz w:val="26"/>
          <w:szCs w:val="26"/>
        </w:rPr>
        <w:t xml:space="preserve"> that the fraction of </w:t>
      </w:r>
      <w:r w:rsidR="008126E4" w:rsidRPr="005E13B9">
        <w:rPr>
          <w:rFonts w:hint="eastAsia"/>
          <w:sz w:val="26"/>
          <w:szCs w:val="26"/>
        </w:rPr>
        <w:t>share</w:t>
      </w:r>
      <w:r w:rsidRPr="005E13B9">
        <w:rPr>
          <w:sz w:val="26"/>
          <w:szCs w:val="26"/>
        </w:rPr>
        <w:t>holding</w:t>
      </w:r>
      <w:r w:rsidR="008126E4" w:rsidRPr="005E13B9">
        <w:rPr>
          <w:rFonts w:hint="eastAsia"/>
          <w:sz w:val="26"/>
          <w:szCs w:val="26"/>
        </w:rPr>
        <w:t>s</w:t>
      </w:r>
      <w:r w:rsidRPr="005E13B9">
        <w:rPr>
          <w:sz w:val="26"/>
          <w:szCs w:val="26"/>
        </w:rPr>
        <w:t xml:space="preserve"> of institutional investors for a firm </w:t>
      </w:r>
      <w:r w:rsidR="008126E4" w:rsidRPr="005E13B9">
        <w:rPr>
          <w:rFonts w:hint="eastAsia"/>
          <w:sz w:val="26"/>
          <w:szCs w:val="26"/>
        </w:rPr>
        <w:t>would improve</w:t>
      </w:r>
      <w:r w:rsidRPr="005E13B9">
        <w:rPr>
          <w:sz w:val="26"/>
          <w:szCs w:val="26"/>
        </w:rPr>
        <w:t xml:space="preserve"> the quality of the firm’s governance structure</w:t>
      </w:r>
      <w:r w:rsidR="008126E4" w:rsidRPr="005E13B9">
        <w:rPr>
          <w:rFonts w:hint="eastAsia"/>
          <w:sz w:val="26"/>
          <w:szCs w:val="26"/>
        </w:rPr>
        <w:t xml:space="preserve">. </w:t>
      </w:r>
      <w:r w:rsidR="008126E4" w:rsidRPr="005E13B9">
        <w:rPr>
          <w:sz w:val="26"/>
          <w:szCs w:val="26"/>
        </w:rPr>
        <w:t>O</w:t>
      </w:r>
      <w:r w:rsidR="008126E4" w:rsidRPr="005E13B9">
        <w:rPr>
          <w:rFonts w:hint="eastAsia"/>
          <w:sz w:val="26"/>
          <w:szCs w:val="26"/>
        </w:rPr>
        <w:t>n the other hand,</w:t>
      </w:r>
      <w:r w:rsidRPr="005E13B9">
        <w:rPr>
          <w:sz w:val="26"/>
          <w:szCs w:val="26"/>
        </w:rPr>
        <w:t xml:space="preserve"> the proportion of institutions</w:t>
      </w:r>
      <w:r w:rsidR="008126E4" w:rsidRPr="005E13B9">
        <w:rPr>
          <w:sz w:val="26"/>
          <w:szCs w:val="26"/>
        </w:rPr>
        <w:t>’</w:t>
      </w:r>
      <w:r w:rsidRPr="005E13B9">
        <w:rPr>
          <w:sz w:val="26"/>
          <w:szCs w:val="26"/>
        </w:rPr>
        <w:t xml:space="preserve"> </w:t>
      </w:r>
      <w:r w:rsidR="008126E4" w:rsidRPr="005E13B9">
        <w:rPr>
          <w:rFonts w:hint="eastAsia"/>
          <w:sz w:val="26"/>
          <w:szCs w:val="26"/>
        </w:rPr>
        <w:t>share</w:t>
      </w:r>
      <w:r w:rsidRPr="005E13B9">
        <w:rPr>
          <w:sz w:val="26"/>
          <w:szCs w:val="26"/>
        </w:rPr>
        <w:t xml:space="preserve">holding </w:t>
      </w:r>
      <w:r w:rsidR="008126E4" w:rsidRPr="005E13B9">
        <w:rPr>
          <w:rFonts w:hint="eastAsia"/>
          <w:sz w:val="26"/>
          <w:szCs w:val="26"/>
        </w:rPr>
        <w:t xml:space="preserve">for </w:t>
      </w:r>
      <w:r w:rsidRPr="005E13B9">
        <w:rPr>
          <w:sz w:val="26"/>
          <w:szCs w:val="26"/>
        </w:rPr>
        <w:t xml:space="preserve">a firm </w:t>
      </w:r>
      <w:r w:rsidR="008126E4" w:rsidRPr="005E13B9">
        <w:rPr>
          <w:rFonts w:hint="eastAsia"/>
          <w:sz w:val="26"/>
          <w:szCs w:val="26"/>
        </w:rPr>
        <w:t>would be affected</w:t>
      </w:r>
      <w:r w:rsidRPr="005E13B9">
        <w:rPr>
          <w:sz w:val="26"/>
          <w:szCs w:val="26"/>
        </w:rPr>
        <w:t xml:space="preserve"> </w:t>
      </w:r>
      <w:r w:rsidR="008126E4" w:rsidRPr="005E13B9">
        <w:rPr>
          <w:rFonts w:hint="eastAsia"/>
          <w:sz w:val="26"/>
          <w:szCs w:val="26"/>
        </w:rPr>
        <w:t>by</w:t>
      </w:r>
      <w:r w:rsidRPr="005E13B9">
        <w:rPr>
          <w:sz w:val="26"/>
          <w:szCs w:val="26"/>
        </w:rPr>
        <w:t xml:space="preserve"> </w:t>
      </w:r>
      <w:r w:rsidR="008126E4" w:rsidRPr="005E13B9">
        <w:rPr>
          <w:rFonts w:hint="eastAsia"/>
          <w:sz w:val="26"/>
          <w:szCs w:val="26"/>
        </w:rPr>
        <w:t>the firm</w:t>
      </w:r>
      <w:r w:rsidR="008126E4" w:rsidRPr="005E13B9">
        <w:rPr>
          <w:sz w:val="26"/>
          <w:szCs w:val="26"/>
        </w:rPr>
        <w:t>’</w:t>
      </w:r>
      <w:r w:rsidRPr="005E13B9">
        <w:rPr>
          <w:sz w:val="26"/>
          <w:szCs w:val="26"/>
        </w:rPr>
        <w:t xml:space="preserve">s governance quality. </w:t>
      </w:r>
      <w:r w:rsidRPr="005E13B9">
        <w:rPr>
          <w:kern w:val="0"/>
          <w:sz w:val="26"/>
          <w:szCs w:val="26"/>
        </w:rPr>
        <w:t xml:space="preserve">Harford, Mansi, and Maxwell (2008) </w:t>
      </w:r>
      <w:r w:rsidRPr="005E13B9">
        <w:rPr>
          <w:sz w:val="26"/>
          <w:szCs w:val="26"/>
          <w:lang w:val="en-GB"/>
        </w:rPr>
        <w:t>discover that</w:t>
      </w:r>
      <w:r w:rsidR="008436B2" w:rsidRPr="005E13B9">
        <w:rPr>
          <w:rFonts w:hint="eastAsia"/>
          <w:sz w:val="26"/>
          <w:szCs w:val="26"/>
          <w:lang w:val="en-GB"/>
        </w:rPr>
        <w:t>,</w:t>
      </w:r>
      <w:r w:rsidR="008436B2" w:rsidRPr="005E13B9">
        <w:rPr>
          <w:sz w:val="26"/>
          <w:szCs w:val="26"/>
          <w:lang w:val="en-GB"/>
        </w:rPr>
        <w:t xml:space="preserve"> when distributing cash to shareholders</w:t>
      </w:r>
      <w:r w:rsidR="008436B2" w:rsidRPr="005E13B9">
        <w:rPr>
          <w:rFonts w:hint="eastAsia"/>
          <w:sz w:val="26"/>
          <w:szCs w:val="26"/>
          <w:lang w:val="en-GB"/>
        </w:rPr>
        <w:t>,</w:t>
      </w:r>
      <w:r w:rsidRPr="005E13B9">
        <w:rPr>
          <w:sz w:val="26"/>
          <w:szCs w:val="26"/>
          <w:lang w:val="en-GB"/>
        </w:rPr>
        <w:t xml:space="preserve"> firms with weaker corporate governance structures actually have smaller cash reserves because of </w:t>
      </w:r>
      <w:r w:rsidR="008126E4" w:rsidRPr="005E13B9">
        <w:rPr>
          <w:rFonts w:hint="eastAsia"/>
          <w:sz w:val="26"/>
          <w:szCs w:val="26"/>
          <w:lang w:val="en-GB"/>
        </w:rPr>
        <w:t xml:space="preserve">the </w:t>
      </w:r>
      <w:r w:rsidRPr="005E13B9">
        <w:rPr>
          <w:sz w:val="26"/>
          <w:szCs w:val="26"/>
          <w:lang w:val="en-GB"/>
        </w:rPr>
        <w:t>repurchas</w:t>
      </w:r>
      <w:r w:rsidR="008436B2" w:rsidRPr="005E13B9">
        <w:rPr>
          <w:rFonts w:hint="eastAsia"/>
          <w:sz w:val="26"/>
          <w:szCs w:val="26"/>
          <w:lang w:val="en-GB"/>
        </w:rPr>
        <w:t>ing</w:t>
      </w:r>
      <w:r w:rsidRPr="005E13B9">
        <w:rPr>
          <w:sz w:val="26"/>
          <w:szCs w:val="26"/>
          <w:lang w:val="en-GB"/>
        </w:rPr>
        <w:t xml:space="preserve"> instead of increas</w:t>
      </w:r>
      <w:r w:rsidR="008436B2" w:rsidRPr="005E13B9">
        <w:rPr>
          <w:rFonts w:hint="eastAsia"/>
          <w:sz w:val="26"/>
          <w:szCs w:val="26"/>
          <w:lang w:val="en-GB"/>
        </w:rPr>
        <w:t>ing</w:t>
      </w:r>
      <w:r w:rsidRPr="005E13B9">
        <w:rPr>
          <w:sz w:val="26"/>
          <w:szCs w:val="26"/>
          <w:lang w:val="en-GB"/>
        </w:rPr>
        <w:t xml:space="preserve"> dividends </w:t>
      </w:r>
      <w:r w:rsidR="008436B2" w:rsidRPr="005E13B9">
        <w:rPr>
          <w:rFonts w:hint="eastAsia"/>
          <w:sz w:val="26"/>
          <w:szCs w:val="26"/>
          <w:lang w:val="en-GB"/>
        </w:rPr>
        <w:t xml:space="preserve">to </w:t>
      </w:r>
      <w:r w:rsidR="008436B2" w:rsidRPr="005E13B9">
        <w:rPr>
          <w:sz w:val="26"/>
          <w:szCs w:val="26"/>
          <w:lang w:val="en-GB"/>
        </w:rPr>
        <w:t>avoid future pay-out commitments</w:t>
      </w:r>
      <w:r w:rsidRPr="005E13B9">
        <w:rPr>
          <w:sz w:val="26"/>
          <w:szCs w:val="26"/>
          <w:lang w:val="en-GB"/>
        </w:rPr>
        <w:t>.</w:t>
      </w:r>
    </w:p>
    <w:p w14:paraId="0A7B213B" w14:textId="77777777" w:rsidR="00562D71" w:rsidRPr="005E13B9" w:rsidRDefault="0013600E" w:rsidP="001C65C7">
      <w:pPr>
        <w:overflowPunct w:val="0"/>
        <w:adjustRightInd w:val="0"/>
        <w:ind w:firstLineChars="200" w:firstLine="520"/>
        <w:jc w:val="both"/>
        <w:outlineLvl w:val="1"/>
        <w:rPr>
          <w:sz w:val="26"/>
          <w:szCs w:val="26"/>
        </w:rPr>
      </w:pPr>
      <w:r w:rsidRPr="005E13B9">
        <w:rPr>
          <w:sz w:val="26"/>
          <w:szCs w:val="26"/>
        </w:rPr>
        <w:t>Moreover, the ownership and board structure have critical impacts on firm value</w:t>
      </w:r>
      <w:r w:rsidR="008436B2" w:rsidRPr="005E13B9">
        <w:rPr>
          <w:rFonts w:hint="eastAsia"/>
          <w:sz w:val="26"/>
          <w:szCs w:val="26"/>
        </w:rPr>
        <w:t>, which is supported by the literature</w:t>
      </w:r>
      <w:r w:rsidRPr="005E13B9">
        <w:rPr>
          <w:sz w:val="26"/>
          <w:szCs w:val="26"/>
        </w:rPr>
        <w:t xml:space="preserve">. For instance, Abed, Al-Attar, and Suwaidan (2012) reveal that board size is the only variable significantly </w:t>
      </w:r>
      <w:r w:rsidR="00E10A2F" w:rsidRPr="005E13B9">
        <w:rPr>
          <w:sz w:val="26"/>
          <w:szCs w:val="26"/>
        </w:rPr>
        <w:t xml:space="preserve">related </w:t>
      </w:r>
      <w:r w:rsidRPr="005E13B9">
        <w:rPr>
          <w:sz w:val="26"/>
          <w:szCs w:val="26"/>
        </w:rPr>
        <w:t>to earnings management. Brick and Chidambaran (2010) find that variables</w:t>
      </w:r>
      <w:r w:rsidR="00E10A2F" w:rsidRPr="005E13B9">
        <w:rPr>
          <w:rFonts w:hint="eastAsia"/>
          <w:sz w:val="26"/>
          <w:szCs w:val="26"/>
        </w:rPr>
        <w:t>,</w:t>
      </w:r>
      <w:r w:rsidRPr="005E13B9">
        <w:rPr>
          <w:sz w:val="26"/>
          <w:szCs w:val="26"/>
        </w:rPr>
        <w:t xml:space="preserve"> such as prior performance, firm characteristics, and governance characteristics</w:t>
      </w:r>
      <w:r w:rsidR="00E10A2F" w:rsidRPr="005E13B9">
        <w:rPr>
          <w:rFonts w:hint="eastAsia"/>
          <w:sz w:val="26"/>
          <w:szCs w:val="26"/>
        </w:rPr>
        <w:t>,</w:t>
      </w:r>
      <w:r w:rsidRPr="005E13B9">
        <w:rPr>
          <w:sz w:val="26"/>
          <w:szCs w:val="26"/>
        </w:rPr>
        <w:t xml:space="preserve"> are important determinants of </w:t>
      </w:r>
      <w:r w:rsidR="00E10A2F" w:rsidRPr="005E13B9">
        <w:rPr>
          <w:rFonts w:hint="eastAsia"/>
          <w:sz w:val="26"/>
          <w:szCs w:val="26"/>
        </w:rPr>
        <w:t xml:space="preserve">the </w:t>
      </w:r>
      <w:r w:rsidRPr="005E13B9">
        <w:rPr>
          <w:sz w:val="26"/>
          <w:szCs w:val="26"/>
        </w:rPr>
        <w:t>board structure</w:t>
      </w:r>
      <w:r w:rsidR="00E10A2F" w:rsidRPr="005E13B9">
        <w:rPr>
          <w:rFonts w:hint="eastAsia"/>
          <w:sz w:val="26"/>
          <w:szCs w:val="26"/>
        </w:rPr>
        <w:t>, indicating</w:t>
      </w:r>
      <w:r w:rsidRPr="005E13B9">
        <w:rPr>
          <w:sz w:val="26"/>
          <w:szCs w:val="26"/>
        </w:rPr>
        <w:t xml:space="preserve"> that well-functioned board structure has a positive impact on firm value. </w:t>
      </w:r>
      <w:r w:rsidR="00544656" w:rsidRPr="005E13B9">
        <w:rPr>
          <w:noProof/>
          <w:sz w:val="26"/>
          <w:szCs w:val="26"/>
        </w:rPr>
        <w:t>Min</w:t>
      </w:r>
      <w:r w:rsidR="00544656" w:rsidRPr="005E13B9">
        <w:rPr>
          <w:sz w:val="26"/>
          <w:szCs w:val="26"/>
        </w:rPr>
        <w:t xml:space="preserve"> and Verhoeven (2013) </w:t>
      </w:r>
      <w:r w:rsidR="00E10A2F" w:rsidRPr="005E13B9">
        <w:rPr>
          <w:rFonts w:hint="eastAsia"/>
          <w:sz w:val="26"/>
          <w:szCs w:val="26"/>
        </w:rPr>
        <w:t>show</w:t>
      </w:r>
      <w:r w:rsidR="00544656" w:rsidRPr="005E13B9">
        <w:rPr>
          <w:sz w:val="26"/>
          <w:szCs w:val="26"/>
        </w:rPr>
        <w:t xml:space="preserve"> that</w:t>
      </w:r>
      <w:r w:rsidR="00F85C79" w:rsidRPr="005E13B9">
        <w:rPr>
          <w:rFonts w:hint="eastAsia"/>
          <w:sz w:val="26"/>
          <w:szCs w:val="26"/>
        </w:rPr>
        <w:t xml:space="preserve"> </w:t>
      </w:r>
      <w:r w:rsidR="00E10A2F" w:rsidRPr="005E13B9">
        <w:rPr>
          <w:sz w:val="26"/>
          <w:szCs w:val="26"/>
        </w:rPr>
        <w:t>firm value</w:t>
      </w:r>
      <w:r w:rsidR="00E10A2F" w:rsidRPr="005E13B9">
        <w:rPr>
          <w:noProof/>
          <w:sz w:val="26"/>
          <w:szCs w:val="26"/>
        </w:rPr>
        <w:t xml:space="preserve"> </w:t>
      </w:r>
      <w:r w:rsidR="00E10A2F" w:rsidRPr="005E13B9">
        <w:rPr>
          <w:rFonts w:hint="eastAsia"/>
          <w:noProof/>
          <w:sz w:val="26"/>
          <w:szCs w:val="26"/>
        </w:rPr>
        <w:t xml:space="preserve">is </w:t>
      </w:r>
      <w:r w:rsidR="00E10A2F" w:rsidRPr="005E13B9">
        <w:rPr>
          <w:sz w:val="26"/>
          <w:szCs w:val="26"/>
        </w:rPr>
        <w:t>increase</w:t>
      </w:r>
      <w:r w:rsidR="00E10A2F" w:rsidRPr="005E13B9">
        <w:rPr>
          <w:rFonts w:hint="eastAsia"/>
          <w:sz w:val="26"/>
          <w:szCs w:val="26"/>
        </w:rPr>
        <w:t>d</w:t>
      </w:r>
      <w:r w:rsidR="00E10A2F" w:rsidRPr="005E13B9">
        <w:rPr>
          <w:noProof/>
          <w:sz w:val="26"/>
          <w:szCs w:val="26"/>
        </w:rPr>
        <w:t xml:space="preserve"> </w:t>
      </w:r>
      <w:r w:rsidR="00E10A2F" w:rsidRPr="005E13B9">
        <w:rPr>
          <w:rFonts w:hint="eastAsia"/>
          <w:noProof/>
          <w:sz w:val="26"/>
          <w:szCs w:val="26"/>
        </w:rPr>
        <w:t xml:space="preserve">by the </w:t>
      </w:r>
      <w:r w:rsidR="00544656" w:rsidRPr="005E13B9">
        <w:rPr>
          <w:sz w:val="26"/>
          <w:szCs w:val="26"/>
        </w:rPr>
        <w:t>monitoring activity</w:t>
      </w:r>
      <w:r w:rsidR="00E10A2F" w:rsidRPr="005E13B9">
        <w:rPr>
          <w:rFonts w:hint="eastAsia"/>
          <w:sz w:val="26"/>
          <w:szCs w:val="26"/>
        </w:rPr>
        <w:t xml:space="preserve"> of </w:t>
      </w:r>
      <w:r w:rsidR="00E10A2F" w:rsidRPr="005E13B9">
        <w:rPr>
          <w:noProof/>
          <w:sz w:val="26"/>
          <w:szCs w:val="26"/>
        </w:rPr>
        <w:t>outsider's</w:t>
      </w:r>
      <w:r w:rsidR="00E10A2F" w:rsidRPr="005E13B9">
        <w:rPr>
          <w:sz w:val="26"/>
          <w:szCs w:val="26"/>
        </w:rPr>
        <w:t xml:space="preserve"> board</w:t>
      </w:r>
      <w:r w:rsidR="00544656" w:rsidRPr="005E13B9">
        <w:rPr>
          <w:sz w:val="26"/>
          <w:szCs w:val="26"/>
        </w:rPr>
        <w:t xml:space="preserve">. </w:t>
      </w:r>
      <w:r w:rsidR="009F2017" w:rsidRPr="005E13B9">
        <w:rPr>
          <w:sz w:val="26"/>
          <w:szCs w:val="26"/>
        </w:rPr>
        <w:t xml:space="preserve">Upadhyay et al. (2017) </w:t>
      </w:r>
      <w:r w:rsidR="004713E2" w:rsidRPr="005E13B9">
        <w:rPr>
          <w:rFonts w:hint="eastAsia"/>
          <w:sz w:val="26"/>
          <w:szCs w:val="26"/>
        </w:rPr>
        <w:t>argue</w:t>
      </w:r>
      <w:r w:rsidR="009F2017" w:rsidRPr="005E13B9">
        <w:rPr>
          <w:sz w:val="26"/>
          <w:szCs w:val="26"/>
        </w:rPr>
        <w:t xml:space="preserve"> that firms with a greater insider ratio</w:t>
      </w:r>
      <w:r w:rsidR="00051746" w:rsidRPr="005E13B9">
        <w:rPr>
          <w:sz w:val="26"/>
          <w:szCs w:val="26"/>
        </w:rPr>
        <w:t xml:space="preserve"> could reduce firm risk</w:t>
      </w:r>
      <w:r w:rsidR="009F2017" w:rsidRPr="005E13B9">
        <w:rPr>
          <w:sz w:val="26"/>
          <w:szCs w:val="26"/>
        </w:rPr>
        <w:t xml:space="preserve"> </w:t>
      </w:r>
      <w:r w:rsidR="00051746" w:rsidRPr="005E13B9">
        <w:rPr>
          <w:sz w:val="26"/>
          <w:szCs w:val="26"/>
        </w:rPr>
        <w:t xml:space="preserve">and </w:t>
      </w:r>
      <w:r w:rsidR="009F2017" w:rsidRPr="005E13B9">
        <w:rPr>
          <w:sz w:val="26"/>
          <w:szCs w:val="26"/>
        </w:rPr>
        <w:t xml:space="preserve">perform better when they operate in highly volatile environments. </w:t>
      </w:r>
      <w:r w:rsidRPr="005E13B9">
        <w:rPr>
          <w:sz w:val="26"/>
          <w:szCs w:val="26"/>
        </w:rPr>
        <w:t>Barton and Simko (2002) report that share prices</w:t>
      </w:r>
      <w:r w:rsidR="00E10A2F" w:rsidRPr="005E13B9">
        <w:rPr>
          <w:rFonts w:hint="eastAsia"/>
          <w:sz w:val="26"/>
          <w:szCs w:val="26"/>
        </w:rPr>
        <w:t xml:space="preserve"> would </w:t>
      </w:r>
      <w:r w:rsidR="003F32C1" w:rsidRPr="005E13B9">
        <w:rPr>
          <w:rFonts w:hint="eastAsia"/>
          <w:sz w:val="26"/>
          <w:szCs w:val="26"/>
        </w:rPr>
        <w:t xml:space="preserve">be </w:t>
      </w:r>
      <w:r w:rsidRPr="005E13B9">
        <w:rPr>
          <w:sz w:val="26"/>
          <w:szCs w:val="26"/>
        </w:rPr>
        <w:t>increase</w:t>
      </w:r>
      <w:r w:rsidR="003F32C1" w:rsidRPr="005E13B9">
        <w:rPr>
          <w:rFonts w:hint="eastAsia"/>
          <w:sz w:val="26"/>
          <w:szCs w:val="26"/>
        </w:rPr>
        <w:t>d</w:t>
      </w:r>
      <w:r w:rsidRPr="005E13B9">
        <w:rPr>
          <w:sz w:val="26"/>
          <w:szCs w:val="26"/>
        </w:rPr>
        <w:t xml:space="preserve"> when </w:t>
      </w:r>
      <w:r w:rsidR="00E10A2F" w:rsidRPr="005E13B9">
        <w:rPr>
          <w:rFonts w:hint="eastAsia"/>
          <w:sz w:val="26"/>
          <w:szCs w:val="26"/>
        </w:rPr>
        <w:t>the firm</w:t>
      </w:r>
      <w:r w:rsidRPr="005E13B9">
        <w:rPr>
          <w:sz w:val="26"/>
          <w:szCs w:val="26"/>
        </w:rPr>
        <w:t xml:space="preserve">s are able to exhibit </w:t>
      </w:r>
      <w:r w:rsidR="00E10A2F" w:rsidRPr="005E13B9">
        <w:rPr>
          <w:rFonts w:hint="eastAsia"/>
          <w:sz w:val="26"/>
          <w:szCs w:val="26"/>
        </w:rPr>
        <w:t xml:space="preserve">the </w:t>
      </w:r>
      <w:r w:rsidRPr="005E13B9">
        <w:rPr>
          <w:sz w:val="26"/>
          <w:szCs w:val="26"/>
        </w:rPr>
        <w:t>improve</w:t>
      </w:r>
      <w:r w:rsidR="00E10A2F" w:rsidRPr="005E13B9">
        <w:rPr>
          <w:rFonts w:hint="eastAsia"/>
          <w:sz w:val="26"/>
          <w:szCs w:val="26"/>
        </w:rPr>
        <w:t>ment of</w:t>
      </w:r>
      <w:r w:rsidRPr="005E13B9">
        <w:rPr>
          <w:sz w:val="26"/>
          <w:szCs w:val="26"/>
        </w:rPr>
        <w:t xml:space="preserve"> asset management.</w:t>
      </w:r>
      <w:r w:rsidR="00544656" w:rsidRPr="005E13B9">
        <w:rPr>
          <w:sz w:val="26"/>
          <w:szCs w:val="26"/>
        </w:rPr>
        <w:t xml:space="preserve"> </w:t>
      </w:r>
    </w:p>
    <w:p w14:paraId="30B67D32" w14:textId="77777777" w:rsidR="002510B0" w:rsidRPr="005E13B9" w:rsidRDefault="0013600E" w:rsidP="001C65C7">
      <w:pPr>
        <w:overflowPunct w:val="0"/>
        <w:adjustRightInd w:val="0"/>
        <w:ind w:firstLineChars="200" w:firstLine="520"/>
        <w:jc w:val="both"/>
        <w:outlineLvl w:val="1"/>
        <w:rPr>
          <w:sz w:val="26"/>
          <w:szCs w:val="26"/>
        </w:rPr>
      </w:pPr>
      <w:r w:rsidRPr="005E13B9">
        <w:rPr>
          <w:sz w:val="26"/>
          <w:szCs w:val="26"/>
        </w:rPr>
        <w:t>In addition, financial performance is likely rev</w:t>
      </w:r>
      <w:r w:rsidR="004713E2" w:rsidRPr="005E13B9">
        <w:rPr>
          <w:sz w:val="26"/>
          <w:szCs w:val="26"/>
        </w:rPr>
        <w:t xml:space="preserve">ealed by financial statements. </w:t>
      </w:r>
      <w:r w:rsidRPr="005E13B9">
        <w:rPr>
          <w:sz w:val="26"/>
          <w:szCs w:val="26"/>
        </w:rPr>
        <w:t xml:space="preserve">Ni, Liao, and Huang (2017) </w:t>
      </w:r>
      <w:r w:rsidR="004713E2" w:rsidRPr="005E13B9">
        <w:rPr>
          <w:rFonts w:hint="eastAsia"/>
          <w:sz w:val="26"/>
          <w:szCs w:val="26"/>
        </w:rPr>
        <w:t>claim</w:t>
      </w:r>
      <w:r w:rsidRPr="005E13B9">
        <w:rPr>
          <w:sz w:val="26"/>
          <w:szCs w:val="26"/>
        </w:rPr>
        <w:t xml:space="preserve"> that corporate governance and financial performance are related to the shareholding change of foreign institutions. Besides, the financial risk of a firm may decline if the firm has a relatively high current ratio (Borokhovich et al., 2004).</w:t>
      </w:r>
    </w:p>
    <w:p w14:paraId="092DC127" w14:textId="2E5CB9DA" w:rsidR="00A23DA1" w:rsidRPr="005E13B9" w:rsidRDefault="00A23DA1" w:rsidP="001C65C7">
      <w:pPr>
        <w:widowControl/>
        <w:overflowPunct w:val="0"/>
        <w:ind w:firstLineChars="200" w:firstLine="520"/>
        <w:rPr>
          <w:sz w:val="26"/>
          <w:szCs w:val="26"/>
        </w:rPr>
      </w:pPr>
    </w:p>
    <w:p w14:paraId="3F27A59A" w14:textId="2E4241AA" w:rsidR="00A23DA1" w:rsidRPr="005E13B9" w:rsidRDefault="00572EF8" w:rsidP="001C65C7">
      <w:pPr>
        <w:widowControl/>
        <w:overflowPunct w:val="0"/>
        <w:rPr>
          <w:sz w:val="26"/>
          <w:szCs w:val="26"/>
        </w:rPr>
      </w:pPr>
      <w:r w:rsidRPr="005E13B9">
        <w:rPr>
          <w:b/>
          <w:sz w:val="26"/>
          <w:szCs w:val="26"/>
        </w:rPr>
        <w:t xml:space="preserve">Corporate </w:t>
      </w:r>
      <w:r w:rsidR="00D001BC" w:rsidRPr="005E13B9">
        <w:rPr>
          <w:b/>
          <w:sz w:val="26"/>
          <w:szCs w:val="26"/>
        </w:rPr>
        <w:t xml:space="preserve">Name </w:t>
      </w:r>
      <w:r w:rsidR="0013600E" w:rsidRPr="005E13B9">
        <w:rPr>
          <w:b/>
          <w:sz w:val="26"/>
          <w:szCs w:val="26"/>
        </w:rPr>
        <w:t xml:space="preserve">or </w:t>
      </w:r>
      <w:r w:rsidR="00425BF7" w:rsidRPr="005E13B9">
        <w:rPr>
          <w:b/>
          <w:sz w:val="26"/>
          <w:szCs w:val="26"/>
        </w:rPr>
        <w:t>Industry Category Change</w:t>
      </w:r>
      <w:r w:rsidR="00425BF7" w:rsidRPr="005E13B9">
        <w:rPr>
          <w:rFonts w:eastAsia="標楷體"/>
          <w:b/>
          <w:sz w:val="26"/>
          <w:szCs w:val="26"/>
        </w:rPr>
        <w:t xml:space="preserve"> </w:t>
      </w:r>
      <w:r w:rsidR="0013600E" w:rsidRPr="005E13B9">
        <w:rPr>
          <w:rFonts w:eastAsia="標楷體"/>
          <w:b/>
          <w:sz w:val="26"/>
          <w:szCs w:val="26"/>
        </w:rPr>
        <w:t xml:space="preserve">and </w:t>
      </w:r>
      <w:r w:rsidR="00425BF7" w:rsidRPr="005E13B9">
        <w:rPr>
          <w:rFonts w:eastAsia="標楷體"/>
          <w:b/>
          <w:sz w:val="26"/>
          <w:szCs w:val="26"/>
        </w:rPr>
        <w:t>Institutional Investors</w:t>
      </w:r>
    </w:p>
    <w:p w14:paraId="31FE2174" w14:textId="77777777" w:rsidR="00562D71" w:rsidRPr="005E13B9" w:rsidRDefault="008B04D3" w:rsidP="001C65C7">
      <w:pPr>
        <w:widowControl/>
        <w:overflowPunct w:val="0"/>
        <w:ind w:firstLineChars="200" w:firstLine="520"/>
        <w:jc w:val="both"/>
        <w:rPr>
          <w:rFonts w:eastAsia="標楷體"/>
          <w:sz w:val="26"/>
          <w:szCs w:val="26"/>
        </w:rPr>
      </w:pPr>
      <w:r w:rsidRPr="005E13B9">
        <w:rPr>
          <w:sz w:val="26"/>
          <w:szCs w:val="26"/>
        </w:rPr>
        <w:lastRenderedPageBreak/>
        <w:t>A</w:t>
      </w:r>
      <w:r w:rsidRPr="005E13B9">
        <w:rPr>
          <w:rFonts w:hint="eastAsia"/>
          <w:sz w:val="26"/>
          <w:szCs w:val="26"/>
        </w:rPr>
        <w:t>fter reviewing</w:t>
      </w:r>
      <w:r w:rsidR="0013600E" w:rsidRPr="005E13B9">
        <w:rPr>
          <w:sz w:val="26"/>
          <w:szCs w:val="26"/>
        </w:rPr>
        <w:t xml:space="preserve"> the previous literature, studies directly relate to </w:t>
      </w:r>
      <w:r w:rsidR="00572EF8" w:rsidRPr="005E13B9">
        <w:rPr>
          <w:sz w:val="26"/>
          <w:szCs w:val="26"/>
        </w:rPr>
        <w:t xml:space="preserve">corporate </w:t>
      </w:r>
      <w:r w:rsidR="00B52E67" w:rsidRPr="005E13B9">
        <w:rPr>
          <w:rFonts w:hint="eastAsia"/>
          <w:sz w:val="26"/>
          <w:szCs w:val="26"/>
        </w:rPr>
        <w:t>n</w:t>
      </w:r>
      <w:r w:rsidR="00572EF8" w:rsidRPr="005E13B9">
        <w:rPr>
          <w:sz w:val="26"/>
          <w:szCs w:val="26"/>
        </w:rPr>
        <w:t>ame</w:t>
      </w:r>
      <w:r w:rsidR="00B52E67" w:rsidRPr="005E13B9">
        <w:rPr>
          <w:rFonts w:hint="eastAsia"/>
          <w:sz w:val="26"/>
          <w:szCs w:val="26"/>
        </w:rPr>
        <w:t xml:space="preserve"> </w:t>
      </w:r>
      <w:r w:rsidR="0013600E" w:rsidRPr="005E13B9">
        <w:rPr>
          <w:bCs/>
          <w:sz w:val="26"/>
          <w:szCs w:val="26"/>
        </w:rPr>
        <w:t>change</w:t>
      </w:r>
      <w:r w:rsidR="0013600E" w:rsidRPr="005E13B9">
        <w:rPr>
          <w:sz w:val="26"/>
          <w:szCs w:val="26"/>
        </w:rPr>
        <w:t xml:space="preserve"> and </w:t>
      </w:r>
      <w:r w:rsidR="0013600E" w:rsidRPr="005E13B9">
        <w:rPr>
          <w:rFonts w:eastAsia="標楷體"/>
          <w:sz w:val="26"/>
          <w:szCs w:val="26"/>
        </w:rPr>
        <w:t>institutional investors are rarely explored. However, we presume that some other financial outcomes of firms can present their performances</w:t>
      </w:r>
      <w:r w:rsidR="00041B53" w:rsidRPr="005E13B9">
        <w:rPr>
          <w:rFonts w:eastAsia="標楷體"/>
          <w:sz w:val="26"/>
          <w:szCs w:val="26"/>
        </w:rPr>
        <w:t>,</w:t>
      </w:r>
      <w:r w:rsidR="0013600E" w:rsidRPr="005E13B9">
        <w:rPr>
          <w:rFonts w:eastAsia="標楷體"/>
          <w:sz w:val="26"/>
          <w:szCs w:val="26"/>
        </w:rPr>
        <w:t xml:space="preserve"> </w:t>
      </w:r>
      <w:r w:rsidR="0013600E" w:rsidRPr="005E13B9">
        <w:rPr>
          <w:rFonts w:eastAsia="標楷體"/>
          <w:noProof/>
          <w:sz w:val="26"/>
          <w:szCs w:val="26"/>
        </w:rPr>
        <w:t>which</w:t>
      </w:r>
      <w:r w:rsidR="0013600E" w:rsidRPr="005E13B9">
        <w:rPr>
          <w:rFonts w:eastAsia="標楷體"/>
          <w:sz w:val="26"/>
          <w:szCs w:val="26"/>
        </w:rPr>
        <w:t xml:space="preserve"> may be the main factor attracting institutional investors to invest. Th</w:t>
      </w:r>
      <w:r w:rsidR="00F76001" w:rsidRPr="005E13B9">
        <w:rPr>
          <w:rFonts w:eastAsia="標楷體" w:hint="eastAsia"/>
          <w:sz w:val="26"/>
          <w:szCs w:val="26"/>
        </w:rPr>
        <w:t>us</w:t>
      </w:r>
      <w:r w:rsidR="0013600E" w:rsidRPr="005E13B9">
        <w:rPr>
          <w:rFonts w:eastAsia="標楷體"/>
          <w:sz w:val="26"/>
          <w:szCs w:val="26"/>
        </w:rPr>
        <w:t xml:space="preserve">, we explore the impact of </w:t>
      </w:r>
      <w:r w:rsidR="00572EF8" w:rsidRPr="005E13B9">
        <w:rPr>
          <w:rFonts w:eastAsia="標楷體"/>
          <w:sz w:val="26"/>
          <w:szCs w:val="26"/>
        </w:rPr>
        <w:t xml:space="preserve">corporate </w:t>
      </w:r>
      <w:r w:rsidR="00355B1B" w:rsidRPr="005E13B9">
        <w:rPr>
          <w:rFonts w:eastAsia="標楷體" w:hint="eastAsia"/>
          <w:sz w:val="26"/>
          <w:szCs w:val="26"/>
        </w:rPr>
        <w:t>n</w:t>
      </w:r>
      <w:r w:rsidR="00572EF8" w:rsidRPr="005E13B9">
        <w:rPr>
          <w:rFonts w:eastAsia="標楷體"/>
          <w:sz w:val="26"/>
          <w:szCs w:val="26"/>
        </w:rPr>
        <w:t>ame</w:t>
      </w:r>
      <w:r w:rsidR="00355B1B" w:rsidRPr="005E13B9">
        <w:rPr>
          <w:rFonts w:eastAsia="標楷體" w:hint="eastAsia"/>
          <w:sz w:val="26"/>
          <w:szCs w:val="26"/>
        </w:rPr>
        <w:t xml:space="preserve"> </w:t>
      </w:r>
      <w:r w:rsidR="0013600E" w:rsidRPr="005E13B9">
        <w:rPr>
          <w:rFonts w:eastAsia="標楷體"/>
          <w:sz w:val="26"/>
          <w:szCs w:val="26"/>
        </w:rPr>
        <w:t xml:space="preserve">change on </w:t>
      </w:r>
      <w:r w:rsidR="00041B53" w:rsidRPr="005E13B9">
        <w:rPr>
          <w:rFonts w:eastAsia="標楷體"/>
          <w:noProof/>
          <w:sz w:val="26"/>
          <w:szCs w:val="26"/>
        </w:rPr>
        <w:t xml:space="preserve">the </w:t>
      </w:r>
      <w:r w:rsidR="0013600E" w:rsidRPr="005E13B9">
        <w:rPr>
          <w:rFonts w:eastAsia="標楷體"/>
          <w:noProof/>
          <w:sz w:val="26"/>
          <w:szCs w:val="26"/>
        </w:rPr>
        <w:t>shareholding</w:t>
      </w:r>
      <w:r w:rsidR="0013600E" w:rsidRPr="005E13B9">
        <w:rPr>
          <w:rFonts w:eastAsia="標楷體"/>
          <w:sz w:val="26"/>
          <w:szCs w:val="26"/>
        </w:rPr>
        <w:t xml:space="preserve"> of institutional investors</w:t>
      </w:r>
      <w:r w:rsidR="006770B8" w:rsidRPr="005E13B9">
        <w:rPr>
          <w:rFonts w:eastAsia="標楷體" w:hint="eastAsia"/>
          <w:sz w:val="26"/>
          <w:szCs w:val="26"/>
        </w:rPr>
        <w:t xml:space="preserve"> in this paper</w:t>
      </w:r>
      <w:r w:rsidR="0013600E" w:rsidRPr="005E13B9">
        <w:rPr>
          <w:rFonts w:eastAsia="標楷體"/>
          <w:sz w:val="26"/>
          <w:szCs w:val="26"/>
        </w:rPr>
        <w:t>.</w:t>
      </w:r>
    </w:p>
    <w:p w14:paraId="7D561E27" w14:textId="77777777" w:rsidR="00562D71" w:rsidRPr="005E13B9" w:rsidRDefault="0013600E" w:rsidP="001C65C7">
      <w:pPr>
        <w:overflowPunct w:val="0"/>
        <w:adjustRightInd w:val="0"/>
        <w:ind w:firstLineChars="200" w:firstLine="520"/>
        <w:jc w:val="both"/>
        <w:outlineLvl w:val="1"/>
        <w:rPr>
          <w:sz w:val="26"/>
          <w:szCs w:val="26"/>
        </w:rPr>
      </w:pPr>
      <w:r w:rsidRPr="005E13B9">
        <w:rPr>
          <w:kern w:val="0"/>
          <w:sz w:val="26"/>
          <w:szCs w:val="26"/>
        </w:rPr>
        <w:t xml:space="preserve">As mentioned in </w:t>
      </w:r>
      <w:r w:rsidR="00605490" w:rsidRPr="005E13B9">
        <w:rPr>
          <w:rFonts w:hint="eastAsia"/>
          <w:kern w:val="0"/>
          <w:sz w:val="26"/>
          <w:szCs w:val="26"/>
        </w:rPr>
        <w:t xml:space="preserve">the </w:t>
      </w:r>
      <w:r w:rsidR="002D6D11" w:rsidRPr="005E13B9">
        <w:rPr>
          <w:rFonts w:hint="eastAsia"/>
          <w:kern w:val="0"/>
          <w:sz w:val="26"/>
          <w:szCs w:val="26"/>
        </w:rPr>
        <w:t>literature review section for c</w:t>
      </w:r>
      <w:r w:rsidR="002D6D11" w:rsidRPr="005E13B9">
        <w:rPr>
          <w:kern w:val="0"/>
          <w:sz w:val="26"/>
          <w:szCs w:val="26"/>
        </w:rPr>
        <w:t>orporate name or industry category change</w:t>
      </w:r>
      <w:r w:rsidRPr="005E13B9">
        <w:rPr>
          <w:kern w:val="0"/>
          <w:sz w:val="26"/>
          <w:szCs w:val="26"/>
        </w:rPr>
        <w:t xml:space="preserve">, we find that most of the studies have similar conclusion, </w:t>
      </w:r>
      <w:r w:rsidRPr="005E13B9">
        <w:rPr>
          <w:noProof/>
          <w:kern w:val="0"/>
          <w:sz w:val="26"/>
          <w:szCs w:val="26"/>
        </w:rPr>
        <w:t>i.e.</w:t>
      </w:r>
      <w:r w:rsidR="00041B53" w:rsidRPr="005E13B9">
        <w:rPr>
          <w:noProof/>
          <w:kern w:val="0"/>
          <w:sz w:val="26"/>
          <w:szCs w:val="26"/>
        </w:rPr>
        <w:t>,</w:t>
      </w:r>
      <w:r w:rsidRPr="005E13B9">
        <w:rPr>
          <w:kern w:val="0"/>
          <w:sz w:val="26"/>
          <w:szCs w:val="26"/>
        </w:rPr>
        <w:t xml:space="preserve"> changing </w:t>
      </w:r>
      <w:r w:rsidR="00572EF8" w:rsidRPr="005E13B9">
        <w:rPr>
          <w:kern w:val="0"/>
          <w:sz w:val="26"/>
          <w:szCs w:val="26"/>
        </w:rPr>
        <w:t xml:space="preserve">corporate </w:t>
      </w:r>
      <w:r w:rsidR="00355B1B" w:rsidRPr="005E13B9">
        <w:rPr>
          <w:rFonts w:hint="eastAsia"/>
          <w:kern w:val="0"/>
          <w:sz w:val="26"/>
          <w:szCs w:val="26"/>
        </w:rPr>
        <w:t>n</w:t>
      </w:r>
      <w:r w:rsidR="00572EF8" w:rsidRPr="005E13B9">
        <w:rPr>
          <w:kern w:val="0"/>
          <w:sz w:val="26"/>
          <w:szCs w:val="26"/>
        </w:rPr>
        <w:t>ame</w:t>
      </w:r>
      <w:r w:rsidR="00355B1B" w:rsidRPr="005E13B9">
        <w:rPr>
          <w:rFonts w:hint="eastAsia"/>
          <w:kern w:val="0"/>
          <w:sz w:val="26"/>
          <w:szCs w:val="26"/>
        </w:rPr>
        <w:t xml:space="preserve"> </w:t>
      </w:r>
      <w:r w:rsidRPr="005E13B9">
        <w:rPr>
          <w:kern w:val="0"/>
          <w:sz w:val="26"/>
          <w:szCs w:val="26"/>
        </w:rPr>
        <w:t>would not increase the firm’s stock price in the long term (</w:t>
      </w:r>
      <w:r w:rsidR="002D6D11" w:rsidRPr="005E13B9">
        <w:rPr>
          <w:bCs/>
          <w:kern w:val="0"/>
          <w:sz w:val="26"/>
          <w:szCs w:val="26"/>
        </w:rPr>
        <w:t>Bosch and Hirschey, 1989</w:t>
      </w:r>
      <w:r w:rsidR="009E4739" w:rsidRPr="005E13B9">
        <w:rPr>
          <w:kern w:val="0"/>
          <w:sz w:val="26"/>
          <w:szCs w:val="26"/>
        </w:rPr>
        <w:t xml:space="preserve">; </w:t>
      </w:r>
      <w:r w:rsidR="009E4739" w:rsidRPr="005E13B9">
        <w:rPr>
          <w:bCs/>
          <w:kern w:val="0"/>
          <w:sz w:val="26"/>
          <w:szCs w:val="26"/>
        </w:rPr>
        <w:t>Itzkowitz &amp; Itzkowitz, 2017</w:t>
      </w:r>
      <w:r w:rsidR="002D6D11" w:rsidRPr="005E13B9">
        <w:rPr>
          <w:rFonts w:hint="eastAsia"/>
          <w:bCs/>
          <w:kern w:val="0"/>
          <w:sz w:val="26"/>
          <w:szCs w:val="26"/>
        </w:rPr>
        <w:t xml:space="preserve">; </w:t>
      </w:r>
      <w:r w:rsidR="002D6D11" w:rsidRPr="005E13B9">
        <w:rPr>
          <w:kern w:val="0"/>
          <w:sz w:val="26"/>
          <w:szCs w:val="26"/>
        </w:rPr>
        <w:t>Karbhari, Muhamad Sori, and Mohamad, 2004;</w:t>
      </w:r>
      <w:r w:rsidR="002D6D11" w:rsidRPr="005E13B9">
        <w:rPr>
          <w:rFonts w:hint="eastAsia"/>
          <w:kern w:val="0"/>
          <w:sz w:val="26"/>
          <w:szCs w:val="26"/>
        </w:rPr>
        <w:t xml:space="preserve"> </w:t>
      </w:r>
      <w:r w:rsidR="002D6D11" w:rsidRPr="005E13B9">
        <w:rPr>
          <w:kern w:val="0"/>
          <w:sz w:val="26"/>
          <w:szCs w:val="26"/>
        </w:rPr>
        <w:t>Karpoff and Rankine, 1994;</w:t>
      </w:r>
      <w:r w:rsidR="002D6D11" w:rsidRPr="005E13B9">
        <w:rPr>
          <w:rFonts w:hint="eastAsia"/>
          <w:kern w:val="0"/>
          <w:sz w:val="26"/>
          <w:szCs w:val="26"/>
        </w:rPr>
        <w:t xml:space="preserve"> </w:t>
      </w:r>
      <w:r w:rsidRPr="005E13B9">
        <w:rPr>
          <w:kern w:val="0"/>
          <w:sz w:val="26"/>
          <w:szCs w:val="26"/>
        </w:rPr>
        <w:t>Kot, 2011) and even have</w:t>
      </w:r>
      <w:r w:rsidRPr="005E13B9">
        <w:rPr>
          <w:iCs/>
          <w:kern w:val="0"/>
          <w:sz w:val="26"/>
          <w:szCs w:val="26"/>
        </w:rPr>
        <w:t xml:space="preserve"> a negative association with abnormal returns of the firm (Josev, Chan, </w:t>
      </w:r>
      <w:r w:rsidR="00001174" w:rsidRPr="005E13B9">
        <w:rPr>
          <w:rFonts w:hint="eastAsia"/>
          <w:iCs/>
          <w:kern w:val="0"/>
          <w:sz w:val="26"/>
          <w:szCs w:val="26"/>
        </w:rPr>
        <w:t>&amp;</w:t>
      </w:r>
      <w:r w:rsidRPr="005E13B9">
        <w:rPr>
          <w:iCs/>
          <w:kern w:val="0"/>
          <w:sz w:val="26"/>
          <w:szCs w:val="26"/>
        </w:rPr>
        <w:t xml:space="preserve"> Faff, 2004).</w:t>
      </w:r>
      <w:r w:rsidRPr="005E13B9">
        <w:rPr>
          <w:kern w:val="0"/>
          <w:sz w:val="26"/>
          <w:szCs w:val="26"/>
        </w:rPr>
        <w:t xml:space="preserve"> However, some researchers </w:t>
      </w:r>
      <w:r w:rsidR="006770B8" w:rsidRPr="005E13B9">
        <w:rPr>
          <w:rFonts w:hint="eastAsia"/>
          <w:kern w:val="0"/>
          <w:sz w:val="26"/>
          <w:szCs w:val="26"/>
        </w:rPr>
        <w:t>report</w:t>
      </w:r>
      <w:r w:rsidRPr="005E13B9">
        <w:rPr>
          <w:kern w:val="0"/>
          <w:sz w:val="26"/>
          <w:szCs w:val="26"/>
        </w:rPr>
        <w:t xml:space="preserve"> the opposite results. For example, Lee (2001) reveals </w:t>
      </w:r>
      <w:r w:rsidRPr="005E13B9">
        <w:rPr>
          <w:sz w:val="26"/>
          <w:szCs w:val="26"/>
        </w:rPr>
        <w:t xml:space="preserve">that announcements of </w:t>
      </w:r>
      <w:r w:rsidR="00CD4E09" w:rsidRPr="005E13B9">
        <w:rPr>
          <w:sz w:val="26"/>
          <w:szCs w:val="26"/>
        </w:rPr>
        <w:t>“</w:t>
      </w:r>
      <w:r w:rsidRPr="005E13B9">
        <w:rPr>
          <w:noProof/>
          <w:sz w:val="26"/>
          <w:szCs w:val="26"/>
        </w:rPr>
        <w:t>.com</w:t>
      </w:r>
      <w:r w:rsidR="00041B53" w:rsidRPr="005E13B9">
        <w:rPr>
          <w:noProof/>
          <w:sz w:val="26"/>
          <w:szCs w:val="26"/>
        </w:rPr>
        <w:t>.</w:t>
      </w:r>
      <w:r w:rsidR="00CD4E09" w:rsidRPr="005E13B9">
        <w:rPr>
          <w:sz w:val="26"/>
          <w:szCs w:val="26"/>
        </w:rPr>
        <w:t>”</w:t>
      </w:r>
      <w:r w:rsidRPr="005E13B9">
        <w:rPr>
          <w:sz w:val="26"/>
          <w:szCs w:val="26"/>
        </w:rPr>
        <w:t xml:space="preserve"> name changes are in relation to significant increases in stock prices and trading activity. Furthermore, the magnitude of investor reactions is significantly larger when name changes are accompanied by business strategies. Thus, we argue that these findings revealed might encourage </w:t>
      </w:r>
      <w:r w:rsidRPr="005E13B9">
        <w:rPr>
          <w:rFonts w:eastAsia="標楷體"/>
          <w:sz w:val="26"/>
          <w:szCs w:val="26"/>
        </w:rPr>
        <w:t>institutional investors to increase the shareholding of the firms.</w:t>
      </w:r>
    </w:p>
    <w:p w14:paraId="6BCFB527" w14:textId="2DC113D3" w:rsidR="00562D71" w:rsidRPr="005E13B9" w:rsidRDefault="0013600E" w:rsidP="001C65C7">
      <w:pPr>
        <w:overflowPunct w:val="0"/>
        <w:adjustRightInd w:val="0"/>
        <w:ind w:firstLineChars="200" w:firstLine="520"/>
        <w:jc w:val="both"/>
        <w:outlineLvl w:val="1"/>
        <w:rPr>
          <w:kern w:val="0"/>
          <w:sz w:val="26"/>
          <w:szCs w:val="26"/>
        </w:rPr>
      </w:pPr>
      <w:r w:rsidRPr="005E13B9">
        <w:rPr>
          <w:kern w:val="0"/>
          <w:sz w:val="26"/>
          <w:szCs w:val="26"/>
        </w:rPr>
        <w:t xml:space="preserve">To our best understanding, the firms changing industry </w:t>
      </w:r>
      <w:r w:rsidR="007474CA" w:rsidRPr="005E13B9">
        <w:rPr>
          <w:kern w:val="0"/>
          <w:sz w:val="26"/>
          <w:szCs w:val="26"/>
        </w:rPr>
        <w:t>category</w:t>
      </w:r>
      <w:r w:rsidRPr="005E13B9">
        <w:rPr>
          <w:kern w:val="0"/>
          <w:sz w:val="26"/>
          <w:szCs w:val="26"/>
        </w:rPr>
        <w:t xml:space="preserve"> is seldom explored and even is unexplored in the relevant studies. Even so, we endeavor to find </w:t>
      </w:r>
      <w:r w:rsidRPr="005E13B9">
        <w:rPr>
          <w:noProof/>
          <w:kern w:val="0"/>
          <w:sz w:val="26"/>
          <w:szCs w:val="26"/>
        </w:rPr>
        <w:t>few</w:t>
      </w:r>
      <w:r w:rsidRPr="005E13B9">
        <w:rPr>
          <w:kern w:val="0"/>
          <w:sz w:val="26"/>
          <w:szCs w:val="26"/>
        </w:rPr>
        <w:t xml:space="preserve"> papers similar to this issue. For instance, Morris et al. (2001) investigate the reasons for the recent mergers in the retail finance </w:t>
      </w:r>
      <w:r w:rsidR="007474CA" w:rsidRPr="005E13B9">
        <w:rPr>
          <w:kern w:val="0"/>
          <w:sz w:val="26"/>
          <w:szCs w:val="26"/>
        </w:rPr>
        <w:t>category</w:t>
      </w:r>
      <w:r w:rsidRPr="005E13B9">
        <w:rPr>
          <w:kern w:val="0"/>
          <w:sz w:val="26"/>
          <w:szCs w:val="26"/>
        </w:rPr>
        <w:t xml:space="preserve"> and find that the mergers have been explained by environmental changes adversely affecting membership and finances. Jacobides (2005) points out that </w:t>
      </w:r>
      <w:r w:rsidR="00CD4E09" w:rsidRPr="005E13B9">
        <w:rPr>
          <w:rFonts w:hint="eastAsia"/>
          <w:kern w:val="0"/>
          <w:sz w:val="26"/>
          <w:szCs w:val="26"/>
        </w:rPr>
        <w:t xml:space="preserve">the </w:t>
      </w:r>
      <w:r w:rsidR="00406CC3" w:rsidRPr="005E13B9">
        <w:rPr>
          <w:kern w:val="0"/>
          <w:sz w:val="26"/>
          <w:szCs w:val="26"/>
        </w:rPr>
        <w:t>development</w:t>
      </w:r>
      <w:r w:rsidR="00406CC3" w:rsidRPr="005E13B9">
        <w:rPr>
          <w:rFonts w:hint="eastAsia"/>
          <w:kern w:val="0"/>
          <w:sz w:val="26"/>
          <w:szCs w:val="26"/>
        </w:rPr>
        <w:t xml:space="preserve"> of </w:t>
      </w:r>
      <w:r w:rsidRPr="005E13B9">
        <w:rPr>
          <w:kern w:val="0"/>
          <w:sz w:val="26"/>
          <w:szCs w:val="26"/>
        </w:rPr>
        <w:t>new intermediate markets break</w:t>
      </w:r>
      <w:r w:rsidR="00406CC3" w:rsidRPr="005E13B9">
        <w:rPr>
          <w:rFonts w:hint="eastAsia"/>
          <w:kern w:val="0"/>
          <w:sz w:val="26"/>
          <w:szCs w:val="26"/>
        </w:rPr>
        <w:t>s</w:t>
      </w:r>
      <w:r w:rsidRPr="005E13B9">
        <w:rPr>
          <w:kern w:val="0"/>
          <w:sz w:val="26"/>
          <w:szCs w:val="26"/>
        </w:rPr>
        <w:t xml:space="preserve"> up the value chain</w:t>
      </w:r>
      <w:r w:rsidR="00406CC3" w:rsidRPr="005E13B9">
        <w:rPr>
          <w:rFonts w:hint="eastAsia"/>
          <w:kern w:val="0"/>
          <w:sz w:val="26"/>
          <w:szCs w:val="26"/>
        </w:rPr>
        <w:t xml:space="preserve"> and</w:t>
      </w:r>
      <w:r w:rsidRPr="005E13B9">
        <w:rPr>
          <w:kern w:val="0"/>
          <w:sz w:val="26"/>
          <w:szCs w:val="26"/>
        </w:rPr>
        <w:t xml:space="preserve"> allow</w:t>
      </w:r>
      <w:r w:rsidR="00406CC3" w:rsidRPr="005E13B9">
        <w:rPr>
          <w:rFonts w:hint="eastAsia"/>
          <w:kern w:val="0"/>
          <w:sz w:val="26"/>
          <w:szCs w:val="26"/>
        </w:rPr>
        <w:t>s</w:t>
      </w:r>
      <w:r w:rsidRPr="005E13B9">
        <w:rPr>
          <w:kern w:val="0"/>
          <w:sz w:val="26"/>
          <w:szCs w:val="26"/>
        </w:rPr>
        <w:t xml:space="preserve"> new types of vertically specialized firms to participate in an industry, </w:t>
      </w:r>
      <w:r w:rsidR="00406CC3" w:rsidRPr="005E13B9">
        <w:rPr>
          <w:rFonts w:hint="eastAsia"/>
          <w:kern w:val="0"/>
          <w:sz w:val="26"/>
          <w:szCs w:val="26"/>
        </w:rPr>
        <w:t>which</w:t>
      </w:r>
      <w:r w:rsidRPr="005E13B9">
        <w:rPr>
          <w:kern w:val="0"/>
          <w:sz w:val="26"/>
          <w:szCs w:val="26"/>
        </w:rPr>
        <w:t xml:space="preserve"> chang</w:t>
      </w:r>
      <w:r w:rsidR="00406CC3" w:rsidRPr="005E13B9">
        <w:rPr>
          <w:rFonts w:hint="eastAsia"/>
          <w:kern w:val="0"/>
          <w:sz w:val="26"/>
          <w:szCs w:val="26"/>
        </w:rPr>
        <w:t>es</w:t>
      </w:r>
      <w:r w:rsidRPr="005E13B9">
        <w:rPr>
          <w:kern w:val="0"/>
          <w:sz w:val="26"/>
          <w:szCs w:val="26"/>
        </w:rPr>
        <w:t xml:space="preserve"> the competitive landscape</w:t>
      </w:r>
      <w:r w:rsidR="00406CC3" w:rsidRPr="005E13B9">
        <w:rPr>
          <w:rFonts w:hint="eastAsia"/>
          <w:kern w:val="0"/>
          <w:sz w:val="26"/>
          <w:szCs w:val="26"/>
        </w:rPr>
        <w:t xml:space="preserve"> of </w:t>
      </w:r>
      <w:r w:rsidR="000552E7" w:rsidRPr="005E13B9">
        <w:rPr>
          <w:kern w:val="0"/>
          <w:sz w:val="26"/>
          <w:szCs w:val="26"/>
        </w:rPr>
        <w:t xml:space="preserve">the </w:t>
      </w:r>
      <w:r w:rsidR="00406CC3" w:rsidRPr="005E13B9">
        <w:rPr>
          <w:kern w:val="0"/>
          <w:sz w:val="26"/>
          <w:szCs w:val="26"/>
        </w:rPr>
        <w:t>industry</w:t>
      </w:r>
      <w:r w:rsidRPr="005E13B9">
        <w:rPr>
          <w:kern w:val="0"/>
          <w:sz w:val="26"/>
          <w:szCs w:val="26"/>
        </w:rPr>
        <w:t xml:space="preserve">. Thus, similar to environmental changes, we argue that the firms changing industry </w:t>
      </w:r>
      <w:r w:rsidR="007474CA" w:rsidRPr="005E13B9">
        <w:rPr>
          <w:kern w:val="0"/>
          <w:sz w:val="26"/>
          <w:szCs w:val="26"/>
        </w:rPr>
        <w:t>category</w:t>
      </w:r>
      <w:r w:rsidRPr="005E13B9">
        <w:rPr>
          <w:kern w:val="0"/>
          <w:sz w:val="26"/>
          <w:szCs w:val="26"/>
        </w:rPr>
        <w:t xml:space="preserve"> might be somewhat like the </w:t>
      </w:r>
      <w:r w:rsidR="00572EF8" w:rsidRPr="005E13B9">
        <w:rPr>
          <w:kern w:val="0"/>
          <w:sz w:val="26"/>
          <w:szCs w:val="26"/>
        </w:rPr>
        <w:t xml:space="preserve">corporate </w:t>
      </w:r>
      <w:r w:rsidR="00572EF8" w:rsidRPr="005E13B9">
        <w:rPr>
          <w:rFonts w:hint="eastAsia"/>
          <w:kern w:val="0"/>
          <w:sz w:val="26"/>
          <w:szCs w:val="26"/>
        </w:rPr>
        <w:t>n</w:t>
      </w:r>
      <w:r w:rsidR="00572EF8" w:rsidRPr="005E13B9">
        <w:rPr>
          <w:kern w:val="0"/>
          <w:sz w:val="26"/>
          <w:szCs w:val="26"/>
        </w:rPr>
        <w:t>ame</w:t>
      </w:r>
      <w:r w:rsidR="00572EF8" w:rsidRPr="005E13B9">
        <w:rPr>
          <w:rFonts w:hint="eastAsia"/>
          <w:kern w:val="0"/>
          <w:sz w:val="26"/>
          <w:szCs w:val="26"/>
        </w:rPr>
        <w:t xml:space="preserve"> </w:t>
      </w:r>
      <w:r w:rsidRPr="005E13B9">
        <w:rPr>
          <w:kern w:val="0"/>
          <w:sz w:val="26"/>
          <w:szCs w:val="26"/>
        </w:rPr>
        <w:t>changes (</w:t>
      </w:r>
      <w:r w:rsidRPr="005E13B9">
        <w:rPr>
          <w:noProof/>
          <w:kern w:val="0"/>
          <w:sz w:val="26"/>
          <w:szCs w:val="26"/>
        </w:rPr>
        <w:t>i.e.</w:t>
      </w:r>
      <w:r w:rsidR="00041B53" w:rsidRPr="005E13B9">
        <w:rPr>
          <w:noProof/>
          <w:kern w:val="0"/>
          <w:sz w:val="26"/>
          <w:szCs w:val="26"/>
        </w:rPr>
        <w:t>,</w:t>
      </w:r>
      <w:r w:rsidRPr="005E13B9">
        <w:rPr>
          <w:kern w:val="0"/>
          <w:sz w:val="26"/>
          <w:szCs w:val="26"/>
        </w:rPr>
        <w:t xml:space="preserve"> changing names with dot.com), which might affect the perception of investors </w:t>
      </w:r>
      <w:r w:rsidR="00406CC3" w:rsidRPr="005E13B9">
        <w:rPr>
          <w:rFonts w:hint="eastAsia"/>
          <w:kern w:val="0"/>
          <w:sz w:val="26"/>
          <w:szCs w:val="26"/>
        </w:rPr>
        <w:t xml:space="preserve">and </w:t>
      </w:r>
      <w:r w:rsidRPr="005E13B9">
        <w:rPr>
          <w:kern w:val="0"/>
          <w:sz w:val="26"/>
          <w:szCs w:val="26"/>
        </w:rPr>
        <w:t xml:space="preserve">result in the </w:t>
      </w:r>
      <w:r w:rsidR="00406CC3" w:rsidRPr="005E13B9">
        <w:rPr>
          <w:kern w:val="0"/>
          <w:sz w:val="26"/>
          <w:szCs w:val="26"/>
        </w:rPr>
        <w:t>chang</w:t>
      </w:r>
      <w:r w:rsidR="00406CC3" w:rsidRPr="005E13B9">
        <w:rPr>
          <w:rFonts w:hint="eastAsia"/>
          <w:kern w:val="0"/>
          <w:sz w:val="26"/>
          <w:szCs w:val="26"/>
        </w:rPr>
        <w:t>es</w:t>
      </w:r>
      <w:r w:rsidR="00406CC3" w:rsidRPr="005E13B9">
        <w:rPr>
          <w:kern w:val="0"/>
          <w:sz w:val="26"/>
          <w:szCs w:val="26"/>
        </w:rPr>
        <w:t xml:space="preserve"> </w:t>
      </w:r>
      <w:r w:rsidRPr="005E13B9">
        <w:rPr>
          <w:kern w:val="0"/>
          <w:sz w:val="26"/>
          <w:szCs w:val="26"/>
        </w:rPr>
        <w:t>of institutional investors</w:t>
      </w:r>
      <w:r w:rsidR="00406CC3" w:rsidRPr="005E13B9">
        <w:rPr>
          <w:kern w:val="0"/>
          <w:sz w:val="26"/>
          <w:szCs w:val="26"/>
        </w:rPr>
        <w:t>’</w:t>
      </w:r>
      <w:r w:rsidR="00406CC3" w:rsidRPr="005E13B9">
        <w:rPr>
          <w:rFonts w:hint="eastAsia"/>
          <w:kern w:val="0"/>
          <w:sz w:val="26"/>
          <w:szCs w:val="26"/>
        </w:rPr>
        <w:t xml:space="preserve"> </w:t>
      </w:r>
      <w:r w:rsidR="00406CC3" w:rsidRPr="005E13B9">
        <w:rPr>
          <w:kern w:val="0"/>
          <w:sz w:val="26"/>
          <w:szCs w:val="26"/>
        </w:rPr>
        <w:t>shareholding</w:t>
      </w:r>
      <w:r w:rsidR="00406CC3" w:rsidRPr="005E13B9">
        <w:rPr>
          <w:rFonts w:hint="eastAsia"/>
          <w:kern w:val="0"/>
          <w:sz w:val="26"/>
          <w:szCs w:val="26"/>
        </w:rPr>
        <w:t>s</w:t>
      </w:r>
      <w:r w:rsidRPr="005E13B9">
        <w:rPr>
          <w:kern w:val="0"/>
          <w:sz w:val="26"/>
          <w:szCs w:val="26"/>
        </w:rPr>
        <w:t xml:space="preserve">. We then document that this might be an essential </w:t>
      </w:r>
      <w:r w:rsidRPr="005E13B9">
        <w:rPr>
          <w:noProof/>
          <w:kern w:val="0"/>
          <w:sz w:val="26"/>
          <w:szCs w:val="26"/>
        </w:rPr>
        <w:t>but</w:t>
      </w:r>
      <w:r w:rsidRPr="005E13B9">
        <w:rPr>
          <w:kern w:val="0"/>
          <w:sz w:val="26"/>
          <w:szCs w:val="26"/>
        </w:rPr>
        <w:t xml:space="preserve"> unexplored </w:t>
      </w:r>
      <w:r w:rsidR="00406CC3" w:rsidRPr="005E13B9">
        <w:rPr>
          <w:kern w:val="0"/>
          <w:sz w:val="26"/>
          <w:szCs w:val="26"/>
        </w:rPr>
        <w:t xml:space="preserve">issue </w:t>
      </w:r>
      <w:r w:rsidRPr="005E13B9">
        <w:rPr>
          <w:kern w:val="0"/>
          <w:sz w:val="26"/>
          <w:szCs w:val="26"/>
        </w:rPr>
        <w:t xml:space="preserve">in the relevant studies. </w:t>
      </w:r>
      <w:r w:rsidR="000552E7" w:rsidRPr="005E13B9">
        <w:rPr>
          <w:kern w:val="0"/>
          <w:sz w:val="26"/>
          <w:szCs w:val="26"/>
        </w:rPr>
        <w:t>He</w:t>
      </w:r>
      <w:r w:rsidR="000552E7" w:rsidRPr="005E13B9">
        <w:rPr>
          <w:rFonts w:hint="eastAsia"/>
          <w:kern w:val="0"/>
          <w:sz w:val="26"/>
          <w:szCs w:val="26"/>
        </w:rPr>
        <w:t>nce</w:t>
      </w:r>
      <w:r w:rsidRPr="005E13B9">
        <w:rPr>
          <w:kern w:val="0"/>
          <w:sz w:val="26"/>
          <w:szCs w:val="26"/>
        </w:rPr>
        <w:t xml:space="preserve">, </w:t>
      </w:r>
      <w:r w:rsidR="00406CC3" w:rsidRPr="005E13B9">
        <w:rPr>
          <w:rFonts w:hint="eastAsia"/>
          <w:kern w:val="0"/>
          <w:sz w:val="26"/>
          <w:szCs w:val="26"/>
        </w:rPr>
        <w:t>we argue that this</w:t>
      </w:r>
      <w:r w:rsidRPr="005E13B9">
        <w:rPr>
          <w:kern w:val="0"/>
          <w:sz w:val="26"/>
          <w:szCs w:val="26"/>
        </w:rPr>
        <w:t xml:space="preserve"> study might be able to fill </w:t>
      </w:r>
      <w:r w:rsidR="00406CC3" w:rsidRPr="005E13B9">
        <w:rPr>
          <w:rFonts w:hint="eastAsia"/>
          <w:kern w:val="0"/>
          <w:sz w:val="26"/>
          <w:szCs w:val="26"/>
        </w:rPr>
        <w:t xml:space="preserve">up </w:t>
      </w:r>
      <w:r w:rsidRPr="005E13B9">
        <w:rPr>
          <w:kern w:val="0"/>
          <w:sz w:val="26"/>
          <w:szCs w:val="26"/>
        </w:rPr>
        <w:t xml:space="preserve">the gap </w:t>
      </w:r>
      <w:r w:rsidR="00406CC3" w:rsidRPr="005E13B9">
        <w:rPr>
          <w:rFonts w:hint="eastAsia"/>
          <w:kern w:val="0"/>
          <w:sz w:val="26"/>
          <w:szCs w:val="26"/>
        </w:rPr>
        <w:t>of</w:t>
      </w:r>
      <w:r w:rsidRPr="005E13B9">
        <w:rPr>
          <w:kern w:val="0"/>
          <w:sz w:val="26"/>
          <w:szCs w:val="26"/>
        </w:rPr>
        <w:t xml:space="preserve"> the existing literature.</w:t>
      </w:r>
    </w:p>
    <w:p w14:paraId="1A658418" w14:textId="50B21595" w:rsidR="00562D71" w:rsidRPr="005E13B9" w:rsidRDefault="0013600E" w:rsidP="001C65C7">
      <w:pPr>
        <w:overflowPunct w:val="0"/>
        <w:adjustRightInd w:val="0"/>
        <w:ind w:firstLineChars="200" w:firstLine="520"/>
        <w:jc w:val="both"/>
        <w:outlineLvl w:val="1"/>
        <w:rPr>
          <w:kern w:val="0"/>
          <w:sz w:val="26"/>
          <w:szCs w:val="26"/>
        </w:rPr>
      </w:pPr>
      <w:r w:rsidRPr="005E13B9">
        <w:rPr>
          <w:kern w:val="0"/>
          <w:sz w:val="26"/>
          <w:szCs w:val="26"/>
        </w:rPr>
        <w:tab/>
        <w:t xml:space="preserve">Due to the shortage of relevant studies focusing on the effect of changing either </w:t>
      </w:r>
      <w:r w:rsidR="00572EF8" w:rsidRPr="005E13B9">
        <w:rPr>
          <w:kern w:val="0"/>
          <w:sz w:val="26"/>
          <w:szCs w:val="26"/>
        </w:rPr>
        <w:t xml:space="preserve">corporate name </w:t>
      </w:r>
      <w:r w:rsidRPr="005E13B9">
        <w:rPr>
          <w:kern w:val="0"/>
          <w:sz w:val="26"/>
          <w:szCs w:val="26"/>
        </w:rPr>
        <w:t xml:space="preserve">or industry </w:t>
      </w:r>
      <w:r w:rsidR="007474CA" w:rsidRPr="005E13B9">
        <w:rPr>
          <w:kern w:val="0"/>
          <w:sz w:val="26"/>
          <w:szCs w:val="26"/>
        </w:rPr>
        <w:t>category</w:t>
      </w:r>
      <w:r w:rsidRPr="005E13B9">
        <w:rPr>
          <w:kern w:val="0"/>
          <w:sz w:val="26"/>
          <w:szCs w:val="26"/>
        </w:rPr>
        <w:t xml:space="preserve"> on the shareholding of institutional investors, we then propose hypotheses shown</w:t>
      </w:r>
      <w:r w:rsidR="00406CC3" w:rsidRPr="005E13B9">
        <w:rPr>
          <w:kern w:val="0"/>
          <w:sz w:val="26"/>
          <w:szCs w:val="26"/>
        </w:rPr>
        <w:t xml:space="preserve"> </w:t>
      </w:r>
      <w:r w:rsidRPr="005E13B9">
        <w:rPr>
          <w:kern w:val="0"/>
          <w:sz w:val="26"/>
          <w:szCs w:val="26"/>
        </w:rPr>
        <w:t>below.</w:t>
      </w:r>
    </w:p>
    <w:p w14:paraId="4F465C75" w14:textId="77777777" w:rsidR="00A23DA1" w:rsidRPr="005E13B9" w:rsidRDefault="00A23DA1" w:rsidP="001C65C7">
      <w:pPr>
        <w:overflowPunct w:val="0"/>
        <w:adjustRightInd w:val="0"/>
        <w:ind w:firstLineChars="200" w:firstLine="520"/>
        <w:jc w:val="both"/>
        <w:outlineLvl w:val="1"/>
        <w:rPr>
          <w:kern w:val="0"/>
          <w:sz w:val="26"/>
          <w:szCs w:val="26"/>
        </w:rPr>
      </w:pPr>
    </w:p>
    <w:p w14:paraId="438947FD" w14:textId="77777777" w:rsidR="00562D71" w:rsidRPr="005E13B9" w:rsidRDefault="0013600E" w:rsidP="006B589A">
      <w:pPr>
        <w:overflowPunct w:val="0"/>
        <w:adjustRightInd w:val="0"/>
        <w:ind w:left="1562" w:hangingChars="600" w:hanging="1562"/>
        <w:jc w:val="both"/>
        <w:rPr>
          <w:rFonts w:eastAsia="標楷體"/>
          <w:sz w:val="26"/>
          <w:szCs w:val="26"/>
        </w:rPr>
      </w:pPr>
      <w:r w:rsidRPr="005E13B9">
        <w:rPr>
          <w:b/>
          <w:sz w:val="26"/>
          <w:szCs w:val="26"/>
        </w:rPr>
        <w:t xml:space="preserve">Hypothesis 1: </w:t>
      </w:r>
      <w:r w:rsidR="00572EF8" w:rsidRPr="005E13B9">
        <w:rPr>
          <w:sz w:val="26"/>
          <w:szCs w:val="26"/>
        </w:rPr>
        <w:t xml:space="preserve">Corporate name </w:t>
      </w:r>
      <w:r w:rsidRPr="005E13B9">
        <w:rPr>
          <w:sz w:val="26"/>
          <w:szCs w:val="26"/>
        </w:rPr>
        <w:t>change would have</w:t>
      </w:r>
      <w:r w:rsidR="00F76001" w:rsidRPr="005E13B9">
        <w:rPr>
          <w:rFonts w:hint="eastAsia"/>
          <w:sz w:val="26"/>
          <w:szCs w:val="26"/>
        </w:rPr>
        <w:t xml:space="preserve"> a</w:t>
      </w:r>
      <w:r w:rsidRPr="005E13B9">
        <w:rPr>
          <w:sz w:val="26"/>
          <w:szCs w:val="26"/>
        </w:rPr>
        <w:t xml:space="preserve"> positive effect on the shareholding of </w:t>
      </w:r>
      <w:r w:rsidRPr="005E13B9">
        <w:rPr>
          <w:rFonts w:eastAsia="標楷體"/>
          <w:sz w:val="26"/>
          <w:szCs w:val="26"/>
        </w:rPr>
        <w:t>institutional investors</w:t>
      </w:r>
      <w:r w:rsidR="00041B53" w:rsidRPr="005E13B9">
        <w:rPr>
          <w:rFonts w:eastAsia="標楷體"/>
          <w:sz w:val="26"/>
          <w:szCs w:val="26"/>
        </w:rPr>
        <w:t>,</w:t>
      </w:r>
      <w:r w:rsidRPr="005E13B9">
        <w:rPr>
          <w:rFonts w:eastAsia="標楷體"/>
          <w:sz w:val="26"/>
          <w:szCs w:val="26"/>
        </w:rPr>
        <w:t xml:space="preserve"> </w:t>
      </w:r>
      <w:r w:rsidRPr="005E13B9">
        <w:rPr>
          <w:rFonts w:eastAsia="標楷體"/>
          <w:noProof/>
          <w:sz w:val="26"/>
          <w:szCs w:val="26"/>
        </w:rPr>
        <w:t>including</w:t>
      </w:r>
      <w:r w:rsidRPr="005E13B9">
        <w:rPr>
          <w:rFonts w:eastAsia="標楷體"/>
          <w:sz w:val="26"/>
          <w:szCs w:val="26"/>
        </w:rPr>
        <w:t xml:space="preserve"> foreign institutions, domestic institutions, and security dealers, respectively. </w:t>
      </w:r>
    </w:p>
    <w:p w14:paraId="5CE5E2C2" w14:textId="42DC0750" w:rsidR="00BC2084" w:rsidRPr="005E13B9" w:rsidRDefault="0013600E" w:rsidP="001C65C7">
      <w:pPr>
        <w:overflowPunct w:val="0"/>
        <w:adjustRightInd w:val="0"/>
        <w:ind w:left="1692" w:hangingChars="650" w:hanging="1692"/>
        <w:jc w:val="both"/>
        <w:rPr>
          <w:rFonts w:eastAsia="標楷體"/>
          <w:sz w:val="26"/>
          <w:szCs w:val="26"/>
        </w:rPr>
      </w:pPr>
      <w:r w:rsidRPr="005E13B9">
        <w:rPr>
          <w:b/>
          <w:sz w:val="26"/>
          <w:szCs w:val="26"/>
        </w:rPr>
        <w:lastRenderedPageBreak/>
        <w:t>Hypothesis 2:</w:t>
      </w:r>
      <w:r w:rsidRPr="005E13B9">
        <w:rPr>
          <w:sz w:val="26"/>
          <w:szCs w:val="26"/>
        </w:rPr>
        <w:t xml:space="preserve"> Industry </w:t>
      </w:r>
      <w:r w:rsidR="007474CA" w:rsidRPr="005E13B9">
        <w:rPr>
          <w:sz w:val="26"/>
          <w:szCs w:val="26"/>
        </w:rPr>
        <w:t>category</w:t>
      </w:r>
      <w:r w:rsidRPr="005E13B9">
        <w:rPr>
          <w:sz w:val="26"/>
          <w:szCs w:val="26"/>
        </w:rPr>
        <w:t xml:space="preserve"> change would have </w:t>
      </w:r>
      <w:r w:rsidR="00F76001" w:rsidRPr="005E13B9">
        <w:rPr>
          <w:rFonts w:hint="eastAsia"/>
          <w:sz w:val="26"/>
          <w:szCs w:val="26"/>
        </w:rPr>
        <w:t xml:space="preserve">a </w:t>
      </w:r>
      <w:r w:rsidR="00F76001" w:rsidRPr="005E13B9">
        <w:rPr>
          <w:sz w:val="26"/>
          <w:szCs w:val="26"/>
        </w:rPr>
        <w:t>positive effect</w:t>
      </w:r>
      <w:r w:rsidRPr="005E13B9">
        <w:rPr>
          <w:sz w:val="26"/>
          <w:szCs w:val="26"/>
        </w:rPr>
        <w:t xml:space="preserve"> on</w:t>
      </w:r>
      <w:r w:rsidRPr="005E13B9">
        <w:rPr>
          <w:rFonts w:eastAsia="標楷體"/>
          <w:sz w:val="26"/>
          <w:szCs w:val="26"/>
        </w:rPr>
        <w:t xml:space="preserve"> the </w:t>
      </w:r>
      <w:r w:rsidRPr="005E13B9">
        <w:rPr>
          <w:sz w:val="26"/>
          <w:szCs w:val="26"/>
        </w:rPr>
        <w:t>shareholding of institutional investors</w:t>
      </w:r>
      <w:r w:rsidR="00041B53" w:rsidRPr="005E13B9">
        <w:rPr>
          <w:sz w:val="26"/>
          <w:szCs w:val="26"/>
        </w:rPr>
        <w:t>,</w:t>
      </w:r>
      <w:r w:rsidRPr="005E13B9">
        <w:rPr>
          <w:sz w:val="26"/>
          <w:szCs w:val="26"/>
        </w:rPr>
        <w:t xml:space="preserve"> </w:t>
      </w:r>
      <w:r w:rsidRPr="005E13B9">
        <w:rPr>
          <w:noProof/>
          <w:sz w:val="26"/>
          <w:szCs w:val="26"/>
        </w:rPr>
        <w:t>including</w:t>
      </w:r>
      <w:r w:rsidRPr="005E13B9">
        <w:rPr>
          <w:sz w:val="26"/>
          <w:szCs w:val="26"/>
        </w:rPr>
        <w:t xml:space="preserve"> foreign institutions, domestic</w:t>
      </w:r>
      <w:r w:rsidRPr="005E13B9">
        <w:rPr>
          <w:rFonts w:eastAsia="標楷體"/>
          <w:sz w:val="26"/>
          <w:szCs w:val="26"/>
        </w:rPr>
        <w:t xml:space="preserve"> institutions, and security dealers, respectively.  </w:t>
      </w:r>
    </w:p>
    <w:p w14:paraId="0E116E0B" w14:textId="77777777" w:rsidR="00BA57B5" w:rsidRPr="005E13B9" w:rsidRDefault="00BA57B5" w:rsidP="001C65C7">
      <w:pPr>
        <w:overflowPunct w:val="0"/>
        <w:adjustRightInd w:val="0"/>
        <w:ind w:left="1690" w:hangingChars="650" w:hanging="1690"/>
        <w:jc w:val="both"/>
        <w:rPr>
          <w:rFonts w:eastAsia="標楷體"/>
          <w:sz w:val="26"/>
          <w:szCs w:val="26"/>
        </w:rPr>
      </w:pPr>
    </w:p>
    <w:p w14:paraId="683879D9" w14:textId="3A98A00F" w:rsidR="00A23DA1" w:rsidRPr="005E13B9" w:rsidRDefault="00C16499" w:rsidP="001C65C7">
      <w:pPr>
        <w:widowControl/>
        <w:overflowPunct w:val="0"/>
        <w:jc w:val="center"/>
        <w:rPr>
          <w:rFonts w:eastAsia="標楷體"/>
          <w:b/>
          <w:sz w:val="26"/>
          <w:szCs w:val="26"/>
        </w:rPr>
      </w:pPr>
      <w:r w:rsidRPr="005E13B9">
        <w:rPr>
          <w:rFonts w:eastAsia="標楷體"/>
          <w:b/>
          <w:sz w:val="26"/>
          <w:szCs w:val="26"/>
        </w:rPr>
        <w:t xml:space="preserve">DATA </w:t>
      </w:r>
      <w:r w:rsidR="002B50B6" w:rsidRPr="005E13B9">
        <w:rPr>
          <w:rFonts w:eastAsia="標楷體" w:hint="eastAsia"/>
          <w:b/>
          <w:sz w:val="26"/>
          <w:szCs w:val="26"/>
        </w:rPr>
        <w:t>A</w:t>
      </w:r>
      <w:r w:rsidR="002B50B6" w:rsidRPr="005E13B9">
        <w:rPr>
          <w:rFonts w:eastAsia="標楷體"/>
          <w:b/>
          <w:sz w:val="26"/>
          <w:szCs w:val="26"/>
        </w:rPr>
        <w:t>ND</w:t>
      </w:r>
      <w:r w:rsidRPr="005E13B9">
        <w:rPr>
          <w:rFonts w:eastAsia="標楷體"/>
          <w:b/>
          <w:sz w:val="26"/>
          <w:szCs w:val="26"/>
        </w:rPr>
        <w:t xml:space="preserve"> METHODOLOGY</w:t>
      </w:r>
    </w:p>
    <w:p w14:paraId="7CCD53E4" w14:textId="77777777" w:rsidR="00562D71" w:rsidRPr="005E13B9" w:rsidRDefault="0013600E" w:rsidP="001C65C7">
      <w:pPr>
        <w:overflowPunct w:val="0"/>
        <w:adjustRightInd w:val="0"/>
        <w:rPr>
          <w:b/>
          <w:sz w:val="26"/>
          <w:szCs w:val="26"/>
        </w:rPr>
      </w:pPr>
      <w:r w:rsidRPr="005E13B9">
        <w:rPr>
          <w:rFonts w:eastAsia="標楷體"/>
          <w:b/>
          <w:sz w:val="26"/>
          <w:szCs w:val="26"/>
        </w:rPr>
        <w:t>D</w:t>
      </w:r>
      <w:r w:rsidRPr="005E13B9">
        <w:rPr>
          <w:b/>
          <w:sz w:val="26"/>
          <w:szCs w:val="26"/>
        </w:rPr>
        <w:t>ata</w:t>
      </w:r>
    </w:p>
    <w:p w14:paraId="6C1849A3" w14:textId="77687695" w:rsidR="00562D71" w:rsidRPr="005E13B9" w:rsidRDefault="0013600E" w:rsidP="001C65C7">
      <w:pPr>
        <w:overflowPunct w:val="0"/>
        <w:adjustRightInd w:val="0"/>
        <w:ind w:firstLineChars="200" w:firstLine="520"/>
        <w:jc w:val="both"/>
        <w:rPr>
          <w:sz w:val="26"/>
          <w:szCs w:val="26"/>
        </w:rPr>
      </w:pPr>
      <w:r w:rsidRPr="005E13B9">
        <w:rPr>
          <w:sz w:val="26"/>
          <w:szCs w:val="26"/>
        </w:rPr>
        <w:t xml:space="preserve">We collect the data for the firms listed </w:t>
      </w:r>
      <w:r w:rsidR="00F85C79" w:rsidRPr="005E13B9">
        <w:rPr>
          <w:rFonts w:hint="eastAsia"/>
          <w:sz w:val="26"/>
          <w:szCs w:val="26"/>
        </w:rPr>
        <w:t>o</w:t>
      </w:r>
      <w:r w:rsidRPr="005E13B9">
        <w:rPr>
          <w:sz w:val="26"/>
          <w:szCs w:val="26"/>
        </w:rPr>
        <w:t xml:space="preserve">n Taiwan Stock Exchange (TWSE) from Taiwan Economic Journal (TEJ) over the data period 2009-2015 as our samples. </w:t>
      </w:r>
      <w:r w:rsidR="005D3E18" w:rsidRPr="005E13B9">
        <w:rPr>
          <w:sz w:val="26"/>
          <w:szCs w:val="26"/>
        </w:rPr>
        <w:t>B</w:t>
      </w:r>
      <w:r w:rsidR="005D3E18" w:rsidRPr="005E13B9">
        <w:rPr>
          <w:rFonts w:hint="eastAsia"/>
          <w:sz w:val="26"/>
          <w:szCs w:val="26"/>
        </w:rPr>
        <w:t>esides</w:t>
      </w:r>
      <w:r w:rsidRPr="005E13B9">
        <w:rPr>
          <w:sz w:val="26"/>
          <w:szCs w:val="26"/>
        </w:rPr>
        <w:t xml:space="preserve">, in order to be familiar with the variables employed in this study, we define the variables </w:t>
      </w:r>
      <w:r w:rsidR="004F0C94" w:rsidRPr="005E13B9">
        <w:rPr>
          <w:rFonts w:hint="eastAsia"/>
          <w:sz w:val="26"/>
          <w:szCs w:val="26"/>
        </w:rPr>
        <w:t xml:space="preserve">as </w:t>
      </w:r>
      <w:r w:rsidR="000552E7" w:rsidRPr="005E13B9">
        <w:rPr>
          <w:rFonts w:hint="eastAsia"/>
          <w:sz w:val="26"/>
          <w:szCs w:val="26"/>
        </w:rPr>
        <w:t>sh</w:t>
      </w:r>
      <w:r w:rsidR="000552E7" w:rsidRPr="005E13B9">
        <w:rPr>
          <w:sz w:val="26"/>
          <w:szCs w:val="26"/>
        </w:rPr>
        <w:t>o</w:t>
      </w:r>
      <w:r w:rsidR="000552E7" w:rsidRPr="005E13B9">
        <w:rPr>
          <w:rFonts w:hint="eastAsia"/>
          <w:sz w:val="26"/>
          <w:szCs w:val="26"/>
        </w:rPr>
        <w:t>wn</w:t>
      </w:r>
      <w:r w:rsidR="000552E7" w:rsidRPr="005E13B9">
        <w:rPr>
          <w:sz w:val="26"/>
          <w:szCs w:val="26"/>
        </w:rPr>
        <w:t xml:space="preserve"> </w:t>
      </w:r>
      <w:r w:rsidRPr="005E13B9">
        <w:rPr>
          <w:sz w:val="26"/>
          <w:szCs w:val="26"/>
        </w:rPr>
        <w:t>in Table 1.</w:t>
      </w:r>
    </w:p>
    <w:p w14:paraId="65D86CA7" w14:textId="77777777" w:rsidR="002B50B6" w:rsidRPr="005E13B9" w:rsidRDefault="002B50B6" w:rsidP="001C65C7">
      <w:pPr>
        <w:overflowPunct w:val="0"/>
        <w:adjustRightInd w:val="0"/>
        <w:ind w:firstLineChars="200" w:firstLine="520"/>
        <w:jc w:val="both"/>
        <w:rPr>
          <w:sz w:val="26"/>
          <w:szCs w:val="26"/>
        </w:rPr>
      </w:pPr>
    </w:p>
    <w:p w14:paraId="46A96959" w14:textId="466E0747" w:rsidR="005B1D79" w:rsidRPr="005E13B9" w:rsidRDefault="005B1D79" w:rsidP="00532BD2">
      <w:pPr>
        <w:widowControl/>
        <w:overflowPunct w:val="0"/>
        <w:jc w:val="center"/>
        <w:rPr>
          <w:rFonts w:eastAsia="標楷體"/>
          <w:b/>
          <w:kern w:val="0"/>
          <w:sz w:val="26"/>
          <w:szCs w:val="26"/>
        </w:rPr>
      </w:pPr>
      <w:r w:rsidRPr="005E13B9">
        <w:rPr>
          <w:rFonts w:eastAsia="標楷體"/>
          <w:b/>
          <w:kern w:val="0"/>
          <w:sz w:val="26"/>
          <w:szCs w:val="26"/>
        </w:rPr>
        <w:t xml:space="preserve">Table 1 </w:t>
      </w:r>
      <w:r w:rsidR="00532BD2" w:rsidRPr="005E13B9">
        <w:rPr>
          <w:rFonts w:eastAsia="標楷體"/>
          <w:b/>
          <w:kern w:val="0"/>
          <w:sz w:val="26"/>
          <w:szCs w:val="26"/>
        </w:rPr>
        <w:t xml:space="preserve"> </w:t>
      </w:r>
      <w:r w:rsidRPr="005E13B9">
        <w:rPr>
          <w:rFonts w:eastAsia="標楷體"/>
          <w:b/>
          <w:kern w:val="0"/>
          <w:sz w:val="26"/>
          <w:szCs w:val="26"/>
        </w:rPr>
        <w:t xml:space="preserve">Definitions of </w:t>
      </w:r>
      <w:r w:rsidR="00E76E0C" w:rsidRPr="005E13B9">
        <w:rPr>
          <w:rFonts w:eastAsia="標楷體"/>
          <w:b/>
          <w:kern w:val="0"/>
          <w:sz w:val="26"/>
          <w:szCs w:val="26"/>
        </w:rPr>
        <w:t>Variables</w:t>
      </w:r>
    </w:p>
    <w:tbl>
      <w:tblPr>
        <w:tblW w:w="5000" w:type="pct"/>
        <w:jc w:val="center"/>
        <w:tblBorders>
          <w:top w:val="single" w:sz="18" w:space="0" w:color="auto"/>
        </w:tblBorders>
        <w:tblCellMar>
          <w:left w:w="93" w:type="dxa"/>
          <w:right w:w="93" w:type="dxa"/>
        </w:tblCellMar>
        <w:tblLook w:val="0000" w:firstRow="0" w:lastRow="0" w:firstColumn="0" w:lastColumn="0" w:noHBand="0" w:noVBand="0"/>
      </w:tblPr>
      <w:tblGrid>
        <w:gridCol w:w="2711"/>
        <w:gridCol w:w="6315"/>
      </w:tblGrid>
      <w:tr w:rsidR="006F104F" w:rsidRPr="005E13B9" w14:paraId="61041280" w14:textId="77777777" w:rsidTr="006F104F">
        <w:trPr>
          <w:cantSplit/>
          <w:trHeight w:val="454"/>
          <w:jc w:val="center"/>
        </w:trPr>
        <w:tc>
          <w:tcPr>
            <w:tcW w:w="1502" w:type="pct"/>
            <w:tcBorders>
              <w:top w:val="single" w:sz="18" w:space="0" w:color="auto"/>
              <w:bottom w:val="single" w:sz="12" w:space="0" w:color="auto"/>
            </w:tcBorders>
            <w:shd w:val="clear" w:color="000000" w:fill="FFFFFF"/>
            <w:vAlign w:val="center"/>
          </w:tcPr>
          <w:p w14:paraId="6C3B48E1" w14:textId="77777777" w:rsidR="005B1D79" w:rsidRPr="005E13B9" w:rsidRDefault="005B1D79" w:rsidP="001C65C7">
            <w:pPr>
              <w:overflowPunct w:val="0"/>
              <w:autoSpaceDE w:val="0"/>
              <w:autoSpaceDN w:val="0"/>
              <w:adjustRightInd w:val="0"/>
              <w:snapToGrid w:val="0"/>
              <w:jc w:val="center"/>
              <w:rPr>
                <w:rFonts w:eastAsia="標楷體"/>
                <w:kern w:val="0"/>
                <w:szCs w:val="20"/>
              </w:rPr>
            </w:pPr>
            <w:r w:rsidRPr="005E13B9">
              <w:rPr>
                <w:rFonts w:eastAsia="標楷體"/>
                <w:kern w:val="0"/>
                <w:szCs w:val="20"/>
              </w:rPr>
              <w:t>Variables</w:t>
            </w:r>
          </w:p>
        </w:tc>
        <w:tc>
          <w:tcPr>
            <w:tcW w:w="3498" w:type="pct"/>
            <w:tcBorders>
              <w:top w:val="single" w:sz="18" w:space="0" w:color="auto"/>
              <w:bottom w:val="single" w:sz="12" w:space="0" w:color="auto"/>
            </w:tcBorders>
            <w:shd w:val="clear" w:color="000000" w:fill="FFFFFF"/>
            <w:vAlign w:val="center"/>
          </w:tcPr>
          <w:p w14:paraId="3967DFDE" w14:textId="77777777" w:rsidR="005B1D79" w:rsidRPr="005E13B9" w:rsidRDefault="005B1D79" w:rsidP="001C65C7">
            <w:pPr>
              <w:overflowPunct w:val="0"/>
              <w:autoSpaceDE w:val="0"/>
              <w:autoSpaceDN w:val="0"/>
              <w:adjustRightInd w:val="0"/>
              <w:snapToGrid w:val="0"/>
              <w:jc w:val="center"/>
              <w:rPr>
                <w:rFonts w:eastAsia="標楷體"/>
                <w:kern w:val="0"/>
                <w:szCs w:val="20"/>
              </w:rPr>
            </w:pPr>
            <w:r w:rsidRPr="005E13B9">
              <w:rPr>
                <w:rFonts w:eastAsia="標楷體"/>
                <w:kern w:val="0"/>
                <w:szCs w:val="20"/>
              </w:rPr>
              <w:t>Definitions</w:t>
            </w:r>
          </w:p>
        </w:tc>
      </w:tr>
      <w:tr w:rsidR="006F104F" w:rsidRPr="005E13B9" w14:paraId="76A78ED1" w14:textId="77777777" w:rsidTr="006F104F">
        <w:trPr>
          <w:cantSplit/>
          <w:trHeight w:val="454"/>
          <w:jc w:val="center"/>
        </w:trPr>
        <w:tc>
          <w:tcPr>
            <w:tcW w:w="1502" w:type="pct"/>
            <w:tcBorders>
              <w:top w:val="nil"/>
              <w:bottom w:val="nil"/>
            </w:tcBorders>
            <w:shd w:val="clear" w:color="000000" w:fill="FFFFFF"/>
          </w:tcPr>
          <w:p w14:paraId="7446A3F2" w14:textId="77777777" w:rsidR="005B1D79" w:rsidRPr="005E13B9" w:rsidRDefault="005B1D79" w:rsidP="001C65C7">
            <w:pPr>
              <w:overflowPunct w:val="0"/>
              <w:adjustRightInd w:val="0"/>
              <w:snapToGrid w:val="0"/>
              <w:rPr>
                <w:szCs w:val="20"/>
              </w:rPr>
            </w:pPr>
            <w:r w:rsidRPr="005E13B9">
              <w:rPr>
                <w:szCs w:val="20"/>
              </w:rPr>
              <w:t>Shareholding change of foreign</w:t>
            </w:r>
          </w:p>
          <w:p w14:paraId="550C66E3" w14:textId="77777777" w:rsidR="005B1D79" w:rsidRPr="005E13B9" w:rsidRDefault="005B1D79" w:rsidP="001C65C7">
            <w:pPr>
              <w:overflowPunct w:val="0"/>
              <w:adjustRightInd w:val="0"/>
              <w:snapToGrid w:val="0"/>
              <w:ind w:firstLineChars="71" w:firstLine="170"/>
              <w:rPr>
                <w:szCs w:val="20"/>
              </w:rPr>
            </w:pPr>
            <w:r w:rsidRPr="005E13B9">
              <w:rPr>
                <w:szCs w:val="20"/>
              </w:rPr>
              <w:t>institutions</w:t>
            </w:r>
          </w:p>
        </w:tc>
        <w:tc>
          <w:tcPr>
            <w:tcW w:w="3498" w:type="pct"/>
            <w:tcBorders>
              <w:top w:val="nil"/>
              <w:bottom w:val="nil"/>
            </w:tcBorders>
            <w:shd w:val="clear" w:color="000000" w:fill="FFFFFF"/>
            <w:vAlign w:val="center"/>
          </w:tcPr>
          <w:p w14:paraId="57D3E290" w14:textId="77777777" w:rsidR="005B1D79" w:rsidRPr="005E13B9" w:rsidRDefault="00041B53" w:rsidP="001C65C7">
            <w:pPr>
              <w:widowControl/>
              <w:overflowPunct w:val="0"/>
              <w:adjustRightInd w:val="0"/>
              <w:snapToGrid w:val="0"/>
              <w:jc w:val="both"/>
              <w:rPr>
                <w:rFonts w:eastAsia="標楷體"/>
                <w:kern w:val="0"/>
                <w:szCs w:val="20"/>
              </w:rPr>
            </w:pPr>
            <w:r w:rsidRPr="005E13B9">
              <w:rPr>
                <w:rFonts w:eastAsia="標楷體"/>
                <w:noProof/>
                <w:kern w:val="0"/>
                <w:szCs w:val="20"/>
              </w:rPr>
              <w:t>The s</w:t>
            </w:r>
            <w:r w:rsidR="005B1D79" w:rsidRPr="005E13B9">
              <w:rPr>
                <w:rFonts w:eastAsia="標楷體"/>
                <w:noProof/>
                <w:kern w:val="0"/>
                <w:szCs w:val="20"/>
              </w:rPr>
              <w:t>hareholding</w:t>
            </w:r>
            <w:r w:rsidR="005B1D79" w:rsidRPr="005E13B9">
              <w:rPr>
                <w:rFonts w:eastAsia="標楷體"/>
                <w:kern w:val="0"/>
                <w:szCs w:val="20"/>
              </w:rPr>
              <w:t xml:space="preserve"> ratio of foreign institutions at time t - </w:t>
            </w:r>
            <w:r w:rsidRPr="005E13B9">
              <w:rPr>
                <w:rFonts w:eastAsia="標楷體"/>
                <w:noProof/>
                <w:kern w:val="0"/>
                <w:szCs w:val="20"/>
              </w:rPr>
              <w:t>The s</w:t>
            </w:r>
            <w:r w:rsidR="005B1D79" w:rsidRPr="005E13B9">
              <w:rPr>
                <w:rFonts w:eastAsia="標楷體"/>
                <w:noProof/>
                <w:kern w:val="0"/>
                <w:szCs w:val="20"/>
              </w:rPr>
              <w:t>hareholding</w:t>
            </w:r>
            <w:r w:rsidR="005B1D79" w:rsidRPr="005E13B9">
              <w:rPr>
                <w:rFonts w:eastAsia="標楷體"/>
                <w:kern w:val="0"/>
                <w:szCs w:val="20"/>
              </w:rPr>
              <w:t xml:space="preserve"> ratio of foreign institutions at time t-1</w:t>
            </w:r>
          </w:p>
        </w:tc>
      </w:tr>
      <w:tr w:rsidR="006F104F" w:rsidRPr="005E13B9" w14:paraId="3B811E48" w14:textId="77777777" w:rsidTr="006F104F">
        <w:trPr>
          <w:cantSplit/>
          <w:trHeight w:val="454"/>
          <w:jc w:val="center"/>
        </w:trPr>
        <w:tc>
          <w:tcPr>
            <w:tcW w:w="1502" w:type="pct"/>
            <w:tcBorders>
              <w:top w:val="nil"/>
              <w:bottom w:val="nil"/>
            </w:tcBorders>
            <w:shd w:val="clear" w:color="000000" w:fill="FFFFFF"/>
            <w:vAlign w:val="center"/>
          </w:tcPr>
          <w:p w14:paraId="151EE655" w14:textId="77777777" w:rsidR="005B1D79" w:rsidRPr="005E13B9" w:rsidRDefault="005B1D79" w:rsidP="001C65C7">
            <w:pPr>
              <w:overflowPunct w:val="0"/>
              <w:adjustRightInd w:val="0"/>
              <w:snapToGrid w:val="0"/>
              <w:ind w:left="170" w:hangingChars="71" w:hanging="170"/>
              <w:rPr>
                <w:rFonts w:ascii="新細明體" w:cs="新細明體"/>
                <w:szCs w:val="20"/>
              </w:rPr>
            </w:pPr>
            <w:r w:rsidRPr="005E13B9">
              <w:rPr>
                <w:szCs w:val="20"/>
              </w:rPr>
              <w:t xml:space="preserve">Shareholding change of </w:t>
            </w:r>
            <w:r w:rsidRPr="005E13B9">
              <w:rPr>
                <w:rFonts w:eastAsia="標楷體"/>
                <w:szCs w:val="20"/>
              </w:rPr>
              <w:t>domestic institutions</w:t>
            </w:r>
          </w:p>
        </w:tc>
        <w:tc>
          <w:tcPr>
            <w:tcW w:w="3498" w:type="pct"/>
            <w:tcBorders>
              <w:top w:val="nil"/>
              <w:bottom w:val="nil"/>
            </w:tcBorders>
            <w:shd w:val="clear" w:color="000000" w:fill="FFFFFF"/>
            <w:vAlign w:val="center"/>
          </w:tcPr>
          <w:p w14:paraId="5D770ED6" w14:textId="77777777" w:rsidR="005B1D79" w:rsidRPr="005E13B9" w:rsidRDefault="00041B53" w:rsidP="001C65C7">
            <w:pPr>
              <w:widowControl/>
              <w:overflowPunct w:val="0"/>
              <w:adjustRightInd w:val="0"/>
              <w:snapToGrid w:val="0"/>
              <w:jc w:val="both"/>
              <w:rPr>
                <w:rFonts w:eastAsia="標楷體"/>
                <w:kern w:val="0"/>
                <w:szCs w:val="20"/>
              </w:rPr>
            </w:pPr>
            <w:r w:rsidRPr="005E13B9">
              <w:rPr>
                <w:rFonts w:eastAsia="標楷體"/>
                <w:noProof/>
                <w:kern w:val="0"/>
                <w:szCs w:val="20"/>
              </w:rPr>
              <w:t>The s</w:t>
            </w:r>
            <w:r w:rsidR="005B1D79" w:rsidRPr="005E13B9">
              <w:rPr>
                <w:rFonts w:eastAsia="標楷體"/>
                <w:noProof/>
                <w:kern w:val="0"/>
                <w:szCs w:val="20"/>
              </w:rPr>
              <w:t>hareholding</w:t>
            </w:r>
            <w:r w:rsidR="005B1D79" w:rsidRPr="005E13B9">
              <w:rPr>
                <w:rFonts w:eastAsia="標楷體"/>
                <w:kern w:val="0"/>
                <w:szCs w:val="20"/>
              </w:rPr>
              <w:t xml:space="preserve"> ratio of domestic institutions at time t - </w:t>
            </w:r>
            <w:r w:rsidRPr="005E13B9">
              <w:rPr>
                <w:rFonts w:eastAsia="標楷體"/>
                <w:noProof/>
                <w:kern w:val="0"/>
                <w:szCs w:val="20"/>
              </w:rPr>
              <w:t>The s</w:t>
            </w:r>
            <w:r w:rsidR="005B1D79" w:rsidRPr="005E13B9">
              <w:rPr>
                <w:rFonts w:eastAsia="標楷體"/>
                <w:noProof/>
                <w:kern w:val="0"/>
                <w:szCs w:val="20"/>
              </w:rPr>
              <w:t>hareholding</w:t>
            </w:r>
            <w:r w:rsidR="005B1D79" w:rsidRPr="005E13B9">
              <w:rPr>
                <w:rFonts w:eastAsia="標楷體"/>
                <w:kern w:val="0"/>
                <w:szCs w:val="20"/>
              </w:rPr>
              <w:t xml:space="preserve"> ratio of domestic institutions at time t-1</w:t>
            </w:r>
          </w:p>
        </w:tc>
      </w:tr>
      <w:tr w:rsidR="006F104F" w:rsidRPr="005E13B9" w14:paraId="01E9A92D" w14:textId="77777777" w:rsidTr="006F104F">
        <w:trPr>
          <w:cantSplit/>
          <w:trHeight w:val="454"/>
          <w:jc w:val="center"/>
        </w:trPr>
        <w:tc>
          <w:tcPr>
            <w:tcW w:w="1502" w:type="pct"/>
            <w:tcBorders>
              <w:top w:val="nil"/>
              <w:bottom w:val="single" w:sz="4" w:space="0" w:color="auto"/>
            </w:tcBorders>
            <w:shd w:val="clear" w:color="000000" w:fill="FFFFFF"/>
          </w:tcPr>
          <w:p w14:paraId="63737144" w14:textId="77777777" w:rsidR="005B1D79" w:rsidRPr="005E13B9" w:rsidRDefault="005B1D79" w:rsidP="001C65C7">
            <w:pPr>
              <w:overflowPunct w:val="0"/>
              <w:adjustRightInd w:val="0"/>
              <w:snapToGrid w:val="0"/>
              <w:ind w:left="170" w:hangingChars="71" w:hanging="170"/>
              <w:rPr>
                <w:szCs w:val="20"/>
              </w:rPr>
            </w:pPr>
            <w:r w:rsidRPr="005E13B9">
              <w:rPr>
                <w:szCs w:val="20"/>
              </w:rPr>
              <w:t xml:space="preserve">Shareholding change of </w:t>
            </w:r>
            <w:r w:rsidRPr="005E13B9">
              <w:rPr>
                <w:rFonts w:eastAsia="標楷體"/>
                <w:szCs w:val="20"/>
              </w:rPr>
              <w:t>security dealers</w:t>
            </w:r>
          </w:p>
        </w:tc>
        <w:tc>
          <w:tcPr>
            <w:tcW w:w="3498" w:type="pct"/>
            <w:tcBorders>
              <w:top w:val="nil"/>
              <w:bottom w:val="single" w:sz="4" w:space="0" w:color="auto"/>
            </w:tcBorders>
            <w:shd w:val="clear" w:color="000000" w:fill="FFFFFF"/>
            <w:vAlign w:val="center"/>
          </w:tcPr>
          <w:p w14:paraId="5ECD37FC" w14:textId="77777777" w:rsidR="005B1D79" w:rsidRPr="005E13B9" w:rsidRDefault="00041B53" w:rsidP="001C65C7">
            <w:pPr>
              <w:widowControl/>
              <w:overflowPunct w:val="0"/>
              <w:adjustRightInd w:val="0"/>
              <w:snapToGrid w:val="0"/>
              <w:jc w:val="both"/>
              <w:rPr>
                <w:rFonts w:eastAsia="標楷體"/>
                <w:kern w:val="0"/>
                <w:szCs w:val="20"/>
              </w:rPr>
            </w:pPr>
            <w:r w:rsidRPr="005E13B9">
              <w:rPr>
                <w:rFonts w:eastAsia="標楷體"/>
                <w:noProof/>
                <w:kern w:val="0"/>
                <w:szCs w:val="20"/>
              </w:rPr>
              <w:t>The s</w:t>
            </w:r>
            <w:r w:rsidR="005B1D79" w:rsidRPr="005E13B9">
              <w:rPr>
                <w:rFonts w:eastAsia="標楷體"/>
                <w:noProof/>
                <w:kern w:val="0"/>
                <w:szCs w:val="20"/>
              </w:rPr>
              <w:t>hareholding</w:t>
            </w:r>
            <w:r w:rsidR="005B1D79" w:rsidRPr="005E13B9">
              <w:rPr>
                <w:rFonts w:eastAsia="標楷體"/>
                <w:kern w:val="0"/>
                <w:szCs w:val="20"/>
              </w:rPr>
              <w:t xml:space="preserve"> ratio of security dealers at time t - </w:t>
            </w:r>
            <w:r w:rsidRPr="005E13B9">
              <w:rPr>
                <w:rFonts w:eastAsia="標楷體"/>
                <w:noProof/>
                <w:kern w:val="0"/>
                <w:szCs w:val="20"/>
              </w:rPr>
              <w:t>The s</w:t>
            </w:r>
            <w:r w:rsidR="005B1D79" w:rsidRPr="005E13B9">
              <w:rPr>
                <w:rFonts w:eastAsia="標楷體"/>
                <w:noProof/>
                <w:kern w:val="0"/>
                <w:szCs w:val="20"/>
              </w:rPr>
              <w:t>hareholding</w:t>
            </w:r>
            <w:r w:rsidR="005B1D79" w:rsidRPr="005E13B9">
              <w:rPr>
                <w:rFonts w:eastAsia="標楷體"/>
                <w:kern w:val="0"/>
                <w:szCs w:val="20"/>
              </w:rPr>
              <w:t xml:space="preserve"> ratio of security dealers at time t-1</w:t>
            </w:r>
          </w:p>
        </w:tc>
      </w:tr>
      <w:tr w:rsidR="006F104F" w:rsidRPr="005E13B9" w14:paraId="7F29D1F4" w14:textId="77777777" w:rsidTr="006F104F">
        <w:trPr>
          <w:cantSplit/>
          <w:trHeight w:val="454"/>
          <w:jc w:val="center"/>
        </w:trPr>
        <w:tc>
          <w:tcPr>
            <w:tcW w:w="1502" w:type="pct"/>
            <w:tcBorders>
              <w:top w:val="single" w:sz="4" w:space="0" w:color="auto"/>
              <w:bottom w:val="nil"/>
            </w:tcBorders>
            <w:shd w:val="clear" w:color="000000" w:fill="FFFFFF"/>
          </w:tcPr>
          <w:p w14:paraId="7C0BC2AA" w14:textId="77777777" w:rsidR="005B1D79" w:rsidRPr="005E13B9" w:rsidRDefault="005B1D79" w:rsidP="001C65C7">
            <w:pPr>
              <w:overflowPunct w:val="0"/>
              <w:adjustRightInd w:val="0"/>
              <w:snapToGrid w:val="0"/>
              <w:ind w:left="170" w:hangingChars="71" w:hanging="170"/>
              <w:rPr>
                <w:kern w:val="0"/>
                <w:szCs w:val="20"/>
              </w:rPr>
            </w:pPr>
            <w:r w:rsidRPr="005E13B9">
              <w:rPr>
                <w:noProof/>
                <w:kern w:val="0"/>
                <w:szCs w:val="20"/>
              </w:rPr>
              <w:t>Corporate</w:t>
            </w:r>
            <w:r w:rsidRPr="005E13B9">
              <w:rPr>
                <w:kern w:val="0"/>
                <w:szCs w:val="20"/>
              </w:rPr>
              <w:t xml:space="preserve"> name change once </w:t>
            </w:r>
            <w:r w:rsidRPr="005E13B9">
              <w:rPr>
                <w:szCs w:val="20"/>
              </w:rPr>
              <w:t>dummy</w:t>
            </w:r>
          </w:p>
        </w:tc>
        <w:tc>
          <w:tcPr>
            <w:tcW w:w="3498" w:type="pct"/>
            <w:tcBorders>
              <w:top w:val="single" w:sz="4" w:space="0" w:color="auto"/>
              <w:bottom w:val="nil"/>
            </w:tcBorders>
            <w:shd w:val="clear" w:color="000000" w:fill="FFFFFF"/>
            <w:vAlign w:val="center"/>
          </w:tcPr>
          <w:p w14:paraId="6A37F11D" w14:textId="77777777" w:rsidR="005B1D79" w:rsidRPr="005E13B9" w:rsidRDefault="005B1D79" w:rsidP="001C65C7">
            <w:pPr>
              <w:overflowPunct w:val="0"/>
              <w:autoSpaceDE w:val="0"/>
              <w:autoSpaceDN w:val="0"/>
              <w:adjustRightInd w:val="0"/>
              <w:snapToGrid w:val="0"/>
              <w:jc w:val="both"/>
              <w:rPr>
                <w:rFonts w:eastAsia="標楷體" w:hAnsi="標楷體"/>
                <w:szCs w:val="20"/>
              </w:rPr>
            </w:pPr>
            <w:r w:rsidRPr="005E13B9">
              <w:rPr>
                <w:rFonts w:eastAsia="標楷體"/>
                <w:kern w:val="0"/>
                <w:szCs w:val="20"/>
              </w:rPr>
              <w:t>Set to 1 if a firm changes its name once; otherwise, set to 0</w:t>
            </w:r>
          </w:p>
        </w:tc>
      </w:tr>
      <w:tr w:rsidR="006F104F" w:rsidRPr="005E13B9" w14:paraId="5D946A81" w14:textId="77777777" w:rsidTr="006F104F">
        <w:trPr>
          <w:cantSplit/>
          <w:trHeight w:val="454"/>
          <w:jc w:val="center"/>
        </w:trPr>
        <w:tc>
          <w:tcPr>
            <w:tcW w:w="1502" w:type="pct"/>
            <w:tcBorders>
              <w:top w:val="nil"/>
            </w:tcBorders>
            <w:shd w:val="clear" w:color="000000" w:fill="FFFFFF"/>
          </w:tcPr>
          <w:p w14:paraId="0268777A" w14:textId="77777777" w:rsidR="005B1D79" w:rsidRPr="005E13B9" w:rsidRDefault="005B1D79" w:rsidP="001C65C7">
            <w:pPr>
              <w:overflowPunct w:val="0"/>
              <w:adjustRightInd w:val="0"/>
              <w:snapToGrid w:val="0"/>
              <w:ind w:left="170" w:hangingChars="71" w:hanging="170"/>
              <w:rPr>
                <w:szCs w:val="20"/>
              </w:rPr>
            </w:pPr>
            <w:r w:rsidRPr="005E13B9">
              <w:rPr>
                <w:szCs w:val="20"/>
              </w:rPr>
              <w:t>Corporate name change more than once dummy</w:t>
            </w:r>
          </w:p>
        </w:tc>
        <w:tc>
          <w:tcPr>
            <w:tcW w:w="3498" w:type="pct"/>
            <w:tcBorders>
              <w:top w:val="nil"/>
            </w:tcBorders>
            <w:shd w:val="clear" w:color="000000" w:fill="FFFFFF"/>
            <w:vAlign w:val="center"/>
          </w:tcPr>
          <w:p w14:paraId="7CBC4448" w14:textId="77777777" w:rsidR="005B1D79" w:rsidRPr="005E13B9" w:rsidRDefault="005B1D79" w:rsidP="001C65C7">
            <w:pPr>
              <w:overflowPunct w:val="0"/>
              <w:autoSpaceDE w:val="0"/>
              <w:autoSpaceDN w:val="0"/>
              <w:adjustRightInd w:val="0"/>
              <w:snapToGrid w:val="0"/>
              <w:jc w:val="both"/>
              <w:rPr>
                <w:rFonts w:eastAsia="標楷體" w:hAnsi="標楷體"/>
                <w:szCs w:val="20"/>
              </w:rPr>
            </w:pPr>
            <w:r w:rsidRPr="005E13B9">
              <w:rPr>
                <w:rFonts w:eastAsia="標楷體"/>
                <w:kern w:val="0"/>
                <w:szCs w:val="20"/>
              </w:rPr>
              <w:t>Set to 1 if a firm changes its name more than once; otherwise, set to 0</w:t>
            </w:r>
          </w:p>
        </w:tc>
      </w:tr>
      <w:tr w:rsidR="006F104F" w:rsidRPr="005E13B9" w14:paraId="6557F3FC" w14:textId="77777777" w:rsidTr="006F104F">
        <w:trPr>
          <w:cantSplit/>
          <w:trHeight w:val="454"/>
          <w:jc w:val="center"/>
        </w:trPr>
        <w:tc>
          <w:tcPr>
            <w:tcW w:w="1502" w:type="pct"/>
            <w:tcBorders>
              <w:top w:val="nil"/>
            </w:tcBorders>
            <w:shd w:val="clear" w:color="000000" w:fill="FFFFFF"/>
          </w:tcPr>
          <w:p w14:paraId="21C6BA72" w14:textId="77777777" w:rsidR="005B1D79" w:rsidRPr="005E13B9" w:rsidRDefault="005B1D79" w:rsidP="001C65C7">
            <w:pPr>
              <w:overflowPunct w:val="0"/>
              <w:adjustRightInd w:val="0"/>
              <w:snapToGrid w:val="0"/>
              <w:ind w:left="170" w:hangingChars="71" w:hanging="170"/>
              <w:rPr>
                <w:szCs w:val="20"/>
              </w:rPr>
            </w:pPr>
            <w:r w:rsidRPr="005E13B9">
              <w:rPr>
                <w:szCs w:val="20"/>
              </w:rPr>
              <w:t>Industry category change once dummy</w:t>
            </w:r>
          </w:p>
        </w:tc>
        <w:tc>
          <w:tcPr>
            <w:tcW w:w="3498" w:type="pct"/>
            <w:tcBorders>
              <w:top w:val="nil"/>
            </w:tcBorders>
            <w:shd w:val="clear" w:color="000000" w:fill="FFFFFF"/>
            <w:vAlign w:val="center"/>
          </w:tcPr>
          <w:p w14:paraId="5FEB6A40" w14:textId="77777777" w:rsidR="005B1D79" w:rsidRPr="005E13B9" w:rsidRDefault="005B1D79" w:rsidP="001C65C7">
            <w:pPr>
              <w:overflowPunct w:val="0"/>
              <w:autoSpaceDE w:val="0"/>
              <w:autoSpaceDN w:val="0"/>
              <w:adjustRightInd w:val="0"/>
              <w:snapToGrid w:val="0"/>
              <w:jc w:val="both"/>
              <w:rPr>
                <w:rFonts w:eastAsia="標楷體" w:hAnsi="標楷體"/>
                <w:szCs w:val="20"/>
              </w:rPr>
            </w:pPr>
            <w:r w:rsidRPr="005E13B9">
              <w:rPr>
                <w:rFonts w:eastAsia="標楷體"/>
                <w:kern w:val="0"/>
                <w:szCs w:val="20"/>
              </w:rPr>
              <w:t>Set to 1 if a firm changes its i</w:t>
            </w:r>
            <w:r w:rsidRPr="005E13B9">
              <w:rPr>
                <w:kern w:val="0"/>
                <w:szCs w:val="20"/>
              </w:rPr>
              <w:t>ndustry category</w:t>
            </w:r>
            <w:r w:rsidRPr="005E13B9">
              <w:rPr>
                <w:rFonts w:eastAsia="標楷體"/>
                <w:kern w:val="0"/>
                <w:szCs w:val="20"/>
              </w:rPr>
              <w:t xml:space="preserve"> once; otherwise, set to 0</w:t>
            </w:r>
          </w:p>
        </w:tc>
      </w:tr>
      <w:tr w:rsidR="006F104F" w:rsidRPr="005E13B9" w14:paraId="1E57B58F" w14:textId="77777777" w:rsidTr="006F104F">
        <w:trPr>
          <w:cantSplit/>
          <w:trHeight w:val="454"/>
          <w:jc w:val="center"/>
        </w:trPr>
        <w:tc>
          <w:tcPr>
            <w:tcW w:w="1502" w:type="pct"/>
            <w:tcBorders>
              <w:top w:val="nil"/>
            </w:tcBorders>
            <w:shd w:val="clear" w:color="000000" w:fill="FFFFFF"/>
          </w:tcPr>
          <w:p w14:paraId="7A380979" w14:textId="77777777" w:rsidR="005B1D79" w:rsidRPr="005E13B9" w:rsidRDefault="005B1D79" w:rsidP="001C65C7">
            <w:pPr>
              <w:overflowPunct w:val="0"/>
              <w:adjustRightInd w:val="0"/>
              <w:snapToGrid w:val="0"/>
              <w:ind w:left="170" w:hangingChars="71" w:hanging="170"/>
              <w:rPr>
                <w:szCs w:val="20"/>
              </w:rPr>
            </w:pPr>
            <w:r w:rsidRPr="005E13B9">
              <w:rPr>
                <w:szCs w:val="20"/>
              </w:rPr>
              <w:t>Industry category change more than once dummy</w:t>
            </w:r>
          </w:p>
        </w:tc>
        <w:tc>
          <w:tcPr>
            <w:tcW w:w="3498" w:type="pct"/>
            <w:tcBorders>
              <w:top w:val="nil"/>
            </w:tcBorders>
            <w:shd w:val="clear" w:color="000000" w:fill="FFFFFF"/>
            <w:vAlign w:val="center"/>
          </w:tcPr>
          <w:p w14:paraId="52D05B9F" w14:textId="77777777" w:rsidR="005B1D79" w:rsidRPr="005E13B9" w:rsidRDefault="005B1D79" w:rsidP="001C65C7">
            <w:pPr>
              <w:overflowPunct w:val="0"/>
              <w:autoSpaceDE w:val="0"/>
              <w:autoSpaceDN w:val="0"/>
              <w:adjustRightInd w:val="0"/>
              <w:snapToGrid w:val="0"/>
              <w:jc w:val="both"/>
              <w:rPr>
                <w:rFonts w:eastAsia="標楷體" w:hAnsi="標楷體"/>
                <w:szCs w:val="20"/>
              </w:rPr>
            </w:pPr>
            <w:r w:rsidRPr="005E13B9">
              <w:rPr>
                <w:rFonts w:eastAsia="標楷體"/>
                <w:kern w:val="0"/>
                <w:szCs w:val="20"/>
              </w:rPr>
              <w:t>Set to 1 if a firm changes its i</w:t>
            </w:r>
            <w:r w:rsidRPr="005E13B9">
              <w:rPr>
                <w:kern w:val="0"/>
                <w:szCs w:val="20"/>
              </w:rPr>
              <w:t>ndustry category</w:t>
            </w:r>
            <w:r w:rsidRPr="005E13B9">
              <w:rPr>
                <w:rFonts w:eastAsia="標楷體"/>
                <w:kern w:val="0"/>
                <w:szCs w:val="20"/>
              </w:rPr>
              <w:t xml:space="preserve"> more than once; otherwise, set to 0</w:t>
            </w:r>
          </w:p>
        </w:tc>
      </w:tr>
      <w:tr w:rsidR="006F104F" w:rsidRPr="005E13B9" w14:paraId="6E24C78C" w14:textId="77777777" w:rsidTr="006F104F">
        <w:trPr>
          <w:cantSplit/>
          <w:trHeight w:val="454"/>
          <w:jc w:val="center"/>
        </w:trPr>
        <w:tc>
          <w:tcPr>
            <w:tcW w:w="1502" w:type="pct"/>
            <w:tcBorders>
              <w:top w:val="single" w:sz="4" w:space="0" w:color="auto"/>
              <w:bottom w:val="nil"/>
            </w:tcBorders>
            <w:shd w:val="clear" w:color="000000" w:fill="FFFFFF"/>
            <w:vAlign w:val="center"/>
          </w:tcPr>
          <w:p w14:paraId="25DCFDC7" w14:textId="77777777" w:rsidR="005B1D79" w:rsidRPr="005E13B9" w:rsidRDefault="005B1D79" w:rsidP="001C65C7">
            <w:pPr>
              <w:widowControl/>
              <w:overflowPunct w:val="0"/>
              <w:adjustRightInd w:val="0"/>
              <w:snapToGrid w:val="0"/>
              <w:rPr>
                <w:kern w:val="0"/>
                <w:szCs w:val="20"/>
              </w:rPr>
            </w:pPr>
            <w:r w:rsidRPr="005E13B9">
              <w:rPr>
                <w:kern w:val="0"/>
                <w:szCs w:val="20"/>
              </w:rPr>
              <w:t>Net profit ratio</w:t>
            </w:r>
          </w:p>
        </w:tc>
        <w:tc>
          <w:tcPr>
            <w:tcW w:w="3498" w:type="pct"/>
            <w:tcBorders>
              <w:top w:val="single" w:sz="4" w:space="0" w:color="auto"/>
              <w:bottom w:val="nil"/>
            </w:tcBorders>
            <w:shd w:val="clear" w:color="000000" w:fill="FFFFFF"/>
            <w:vAlign w:val="center"/>
          </w:tcPr>
          <w:p w14:paraId="2A007211" w14:textId="77777777" w:rsidR="005B1D79" w:rsidRPr="005E13B9" w:rsidRDefault="005B1D79" w:rsidP="001C65C7">
            <w:pPr>
              <w:overflowPunct w:val="0"/>
              <w:adjustRightInd w:val="0"/>
              <w:snapToGrid w:val="0"/>
              <w:jc w:val="both"/>
              <w:rPr>
                <w:rFonts w:eastAsia="標楷體"/>
                <w:kern w:val="0"/>
                <w:szCs w:val="20"/>
              </w:rPr>
            </w:pPr>
            <w:r w:rsidRPr="005E13B9">
              <w:rPr>
                <w:kern w:val="0"/>
                <w:szCs w:val="20"/>
              </w:rPr>
              <w:t>Net profit over total sales</w:t>
            </w:r>
          </w:p>
        </w:tc>
      </w:tr>
      <w:tr w:rsidR="006F104F" w:rsidRPr="005E13B9" w14:paraId="6E07E4A2" w14:textId="77777777" w:rsidTr="006F104F">
        <w:trPr>
          <w:cantSplit/>
          <w:trHeight w:val="454"/>
          <w:jc w:val="center"/>
        </w:trPr>
        <w:tc>
          <w:tcPr>
            <w:tcW w:w="1502" w:type="pct"/>
            <w:tcBorders>
              <w:top w:val="nil"/>
              <w:bottom w:val="nil"/>
            </w:tcBorders>
            <w:shd w:val="clear" w:color="000000" w:fill="FFFFFF"/>
            <w:vAlign w:val="center"/>
          </w:tcPr>
          <w:p w14:paraId="140829BE" w14:textId="77777777" w:rsidR="005B1D79" w:rsidRPr="005E13B9" w:rsidRDefault="005B1D79" w:rsidP="001C65C7">
            <w:pPr>
              <w:widowControl/>
              <w:overflowPunct w:val="0"/>
              <w:adjustRightInd w:val="0"/>
              <w:snapToGrid w:val="0"/>
              <w:rPr>
                <w:kern w:val="0"/>
                <w:szCs w:val="20"/>
              </w:rPr>
            </w:pPr>
            <w:r w:rsidRPr="005E13B9">
              <w:rPr>
                <w:kern w:val="0"/>
                <w:szCs w:val="20"/>
              </w:rPr>
              <w:t>Assets turnover ratio</w:t>
            </w:r>
          </w:p>
        </w:tc>
        <w:tc>
          <w:tcPr>
            <w:tcW w:w="3498" w:type="pct"/>
            <w:tcBorders>
              <w:top w:val="nil"/>
              <w:bottom w:val="nil"/>
            </w:tcBorders>
            <w:shd w:val="clear" w:color="000000" w:fill="FFFFFF"/>
            <w:vAlign w:val="center"/>
          </w:tcPr>
          <w:p w14:paraId="18361672" w14:textId="77777777" w:rsidR="005B1D79" w:rsidRPr="005E13B9" w:rsidRDefault="005B1D79" w:rsidP="001C65C7">
            <w:pPr>
              <w:widowControl/>
              <w:overflowPunct w:val="0"/>
              <w:adjustRightInd w:val="0"/>
              <w:snapToGrid w:val="0"/>
              <w:jc w:val="both"/>
              <w:rPr>
                <w:kern w:val="0"/>
                <w:szCs w:val="20"/>
              </w:rPr>
            </w:pPr>
            <w:r w:rsidRPr="005E13B9">
              <w:rPr>
                <w:kern w:val="0"/>
                <w:szCs w:val="20"/>
              </w:rPr>
              <w:t>Total sales over total assets</w:t>
            </w:r>
          </w:p>
        </w:tc>
      </w:tr>
      <w:tr w:rsidR="006F104F" w:rsidRPr="005E13B9" w14:paraId="4AFD7E6C" w14:textId="77777777" w:rsidTr="006F104F">
        <w:trPr>
          <w:cantSplit/>
          <w:trHeight w:val="454"/>
          <w:jc w:val="center"/>
        </w:trPr>
        <w:tc>
          <w:tcPr>
            <w:tcW w:w="1502" w:type="pct"/>
            <w:tcBorders>
              <w:top w:val="nil"/>
            </w:tcBorders>
            <w:shd w:val="clear" w:color="000000" w:fill="FFFFFF"/>
            <w:vAlign w:val="center"/>
          </w:tcPr>
          <w:p w14:paraId="3FDB1728" w14:textId="77777777" w:rsidR="005B1D79" w:rsidRPr="005E13B9" w:rsidRDefault="005B1D79" w:rsidP="001C65C7">
            <w:pPr>
              <w:widowControl/>
              <w:overflowPunct w:val="0"/>
              <w:adjustRightInd w:val="0"/>
              <w:snapToGrid w:val="0"/>
              <w:rPr>
                <w:kern w:val="0"/>
                <w:szCs w:val="20"/>
              </w:rPr>
            </w:pPr>
            <w:r w:rsidRPr="005E13B9">
              <w:rPr>
                <w:szCs w:val="20"/>
              </w:rPr>
              <w:t>Debt ratio</w:t>
            </w:r>
          </w:p>
        </w:tc>
        <w:tc>
          <w:tcPr>
            <w:tcW w:w="3498" w:type="pct"/>
            <w:tcBorders>
              <w:top w:val="nil"/>
            </w:tcBorders>
            <w:shd w:val="clear" w:color="000000" w:fill="FFFFFF"/>
            <w:vAlign w:val="center"/>
          </w:tcPr>
          <w:p w14:paraId="5314408F" w14:textId="77777777" w:rsidR="005B1D79" w:rsidRPr="005E13B9" w:rsidRDefault="005B1D79" w:rsidP="001C65C7">
            <w:pPr>
              <w:widowControl/>
              <w:overflowPunct w:val="0"/>
              <w:adjustRightInd w:val="0"/>
              <w:snapToGrid w:val="0"/>
              <w:jc w:val="both"/>
              <w:rPr>
                <w:kern w:val="0"/>
                <w:szCs w:val="20"/>
              </w:rPr>
            </w:pPr>
            <w:r w:rsidRPr="005E13B9">
              <w:rPr>
                <w:rFonts w:eastAsia="標楷體"/>
                <w:kern w:val="0"/>
                <w:szCs w:val="20"/>
              </w:rPr>
              <w:t>Total debts over total assets</w:t>
            </w:r>
          </w:p>
        </w:tc>
      </w:tr>
      <w:tr w:rsidR="006F104F" w:rsidRPr="005E13B9" w14:paraId="26718934" w14:textId="77777777" w:rsidTr="006F104F">
        <w:trPr>
          <w:cantSplit/>
          <w:trHeight w:val="454"/>
          <w:jc w:val="center"/>
        </w:trPr>
        <w:tc>
          <w:tcPr>
            <w:tcW w:w="1502" w:type="pct"/>
            <w:tcBorders>
              <w:top w:val="single" w:sz="4" w:space="0" w:color="auto"/>
            </w:tcBorders>
            <w:shd w:val="clear" w:color="000000" w:fill="FFFFFF"/>
            <w:vAlign w:val="center"/>
          </w:tcPr>
          <w:p w14:paraId="79E7D238" w14:textId="77777777" w:rsidR="005B1D79" w:rsidRPr="005E13B9" w:rsidRDefault="005B1D79" w:rsidP="001C65C7">
            <w:pPr>
              <w:overflowPunct w:val="0"/>
              <w:adjustRightInd w:val="0"/>
              <w:snapToGrid w:val="0"/>
              <w:rPr>
                <w:rFonts w:ascii="新細明體" w:cs="新細明體"/>
                <w:szCs w:val="20"/>
              </w:rPr>
            </w:pPr>
            <w:r w:rsidRPr="005E13B9">
              <w:rPr>
                <w:kern w:val="0"/>
                <w:szCs w:val="20"/>
              </w:rPr>
              <w:t>Directors’ shareholding ratio</w:t>
            </w:r>
          </w:p>
        </w:tc>
        <w:tc>
          <w:tcPr>
            <w:tcW w:w="3498" w:type="pct"/>
            <w:tcBorders>
              <w:top w:val="single" w:sz="4" w:space="0" w:color="auto"/>
            </w:tcBorders>
            <w:shd w:val="clear" w:color="000000" w:fill="FFFFFF"/>
            <w:vAlign w:val="center"/>
          </w:tcPr>
          <w:p w14:paraId="4D789824" w14:textId="77777777" w:rsidR="005B1D79" w:rsidRPr="005E13B9" w:rsidRDefault="005B1D79" w:rsidP="001C65C7">
            <w:pPr>
              <w:overflowPunct w:val="0"/>
              <w:autoSpaceDE w:val="0"/>
              <w:autoSpaceDN w:val="0"/>
              <w:adjustRightInd w:val="0"/>
              <w:snapToGrid w:val="0"/>
              <w:jc w:val="both"/>
              <w:rPr>
                <w:rFonts w:eastAsia="標楷體"/>
                <w:kern w:val="0"/>
                <w:szCs w:val="20"/>
              </w:rPr>
            </w:pPr>
            <w:r w:rsidRPr="005E13B9">
              <w:rPr>
                <w:rFonts w:eastAsia="標楷體" w:hAnsi="標楷體"/>
                <w:szCs w:val="20"/>
              </w:rPr>
              <w:t>T</w:t>
            </w:r>
            <w:r w:rsidRPr="005E13B9">
              <w:rPr>
                <w:rFonts w:eastAsia="標楷體"/>
                <w:szCs w:val="20"/>
              </w:rPr>
              <w:t>otal directors’ shareholdings over total shares outstanding</w:t>
            </w:r>
          </w:p>
        </w:tc>
      </w:tr>
      <w:tr w:rsidR="006F104F" w:rsidRPr="005E13B9" w14:paraId="67B997BD" w14:textId="77777777" w:rsidTr="006F104F">
        <w:trPr>
          <w:cantSplit/>
          <w:trHeight w:val="454"/>
          <w:jc w:val="center"/>
        </w:trPr>
        <w:tc>
          <w:tcPr>
            <w:tcW w:w="1502" w:type="pct"/>
            <w:tcBorders>
              <w:top w:val="nil"/>
            </w:tcBorders>
            <w:shd w:val="clear" w:color="000000" w:fill="FFFFFF"/>
            <w:vAlign w:val="center"/>
          </w:tcPr>
          <w:p w14:paraId="6CA9477C" w14:textId="77777777" w:rsidR="005B1D79" w:rsidRPr="005E13B9" w:rsidRDefault="005B1D79" w:rsidP="001C65C7">
            <w:pPr>
              <w:overflowPunct w:val="0"/>
              <w:adjustRightInd w:val="0"/>
              <w:snapToGrid w:val="0"/>
              <w:rPr>
                <w:szCs w:val="20"/>
              </w:rPr>
            </w:pPr>
            <w:r w:rsidRPr="005E13B9">
              <w:rPr>
                <w:kern w:val="0"/>
                <w:szCs w:val="20"/>
              </w:rPr>
              <w:t>Managers’ shareholding ratio</w:t>
            </w:r>
          </w:p>
        </w:tc>
        <w:tc>
          <w:tcPr>
            <w:tcW w:w="3498" w:type="pct"/>
            <w:tcBorders>
              <w:top w:val="nil"/>
            </w:tcBorders>
            <w:shd w:val="clear" w:color="000000" w:fill="FFFFFF"/>
            <w:vAlign w:val="center"/>
          </w:tcPr>
          <w:p w14:paraId="352857B5" w14:textId="77777777" w:rsidR="005B1D79" w:rsidRPr="005E13B9" w:rsidRDefault="005B1D79" w:rsidP="001C65C7">
            <w:pPr>
              <w:overflowPunct w:val="0"/>
              <w:autoSpaceDE w:val="0"/>
              <w:autoSpaceDN w:val="0"/>
              <w:adjustRightInd w:val="0"/>
              <w:snapToGrid w:val="0"/>
              <w:jc w:val="both"/>
              <w:rPr>
                <w:rFonts w:eastAsia="標楷體"/>
                <w:kern w:val="0"/>
                <w:szCs w:val="20"/>
              </w:rPr>
            </w:pPr>
            <w:r w:rsidRPr="005E13B9">
              <w:rPr>
                <w:rFonts w:eastAsia="標楷體"/>
                <w:kern w:val="0"/>
                <w:szCs w:val="20"/>
              </w:rPr>
              <w:t>Total Managers’ shareholdings over total shares o</w:t>
            </w:r>
            <w:r w:rsidRPr="005E13B9">
              <w:rPr>
                <w:rFonts w:eastAsia="標楷體" w:hAnsi="標楷體"/>
                <w:szCs w:val="20"/>
              </w:rPr>
              <w:t>utstanding</w:t>
            </w:r>
          </w:p>
        </w:tc>
      </w:tr>
      <w:tr w:rsidR="006F104F" w:rsidRPr="005E13B9" w14:paraId="7CB10B15" w14:textId="77777777" w:rsidTr="006F104F">
        <w:trPr>
          <w:cantSplit/>
          <w:trHeight w:val="454"/>
          <w:jc w:val="center"/>
        </w:trPr>
        <w:tc>
          <w:tcPr>
            <w:tcW w:w="1502" w:type="pct"/>
            <w:tcBorders>
              <w:top w:val="nil"/>
              <w:bottom w:val="nil"/>
            </w:tcBorders>
            <w:shd w:val="clear" w:color="000000" w:fill="FFFFFF"/>
            <w:vAlign w:val="center"/>
          </w:tcPr>
          <w:p w14:paraId="55FF1775" w14:textId="77777777" w:rsidR="005B1D79" w:rsidRPr="005E13B9" w:rsidRDefault="005B1D79" w:rsidP="001C65C7">
            <w:pPr>
              <w:widowControl/>
              <w:overflowPunct w:val="0"/>
              <w:adjustRightInd w:val="0"/>
              <w:snapToGrid w:val="0"/>
              <w:rPr>
                <w:kern w:val="0"/>
                <w:szCs w:val="20"/>
              </w:rPr>
            </w:pPr>
            <w:r w:rsidRPr="005E13B9">
              <w:rPr>
                <w:kern w:val="0"/>
                <w:szCs w:val="20"/>
              </w:rPr>
              <w:t>Directors’ pledge ratio</w:t>
            </w:r>
          </w:p>
        </w:tc>
        <w:tc>
          <w:tcPr>
            <w:tcW w:w="3498" w:type="pct"/>
            <w:tcBorders>
              <w:top w:val="nil"/>
              <w:bottom w:val="nil"/>
            </w:tcBorders>
            <w:shd w:val="clear" w:color="000000" w:fill="FFFFFF"/>
            <w:vAlign w:val="center"/>
          </w:tcPr>
          <w:p w14:paraId="3633CFA0" w14:textId="77777777" w:rsidR="005B1D79" w:rsidRPr="005E13B9" w:rsidRDefault="005B1D79" w:rsidP="001C65C7">
            <w:pPr>
              <w:overflowPunct w:val="0"/>
              <w:autoSpaceDE w:val="0"/>
              <w:autoSpaceDN w:val="0"/>
              <w:adjustRightInd w:val="0"/>
              <w:snapToGrid w:val="0"/>
              <w:jc w:val="both"/>
              <w:rPr>
                <w:szCs w:val="20"/>
              </w:rPr>
            </w:pPr>
            <w:r w:rsidRPr="005E13B9">
              <w:rPr>
                <w:rFonts w:eastAsia="標楷體"/>
                <w:kern w:val="0"/>
                <w:szCs w:val="20"/>
              </w:rPr>
              <w:t>Directors’ pledged shares over total directors’ shareholdings</w:t>
            </w:r>
          </w:p>
        </w:tc>
      </w:tr>
      <w:tr w:rsidR="006F104F" w:rsidRPr="005E13B9" w14:paraId="1A107173" w14:textId="77777777" w:rsidTr="006F104F">
        <w:trPr>
          <w:cantSplit/>
          <w:trHeight w:val="454"/>
          <w:jc w:val="center"/>
        </w:trPr>
        <w:tc>
          <w:tcPr>
            <w:tcW w:w="1502" w:type="pct"/>
            <w:tcBorders>
              <w:top w:val="nil"/>
              <w:bottom w:val="nil"/>
            </w:tcBorders>
            <w:shd w:val="clear" w:color="000000" w:fill="FFFFFF"/>
            <w:vAlign w:val="center"/>
          </w:tcPr>
          <w:p w14:paraId="2F031C4A" w14:textId="77777777" w:rsidR="005B1D79" w:rsidRPr="005E13B9" w:rsidRDefault="005B1D79" w:rsidP="001C65C7">
            <w:pPr>
              <w:overflowPunct w:val="0"/>
              <w:adjustRightInd w:val="0"/>
              <w:snapToGrid w:val="0"/>
              <w:jc w:val="both"/>
              <w:rPr>
                <w:szCs w:val="20"/>
              </w:rPr>
            </w:pPr>
            <w:r w:rsidRPr="005E13B9">
              <w:rPr>
                <w:szCs w:val="20"/>
              </w:rPr>
              <w:t>CEO duality dummy</w:t>
            </w:r>
          </w:p>
        </w:tc>
        <w:tc>
          <w:tcPr>
            <w:tcW w:w="3498" w:type="pct"/>
            <w:tcBorders>
              <w:top w:val="nil"/>
              <w:bottom w:val="nil"/>
            </w:tcBorders>
            <w:shd w:val="clear" w:color="000000" w:fill="FFFFFF"/>
            <w:vAlign w:val="center"/>
          </w:tcPr>
          <w:p w14:paraId="25611FDF" w14:textId="77777777" w:rsidR="005B1D79" w:rsidRPr="005E13B9" w:rsidRDefault="005B1D79" w:rsidP="001C65C7">
            <w:pPr>
              <w:overflowPunct w:val="0"/>
              <w:autoSpaceDE w:val="0"/>
              <w:autoSpaceDN w:val="0"/>
              <w:adjustRightInd w:val="0"/>
              <w:snapToGrid w:val="0"/>
              <w:jc w:val="both"/>
              <w:rPr>
                <w:rFonts w:eastAsia="標楷體"/>
                <w:kern w:val="0"/>
                <w:szCs w:val="20"/>
              </w:rPr>
            </w:pPr>
            <w:r w:rsidRPr="005E13B9">
              <w:rPr>
                <w:rFonts w:eastAsia="標楷體"/>
                <w:kern w:val="0"/>
                <w:szCs w:val="20"/>
              </w:rPr>
              <w:t xml:space="preserve">Set to 1 if the firms with CEO-Chair, otherwise, set to 0. </w:t>
            </w:r>
          </w:p>
        </w:tc>
      </w:tr>
      <w:tr w:rsidR="006F104F" w:rsidRPr="005E13B9" w14:paraId="192E863C" w14:textId="77777777" w:rsidTr="006F104F">
        <w:trPr>
          <w:cantSplit/>
          <w:trHeight w:val="454"/>
          <w:jc w:val="center"/>
        </w:trPr>
        <w:tc>
          <w:tcPr>
            <w:tcW w:w="1502" w:type="pct"/>
            <w:tcBorders>
              <w:top w:val="nil"/>
              <w:bottom w:val="nil"/>
            </w:tcBorders>
            <w:shd w:val="clear" w:color="000000" w:fill="FFFFFF"/>
            <w:vAlign w:val="center"/>
          </w:tcPr>
          <w:p w14:paraId="03DD0E8A" w14:textId="77777777" w:rsidR="005B1D79" w:rsidRPr="005E13B9" w:rsidRDefault="005B1D79" w:rsidP="001C65C7">
            <w:pPr>
              <w:widowControl/>
              <w:overflowPunct w:val="0"/>
              <w:adjustRightInd w:val="0"/>
              <w:snapToGrid w:val="0"/>
              <w:rPr>
                <w:kern w:val="0"/>
                <w:szCs w:val="20"/>
              </w:rPr>
            </w:pPr>
            <w:r w:rsidRPr="005E13B9">
              <w:rPr>
                <w:kern w:val="0"/>
                <w:szCs w:val="20"/>
              </w:rPr>
              <w:t>Board size</w:t>
            </w:r>
          </w:p>
        </w:tc>
        <w:tc>
          <w:tcPr>
            <w:tcW w:w="3498" w:type="pct"/>
            <w:tcBorders>
              <w:top w:val="nil"/>
              <w:bottom w:val="nil"/>
            </w:tcBorders>
            <w:shd w:val="clear" w:color="000000" w:fill="FFFFFF"/>
            <w:vAlign w:val="center"/>
          </w:tcPr>
          <w:p w14:paraId="52837BBB" w14:textId="77777777" w:rsidR="005B1D79" w:rsidRPr="005E13B9" w:rsidRDefault="005B1D79" w:rsidP="001C65C7">
            <w:pPr>
              <w:overflowPunct w:val="0"/>
              <w:autoSpaceDE w:val="0"/>
              <w:autoSpaceDN w:val="0"/>
              <w:adjustRightInd w:val="0"/>
              <w:snapToGrid w:val="0"/>
              <w:jc w:val="both"/>
              <w:rPr>
                <w:rFonts w:eastAsia="標楷體"/>
                <w:kern w:val="0"/>
                <w:szCs w:val="20"/>
              </w:rPr>
            </w:pPr>
            <w:r w:rsidRPr="005E13B9">
              <w:rPr>
                <w:rFonts w:eastAsia="標楷體"/>
                <w:kern w:val="0"/>
                <w:szCs w:val="20"/>
              </w:rPr>
              <w:t>Total directors on the board</w:t>
            </w:r>
          </w:p>
        </w:tc>
      </w:tr>
      <w:tr w:rsidR="006F104F" w:rsidRPr="005E13B9" w14:paraId="30D6FE5A" w14:textId="77777777" w:rsidTr="006F104F">
        <w:trPr>
          <w:cantSplit/>
          <w:trHeight w:val="454"/>
          <w:jc w:val="center"/>
        </w:trPr>
        <w:tc>
          <w:tcPr>
            <w:tcW w:w="1502" w:type="pct"/>
            <w:tcBorders>
              <w:top w:val="single" w:sz="4" w:space="0" w:color="auto"/>
              <w:bottom w:val="nil"/>
            </w:tcBorders>
            <w:shd w:val="clear" w:color="000000" w:fill="FFFFFF"/>
            <w:vAlign w:val="center"/>
          </w:tcPr>
          <w:p w14:paraId="28E06259" w14:textId="77777777" w:rsidR="005B1D79" w:rsidRPr="005E13B9" w:rsidRDefault="005B1D79" w:rsidP="001C65C7">
            <w:pPr>
              <w:widowControl/>
              <w:overflowPunct w:val="0"/>
              <w:adjustRightInd w:val="0"/>
              <w:snapToGrid w:val="0"/>
              <w:rPr>
                <w:rFonts w:eastAsia="標楷體"/>
                <w:kern w:val="0"/>
                <w:szCs w:val="20"/>
              </w:rPr>
            </w:pPr>
            <w:r w:rsidRPr="005E13B9">
              <w:rPr>
                <w:rFonts w:eastAsia="標楷體"/>
                <w:kern w:val="0"/>
                <w:szCs w:val="20"/>
              </w:rPr>
              <w:t>Electronic dummy</w:t>
            </w:r>
          </w:p>
        </w:tc>
        <w:tc>
          <w:tcPr>
            <w:tcW w:w="3498" w:type="pct"/>
            <w:tcBorders>
              <w:top w:val="single" w:sz="4" w:space="0" w:color="auto"/>
              <w:bottom w:val="nil"/>
            </w:tcBorders>
            <w:shd w:val="clear" w:color="000000" w:fill="FFFFFF"/>
            <w:vAlign w:val="center"/>
          </w:tcPr>
          <w:p w14:paraId="4329ACCD" w14:textId="77777777" w:rsidR="005B1D79" w:rsidRPr="005E13B9" w:rsidRDefault="005B1D79" w:rsidP="001C65C7">
            <w:pPr>
              <w:widowControl/>
              <w:overflowPunct w:val="0"/>
              <w:adjustRightInd w:val="0"/>
              <w:snapToGrid w:val="0"/>
              <w:jc w:val="both"/>
              <w:rPr>
                <w:rFonts w:eastAsia="標楷體"/>
                <w:kern w:val="0"/>
                <w:szCs w:val="20"/>
              </w:rPr>
            </w:pPr>
            <w:r w:rsidRPr="005E13B9">
              <w:rPr>
                <w:rFonts w:eastAsia="標楷體"/>
                <w:kern w:val="0"/>
                <w:szCs w:val="20"/>
              </w:rPr>
              <w:t>Set to 1 for electronic firms; otherwise, set to 0</w:t>
            </w:r>
          </w:p>
        </w:tc>
      </w:tr>
      <w:tr w:rsidR="006F104F" w:rsidRPr="005E13B9" w14:paraId="1B0047FA" w14:textId="77777777" w:rsidTr="006F104F">
        <w:trPr>
          <w:cantSplit/>
          <w:trHeight w:val="454"/>
          <w:jc w:val="center"/>
        </w:trPr>
        <w:tc>
          <w:tcPr>
            <w:tcW w:w="1502" w:type="pct"/>
            <w:tcBorders>
              <w:top w:val="nil"/>
              <w:bottom w:val="single" w:sz="12" w:space="0" w:color="auto"/>
            </w:tcBorders>
            <w:shd w:val="clear" w:color="000000" w:fill="FFFFFF"/>
            <w:vAlign w:val="center"/>
          </w:tcPr>
          <w:p w14:paraId="42E8A048" w14:textId="77777777" w:rsidR="005B1D79" w:rsidRPr="005E13B9" w:rsidRDefault="005B1D79" w:rsidP="001C65C7">
            <w:pPr>
              <w:widowControl/>
              <w:overflowPunct w:val="0"/>
              <w:adjustRightInd w:val="0"/>
              <w:snapToGrid w:val="0"/>
              <w:rPr>
                <w:kern w:val="0"/>
                <w:szCs w:val="20"/>
              </w:rPr>
            </w:pPr>
            <w:r w:rsidRPr="005E13B9">
              <w:rPr>
                <w:rFonts w:eastAsia="標楷體"/>
                <w:kern w:val="0"/>
                <w:szCs w:val="20"/>
              </w:rPr>
              <w:t>Firm scale</w:t>
            </w:r>
          </w:p>
        </w:tc>
        <w:tc>
          <w:tcPr>
            <w:tcW w:w="3498" w:type="pct"/>
            <w:tcBorders>
              <w:top w:val="nil"/>
              <w:bottom w:val="single" w:sz="12" w:space="0" w:color="auto"/>
            </w:tcBorders>
            <w:shd w:val="clear" w:color="000000" w:fill="FFFFFF"/>
            <w:vAlign w:val="center"/>
          </w:tcPr>
          <w:p w14:paraId="7159BEF9" w14:textId="77777777" w:rsidR="005B1D79" w:rsidRPr="005E13B9" w:rsidRDefault="005B1D79" w:rsidP="001C65C7">
            <w:pPr>
              <w:widowControl/>
              <w:overflowPunct w:val="0"/>
              <w:adjustRightInd w:val="0"/>
              <w:snapToGrid w:val="0"/>
              <w:jc w:val="both"/>
              <w:rPr>
                <w:rFonts w:eastAsia="標楷體"/>
                <w:kern w:val="0"/>
                <w:szCs w:val="20"/>
              </w:rPr>
            </w:pPr>
            <w:r w:rsidRPr="005E13B9">
              <w:rPr>
                <w:rFonts w:eastAsia="標楷體"/>
                <w:kern w:val="0"/>
                <w:szCs w:val="20"/>
              </w:rPr>
              <w:t>ln (market value)</w:t>
            </w:r>
          </w:p>
        </w:tc>
      </w:tr>
    </w:tbl>
    <w:p w14:paraId="504429DE" w14:textId="77777777" w:rsidR="00562D71" w:rsidRPr="005E13B9" w:rsidRDefault="0013600E" w:rsidP="001C65C7">
      <w:pPr>
        <w:widowControl/>
        <w:overflowPunct w:val="0"/>
        <w:rPr>
          <w:b/>
          <w:sz w:val="28"/>
          <w:szCs w:val="28"/>
        </w:rPr>
      </w:pPr>
      <w:r w:rsidRPr="005E13B9">
        <w:rPr>
          <w:b/>
          <w:sz w:val="28"/>
          <w:szCs w:val="28"/>
        </w:rPr>
        <w:lastRenderedPageBreak/>
        <w:t>Model</w:t>
      </w:r>
    </w:p>
    <w:p w14:paraId="6206F733" w14:textId="211666C8" w:rsidR="00562D71" w:rsidRPr="005E13B9" w:rsidRDefault="0013600E" w:rsidP="001C65C7">
      <w:pPr>
        <w:overflowPunct w:val="0"/>
        <w:adjustRightInd w:val="0"/>
        <w:ind w:firstLineChars="200" w:firstLine="520"/>
        <w:jc w:val="both"/>
        <w:rPr>
          <w:rFonts w:eastAsia="標楷體"/>
          <w:sz w:val="26"/>
          <w:szCs w:val="26"/>
        </w:rPr>
      </w:pPr>
      <w:r w:rsidRPr="005E13B9">
        <w:rPr>
          <w:sz w:val="26"/>
          <w:szCs w:val="26"/>
        </w:rPr>
        <w:t>The</w:t>
      </w:r>
      <w:r w:rsidRPr="005E13B9">
        <w:rPr>
          <w:rFonts w:eastAsia="標楷體"/>
          <w:sz w:val="26"/>
          <w:szCs w:val="26"/>
        </w:rPr>
        <w:t xml:space="preserve"> model is set to determine whether </w:t>
      </w:r>
      <w:r w:rsidR="000552E7" w:rsidRPr="005E13B9">
        <w:rPr>
          <w:rFonts w:eastAsia="標楷體"/>
          <w:sz w:val="26"/>
          <w:szCs w:val="26"/>
        </w:rPr>
        <w:t xml:space="preserve">the </w:t>
      </w:r>
      <w:r w:rsidRPr="005E13B9">
        <w:rPr>
          <w:sz w:val="26"/>
          <w:szCs w:val="26"/>
        </w:rPr>
        <w:t>shareholding of institutional investors</w:t>
      </w:r>
      <w:r w:rsidRPr="005E13B9">
        <w:rPr>
          <w:rFonts w:eastAsia="標楷體"/>
          <w:sz w:val="26"/>
          <w:szCs w:val="26"/>
        </w:rPr>
        <w:t xml:space="preserve"> would be affected by the firms changing their </w:t>
      </w:r>
      <w:r w:rsidRPr="005E13B9">
        <w:rPr>
          <w:sz w:val="26"/>
          <w:szCs w:val="26"/>
        </w:rPr>
        <w:t xml:space="preserve">firm names or </w:t>
      </w:r>
      <w:r w:rsidR="007474CA" w:rsidRPr="005E13B9">
        <w:rPr>
          <w:sz w:val="26"/>
          <w:szCs w:val="26"/>
        </w:rPr>
        <w:t>industry categories</w:t>
      </w:r>
      <w:r w:rsidRPr="005E13B9">
        <w:rPr>
          <w:rFonts w:eastAsia="標楷體"/>
          <w:sz w:val="26"/>
          <w:szCs w:val="26"/>
        </w:rPr>
        <w:t xml:space="preserve"> after controlling board structure, financial statements, and other variables. The models employed in this study are shown below.</w:t>
      </w:r>
    </w:p>
    <w:p w14:paraId="049E0A7E" w14:textId="77777777" w:rsidR="00047552" w:rsidRDefault="0013600E" w:rsidP="001C65C7">
      <w:pPr>
        <w:overflowPunct w:val="0"/>
        <w:adjustRightInd w:val="0"/>
        <w:spacing w:line="360" w:lineRule="exact"/>
        <w:ind w:left="850" w:hangingChars="327" w:hanging="850"/>
        <w:jc w:val="both"/>
        <w:rPr>
          <w:rFonts w:eastAsia="標楷體"/>
          <w:kern w:val="0"/>
          <w:sz w:val="26"/>
          <w:szCs w:val="26"/>
        </w:rPr>
      </w:pPr>
      <w:r w:rsidRPr="005E13B9">
        <w:rPr>
          <w:sz w:val="26"/>
          <w:szCs w:val="26"/>
        </w:rPr>
        <w:t>Y</w:t>
      </w:r>
      <w:r w:rsidR="00877528" w:rsidRPr="005E13B9">
        <w:rPr>
          <w:rFonts w:eastAsia="標楷體"/>
          <w:noProof/>
          <w:kern w:val="0"/>
          <w:position w:val="-14"/>
          <w:sz w:val="26"/>
          <w:szCs w:val="26"/>
        </w:rPr>
        <w:object w:dxaOrig="473" w:dyaOrig="376" w14:anchorId="06829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pt;height:19.15pt;mso-width-percent:0;mso-height-percent:0;mso-width-percent:0;mso-height-percent:0" o:ole="">
            <v:imagedata r:id="rId10" o:title=""/>
          </v:shape>
          <o:OLEObject Type="Embed" ProgID="Equation.3" ShapeID="_x0000_i1025" DrawAspect="Content" ObjectID="_1640252769" r:id="rId11"/>
        </w:object>
      </w:r>
      <w:r w:rsidRPr="005E13B9">
        <w:rPr>
          <w:rFonts w:eastAsia="標楷體"/>
          <w:kern w:val="0"/>
          <w:sz w:val="26"/>
          <w:szCs w:val="26"/>
        </w:rPr>
        <w:t>β</w:t>
      </w:r>
      <w:r w:rsidR="00877528" w:rsidRPr="005E13B9">
        <w:rPr>
          <w:rFonts w:eastAsia="標楷體"/>
          <w:noProof/>
          <w:kern w:val="0"/>
          <w:position w:val="-12"/>
          <w:sz w:val="26"/>
          <w:szCs w:val="26"/>
        </w:rPr>
        <w:object w:dxaOrig="161" w:dyaOrig="365" w14:anchorId="5B411922">
          <v:shape id="_x0000_i1026" type="#_x0000_t75" alt="" style="width:9.1pt;height:19.15pt;mso-width-percent:0;mso-height-percent:0;mso-width-percent:0;mso-height-percent:0" o:ole="">
            <v:imagedata r:id="rId12" o:title=""/>
          </v:shape>
          <o:OLEObject Type="Embed" ProgID="Equation.3" ShapeID="_x0000_i1026" DrawAspect="Content" ObjectID="_1640252770" r:id="rId13"/>
        </w:object>
      </w:r>
      <w:r w:rsidRPr="005E13B9">
        <w:rPr>
          <w:rFonts w:eastAsia="標楷體"/>
          <w:kern w:val="0"/>
          <w:sz w:val="26"/>
          <w:szCs w:val="26"/>
        </w:rPr>
        <w:t>+ β</w:t>
      </w:r>
      <w:r w:rsidR="00877528" w:rsidRPr="005E13B9">
        <w:rPr>
          <w:rFonts w:eastAsia="標楷體"/>
          <w:noProof/>
          <w:kern w:val="0"/>
          <w:position w:val="-10"/>
          <w:sz w:val="26"/>
          <w:szCs w:val="26"/>
        </w:rPr>
        <w:object w:dxaOrig="118" w:dyaOrig="365" w14:anchorId="6B6E2396">
          <v:shape id="_x0000_i1027" type="#_x0000_t75" alt="" style="width:5pt;height:19.15pt;mso-width-percent:0;mso-height-percent:0;mso-width-percent:0;mso-height-percent:0" o:ole="">
            <v:imagedata r:id="rId14" o:title=""/>
          </v:shape>
          <o:OLEObject Type="Embed" ProgID="Equation.3" ShapeID="_x0000_i1027" DrawAspect="Content" ObjectID="_1640252771" r:id="rId15"/>
        </w:object>
      </w:r>
      <w:r w:rsidRPr="005E13B9">
        <w:rPr>
          <w:rFonts w:eastAsia="標楷體"/>
          <w:kern w:val="0"/>
          <w:sz w:val="26"/>
          <w:szCs w:val="26"/>
        </w:rPr>
        <w:t>X1</w:t>
      </w:r>
      <w:r w:rsidR="00877528" w:rsidRPr="005E13B9">
        <w:rPr>
          <w:rFonts w:eastAsia="標楷體"/>
          <w:noProof/>
          <w:kern w:val="0"/>
          <w:position w:val="-14"/>
          <w:sz w:val="26"/>
          <w:szCs w:val="26"/>
        </w:rPr>
        <w:object w:dxaOrig="322" w:dyaOrig="376" w14:anchorId="7B582374">
          <v:shape id="_x0000_i1028" type="#_x0000_t75" alt="" style="width:16.85pt;height:19.15pt;mso-width-percent:0;mso-height-percent:0;mso-width-percent:0;mso-height-percent:0" o:ole="">
            <v:imagedata r:id="rId16" o:title=""/>
          </v:shape>
          <o:OLEObject Type="Embed" ProgID="Equation.3" ShapeID="_x0000_i1028" DrawAspect="Content" ObjectID="_1640252772" r:id="rId17"/>
        </w:object>
      </w:r>
      <w:r w:rsidRPr="005E13B9">
        <w:rPr>
          <w:rFonts w:eastAsia="標楷體"/>
          <w:kern w:val="0"/>
          <w:sz w:val="26"/>
          <w:szCs w:val="26"/>
        </w:rPr>
        <w:t>+ β</w:t>
      </w:r>
      <w:r w:rsidR="00877528" w:rsidRPr="005E13B9">
        <w:rPr>
          <w:rFonts w:eastAsia="標楷體"/>
          <w:noProof/>
          <w:kern w:val="0"/>
          <w:position w:val="-10"/>
          <w:sz w:val="26"/>
          <w:szCs w:val="26"/>
        </w:rPr>
        <w:object w:dxaOrig="161" w:dyaOrig="365" w14:anchorId="7F5523FB">
          <v:shape id="_x0000_i1029" type="#_x0000_t75" alt="" style="width:9.1pt;height:19.15pt;mso-width-percent:0;mso-height-percent:0;mso-width-percent:0;mso-height-percent:0" o:ole="">
            <v:imagedata r:id="rId18" o:title=""/>
          </v:shape>
          <o:OLEObject Type="Embed" ProgID="Equation.3" ShapeID="_x0000_i1029" DrawAspect="Content" ObjectID="_1640252773" r:id="rId19"/>
        </w:object>
      </w:r>
      <w:r w:rsidRPr="005E13B9">
        <w:rPr>
          <w:rFonts w:eastAsia="標楷體"/>
          <w:kern w:val="0"/>
          <w:sz w:val="26"/>
          <w:szCs w:val="26"/>
        </w:rPr>
        <w:t>X2</w:t>
      </w:r>
      <w:r w:rsidR="00877528" w:rsidRPr="005E13B9">
        <w:rPr>
          <w:rFonts w:eastAsia="標楷體"/>
          <w:noProof/>
          <w:kern w:val="0"/>
          <w:position w:val="-14"/>
          <w:sz w:val="26"/>
          <w:szCs w:val="26"/>
        </w:rPr>
        <w:object w:dxaOrig="322" w:dyaOrig="376" w14:anchorId="0052445B">
          <v:shape id="_x0000_i1030" type="#_x0000_t75" alt="" style="width:16.85pt;height:19.15pt;mso-width-percent:0;mso-height-percent:0;mso-width-percent:0;mso-height-percent:0" o:ole="">
            <v:imagedata r:id="rId20" o:title=""/>
          </v:shape>
          <o:OLEObject Type="Embed" ProgID="Equation.3" ShapeID="_x0000_i1030" DrawAspect="Content" ObjectID="_1640252774" r:id="rId21"/>
        </w:object>
      </w:r>
      <w:r w:rsidRPr="005E13B9">
        <w:rPr>
          <w:rFonts w:eastAsia="標楷體"/>
          <w:kern w:val="0"/>
          <w:sz w:val="26"/>
          <w:szCs w:val="26"/>
        </w:rPr>
        <w:t>+ β</w:t>
      </w:r>
      <w:r w:rsidR="00877528" w:rsidRPr="005E13B9">
        <w:rPr>
          <w:rFonts w:eastAsia="標楷體"/>
          <w:noProof/>
          <w:kern w:val="0"/>
          <w:position w:val="-12"/>
          <w:sz w:val="26"/>
          <w:szCs w:val="26"/>
        </w:rPr>
        <w:object w:dxaOrig="161" w:dyaOrig="365" w14:anchorId="6F150763">
          <v:shape id="_x0000_i1031" type="#_x0000_t75" alt="" style="width:9.1pt;height:19.15pt;mso-width-percent:0;mso-height-percent:0;mso-width-percent:0;mso-height-percent:0" o:ole="">
            <v:imagedata r:id="rId22" o:title=""/>
          </v:shape>
          <o:OLEObject Type="Embed" ProgID="Equation.3" ShapeID="_x0000_i1031" DrawAspect="Content" ObjectID="_1640252775" r:id="rId23"/>
        </w:object>
      </w:r>
      <w:r w:rsidRPr="005E13B9">
        <w:rPr>
          <w:rFonts w:eastAsia="標楷體"/>
          <w:kern w:val="0"/>
          <w:sz w:val="26"/>
          <w:szCs w:val="26"/>
        </w:rPr>
        <w:t>Net profit ratio</w:t>
      </w:r>
      <w:r w:rsidR="00877528" w:rsidRPr="005E13B9">
        <w:rPr>
          <w:rFonts w:eastAsia="標楷體"/>
          <w:noProof/>
          <w:kern w:val="0"/>
          <w:position w:val="-14"/>
          <w:sz w:val="26"/>
          <w:szCs w:val="26"/>
        </w:rPr>
        <w:object w:dxaOrig="226" w:dyaOrig="365" w14:anchorId="14C940E1">
          <v:shape id="_x0000_i1032" type="#_x0000_t75" alt="" style="width:10.05pt;height:19.15pt;mso-width-percent:0;mso-height-percent:0;mso-width-percent:0;mso-height-percent:0" o:ole="">
            <v:imagedata r:id="rId24" o:title=""/>
          </v:shape>
          <o:OLEObject Type="Embed" ProgID="Equation.3" ShapeID="_x0000_i1032" DrawAspect="Content" ObjectID="_1640252776" r:id="rId25"/>
        </w:object>
      </w:r>
      <w:r w:rsidRPr="005E13B9">
        <w:rPr>
          <w:rFonts w:eastAsia="標楷體"/>
          <w:kern w:val="0"/>
          <w:sz w:val="26"/>
          <w:szCs w:val="26"/>
        </w:rPr>
        <w:t>+ β</w:t>
      </w:r>
      <w:r w:rsidR="00877528" w:rsidRPr="005E13B9">
        <w:rPr>
          <w:rFonts w:eastAsia="標楷體"/>
          <w:noProof/>
          <w:kern w:val="0"/>
          <w:position w:val="-10"/>
          <w:sz w:val="26"/>
          <w:szCs w:val="26"/>
        </w:rPr>
        <w:object w:dxaOrig="161" w:dyaOrig="365" w14:anchorId="07CAA66C">
          <v:shape id="_x0000_i1033" type="#_x0000_t75" alt="" style="width:9.1pt;height:19.15pt;mso-width-percent:0;mso-height-percent:0;mso-width-percent:0;mso-height-percent:0" o:ole="">
            <v:imagedata r:id="rId26" o:title=""/>
          </v:shape>
          <o:OLEObject Type="Embed" ProgID="Equation.3" ShapeID="_x0000_i1033" DrawAspect="Content" ObjectID="_1640252777" r:id="rId27"/>
        </w:object>
      </w:r>
      <w:r w:rsidRPr="005E13B9">
        <w:rPr>
          <w:rFonts w:eastAsia="標楷體"/>
          <w:kern w:val="0"/>
          <w:sz w:val="26"/>
          <w:szCs w:val="26"/>
        </w:rPr>
        <w:t>A</w:t>
      </w:r>
      <w:r w:rsidRPr="005E13B9">
        <w:rPr>
          <w:rFonts w:eastAsia="標楷體"/>
          <w:bCs/>
          <w:sz w:val="26"/>
          <w:szCs w:val="26"/>
        </w:rPr>
        <w:t>ssets turnover ratio</w:t>
      </w:r>
      <w:r w:rsidR="00877528" w:rsidRPr="005E13B9">
        <w:rPr>
          <w:rFonts w:eastAsia="標楷體"/>
          <w:noProof/>
          <w:kern w:val="0"/>
          <w:position w:val="-14"/>
          <w:sz w:val="26"/>
          <w:szCs w:val="26"/>
        </w:rPr>
        <w:object w:dxaOrig="226" w:dyaOrig="365" w14:anchorId="045F36EF">
          <v:shape id="_x0000_i1034" type="#_x0000_t75" alt="" style="width:10.05pt;height:19.15pt;mso-width-percent:0;mso-height-percent:0;mso-width-percent:0;mso-height-percent:0" o:ole="">
            <v:imagedata r:id="rId24" o:title=""/>
          </v:shape>
          <o:OLEObject Type="Embed" ProgID="Equation.3" ShapeID="_x0000_i1034" DrawAspect="Content" ObjectID="_1640252778" r:id="rId28"/>
        </w:object>
      </w:r>
      <w:r w:rsidRPr="005E13B9">
        <w:rPr>
          <w:rFonts w:eastAsia="標楷體"/>
          <w:kern w:val="0"/>
          <w:sz w:val="26"/>
          <w:szCs w:val="26"/>
        </w:rPr>
        <w:t>+</w:t>
      </w:r>
      <w:r w:rsidR="00F85C79" w:rsidRPr="005E13B9">
        <w:rPr>
          <w:rFonts w:eastAsia="標楷體" w:hint="eastAsia"/>
          <w:kern w:val="0"/>
          <w:sz w:val="26"/>
          <w:szCs w:val="26"/>
        </w:rPr>
        <w:t xml:space="preserve"> </w:t>
      </w:r>
      <w:r w:rsidRPr="005E13B9">
        <w:rPr>
          <w:rFonts w:eastAsia="標楷體"/>
          <w:kern w:val="0"/>
          <w:sz w:val="26"/>
          <w:szCs w:val="26"/>
        </w:rPr>
        <w:t>β</w:t>
      </w:r>
      <w:r w:rsidR="00877528" w:rsidRPr="005E13B9">
        <w:rPr>
          <w:rFonts w:eastAsia="標楷體"/>
          <w:noProof/>
          <w:kern w:val="0"/>
          <w:position w:val="-12"/>
          <w:sz w:val="26"/>
          <w:szCs w:val="26"/>
        </w:rPr>
        <w:object w:dxaOrig="161" w:dyaOrig="365" w14:anchorId="53CB1D0E">
          <v:shape id="_x0000_i1035" type="#_x0000_t75" alt="" style="width:9.1pt;height:19.15pt;mso-width-percent:0;mso-height-percent:0;mso-width-percent:0;mso-height-percent:0" o:ole="">
            <v:imagedata r:id="rId29" o:title=""/>
          </v:shape>
          <o:OLEObject Type="Embed" ProgID="Equation.3" ShapeID="_x0000_i1035" DrawAspect="Content" ObjectID="_1640252779" r:id="rId30"/>
        </w:object>
      </w:r>
      <w:r w:rsidRPr="005E13B9">
        <w:rPr>
          <w:rFonts w:eastAsia="標楷體" w:hAnsi="標楷體"/>
          <w:sz w:val="26"/>
          <w:szCs w:val="26"/>
        </w:rPr>
        <w:t>Debt ratio</w:t>
      </w:r>
      <w:r w:rsidR="00877528" w:rsidRPr="005E13B9">
        <w:rPr>
          <w:rFonts w:eastAsia="標楷體"/>
          <w:noProof/>
          <w:kern w:val="0"/>
          <w:position w:val="-14"/>
          <w:sz w:val="26"/>
          <w:szCs w:val="26"/>
        </w:rPr>
        <w:object w:dxaOrig="226" w:dyaOrig="365" w14:anchorId="32267EB3">
          <v:shape id="_x0000_i1036" type="#_x0000_t75" alt="" style="width:10.05pt;height:19.15pt;mso-width-percent:0;mso-height-percent:0;mso-width-percent:0;mso-height-percent:0" o:ole="">
            <v:imagedata r:id="rId24" o:title=""/>
          </v:shape>
          <o:OLEObject Type="Embed" ProgID="Equation.3" ShapeID="_x0000_i1036" DrawAspect="Content" ObjectID="_1640252780" r:id="rId31"/>
        </w:object>
      </w:r>
      <w:r w:rsidRPr="005E13B9">
        <w:rPr>
          <w:rFonts w:eastAsia="標楷體"/>
          <w:kern w:val="0"/>
          <w:sz w:val="26"/>
          <w:szCs w:val="26"/>
        </w:rPr>
        <w:t>+ β</w:t>
      </w:r>
      <w:r w:rsidR="00877528" w:rsidRPr="005E13B9">
        <w:rPr>
          <w:rFonts w:eastAsia="標楷體"/>
          <w:noProof/>
          <w:kern w:val="0"/>
          <w:position w:val="-12"/>
          <w:sz w:val="26"/>
          <w:szCs w:val="26"/>
        </w:rPr>
        <w:object w:dxaOrig="161" w:dyaOrig="365" w14:anchorId="09D75FFD">
          <v:shape id="_x0000_i1037" type="#_x0000_t75" alt="" style="width:9.1pt;height:19.15pt;mso-width-percent:0;mso-height-percent:0;mso-width-percent:0;mso-height-percent:0" o:ole="">
            <v:imagedata r:id="rId32" o:title=""/>
          </v:shape>
          <o:OLEObject Type="Embed" ProgID="Equation.3" ShapeID="_x0000_i1037" DrawAspect="Content" ObjectID="_1640252781" r:id="rId33"/>
        </w:object>
      </w:r>
      <w:r w:rsidRPr="005E13B9">
        <w:rPr>
          <w:rFonts w:eastAsia="標楷體"/>
          <w:kern w:val="0"/>
          <w:sz w:val="26"/>
          <w:szCs w:val="26"/>
        </w:rPr>
        <w:t xml:space="preserve">Directors’ </w:t>
      </w:r>
      <w:r w:rsidR="00FC0961" w:rsidRPr="005E13B9">
        <w:rPr>
          <w:rFonts w:eastAsia="標楷體" w:hint="eastAsia"/>
          <w:kern w:val="0"/>
          <w:sz w:val="26"/>
          <w:szCs w:val="26"/>
        </w:rPr>
        <w:t>share</w:t>
      </w:r>
      <w:r w:rsidRPr="005E13B9">
        <w:rPr>
          <w:rFonts w:eastAsia="標楷體"/>
          <w:kern w:val="0"/>
          <w:sz w:val="26"/>
          <w:szCs w:val="26"/>
        </w:rPr>
        <w:t>holding ratio</w:t>
      </w:r>
      <w:r w:rsidR="00877528" w:rsidRPr="005E13B9">
        <w:rPr>
          <w:rFonts w:eastAsia="標楷體"/>
          <w:noProof/>
          <w:kern w:val="0"/>
          <w:position w:val="-14"/>
          <w:sz w:val="26"/>
          <w:szCs w:val="26"/>
        </w:rPr>
        <w:object w:dxaOrig="226" w:dyaOrig="365" w14:anchorId="268A20EA">
          <v:shape id="_x0000_i1038" type="#_x0000_t75" alt="" style="width:10.05pt;height:19.15pt;mso-width-percent:0;mso-height-percent:0;mso-width-percent:0;mso-height-percent:0" o:ole="">
            <v:imagedata r:id="rId24" o:title=""/>
          </v:shape>
          <o:OLEObject Type="Embed" ProgID="Equation.3" ShapeID="_x0000_i1038" DrawAspect="Content" ObjectID="_1640252782" r:id="rId34"/>
        </w:object>
      </w:r>
      <w:r w:rsidRPr="005E13B9">
        <w:rPr>
          <w:rFonts w:eastAsia="標楷體"/>
          <w:kern w:val="0"/>
          <w:sz w:val="26"/>
          <w:szCs w:val="26"/>
        </w:rPr>
        <w:t>+ β</w:t>
      </w:r>
      <w:r w:rsidR="00877528" w:rsidRPr="005E13B9">
        <w:rPr>
          <w:rFonts w:eastAsia="標楷體"/>
          <w:noProof/>
          <w:kern w:val="0"/>
          <w:position w:val="-12"/>
          <w:sz w:val="26"/>
          <w:szCs w:val="26"/>
        </w:rPr>
        <w:object w:dxaOrig="161" w:dyaOrig="365" w14:anchorId="1C1D66BC">
          <v:shape id="_x0000_i1039" type="#_x0000_t75" alt="" style="width:9.1pt;height:19.15pt;mso-width-percent:0;mso-height-percent:0;mso-width-percent:0;mso-height-percent:0" o:ole="">
            <v:imagedata r:id="rId35" o:title=""/>
          </v:shape>
          <o:OLEObject Type="Embed" ProgID="Equation.3" ShapeID="_x0000_i1039" DrawAspect="Content" ObjectID="_1640252783" r:id="rId36"/>
        </w:object>
      </w:r>
      <w:r w:rsidRPr="005E13B9">
        <w:rPr>
          <w:rFonts w:eastAsia="標楷體"/>
          <w:kern w:val="0"/>
          <w:sz w:val="26"/>
          <w:szCs w:val="26"/>
        </w:rPr>
        <w:t xml:space="preserve">Managers’ </w:t>
      </w:r>
      <w:r w:rsidR="00FC0961" w:rsidRPr="005E13B9">
        <w:rPr>
          <w:rFonts w:eastAsia="標楷體" w:hint="eastAsia"/>
          <w:kern w:val="0"/>
          <w:sz w:val="26"/>
          <w:szCs w:val="26"/>
        </w:rPr>
        <w:t>share</w:t>
      </w:r>
      <w:r w:rsidRPr="005E13B9">
        <w:rPr>
          <w:rFonts w:eastAsia="標楷體"/>
          <w:kern w:val="0"/>
          <w:sz w:val="26"/>
          <w:szCs w:val="26"/>
        </w:rPr>
        <w:t>holding ratio</w:t>
      </w:r>
      <w:r w:rsidR="00877528" w:rsidRPr="005E13B9">
        <w:rPr>
          <w:rFonts w:eastAsia="標楷體"/>
          <w:noProof/>
          <w:kern w:val="0"/>
          <w:position w:val="-14"/>
          <w:sz w:val="26"/>
          <w:szCs w:val="26"/>
        </w:rPr>
        <w:object w:dxaOrig="226" w:dyaOrig="365" w14:anchorId="2EFAF6D7">
          <v:shape id="_x0000_i1040" type="#_x0000_t75" alt="" style="width:10.05pt;height:19.15pt;mso-width-percent:0;mso-height-percent:0;mso-width-percent:0;mso-height-percent:0" o:ole="">
            <v:imagedata r:id="rId24" o:title=""/>
          </v:shape>
          <o:OLEObject Type="Embed" ProgID="Equation.3" ShapeID="_x0000_i1040" DrawAspect="Content" ObjectID="_1640252784" r:id="rId37"/>
        </w:object>
      </w:r>
      <w:r w:rsidRPr="005E13B9">
        <w:rPr>
          <w:sz w:val="26"/>
          <w:szCs w:val="26"/>
        </w:rPr>
        <w:t xml:space="preserve">+ </w:t>
      </w:r>
      <w:r w:rsidRPr="005E13B9">
        <w:rPr>
          <w:rFonts w:eastAsia="標楷體"/>
          <w:sz w:val="26"/>
          <w:szCs w:val="26"/>
        </w:rPr>
        <w:t>β</w:t>
      </w:r>
      <w:r w:rsidRPr="005E13B9">
        <w:rPr>
          <w:sz w:val="26"/>
          <w:szCs w:val="26"/>
          <w:vertAlign w:val="subscript"/>
        </w:rPr>
        <w:t>8</w:t>
      </w:r>
      <w:r w:rsidRPr="005E13B9">
        <w:rPr>
          <w:rFonts w:eastAsia="標楷體"/>
          <w:kern w:val="0"/>
          <w:sz w:val="26"/>
          <w:szCs w:val="26"/>
        </w:rPr>
        <w:t xml:space="preserve"> Directors’ pledge ratio</w:t>
      </w:r>
      <w:r w:rsidR="00877528" w:rsidRPr="005E13B9">
        <w:rPr>
          <w:rFonts w:eastAsia="標楷體"/>
          <w:noProof/>
          <w:kern w:val="0"/>
          <w:position w:val="-14"/>
          <w:sz w:val="26"/>
          <w:szCs w:val="26"/>
        </w:rPr>
        <w:object w:dxaOrig="226" w:dyaOrig="365" w14:anchorId="6CDC66F3">
          <v:shape id="_x0000_i1041" type="#_x0000_t75" alt="" style="width:10.05pt;height:19.15pt;mso-width-percent:0;mso-height-percent:0;mso-width-percent:0;mso-height-percent:0" o:ole="">
            <v:imagedata r:id="rId24" o:title=""/>
          </v:shape>
          <o:OLEObject Type="Embed" ProgID="Equation.3" ShapeID="_x0000_i1041" DrawAspect="Content" ObjectID="_1640252785" r:id="rId38"/>
        </w:object>
      </w:r>
      <w:r w:rsidRPr="005E13B9">
        <w:rPr>
          <w:sz w:val="26"/>
          <w:szCs w:val="26"/>
        </w:rPr>
        <w:t>+ β</w:t>
      </w:r>
      <w:r w:rsidRPr="005E13B9">
        <w:rPr>
          <w:sz w:val="26"/>
          <w:szCs w:val="26"/>
          <w:vertAlign w:val="subscript"/>
        </w:rPr>
        <w:t xml:space="preserve">9 </w:t>
      </w:r>
      <w:r w:rsidRPr="005E13B9">
        <w:rPr>
          <w:rFonts w:eastAsia="標楷體"/>
          <w:bCs/>
          <w:sz w:val="26"/>
          <w:szCs w:val="26"/>
        </w:rPr>
        <w:t>CEO duality dummy</w:t>
      </w:r>
      <w:r w:rsidR="00877528" w:rsidRPr="005E13B9">
        <w:rPr>
          <w:rFonts w:eastAsia="標楷體"/>
          <w:noProof/>
          <w:kern w:val="0"/>
          <w:position w:val="-14"/>
          <w:sz w:val="26"/>
          <w:szCs w:val="26"/>
        </w:rPr>
        <w:object w:dxaOrig="226" w:dyaOrig="365" w14:anchorId="5E66781A">
          <v:shape id="_x0000_i1042" type="#_x0000_t75" alt="" style="width:10.05pt;height:19.15pt;mso-width-percent:0;mso-height-percent:0;mso-width-percent:0;mso-height-percent:0" o:ole="">
            <v:imagedata r:id="rId24" o:title=""/>
          </v:shape>
          <o:OLEObject Type="Embed" ProgID="Equation.3" ShapeID="_x0000_i1042" DrawAspect="Content" ObjectID="_1640252786" r:id="rId39"/>
        </w:object>
      </w:r>
      <w:r w:rsidRPr="005E13B9">
        <w:rPr>
          <w:sz w:val="26"/>
          <w:szCs w:val="26"/>
        </w:rPr>
        <w:t>+ β</w:t>
      </w:r>
      <w:r w:rsidRPr="005E13B9">
        <w:rPr>
          <w:sz w:val="26"/>
          <w:szCs w:val="26"/>
          <w:vertAlign w:val="subscript"/>
        </w:rPr>
        <w:t xml:space="preserve">10 </w:t>
      </w:r>
      <w:r w:rsidRPr="005E13B9">
        <w:rPr>
          <w:rFonts w:eastAsia="標楷體"/>
          <w:kern w:val="0"/>
          <w:sz w:val="26"/>
          <w:szCs w:val="26"/>
        </w:rPr>
        <w:t>Board size</w:t>
      </w:r>
      <w:r w:rsidR="00877528" w:rsidRPr="005E13B9">
        <w:rPr>
          <w:rFonts w:eastAsia="標楷體"/>
          <w:noProof/>
          <w:kern w:val="0"/>
          <w:position w:val="-14"/>
          <w:sz w:val="26"/>
          <w:szCs w:val="26"/>
        </w:rPr>
        <w:object w:dxaOrig="226" w:dyaOrig="365" w14:anchorId="1C1A7928">
          <v:shape id="_x0000_i1043" type="#_x0000_t75" alt="" style="width:10.05pt;height:19.15pt;mso-width-percent:0;mso-height-percent:0;mso-width-percent:0;mso-height-percent:0" o:ole="">
            <v:imagedata r:id="rId24" o:title=""/>
          </v:shape>
          <o:OLEObject Type="Embed" ProgID="Equation.3" ShapeID="_x0000_i1043" DrawAspect="Content" ObjectID="_1640252787" r:id="rId40"/>
        </w:object>
      </w:r>
      <w:r w:rsidRPr="005E13B9">
        <w:rPr>
          <w:sz w:val="26"/>
          <w:szCs w:val="26"/>
        </w:rPr>
        <w:t>+ β</w:t>
      </w:r>
      <w:r w:rsidRPr="005E13B9">
        <w:rPr>
          <w:sz w:val="26"/>
          <w:szCs w:val="26"/>
          <w:vertAlign w:val="subscript"/>
        </w:rPr>
        <w:t>11</w:t>
      </w:r>
      <w:r w:rsidRPr="005E13B9">
        <w:rPr>
          <w:rFonts w:eastAsia="標楷體"/>
          <w:bCs/>
          <w:sz w:val="26"/>
          <w:szCs w:val="26"/>
        </w:rPr>
        <w:t xml:space="preserve"> </w:t>
      </w:r>
      <w:r w:rsidRPr="005E13B9">
        <w:rPr>
          <w:sz w:val="26"/>
          <w:szCs w:val="26"/>
        </w:rPr>
        <w:t>Electronic dummy</w:t>
      </w:r>
      <w:r w:rsidR="00877528" w:rsidRPr="005E13B9">
        <w:rPr>
          <w:rFonts w:eastAsia="標楷體"/>
          <w:noProof/>
          <w:kern w:val="0"/>
          <w:position w:val="-14"/>
          <w:sz w:val="26"/>
          <w:szCs w:val="26"/>
        </w:rPr>
        <w:object w:dxaOrig="226" w:dyaOrig="365" w14:anchorId="3EA6A2BD">
          <v:shape id="_x0000_i1044" type="#_x0000_t75" alt="" style="width:10.05pt;height:19.15pt;mso-width-percent:0;mso-height-percent:0;mso-width-percent:0;mso-height-percent:0" o:ole="">
            <v:imagedata r:id="rId24" o:title=""/>
          </v:shape>
          <o:OLEObject Type="Embed" ProgID="Equation.3" ShapeID="_x0000_i1044" DrawAspect="Content" ObjectID="_1640252788" r:id="rId41"/>
        </w:object>
      </w:r>
      <w:r w:rsidRPr="005E13B9">
        <w:rPr>
          <w:sz w:val="26"/>
          <w:szCs w:val="26"/>
        </w:rPr>
        <w:t>+ β</w:t>
      </w:r>
      <w:r w:rsidRPr="005E13B9">
        <w:rPr>
          <w:sz w:val="26"/>
          <w:szCs w:val="26"/>
          <w:vertAlign w:val="subscript"/>
        </w:rPr>
        <w:t>12</w:t>
      </w:r>
      <w:r w:rsidRPr="005E13B9">
        <w:rPr>
          <w:rFonts w:eastAsia="標楷體"/>
          <w:sz w:val="26"/>
          <w:szCs w:val="26"/>
        </w:rPr>
        <w:t xml:space="preserve"> F</w:t>
      </w:r>
      <w:r w:rsidRPr="005E13B9">
        <w:rPr>
          <w:rFonts w:eastAsia="標楷體"/>
          <w:bCs/>
          <w:sz w:val="26"/>
          <w:szCs w:val="26"/>
        </w:rPr>
        <w:t>irm scale</w:t>
      </w:r>
      <w:r w:rsidR="00877528" w:rsidRPr="005E13B9">
        <w:rPr>
          <w:rFonts w:eastAsia="標楷體"/>
          <w:noProof/>
          <w:kern w:val="0"/>
          <w:position w:val="-14"/>
          <w:sz w:val="26"/>
          <w:szCs w:val="26"/>
        </w:rPr>
        <w:object w:dxaOrig="226" w:dyaOrig="365" w14:anchorId="19BDF0C6">
          <v:shape id="_x0000_i1045" type="#_x0000_t75" alt="" style="width:10.05pt;height:19.15pt;mso-width-percent:0;mso-height-percent:0;mso-width-percent:0;mso-height-percent:0" o:ole="">
            <v:imagedata r:id="rId24" o:title=""/>
          </v:shape>
          <o:OLEObject Type="Embed" ProgID="Equation.3" ShapeID="_x0000_i1045" DrawAspect="Content" ObjectID="_1640252789" r:id="rId42"/>
        </w:object>
      </w:r>
      <w:r w:rsidRPr="005E13B9">
        <w:rPr>
          <w:sz w:val="26"/>
          <w:szCs w:val="26"/>
        </w:rPr>
        <w:t xml:space="preserve">+ </w:t>
      </w:r>
      <w:r w:rsidRPr="005E13B9">
        <w:rPr>
          <w:rFonts w:eastAsia="標楷體"/>
          <w:kern w:val="0"/>
          <w:sz w:val="26"/>
          <w:szCs w:val="26"/>
        </w:rPr>
        <w:t>ε</w:t>
      </w:r>
      <w:r w:rsidR="00877528" w:rsidRPr="005E13B9">
        <w:rPr>
          <w:rFonts w:eastAsia="標楷體"/>
          <w:noProof/>
          <w:kern w:val="0"/>
          <w:position w:val="-14"/>
          <w:sz w:val="26"/>
          <w:szCs w:val="26"/>
        </w:rPr>
        <w:object w:dxaOrig="226" w:dyaOrig="365" w14:anchorId="26CA93AE">
          <v:shape id="_x0000_i1046" type="#_x0000_t75" alt="" style="width:10.05pt;height:19.15pt;mso-width-percent:0;mso-height-percent:0;mso-width-percent:0;mso-height-percent:0" o:ole="">
            <v:imagedata r:id="rId24" o:title=""/>
          </v:shape>
          <o:OLEObject Type="Embed" ProgID="Equation.3" ShapeID="_x0000_i1046" DrawAspect="Content" ObjectID="_1640252790" r:id="rId43"/>
        </w:object>
      </w:r>
      <w:r w:rsidRPr="005E13B9">
        <w:rPr>
          <w:rFonts w:eastAsia="標楷體"/>
          <w:kern w:val="0"/>
          <w:sz w:val="26"/>
          <w:szCs w:val="26"/>
        </w:rPr>
        <w:t xml:space="preserve">, </w:t>
      </w:r>
      <w:r w:rsidR="00BC24C9" w:rsidRPr="005E13B9">
        <w:rPr>
          <w:rFonts w:eastAsia="標楷體" w:hint="eastAsia"/>
          <w:kern w:val="0"/>
          <w:sz w:val="26"/>
          <w:szCs w:val="26"/>
        </w:rPr>
        <w:t>k</w:t>
      </w:r>
      <w:r w:rsidR="00047552">
        <w:rPr>
          <w:rFonts w:eastAsia="標楷體"/>
          <w:kern w:val="0"/>
          <w:sz w:val="26"/>
          <w:szCs w:val="26"/>
        </w:rPr>
        <w:t xml:space="preserve"> </w:t>
      </w:r>
      <w:r w:rsidRPr="005E13B9">
        <w:rPr>
          <w:rFonts w:eastAsia="標楷體"/>
          <w:kern w:val="0"/>
          <w:sz w:val="26"/>
          <w:szCs w:val="26"/>
        </w:rPr>
        <w:t>=</w:t>
      </w:r>
      <w:r w:rsidR="00047552">
        <w:rPr>
          <w:rFonts w:eastAsia="標楷體"/>
          <w:kern w:val="0"/>
          <w:sz w:val="26"/>
          <w:szCs w:val="26"/>
        </w:rPr>
        <w:t xml:space="preserve"> </w:t>
      </w:r>
      <w:r w:rsidRPr="005E13B9">
        <w:rPr>
          <w:rFonts w:eastAsia="標楷體"/>
          <w:kern w:val="0"/>
          <w:sz w:val="26"/>
          <w:szCs w:val="26"/>
        </w:rPr>
        <w:t>1</w:t>
      </w:r>
      <w:r w:rsidR="00047552">
        <w:rPr>
          <w:rFonts w:eastAsia="標楷體"/>
          <w:kern w:val="0"/>
          <w:sz w:val="26"/>
          <w:szCs w:val="26"/>
        </w:rPr>
        <w:t xml:space="preserve"> </w:t>
      </w:r>
      <w:r w:rsidRPr="005E13B9">
        <w:rPr>
          <w:rFonts w:eastAsia="標楷體"/>
          <w:kern w:val="0"/>
          <w:sz w:val="26"/>
          <w:szCs w:val="26"/>
        </w:rPr>
        <w:t>to</w:t>
      </w:r>
      <w:r w:rsidR="00047552">
        <w:rPr>
          <w:rFonts w:eastAsia="標楷體"/>
          <w:kern w:val="0"/>
          <w:sz w:val="26"/>
          <w:szCs w:val="26"/>
        </w:rPr>
        <w:t xml:space="preserve"> </w:t>
      </w:r>
      <w:r w:rsidRPr="005E13B9">
        <w:rPr>
          <w:rFonts w:eastAsia="標楷體"/>
          <w:kern w:val="0"/>
          <w:sz w:val="26"/>
          <w:szCs w:val="26"/>
        </w:rPr>
        <w:t xml:space="preserve">3 </w:t>
      </w:r>
      <w:r w:rsidR="00047552" w:rsidRPr="005E13B9">
        <w:rPr>
          <w:rFonts w:eastAsia="標楷體"/>
          <w:kern w:val="0"/>
          <w:sz w:val="26"/>
          <w:szCs w:val="26"/>
        </w:rPr>
        <w:t>……… (1) – (4)</w:t>
      </w:r>
    </w:p>
    <w:p w14:paraId="6110BCF3" w14:textId="77777777" w:rsidR="0053371A" w:rsidRPr="005E13B9" w:rsidRDefault="00BC24C9" w:rsidP="001C65C7">
      <w:pPr>
        <w:overflowPunct w:val="0"/>
        <w:adjustRightInd w:val="0"/>
        <w:spacing w:line="360" w:lineRule="exact"/>
        <w:ind w:left="848" w:hangingChars="326" w:hanging="848"/>
        <w:jc w:val="both"/>
        <w:rPr>
          <w:rFonts w:eastAsia="標楷體"/>
          <w:kern w:val="0"/>
          <w:sz w:val="26"/>
          <w:szCs w:val="26"/>
        </w:rPr>
      </w:pPr>
      <w:r w:rsidRPr="005E13B9">
        <w:rPr>
          <w:rFonts w:eastAsia="標楷體"/>
          <w:kern w:val="0"/>
          <w:sz w:val="26"/>
          <w:szCs w:val="26"/>
        </w:rPr>
        <w:t>where Y</w:t>
      </w:r>
      <w:r w:rsidR="00877528" w:rsidRPr="005E13B9">
        <w:rPr>
          <w:rFonts w:eastAsia="標楷體"/>
          <w:noProof/>
          <w:kern w:val="0"/>
          <w:position w:val="-14"/>
          <w:sz w:val="26"/>
          <w:szCs w:val="26"/>
        </w:rPr>
        <w:object w:dxaOrig="290" w:dyaOrig="376" w14:anchorId="44903315">
          <v:shape id="_x0000_i1047" type="#_x0000_t75" alt="" style="width:16.85pt;height:19.15pt;mso-width-percent:0;mso-height-percent:0;mso-width-percent:0;mso-height-percent:0" o:ole="">
            <v:imagedata r:id="rId44" o:title=""/>
          </v:shape>
          <o:OLEObject Type="Embed" ProgID="Equation.3" ShapeID="_x0000_i1047" DrawAspect="Content" ObjectID="_1640252791" r:id="rId45"/>
        </w:object>
      </w:r>
      <w:r w:rsidRPr="005E13B9">
        <w:rPr>
          <w:rFonts w:eastAsia="標楷體"/>
          <w:kern w:val="0"/>
          <w:sz w:val="26"/>
          <w:szCs w:val="26"/>
        </w:rPr>
        <w:t>is the shareholding change for foreign institutions as k=1 for Model (1a) –   (4a), Y</w:t>
      </w:r>
      <w:r w:rsidR="00877528" w:rsidRPr="005E13B9">
        <w:rPr>
          <w:rFonts w:eastAsia="標楷體"/>
          <w:noProof/>
          <w:kern w:val="0"/>
          <w:position w:val="-14"/>
          <w:sz w:val="26"/>
          <w:szCs w:val="26"/>
        </w:rPr>
        <w:object w:dxaOrig="322" w:dyaOrig="376" w14:anchorId="6B04814C">
          <v:shape id="_x0000_i1048" type="#_x0000_t75" alt="" style="width:16.85pt;height:19.15pt;mso-width-percent:0;mso-height-percent:0;mso-width-percent:0;mso-height-percent:0" o:ole="">
            <v:imagedata r:id="rId46" o:title=""/>
          </v:shape>
          <o:OLEObject Type="Embed" ProgID="Equation.3" ShapeID="_x0000_i1048" DrawAspect="Content" ObjectID="_1640252792" r:id="rId47"/>
        </w:object>
      </w:r>
      <w:r w:rsidRPr="005E13B9">
        <w:rPr>
          <w:rFonts w:eastAsia="標楷體"/>
          <w:kern w:val="0"/>
          <w:sz w:val="26"/>
          <w:szCs w:val="26"/>
        </w:rPr>
        <w:t>is the shareholding change for domestic institutions as k=2 for Model (1b) – (4b), and Y</w:t>
      </w:r>
      <w:r w:rsidR="00877528" w:rsidRPr="005E13B9">
        <w:rPr>
          <w:rFonts w:eastAsia="標楷體"/>
          <w:noProof/>
          <w:kern w:val="0"/>
          <w:position w:val="-14"/>
          <w:sz w:val="26"/>
          <w:szCs w:val="26"/>
        </w:rPr>
        <w:object w:dxaOrig="301" w:dyaOrig="376" w14:anchorId="26E12431">
          <v:shape id="_x0000_i1049" type="#_x0000_t75" alt="" style="width:15.95pt;height:19.15pt;mso-width-percent:0;mso-height-percent:0;mso-width-percent:0;mso-height-percent:0" o:ole="">
            <v:imagedata r:id="rId48" o:title=""/>
          </v:shape>
          <o:OLEObject Type="Embed" ProgID="Equation.3" ShapeID="_x0000_i1049" DrawAspect="Content" ObjectID="_1640252793" r:id="rId49"/>
        </w:object>
      </w:r>
      <w:r w:rsidRPr="005E13B9">
        <w:rPr>
          <w:rFonts w:eastAsia="標楷體"/>
          <w:kern w:val="0"/>
          <w:sz w:val="26"/>
          <w:szCs w:val="26"/>
        </w:rPr>
        <w:t>is the shareholding change for security dealer as k=3 for Model (1c) – (4c), and</w:t>
      </w:r>
    </w:p>
    <w:p w14:paraId="5A2D93C9" w14:textId="77777777" w:rsidR="00562D71" w:rsidRPr="005E13B9" w:rsidRDefault="0013600E" w:rsidP="001C65C7">
      <w:pPr>
        <w:overflowPunct w:val="0"/>
        <w:adjustRightInd w:val="0"/>
        <w:spacing w:line="360" w:lineRule="exact"/>
        <w:ind w:left="848" w:hangingChars="326" w:hanging="848"/>
        <w:jc w:val="both"/>
        <w:rPr>
          <w:rFonts w:eastAsia="標楷體"/>
          <w:kern w:val="0"/>
          <w:sz w:val="26"/>
          <w:szCs w:val="26"/>
        </w:rPr>
      </w:pPr>
      <w:r w:rsidRPr="005E13B9">
        <w:rPr>
          <w:rFonts w:eastAsia="標楷體"/>
          <w:kern w:val="0"/>
          <w:sz w:val="26"/>
          <w:szCs w:val="26"/>
        </w:rPr>
        <w:t>where X1</w:t>
      </w:r>
      <w:r w:rsidR="00877528" w:rsidRPr="005E13B9">
        <w:rPr>
          <w:rFonts w:eastAsia="標楷體"/>
          <w:noProof/>
          <w:kern w:val="0"/>
          <w:position w:val="-14"/>
          <w:sz w:val="26"/>
          <w:szCs w:val="26"/>
        </w:rPr>
        <w:object w:dxaOrig="322" w:dyaOrig="376" w14:anchorId="26362EB7">
          <v:shape id="_x0000_i1050" type="#_x0000_t75" alt="" style="width:16.85pt;height:19.15pt;mso-width-percent:0;mso-height-percent:0;mso-width-percent:0;mso-height-percent:0" o:ole="">
            <v:imagedata r:id="rId16" o:title=""/>
          </v:shape>
          <o:OLEObject Type="Embed" ProgID="Equation.3" ShapeID="_x0000_i1050" DrawAspect="Content" ObjectID="_1640252794" r:id="rId50"/>
        </w:object>
      </w:r>
      <w:r w:rsidRPr="005E13B9">
        <w:rPr>
          <w:rFonts w:eastAsia="標楷體"/>
          <w:kern w:val="0"/>
          <w:sz w:val="26"/>
          <w:szCs w:val="26"/>
        </w:rPr>
        <w:t xml:space="preserve">is </w:t>
      </w:r>
      <w:r w:rsidR="00572EF8" w:rsidRPr="005E13B9">
        <w:rPr>
          <w:rFonts w:eastAsia="標楷體"/>
          <w:kern w:val="0"/>
          <w:sz w:val="26"/>
          <w:szCs w:val="26"/>
        </w:rPr>
        <w:t xml:space="preserve">corporate name </w:t>
      </w:r>
      <w:r w:rsidRPr="005E13B9">
        <w:rPr>
          <w:rFonts w:eastAsia="標楷體"/>
          <w:kern w:val="0"/>
          <w:sz w:val="26"/>
          <w:szCs w:val="26"/>
        </w:rPr>
        <w:t>change once dummy as j=1, X2</w:t>
      </w:r>
      <w:r w:rsidR="00877528" w:rsidRPr="005E13B9">
        <w:rPr>
          <w:rFonts w:eastAsia="標楷體"/>
          <w:noProof/>
          <w:kern w:val="0"/>
          <w:position w:val="-14"/>
          <w:sz w:val="26"/>
          <w:szCs w:val="26"/>
        </w:rPr>
        <w:object w:dxaOrig="322" w:dyaOrig="376" w14:anchorId="07AADDD4">
          <v:shape id="_x0000_i1051" type="#_x0000_t75" alt="" style="width:16.85pt;height:19.15pt;mso-width-percent:0;mso-height-percent:0;mso-width-percent:0;mso-height-percent:0" o:ole="">
            <v:imagedata r:id="rId16" o:title=""/>
          </v:shape>
          <o:OLEObject Type="Embed" ProgID="Equation.3" ShapeID="_x0000_i1051" DrawAspect="Content" ObjectID="_1640252795" r:id="rId51"/>
        </w:object>
      </w:r>
      <w:r w:rsidRPr="005E13B9">
        <w:rPr>
          <w:rFonts w:eastAsia="標楷體"/>
          <w:kern w:val="0"/>
          <w:sz w:val="26"/>
          <w:szCs w:val="26"/>
        </w:rPr>
        <w:t xml:space="preserve">is </w:t>
      </w:r>
      <w:r w:rsidR="00572EF8" w:rsidRPr="005E13B9">
        <w:rPr>
          <w:rFonts w:eastAsia="標楷體"/>
          <w:kern w:val="0"/>
          <w:sz w:val="26"/>
          <w:szCs w:val="26"/>
        </w:rPr>
        <w:t xml:space="preserve">corporate name </w:t>
      </w:r>
      <w:r w:rsidRPr="005E13B9">
        <w:rPr>
          <w:rFonts w:eastAsia="標楷體"/>
          <w:kern w:val="0"/>
          <w:sz w:val="26"/>
          <w:szCs w:val="26"/>
        </w:rPr>
        <w:t>change more than once dummy as j=1 for Regression model (1a) – (1c) and Pertersen model (3a) – (3c), X1</w:t>
      </w:r>
      <w:r w:rsidR="00877528" w:rsidRPr="005E13B9">
        <w:rPr>
          <w:rFonts w:eastAsia="標楷體"/>
          <w:noProof/>
          <w:kern w:val="0"/>
          <w:position w:val="-14"/>
          <w:sz w:val="26"/>
          <w:szCs w:val="26"/>
        </w:rPr>
        <w:object w:dxaOrig="322" w:dyaOrig="376" w14:anchorId="410CBC19">
          <v:shape id="_x0000_i1052" type="#_x0000_t75" alt="" style="width:16.85pt;height:19.15pt;mso-width-percent:0;mso-height-percent:0;mso-width-percent:0;mso-height-percent:0" o:ole="">
            <v:imagedata r:id="rId16" o:title=""/>
          </v:shape>
          <o:OLEObject Type="Embed" ProgID="Equation.3" ShapeID="_x0000_i1052" DrawAspect="Content" ObjectID="_1640252796" r:id="rId52"/>
        </w:object>
      </w:r>
      <w:r w:rsidRPr="005E13B9">
        <w:rPr>
          <w:rFonts w:eastAsia="標楷體"/>
          <w:kern w:val="0"/>
          <w:sz w:val="26"/>
          <w:szCs w:val="26"/>
        </w:rPr>
        <w:t xml:space="preserve">is industry </w:t>
      </w:r>
      <w:r w:rsidR="007474CA" w:rsidRPr="005E13B9">
        <w:rPr>
          <w:rFonts w:eastAsia="標楷體"/>
          <w:kern w:val="0"/>
          <w:sz w:val="26"/>
          <w:szCs w:val="26"/>
        </w:rPr>
        <w:t>category</w:t>
      </w:r>
      <w:r w:rsidRPr="005E13B9">
        <w:rPr>
          <w:rFonts w:eastAsia="標楷體"/>
          <w:kern w:val="0"/>
          <w:sz w:val="26"/>
          <w:szCs w:val="26"/>
        </w:rPr>
        <w:t xml:space="preserve"> change once dummy as </w:t>
      </w:r>
      <w:r w:rsidRPr="005E13B9">
        <w:rPr>
          <w:rFonts w:eastAsia="標楷體"/>
          <w:noProof/>
          <w:kern w:val="0"/>
          <w:sz w:val="26"/>
          <w:szCs w:val="26"/>
        </w:rPr>
        <w:t>j=2,</w:t>
      </w:r>
      <w:r w:rsidRPr="005E13B9">
        <w:rPr>
          <w:rFonts w:eastAsia="標楷體"/>
          <w:kern w:val="0"/>
          <w:sz w:val="26"/>
          <w:szCs w:val="26"/>
        </w:rPr>
        <w:t xml:space="preserve"> and X2</w:t>
      </w:r>
      <w:r w:rsidR="00877528" w:rsidRPr="005E13B9">
        <w:rPr>
          <w:rFonts w:eastAsia="標楷體"/>
          <w:noProof/>
          <w:kern w:val="0"/>
          <w:position w:val="-14"/>
          <w:sz w:val="26"/>
          <w:szCs w:val="26"/>
        </w:rPr>
        <w:object w:dxaOrig="322" w:dyaOrig="376" w14:anchorId="2098D9C2">
          <v:shape id="_x0000_i1053" type="#_x0000_t75" alt="" style="width:16.85pt;height:19.15pt;mso-width-percent:0;mso-height-percent:0;mso-width-percent:0;mso-height-percent:0" o:ole="">
            <v:imagedata r:id="rId16" o:title=""/>
          </v:shape>
          <o:OLEObject Type="Embed" ProgID="Equation.3" ShapeID="_x0000_i1053" DrawAspect="Content" ObjectID="_1640252797" r:id="rId53"/>
        </w:object>
      </w:r>
      <w:r w:rsidRPr="005E13B9">
        <w:rPr>
          <w:rFonts w:eastAsia="標楷體"/>
          <w:kern w:val="0"/>
          <w:sz w:val="26"/>
          <w:szCs w:val="26"/>
        </w:rPr>
        <w:t xml:space="preserve">is industry </w:t>
      </w:r>
      <w:r w:rsidR="007474CA" w:rsidRPr="005E13B9">
        <w:rPr>
          <w:rFonts w:eastAsia="標楷體"/>
          <w:kern w:val="0"/>
          <w:sz w:val="26"/>
          <w:szCs w:val="26"/>
        </w:rPr>
        <w:t>category</w:t>
      </w:r>
      <w:r w:rsidRPr="005E13B9">
        <w:rPr>
          <w:rFonts w:eastAsia="標楷體"/>
          <w:kern w:val="0"/>
          <w:sz w:val="26"/>
          <w:szCs w:val="26"/>
        </w:rPr>
        <w:t xml:space="preserve"> change more than once dummy as j=2 for Regession Model (2a) – (2c) and Petersen Model (4a) – (4c)</w:t>
      </w:r>
      <w:r w:rsidR="00BC24C9" w:rsidRPr="005E13B9">
        <w:rPr>
          <w:rFonts w:eastAsia="標楷體" w:hint="eastAsia"/>
          <w:kern w:val="0"/>
          <w:sz w:val="26"/>
          <w:szCs w:val="26"/>
        </w:rPr>
        <w:t>.</w:t>
      </w:r>
      <w:r w:rsidRPr="005E13B9">
        <w:rPr>
          <w:rFonts w:eastAsia="標楷體"/>
          <w:kern w:val="0"/>
          <w:sz w:val="26"/>
          <w:szCs w:val="26"/>
        </w:rPr>
        <w:t xml:space="preserve"> </w:t>
      </w:r>
    </w:p>
    <w:p w14:paraId="2BDB465B" w14:textId="77777777" w:rsidR="001C7172" w:rsidRDefault="001C7172" w:rsidP="001C65C7">
      <w:pPr>
        <w:overflowPunct w:val="0"/>
        <w:adjustRightInd w:val="0"/>
        <w:ind w:firstLineChars="200" w:firstLine="520"/>
        <w:jc w:val="both"/>
        <w:rPr>
          <w:rFonts w:eastAsia="標楷體"/>
          <w:sz w:val="26"/>
          <w:szCs w:val="26"/>
        </w:rPr>
      </w:pPr>
    </w:p>
    <w:p w14:paraId="7EDD1F11" w14:textId="0E8F55CD" w:rsidR="002E744F" w:rsidRPr="005E13B9" w:rsidRDefault="0013600E" w:rsidP="001C65C7">
      <w:pPr>
        <w:overflowPunct w:val="0"/>
        <w:adjustRightInd w:val="0"/>
        <w:ind w:firstLineChars="200" w:firstLine="520"/>
        <w:jc w:val="both"/>
        <w:rPr>
          <w:rFonts w:eastAsia="標楷體"/>
          <w:sz w:val="26"/>
          <w:szCs w:val="26"/>
        </w:rPr>
      </w:pPr>
      <w:r w:rsidRPr="005E13B9">
        <w:rPr>
          <w:rFonts w:eastAsia="標楷體"/>
          <w:sz w:val="26"/>
          <w:szCs w:val="26"/>
        </w:rPr>
        <w:t xml:space="preserve">In the beginning, </w:t>
      </w:r>
      <w:r w:rsidR="00041B53" w:rsidRPr="005E13B9">
        <w:rPr>
          <w:rFonts w:eastAsia="標楷體"/>
          <w:noProof/>
          <w:sz w:val="26"/>
          <w:szCs w:val="26"/>
        </w:rPr>
        <w:t xml:space="preserve">the </w:t>
      </w:r>
      <w:r w:rsidRPr="005E13B9">
        <w:rPr>
          <w:rFonts w:eastAsia="標楷體"/>
          <w:noProof/>
          <w:sz w:val="26"/>
          <w:szCs w:val="26"/>
        </w:rPr>
        <w:t>variance</w:t>
      </w:r>
      <w:r w:rsidRPr="005E13B9">
        <w:rPr>
          <w:rFonts w:eastAsia="標楷體"/>
          <w:sz w:val="26"/>
          <w:szCs w:val="26"/>
        </w:rPr>
        <w:t xml:space="preserve"> inflation factor (VIF) tests are used to determine the existence of multicollinearity problems in these independent variables. The resulting VIF values for these variables are all less than two of these variables, indicating that multicollinearity issues are not serious in this study. </w:t>
      </w:r>
      <w:r w:rsidR="004C31AF" w:rsidRPr="005E13B9">
        <w:rPr>
          <w:rFonts w:eastAsia="標楷體" w:hint="eastAsia"/>
          <w:sz w:val="26"/>
          <w:szCs w:val="26"/>
        </w:rPr>
        <w:t>Besides,</w:t>
      </w:r>
      <w:r w:rsidR="004C31AF" w:rsidRPr="005E13B9">
        <w:t xml:space="preserve"> </w:t>
      </w:r>
      <w:r w:rsidR="004C31AF" w:rsidRPr="005E13B9">
        <w:rPr>
          <w:rFonts w:eastAsia="標楷體" w:hint="eastAsia"/>
          <w:sz w:val="26"/>
          <w:szCs w:val="26"/>
        </w:rPr>
        <w:t>d</w:t>
      </w:r>
      <w:r w:rsidR="004C31AF" w:rsidRPr="005E13B9">
        <w:rPr>
          <w:rFonts w:eastAsia="標楷體"/>
          <w:sz w:val="26"/>
          <w:szCs w:val="26"/>
        </w:rPr>
        <w:t>ue to the firm-year observations employed in this study, we argue that panel data models might be more appropriate than traditional multiple regression models.</w:t>
      </w:r>
      <w:r w:rsidRPr="005E13B9">
        <w:rPr>
          <w:rFonts w:eastAsia="標楷體"/>
          <w:sz w:val="26"/>
          <w:szCs w:val="26"/>
        </w:rPr>
        <w:t xml:space="preserve"> Afterward, owing to the defects of the panel data models proposed by Petersen (2009), we employ the model proposed by Petersen for grasping the relative accuracy after taking the structure of the data into account.</w:t>
      </w:r>
    </w:p>
    <w:p w14:paraId="03FDD620" w14:textId="77777777" w:rsidR="0090558A" w:rsidRPr="005E13B9" w:rsidRDefault="0090558A" w:rsidP="001C7172">
      <w:pPr>
        <w:overflowPunct w:val="0"/>
        <w:adjustRightInd w:val="0"/>
        <w:ind w:firstLine="420"/>
        <w:jc w:val="both"/>
        <w:rPr>
          <w:rFonts w:eastAsia="標楷體"/>
          <w:sz w:val="26"/>
          <w:szCs w:val="26"/>
        </w:rPr>
      </w:pPr>
    </w:p>
    <w:p w14:paraId="379D9B55" w14:textId="7E5DEB89" w:rsidR="00A23DA1" w:rsidRPr="005E13B9" w:rsidRDefault="00C16499" w:rsidP="001C65C7">
      <w:pPr>
        <w:widowControl/>
        <w:overflowPunct w:val="0"/>
        <w:jc w:val="center"/>
        <w:rPr>
          <w:rFonts w:eastAsia="標楷體"/>
          <w:b/>
          <w:sz w:val="32"/>
          <w:szCs w:val="32"/>
        </w:rPr>
      </w:pPr>
      <w:r w:rsidRPr="005E13B9">
        <w:rPr>
          <w:rFonts w:eastAsia="標楷體"/>
          <w:b/>
          <w:sz w:val="32"/>
          <w:szCs w:val="32"/>
        </w:rPr>
        <w:t xml:space="preserve">EMPIRICAL FINDINGS </w:t>
      </w:r>
      <w:r w:rsidR="001C65C7" w:rsidRPr="005E13B9">
        <w:rPr>
          <w:rFonts w:eastAsia="標楷體"/>
          <w:b/>
          <w:sz w:val="32"/>
          <w:szCs w:val="32"/>
        </w:rPr>
        <w:t>AND</w:t>
      </w:r>
      <w:r w:rsidRPr="005E13B9">
        <w:rPr>
          <w:rFonts w:eastAsia="標楷體"/>
          <w:b/>
          <w:sz w:val="32"/>
          <w:szCs w:val="32"/>
        </w:rPr>
        <w:t xml:space="preserve"> ANALYSIS</w:t>
      </w:r>
    </w:p>
    <w:p w14:paraId="3D5A1711" w14:textId="77777777" w:rsidR="00562D71" w:rsidRPr="005E13B9" w:rsidRDefault="0013600E" w:rsidP="001C65C7">
      <w:pPr>
        <w:overflowPunct w:val="0"/>
        <w:adjustRightInd w:val="0"/>
        <w:rPr>
          <w:rFonts w:eastAsia="標楷體"/>
          <w:b/>
          <w:sz w:val="26"/>
          <w:szCs w:val="26"/>
        </w:rPr>
      </w:pPr>
      <w:r w:rsidRPr="005E13B9">
        <w:rPr>
          <w:b/>
          <w:sz w:val="26"/>
          <w:szCs w:val="26"/>
        </w:rPr>
        <w:t>Desc</w:t>
      </w:r>
      <w:r w:rsidR="004A4485" w:rsidRPr="005E13B9">
        <w:rPr>
          <w:b/>
          <w:sz w:val="26"/>
          <w:szCs w:val="26"/>
        </w:rPr>
        <w:t xml:space="preserve">riptive </w:t>
      </w:r>
      <w:r w:rsidR="00C16499" w:rsidRPr="005E13B9">
        <w:rPr>
          <w:b/>
          <w:sz w:val="26"/>
          <w:szCs w:val="26"/>
        </w:rPr>
        <w:t>Statistics</w:t>
      </w:r>
    </w:p>
    <w:p w14:paraId="4433ACA2" w14:textId="54CEDA25" w:rsidR="00562D71" w:rsidRPr="005E13B9" w:rsidRDefault="0013600E" w:rsidP="001C65C7">
      <w:pPr>
        <w:overflowPunct w:val="0"/>
        <w:adjustRightInd w:val="0"/>
        <w:ind w:firstLineChars="200" w:firstLine="520"/>
        <w:jc w:val="both"/>
        <w:rPr>
          <w:sz w:val="26"/>
          <w:szCs w:val="26"/>
        </w:rPr>
      </w:pPr>
      <w:r w:rsidRPr="005E13B9">
        <w:rPr>
          <w:sz w:val="26"/>
          <w:szCs w:val="26"/>
        </w:rPr>
        <w:t xml:space="preserve">This study explores whether either </w:t>
      </w:r>
      <w:r w:rsidR="00572EF8" w:rsidRPr="005E13B9">
        <w:rPr>
          <w:sz w:val="26"/>
          <w:szCs w:val="26"/>
        </w:rPr>
        <w:t xml:space="preserve">corporate name </w:t>
      </w:r>
      <w:r w:rsidRPr="005E13B9">
        <w:rPr>
          <w:sz w:val="26"/>
          <w:szCs w:val="26"/>
        </w:rPr>
        <w:t xml:space="preserve">or industry </w:t>
      </w:r>
      <w:r w:rsidR="007474CA" w:rsidRPr="005E13B9">
        <w:rPr>
          <w:sz w:val="26"/>
          <w:szCs w:val="26"/>
        </w:rPr>
        <w:t>category</w:t>
      </w:r>
      <w:r w:rsidRPr="005E13B9">
        <w:rPr>
          <w:sz w:val="26"/>
          <w:szCs w:val="26"/>
        </w:rPr>
        <w:t xml:space="preserve"> change would affect the shareholding of institutional investors</w:t>
      </w:r>
      <w:r w:rsidR="00041B53" w:rsidRPr="005E13B9">
        <w:rPr>
          <w:sz w:val="26"/>
          <w:szCs w:val="26"/>
        </w:rPr>
        <w:t>,</w:t>
      </w:r>
      <w:r w:rsidRPr="005E13B9">
        <w:rPr>
          <w:sz w:val="26"/>
          <w:szCs w:val="26"/>
        </w:rPr>
        <w:t xml:space="preserve"> </w:t>
      </w:r>
      <w:r w:rsidRPr="005E13B9">
        <w:rPr>
          <w:noProof/>
          <w:sz w:val="26"/>
          <w:szCs w:val="26"/>
        </w:rPr>
        <w:t>including</w:t>
      </w:r>
      <w:r w:rsidRPr="005E13B9">
        <w:rPr>
          <w:sz w:val="26"/>
          <w:szCs w:val="26"/>
        </w:rPr>
        <w:t xml:space="preserve"> foreign institutions, domestic institutions, and security dealers. </w:t>
      </w:r>
      <w:r w:rsidR="008707CC" w:rsidRPr="005E13B9">
        <w:rPr>
          <w:sz w:val="26"/>
          <w:szCs w:val="26"/>
        </w:rPr>
        <w:t>By utilizing 5</w:t>
      </w:r>
      <w:r w:rsidR="000552E7" w:rsidRPr="005E13B9">
        <w:rPr>
          <w:sz w:val="26"/>
          <w:szCs w:val="26"/>
        </w:rPr>
        <w:t>,</w:t>
      </w:r>
      <w:r w:rsidR="008707CC" w:rsidRPr="005E13B9">
        <w:rPr>
          <w:sz w:val="26"/>
          <w:szCs w:val="26"/>
        </w:rPr>
        <w:t>733 observations of the Taiwan Stock Exchange</w:t>
      </w:r>
      <w:r w:rsidR="008707CC" w:rsidRPr="005E13B9">
        <w:rPr>
          <w:rFonts w:hint="eastAsia"/>
          <w:sz w:val="26"/>
          <w:szCs w:val="26"/>
        </w:rPr>
        <w:t xml:space="preserve"> (TWSE)</w:t>
      </w:r>
      <w:r w:rsidR="008707CC" w:rsidRPr="005E13B9">
        <w:rPr>
          <w:sz w:val="26"/>
          <w:szCs w:val="26"/>
        </w:rPr>
        <w:t xml:space="preserve"> listed firms</w:t>
      </w:r>
      <w:r w:rsidRPr="005E13B9">
        <w:rPr>
          <w:sz w:val="26"/>
          <w:szCs w:val="26"/>
        </w:rPr>
        <w:t xml:space="preserve"> from Taiwan Economic Journal (TEJ) over the period 2009-2015 as our samples, Table 2 presents the descriptive statistics</w:t>
      </w:r>
      <w:r w:rsidR="008707CC" w:rsidRPr="005E13B9">
        <w:rPr>
          <w:rFonts w:hint="eastAsia"/>
          <w:sz w:val="26"/>
          <w:szCs w:val="26"/>
        </w:rPr>
        <w:t>,</w:t>
      </w:r>
      <w:r w:rsidRPr="005E13B9">
        <w:rPr>
          <w:sz w:val="26"/>
          <w:szCs w:val="26"/>
        </w:rPr>
        <w:t xml:space="preserve"> including the number of </w:t>
      </w:r>
      <w:r w:rsidRPr="005E13B9">
        <w:rPr>
          <w:rStyle w:val="shorttext"/>
          <w:sz w:val="26"/>
          <w:szCs w:val="26"/>
        </w:rPr>
        <w:t>observation</w:t>
      </w:r>
      <w:r w:rsidRPr="005E13B9">
        <w:rPr>
          <w:sz w:val="26"/>
          <w:szCs w:val="26"/>
        </w:rPr>
        <w:t xml:space="preserve">s, means, medians, standard deviations, minima, </w:t>
      </w:r>
      <w:r w:rsidRPr="005E13B9">
        <w:rPr>
          <w:sz w:val="26"/>
          <w:szCs w:val="26"/>
        </w:rPr>
        <w:lastRenderedPageBreak/>
        <w:t>and maxima for the variables employed in this study.</w:t>
      </w:r>
    </w:p>
    <w:p w14:paraId="0D72AB4E" w14:textId="2CD32DB8" w:rsidR="00562D71" w:rsidRPr="005E13B9" w:rsidRDefault="0013600E" w:rsidP="001C65C7">
      <w:pPr>
        <w:overflowPunct w:val="0"/>
        <w:adjustRightInd w:val="0"/>
        <w:ind w:firstLineChars="200" w:firstLine="520"/>
        <w:jc w:val="both"/>
        <w:rPr>
          <w:sz w:val="26"/>
          <w:szCs w:val="26"/>
        </w:rPr>
      </w:pPr>
      <w:r w:rsidRPr="005E13B9">
        <w:rPr>
          <w:sz w:val="26"/>
          <w:szCs w:val="26"/>
        </w:rPr>
        <w:t>Table 2 shows that the range between minima and maxima for the shareholding changes of diverse institutional investors is rather broad</w:t>
      </w:r>
      <w:r w:rsidR="008707CC" w:rsidRPr="005E13B9">
        <w:rPr>
          <w:rFonts w:hint="eastAsia"/>
          <w:sz w:val="26"/>
          <w:szCs w:val="26"/>
        </w:rPr>
        <w:t>,</w:t>
      </w:r>
      <w:r w:rsidRPr="005E13B9">
        <w:rPr>
          <w:sz w:val="26"/>
          <w:szCs w:val="26"/>
        </w:rPr>
        <w:t xml:space="preserve"> and even these minima are 0, indicating that the shareholding change of institutional investors is rather </w:t>
      </w:r>
      <w:r w:rsidR="007A1EA7" w:rsidRPr="005E13B9">
        <w:rPr>
          <w:sz w:val="26"/>
          <w:szCs w:val="26"/>
        </w:rPr>
        <w:t xml:space="preserve">broad </w:t>
      </w:r>
      <w:r w:rsidRPr="005E13B9">
        <w:rPr>
          <w:sz w:val="26"/>
          <w:szCs w:val="26"/>
        </w:rPr>
        <w:t xml:space="preserve">for the firms listed </w:t>
      </w:r>
      <w:r w:rsidR="00FB5351" w:rsidRPr="005E13B9">
        <w:rPr>
          <w:rFonts w:hint="eastAsia"/>
          <w:sz w:val="26"/>
          <w:szCs w:val="26"/>
        </w:rPr>
        <w:t>o</w:t>
      </w:r>
      <w:r w:rsidRPr="005E13B9">
        <w:rPr>
          <w:sz w:val="26"/>
          <w:szCs w:val="26"/>
        </w:rPr>
        <w:t xml:space="preserve">n </w:t>
      </w:r>
      <w:r w:rsidR="00FB5351" w:rsidRPr="005E13B9">
        <w:rPr>
          <w:rFonts w:hint="eastAsia"/>
          <w:sz w:val="26"/>
          <w:szCs w:val="26"/>
        </w:rPr>
        <w:t xml:space="preserve">the </w:t>
      </w:r>
      <w:r w:rsidRPr="005E13B9">
        <w:rPr>
          <w:sz w:val="26"/>
          <w:szCs w:val="26"/>
        </w:rPr>
        <w:t>TWSE.</w:t>
      </w:r>
    </w:p>
    <w:p w14:paraId="03228AC2" w14:textId="77777777" w:rsidR="00562D71" w:rsidRPr="005E13B9" w:rsidRDefault="0013600E" w:rsidP="00536463">
      <w:pPr>
        <w:overflowPunct w:val="0"/>
        <w:adjustRightInd w:val="0"/>
        <w:ind w:firstLineChars="200" w:firstLine="520"/>
        <w:jc w:val="both"/>
        <w:rPr>
          <w:sz w:val="26"/>
          <w:szCs w:val="26"/>
        </w:rPr>
      </w:pPr>
      <w:r w:rsidRPr="005E13B9">
        <w:rPr>
          <w:sz w:val="26"/>
          <w:szCs w:val="26"/>
        </w:rPr>
        <w:t xml:space="preserve">As for the financial statement variables, the average debt ratio </w:t>
      </w:r>
      <w:r w:rsidR="008707CC" w:rsidRPr="005E13B9">
        <w:rPr>
          <w:rFonts w:hint="eastAsia"/>
          <w:sz w:val="26"/>
          <w:szCs w:val="26"/>
        </w:rPr>
        <w:t xml:space="preserve">is </w:t>
      </w:r>
      <w:r w:rsidRPr="005E13B9">
        <w:rPr>
          <w:sz w:val="26"/>
          <w:szCs w:val="26"/>
        </w:rPr>
        <w:t xml:space="preserve">about 44%, while the minimum and maximum values are 1.14% and 99.13%, respectively. The results indicate that some </w:t>
      </w:r>
      <w:r w:rsidR="008707CC" w:rsidRPr="005E13B9">
        <w:rPr>
          <w:sz w:val="26"/>
          <w:szCs w:val="26"/>
        </w:rPr>
        <w:t xml:space="preserve">TWSE listed </w:t>
      </w:r>
      <w:r w:rsidRPr="005E13B9">
        <w:rPr>
          <w:sz w:val="26"/>
          <w:szCs w:val="26"/>
        </w:rPr>
        <w:t xml:space="preserve">firms might have corporate governance and financial issues due to higher financial leverages employed, which might affect the shareholding of institutional investors. </w:t>
      </w:r>
    </w:p>
    <w:p w14:paraId="507A6C85" w14:textId="7ADA98F9" w:rsidR="00C46560" w:rsidRPr="005E13B9" w:rsidRDefault="00536463" w:rsidP="001C7172">
      <w:pPr>
        <w:overflowPunct w:val="0"/>
        <w:adjustRightInd w:val="0"/>
        <w:ind w:firstLineChars="200" w:firstLine="520"/>
        <w:jc w:val="both"/>
        <w:rPr>
          <w:rFonts w:eastAsia="標楷體"/>
          <w:b/>
          <w:sz w:val="26"/>
          <w:szCs w:val="26"/>
        </w:rPr>
      </w:pPr>
      <w:r w:rsidRPr="005E13B9">
        <w:rPr>
          <w:sz w:val="26"/>
          <w:szCs w:val="26"/>
        </w:rPr>
        <w:t>Regarding</w:t>
      </w:r>
      <w:r w:rsidR="0013600E" w:rsidRPr="005E13B9">
        <w:rPr>
          <w:sz w:val="26"/>
          <w:szCs w:val="26"/>
        </w:rPr>
        <w:t xml:space="preserve"> the board structure variables, we find that the average directors’ holding ratio is about 22%, but the minimum ratio is close to 0. In addition, the maximum of directors </w:t>
      </w:r>
      <w:r w:rsidR="0013600E" w:rsidRPr="005E13B9">
        <w:rPr>
          <w:noProof/>
          <w:sz w:val="26"/>
          <w:szCs w:val="26"/>
        </w:rPr>
        <w:t>pledge</w:t>
      </w:r>
      <w:r w:rsidR="0013600E" w:rsidRPr="005E13B9">
        <w:rPr>
          <w:sz w:val="26"/>
          <w:szCs w:val="26"/>
        </w:rPr>
        <w:t xml:space="preserve"> ratio is 100%. Thus, we may deduce that some firms listed </w:t>
      </w:r>
      <w:r w:rsidR="00FB5351" w:rsidRPr="005E13B9">
        <w:rPr>
          <w:rFonts w:hint="eastAsia"/>
          <w:sz w:val="26"/>
          <w:szCs w:val="26"/>
        </w:rPr>
        <w:t>o</w:t>
      </w:r>
      <w:r w:rsidR="0013600E" w:rsidRPr="005E13B9">
        <w:rPr>
          <w:sz w:val="26"/>
          <w:szCs w:val="26"/>
        </w:rPr>
        <w:t>n</w:t>
      </w:r>
      <w:r w:rsidR="00FB5351" w:rsidRPr="005E13B9">
        <w:rPr>
          <w:rFonts w:hint="eastAsia"/>
          <w:sz w:val="26"/>
          <w:szCs w:val="26"/>
        </w:rPr>
        <w:t xml:space="preserve"> the </w:t>
      </w:r>
      <w:r w:rsidR="0013600E" w:rsidRPr="005E13B9">
        <w:rPr>
          <w:sz w:val="26"/>
          <w:szCs w:val="26"/>
        </w:rPr>
        <w:t xml:space="preserve">TWSE might have serious corporate governance issues resulting in the shareholding change of institutional investors as well. </w:t>
      </w:r>
    </w:p>
    <w:p w14:paraId="46912905" w14:textId="5E5FF013" w:rsidR="00AB5FDA" w:rsidRPr="005E13B9" w:rsidRDefault="005B1D79" w:rsidP="007033EA">
      <w:pPr>
        <w:tabs>
          <w:tab w:val="left" w:pos="2354"/>
        </w:tabs>
        <w:overflowPunct w:val="0"/>
        <w:adjustRightInd w:val="0"/>
        <w:jc w:val="center"/>
        <w:rPr>
          <w:sz w:val="26"/>
          <w:szCs w:val="26"/>
        </w:rPr>
      </w:pPr>
      <w:r w:rsidRPr="005E13B9">
        <w:rPr>
          <w:rFonts w:eastAsia="標楷體"/>
          <w:b/>
          <w:sz w:val="26"/>
          <w:szCs w:val="26"/>
        </w:rPr>
        <w:t>Table 2</w:t>
      </w:r>
      <w:r w:rsidR="007033EA" w:rsidRPr="005E13B9">
        <w:rPr>
          <w:rFonts w:eastAsia="標楷體"/>
          <w:b/>
          <w:sz w:val="26"/>
          <w:szCs w:val="26"/>
        </w:rPr>
        <w:t xml:space="preserve">  </w:t>
      </w:r>
      <w:r w:rsidRPr="005E13B9">
        <w:rPr>
          <w:b/>
          <w:sz w:val="26"/>
          <w:szCs w:val="26"/>
        </w:rPr>
        <w:t xml:space="preserve">Descriptive </w:t>
      </w:r>
      <w:r w:rsidR="00E76E0C" w:rsidRPr="005E13B9">
        <w:rPr>
          <w:b/>
          <w:sz w:val="26"/>
          <w:szCs w:val="26"/>
        </w:rPr>
        <w:t>Statistics</w:t>
      </w:r>
    </w:p>
    <w:tbl>
      <w:tblPr>
        <w:tblW w:w="5000" w:type="pct"/>
        <w:tblBorders>
          <w:top w:val="single" w:sz="4" w:space="0" w:color="auto"/>
          <w:bottom w:val="single" w:sz="4" w:space="0" w:color="auto"/>
        </w:tblBorders>
        <w:tblLook w:val="00A0" w:firstRow="1" w:lastRow="0" w:firstColumn="1" w:lastColumn="0" w:noHBand="0" w:noVBand="0"/>
      </w:tblPr>
      <w:tblGrid>
        <w:gridCol w:w="2326"/>
        <w:gridCol w:w="1116"/>
        <w:gridCol w:w="1117"/>
        <w:gridCol w:w="1117"/>
        <w:gridCol w:w="1116"/>
        <w:gridCol w:w="1117"/>
        <w:gridCol w:w="1117"/>
      </w:tblGrid>
      <w:tr w:rsidR="006F104F" w:rsidRPr="005E13B9" w14:paraId="150CD574" w14:textId="77777777" w:rsidTr="007875FC">
        <w:trPr>
          <w:trHeight w:val="279"/>
        </w:trPr>
        <w:tc>
          <w:tcPr>
            <w:tcW w:w="1288" w:type="pct"/>
            <w:tcBorders>
              <w:top w:val="single" w:sz="12" w:space="0" w:color="auto"/>
              <w:bottom w:val="single" w:sz="4" w:space="0" w:color="auto"/>
            </w:tcBorders>
            <w:vAlign w:val="center"/>
          </w:tcPr>
          <w:p w14:paraId="0E888016" w14:textId="77777777" w:rsidR="005B1D79" w:rsidRPr="005E13B9" w:rsidRDefault="005B1D79" w:rsidP="00532BD2">
            <w:pPr>
              <w:widowControl/>
              <w:overflowPunct w:val="0"/>
              <w:adjustRightInd w:val="0"/>
              <w:snapToGrid w:val="0"/>
              <w:jc w:val="center"/>
              <w:rPr>
                <w:rFonts w:eastAsia="標楷體"/>
                <w:b/>
                <w:sz w:val="22"/>
                <w:szCs w:val="22"/>
              </w:rPr>
            </w:pPr>
            <w:r w:rsidRPr="005E13B9">
              <w:rPr>
                <w:rFonts w:eastAsia="標楷體"/>
                <w:kern w:val="0"/>
                <w:sz w:val="22"/>
                <w:szCs w:val="22"/>
              </w:rPr>
              <w:t>Variables</w:t>
            </w:r>
          </w:p>
        </w:tc>
        <w:tc>
          <w:tcPr>
            <w:tcW w:w="618" w:type="pct"/>
            <w:tcBorders>
              <w:top w:val="single" w:sz="12" w:space="0" w:color="auto"/>
              <w:bottom w:val="single" w:sz="4" w:space="0" w:color="auto"/>
            </w:tcBorders>
            <w:vAlign w:val="center"/>
          </w:tcPr>
          <w:p w14:paraId="25A68D2F" w14:textId="77777777" w:rsidR="005B1D79" w:rsidRPr="005E13B9" w:rsidRDefault="005B1D79" w:rsidP="001C65C7">
            <w:pPr>
              <w:widowControl/>
              <w:overflowPunct w:val="0"/>
              <w:adjustRightInd w:val="0"/>
              <w:snapToGrid w:val="0"/>
              <w:jc w:val="center"/>
              <w:rPr>
                <w:rFonts w:eastAsia="標楷體"/>
                <w:kern w:val="0"/>
                <w:sz w:val="22"/>
                <w:szCs w:val="22"/>
              </w:rPr>
            </w:pPr>
            <w:r w:rsidRPr="005E13B9">
              <w:rPr>
                <w:sz w:val="22"/>
                <w:szCs w:val="22"/>
              </w:rPr>
              <w:t>Obs.</w:t>
            </w:r>
          </w:p>
        </w:tc>
        <w:tc>
          <w:tcPr>
            <w:tcW w:w="619" w:type="pct"/>
            <w:tcBorders>
              <w:top w:val="single" w:sz="12" w:space="0" w:color="auto"/>
              <w:bottom w:val="single" w:sz="4" w:space="0" w:color="auto"/>
            </w:tcBorders>
            <w:vAlign w:val="center"/>
          </w:tcPr>
          <w:p w14:paraId="0182F89A" w14:textId="77777777" w:rsidR="005B1D79" w:rsidRPr="005E13B9" w:rsidRDefault="005B1D79" w:rsidP="001C65C7">
            <w:pPr>
              <w:widowControl/>
              <w:overflowPunct w:val="0"/>
              <w:adjustRightInd w:val="0"/>
              <w:snapToGrid w:val="0"/>
              <w:jc w:val="center"/>
              <w:rPr>
                <w:rFonts w:eastAsia="標楷體"/>
                <w:kern w:val="0"/>
                <w:sz w:val="22"/>
                <w:szCs w:val="22"/>
              </w:rPr>
            </w:pPr>
            <w:r w:rsidRPr="005E13B9">
              <w:rPr>
                <w:rFonts w:eastAsia="標楷體"/>
                <w:kern w:val="0"/>
                <w:sz w:val="22"/>
                <w:szCs w:val="22"/>
              </w:rPr>
              <w:t>Mean</w:t>
            </w:r>
          </w:p>
        </w:tc>
        <w:tc>
          <w:tcPr>
            <w:tcW w:w="619" w:type="pct"/>
            <w:tcBorders>
              <w:top w:val="single" w:sz="12" w:space="0" w:color="auto"/>
              <w:bottom w:val="single" w:sz="4" w:space="0" w:color="auto"/>
            </w:tcBorders>
            <w:vAlign w:val="center"/>
          </w:tcPr>
          <w:p w14:paraId="1887EC16" w14:textId="77777777" w:rsidR="005B1D79" w:rsidRPr="005E13B9" w:rsidRDefault="005B1D79" w:rsidP="001C65C7">
            <w:pPr>
              <w:widowControl/>
              <w:overflowPunct w:val="0"/>
              <w:adjustRightInd w:val="0"/>
              <w:snapToGrid w:val="0"/>
              <w:jc w:val="center"/>
              <w:rPr>
                <w:rFonts w:eastAsia="標楷體"/>
                <w:kern w:val="0"/>
                <w:sz w:val="22"/>
                <w:szCs w:val="22"/>
              </w:rPr>
            </w:pPr>
            <w:r w:rsidRPr="005E13B9">
              <w:rPr>
                <w:sz w:val="22"/>
                <w:szCs w:val="22"/>
              </w:rPr>
              <w:t>Median</w:t>
            </w:r>
          </w:p>
        </w:tc>
        <w:tc>
          <w:tcPr>
            <w:tcW w:w="618" w:type="pct"/>
            <w:tcBorders>
              <w:top w:val="single" w:sz="12" w:space="0" w:color="auto"/>
              <w:bottom w:val="single" w:sz="4" w:space="0" w:color="auto"/>
            </w:tcBorders>
            <w:vAlign w:val="center"/>
          </w:tcPr>
          <w:p w14:paraId="3178CE0D" w14:textId="77777777" w:rsidR="005B1D79" w:rsidRPr="005E13B9" w:rsidRDefault="005B1D79" w:rsidP="001C65C7">
            <w:pPr>
              <w:widowControl/>
              <w:overflowPunct w:val="0"/>
              <w:adjustRightInd w:val="0"/>
              <w:snapToGrid w:val="0"/>
              <w:jc w:val="center"/>
              <w:rPr>
                <w:rFonts w:eastAsia="標楷體"/>
                <w:kern w:val="0"/>
                <w:sz w:val="22"/>
                <w:szCs w:val="22"/>
              </w:rPr>
            </w:pPr>
            <w:r w:rsidRPr="005E13B9">
              <w:rPr>
                <w:rFonts w:eastAsia="標楷體"/>
                <w:kern w:val="0"/>
                <w:sz w:val="22"/>
                <w:szCs w:val="22"/>
              </w:rPr>
              <w:t>Std. Dev.</w:t>
            </w:r>
          </w:p>
        </w:tc>
        <w:tc>
          <w:tcPr>
            <w:tcW w:w="619" w:type="pct"/>
            <w:tcBorders>
              <w:top w:val="single" w:sz="12" w:space="0" w:color="auto"/>
              <w:bottom w:val="single" w:sz="4" w:space="0" w:color="auto"/>
            </w:tcBorders>
            <w:vAlign w:val="center"/>
          </w:tcPr>
          <w:p w14:paraId="0285A7B3" w14:textId="77777777" w:rsidR="005B1D79" w:rsidRPr="005E13B9" w:rsidRDefault="005B1D79" w:rsidP="001C65C7">
            <w:pPr>
              <w:widowControl/>
              <w:overflowPunct w:val="0"/>
              <w:adjustRightInd w:val="0"/>
              <w:snapToGrid w:val="0"/>
              <w:jc w:val="center"/>
              <w:rPr>
                <w:rFonts w:eastAsia="標楷體"/>
                <w:kern w:val="0"/>
                <w:sz w:val="22"/>
                <w:szCs w:val="22"/>
              </w:rPr>
            </w:pPr>
            <w:r w:rsidRPr="005E13B9">
              <w:rPr>
                <w:sz w:val="22"/>
                <w:szCs w:val="22"/>
              </w:rPr>
              <w:t>Min</w:t>
            </w:r>
            <w:r w:rsidR="009F7070" w:rsidRPr="005E13B9">
              <w:rPr>
                <w:rFonts w:hint="eastAsia"/>
                <w:sz w:val="22"/>
                <w:szCs w:val="22"/>
              </w:rPr>
              <w:t>.</w:t>
            </w:r>
          </w:p>
        </w:tc>
        <w:tc>
          <w:tcPr>
            <w:tcW w:w="619" w:type="pct"/>
            <w:tcBorders>
              <w:top w:val="single" w:sz="12" w:space="0" w:color="auto"/>
              <w:bottom w:val="single" w:sz="4" w:space="0" w:color="auto"/>
            </w:tcBorders>
            <w:vAlign w:val="center"/>
          </w:tcPr>
          <w:p w14:paraId="5C7F2720" w14:textId="77777777" w:rsidR="005B1D79" w:rsidRPr="005E13B9" w:rsidRDefault="005B1D79" w:rsidP="001C65C7">
            <w:pPr>
              <w:widowControl/>
              <w:overflowPunct w:val="0"/>
              <w:adjustRightInd w:val="0"/>
              <w:snapToGrid w:val="0"/>
              <w:jc w:val="center"/>
              <w:rPr>
                <w:rFonts w:eastAsia="標楷體"/>
                <w:kern w:val="0"/>
                <w:sz w:val="22"/>
                <w:szCs w:val="22"/>
              </w:rPr>
            </w:pPr>
            <w:r w:rsidRPr="005E13B9">
              <w:rPr>
                <w:sz w:val="22"/>
                <w:szCs w:val="22"/>
              </w:rPr>
              <w:t>Max</w:t>
            </w:r>
            <w:r w:rsidR="009F7070" w:rsidRPr="005E13B9">
              <w:rPr>
                <w:rFonts w:hint="eastAsia"/>
                <w:sz w:val="22"/>
                <w:szCs w:val="22"/>
              </w:rPr>
              <w:t>.</w:t>
            </w:r>
          </w:p>
        </w:tc>
      </w:tr>
      <w:tr w:rsidR="006F104F" w:rsidRPr="005E13B9" w14:paraId="4FC381D3" w14:textId="77777777" w:rsidTr="007875FC">
        <w:trPr>
          <w:trHeight w:val="255"/>
        </w:trPr>
        <w:tc>
          <w:tcPr>
            <w:tcW w:w="1288" w:type="pct"/>
            <w:vAlign w:val="center"/>
          </w:tcPr>
          <w:p w14:paraId="28657545" w14:textId="6D75A616" w:rsidR="005B1D79" w:rsidRPr="005E13B9" w:rsidRDefault="005B1D79" w:rsidP="00532BD2">
            <w:pPr>
              <w:overflowPunct w:val="0"/>
              <w:adjustRightInd w:val="0"/>
              <w:snapToGrid w:val="0"/>
              <w:ind w:left="235" w:rightChars="-45" w:right="-108" w:hangingChars="107" w:hanging="235"/>
              <w:rPr>
                <w:sz w:val="22"/>
                <w:szCs w:val="22"/>
              </w:rPr>
            </w:pPr>
            <w:r w:rsidRPr="005E13B9">
              <w:rPr>
                <w:sz w:val="22"/>
                <w:szCs w:val="22"/>
              </w:rPr>
              <w:t>Shareholding change of foreign institutions</w:t>
            </w:r>
          </w:p>
        </w:tc>
        <w:tc>
          <w:tcPr>
            <w:tcW w:w="618" w:type="pct"/>
            <w:vAlign w:val="center"/>
          </w:tcPr>
          <w:p w14:paraId="57509F66" w14:textId="77777777" w:rsidR="005B1D79" w:rsidRPr="005E13B9" w:rsidRDefault="005B1D79" w:rsidP="001C65C7">
            <w:pPr>
              <w:overflowPunct w:val="0"/>
              <w:adjustRightInd w:val="0"/>
              <w:snapToGrid w:val="0"/>
              <w:jc w:val="center"/>
              <w:rPr>
                <w:sz w:val="22"/>
                <w:szCs w:val="22"/>
              </w:rPr>
            </w:pPr>
            <w:r w:rsidRPr="005E13B9">
              <w:rPr>
                <w:sz w:val="22"/>
                <w:szCs w:val="22"/>
              </w:rPr>
              <w:t>5733</w:t>
            </w:r>
          </w:p>
        </w:tc>
        <w:tc>
          <w:tcPr>
            <w:tcW w:w="619" w:type="pct"/>
            <w:vAlign w:val="center"/>
          </w:tcPr>
          <w:p w14:paraId="4AFFE2E5" w14:textId="4E35E526" w:rsidR="005B1D79" w:rsidRPr="005E13B9" w:rsidRDefault="005B1D79" w:rsidP="00F16743">
            <w:pPr>
              <w:overflowPunct w:val="0"/>
              <w:adjustRightInd w:val="0"/>
              <w:snapToGrid w:val="0"/>
              <w:ind w:rightChars="50" w:right="120"/>
              <w:jc w:val="right"/>
              <w:rPr>
                <w:sz w:val="22"/>
                <w:szCs w:val="22"/>
              </w:rPr>
            </w:pPr>
            <w:r w:rsidRPr="005E13B9">
              <w:rPr>
                <w:sz w:val="22"/>
                <w:szCs w:val="22"/>
              </w:rPr>
              <w:t>12.236</w:t>
            </w:r>
          </w:p>
        </w:tc>
        <w:tc>
          <w:tcPr>
            <w:tcW w:w="619" w:type="pct"/>
            <w:vAlign w:val="center"/>
          </w:tcPr>
          <w:p w14:paraId="55B05909" w14:textId="77777777" w:rsidR="005B1D79" w:rsidRPr="005E13B9" w:rsidRDefault="005B1D79" w:rsidP="001C65C7">
            <w:pPr>
              <w:overflowPunct w:val="0"/>
              <w:adjustRightInd w:val="0"/>
              <w:snapToGrid w:val="0"/>
              <w:ind w:left="214" w:rightChars="50" w:right="120"/>
              <w:jc w:val="center"/>
              <w:rPr>
                <w:sz w:val="22"/>
                <w:szCs w:val="22"/>
              </w:rPr>
            </w:pPr>
            <w:r w:rsidRPr="005E13B9">
              <w:rPr>
                <w:sz w:val="22"/>
                <w:szCs w:val="22"/>
              </w:rPr>
              <w:t>5.87</w:t>
            </w:r>
          </w:p>
        </w:tc>
        <w:tc>
          <w:tcPr>
            <w:tcW w:w="618" w:type="pct"/>
            <w:vAlign w:val="center"/>
          </w:tcPr>
          <w:p w14:paraId="6954930C" w14:textId="77777777" w:rsidR="005B1D79" w:rsidRPr="005E13B9" w:rsidRDefault="005B1D79" w:rsidP="001C65C7">
            <w:pPr>
              <w:overflowPunct w:val="0"/>
              <w:adjustRightInd w:val="0"/>
              <w:snapToGrid w:val="0"/>
              <w:ind w:left="214" w:rightChars="50" w:right="120"/>
              <w:jc w:val="right"/>
              <w:rPr>
                <w:sz w:val="22"/>
                <w:szCs w:val="22"/>
              </w:rPr>
            </w:pPr>
            <w:r w:rsidRPr="005E13B9">
              <w:rPr>
                <w:sz w:val="22"/>
                <w:szCs w:val="22"/>
              </w:rPr>
              <w:t>16.19</w:t>
            </w:r>
          </w:p>
        </w:tc>
        <w:tc>
          <w:tcPr>
            <w:tcW w:w="619" w:type="pct"/>
            <w:vAlign w:val="center"/>
          </w:tcPr>
          <w:p w14:paraId="6C9A18F6"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6EBC7AE4" w14:textId="77777777" w:rsidR="005B1D79" w:rsidRPr="005E13B9" w:rsidRDefault="005B1D79" w:rsidP="001C65C7">
            <w:pPr>
              <w:overflowPunct w:val="0"/>
              <w:adjustRightInd w:val="0"/>
              <w:snapToGrid w:val="0"/>
              <w:ind w:left="214" w:rightChars="50" w:right="120"/>
              <w:jc w:val="center"/>
              <w:rPr>
                <w:sz w:val="22"/>
                <w:szCs w:val="22"/>
              </w:rPr>
            </w:pPr>
            <w:r w:rsidRPr="005E13B9">
              <w:rPr>
                <w:sz w:val="22"/>
                <w:szCs w:val="22"/>
              </w:rPr>
              <w:t>99.16</w:t>
            </w:r>
          </w:p>
        </w:tc>
      </w:tr>
      <w:tr w:rsidR="006F104F" w:rsidRPr="005E13B9" w14:paraId="49D2B054" w14:textId="77777777" w:rsidTr="007875FC">
        <w:trPr>
          <w:trHeight w:val="255"/>
        </w:trPr>
        <w:tc>
          <w:tcPr>
            <w:tcW w:w="1288" w:type="pct"/>
            <w:vAlign w:val="center"/>
          </w:tcPr>
          <w:p w14:paraId="1A586561" w14:textId="77777777" w:rsidR="005B1D79" w:rsidRPr="005E13B9" w:rsidRDefault="005B1D79" w:rsidP="00532BD2">
            <w:pPr>
              <w:overflowPunct w:val="0"/>
              <w:adjustRightInd w:val="0"/>
              <w:snapToGrid w:val="0"/>
              <w:ind w:left="235" w:rightChars="-45" w:right="-108" w:hangingChars="107" w:hanging="235"/>
              <w:rPr>
                <w:rFonts w:eastAsia="標楷體"/>
                <w:kern w:val="0"/>
                <w:sz w:val="22"/>
                <w:szCs w:val="22"/>
              </w:rPr>
            </w:pPr>
            <w:r w:rsidRPr="005E13B9">
              <w:rPr>
                <w:sz w:val="22"/>
                <w:szCs w:val="22"/>
              </w:rPr>
              <w:t xml:space="preserve">Shareholding change of </w:t>
            </w:r>
            <w:r w:rsidRPr="005E13B9">
              <w:rPr>
                <w:rFonts w:eastAsia="標楷體"/>
                <w:sz w:val="22"/>
                <w:szCs w:val="22"/>
              </w:rPr>
              <w:t>domestic institutions</w:t>
            </w:r>
          </w:p>
        </w:tc>
        <w:tc>
          <w:tcPr>
            <w:tcW w:w="618" w:type="pct"/>
            <w:vAlign w:val="center"/>
          </w:tcPr>
          <w:p w14:paraId="4C35F907" w14:textId="77777777" w:rsidR="005B1D79" w:rsidRPr="005E13B9" w:rsidRDefault="005B1D79" w:rsidP="001C65C7">
            <w:pPr>
              <w:overflowPunct w:val="0"/>
              <w:adjustRightInd w:val="0"/>
              <w:snapToGrid w:val="0"/>
              <w:jc w:val="center"/>
              <w:rPr>
                <w:sz w:val="22"/>
                <w:szCs w:val="22"/>
              </w:rPr>
            </w:pPr>
            <w:r w:rsidRPr="005E13B9">
              <w:rPr>
                <w:sz w:val="22"/>
                <w:szCs w:val="22"/>
              </w:rPr>
              <w:t>5733</w:t>
            </w:r>
          </w:p>
        </w:tc>
        <w:tc>
          <w:tcPr>
            <w:tcW w:w="619" w:type="pct"/>
            <w:vAlign w:val="center"/>
          </w:tcPr>
          <w:p w14:paraId="4D9F63A0" w14:textId="2A783228" w:rsidR="005B1D79" w:rsidRPr="005E13B9" w:rsidRDefault="005B1D79" w:rsidP="00F16743">
            <w:pPr>
              <w:overflowPunct w:val="0"/>
              <w:adjustRightInd w:val="0"/>
              <w:snapToGrid w:val="0"/>
              <w:ind w:rightChars="50" w:right="120"/>
              <w:jc w:val="right"/>
              <w:rPr>
                <w:sz w:val="22"/>
                <w:szCs w:val="22"/>
              </w:rPr>
            </w:pPr>
            <w:r w:rsidRPr="005E13B9">
              <w:rPr>
                <w:sz w:val="22"/>
                <w:szCs w:val="22"/>
              </w:rPr>
              <w:t>0.98</w:t>
            </w:r>
            <w:r w:rsidR="00F16743" w:rsidRPr="005E13B9">
              <w:rPr>
                <w:sz w:val="22"/>
                <w:szCs w:val="22"/>
              </w:rPr>
              <w:t>9</w:t>
            </w:r>
          </w:p>
        </w:tc>
        <w:tc>
          <w:tcPr>
            <w:tcW w:w="619" w:type="pct"/>
            <w:vAlign w:val="center"/>
          </w:tcPr>
          <w:p w14:paraId="76BDC20B" w14:textId="77777777" w:rsidR="005B1D79" w:rsidRPr="005E13B9" w:rsidRDefault="005B1D79" w:rsidP="001C65C7">
            <w:pPr>
              <w:overflowPunct w:val="0"/>
              <w:adjustRightInd w:val="0"/>
              <w:snapToGrid w:val="0"/>
              <w:ind w:left="214" w:rightChars="50" w:right="120"/>
              <w:jc w:val="center"/>
              <w:rPr>
                <w:sz w:val="22"/>
                <w:szCs w:val="22"/>
              </w:rPr>
            </w:pPr>
            <w:r w:rsidRPr="005E13B9">
              <w:rPr>
                <w:sz w:val="22"/>
                <w:szCs w:val="22"/>
              </w:rPr>
              <w:t>0.03</w:t>
            </w:r>
          </w:p>
        </w:tc>
        <w:tc>
          <w:tcPr>
            <w:tcW w:w="618" w:type="pct"/>
            <w:vAlign w:val="center"/>
          </w:tcPr>
          <w:p w14:paraId="68CA26CA" w14:textId="77777777" w:rsidR="005B1D79" w:rsidRPr="005E13B9" w:rsidRDefault="005B1D79" w:rsidP="001C65C7">
            <w:pPr>
              <w:overflowPunct w:val="0"/>
              <w:adjustRightInd w:val="0"/>
              <w:snapToGrid w:val="0"/>
              <w:ind w:left="214" w:rightChars="50" w:right="120"/>
              <w:jc w:val="right"/>
              <w:rPr>
                <w:sz w:val="22"/>
                <w:szCs w:val="22"/>
              </w:rPr>
            </w:pPr>
            <w:r w:rsidRPr="005E13B9">
              <w:rPr>
                <w:sz w:val="22"/>
                <w:szCs w:val="22"/>
              </w:rPr>
              <w:t>2.38</w:t>
            </w:r>
          </w:p>
        </w:tc>
        <w:tc>
          <w:tcPr>
            <w:tcW w:w="619" w:type="pct"/>
            <w:vAlign w:val="center"/>
          </w:tcPr>
          <w:p w14:paraId="2E3F0AE5"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4391C22A" w14:textId="77777777" w:rsidR="005B1D79" w:rsidRPr="005E13B9" w:rsidRDefault="005B1D79" w:rsidP="001C65C7">
            <w:pPr>
              <w:overflowPunct w:val="0"/>
              <w:adjustRightInd w:val="0"/>
              <w:snapToGrid w:val="0"/>
              <w:ind w:left="214" w:rightChars="50" w:right="120"/>
              <w:jc w:val="center"/>
              <w:rPr>
                <w:sz w:val="22"/>
                <w:szCs w:val="22"/>
              </w:rPr>
            </w:pPr>
            <w:r w:rsidRPr="005E13B9">
              <w:rPr>
                <w:sz w:val="22"/>
                <w:szCs w:val="22"/>
              </w:rPr>
              <w:t>30.05</w:t>
            </w:r>
          </w:p>
        </w:tc>
      </w:tr>
      <w:tr w:rsidR="006F104F" w:rsidRPr="005E13B9" w14:paraId="4BE560A6" w14:textId="77777777" w:rsidTr="007875FC">
        <w:trPr>
          <w:trHeight w:val="255"/>
        </w:trPr>
        <w:tc>
          <w:tcPr>
            <w:tcW w:w="1288" w:type="pct"/>
            <w:vAlign w:val="center"/>
          </w:tcPr>
          <w:p w14:paraId="32C37603" w14:textId="77777777" w:rsidR="005B1D79" w:rsidRPr="005E13B9" w:rsidRDefault="005B1D79" w:rsidP="00532BD2">
            <w:pPr>
              <w:overflowPunct w:val="0"/>
              <w:adjustRightInd w:val="0"/>
              <w:snapToGrid w:val="0"/>
              <w:ind w:left="235" w:rightChars="-45" w:right="-108" w:hangingChars="107" w:hanging="235"/>
              <w:rPr>
                <w:rFonts w:eastAsia="標楷體"/>
                <w:kern w:val="0"/>
                <w:sz w:val="22"/>
                <w:szCs w:val="22"/>
              </w:rPr>
            </w:pPr>
            <w:r w:rsidRPr="005E13B9">
              <w:rPr>
                <w:sz w:val="22"/>
                <w:szCs w:val="22"/>
              </w:rPr>
              <w:t xml:space="preserve">Shareholding change of </w:t>
            </w:r>
            <w:r w:rsidRPr="005E13B9">
              <w:rPr>
                <w:rFonts w:eastAsia="標楷體"/>
                <w:sz w:val="22"/>
                <w:szCs w:val="22"/>
              </w:rPr>
              <w:t>security dealers</w:t>
            </w:r>
          </w:p>
        </w:tc>
        <w:tc>
          <w:tcPr>
            <w:tcW w:w="618" w:type="pct"/>
            <w:vAlign w:val="center"/>
          </w:tcPr>
          <w:p w14:paraId="0F930F5C" w14:textId="77777777" w:rsidR="005B1D79" w:rsidRPr="005E13B9" w:rsidRDefault="005B1D79" w:rsidP="001C65C7">
            <w:pPr>
              <w:overflowPunct w:val="0"/>
              <w:adjustRightInd w:val="0"/>
              <w:snapToGrid w:val="0"/>
              <w:jc w:val="center"/>
              <w:rPr>
                <w:sz w:val="22"/>
                <w:szCs w:val="22"/>
              </w:rPr>
            </w:pPr>
            <w:r w:rsidRPr="005E13B9">
              <w:rPr>
                <w:sz w:val="22"/>
                <w:szCs w:val="22"/>
              </w:rPr>
              <w:t>5733</w:t>
            </w:r>
          </w:p>
        </w:tc>
        <w:tc>
          <w:tcPr>
            <w:tcW w:w="619" w:type="pct"/>
            <w:vAlign w:val="center"/>
          </w:tcPr>
          <w:p w14:paraId="17C0EDBA" w14:textId="6028E3CC" w:rsidR="005B1D79" w:rsidRPr="005E13B9" w:rsidRDefault="005B1D79" w:rsidP="00F16743">
            <w:pPr>
              <w:overflowPunct w:val="0"/>
              <w:adjustRightInd w:val="0"/>
              <w:snapToGrid w:val="0"/>
              <w:ind w:rightChars="50" w:right="120"/>
              <w:jc w:val="right"/>
              <w:rPr>
                <w:sz w:val="22"/>
                <w:szCs w:val="22"/>
              </w:rPr>
            </w:pPr>
            <w:r w:rsidRPr="005E13B9">
              <w:rPr>
                <w:sz w:val="22"/>
                <w:szCs w:val="22"/>
              </w:rPr>
              <w:t>0.147</w:t>
            </w:r>
          </w:p>
        </w:tc>
        <w:tc>
          <w:tcPr>
            <w:tcW w:w="619" w:type="pct"/>
            <w:vAlign w:val="center"/>
          </w:tcPr>
          <w:p w14:paraId="5F6CBFFA"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8" w:type="pct"/>
            <w:vAlign w:val="center"/>
          </w:tcPr>
          <w:p w14:paraId="6A0DB7A1" w14:textId="77777777" w:rsidR="005B1D79" w:rsidRPr="005E13B9" w:rsidRDefault="005B1D79" w:rsidP="001C65C7">
            <w:pPr>
              <w:overflowPunct w:val="0"/>
              <w:adjustRightInd w:val="0"/>
              <w:snapToGrid w:val="0"/>
              <w:ind w:left="214" w:rightChars="50" w:right="120"/>
              <w:jc w:val="right"/>
              <w:rPr>
                <w:sz w:val="22"/>
                <w:szCs w:val="22"/>
              </w:rPr>
            </w:pPr>
            <w:r w:rsidRPr="005E13B9">
              <w:rPr>
                <w:sz w:val="22"/>
                <w:szCs w:val="22"/>
              </w:rPr>
              <w:t>0.52</w:t>
            </w:r>
          </w:p>
        </w:tc>
        <w:tc>
          <w:tcPr>
            <w:tcW w:w="619" w:type="pct"/>
            <w:vAlign w:val="center"/>
          </w:tcPr>
          <w:p w14:paraId="2B4A8537"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64E54DC5" w14:textId="77777777" w:rsidR="005B1D79" w:rsidRPr="005E13B9" w:rsidRDefault="005B1D79" w:rsidP="001C65C7">
            <w:pPr>
              <w:overflowPunct w:val="0"/>
              <w:adjustRightInd w:val="0"/>
              <w:snapToGrid w:val="0"/>
              <w:ind w:left="214" w:rightChars="50" w:right="120"/>
              <w:jc w:val="center"/>
              <w:rPr>
                <w:sz w:val="22"/>
                <w:szCs w:val="22"/>
              </w:rPr>
            </w:pPr>
            <w:r w:rsidRPr="005E13B9">
              <w:rPr>
                <w:sz w:val="22"/>
                <w:szCs w:val="22"/>
              </w:rPr>
              <w:t>10.01</w:t>
            </w:r>
          </w:p>
        </w:tc>
      </w:tr>
      <w:tr w:rsidR="006F104F" w:rsidRPr="005E13B9" w14:paraId="77F1DB97" w14:textId="77777777" w:rsidTr="007875FC">
        <w:trPr>
          <w:trHeight w:val="255"/>
        </w:trPr>
        <w:tc>
          <w:tcPr>
            <w:tcW w:w="1288" w:type="pct"/>
            <w:vAlign w:val="center"/>
          </w:tcPr>
          <w:p w14:paraId="39B9913A" w14:textId="77777777" w:rsidR="005B1D79" w:rsidRPr="005E13B9" w:rsidRDefault="005B1D79" w:rsidP="00532BD2">
            <w:pPr>
              <w:overflowPunct w:val="0"/>
              <w:adjustRightInd w:val="0"/>
              <w:snapToGrid w:val="0"/>
              <w:ind w:left="235" w:rightChars="-45" w:right="-108" w:hangingChars="107" w:hanging="235"/>
              <w:rPr>
                <w:rFonts w:eastAsia="標楷體"/>
                <w:kern w:val="0"/>
                <w:sz w:val="22"/>
                <w:szCs w:val="22"/>
              </w:rPr>
            </w:pPr>
            <w:r w:rsidRPr="005E13B9">
              <w:rPr>
                <w:kern w:val="0"/>
                <w:sz w:val="22"/>
                <w:szCs w:val="22"/>
              </w:rPr>
              <w:t>Corporate name change once dummy</w:t>
            </w:r>
          </w:p>
        </w:tc>
        <w:tc>
          <w:tcPr>
            <w:tcW w:w="618" w:type="pct"/>
            <w:vAlign w:val="center"/>
          </w:tcPr>
          <w:p w14:paraId="1F053E81" w14:textId="77777777" w:rsidR="005B1D79" w:rsidRPr="005E13B9" w:rsidRDefault="005B1D79" w:rsidP="001C65C7">
            <w:pPr>
              <w:overflowPunct w:val="0"/>
              <w:adjustRightInd w:val="0"/>
              <w:snapToGrid w:val="0"/>
              <w:jc w:val="center"/>
              <w:rPr>
                <w:sz w:val="22"/>
                <w:szCs w:val="22"/>
              </w:rPr>
            </w:pPr>
            <w:r w:rsidRPr="005E13B9">
              <w:rPr>
                <w:sz w:val="22"/>
                <w:szCs w:val="22"/>
              </w:rPr>
              <w:t>5733</w:t>
            </w:r>
          </w:p>
        </w:tc>
        <w:tc>
          <w:tcPr>
            <w:tcW w:w="619" w:type="pct"/>
            <w:vAlign w:val="center"/>
          </w:tcPr>
          <w:p w14:paraId="273BABF0" w14:textId="1BB7FCF3" w:rsidR="005B1D79" w:rsidRPr="005E13B9" w:rsidRDefault="005B1D79" w:rsidP="00F16743">
            <w:pPr>
              <w:overflowPunct w:val="0"/>
              <w:adjustRightInd w:val="0"/>
              <w:snapToGrid w:val="0"/>
              <w:ind w:rightChars="50" w:right="120"/>
              <w:jc w:val="right"/>
              <w:rPr>
                <w:sz w:val="22"/>
                <w:szCs w:val="22"/>
              </w:rPr>
            </w:pPr>
            <w:r w:rsidRPr="005E13B9">
              <w:rPr>
                <w:sz w:val="22"/>
                <w:szCs w:val="22"/>
              </w:rPr>
              <w:t>0.212</w:t>
            </w:r>
          </w:p>
        </w:tc>
        <w:tc>
          <w:tcPr>
            <w:tcW w:w="619" w:type="pct"/>
            <w:vAlign w:val="center"/>
          </w:tcPr>
          <w:p w14:paraId="373FDE32"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8" w:type="pct"/>
            <w:vAlign w:val="center"/>
          </w:tcPr>
          <w:p w14:paraId="283BECFF" w14:textId="77777777" w:rsidR="005B1D79" w:rsidRPr="005E13B9" w:rsidRDefault="005B1D79" w:rsidP="001C65C7">
            <w:pPr>
              <w:overflowPunct w:val="0"/>
              <w:adjustRightInd w:val="0"/>
              <w:snapToGrid w:val="0"/>
              <w:ind w:left="214" w:rightChars="50" w:right="120"/>
              <w:jc w:val="right"/>
              <w:rPr>
                <w:sz w:val="22"/>
                <w:szCs w:val="22"/>
              </w:rPr>
            </w:pPr>
            <w:r w:rsidRPr="005E13B9">
              <w:rPr>
                <w:sz w:val="22"/>
                <w:szCs w:val="22"/>
              </w:rPr>
              <w:t>0.41</w:t>
            </w:r>
          </w:p>
        </w:tc>
        <w:tc>
          <w:tcPr>
            <w:tcW w:w="619" w:type="pct"/>
            <w:vAlign w:val="center"/>
          </w:tcPr>
          <w:p w14:paraId="1DFFBB65"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76C4D37A" w14:textId="77777777" w:rsidR="005B1D79" w:rsidRPr="005E13B9" w:rsidRDefault="005B1D79" w:rsidP="001C65C7">
            <w:pPr>
              <w:widowControl/>
              <w:overflowPunct w:val="0"/>
              <w:adjustRightInd w:val="0"/>
              <w:snapToGrid w:val="0"/>
              <w:jc w:val="center"/>
              <w:rPr>
                <w:sz w:val="22"/>
                <w:szCs w:val="22"/>
              </w:rPr>
            </w:pPr>
            <w:r w:rsidRPr="005E13B9">
              <w:rPr>
                <w:sz w:val="22"/>
                <w:szCs w:val="22"/>
              </w:rPr>
              <w:t>1</w:t>
            </w:r>
          </w:p>
        </w:tc>
      </w:tr>
      <w:tr w:rsidR="006F104F" w:rsidRPr="005E13B9" w14:paraId="747F1E8D" w14:textId="77777777" w:rsidTr="007875FC">
        <w:trPr>
          <w:trHeight w:val="255"/>
        </w:trPr>
        <w:tc>
          <w:tcPr>
            <w:tcW w:w="1288" w:type="pct"/>
            <w:vAlign w:val="center"/>
          </w:tcPr>
          <w:p w14:paraId="14821BD5" w14:textId="77777777" w:rsidR="005B1D79" w:rsidRPr="005E13B9" w:rsidRDefault="005B1D79" w:rsidP="00532BD2">
            <w:pPr>
              <w:overflowPunct w:val="0"/>
              <w:adjustRightInd w:val="0"/>
              <w:snapToGrid w:val="0"/>
              <w:ind w:left="235" w:rightChars="-45" w:right="-108" w:hangingChars="107" w:hanging="235"/>
              <w:rPr>
                <w:rFonts w:eastAsia="標楷體"/>
                <w:kern w:val="0"/>
                <w:sz w:val="22"/>
                <w:szCs w:val="22"/>
              </w:rPr>
            </w:pPr>
            <w:r w:rsidRPr="005E13B9">
              <w:rPr>
                <w:kern w:val="0"/>
                <w:sz w:val="22"/>
                <w:szCs w:val="22"/>
              </w:rPr>
              <w:t>Corporate name change more than once dummy</w:t>
            </w:r>
          </w:p>
        </w:tc>
        <w:tc>
          <w:tcPr>
            <w:tcW w:w="618" w:type="pct"/>
            <w:vAlign w:val="center"/>
          </w:tcPr>
          <w:p w14:paraId="5E72641D" w14:textId="77777777" w:rsidR="005B1D79" w:rsidRPr="005E13B9" w:rsidRDefault="005B1D79" w:rsidP="001C65C7">
            <w:pPr>
              <w:overflowPunct w:val="0"/>
              <w:adjustRightInd w:val="0"/>
              <w:snapToGrid w:val="0"/>
              <w:jc w:val="center"/>
              <w:rPr>
                <w:sz w:val="22"/>
                <w:szCs w:val="22"/>
              </w:rPr>
            </w:pPr>
            <w:r w:rsidRPr="005E13B9">
              <w:rPr>
                <w:sz w:val="22"/>
                <w:szCs w:val="22"/>
              </w:rPr>
              <w:t>5733</w:t>
            </w:r>
          </w:p>
        </w:tc>
        <w:tc>
          <w:tcPr>
            <w:tcW w:w="619" w:type="pct"/>
            <w:vAlign w:val="center"/>
          </w:tcPr>
          <w:p w14:paraId="65778D0A" w14:textId="7C6FC912" w:rsidR="005B1D79" w:rsidRPr="005E13B9" w:rsidRDefault="005B1D79" w:rsidP="00F16743">
            <w:pPr>
              <w:overflowPunct w:val="0"/>
              <w:adjustRightInd w:val="0"/>
              <w:snapToGrid w:val="0"/>
              <w:ind w:rightChars="50" w:right="120"/>
              <w:jc w:val="right"/>
              <w:rPr>
                <w:sz w:val="22"/>
                <w:szCs w:val="22"/>
              </w:rPr>
            </w:pPr>
            <w:r w:rsidRPr="005E13B9">
              <w:rPr>
                <w:sz w:val="22"/>
                <w:szCs w:val="22"/>
              </w:rPr>
              <w:t>0.037</w:t>
            </w:r>
          </w:p>
        </w:tc>
        <w:tc>
          <w:tcPr>
            <w:tcW w:w="619" w:type="pct"/>
            <w:vAlign w:val="center"/>
          </w:tcPr>
          <w:p w14:paraId="366AB70A"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8" w:type="pct"/>
            <w:vAlign w:val="center"/>
          </w:tcPr>
          <w:p w14:paraId="36FCBE85" w14:textId="77777777" w:rsidR="005B1D79" w:rsidRPr="005E13B9" w:rsidRDefault="005B1D79" w:rsidP="001C65C7">
            <w:pPr>
              <w:overflowPunct w:val="0"/>
              <w:adjustRightInd w:val="0"/>
              <w:snapToGrid w:val="0"/>
              <w:ind w:left="214" w:rightChars="50" w:right="120"/>
              <w:jc w:val="right"/>
              <w:rPr>
                <w:sz w:val="22"/>
                <w:szCs w:val="22"/>
              </w:rPr>
            </w:pPr>
            <w:r w:rsidRPr="005E13B9">
              <w:rPr>
                <w:sz w:val="22"/>
                <w:szCs w:val="22"/>
              </w:rPr>
              <w:t>0.19</w:t>
            </w:r>
          </w:p>
        </w:tc>
        <w:tc>
          <w:tcPr>
            <w:tcW w:w="619" w:type="pct"/>
            <w:vAlign w:val="center"/>
          </w:tcPr>
          <w:p w14:paraId="1925BD86"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57E482EA" w14:textId="77777777" w:rsidR="005B1D79" w:rsidRPr="005E13B9" w:rsidRDefault="005B1D79" w:rsidP="001C65C7">
            <w:pPr>
              <w:widowControl/>
              <w:overflowPunct w:val="0"/>
              <w:adjustRightInd w:val="0"/>
              <w:snapToGrid w:val="0"/>
              <w:jc w:val="center"/>
              <w:rPr>
                <w:sz w:val="22"/>
                <w:szCs w:val="22"/>
              </w:rPr>
            </w:pPr>
            <w:r w:rsidRPr="005E13B9">
              <w:rPr>
                <w:sz w:val="22"/>
                <w:szCs w:val="22"/>
              </w:rPr>
              <w:t>1</w:t>
            </w:r>
          </w:p>
        </w:tc>
      </w:tr>
      <w:tr w:rsidR="006F104F" w:rsidRPr="005E13B9" w14:paraId="073A0210" w14:textId="77777777" w:rsidTr="007875FC">
        <w:trPr>
          <w:trHeight w:val="255"/>
        </w:trPr>
        <w:tc>
          <w:tcPr>
            <w:tcW w:w="1288" w:type="pct"/>
            <w:vAlign w:val="center"/>
          </w:tcPr>
          <w:p w14:paraId="4BC3F55E" w14:textId="77777777" w:rsidR="005B1D79" w:rsidRPr="005E13B9" w:rsidRDefault="005B1D79" w:rsidP="00532BD2">
            <w:pPr>
              <w:overflowPunct w:val="0"/>
              <w:adjustRightInd w:val="0"/>
              <w:snapToGrid w:val="0"/>
              <w:ind w:left="235" w:rightChars="-45" w:right="-108" w:hangingChars="107" w:hanging="235"/>
              <w:rPr>
                <w:rFonts w:eastAsia="標楷體"/>
                <w:kern w:val="0"/>
                <w:sz w:val="22"/>
                <w:szCs w:val="22"/>
              </w:rPr>
            </w:pPr>
            <w:r w:rsidRPr="005E13B9">
              <w:rPr>
                <w:kern w:val="0"/>
                <w:sz w:val="22"/>
                <w:szCs w:val="22"/>
              </w:rPr>
              <w:t>Industry category change once dummy</w:t>
            </w:r>
          </w:p>
        </w:tc>
        <w:tc>
          <w:tcPr>
            <w:tcW w:w="618" w:type="pct"/>
            <w:vAlign w:val="center"/>
          </w:tcPr>
          <w:p w14:paraId="37A8F196" w14:textId="77777777" w:rsidR="005B1D79" w:rsidRPr="005E13B9" w:rsidRDefault="005B1D79" w:rsidP="001C65C7">
            <w:pPr>
              <w:overflowPunct w:val="0"/>
              <w:adjustRightInd w:val="0"/>
              <w:snapToGrid w:val="0"/>
              <w:jc w:val="center"/>
              <w:rPr>
                <w:sz w:val="22"/>
                <w:szCs w:val="22"/>
              </w:rPr>
            </w:pPr>
            <w:r w:rsidRPr="005E13B9">
              <w:rPr>
                <w:sz w:val="22"/>
                <w:szCs w:val="22"/>
              </w:rPr>
              <w:t>5733</w:t>
            </w:r>
          </w:p>
        </w:tc>
        <w:tc>
          <w:tcPr>
            <w:tcW w:w="619" w:type="pct"/>
            <w:vAlign w:val="center"/>
          </w:tcPr>
          <w:p w14:paraId="6748EA8C" w14:textId="6781ACBA" w:rsidR="005B1D79" w:rsidRPr="005E13B9" w:rsidRDefault="005B1D79" w:rsidP="00F16743">
            <w:pPr>
              <w:overflowPunct w:val="0"/>
              <w:adjustRightInd w:val="0"/>
              <w:snapToGrid w:val="0"/>
              <w:ind w:rightChars="50" w:right="120"/>
              <w:jc w:val="right"/>
              <w:rPr>
                <w:sz w:val="22"/>
                <w:szCs w:val="22"/>
              </w:rPr>
            </w:pPr>
            <w:r w:rsidRPr="005E13B9">
              <w:rPr>
                <w:sz w:val="22"/>
                <w:szCs w:val="22"/>
              </w:rPr>
              <w:t>0.172</w:t>
            </w:r>
          </w:p>
        </w:tc>
        <w:tc>
          <w:tcPr>
            <w:tcW w:w="619" w:type="pct"/>
            <w:vAlign w:val="center"/>
          </w:tcPr>
          <w:p w14:paraId="735ADBA4" w14:textId="77777777" w:rsidR="005B1D79" w:rsidRPr="005E13B9" w:rsidRDefault="005B1D79" w:rsidP="001C65C7">
            <w:pPr>
              <w:widowControl/>
              <w:overflowPunct w:val="0"/>
              <w:adjustRightInd w:val="0"/>
              <w:snapToGrid w:val="0"/>
              <w:jc w:val="center"/>
              <w:rPr>
                <w:sz w:val="22"/>
                <w:szCs w:val="22"/>
              </w:rPr>
            </w:pPr>
            <w:r w:rsidRPr="005E13B9">
              <w:rPr>
                <w:sz w:val="22"/>
                <w:szCs w:val="22"/>
              </w:rPr>
              <w:t>1</w:t>
            </w:r>
          </w:p>
        </w:tc>
        <w:tc>
          <w:tcPr>
            <w:tcW w:w="618" w:type="pct"/>
            <w:vAlign w:val="center"/>
          </w:tcPr>
          <w:p w14:paraId="7FA91A29" w14:textId="77777777" w:rsidR="005B1D79" w:rsidRPr="005E13B9" w:rsidRDefault="005B1D79" w:rsidP="001C65C7">
            <w:pPr>
              <w:overflowPunct w:val="0"/>
              <w:adjustRightInd w:val="0"/>
              <w:snapToGrid w:val="0"/>
              <w:ind w:left="214" w:rightChars="50" w:right="120"/>
              <w:jc w:val="right"/>
              <w:rPr>
                <w:sz w:val="22"/>
                <w:szCs w:val="22"/>
              </w:rPr>
            </w:pPr>
            <w:r w:rsidRPr="005E13B9">
              <w:rPr>
                <w:sz w:val="22"/>
                <w:szCs w:val="22"/>
              </w:rPr>
              <w:t>0.50</w:t>
            </w:r>
          </w:p>
        </w:tc>
        <w:tc>
          <w:tcPr>
            <w:tcW w:w="619" w:type="pct"/>
            <w:vAlign w:val="center"/>
          </w:tcPr>
          <w:p w14:paraId="155D9334"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41E4F28E" w14:textId="77777777" w:rsidR="005B1D79" w:rsidRPr="005E13B9" w:rsidRDefault="005B1D79" w:rsidP="001C65C7">
            <w:pPr>
              <w:widowControl/>
              <w:overflowPunct w:val="0"/>
              <w:adjustRightInd w:val="0"/>
              <w:snapToGrid w:val="0"/>
              <w:jc w:val="center"/>
              <w:rPr>
                <w:sz w:val="22"/>
                <w:szCs w:val="22"/>
              </w:rPr>
            </w:pPr>
            <w:r w:rsidRPr="005E13B9">
              <w:rPr>
                <w:sz w:val="22"/>
                <w:szCs w:val="22"/>
              </w:rPr>
              <w:t>1</w:t>
            </w:r>
          </w:p>
        </w:tc>
      </w:tr>
      <w:tr w:rsidR="006F104F" w:rsidRPr="005E13B9" w14:paraId="3B708376" w14:textId="77777777" w:rsidTr="007875FC">
        <w:trPr>
          <w:trHeight w:val="255"/>
        </w:trPr>
        <w:tc>
          <w:tcPr>
            <w:tcW w:w="1288" w:type="pct"/>
            <w:tcBorders>
              <w:bottom w:val="single" w:sz="4" w:space="0" w:color="auto"/>
            </w:tcBorders>
            <w:vAlign w:val="center"/>
          </w:tcPr>
          <w:p w14:paraId="576DD66F" w14:textId="77777777" w:rsidR="005B1D79" w:rsidRPr="005E13B9" w:rsidRDefault="005B1D79" w:rsidP="00532BD2">
            <w:pPr>
              <w:overflowPunct w:val="0"/>
              <w:adjustRightInd w:val="0"/>
              <w:snapToGrid w:val="0"/>
              <w:ind w:left="235" w:rightChars="-45" w:right="-108" w:hangingChars="107" w:hanging="235"/>
              <w:rPr>
                <w:rFonts w:eastAsia="標楷體"/>
                <w:kern w:val="0"/>
                <w:sz w:val="22"/>
                <w:szCs w:val="22"/>
              </w:rPr>
            </w:pPr>
            <w:r w:rsidRPr="005E13B9">
              <w:rPr>
                <w:kern w:val="0"/>
                <w:sz w:val="22"/>
                <w:szCs w:val="22"/>
              </w:rPr>
              <w:t>Industry category change more than once dummy</w:t>
            </w:r>
          </w:p>
        </w:tc>
        <w:tc>
          <w:tcPr>
            <w:tcW w:w="618" w:type="pct"/>
            <w:tcBorders>
              <w:bottom w:val="single" w:sz="4" w:space="0" w:color="auto"/>
            </w:tcBorders>
            <w:vAlign w:val="center"/>
          </w:tcPr>
          <w:p w14:paraId="2BC84A20" w14:textId="77777777" w:rsidR="005B1D79" w:rsidRPr="005E13B9" w:rsidRDefault="005B1D79" w:rsidP="001C65C7">
            <w:pPr>
              <w:overflowPunct w:val="0"/>
              <w:adjustRightInd w:val="0"/>
              <w:snapToGrid w:val="0"/>
              <w:jc w:val="center"/>
              <w:rPr>
                <w:sz w:val="22"/>
                <w:szCs w:val="22"/>
              </w:rPr>
            </w:pPr>
            <w:r w:rsidRPr="005E13B9">
              <w:rPr>
                <w:sz w:val="22"/>
                <w:szCs w:val="22"/>
              </w:rPr>
              <w:t>5733</w:t>
            </w:r>
          </w:p>
        </w:tc>
        <w:tc>
          <w:tcPr>
            <w:tcW w:w="619" w:type="pct"/>
            <w:tcBorders>
              <w:bottom w:val="single" w:sz="4" w:space="0" w:color="auto"/>
            </w:tcBorders>
            <w:vAlign w:val="center"/>
          </w:tcPr>
          <w:p w14:paraId="3DD07362" w14:textId="5E5B0070" w:rsidR="005B1D79" w:rsidRPr="005E13B9" w:rsidRDefault="005B1D79" w:rsidP="00F16743">
            <w:pPr>
              <w:overflowPunct w:val="0"/>
              <w:adjustRightInd w:val="0"/>
              <w:snapToGrid w:val="0"/>
              <w:ind w:rightChars="50" w:right="120"/>
              <w:jc w:val="right"/>
              <w:rPr>
                <w:sz w:val="22"/>
                <w:szCs w:val="22"/>
              </w:rPr>
            </w:pPr>
            <w:r w:rsidRPr="005E13B9">
              <w:rPr>
                <w:sz w:val="22"/>
                <w:szCs w:val="22"/>
              </w:rPr>
              <w:t>0.0</w:t>
            </w:r>
            <w:r w:rsidR="00F16743" w:rsidRPr="005E13B9">
              <w:rPr>
                <w:sz w:val="22"/>
                <w:szCs w:val="22"/>
              </w:rPr>
              <w:t>30</w:t>
            </w:r>
          </w:p>
        </w:tc>
        <w:tc>
          <w:tcPr>
            <w:tcW w:w="619" w:type="pct"/>
            <w:tcBorders>
              <w:bottom w:val="single" w:sz="4" w:space="0" w:color="auto"/>
            </w:tcBorders>
            <w:vAlign w:val="center"/>
          </w:tcPr>
          <w:p w14:paraId="00E75491"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8" w:type="pct"/>
            <w:tcBorders>
              <w:bottom w:val="single" w:sz="4" w:space="0" w:color="auto"/>
            </w:tcBorders>
            <w:vAlign w:val="center"/>
          </w:tcPr>
          <w:p w14:paraId="45A3E99C" w14:textId="77777777" w:rsidR="005B1D79" w:rsidRPr="005E13B9" w:rsidRDefault="005B1D79" w:rsidP="001C65C7">
            <w:pPr>
              <w:overflowPunct w:val="0"/>
              <w:adjustRightInd w:val="0"/>
              <w:snapToGrid w:val="0"/>
              <w:ind w:left="214" w:rightChars="50" w:right="120"/>
              <w:jc w:val="right"/>
              <w:rPr>
                <w:sz w:val="22"/>
                <w:szCs w:val="22"/>
              </w:rPr>
            </w:pPr>
            <w:r w:rsidRPr="005E13B9">
              <w:rPr>
                <w:sz w:val="22"/>
                <w:szCs w:val="22"/>
              </w:rPr>
              <w:t>0.27</w:t>
            </w:r>
          </w:p>
        </w:tc>
        <w:tc>
          <w:tcPr>
            <w:tcW w:w="619" w:type="pct"/>
            <w:tcBorders>
              <w:bottom w:val="single" w:sz="4" w:space="0" w:color="auto"/>
            </w:tcBorders>
            <w:vAlign w:val="center"/>
          </w:tcPr>
          <w:p w14:paraId="3C45E296"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tcBorders>
              <w:bottom w:val="single" w:sz="4" w:space="0" w:color="auto"/>
            </w:tcBorders>
            <w:vAlign w:val="center"/>
          </w:tcPr>
          <w:p w14:paraId="60125C6C" w14:textId="77777777" w:rsidR="005B1D79" w:rsidRPr="005E13B9" w:rsidRDefault="005B1D79" w:rsidP="001C65C7">
            <w:pPr>
              <w:widowControl/>
              <w:overflowPunct w:val="0"/>
              <w:adjustRightInd w:val="0"/>
              <w:snapToGrid w:val="0"/>
              <w:jc w:val="center"/>
              <w:rPr>
                <w:sz w:val="22"/>
                <w:szCs w:val="22"/>
              </w:rPr>
            </w:pPr>
            <w:r w:rsidRPr="005E13B9">
              <w:rPr>
                <w:sz w:val="22"/>
                <w:szCs w:val="22"/>
              </w:rPr>
              <w:t>1</w:t>
            </w:r>
          </w:p>
        </w:tc>
      </w:tr>
      <w:tr w:rsidR="006F104F" w:rsidRPr="005E13B9" w14:paraId="78D3C68E" w14:textId="77777777" w:rsidTr="007875FC">
        <w:trPr>
          <w:trHeight w:val="289"/>
        </w:trPr>
        <w:tc>
          <w:tcPr>
            <w:tcW w:w="1288" w:type="pct"/>
            <w:tcBorders>
              <w:top w:val="single" w:sz="4" w:space="0" w:color="auto"/>
              <w:bottom w:val="nil"/>
            </w:tcBorders>
            <w:vAlign w:val="center"/>
          </w:tcPr>
          <w:p w14:paraId="667012BE" w14:textId="77777777" w:rsidR="005B1D79" w:rsidRPr="005E13B9" w:rsidRDefault="005B1D79" w:rsidP="00532BD2">
            <w:pPr>
              <w:widowControl/>
              <w:overflowPunct w:val="0"/>
              <w:adjustRightInd w:val="0"/>
              <w:snapToGrid w:val="0"/>
              <w:rPr>
                <w:rFonts w:eastAsia="標楷體"/>
                <w:kern w:val="0"/>
                <w:sz w:val="22"/>
                <w:szCs w:val="22"/>
              </w:rPr>
            </w:pPr>
            <w:r w:rsidRPr="005E13B9">
              <w:rPr>
                <w:kern w:val="0"/>
                <w:sz w:val="22"/>
                <w:szCs w:val="22"/>
              </w:rPr>
              <w:t>Net profit ratio</w:t>
            </w:r>
          </w:p>
        </w:tc>
        <w:tc>
          <w:tcPr>
            <w:tcW w:w="618" w:type="pct"/>
            <w:tcBorders>
              <w:top w:val="single" w:sz="4" w:space="0" w:color="auto"/>
              <w:bottom w:val="nil"/>
            </w:tcBorders>
            <w:vAlign w:val="center"/>
          </w:tcPr>
          <w:p w14:paraId="748BEACC"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tcBorders>
              <w:top w:val="single" w:sz="4" w:space="0" w:color="auto"/>
              <w:bottom w:val="nil"/>
            </w:tcBorders>
            <w:vAlign w:val="center"/>
          </w:tcPr>
          <w:p w14:paraId="36BB83E7" w14:textId="642CA380"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5.701</w:t>
            </w:r>
          </w:p>
        </w:tc>
        <w:tc>
          <w:tcPr>
            <w:tcW w:w="619" w:type="pct"/>
            <w:tcBorders>
              <w:top w:val="single" w:sz="4" w:space="0" w:color="auto"/>
              <w:bottom w:val="nil"/>
            </w:tcBorders>
            <w:vAlign w:val="center"/>
          </w:tcPr>
          <w:p w14:paraId="52C00F0E" w14:textId="77777777" w:rsidR="005B1D79" w:rsidRPr="005E13B9" w:rsidRDefault="005B1D79" w:rsidP="001C65C7">
            <w:pPr>
              <w:widowControl/>
              <w:overflowPunct w:val="0"/>
              <w:adjustRightInd w:val="0"/>
              <w:snapToGrid w:val="0"/>
              <w:ind w:rightChars="50" w:right="120"/>
              <w:jc w:val="center"/>
              <w:rPr>
                <w:sz w:val="22"/>
                <w:szCs w:val="22"/>
              </w:rPr>
            </w:pPr>
            <w:r w:rsidRPr="005E13B9">
              <w:rPr>
                <w:sz w:val="22"/>
                <w:szCs w:val="22"/>
              </w:rPr>
              <w:t>5.21</w:t>
            </w:r>
          </w:p>
        </w:tc>
        <w:tc>
          <w:tcPr>
            <w:tcW w:w="618" w:type="pct"/>
            <w:tcBorders>
              <w:top w:val="single" w:sz="4" w:space="0" w:color="auto"/>
              <w:bottom w:val="nil"/>
            </w:tcBorders>
            <w:vAlign w:val="center"/>
          </w:tcPr>
          <w:p w14:paraId="2D0E79A2"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118.97</w:t>
            </w:r>
          </w:p>
        </w:tc>
        <w:tc>
          <w:tcPr>
            <w:tcW w:w="619" w:type="pct"/>
            <w:tcBorders>
              <w:top w:val="single" w:sz="4" w:space="0" w:color="auto"/>
              <w:bottom w:val="nil"/>
            </w:tcBorders>
            <w:vAlign w:val="center"/>
          </w:tcPr>
          <w:p w14:paraId="1F5D04C2" w14:textId="77777777" w:rsidR="005B1D79" w:rsidRPr="005E13B9" w:rsidRDefault="005B1D79" w:rsidP="001C65C7">
            <w:pPr>
              <w:widowControl/>
              <w:overflowPunct w:val="0"/>
              <w:adjustRightInd w:val="0"/>
              <w:snapToGrid w:val="0"/>
              <w:ind w:rightChars="50" w:right="120"/>
              <w:jc w:val="center"/>
              <w:rPr>
                <w:sz w:val="22"/>
                <w:szCs w:val="22"/>
              </w:rPr>
            </w:pPr>
            <w:r w:rsidRPr="005E13B9">
              <w:rPr>
                <w:sz w:val="22"/>
                <w:szCs w:val="22"/>
              </w:rPr>
              <w:t>-3412.47</w:t>
            </w:r>
          </w:p>
        </w:tc>
        <w:tc>
          <w:tcPr>
            <w:tcW w:w="619" w:type="pct"/>
            <w:tcBorders>
              <w:top w:val="single" w:sz="4" w:space="0" w:color="auto"/>
              <w:bottom w:val="nil"/>
            </w:tcBorders>
            <w:vAlign w:val="center"/>
          </w:tcPr>
          <w:p w14:paraId="4E8C5633"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7458.61</w:t>
            </w:r>
          </w:p>
        </w:tc>
      </w:tr>
      <w:tr w:rsidR="006F104F" w:rsidRPr="005E13B9" w14:paraId="275C3AA2" w14:textId="77777777" w:rsidTr="007875FC">
        <w:trPr>
          <w:trHeight w:val="288"/>
        </w:trPr>
        <w:tc>
          <w:tcPr>
            <w:tcW w:w="1288" w:type="pct"/>
            <w:tcBorders>
              <w:top w:val="nil"/>
            </w:tcBorders>
            <w:vAlign w:val="center"/>
          </w:tcPr>
          <w:p w14:paraId="6F75223B" w14:textId="77777777" w:rsidR="005B1D79" w:rsidRPr="005E13B9" w:rsidRDefault="005B1D79" w:rsidP="00532BD2">
            <w:pPr>
              <w:widowControl/>
              <w:overflowPunct w:val="0"/>
              <w:adjustRightInd w:val="0"/>
              <w:snapToGrid w:val="0"/>
              <w:rPr>
                <w:rFonts w:eastAsia="標楷體"/>
                <w:kern w:val="0"/>
                <w:sz w:val="22"/>
                <w:szCs w:val="22"/>
              </w:rPr>
            </w:pPr>
            <w:r w:rsidRPr="005E13B9">
              <w:rPr>
                <w:kern w:val="0"/>
                <w:sz w:val="22"/>
                <w:szCs w:val="22"/>
              </w:rPr>
              <w:t>Assets turnover ratio</w:t>
            </w:r>
          </w:p>
        </w:tc>
        <w:tc>
          <w:tcPr>
            <w:tcW w:w="618" w:type="pct"/>
            <w:tcBorders>
              <w:top w:val="nil"/>
            </w:tcBorders>
            <w:vAlign w:val="center"/>
          </w:tcPr>
          <w:p w14:paraId="7BAF19F5"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tcBorders>
              <w:top w:val="nil"/>
            </w:tcBorders>
            <w:vAlign w:val="center"/>
          </w:tcPr>
          <w:p w14:paraId="0783B4D5" w14:textId="1E2AF2E0"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0.88</w:t>
            </w:r>
            <w:r w:rsidR="00F16743" w:rsidRPr="005E13B9">
              <w:rPr>
                <w:sz w:val="22"/>
                <w:szCs w:val="22"/>
              </w:rPr>
              <w:t>1</w:t>
            </w:r>
          </w:p>
        </w:tc>
        <w:tc>
          <w:tcPr>
            <w:tcW w:w="619" w:type="pct"/>
            <w:tcBorders>
              <w:top w:val="nil"/>
            </w:tcBorders>
            <w:vAlign w:val="center"/>
          </w:tcPr>
          <w:p w14:paraId="62BD0759" w14:textId="77777777" w:rsidR="005B1D79" w:rsidRPr="005E13B9" w:rsidRDefault="005B1D79" w:rsidP="001C65C7">
            <w:pPr>
              <w:widowControl/>
              <w:overflowPunct w:val="0"/>
              <w:adjustRightInd w:val="0"/>
              <w:snapToGrid w:val="0"/>
              <w:ind w:rightChars="50" w:right="120"/>
              <w:jc w:val="center"/>
              <w:rPr>
                <w:sz w:val="22"/>
                <w:szCs w:val="22"/>
              </w:rPr>
            </w:pPr>
            <w:r w:rsidRPr="005E13B9">
              <w:rPr>
                <w:sz w:val="22"/>
                <w:szCs w:val="22"/>
              </w:rPr>
              <w:t>0.77</w:t>
            </w:r>
          </w:p>
        </w:tc>
        <w:tc>
          <w:tcPr>
            <w:tcW w:w="618" w:type="pct"/>
            <w:tcBorders>
              <w:top w:val="nil"/>
            </w:tcBorders>
            <w:vAlign w:val="center"/>
          </w:tcPr>
          <w:p w14:paraId="08CFD579"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0.63</w:t>
            </w:r>
          </w:p>
        </w:tc>
        <w:tc>
          <w:tcPr>
            <w:tcW w:w="619" w:type="pct"/>
            <w:tcBorders>
              <w:top w:val="nil"/>
            </w:tcBorders>
            <w:vAlign w:val="center"/>
          </w:tcPr>
          <w:p w14:paraId="283D4B44"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tcBorders>
              <w:top w:val="nil"/>
            </w:tcBorders>
            <w:vAlign w:val="center"/>
          </w:tcPr>
          <w:p w14:paraId="527D2E0B"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6.62</w:t>
            </w:r>
          </w:p>
        </w:tc>
      </w:tr>
      <w:tr w:rsidR="006F104F" w:rsidRPr="005E13B9" w14:paraId="3514A312" w14:textId="77777777" w:rsidTr="007875FC">
        <w:trPr>
          <w:trHeight w:val="279"/>
        </w:trPr>
        <w:tc>
          <w:tcPr>
            <w:tcW w:w="1288" w:type="pct"/>
            <w:vAlign w:val="center"/>
          </w:tcPr>
          <w:p w14:paraId="18421C24" w14:textId="77777777" w:rsidR="005B1D79" w:rsidRPr="005E13B9" w:rsidRDefault="005B1D79" w:rsidP="00532BD2">
            <w:pPr>
              <w:widowControl/>
              <w:overflowPunct w:val="0"/>
              <w:adjustRightInd w:val="0"/>
              <w:snapToGrid w:val="0"/>
              <w:rPr>
                <w:rFonts w:eastAsia="標楷體"/>
                <w:kern w:val="0"/>
                <w:sz w:val="22"/>
                <w:szCs w:val="22"/>
              </w:rPr>
            </w:pPr>
            <w:r w:rsidRPr="005E13B9">
              <w:rPr>
                <w:sz w:val="22"/>
                <w:szCs w:val="22"/>
              </w:rPr>
              <w:t>Debt ratio</w:t>
            </w:r>
          </w:p>
        </w:tc>
        <w:tc>
          <w:tcPr>
            <w:tcW w:w="618" w:type="pct"/>
            <w:vAlign w:val="center"/>
          </w:tcPr>
          <w:p w14:paraId="3B3E48E6"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vAlign w:val="center"/>
          </w:tcPr>
          <w:p w14:paraId="5F7F85C1" w14:textId="70B43FC8"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44.003</w:t>
            </w:r>
          </w:p>
        </w:tc>
        <w:tc>
          <w:tcPr>
            <w:tcW w:w="619" w:type="pct"/>
            <w:vAlign w:val="center"/>
          </w:tcPr>
          <w:p w14:paraId="3A3B3406" w14:textId="77777777" w:rsidR="005B1D79" w:rsidRPr="005E13B9" w:rsidRDefault="005B1D79" w:rsidP="001C65C7">
            <w:pPr>
              <w:widowControl/>
              <w:overflowPunct w:val="0"/>
              <w:adjustRightInd w:val="0"/>
              <w:snapToGrid w:val="0"/>
              <w:ind w:rightChars="50" w:right="120"/>
              <w:jc w:val="center"/>
              <w:rPr>
                <w:sz w:val="22"/>
                <w:szCs w:val="22"/>
              </w:rPr>
            </w:pPr>
            <w:r w:rsidRPr="005E13B9">
              <w:rPr>
                <w:sz w:val="22"/>
                <w:szCs w:val="22"/>
              </w:rPr>
              <w:t>43.52</w:t>
            </w:r>
          </w:p>
        </w:tc>
        <w:tc>
          <w:tcPr>
            <w:tcW w:w="618" w:type="pct"/>
            <w:vAlign w:val="center"/>
          </w:tcPr>
          <w:p w14:paraId="0C47AE23"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19.70</w:t>
            </w:r>
          </w:p>
        </w:tc>
        <w:tc>
          <w:tcPr>
            <w:tcW w:w="619" w:type="pct"/>
            <w:vAlign w:val="center"/>
          </w:tcPr>
          <w:p w14:paraId="34F03408"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1.14</w:t>
            </w:r>
          </w:p>
        </w:tc>
        <w:tc>
          <w:tcPr>
            <w:tcW w:w="619" w:type="pct"/>
            <w:vAlign w:val="center"/>
          </w:tcPr>
          <w:p w14:paraId="7E08DD09"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99.13</w:t>
            </w:r>
          </w:p>
        </w:tc>
      </w:tr>
      <w:tr w:rsidR="006F104F" w:rsidRPr="005E13B9" w14:paraId="7AEF6BA3" w14:textId="77777777" w:rsidTr="007875FC">
        <w:trPr>
          <w:trHeight w:val="282"/>
        </w:trPr>
        <w:tc>
          <w:tcPr>
            <w:tcW w:w="1288" w:type="pct"/>
            <w:vAlign w:val="center"/>
          </w:tcPr>
          <w:p w14:paraId="73C0CCAB" w14:textId="77777777" w:rsidR="005B1D79" w:rsidRPr="005E13B9" w:rsidRDefault="005B1D79" w:rsidP="00532BD2">
            <w:pPr>
              <w:widowControl/>
              <w:overflowPunct w:val="0"/>
              <w:adjustRightInd w:val="0"/>
              <w:snapToGrid w:val="0"/>
              <w:ind w:left="235" w:hangingChars="107" w:hanging="235"/>
              <w:rPr>
                <w:rFonts w:eastAsia="標楷體"/>
                <w:kern w:val="0"/>
                <w:sz w:val="22"/>
                <w:szCs w:val="22"/>
              </w:rPr>
            </w:pPr>
            <w:r w:rsidRPr="005E13B9">
              <w:rPr>
                <w:kern w:val="0"/>
                <w:sz w:val="22"/>
                <w:szCs w:val="22"/>
              </w:rPr>
              <w:t xml:space="preserve">Directors’ </w:t>
            </w:r>
            <w:r w:rsidR="0082626C" w:rsidRPr="005E13B9">
              <w:rPr>
                <w:rFonts w:hint="eastAsia"/>
                <w:kern w:val="0"/>
                <w:sz w:val="22"/>
                <w:szCs w:val="22"/>
              </w:rPr>
              <w:t>share</w:t>
            </w:r>
            <w:r w:rsidRPr="005E13B9">
              <w:rPr>
                <w:kern w:val="0"/>
                <w:sz w:val="22"/>
                <w:szCs w:val="22"/>
              </w:rPr>
              <w:t>holding ratio</w:t>
            </w:r>
          </w:p>
        </w:tc>
        <w:tc>
          <w:tcPr>
            <w:tcW w:w="618" w:type="pct"/>
            <w:vAlign w:val="center"/>
          </w:tcPr>
          <w:p w14:paraId="4678A1E0"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vAlign w:val="center"/>
          </w:tcPr>
          <w:p w14:paraId="1CE6DBA1" w14:textId="0D5943B0"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22.36</w:t>
            </w:r>
            <w:r w:rsidR="00F16743" w:rsidRPr="005E13B9">
              <w:rPr>
                <w:sz w:val="22"/>
                <w:szCs w:val="22"/>
              </w:rPr>
              <w:t>7</w:t>
            </w:r>
          </w:p>
        </w:tc>
        <w:tc>
          <w:tcPr>
            <w:tcW w:w="619" w:type="pct"/>
            <w:vAlign w:val="center"/>
          </w:tcPr>
          <w:p w14:paraId="5F846D61" w14:textId="77777777" w:rsidR="005B1D79" w:rsidRPr="005E13B9" w:rsidRDefault="005B1D79" w:rsidP="001C65C7">
            <w:pPr>
              <w:widowControl/>
              <w:overflowPunct w:val="0"/>
              <w:adjustRightInd w:val="0"/>
              <w:snapToGrid w:val="0"/>
              <w:ind w:rightChars="50" w:right="120"/>
              <w:jc w:val="center"/>
              <w:rPr>
                <w:sz w:val="22"/>
                <w:szCs w:val="22"/>
              </w:rPr>
            </w:pPr>
            <w:r w:rsidRPr="005E13B9">
              <w:rPr>
                <w:sz w:val="22"/>
                <w:szCs w:val="22"/>
              </w:rPr>
              <w:t>18.72</w:t>
            </w:r>
          </w:p>
        </w:tc>
        <w:tc>
          <w:tcPr>
            <w:tcW w:w="618" w:type="pct"/>
            <w:vAlign w:val="center"/>
          </w:tcPr>
          <w:p w14:paraId="7664FD6C"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14.68</w:t>
            </w:r>
          </w:p>
        </w:tc>
        <w:tc>
          <w:tcPr>
            <w:tcW w:w="619" w:type="pct"/>
            <w:vAlign w:val="center"/>
          </w:tcPr>
          <w:p w14:paraId="1B5B1A9D"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1118AE9D"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94.95</w:t>
            </w:r>
          </w:p>
        </w:tc>
      </w:tr>
      <w:tr w:rsidR="006F104F" w:rsidRPr="005E13B9" w14:paraId="0B98761C" w14:textId="77777777" w:rsidTr="007875FC">
        <w:trPr>
          <w:trHeight w:val="287"/>
        </w:trPr>
        <w:tc>
          <w:tcPr>
            <w:tcW w:w="1288" w:type="pct"/>
            <w:vAlign w:val="center"/>
          </w:tcPr>
          <w:p w14:paraId="4E014BAB" w14:textId="77777777" w:rsidR="005B1D79" w:rsidRPr="005E13B9" w:rsidRDefault="005B1D79" w:rsidP="00532BD2">
            <w:pPr>
              <w:widowControl/>
              <w:overflowPunct w:val="0"/>
              <w:adjustRightInd w:val="0"/>
              <w:snapToGrid w:val="0"/>
              <w:ind w:left="235" w:hangingChars="107" w:hanging="235"/>
              <w:rPr>
                <w:rFonts w:eastAsia="標楷體"/>
                <w:kern w:val="0"/>
                <w:sz w:val="22"/>
                <w:szCs w:val="22"/>
              </w:rPr>
            </w:pPr>
            <w:r w:rsidRPr="005E13B9">
              <w:rPr>
                <w:kern w:val="0"/>
                <w:sz w:val="22"/>
                <w:szCs w:val="22"/>
              </w:rPr>
              <w:t xml:space="preserve">Managers’ </w:t>
            </w:r>
            <w:r w:rsidR="0082626C" w:rsidRPr="005E13B9">
              <w:rPr>
                <w:rFonts w:hint="eastAsia"/>
                <w:kern w:val="0"/>
                <w:sz w:val="22"/>
                <w:szCs w:val="22"/>
              </w:rPr>
              <w:t>share</w:t>
            </w:r>
            <w:r w:rsidRPr="005E13B9">
              <w:rPr>
                <w:kern w:val="0"/>
                <w:sz w:val="22"/>
                <w:szCs w:val="22"/>
              </w:rPr>
              <w:t>holding ratio</w:t>
            </w:r>
          </w:p>
        </w:tc>
        <w:tc>
          <w:tcPr>
            <w:tcW w:w="618" w:type="pct"/>
            <w:vAlign w:val="center"/>
          </w:tcPr>
          <w:p w14:paraId="22C0B7EA"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vAlign w:val="center"/>
          </w:tcPr>
          <w:p w14:paraId="565C48D9" w14:textId="34866612"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1.104</w:t>
            </w:r>
          </w:p>
        </w:tc>
        <w:tc>
          <w:tcPr>
            <w:tcW w:w="619" w:type="pct"/>
            <w:vAlign w:val="center"/>
          </w:tcPr>
          <w:p w14:paraId="2D63998E" w14:textId="77777777" w:rsidR="005B1D79" w:rsidRPr="005E13B9" w:rsidRDefault="005B1D79" w:rsidP="001C65C7">
            <w:pPr>
              <w:widowControl/>
              <w:overflowPunct w:val="0"/>
              <w:adjustRightInd w:val="0"/>
              <w:snapToGrid w:val="0"/>
              <w:ind w:rightChars="50" w:right="120"/>
              <w:jc w:val="center"/>
              <w:rPr>
                <w:sz w:val="22"/>
                <w:szCs w:val="22"/>
              </w:rPr>
            </w:pPr>
            <w:r w:rsidRPr="005E13B9">
              <w:rPr>
                <w:sz w:val="22"/>
                <w:szCs w:val="22"/>
              </w:rPr>
              <w:t>0.28</w:t>
            </w:r>
          </w:p>
        </w:tc>
        <w:tc>
          <w:tcPr>
            <w:tcW w:w="618" w:type="pct"/>
            <w:vAlign w:val="center"/>
          </w:tcPr>
          <w:p w14:paraId="6106A590"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2.41</w:t>
            </w:r>
          </w:p>
        </w:tc>
        <w:tc>
          <w:tcPr>
            <w:tcW w:w="619" w:type="pct"/>
            <w:vAlign w:val="center"/>
          </w:tcPr>
          <w:p w14:paraId="570A825E"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4938300E"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44.49</w:t>
            </w:r>
          </w:p>
        </w:tc>
      </w:tr>
      <w:tr w:rsidR="006F104F" w:rsidRPr="005E13B9" w14:paraId="090A02B4" w14:textId="77777777" w:rsidTr="007875FC">
        <w:trPr>
          <w:trHeight w:val="276"/>
        </w:trPr>
        <w:tc>
          <w:tcPr>
            <w:tcW w:w="1288" w:type="pct"/>
            <w:vAlign w:val="center"/>
          </w:tcPr>
          <w:p w14:paraId="72F7CEA9" w14:textId="77777777" w:rsidR="005B1D79" w:rsidRPr="005E13B9" w:rsidRDefault="005B1D79" w:rsidP="00532BD2">
            <w:pPr>
              <w:widowControl/>
              <w:overflowPunct w:val="0"/>
              <w:adjustRightInd w:val="0"/>
              <w:snapToGrid w:val="0"/>
              <w:rPr>
                <w:rFonts w:eastAsia="標楷體"/>
                <w:kern w:val="0"/>
                <w:sz w:val="22"/>
                <w:szCs w:val="22"/>
              </w:rPr>
            </w:pPr>
            <w:r w:rsidRPr="005E13B9">
              <w:rPr>
                <w:kern w:val="0"/>
                <w:sz w:val="22"/>
                <w:szCs w:val="22"/>
              </w:rPr>
              <w:t>Directors’ pledge ratio</w:t>
            </w:r>
          </w:p>
        </w:tc>
        <w:tc>
          <w:tcPr>
            <w:tcW w:w="618" w:type="pct"/>
            <w:vAlign w:val="center"/>
          </w:tcPr>
          <w:p w14:paraId="27C015F8"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vAlign w:val="center"/>
          </w:tcPr>
          <w:p w14:paraId="0F178637" w14:textId="4E03F3E9"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9.27</w:t>
            </w:r>
            <w:r w:rsidR="00F16743" w:rsidRPr="005E13B9">
              <w:rPr>
                <w:sz w:val="22"/>
                <w:szCs w:val="22"/>
              </w:rPr>
              <w:t>8</w:t>
            </w:r>
          </w:p>
        </w:tc>
        <w:tc>
          <w:tcPr>
            <w:tcW w:w="619" w:type="pct"/>
            <w:vAlign w:val="center"/>
          </w:tcPr>
          <w:p w14:paraId="1484AB86"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8" w:type="pct"/>
            <w:vAlign w:val="center"/>
          </w:tcPr>
          <w:p w14:paraId="40B4E85B"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17.48</w:t>
            </w:r>
          </w:p>
        </w:tc>
        <w:tc>
          <w:tcPr>
            <w:tcW w:w="619" w:type="pct"/>
            <w:vAlign w:val="center"/>
          </w:tcPr>
          <w:p w14:paraId="7742B921"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55C53188" w14:textId="77777777" w:rsidR="005B1D79" w:rsidRPr="005E13B9" w:rsidRDefault="005B1D79" w:rsidP="001C65C7">
            <w:pPr>
              <w:widowControl/>
              <w:overflowPunct w:val="0"/>
              <w:adjustRightInd w:val="0"/>
              <w:snapToGrid w:val="0"/>
              <w:jc w:val="center"/>
              <w:rPr>
                <w:sz w:val="22"/>
                <w:szCs w:val="22"/>
              </w:rPr>
            </w:pPr>
            <w:r w:rsidRPr="005E13B9">
              <w:rPr>
                <w:sz w:val="22"/>
                <w:szCs w:val="22"/>
              </w:rPr>
              <w:t>100</w:t>
            </w:r>
          </w:p>
        </w:tc>
      </w:tr>
      <w:tr w:rsidR="006F104F" w:rsidRPr="005E13B9" w14:paraId="085BAF03" w14:textId="77777777" w:rsidTr="007875FC">
        <w:trPr>
          <w:trHeight w:val="281"/>
        </w:trPr>
        <w:tc>
          <w:tcPr>
            <w:tcW w:w="1288" w:type="pct"/>
            <w:vAlign w:val="center"/>
          </w:tcPr>
          <w:p w14:paraId="60167421" w14:textId="77777777" w:rsidR="005B1D79" w:rsidRPr="005E13B9" w:rsidRDefault="005B1D79" w:rsidP="00532BD2">
            <w:pPr>
              <w:widowControl/>
              <w:overflowPunct w:val="0"/>
              <w:adjustRightInd w:val="0"/>
              <w:snapToGrid w:val="0"/>
              <w:rPr>
                <w:rFonts w:eastAsia="標楷體"/>
                <w:kern w:val="0"/>
                <w:sz w:val="22"/>
                <w:szCs w:val="22"/>
              </w:rPr>
            </w:pPr>
            <w:r w:rsidRPr="005E13B9">
              <w:rPr>
                <w:sz w:val="22"/>
                <w:szCs w:val="22"/>
              </w:rPr>
              <w:t>CEO duality</w:t>
            </w:r>
            <w:r w:rsidRPr="005E13B9">
              <w:rPr>
                <w:rFonts w:eastAsia="標楷體"/>
                <w:kern w:val="0"/>
                <w:sz w:val="22"/>
                <w:szCs w:val="22"/>
              </w:rPr>
              <w:t xml:space="preserve"> dummy</w:t>
            </w:r>
          </w:p>
        </w:tc>
        <w:tc>
          <w:tcPr>
            <w:tcW w:w="618" w:type="pct"/>
            <w:vAlign w:val="center"/>
          </w:tcPr>
          <w:p w14:paraId="5871ED6E"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vAlign w:val="center"/>
          </w:tcPr>
          <w:p w14:paraId="25AE6DD4" w14:textId="61C803A3"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0.29</w:t>
            </w:r>
            <w:r w:rsidR="00F16743" w:rsidRPr="005E13B9">
              <w:rPr>
                <w:sz w:val="22"/>
                <w:szCs w:val="22"/>
              </w:rPr>
              <w:t>4</w:t>
            </w:r>
          </w:p>
        </w:tc>
        <w:tc>
          <w:tcPr>
            <w:tcW w:w="619" w:type="pct"/>
            <w:vAlign w:val="center"/>
          </w:tcPr>
          <w:p w14:paraId="2FB821D4"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8" w:type="pct"/>
            <w:vAlign w:val="center"/>
          </w:tcPr>
          <w:p w14:paraId="45F68441"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0.45</w:t>
            </w:r>
          </w:p>
        </w:tc>
        <w:tc>
          <w:tcPr>
            <w:tcW w:w="619" w:type="pct"/>
            <w:vAlign w:val="center"/>
          </w:tcPr>
          <w:p w14:paraId="1D3C7AF8"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vAlign w:val="center"/>
          </w:tcPr>
          <w:p w14:paraId="34464F44" w14:textId="77777777" w:rsidR="005B1D79" w:rsidRPr="005E13B9" w:rsidRDefault="005B1D79" w:rsidP="001C65C7">
            <w:pPr>
              <w:widowControl/>
              <w:overflowPunct w:val="0"/>
              <w:adjustRightInd w:val="0"/>
              <w:snapToGrid w:val="0"/>
              <w:jc w:val="center"/>
              <w:rPr>
                <w:sz w:val="22"/>
                <w:szCs w:val="22"/>
              </w:rPr>
            </w:pPr>
            <w:r w:rsidRPr="005E13B9">
              <w:rPr>
                <w:sz w:val="22"/>
                <w:szCs w:val="22"/>
              </w:rPr>
              <w:t>1</w:t>
            </w:r>
          </w:p>
        </w:tc>
      </w:tr>
      <w:tr w:rsidR="006F104F" w:rsidRPr="005E13B9" w14:paraId="5B971C36" w14:textId="77777777" w:rsidTr="007875FC">
        <w:trPr>
          <w:trHeight w:val="298"/>
        </w:trPr>
        <w:tc>
          <w:tcPr>
            <w:tcW w:w="1288" w:type="pct"/>
            <w:vAlign w:val="center"/>
          </w:tcPr>
          <w:p w14:paraId="4055A842" w14:textId="77777777" w:rsidR="005B1D79" w:rsidRPr="005E13B9" w:rsidRDefault="005B1D79" w:rsidP="00532BD2">
            <w:pPr>
              <w:widowControl/>
              <w:overflowPunct w:val="0"/>
              <w:adjustRightInd w:val="0"/>
              <w:snapToGrid w:val="0"/>
              <w:rPr>
                <w:rFonts w:eastAsia="標楷體"/>
                <w:kern w:val="0"/>
                <w:sz w:val="22"/>
                <w:szCs w:val="22"/>
              </w:rPr>
            </w:pPr>
            <w:r w:rsidRPr="005E13B9">
              <w:rPr>
                <w:kern w:val="0"/>
                <w:sz w:val="22"/>
                <w:szCs w:val="22"/>
              </w:rPr>
              <w:t>Board size</w:t>
            </w:r>
          </w:p>
        </w:tc>
        <w:tc>
          <w:tcPr>
            <w:tcW w:w="618" w:type="pct"/>
            <w:vAlign w:val="center"/>
          </w:tcPr>
          <w:p w14:paraId="3124BF39"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vAlign w:val="center"/>
          </w:tcPr>
          <w:p w14:paraId="69C8BFFA" w14:textId="5140708F"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7.423</w:t>
            </w:r>
          </w:p>
        </w:tc>
        <w:tc>
          <w:tcPr>
            <w:tcW w:w="619" w:type="pct"/>
            <w:vAlign w:val="center"/>
          </w:tcPr>
          <w:p w14:paraId="5579C498" w14:textId="77777777" w:rsidR="005B1D79" w:rsidRPr="005E13B9" w:rsidRDefault="005B1D79" w:rsidP="001C65C7">
            <w:pPr>
              <w:widowControl/>
              <w:overflowPunct w:val="0"/>
              <w:adjustRightInd w:val="0"/>
              <w:snapToGrid w:val="0"/>
              <w:jc w:val="center"/>
              <w:rPr>
                <w:sz w:val="22"/>
                <w:szCs w:val="22"/>
              </w:rPr>
            </w:pPr>
            <w:r w:rsidRPr="005E13B9">
              <w:rPr>
                <w:sz w:val="22"/>
                <w:szCs w:val="22"/>
              </w:rPr>
              <w:t>7</w:t>
            </w:r>
          </w:p>
        </w:tc>
        <w:tc>
          <w:tcPr>
            <w:tcW w:w="618" w:type="pct"/>
            <w:vAlign w:val="center"/>
          </w:tcPr>
          <w:p w14:paraId="3B77CED7"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2.44</w:t>
            </w:r>
          </w:p>
        </w:tc>
        <w:tc>
          <w:tcPr>
            <w:tcW w:w="619" w:type="pct"/>
            <w:vAlign w:val="center"/>
          </w:tcPr>
          <w:p w14:paraId="7E46DCDA" w14:textId="77777777" w:rsidR="005B1D79" w:rsidRPr="005E13B9" w:rsidRDefault="005B1D79" w:rsidP="001C65C7">
            <w:pPr>
              <w:widowControl/>
              <w:overflowPunct w:val="0"/>
              <w:adjustRightInd w:val="0"/>
              <w:snapToGrid w:val="0"/>
              <w:jc w:val="center"/>
              <w:rPr>
                <w:sz w:val="22"/>
                <w:szCs w:val="22"/>
              </w:rPr>
            </w:pPr>
            <w:r w:rsidRPr="005E13B9">
              <w:rPr>
                <w:sz w:val="22"/>
                <w:szCs w:val="22"/>
              </w:rPr>
              <w:t>2</w:t>
            </w:r>
          </w:p>
        </w:tc>
        <w:tc>
          <w:tcPr>
            <w:tcW w:w="619" w:type="pct"/>
            <w:vAlign w:val="center"/>
          </w:tcPr>
          <w:p w14:paraId="7F9393B9" w14:textId="77777777" w:rsidR="005B1D79" w:rsidRPr="005E13B9" w:rsidRDefault="005B1D79" w:rsidP="001C65C7">
            <w:pPr>
              <w:widowControl/>
              <w:overflowPunct w:val="0"/>
              <w:adjustRightInd w:val="0"/>
              <w:snapToGrid w:val="0"/>
              <w:jc w:val="center"/>
              <w:rPr>
                <w:sz w:val="22"/>
                <w:szCs w:val="22"/>
              </w:rPr>
            </w:pPr>
            <w:r w:rsidRPr="005E13B9">
              <w:rPr>
                <w:sz w:val="22"/>
                <w:szCs w:val="22"/>
              </w:rPr>
              <w:t>21</w:t>
            </w:r>
          </w:p>
        </w:tc>
      </w:tr>
      <w:tr w:rsidR="006F104F" w:rsidRPr="005E13B9" w14:paraId="044DFE14" w14:textId="77777777" w:rsidTr="007875FC">
        <w:trPr>
          <w:trHeight w:val="275"/>
        </w:trPr>
        <w:tc>
          <w:tcPr>
            <w:tcW w:w="1288" w:type="pct"/>
            <w:tcBorders>
              <w:bottom w:val="nil"/>
            </w:tcBorders>
            <w:vAlign w:val="center"/>
          </w:tcPr>
          <w:p w14:paraId="4F223522" w14:textId="77777777" w:rsidR="005B1D79" w:rsidRPr="005E13B9" w:rsidRDefault="005B1D79" w:rsidP="00532BD2">
            <w:pPr>
              <w:widowControl/>
              <w:overflowPunct w:val="0"/>
              <w:adjustRightInd w:val="0"/>
              <w:snapToGrid w:val="0"/>
              <w:rPr>
                <w:rFonts w:eastAsia="標楷體"/>
                <w:kern w:val="0"/>
                <w:sz w:val="22"/>
                <w:szCs w:val="22"/>
              </w:rPr>
            </w:pPr>
            <w:r w:rsidRPr="005E13B9">
              <w:rPr>
                <w:rFonts w:eastAsia="標楷體"/>
                <w:kern w:val="0"/>
                <w:sz w:val="22"/>
                <w:szCs w:val="22"/>
              </w:rPr>
              <w:t>Electronic dummy</w:t>
            </w:r>
          </w:p>
        </w:tc>
        <w:tc>
          <w:tcPr>
            <w:tcW w:w="618" w:type="pct"/>
            <w:tcBorders>
              <w:bottom w:val="nil"/>
            </w:tcBorders>
            <w:vAlign w:val="center"/>
          </w:tcPr>
          <w:p w14:paraId="6E5D3A4E"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tcBorders>
              <w:bottom w:val="nil"/>
            </w:tcBorders>
            <w:vAlign w:val="center"/>
          </w:tcPr>
          <w:p w14:paraId="0992C431" w14:textId="302B10D1"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0.477</w:t>
            </w:r>
          </w:p>
        </w:tc>
        <w:tc>
          <w:tcPr>
            <w:tcW w:w="619" w:type="pct"/>
            <w:tcBorders>
              <w:bottom w:val="nil"/>
            </w:tcBorders>
            <w:vAlign w:val="center"/>
          </w:tcPr>
          <w:p w14:paraId="5E7D3708"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8" w:type="pct"/>
            <w:tcBorders>
              <w:bottom w:val="nil"/>
            </w:tcBorders>
            <w:vAlign w:val="center"/>
          </w:tcPr>
          <w:p w14:paraId="04B526B2"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0.50</w:t>
            </w:r>
          </w:p>
        </w:tc>
        <w:tc>
          <w:tcPr>
            <w:tcW w:w="619" w:type="pct"/>
            <w:tcBorders>
              <w:bottom w:val="nil"/>
            </w:tcBorders>
            <w:vAlign w:val="center"/>
          </w:tcPr>
          <w:p w14:paraId="349A26A6" w14:textId="77777777" w:rsidR="005B1D79" w:rsidRPr="005E13B9" w:rsidRDefault="005B1D79" w:rsidP="001C65C7">
            <w:pPr>
              <w:widowControl/>
              <w:overflowPunct w:val="0"/>
              <w:adjustRightInd w:val="0"/>
              <w:snapToGrid w:val="0"/>
              <w:jc w:val="center"/>
              <w:rPr>
                <w:sz w:val="22"/>
                <w:szCs w:val="22"/>
              </w:rPr>
            </w:pPr>
            <w:r w:rsidRPr="005E13B9">
              <w:rPr>
                <w:sz w:val="22"/>
                <w:szCs w:val="22"/>
              </w:rPr>
              <w:t>0</w:t>
            </w:r>
          </w:p>
        </w:tc>
        <w:tc>
          <w:tcPr>
            <w:tcW w:w="619" w:type="pct"/>
            <w:tcBorders>
              <w:bottom w:val="nil"/>
            </w:tcBorders>
            <w:vAlign w:val="center"/>
          </w:tcPr>
          <w:p w14:paraId="18C979AF" w14:textId="77777777" w:rsidR="005B1D79" w:rsidRPr="005E13B9" w:rsidRDefault="005B1D79" w:rsidP="001C65C7">
            <w:pPr>
              <w:widowControl/>
              <w:overflowPunct w:val="0"/>
              <w:adjustRightInd w:val="0"/>
              <w:snapToGrid w:val="0"/>
              <w:jc w:val="center"/>
              <w:rPr>
                <w:sz w:val="22"/>
                <w:szCs w:val="22"/>
              </w:rPr>
            </w:pPr>
            <w:r w:rsidRPr="005E13B9">
              <w:rPr>
                <w:sz w:val="22"/>
                <w:szCs w:val="22"/>
              </w:rPr>
              <w:t>1</w:t>
            </w:r>
          </w:p>
        </w:tc>
      </w:tr>
      <w:tr w:rsidR="006F104F" w:rsidRPr="005E13B9" w14:paraId="596E9B7F" w14:textId="77777777" w:rsidTr="007875FC">
        <w:trPr>
          <w:trHeight w:val="255"/>
        </w:trPr>
        <w:tc>
          <w:tcPr>
            <w:tcW w:w="1288" w:type="pct"/>
            <w:tcBorders>
              <w:top w:val="nil"/>
              <w:bottom w:val="single" w:sz="12" w:space="0" w:color="auto"/>
            </w:tcBorders>
            <w:vAlign w:val="center"/>
          </w:tcPr>
          <w:p w14:paraId="3F18EE07" w14:textId="77777777" w:rsidR="005B1D79" w:rsidRPr="005E13B9" w:rsidRDefault="005B1D79" w:rsidP="00532BD2">
            <w:pPr>
              <w:widowControl/>
              <w:overflowPunct w:val="0"/>
              <w:adjustRightInd w:val="0"/>
              <w:snapToGrid w:val="0"/>
              <w:ind w:rightChars="-174" w:right="-418"/>
              <w:rPr>
                <w:rFonts w:eastAsia="標楷體"/>
                <w:kern w:val="0"/>
                <w:sz w:val="22"/>
                <w:szCs w:val="22"/>
              </w:rPr>
            </w:pPr>
            <w:r w:rsidRPr="005E13B9">
              <w:rPr>
                <w:rFonts w:eastAsia="標楷體"/>
                <w:kern w:val="0"/>
                <w:sz w:val="22"/>
                <w:szCs w:val="22"/>
              </w:rPr>
              <w:t>Firm scale</w:t>
            </w:r>
          </w:p>
        </w:tc>
        <w:tc>
          <w:tcPr>
            <w:tcW w:w="618" w:type="pct"/>
            <w:tcBorders>
              <w:top w:val="nil"/>
              <w:bottom w:val="single" w:sz="12" w:space="0" w:color="auto"/>
            </w:tcBorders>
            <w:vAlign w:val="center"/>
          </w:tcPr>
          <w:p w14:paraId="3A705531" w14:textId="77777777" w:rsidR="005B1D79" w:rsidRPr="005E13B9" w:rsidRDefault="005B1D79" w:rsidP="001C65C7">
            <w:pPr>
              <w:widowControl/>
              <w:overflowPunct w:val="0"/>
              <w:adjustRightInd w:val="0"/>
              <w:snapToGrid w:val="0"/>
              <w:jc w:val="center"/>
              <w:rPr>
                <w:sz w:val="22"/>
                <w:szCs w:val="22"/>
              </w:rPr>
            </w:pPr>
            <w:r w:rsidRPr="005E13B9">
              <w:rPr>
                <w:sz w:val="22"/>
                <w:szCs w:val="22"/>
              </w:rPr>
              <w:t>5733</w:t>
            </w:r>
          </w:p>
        </w:tc>
        <w:tc>
          <w:tcPr>
            <w:tcW w:w="619" w:type="pct"/>
            <w:tcBorders>
              <w:top w:val="nil"/>
              <w:bottom w:val="single" w:sz="12" w:space="0" w:color="auto"/>
            </w:tcBorders>
            <w:vAlign w:val="center"/>
          </w:tcPr>
          <w:p w14:paraId="0280F9B1" w14:textId="7F30E6DB" w:rsidR="005B1D79" w:rsidRPr="005E13B9" w:rsidRDefault="005B1D79" w:rsidP="00F16743">
            <w:pPr>
              <w:widowControl/>
              <w:overflowPunct w:val="0"/>
              <w:adjustRightInd w:val="0"/>
              <w:snapToGrid w:val="0"/>
              <w:ind w:rightChars="50" w:right="120"/>
              <w:jc w:val="right"/>
              <w:rPr>
                <w:sz w:val="22"/>
                <w:szCs w:val="22"/>
              </w:rPr>
            </w:pPr>
            <w:r w:rsidRPr="005E13B9">
              <w:rPr>
                <w:sz w:val="22"/>
                <w:szCs w:val="22"/>
              </w:rPr>
              <w:t>15.642</w:t>
            </w:r>
          </w:p>
        </w:tc>
        <w:tc>
          <w:tcPr>
            <w:tcW w:w="619" w:type="pct"/>
            <w:tcBorders>
              <w:top w:val="nil"/>
              <w:bottom w:val="single" w:sz="12" w:space="0" w:color="auto"/>
            </w:tcBorders>
            <w:vAlign w:val="center"/>
          </w:tcPr>
          <w:p w14:paraId="28F7BA51" w14:textId="77777777" w:rsidR="005B1D79" w:rsidRPr="005E13B9" w:rsidRDefault="005B1D79" w:rsidP="001C65C7">
            <w:pPr>
              <w:widowControl/>
              <w:overflowPunct w:val="0"/>
              <w:adjustRightInd w:val="0"/>
              <w:snapToGrid w:val="0"/>
              <w:ind w:rightChars="50" w:right="120"/>
              <w:jc w:val="center"/>
              <w:rPr>
                <w:sz w:val="22"/>
                <w:szCs w:val="22"/>
              </w:rPr>
            </w:pPr>
            <w:r w:rsidRPr="005E13B9">
              <w:rPr>
                <w:sz w:val="22"/>
                <w:szCs w:val="22"/>
              </w:rPr>
              <w:t>15.52</w:t>
            </w:r>
          </w:p>
        </w:tc>
        <w:tc>
          <w:tcPr>
            <w:tcW w:w="618" w:type="pct"/>
            <w:tcBorders>
              <w:top w:val="nil"/>
              <w:bottom w:val="single" w:sz="12" w:space="0" w:color="auto"/>
            </w:tcBorders>
            <w:vAlign w:val="center"/>
          </w:tcPr>
          <w:p w14:paraId="42B3860D"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1.47</w:t>
            </w:r>
          </w:p>
        </w:tc>
        <w:tc>
          <w:tcPr>
            <w:tcW w:w="619" w:type="pct"/>
            <w:tcBorders>
              <w:top w:val="nil"/>
              <w:bottom w:val="single" w:sz="12" w:space="0" w:color="auto"/>
            </w:tcBorders>
            <w:vAlign w:val="center"/>
          </w:tcPr>
          <w:p w14:paraId="7C2A7C48"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10.61</w:t>
            </w:r>
          </w:p>
        </w:tc>
        <w:tc>
          <w:tcPr>
            <w:tcW w:w="619" w:type="pct"/>
            <w:tcBorders>
              <w:top w:val="nil"/>
              <w:bottom w:val="single" w:sz="12" w:space="0" w:color="auto"/>
            </w:tcBorders>
            <w:vAlign w:val="center"/>
          </w:tcPr>
          <w:p w14:paraId="04EED504" w14:textId="77777777" w:rsidR="005B1D79" w:rsidRPr="005E13B9" w:rsidRDefault="005B1D79" w:rsidP="001C65C7">
            <w:pPr>
              <w:widowControl/>
              <w:overflowPunct w:val="0"/>
              <w:adjustRightInd w:val="0"/>
              <w:snapToGrid w:val="0"/>
              <w:ind w:rightChars="50" w:right="120"/>
              <w:jc w:val="right"/>
              <w:rPr>
                <w:sz w:val="22"/>
                <w:szCs w:val="22"/>
              </w:rPr>
            </w:pPr>
            <w:r w:rsidRPr="005E13B9">
              <w:rPr>
                <w:sz w:val="22"/>
                <w:szCs w:val="22"/>
              </w:rPr>
              <w:t>22.03</w:t>
            </w:r>
          </w:p>
        </w:tc>
      </w:tr>
    </w:tbl>
    <w:p w14:paraId="035034F3" w14:textId="58EEB648" w:rsidR="005B1D79" w:rsidRDefault="005B1D79" w:rsidP="001C65C7">
      <w:pPr>
        <w:overflowPunct w:val="0"/>
        <w:adjustRightInd w:val="0"/>
        <w:snapToGrid w:val="0"/>
        <w:ind w:firstLine="420"/>
        <w:jc w:val="both"/>
        <w:rPr>
          <w:rFonts w:ascii="Calibri" w:hAnsi="Calibri"/>
          <w:szCs w:val="22"/>
        </w:rPr>
      </w:pPr>
    </w:p>
    <w:p w14:paraId="58D3CA89" w14:textId="601495D5" w:rsidR="001C7172" w:rsidRPr="001C7172" w:rsidRDefault="001C7172" w:rsidP="001C7172">
      <w:pPr>
        <w:widowControl/>
        <w:ind w:firstLineChars="200" w:firstLine="520"/>
        <w:jc w:val="both"/>
        <w:rPr>
          <w:rFonts w:ascii="Calibri" w:hAnsi="Calibri"/>
          <w:szCs w:val="22"/>
        </w:rPr>
      </w:pPr>
      <w:r w:rsidRPr="005E13B9">
        <w:rPr>
          <w:kern w:val="0"/>
          <w:sz w:val="26"/>
          <w:szCs w:val="26"/>
        </w:rPr>
        <w:lastRenderedPageBreak/>
        <w:t xml:space="preserve">Table 2 reports the means, </w:t>
      </w:r>
      <w:r w:rsidRPr="005E13B9">
        <w:rPr>
          <w:sz w:val="26"/>
          <w:szCs w:val="26"/>
        </w:rPr>
        <w:t>medians</w:t>
      </w:r>
      <w:r w:rsidRPr="005E13B9">
        <w:rPr>
          <w:kern w:val="0"/>
          <w:sz w:val="26"/>
          <w:szCs w:val="26"/>
        </w:rPr>
        <w:t xml:space="preserve">, standard deviations, minima, and maxima of the dependent and independent variables. We explore whether </w:t>
      </w:r>
      <w:r w:rsidRPr="005E13B9">
        <w:rPr>
          <w:rFonts w:eastAsia="標楷體"/>
          <w:sz w:val="26"/>
          <w:szCs w:val="26"/>
          <w:shd w:val="clear" w:color="auto" w:fill="FFFFFF"/>
        </w:rPr>
        <w:t>the corporate name or industry category change would affect the shareholding of institutional investors</w:t>
      </w:r>
      <w:r w:rsidRPr="005E13B9">
        <w:rPr>
          <w:kern w:val="0"/>
          <w:sz w:val="26"/>
          <w:szCs w:val="26"/>
        </w:rPr>
        <w:t xml:space="preserve"> after incorporating financial statements, board structure, and others as controlling variables. The financial statement variables include </w:t>
      </w:r>
      <w:r w:rsidRPr="005E13B9">
        <w:rPr>
          <w:noProof/>
          <w:kern w:val="0"/>
          <w:sz w:val="26"/>
          <w:szCs w:val="26"/>
        </w:rPr>
        <w:t>the net</w:t>
      </w:r>
      <w:r w:rsidRPr="005E13B9">
        <w:rPr>
          <w:kern w:val="0"/>
          <w:sz w:val="26"/>
          <w:szCs w:val="26"/>
        </w:rPr>
        <w:t xml:space="preserve"> profit ratio defined as net profit over total sales, assets turnover ratio defined as total sales over total assets, </w:t>
      </w:r>
      <w:r w:rsidRPr="005E13B9">
        <w:rPr>
          <w:noProof/>
          <w:kern w:val="0"/>
          <w:sz w:val="26"/>
          <w:szCs w:val="26"/>
        </w:rPr>
        <w:t>and</w:t>
      </w:r>
      <w:r w:rsidRPr="005E13B9">
        <w:rPr>
          <w:kern w:val="0"/>
          <w:sz w:val="26"/>
          <w:szCs w:val="26"/>
        </w:rPr>
        <w:t xml:space="preserve"> debt ratio defined as total debts over total assets. The board structure variables include directors' shareholding ratio defined as total directors' shareholdings over total shares outstanding, managers' shareholding ratio defined as total managers' shareholdings over total shares outstanding, and directors' pledge ratio defined as directors' pledged shares over total directors' shareholdings. CEO duality dummy is set to 1 if the firms with CEO-Chair, otherwise, set to 0, board size defined as the total number of directors on the board, </w:t>
      </w:r>
      <w:r w:rsidRPr="005E13B9">
        <w:rPr>
          <w:noProof/>
          <w:kern w:val="0"/>
          <w:sz w:val="26"/>
          <w:szCs w:val="26"/>
        </w:rPr>
        <w:t>the electronic</w:t>
      </w:r>
      <w:r w:rsidRPr="005E13B9">
        <w:rPr>
          <w:kern w:val="0"/>
          <w:sz w:val="26"/>
          <w:szCs w:val="26"/>
        </w:rPr>
        <w:t xml:space="preserve"> dummy is set to 1 for electronic firms; otherwise, set to 0. </w:t>
      </w:r>
      <w:r w:rsidRPr="005E13B9">
        <w:rPr>
          <w:noProof/>
          <w:kern w:val="0"/>
          <w:sz w:val="26"/>
          <w:szCs w:val="26"/>
        </w:rPr>
        <w:t>The firm</w:t>
      </w:r>
      <w:r w:rsidRPr="005E13B9">
        <w:rPr>
          <w:kern w:val="0"/>
          <w:sz w:val="26"/>
          <w:szCs w:val="26"/>
        </w:rPr>
        <w:t xml:space="preserve"> scale is measured as the logarithm of the market value.</w:t>
      </w:r>
    </w:p>
    <w:p w14:paraId="4C471371" w14:textId="77777777" w:rsidR="001C7172" w:rsidRPr="005E13B9" w:rsidRDefault="001C7172" w:rsidP="001C65C7">
      <w:pPr>
        <w:overflowPunct w:val="0"/>
        <w:adjustRightInd w:val="0"/>
        <w:snapToGrid w:val="0"/>
        <w:ind w:firstLine="420"/>
        <w:jc w:val="both"/>
        <w:rPr>
          <w:rFonts w:ascii="Calibri" w:hAnsi="Calibri"/>
          <w:szCs w:val="22"/>
        </w:rPr>
      </w:pPr>
    </w:p>
    <w:p w14:paraId="370C11A4" w14:textId="77777777" w:rsidR="00562D71" w:rsidRPr="005E13B9" w:rsidRDefault="0013600E" w:rsidP="001C65C7">
      <w:pPr>
        <w:widowControl/>
        <w:overflowPunct w:val="0"/>
        <w:rPr>
          <w:rFonts w:ascii="Calibri" w:hAnsi="Calibri"/>
          <w:sz w:val="26"/>
          <w:szCs w:val="26"/>
        </w:rPr>
      </w:pPr>
      <w:r w:rsidRPr="005E13B9">
        <w:rPr>
          <w:b/>
          <w:sz w:val="26"/>
          <w:szCs w:val="26"/>
        </w:rPr>
        <w:t>Multip</w:t>
      </w:r>
      <w:r w:rsidR="004A4485" w:rsidRPr="005E13B9">
        <w:rPr>
          <w:b/>
          <w:sz w:val="26"/>
          <w:szCs w:val="26"/>
        </w:rPr>
        <w:t xml:space="preserve">le </w:t>
      </w:r>
      <w:r w:rsidR="00C16499" w:rsidRPr="005E13B9">
        <w:rPr>
          <w:b/>
          <w:sz w:val="26"/>
          <w:szCs w:val="26"/>
        </w:rPr>
        <w:t>Regression</w:t>
      </w:r>
      <w:r w:rsidR="00C16499" w:rsidRPr="005E13B9">
        <w:rPr>
          <w:rFonts w:eastAsia="標楷體"/>
          <w:b/>
          <w:sz w:val="26"/>
          <w:szCs w:val="26"/>
        </w:rPr>
        <w:t xml:space="preserve"> Models</w:t>
      </w:r>
    </w:p>
    <w:p w14:paraId="650D7F5E" w14:textId="6E75301C" w:rsidR="00264820" w:rsidRPr="005E13B9" w:rsidRDefault="0013600E" w:rsidP="001C65C7">
      <w:pPr>
        <w:overflowPunct w:val="0"/>
        <w:adjustRightInd w:val="0"/>
        <w:ind w:firstLineChars="200" w:firstLine="520"/>
        <w:jc w:val="both"/>
        <w:rPr>
          <w:sz w:val="26"/>
          <w:szCs w:val="26"/>
        </w:rPr>
      </w:pPr>
      <w:r w:rsidRPr="005E13B9">
        <w:rPr>
          <w:sz w:val="26"/>
          <w:szCs w:val="26"/>
        </w:rPr>
        <w:t xml:space="preserve">In this study, we employ multiple regression models to explore whether the shareholding of institutional investors would be affected by either </w:t>
      </w:r>
      <w:r w:rsidR="00572EF8" w:rsidRPr="005E13B9">
        <w:rPr>
          <w:sz w:val="26"/>
          <w:szCs w:val="26"/>
        </w:rPr>
        <w:t xml:space="preserve">corporate name </w:t>
      </w:r>
      <w:r w:rsidRPr="005E13B9">
        <w:rPr>
          <w:sz w:val="26"/>
          <w:szCs w:val="26"/>
        </w:rPr>
        <w:t xml:space="preserve">or industry </w:t>
      </w:r>
      <w:r w:rsidR="007474CA" w:rsidRPr="005E13B9">
        <w:rPr>
          <w:sz w:val="26"/>
          <w:szCs w:val="26"/>
        </w:rPr>
        <w:t>category</w:t>
      </w:r>
      <w:r w:rsidRPr="005E13B9">
        <w:rPr>
          <w:sz w:val="26"/>
          <w:szCs w:val="26"/>
        </w:rPr>
        <w:t xml:space="preserve"> change after incorporating financial statement</w:t>
      </w:r>
      <w:r w:rsidR="000552E7" w:rsidRPr="005E13B9">
        <w:rPr>
          <w:sz w:val="26"/>
          <w:szCs w:val="26"/>
        </w:rPr>
        <w:t>s</w:t>
      </w:r>
      <w:r w:rsidRPr="005E13B9">
        <w:rPr>
          <w:sz w:val="26"/>
          <w:szCs w:val="26"/>
        </w:rPr>
        <w:t>, board structure, and others as controlling variables</w:t>
      </w:r>
      <w:r w:rsidRPr="005E13B9">
        <w:rPr>
          <w:rStyle w:val="af9"/>
          <w:sz w:val="26"/>
          <w:szCs w:val="26"/>
        </w:rPr>
        <w:footnoteReference w:id="1"/>
      </w:r>
      <w:r w:rsidRPr="005E13B9">
        <w:rPr>
          <w:sz w:val="26"/>
          <w:szCs w:val="26"/>
        </w:rPr>
        <w:t>.</w:t>
      </w:r>
    </w:p>
    <w:p w14:paraId="6962D319" w14:textId="44024AA9" w:rsidR="00C46560" w:rsidRPr="005E13B9" w:rsidRDefault="00C46560" w:rsidP="00532BD2">
      <w:pPr>
        <w:overflowPunct w:val="0"/>
        <w:adjustRightInd w:val="0"/>
        <w:ind w:firstLineChars="200" w:firstLine="520"/>
        <w:jc w:val="both"/>
        <w:rPr>
          <w:rFonts w:eastAsia="標楷體"/>
          <w:sz w:val="26"/>
          <w:szCs w:val="26"/>
          <w:shd w:val="clear" w:color="auto" w:fill="FFFFFF"/>
        </w:rPr>
      </w:pPr>
      <w:r w:rsidRPr="005E13B9">
        <w:rPr>
          <w:rFonts w:eastAsia="標楷體"/>
          <w:sz w:val="26"/>
          <w:szCs w:val="26"/>
          <w:shd w:val="clear" w:color="auto" w:fill="FFFFFF"/>
        </w:rPr>
        <w:t>We explore whether the shareholding of institutional investors would be affected by a corporate name change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changing once and more than once</w:t>
      </w:r>
      <w:r w:rsidR="00532BD2" w:rsidRPr="005E13B9">
        <w:rPr>
          <w:rFonts w:eastAsia="標楷體"/>
          <w:sz w:val="26"/>
          <w:szCs w:val="26"/>
          <w:shd w:val="clear" w:color="auto" w:fill="FFFFFF"/>
        </w:rPr>
        <w:t>.</w:t>
      </w:r>
      <w:r w:rsidRPr="005E13B9">
        <w:rPr>
          <w:rFonts w:eastAsia="標楷體"/>
          <w:sz w:val="26"/>
          <w:szCs w:val="26"/>
          <w:shd w:val="clear" w:color="auto" w:fill="FFFFFF"/>
        </w:rPr>
        <w:t xml:space="preserve"> </w:t>
      </w:r>
      <w:r w:rsidR="00532BD2" w:rsidRPr="005E13B9">
        <w:rPr>
          <w:rFonts w:eastAsia="標楷體"/>
          <w:sz w:val="26"/>
          <w:szCs w:val="26"/>
          <w:shd w:val="clear" w:color="auto" w:fill="FFFFFF"/>
        </w:rPr>
        <w:t>T</w:t>
      </w:r>
      <w:r w:rsidRPr="005E13B9">
        <w:rPr>
          <w:rFonts w:eastAsia="標楷體"/>
          <w:sz w:val="26"/>
          <w:szCs w:val="26"/>
          <w:shd w:val="clear" w:color="auto" w:fill="FFFFFF"/>
        </w:rPr>
        <w:t xml:space="preserve">he results are shown </w:t>
      </w:r>
      <w:r w:rsidR="00532BD2" w:rsidRPr="005E13B9">
        <w:rPr>
          <w:rFonts w:eastAsia="標楷體"/>
          <w:sz w:val="26"/>
          <w:szCs w:val="26"/>
          <w:shd w:val="clear" w:color="auto" w:fill="FFFFFF"/>
        </w:rPr>
        <w:t>in</w:t>
      </w:r>
      <w:r w:rsidR="00D7076A" w:rsidRPr="005E13B9">
        <w:rPr>
          <w:rFonts w:eastAsia="標楷體"/>
          <w:sz w:val="26"/>
          <w:szCs w:val="26"/>
          <w:shd w:val="clear" w:color="auto" w:fill="FFFFFF"/>
        </w:rPr>
        <w:t xml:space="preserve"> Table 3 </w:t>
      </w:r>
      <w:r w:rsidRPr="005E13B9">
        <w:rPr>
          <w:rFonts w:eastAsia="標楷體"/>
          <w:sz w:val="26"/>
          <w:szCs w:val="26"/>
          <w:shd w:val="clear" w:color="auto" w:fill="FFFFFF"/>
        </w:rPr>
        <w:t xml:space="preserve">for the shareholding changes of foreign institutions, domestic institutions, and security dealers in Equations (1a) – (1c), respectively. </w:t>
      </w:r>
      <w:r w:rsidR="007033EA" w:rsidRPr="005E13B9">
        <w:rPr>
          <w:rFonts w:eastAsia="標楷體"/>
          <w:sz w:val="26"/>
          <w:szCs w:val="26"/>
          <w:shd w:val="clear" w:color="auto" w:fill="FFFFFF"/>
        </w:rPr>
        <w:t>W</w:t>
      </w:r>
      <w:r w:rsidRPr="005E13B9">
        <w:rPr>
          <w:rFonts w:eastAsia="標楷體"/>
          <w:sz w:val="26"/>
          <w:szCs w:val="26"/>
          <w:shd w:val="clear" w:color="auto" w:fill="FFFFFF"/>
        </w:rPr>
        <w:t xml:space="preserve">e </w:t>
      </w:r>
      <w:r w:rsidR="007033EA" w:rsidRPr="005E13B9">
        <w:rPr>
          <w:rFonts w:eastAsia="標楷體"/>
          <w:sz w:val="26"/>
          <w:szCs w:val="26"/>
          <w:shd w:val="clear" w:color="auto" w:fill="FFFFFF"/>
        </w:rPr>
        <w:t xml:space="preserve">also </w:t>
      </w:r>
      <w:r w:rsidRPr="005E13B9">
        <w:rPr>
          <w:rFonts w:eastAsia="標楷體"/>
          <w:sz w:val="26"/>
          <w:szCs w:val="26"/>
          <w:shd w:val="clear" w:color="auto" w:fill="FFFFFF"/>
        </w:rPr>
        <w:t>employ financial statement variables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net profit ratio, asset turnover ratio, and debt ratio, board structure variables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directors’ </w:t>
      </w:r>
      <w:r w:rsidRPr="005E13B9">
        <w:rPr>
          <w:rFonts w:eastAsia="標楷體" w:hint="eastAsia"/>
          <w:sz w:val="26"/>
          <w:szCs w:val="26"/>
          <w:shd w:val="clear" w:color="auto" w:fill="FFFFFF"/>
        </w:rPr>
        <w:t>share</w:t>
      </w:r>
      <w:r w:rsidRPr="005E13B9">
        <w:rPr>
          <w:rFonts w:eastAsia="標楷體"/>
          <w:sz w:val="26"/>
          <w:szCs w:val="26"/>
          <w:shd w:val="clear" w:color="auto" w:fill="FFFFFF"/>
        </w:rPr>
        <w:t xml:space="preserve">holding ratio, managers’ </w:t>
      </w:r>
      <w:r w:rsidRPr="005E13B9">
        <w:rPr>
          <w:rFonts w:eastAsia="標楷體" w:hint="eastAsia"/>
          <w:sz w:val="26"/>
          <w:szCs w:val="26"/>
          <w:shd w:val="clear" w:color="auto" w:fill="FFFFFF"/>
        </w:rPr>
        <w:t>share</w:t>
      </w:r>
      <w:r w:rsidRPr="005E13B9">
        <w:rPr>
          <w:rFonts w:eastAsia="標楷體"/>
          <w:sz w:val="26"/>
          <w:szCs w:val="26"/>
          <w:shd w:val="clear" w:color="auto" w:fill="FFFFFF"/>
        </w:rPr>
        <w:t xml:space="preserve">holding ratio, directors’ pledge ratio, CEO duality </w:t>
      </w:r>
      <w:r w:rsidRPr="005E13B9">
        <w:rPr>
          <w:rFonts w:eastAsia="標楷體"/>
          <w:kern w:val="0"/>
          <w:sz w:val="26"/>
          <w:szCs w:val="26"/>
        </w:rPr>
        <w:t>dummy</w:t>
      </w:r>
      <w:r w:rsidRPr="005E13B9">
        <w:rPr>
          <w:rFonts w:eastAsia="標楷體"/>
          <w:sz w:val="26"/>
          <w:szCs w:val="26"/>
          <w:shd w:val="clear" w:color="auto" w:fill="FFFFFF"/>
        </w:rPr>
        <w:t>, and board size, and others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w:t>
      </w:r>
      <w:r w:rsidRPr="005E13B9">
        <w:rPr>
          <w:rFonts w:eastAsia="標楷體"/>
          <w:noProof/>
          <w:kern w:val="0"/>
          <w:sz w:val="26"/>
          <w:szCs w:val="26"/>
        </w:rPr>
        <w:t>electronic</w:t>
      </w:r>
      <w:r w:rsidRPr="005E13B9">
        <w:rPr>
          <w:rFonts w:eastAsia="標楷體"/>
          <w:kern w:val="0"/>
          <w:sz w:val="26"/>
          <w:szCs w:val="26"/>
        </w:rPr>
        <w:t xml:space="preserve"> dummy</w:t>
      </w:r>
      <w:r w:rsidRPr="005E13B9">
        <w:rPr>
          <w:rFonts w:eastAsia="標楷體"/>
          <w:sz w:val="26"/>
          <w:szCs w:val="26"/>
          <w:shd w:val="clear" w:color="auto" w:fill="FFFFFF"/>
        </w:rPr>
        <w:t xml:space="preserve"> and firm scale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as </w:t>
      </w:r>
      <w:r w:rsidRPr="005E13B9">
        <w:rPr>
          <w:rFonts w:eastAsia="標楷體" w:hint="eastAsia"/>
          <w:sz w:val="26"/>
          <w:szCs w:val="26"/>
          <w:shd w:val="clear" w:color="auto" w:fill="FFFFFF"/>
        </w:rPr>
        <w:t xml:space="preserve">the </w:t>
      </w:r>
      <w:r w:rsidRPr="005E13B9">
        <w:rPr>
          <w:rFonts w:eastAsia="標楷體"/>
          <w:sz w:val="26"/>
          <w:szCs w:val="26"/>
          <w:shd w:val="clear" w:color="auto" w:fill="FFFFFF"/>
        </w:rPr>
        <w:t>controlling variables. The t-statistics are based on the standard errors that are adjusted by heteroscedasticity (White, 1980) in Columns (1a) – (1c). Statistical significance values at the 10%, 5%, and 1% levels are denoted by *, **, and ***, respectively.</w:t>
      </w:r>
    </w:p>
    <w:p w14:paraId="20C39411" w14:textId="77777777" w:rsidR="00AB5FDA" w:rsidRPr="005E13B9" w:rsidRDefault="00AB5FDA" w:rsidP="001C65C7">
      <w:pPr>
        <w:overflowPunct w:val="0"/>
        <w:adjustRightInd w:val="0"/>
        <w:snapToGrid w:val="0"/>
        <w:ind w:firstLineChars="200" w:firstLine="520"/>
        <w:jc w:val="both"/>
        <w:rPr>
          <w:sz w:val="26"/>
          <w:szCs w:val="26"/>
        </w:rPr>
      </w:pPr>
    </w:p>
    <w:p w14:paraId="659D9000" w14:textId="213CD867" w:rsidR="00AB5FDA" w:rsidRPr="005E13B9" w:rsidRDefault="005B1D79" w:rsidP="00532BD2">
      <w:pPr>
        <w:tabs>
          <w:tab w:val="left" w:pos="2354"/>
        </w:tabs>
        <w:overflowPunct w:val="0"/>
        <w:adjustRightInd w:val="0"/>
        <w:snapToGrid w:val="0"/>
        <w:jc w:val="center"/>
        <w:rPr>
          <w:rFonts w:eastAsia="標楷體"/>
          <w:sz w:val="20"/>
          <w:szCs w:val="20"/>
          <w:shd w:val="clear" w:color="auto" w:fill="FFFFFF"/>
        </w:rPr>
      </w:pPr>
      <w:r w:rsidRPr="005E13B9">
        <w:rPr>
          <w:rFonts w:eastAsia="標楷體"/>
          <w:b/>
          <w:sz w:val="26"/>
          <w:szCs w:val="26"/>
        </w:rPr>
        <w:lastRenderedPageBreak/>
        <w:t>Table 3</w:t>
      </w:r>
      <w:r w:rsidR="006C7AFA" w:rsidRPr="005E13B9">
        <w:rPr>
          <w:rFonts w:eastAsia="標楷體"/>
          <w:b/>
          <w:sz w:val="26"/>
          <w:szCs w:val="26"/>
        </w:rPr>
        <w:t xml:space="preserve"> </w:t>
      </w:r>
      <w:r w:rsidR="00532BD2" w:rsidRPr="005E13B9">
        <w:rPr>
          <w:rFonts w:eastAsia="標楷體"/>
          <w:b/>
          <w:sz w:val="26"/>
          <w:szCs w:val="26"/>
        </w:rPr>
        <w:t xml:space="preserve"> </w:t>
      </w:r>
      <w:r w:rsidRPr="005E13B9">
        <w:rPr>
          <w:rFonts w:eastAsia="標楷體"/>
          <w:b/>
          <w:sz w:val="26"/>
          <w:szCs w:val="26"/>
        </w:rPr>
        <w:t xml:space="preserve">Results for </w:t>
      </w:r>
      <w:r w:rsidR="00E76E0C" w:rsidRPr="005E13B9">
        <w:rPr>
          <w:b/>
          <w:sz w:val="26"/>
          <w:szCs w:val="26"/>
        </w:rPr>
        <w:t>Multiple Regression Model</w:t>
      </w:r>
      <w:r w:rsidRPr="005E13B9">
        <w:rPr>
          <w:b/>
          <w:sz w:val="26"/>
          <w:szCs w:val="26"/>
        </w:rPr>
        <w:t xml:space="preserve">s in </w:t>
      </w:r>
      <w:r w:rsidR="00E76E0C" w:rsidRPr="005E13B9">
        <w:rPr>
          <w:b/>
          <w:sz w:val="26"/>
          <w:szCs w:val="26"/>
        </w:rPr>
        <w:t xml:space="preserve">Terms </w:t>
      </w:r>
      <w:r w:rsidRPr="005E13B9">
        <w:rPr>
          <w:b/>
          <w:sz w:val="26"/>
          <w:szCs w:val="26"/>
        </w:rPr>
        <w:t xml:space="preserve">of </w:t>
      </w:r>
      <w:r w:rsidR="0082626C" w:rsidRPr="005E13B9">
        <w:rPr>
          <w:rFonts w:hint="eastAsia"/>
          <w:b/>
          <w:sz w:val="26"/>
          <w:szCs w:val="26"/>
        </w:rPr>
        <w:t xml:space="preserve">the </w:t>
      </w:r>
      <w:r w:rsidRPr="005E13B9">
        <w:rPr>
          <w:b/>
          <w:noProof/>
          <w:sz w:val="26"/>
          <w:szCs w:val="26"/>
        </w:rPr>
        <w:t>c</w:t>
      </w:r>
      <w:r w:rsidR="00E76E0C" w:rsidRPr="005E13B9">
        <w:rPr>
          <w:b/>
          <w:noProof/>
          <w:sz w:val="26"/>
          <w:szCs w:val="26"/>
        </w:rPr>
        <w:t>orporate</w:t>
      </w:r>
      <w:r w:rsidR="00E76E0C" w:rsidRPr="005E13B9">
        <w:rPr>
          <w:b/>
          <w:sz w:val="26"/>
          <w:szCs w:val="26"/>
        </w:rPr>
        <w:t xml:space="preserve"> Name </w:t>
      </w:r>
      <w:r w:rsidR="00E76E0C" w:rsidRPr="005E13B9">
        <w:rPr>
          <w:b/>
          <w:kern w:val="0"/>
          <w:sz w:val="26"/>
          <w:szCs w:val="26"/>
        </w:rPr>
        <w:t>Change</w:t>
      </w:r>
    </w:p>
    <w:tbl>
      <w:tblPr>
        <w:tblW w:w="5000" w:type="pct"/>
        <w:tblBorders>
          <w:top w:val="double" w:sz="4" w:space="0" w:color="auto"/>
          <w:bottom w:val="double" w:sz="4" w:space="0" w:color="auto"/>
        </w:tblBorders>
        <w:tblCellMar>
          <w:left w:w="0" w:type="dxa"/>
          <w:right w:w="0" w:type="dxa"/>
        </w:tblCellMar>
        <w:tblLook w:val="0000" w:firstRow="0" w:lastRow="0" w:firstColumn="0" w:lastColumn="0" w:noHBand="0" w:noVBand="0"/>
      </w:tblPr>
      <w:tblGrid>
        <w:gridCol w:w="2625"/>
        <w:gridCol w:w="2579"/>
        <w:gridCol w:w="2031"/>
        <w:gridCol w:w="1791"/>
      </w:tblGrid>
      <w:tr w:rsidR="006F104F" w:rsidRPr="005E13B9" w14:paraId="62C26B1E" w14:textId="77777777" w:rsidTr="006C7AFA">
        <w:trPr>
          <w:cantSplit/>
          <w:trHeight w:hRule="exact" w:val="375"/>
        </w:trPr>
        <w:tc>
          <w:tcPr>
            <w:tcW w:w="5000" w:type="pct"/>
            <w:gridSpan w:val="4"/>
            <w:tcBorders>
              <w:top w:val="single" w:sz="12" w:space="0" w:color="auto"/>
              <w:bottom w:val="single" w:sz="4" w:space="0" w:color="auto"/>
            </w:tcBorders>
            <w:noWrap/>
            <w:tcMar>
              <w:top w:w="14" w:type="dxa"/>
              <w:left w:w="14" w:type="dxa"/>
              <w:bottom w:w="0" w:type="dxa"/>
              <w:right w:w="14" w:type="dxa"/>
            </w:tcMar>
            <w:vAlign w:val="center"/>
          </w:tcPr>
          <w:p w14:paraId="4024E718" w14:textId="77777777" w:rsidR="005B1D79" w:rsidRPr="005E13B9" w:rsidRDefault="005B1D79" w:rsidP="001C65C7">
            <w:pPr>
              <w:widowControl/>
              <w:overflowPunct w:val="0"/>
              <w:adjustRightInd w:val="0"/>
              <w:snapToGrid w:val="0"/>
              <w:rPr>
                <w:rFonts w:eastAsia="標楷體"/>
                <w:sz w:val="22"/>
                <w:szCs w:val="22"/>
              </w:rPr>
            </w:pPr>
            <w:r w:rsidRPr="005E13B9">
              <w:rPr>
                <w:rFonts w:eastAsia="標楷體"/>
                <w:kern w:val="0"/>
                <w:sz w:val="22"/>
                <w:szCs w:val="22"/>
              </w:rPr>
              <w:t>Dependent</w:t>
            </w:r>
            <w:r w:rsidRPr="005E13B9">
              <w:rPr>
                <w:rFonts w:eastAsia="標楷體"/>
                <w:sz w:val="22"/>
                <w:szCs w:val="22"/>
              </w:rPr>
              <w:t xml:space="preserve"> variable</w:t>
            </w:r>
            <w:r w:rsidRPr="005E13B9">
              <w:rPr>
                <w:rFonts w:eastAsia="標楷體" w:hint="eastAsia"/>
                <w:sz w:val="22"/>
                <w:szCs w:val="22"/>
              </w:rPr>
              <w:t>：</w:t>
            </w:r>
            <w:r w:rsidRPr="005E13B9">
              <w:rPr>
                <w:rFonts w:eastAsia="標楷體"/>
                <w:sz w:val="22"/>
                <w:szCs w:val="22"/>
              </w:rPr>
              <w:t>S</w:t>
            </w:r>
            <w:r w:rsidRPr="005E13B9">
              <w:rPr>
                <w:sz w:val="22"/>
                <w:szCs w:val="22"/>
              </w:rPr>
              <w:t>hareholding of institutional investors</w:t>
            </w:r>
          </w:p>
        </w:tc>
      </w:tr>
      <w:tr w:rsidR="006F104F" w:rsidRPr="005E13B9" w14:paraId="07D07172" w14:textId="77777777" w:rsidTr="00FC6142">
        <w:trPr>
          <w:cantSplit/>
          <w:trHeight w:hRule="exact" w:val="1077"/>
        </w:trPr>
        <w:tc>
          <w:tcPr>
            <w:tcW w:w="1454" w:type="pct"/>
            <w:tcBorders>
              <w:top w:val="single" w:sz="4" w:space="0" w:color="auto"/>
              <w:bottom w:val="single" w:sz="4" w:space="0" w:color="auto"/>
            </w:tcBorders>
            <w:noWrap/>
            <w:tcMar>
              <w:top w:w="14" w:type="dxa"/>
              <w:left w:w="14" w:type="dxa"/>
              <w:bottom w:w="0" w:type="dxa"/>
              <w:right w:w="14" w:type="dxa"/>
            </w:tcMar>
            <w:vAlign w:val="center"/>
          </w:tcPr>
          <w:p w14:paraId="57945136" w14:textId="77777777" w:rsidR="005B1D79" w:rsidRPr="005E13B9" w:rsidRDefault="005B1D79" w:rsidP="001C65C7">
            <w:pPr>
              <w:overflowPunct w:val="0"/>
              <w:adjustRightInd w:val="0"/>
              <w:snapToGrid w:val="0"/>
              <w:rPr>
                <w:rFonts w:eastAsia="標楷體"/>
                <w:sz w:val="22"/>
                <w:szCs w:val="22"/>
              </w:rPr>
            </w:pPr>
            <w:r w:rsidRPr="005E13B9">
              <w:rPr>
                <w:rFonts w:eastAsia="標楷體"/>
                <w:sz w:val="22"/>
                <w:szCs w:val="22"/>
              </w:rPr>
              <w:t>Independent variable</w:t>
            </w:r>
          </w:p>
        </w:tc>
        <w:tc>
          <w:tcPr>
            <w:tcW w:w="1429" w:type="pct"/>
            <w:tcBorders>
              <w:top w:val="single" w:sz="4" w:space="0" w:color="auto"/>
              <w:bottom w:val="single" w:sz="4" w:space="0" w:color="auto"/>
            </w:tcBorders>
            <w:noWrap/>
            <w:tcMar>
              <w:top w:w="14" w:type="dxa"/>
              <w:left w:w="14" w:type="dxa"/>
              <w:bottom w:w="0" w:type="dxa"/>
              <w:right w:w="14" w:type="dxa"/>
            </w:tcMar>
          </w:tcPr>
          <w:p w14:paraId="6FFC735C" w14:textId="77777777" w:rsidR="005B1D79" w:rsidRPr="005E13B9" w:rsidRDefault="005B1D79" w:rsidP="00D7076A">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1a</w:t>
            </w:r>
            <w:r w:rsidRPr="005E13B9">
              <w:rPr>
                <w:rFonts w:eastAsia="標楷體" w:hint="eastAsia"/>
                <w:sz w:val="22"/>
                <w:szCs w:val="22"/>
              </w:rPr>
              <w:t>）</w:t>
            </w:r>
          </w:p>
          <w:p w14:paraId="42E27C18" w14:textId="77777777" w:rsidR="005B1D79" w:rsidRPr="005E13B9" w:rsidRDefault="005B1D79" w:rsidP="00D7076A">
            <w:pPr>
              <w:overflowPunct w:val="0"/>
              <w:adjustRightInd w:val="0"/>
              <w:snapToGrid w:val="0"/>
              <w:jc w:val="center"/>
              <w:rPr>
                <w:sz w:val="22"/>
                <w:szCs w:val="22"/>
              </w:rPr>
            </w:pPr>
            <w:r w:rsidRPr="005E13B9">
              <w:rPr>
                <w:sz w:val="22"/>
                <w:szCs w:val="22"/>
              </w:rPr>
              <w:t>Shareholding change</w:t>
            </w:r>
          </w:p>
          <w:p w14:paraId="05BF7F50" w14:textId="77777777" w:rsidR="005B1D79" w:rsidRPr="005E13B9" w:rsidRDefault="005B1D79" w:rsidP="00D7076A">
            <w:pPr>
              <w:overflowPunct w:val="0"/>
              <w:adjustRightInd w:val="0"/>
              <w:snapToGrid w:val="0"/>
              <w:jc w:val="center"/>
              <w:rPr>
                <w:rFonts w:eastAsia="標楷體"/>
                <w:sz w:val="22"/>
                <w:szCs w:val="22"/>
              </w:rPr>
            </w:pPr>
            <w:r w:rsidRPr="005E13B9">
              <w:rPr>
                <w:sz w:val="22"/>
                <w:szCs w:val="22"/>
              </w:rPr>
              <w:t>of foreign institutions</w:t>
            </w:r>
          </w:p>
        </w:tc>
        <w:tc>
          <w:tcPr>
            <w:tcW w:w="1125" w:type="pct"/>
            <w:tcBorders>
              <w:top w:val="single" w:sz="4" w:space="0" w:color="auto"/>
              <w:bottom w:val="single" w:sz="4" w:space="0" w:color="auto"/>
            </w:tcBorders>
          </w:tcPr>
          <w:p w14:paraId="1E83C455" w14:textId="77777777" w:rsidR="005B1D79" w:rsidRPr="005E13B9" w:rsidRDefault="005B1D79" w:rsidP="00D7076A">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1b</w:t>
            </w:r>
            <w:r w:rsidRPr="005E13B9">
              <w:rPr>
                <w:rFonts w:eastAsia="標楷體" w:hint="eastAsia"/>
                <w:sz w:val="22"/>
                <w:szCs w:val="22"/>
              </w:rPr>
              <w:t>）</w:t>
            </w:r>
          </w:p>
          <w:p w14:paraId="400FA10F" w14:textId="77777777" w:rsidR="005B1D79" w:rsidRPr="005E13B9" w:rsidRDefault="005B1D79" w:rsidP="00D7076A">
            <w:pPr>
              <w:overflowPunct w:val="0"/>
              <w:adjustRightInd w:val="0"/>
              <w:snapToGrid w:val="0"/>
              <w:jc w:val="center"/>
              <w:rPr>
                <w:sz w:val="22"/>
                <w:szCs w:val="22"/>
              </w:rPr>
            </w:pPr>
            <w:r w:rsidRPr="005E13B9">
              <w:rPr>
                <w:sz w:val="22"/>
                <w:szCs w:val="22"/>
              </w:rPr>
              <w:t>Shareholding change</w:t>
            </w:r>
          </w:p>
          <w:p w14:paraId="32A28E6C" w14:textId="77777777" w:rsidR="005B1D79" w:rsidRPr="005E13B9" w:rsidRDefault="005B1D79" w:rsidP="00D7076A">
            <w:pPr>
              <w:overflowPunct w:val="0"/>
              <w:adjustRightInd w:val="0"/>
              <w:snapToGrid w:val="0"/>
              <w:jc w:val="center"/>
              <w:rPr>
                <w:rFonts w:eastAsia="標楷體"/>
                <w:sz w:val="22"/>
                <w:szCs w:val="22"/>
              </w:rPr>
            </w:pPr>
            <w:r w:rsidRPr="005E13B9">
              <w:rPr>
                <w:sz w:val="22"/>
                <w:szCs w:val="22"/>
              </w:rPr>
              <w:t xml:space="preserve">of </w:t>
            </w:r>
            <w:r w:rsidRPr="005E13B9">
              <w:rPr>
                <w:rFonts w:eastAsia="標楷體"/>
                <w:sz w:val="22"/>
                <w:szCs w:val="22"/>
              </w:rPr>
              <w:t>domestic institutions</w:t>
            </w:r>
          </w:p>
        </w:tc>
        <w:tc>
          <w:tcPr>
            <w:tcW w:w="992" w:type="pct"/>
            <w:tcBorders>
              <w:top w:val="single" w:sz="4" w:space="0" w:color="auto"/>
              <w:bottom w:val="single" w:sz="4" w:space="0" w:color="auto"/>
            </w:tcBorders>
          </w:tcPr>
          <w:p w14:paraId="213E9423" w14:textId="77777777" w:rsidR="005B1D79" w:rsidRPr="005E13B9" w:rsidRDefault="005B1D79" w:rsidP="00D7076A">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1c</w:t>
            </w:r>
            <w:r w:rsidRPr="005E13B9">
              <w:rPr>
                <w:rFonts w:eastAsia="標楷體" w:hint="eastAsia"/>
                <w:sz w:val="22"/>
                <w:szCs w:val="22"/>
              </w:rPr>
              <w:t>）</w:t>
            </w:r>
          </w:p>
          <w:p w14:paraId="78C5C074" w14:textId="77777777" w:rsidR="005B1D79" w:rsidRPr="005E13B9" w:rsidRDefault="005B1D79" w:rsidP="00D7076A">
            <w:pPr>
              <w:overflowPunct w:val="0"/>
              <w:adjustRightInd w:val="0"/>
              <w:snapToGrid w:val="0"/>
              <w:jc w:val="center"/>
              <w:rPr>
                <w:sz w:val="22"/>
                <w:szCs w:val="22"/>
              </w:rPr>
            </w:pPr>
            <w:r w:rsidRPr="005E13B9">
              <w:rPr>
                <w:sz w:val="22"/>
                <w:szCs w:val="22"/>
              </w:rPr>
              <w:t>Shareholding change</w:t>
            </w:r>
          </w:p>
          <w:p w14:paraId="557515C1" w14:textId="77777777" w:rsidR="005B1D79" w:rsidRPr="005E13B9" w:rsidRDefault="005B1D79" w:rsidP="00D7076A">
            <w:pPr>
              <w:overflowPunct w:val="0"/>
              <w:adjustRightInd w:val="0"/>
              <w:snapToGrid w:val="0"/>
              <w:jc w:val="center"/>
              <w:rPr>
                <w:rFonts w:eastAsia="標楷體"/>
                <w:sz w:val="22"/>
                <w:szCs w:val="22"/>
              </w:rPr>
            </w:pPr>
            <w:r w:rsidRPr="005E13B9">
              <w:rPr>
                <w:rFonts w:eastAsia="標楷體"/>
                <w:sz w:val="22"/>
                <w:szCs w:val="22"/>
              </w:rPr>
              <w:t>of security dealers</w:t>
            </w:r>
          </w:p>
        </w:tc>
      </w:tr>
      <w:tr w:rsidR="006F104F" w:rsidRPr="005E13B9" w14:paraId="2AAB0BCC" w14:textId="77777777" w:rsidTr="006C7AFA">
        <w:trPr>
          <w:cantSplit/>
          <w:trHeight w:hRule="exact" w:val="283"/>
        </w:trPr>
        <w:tc>
          <w:tcPr>
            <w:tcW w:w="1454" w:type="pct"/>
            <w:tcBorders>
              <w:top w:val="single" w:sz="4" w:space="0" w:color="auto"/>
              <w:bottom w:val="nil"/>
            </w:tcBorders>
            <w:noWrap/>
            <w:tcMar>
              <w:top w:w="14" w:type="dxa"/>
              <w:left w:w="14" w:type="dxa"/>
              <w:bottom w:w="0" w:type="dxa"/>
              <w:right w:w="14" w:type="dxa"/>
            </w:tcMar>
            <w:vAlign w:val="center"/>
          </w:tcPr>
          <w:p w14:paraId="629CDE34"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 xml:space="preserve">Corporate name change once </w:t>
            </w:r>
          </w:p>
        </w:tc>
        <w:tc>
          <w:tcPr>
            <w:tcW w:w="1429" w:type="pct"/>
            <w:tcBorders>
              <w:top w:val="single" w:sz="4" w:space="0" w:color="auto"/>
              <w:bottom w:val="nil"/>
            </w:tcBorders>
            <w:noWrap/>
            <w:tcMar>
              <w:top w:w="14" w:type="dxa"/>
              <w:left w:w="14" w:type="dxa"/>
              <w:bottom w:w="0" w:type="dxa"/>
              <w:right w:w="14" w:type="dxa"/>
            </w:tcMar>
            <w:vAlign w:val="center"/>
          </w:tcPr>
          <w:p w14:paraId="37056F25" w14:textId="2B3EAC7C"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-0.41</w:t>
            </w:r>
            <w:r w:rsidR="00B34BB7" w:rsidRPr="005E13B9">
              <w:rPr>
                <w:rFonts w:eastAsia="標楷體"/>
                <w:sz w:val="22"/>
                <w:szCs w:val="22"/>
              </w:rPr>
              <w:t>1</w:t>
            </w:r>
          </w:p>
        </w:tc>
        <w:tc>
          <w:tcPr>
            <w:tcW w:w="1125" w:type="pct"/>
            <w:tcBorders>
              <w:top w:val="single" w:sz="4" w:space="0" w:color="auto"/>
              <w:bottom w:val="nil"/>
            </w:tcBorders>
            <w:vAlign w:val="center"/>
          </w:tcPr>
          <w:p w14:paraId="6685BAC0" w14:textId="342EA74A"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-0.096</w:t>
            </w:r>
          </w:p>
        </w:tc>
        <w:tc>
          <w:tcPr>
            <w:tcW w:w="992" w:type="pct"/>
            <w:tcBorders>
              <w:top w:val="single" w:sz="4" w:space="0" w:color="auto"/>
              <w:bottom w:val="nil"/>
            </w:tcBorders>
            <w:vAlign w:val="center"/>
          </w:tcPr>
          <w:p w14:paraId="335A4F90" w14:textId="68FA0A44"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0.10</w:t>
            </w:r>
            <w:r w:rsidR="00B34BB7" w:rsidRPr="005E13B9">
              <w:rPr>
                <w:rFonts w:eastAsia="標楷體"/>
                <w:sz w:val="22"/>
                <w:szCs w:val="22"/>
              </w:rPr>
              <w:t>6</w:t>
            </w:r>
            <w:r w:rsidRPr="005E13B9">
              <w:rPr>
                <w:rFonts w:eastAsia="標楷體"/>
                <w:sz w:val="22"/>
                <w:szCs w:val="22"/>
              </w:rPr>
              <w:t>***</w:t>
            </w:r>
          </w:p>
        </w:tc>
      </w:tr>
      <w:tr w:rsidR="006F104F" w:rsidRPr="005E13B9" w14:paraId="5FCBCDC6"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7EF06BB2" w14:textId="77777777" w:rsidR="005B1D79" w:rsidRPr="005E13B9" w:rsidRDefault="005B1D79" w:rsidP="001C65C7">
            <w:pPr>
              <w:widowControl/>
              <w:overflowPunct w:val="0"/>
              <w:adjustRightInd w:val="0"/>
              <w:snapToGrid w:val="0"/>
              <w:ind w:firstLineChars="142" w:firstLine="312"/>
              <w:rPr>
                <w:rFonts w:eastAsia="標楷體"/>
                <w:kern w:val="0"/>
                <w:sz w:val="22"/>
                <w:szCs w:val="22"/>
              </w:rPr>
            </w:pPr>
            <w:r w:rsidRPr="005E13B9">
              <w:rPr>
                <w:kern w:val="0"/>
                <w:sz w:val="22"/>
                <w:szCs w:val="22"/>
              </w:rPr>
              <w:t>dummy</w:t>
            </w:r>
          </w:p>
        </w:tc>
        <w:tc>
          <w:tcPr>
            <w:tcW w:w="1429" w:type="pct"/>
            <w:tcBorders>
              <w:top w:val="nil"/>
              <w:bottom w:val="nil"/>
            </w:tcBorders>
            <w:noWrap/>
            <w:tcMar>
              <w:top w:w="14" w:type="dxa"/>
              <w:left w:w="14" w:type="dxa"/>
              <w:bottom w:w="0" w:type="dxa"/>
              <w:right w:w="14" w:type="dxa"/>
            </w:tcMar>
            <w:vAlign w:val="center"/>
          </w:tcPr>
          <w:p w14:paraId="68607CA7" w14:textId="449FB37D"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0.42</w:t>
            </w:r>
            <w:r w:rsidR="00B34BB7" w:rsidRPr="005E13B9">
              <w:rPr>
                <w:rFonts w:eastAsia="標楷體"/>
                <w:sz w:val="22"/>
                <w:szCs w:val="22"/>
              </w:rPr>
              <w:t>6</w:t>
            </w:r>
            <w:r w:rsidRPr="005E13B9">
              <w:rPr>
                <w:rFonts w:eastAsia="標楷體" w:hint="eastAsia"/>
                <w:sz w:val="22"/>
                <w:szCs w:val="22"/>
              </w:rPr>
              <w:t>)</w:t>
            </w:r>
          </w:p>
        </w:tc>
        <w:tc>
          <w:tcPr>
            <w:tcW w:w="1125" w:type="pct"/>
            <w:tcBorders>
              <w:top w:val="nil"/>
              <w:bottom w:val="nil"/>
            </w:tcBorders>
            <w:vAlign w:val="center"/>
          </w:tcPr>
          <w:p w14:paraId="589B0F92" w14:textId="4BA1B04F"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0.075</w:t>
            </w:r>
            <w:r w:rsidRPr="005E13B9">
              <w:rPr>
                <w:rFonts w:eastAsia="標楷體" w:hint="eastAsia"/>
                <w:sz w:val="22"/>
                <w:szCs w:val="22"/>
              </w:rPr>
              <w:t>)</w:t>
            </w:r>
          </w:p>
        </w:tc>
        <w:tc>
          <w:tcPr>
            <w:tcW w:w="992" w:type="pct"/>
            <w:tcBorders>
              <w:top w:val="nil"/>
              <w:bottom w:val="nil"/>
            </w:tcBorders>
            <w:vAlign w:val="center"/>
          </w:tcPr>
          <w:p w14:paraId="4FB14C60" w14:textId="0D40F987"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0.029</w:t>
            </w:r>
            <w:r w:rsidRPr="005E13B9">
              <w:rPr>
                <w:rFonts w:eastAsia="標楷體" w:hint="eastAsia"/>
                <w:sz w:val="22"/>
                <w:szCs w:val="22"/>
              </w:rPr>
              <w:t>)</w:t>
            </w:r>
          </w:p>
        </w:tc>
      </w:tr>
      <w:tr w:rsidR="006F104F" w:rsidRPr="005E13B9" w14:paraId="394F91D3"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28A20909"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Corporate name change more</w:t>
            </w:r>
          </w:p>
        </w:tc>
        <w:tc>
          <w:tcPr>
            <w:tcW w:w="1429" w:type="pct"/>
            <w:tcBorders>
              <w:top w:val="nil"/>
              <w:bottom w:val="nil"/>
            </w:tcBorders>
            <w:noWrap/>
            <w:tcMar>
              <w:top w:w="14" w:type="dxa"/>
              <w:left w:w="14" w:type="dxa"/>
              <w:bottom w:w="0" w:type="dxa"/>
              <w:right w:w="14" w:type="dxa"/>
            </w:tcMar>
            <w:vAlign w:val="center"/>
          </w:tcPr>
          <w:p w14:paraId="6B416B85" w14:textId="729C46C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-1.954**</w:t>
            </w:r>
          </w:p>
        </w:tc>
        <w:tc>
          <w:tcPr>
            <w:tcW w:w="1125" w:type="pct"/>
            <w:tcBorders>
              <w:top w:val="nil"/>
              <w:bottom w:val="nil"/>
            </w:tcBorders>
            <w:vAlign w:val="center"/>
          </w:tcPr>
          <w:p w14:paraId="47C6B192" w14:textId="070C7410"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-0.18</w:t>
            </w:r>
            <w:r w:rsidR="00B34BB7" w:rsidRPr="005E13B9">
              <w:rPr>
                <w:rFonts w:eastAsia="標楷體"/>
                <w:sz w:val="22"/>
                <w:szCs w:val="22"/>
              </w:rPr>
              <w:t>2</w:t>
            </w:r>
          </w:p>
        </w:tc>
        <w:tc>
          <w:tcPr>
            <w:tcW w:w="992" w:type="pct"/>
            <w:tcBorders>
              <w:top w:val="nil"/>
              <w:bottom w:val="nil"/>
            </w:tcBorders>
            <w:vAlign w:val="center"/>
          </w:tcPr>
          <w:p w14:paraId="2C970961" w14:textId="645D25B9"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-0.154***</w:t>
            </w:r>
          </w:p>
        </w:tc>
      </w:tr>
      <w:tr w:rsidR="006F104F" w:rsidRPr="005E13B9" w14:paraId="3E80802E"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3C9A1F59" w14:textId="77777777" w:rsidR="005B1D79" w:rsidRPr="005E13B9" w:rsidRDefault="005B1D79" w:rsidP="001C65C7">
            <w:pPr>
              <w:widowControl/>
              <w:overflowPunct w:val="0"/>
              <w:adjustRightInd w:val="0"/>
              <w:snapToGrid w:val="0"/>
              <w:ind w:firstLineChars="142" w:firstLine="312"/>
              <w:rPr>
                <w:rFonts w:eastAsia="標楷體"/>
                <w:kern w:val="0"/>
                <w:sz w:val="22"/>
                <w:szCs w:val="22"/>
              </w:rPr>
            </w:pPr>
            <w:r w:rsidRPr="005E13B9">
              <w:rPr>
                <w:kern w:val="0"/>
                <w:sz w:val="22"/>
                <w:szCs w:val="22"/>
              </w:rPr>
              <w:t>than once dummy</w:t>
            </w:r>
          </w:p>
        </w:tc>
        <w:tc>
          <w:tcPr>
            <w:tcW w:w="1429" w:type="pct"/>
            <w:tcBorders>
              <w:top w:val="nil"/>
              <w:bottom w:val="nil"/>
            </w:tcBorders>
            <w:noWrap/>
            <w:tcMar>
              <w:top w:w="14" w:type="dxa"/>
              <w:left w:w="14" w:type="dxa"/>
              <w:bottom w:w="0" w:type="dxa"/>
              <w:right w:w="14" w:type="dxa"/>
            </w:tcMar>
            <w:vAlign w:val="center"/>
          </w:tcPr>
          <w:p w14:paraId="7FB16F0C" w14:textId="7B542FAD"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0.865</w:t>
            </w:r>
            <w:r w:rsidRPr="005E13B9">
              <w:rPr>
                <w:rFonts w:eastAsia="標楷體" w:hint="eastAsia"/>
                <w:sz w:val="22"/>
                <w:szCs w:val="22"/>
              </w:rPr>
              <w:t>)</w:t>
            </w:r>
          </w:p>
        </w:tc>
        <w:tc>
          <w:tcPr>
            <w:tcW w:w="1125" w:type="pct"/>
            <w:tcBorders>
              <w:top w:val="nil"/>
              <w:bottom w:val="nil"/>
            </w:tcBorders>
            <w:vAlign w:val="center"/>
          </w:tcPr>
          <w:p w14:paraId="54FE17C5" w14:textId="327AB72A"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0.112</w:t>
            </w:r>
            <w:r w:rsidRPr="005E13B9">
              <w:rPr>
                <w:rFonts w:eastAsia="標楷體" w:hint="eastAsia"/>
                <w:sz w:val="22"/>
                <w:szCs w:val="22"/>
              </w:rPr>
              <w:t>)</w:t>
            </w:r>
          </w:p>
        </w:tc>
        <w:tc>
          <w:tcPr>
            <w:tcW w:w="992" w:type="pct"/>
            <w:tcBorders>
              <w:top w:val="nil"/>
              <w:bottom w:val="nil"/>
            </w:tcBorders>
            <w:vAlign w:val="center"/>
          </w:tcPr>
          <w:p w14:paraId="32E2B683" w14:textId="0719FCD5"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0.033</w:t>
            </w:r>
            <w:r w:rsidRPr="005E13B9">
              <w:rPr>
                <w:rFonts w:eastAsia="標楷體" w:hint="eastAsia"/>
                <w:sz w:val="22"/>
                <w:szCs w:val="22"/>
              </w:rPr>
              <w:t>)</w:t>
            </w:r>
          </w:p>
        </w:tc>
      </w:tr>
      <w:tr w:rsidR="006F104F" w:rsidRPr="005E13B9" w14:paraId="133CB460"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62C22E37"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Net profit ratio</w:t>
            </w:r>
          </w:p>
        </w:tc>
        <w:tc>
          <w:tcPr>
            <w:tcW w:w="1429" w:type="pct"/>
            <w:tcBorders>
              <w:top w:val="nil"/>
              <w:bottom w:val="nil"/>
            </w:tcBorders>
            <w:noWrap/>
            <w:tcMar>
              <w:top w:w="14" w:type="dxa"/>
              <w:left w:w="14" w:type="dxa"/>
              <w:bottom w:w="0" w:type="dxa"/>
              <w:right w:w="14" w:type="dxa"/>
            </w:tcMar>
            <w:vAlign w:val="center"/>
          </w:tcPr>
          <w:p w14:paraId="4E73D516" w14:textId="4D31392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0.00</w:t>
            </w:r>
            <w:r w:rsidR="00B34BB7" w:rsidRPr="005E13B9">
              <w:rPr>
                <w:rFonts w:eastAsia="標楷體"/>
                <w:sz w:val="22"/>
                <w:szCs w:val="22"/>
              </w:rPr>
              <w:t>1</w:t>
            </w:r>
          </w:p>
        </w:tc>
        <w:tc>
          <w:tcPr>
            <w:tcW w:w="1125" w:type="pct"/>
            <w:tcBorders>
              <w:top w:val="nil"/>
              <w:bottom w:val="nil"/>
            </w:tcBorders>
            <w:vAlign w:val="center"/>
          </w:tcPr>
          <w:p w14:paraId="4CC2966A" w14:textId="71984D73" w:rsidR="005B1D79" w:rsidRPr="005E13B9" w:rsidRDefault="005B1D79" w:rsidP="00B34BB7">
            <w:pPr>
              <w:overflowPunct w:val="0"/>
              <w:adjustRightInd w:val="0"/>
              <w:snapToGrid w:val="0"/>
              <w:jc w:val="center"/>
              <w:rPr>
                <w:rFonts w:eastAsia="標楷體"/>
                <w:sz w:val="22"/>
                <w:szCs w:val="22"/>
              </w:rPr>
            </w:pPr>
            <w:r w:rsidRPr="005E13B9">
              <w:rPr>
                <w:rFonts w:eastAsia="標楷體"/>
                <w:sz w:val="22"/>
                <w:szCs w:val="22"/>
              </w:rPr>
              <w:t>0.000</w:t>
            </w:r>
          </w:p>
        </w:tc>
        <w:tc>
          <w:tcPr>
            <w:tcW w:w="992" w:type="pct"/>
            <w:tcBorders>
              <w:top w:val="nil"/>
              <w:bottom w:val="nil"/>
            </w:tcBorders>
            <w:vAlign w:val="center"/>
          </w:tcPr>
          <w:p w14:paraId="60115026" w14:textId="79083186" w:rsidR="005B1D79" w:rsidRPr="005E13B9" w:rsidRDefault="005B1D79" w:rsidP="00B34BB7">
            <w:pPr>
              <w:overflowPunct w:val="0"/>
              <w:adjustRightInd w:val="0"/>
              <w:snapToGrid w:val="0"/>
              <w:jc w:val="center"/>
              <w:rPr>
                <w:rFonts w:eastAsia="標楷體"/>
                <w:sz w:val="22"/>
                <w:szCs w:val="22"/>
              </w:rPr>
            </w:pPr>
            <w:r w:rsidRPr="005E13B9">
              <w:rPr>
                <w:rFonts w:eastAsia="標楷體"/>
                <w:sz w:val="22"/>
                <w:szCs w:val="22"/>
              </w:rPr>
              <w:t>0.000</w:t>
            </w:r>
          </w:p>
        </w:tc>
      </w:tr>
      <w:tr w:rsidR="006F104F" w:rsidRPr="005E13B9" w14:paraId="31BD77E3"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1AE06FF0" w14:textId="77777777" w:rsidR="005B1D79" w:rsidRPr="005E13B9" w:rsidRDefault="005B1D79" w:rsidP="001C65C7">
            <w:pPr>
              <w:widowControl/>
              <w:overflowPunct w:val="0"/>
              <w:adjustRightInd w:val="0"/>
              <w:snapToGrid w:val="0"/>
              <w:rPr>
                <w:rFonts w:eastAsia="標楷體"/>
                <w:kern w:val="0"/>
                <w:sz w:val="22"/>
                <w:szCs w:val="22"/>
              </w:rPr>
            </w:pPr>
          </w:p>
        </w:tc>
        <w:tc>
          <w:tcPr>
            <w:tcW w:w="1429" w:type="pct"/>
            <w:tcBorders>
              <w:top w:val="nil"/>
              <w:bottom w:val="nil"/>
            </w:tcBorders>
            <w:noWrap/>
            <w:tcMar>
              <w:top w:w="14" w:type="dxa"/>
              <w:left w:w="14" w:type="dxa"/>
              <w:bottom w:w="0" w:type="dxa"/>
              <w:right w:w="14" w:type="dxa"/>
            </w:tcMar>
            <w:vAlign w:val="center"/>
          </w:tcPr>
          <w:p w14:paraId="2F331258" w14:textId="5AB9C2E0"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1</w:t>
            </w:r>
            <w:r w:rsidRPr="005E13B9">
              <w:rPr>
                <w:rFonts w:eastAsia="標楷體" w:hint="eastAsia"/>
                <w:sz w:val="22"/>
                <w:szCs w:val="22"/>
              </w:rPr>
              <w:t>)</w:t>
            </w:r>
          </w:p>
        </w:tc>
        <w:tc>
          <w:tcPr>
            <w:tcW w:w="1125" w:type="pct"/>
            <w:tcBorders>
              <w:top w:val="nil"/>
              <w:bottom w:val="nil"/>
            </w:tcBorders>
            <w:vAlign w:val="center"/>
          </w:tcPr>
          <w:p w14:paraId="555390BC" w14:textId="47F18E6C"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0.000</w:t>
            </w:r>
            <w:r w:rsidRPr="005E13B9">
              <w:rPr>
                <w:rFonts w:eastAsia="標楷體" w:hint="eastAsia"/>
                <w:sz w:val="22"/>
                <w:szCs w:val="22"/>
              </w:rPr>
              <w:t>)</w:t>
            </w:r>
          </w:p>
        </w:tc>
        <w:tc>
          <w:tcPr>
            <w:tcW w:w="992" w:type="pct"/>
            <w:tcBorders>
              <w:top w:val="nil"/>
              <w:bottom w:val="nil"/>
            </w:tcBorders>
            <w:vAlign w:val="center"/>
          </w:tcPr>
          <w:p w14:paraId="01E4632D" w14:textId="630B2B98" w:rsidR="005B1D79" w:rsidRPr="005E13B9" w:rsidRDefault="006C7AFA" w:rsidP="00B34BB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0.000</w:t>
            </w:r>
            <w:r w:rsidRPr="005E13B9">
              <w:rPr>
                <w:rFonts w:eastAsia="標楷體" w:hint="eastAsia"/>
                <w:sz w:val="22"/>
                <w:szCs w:val="22"/>
              </w:rPr>
              <w:t>)</w:t>
            </w:r>
          </w:p>
        </w:tc>
      </w:tr>
      <w:tr w:rsidR="006F104F" w:rsidRPr="005E13B9" w14:paraId="21E9AACA"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4CACFE55"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Assets turnover ratio</w:t>
            </w:r>
          </w:p>
        </w:tc>
        <w:tc>
          <w:tcPr>
            <w:tcW w:w="1429" w:type="pct"/>
            <w:tcBorders>
              <w:top w:val="nil"/>
              <w:bottom w:val="nil"/>
            </w:tcBorders>
            <w:noWrap/>
            <w:tcMar>
              <w:top w:w="14" w:type="dxa"/>
              <w:left w:w="14" w:type="dxa"/>
              <w:bottom w:w="0" w:type="dxa"/>
              <w:right w:w="14" w:type="dxa"/>
            </w:tcMar>
            <w:vAlign w:val="center"/>
          </w:tcPr>
          <w:p w14:paraId="23A5DC92" w14:textId="116D9C2E"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1.95</w:t>
            </w:r>
            <w:r w:rsidR="00B34BB7" w:rsidRPr="005E13B9">
              <w:rPr>
                <w:rFonts w:eastAsia="標楷體"/>
                <w:sz w:val="22"/>
                <w:szCs w:val="22"/>
              </w:rPr>
              <w:t>7</w:t>
            </w:r>
          </w:p>
        </w:tc>
        <w:tc>
          <w:tcPr>
            <w:tcW w:w="1125" w:type="pct"/>
            <w:tcBorders>
              <w:top w:val="nil"/>
              <w:bottom w:val="nil"/>
            </w:tcBorders>
            <w:vAlign w:val="center"/>
          </w:tcPr>
          <w:p w14:paraId="2D0B90C7" w14:textId="0FC01E0A"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0.222***</w:t>
            </w:r>
          </w:p>
        </w:tc>
        <w:tc>
          <w:tcPr>
            <w:tcW w:w="992" w:type="pct"/>
            <w:tcBorders>
              <w:top w:val="nil"/>
              <w:bottom w:val="nil"/>
            </w:tcBorders>
            <w:vAlign w:val="center"/>
          </w:tcPr>
          <w:p w14:paraId="2FBDDD90" w14:textId="35E86769"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0.00</w:t>
            </w:r>
            <w:r w:rsidR="00B34BB7" w:rsidRPr="005E13B9">
              <w:rPr>
                <w:rFonts w:eastAsia="標楷體"/>
                <w:sz w:val="22"/>
                <w:szCs w:val="22"/>
              </w:rPr>
              <w:t>1</w:t>
            </w:r>
          </w:p>
        </w:tc>
      </w:tr>
      <w:tr w:rsidR="006F104F" w:rsidRPr="005E13B9" w14:paraId="1ED4088D"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1C49DA2E" w14:textId="77777777" w:rsidR="005B1D79" w:rsidRPr="005E13B9" w:rsidRDefault="005B1D79" w:rsidP="001C65C7">
            <w:pPr>
              <w:widowControl/>
              <w:overflowPunct w:val="0"/>
              <w:adjustRightInd w:val="0"/>
              <w:snapToGrid w:val="0"/>
              <w:rPr>
                <w:rFonts w:eastAsia="標楷體"/>
                <w:kern w:val="0"/>
                <w:sz w:val="22"/>
                <w:szCs w:val="22"/>
              </w:rPr>
            </w:pPr>
          </w:p>
        </w:tc>
        <w:tc>
          <w:tcPr>
            <w:tcW w:w="1429" w:type="pct"/>
            <w:tcBorders>
              <w:top w:val="nil"/>
              <w:bottom w:val="nil"/>
            </w:tcBorders>
            <w:noWrap/>
            <w:tcMar>
              <w:top w:w="14" w:type="dxa"/>
              <w:left w:w="14" w:type="dxa"/>
              <w:bottom w:w="0" w:type="dxa"/>
              <w:right w:w="14" w:type="dxa"/>
            </w:tcMar>
            <w:vAlign w:val="center"/>
          </w:tcPr>
          <w:p w14:paraId="5843E589" w14:textId="1B76B907"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0.309</w:t>
            </w:r>
            <w:r w:rsidRPr="005E13B9">
              <w:rPr>
                <w:rFonts w:eastAsia="標楷體" w:hint="eastAsia"/>
                <w:sz w:val="22"/>
                <w:szCs w:val="22"/>
              </w:rPr>
              <w:t>)</w:t>
            </w:r>
          </w:p>
        </w:tc>
        <w:tc>
          <w:tcPr>
            <w:tcW w:w="1125" w:type="pct"/>
            <w:tcBorders>
              <w:top w:val="nil"/>
              <w:bottom w:val="nil"/>
            </w:tcBorders>
            <w:vAlign w:val="center"/>
          </w:tcPr>
          <w:p w14:paraId="3FC995E8" w14:textId="2F2E5F0F"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0.04</w:t>
            </w:r>
            <w:r w:rsidR="00B34BB7" w:rsidRPr="005E13B9">
              <w:rPr>
                <w:rFonts w:eastAsia="標楷體"/>
                <w:sz w:val="22"/>
                <w:szCs w:val="22"/>
              </w:rPr>
              <w:t>3</w:t>
            </w:r>
            <w:r w:rsidRPr="005E13B9">
              <w:rPr>
                <w:rFonts w:eastAsia="標楷體" w:hint="eastAsia"/>
                <w:sz w:val="22"/>
                <w:szCs w:val="22"/>
              </w:rPr>
              <w:t>)</w:t>
            </w:r>
          </w:p>
        </w:tc>
        <w:tc>
          <w:tcPr>
            <w:tcW w:w="992" w:type="pct"/>
            <w:tcBorders>
              <w:top w:val="nil"/>
              <w:bottom w:val="nil"/>
            </w:tcBorders>
            <w:vAlign w:val="center"/>
          </w:tcPr>
          <w:p w14:paraId="3388B6A8" w14:textId="1E60579C"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9</w:t>
            </w:r>
            <w:r w:rsidRPr="005E13B9">
              <w:rPr>
                <w:rFonts w:eastAsia="標楷體" w:hint="eastAsia"/>
                <w:sz w:val="22"/>
                <w:szCs w:val="22"/>
              </w:rPr>
              <w:t>)</w:t>
            </w:r>
          </w:p>
        </w:tc>
      </w:tr>
      <w:tr w:rsidR="006F104F" w:rsidRPr="005E13B9" w14:paraId="7A6910D1"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4758C192" w14:textId="77777777" w:rsidR="005B1D79" w:rsidRPr="005E13B9" w:rsidRDefault="005B1D79" w:rsidP="001C65C7">
            <w:pPr>
              <w:widowControl/>
              <w:overflowPunct w:val="0"/>
              <w:adjustRightInd w:val="0"/>
              <w:snapToGrid w:val="0"/>
              <w:rPr>
                <w:rFonts w:eastAsia="標楷體"/>
                <w:kern w:val="0"/>
                <w:sz w:val="22"/>
                <w:szCs w:val="22"/>
              </w:rPr>
            </w:pPr>
            <w:r w:rsidRPr="005E13B9">
              <w:rPr>
                <w:sz w:val="22"/>
                <w:szCs w:val="22"/>
              </w:rPr>
              <w:t>Debt ratio</w:t>
            </w:r>
          </w:p>
        </w:tc>
        <w:tc>
          <w:tcPr>
            <w:tcW w:w="1429" w:type="pct"/>
            <w:tcBorders>
              <w:top w:val="nil"/>
              <w:bottom w:val="nil"/>
            </w:tcBorders>
            <w:noWrap/>
            <w:tcMar>
              <w:top w:w="14" w:type="dxa"/>
              <w:left w:w="14" w:type="dxa"/>
              <w:bottom w:w="0" w:type="dxa"/>
              <w:right w:w="14" w:type="dxa"/>
            </w:tcMar>
            <w:vAlign w:val="center"/>
          </w:tcPr>
          <w:p w14:paraId="3306C84B" w14:textId="2B9C0840"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-0.01</w:t>
            </w:r>
            <w:r w:rsidR="00B34BB7" w:rsidRPr="005E13B9">
              <w:rPr>
                <w:rFonts w:eastAsia="標楷體"/>
                <w:sz w:val="22"/>
                <w:szCs w:val="22"/>
              </w:rPr>
              <w:t>5</w:t>
            </w:r>
            <w:r w:rsidRPr="005E13B9">
              <w:rPr>
                <w:rFonts w:eastAsia="標楷體"/>
                <w:sz w:val="22"/>
                <w:szCs w:val="22"/>
              </w:rPr>
              <w:t>**</w:t>
            </w:r>
          </w:p>
        </w:tc>
        <w:tc>
          <w:tcPr>
            <w:tcW w:w="1125" w:type="pct"/>
            <w:tcBorders>
              <w:top w:val="nil"/>
              <w:bottom w:val="nil"/>
            </w:tcBorders>
            <w:vAlign w:val="center"/>
          </w:tcPr>
          <w:p w14:paraId="263EBF50" w14:textId="490815DB"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-0.009***</w:t>
            </w:r>
          </w:p>
        </w:tc>
        <w:tc>
          <w:tcPr>
            <w:tcW w:w="992" w:type="pct"/>
            <w:tcBorders>
              <w:top w:val="nil"/>
              <w:bottom w:val="nil"/>
            </w:tcBorders>
            <w:vAlign w:val="center"/>
          </w:tcPr>
          <w:p w14:paraId="503E2046" w14:textId="6F18E398"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-0.001**</w:t>
            </w:r>
          </w:p>
        </w:tc>
      </w:tr>
      <w:tr w:rsidR="006F104F" w:rsidRPr="005E13B9" w14:paraId="3CA25AC0"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2BB717A4" w14:textId="77777777" w:rsidR="005B1D79" w:rsidRPr="005E13B9" w:rsidRDefault="005B1D79" w:rsidP="001C65C7">
            <w:pPr>
              <w:widowControl/>
              <w:overflowPunct w:val="0"/>
              <w:adjustRightInd w:val="0"/>
              <w:snapToGrid w:val="0"/>
              <w:rPr>
                <w:rFonts w:eastAsia="標楷體"/>
                <w:kern w:val="0"/>
                <w:sz w:val="22"/>
                <w:szCs w:val="22"/>
              </w:rPr>
            </w:pPr>
          </w:p>
        </w:tc>
        <w:tc>
          <w:tcPr>
            <w:tcW w:w="1429" w:type="pct"/>
            <w:tcBorders>
              <w:top w:val="nil"/>
              <w:bottom w:val="nil"/>
            </w:tcBorders>
            <w:noWrap/>
            <w:tcMar>
              <w:top w:w="14" w:type="dxa"/>
              <w:left w:w="14" w:type="dxa"/>
              <w:bottom w:w="0" w:type="dxa"/>
              <w:right w:w="14" w:type="dxa"/>
            </w:tcMar>
            <w:vAlign w:val="center"/>
          </w:tcPr>
          <w:p w14:paraId="2A12AFD8" w14:textId="5D45AA5A"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0.01</w:t>
            </w:r>
            <w:r w:rsidR="00B34BB7" w:rsidRPr="005E13B9">
              <w:rPr>
                <w:rFonts w:eastAsia="標楷體"/>
                <w:sz w:val="22"/>
                <w:szCs w:val="22"/>
              </w:rPr>
              <w:t>1</w:t>
            </w:r>
            <w:r w:rsidRPr="005E13B9">
              <w:rPr>
                <w:rFonts w:eastAsia="標楷體" w:hint="eastAsia"/>
                <w:sz w:val="22"/>
                <w:szCs w:val="22"/>
              </w:rPr>
              <w:t>)</w:t>
            </w:r>
          </w:p>
          <w:p w14:paraId="29F0ACF7" w14:textId="50BB92AB"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t>
            </w:r>
            <w:r w:rsidR="006C7AFA" w:rsidRPr="005E13B9">
              <w:rPr>
                <w:rFonts w:eastAsia="標楷體" w:hint="eastAsia"/>
                <w:sz w:val="22"/>
                <w:szCs w:val="22"/>
              </w:rPr>
              <w:t>)</w:t>
            </w:r>
          </w:p>
        </w:tc>
        <w:tc>
          <w:tcPr>
            <w:tcW w:w="1125" w:type="pct"/>
            <w:tcBorders>
              <w:top w:val="nil"/>
              <w:bottom w:val="nil"/>
            </w:tcBorders>
            <w:vAlign w:val="center"/>
          </w:tcPr>
          <w:p w14:paraId="11283BC0" w14:textId="302CF6F4"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0.001</w:t>
            </w:r>
            <w:r w:rsidRPr="005E13B9">
              <w:rPr>
                <w:rFonts w:eastAsia="標楷體" w:hint="eastAsia"/>
                <w:sz w:val="22"/>
                <w:szCs w:val="22"/>
              </w:rPr>
              <w:t>)</w:t>
            </w:r>
          </w:p>
          <w:p w14:paraId="4F88FB2F" w14:textId="5F39EC03"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t>
            </w:r>
            <w:r w:rsidR="006C7AFA" w:rsidRPr="005E13B9">
              <w:rPr>
                <w:rFonts w:eastAsia="標楷體" w:hint="eastAsia"/>
                <w:sz w:val="22"/>
                <w:szCs w:val="22"/>
              </w:rPr>
              <w:t>)</w:t>
            </w:r>
          </w:p>
        </w:tc>
        <w:tc>
          <w:tcPr>
            <w:tcW w:w="992" w:type="pct"/>
            <w:tcBorders>
              <w:top w:val="nil"/>
              <w:bottom w:val="nil"/>
            </w:tcBorders>
            <w:vAlign w:val="center"/>
          </w:tcPr>
          <w:p w14:paraId="55190A06" w14:textId="27C66744"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1</w:t>
            </w:r>
            <w:r w:rsidRPr="005E13B9">
              <w:rPr>
                <w:rFonts w:eastAsia="標楷體" w:hint="eastAsia"/>
                <w:sz w:val="22"/>
                <w:szCs w:val="22"/>
              </w:rPr>
              <w:t>)</w:t>
            </w:r>
          </w:p>
        </w:tc>
      </w:tr>
      <w:tr w:rsidR="006F104F" w:rsidRPr="005E13B9" w14:paraId="355305B6"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3B805809"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 xml:space="preserve">Directors’ </w:t>
            </w:r>
            <w:r w:rsidR="0082626C" w:rsidRPr="005E13B9">
              <w:rPr>
                <w:rFonts w:hint="eastAsia"/>
                <w:kern w:val="0"/>
                <w:sz w:val="22"/>
                <w:szCs w:val="22"/>
              </w:rPr>
              <w:t>share</w:t>
            </w:r>
            <w:r w:rsidRPr="005E13B9">
              <w:rPr>
                <w:kern w:val="0"/>
                <w:sz w:val="22"/>
                <w:szCs w:val="22"/>
              </w:rPr>
              <w:t>holding ratio</w:t>
            </w:r>
          </w:p>
        </w:tc>
        <w:tc>
          <w:tcPr>
            <w:tcW w:w="1429" w:type="pct"/>
            <w:tcBorders>
              <w:top w:val="nil"/>
              <w:bottom w:val="nil"/>
            </w:tcBorders>
            <w:noWrap/>
            <w:tcMar>
              <w:top w:w="14" w:type="dxa"/>
              <w:left w:w="14" w:type="dxa"/>
              <w:bottom w:w="0" w:type="dxa"/>
              <w:right w:w="14" w:type="dxa"/>
            </w:tcMar>
            <w:vAlign w:val="center"/>
          </w:tcPr>
          <w:p w14:paraId="45BE1468" w14:textId="0D0029AB"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-0.02</w:t>
            </w:r>
            <w:r w:rsidR="00B34BB7" w:rsidRPr="005E13B9">
              <w:rPr>
                <w:rFonts w:eastAsia="標楷體"/>
                <w:sz w:val="22"/>
                <w:szCs w:val="22"/>
              </w:rPr>
              <w:t>7</w:t>
            </w:r>
            <w:r w:rsidRPr="005E13B9">
              <w:rPr>
                <w:rFonts w:eastAsia="標楷體"/>
                <w:sz w:val="22"/>
                <w:szCs w:val="22"/>
              </w:rPr>
              <w:t>**</w:t>
            </w:r>
          </w:p>
        </w:tc>
        <w:tc>
          <w:tcPr>
            <w:tcW w:w="1125" w:type="pct"/>
            <w:tcBorders>
              <w:top w:val="nil"/>
              <w:bottom w:val="nil"/>
            </w:tcBorders>
            <w:vAlign w:val="center"/>
          </w:tcPr>
          <w:p w14:paraId="2821AA08" w14:textId="79F38123"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-0.010***</w:t>
            </w:r>
          </w:p>
        </w:tc>
        <w:tc>
          <w:tcPr>
            <w:tcW w:w="992" w:type="pct"/>
            <w:tcBorders>
              <w:top w:val="nil"/>
              <w:bottom w:val="nil"/>
            </w:tcBorders>
            <w:vAlign w:val="center"/>
          </w:tcPr>
          <w:p w14:paraId="2E84BCFD" w14:textId="277279E0"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-0.00</w:t>
            </w:r>
            <w:r w:rsidR="00B34BB7" w:rsidRPr="005E13B9">
              <w:rPr>
                <w:rFonts w:eastAsia="標楷體"/>
                <w:sz w:val="22"/>
                <w:szCs w:val="22"/>
              </w:rPr>
              <w:t>2</w:t>
            </w:r>
            <w:r w:rsidRPr="005E13B9">
              <w:rPr>
                <w:rFonts w:eastAsia="標楷體"/>
                <w:sz w:val="22"/>
                <w:szCs w:val="22"/>
              </w:rPr>
              <w:t>***</w:t>
            </w:r>
          </w:p>
        </w:tc>
      </w:tr>
      <w:tr w:rsidR="006F104F" w:rsidRPr="005E13B9" w14:paraId="49CB844B"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4D0EDBC0" w14:textId="77777777" w:rsidR="005B1D79" w:rsidRPr="005E13B9" w:rsidRDefault="005B1D79" w:rsidP="001C65C7">
            <w:pPr>
              <w:widowControl/>
              <w:overflowPunct w:val="0"/>
              <w:adjustRightInd w:val="0"/>
              <w:snapToGrid w:val="0"/>
              <w:rPr>
                <w:rFonts w:eastAsia="標楷體"/>
                <w:kern w:val="0"/>
                <w:sz w:val="22"/>
                <w:szCs w:val="22"/>
              </w:rPr>
            </w:pPr>
          </w:p>
        </w:tc>
        <w:tc>
          <w:tcPr>
            <w:tcW w:w="1429" w:type="pct"/>
            <w:tcBorders>
              <w:top w:val="nil"/>
              <w:bottom w:val="nil"/>
            </w:tcBorders>
            <w:noWrap/>
            <w:tcMar>
              <w:top w:w="14" w:type="dxa"/>
              <w:left w:w="14" w:type="dxa"/>
              <w:bottom w:w="0" w:type="dxa"/>
              <w:right w:w="14" w:type="dxa"/>
            </w:tcMar>
            <w:vAlign w:val="center"/>
          </w:tcPr>
          <w:p w14:paraId="4E113D46" w14:textId="51A35108"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0.019</w:t>
            </w:r>
            <w:r w:rsidRPr="005E13B9">
              <w:rPr>
                <w:rFonts w:eastAsia="標楷體" w:hint="eastAsia"/>
                <w:sz w:val="22"/>
                <w:szCs w:val="22"/>
              </w:rPr>
              <w:t>)</w:t>
            </w:r>
          </w:p>
        </w:tc>
        <w:tc>
          <w:tcPr>
            <w:tcW w:w="1125" w:type="pct"/>
            <w:tcBorders>
              <w:top w:val="nil"/>
              <w:bottom w:val="nil"/>
            </w:tcBorders>
            <w:vAlign w:val="center"/>
          </w:tcPr>
          <w:p w14:paraId="06688F2F" w14:textId="0E30E905" w:rsidR="005B1D79" w:rsidRPr="005E13B9" w:rsidRDefault="006C7AFA" w:rsidP="00B34BB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2</w:t>
            </w:r>
            <w:r w:rsidRPr="005E13B9">
              <w:rPr>
                <w:rFonts w:eastAsia="標楷體" w:hint="eastAsia"/>
                <w:sz w:val="22"/>
                <w:szCs w:val="22"/>
              </w:rPr>
              <w:t>)</w:t>
            </w:r>
          </w:p>
        </w:tc>
        <w:tc>
          <w:tcPr>
            <w:tcW w:w="992" w:type="pct"/>
            <w:tcBorders>
              <w:top w:val="nil"/>
              <w:bottom w:val="nil"/>
            </w:tcBorders>
            <w:vAlign w:val="center"/>
          </w:tcPr>
          <w:p w14:paraId="7449AF00" w14:textId="72E7F7AA"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1</w:t>
            </w:r>
            <w:r w:rsidRPr="005E13B9">
              <w:rPr>
                <w:rFonts w:eastAsia="標楷體" w:hint="eastAsia"/>
                <w:sz w:val="22"/>
                <w:szCs w:val="22"/>
              </w:rPr>
              <w:t>)</w:t>
            </w:r>
          </w:p>
        </w:tc>
      </w:tr>
      <w:tr w:rsidR="006F104F" w:rsidRPr="005E13B9" w14:paraId="28C769C4"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1F9EFD4D"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 xml:space="preserve">Managers’ </w:t>
            </w:r>
            <w:r w:rsidR="0082626C" w:rsidRPr="005E13B9">
              <w:rPr>
                <w:rFonts w:hint="eastAsia"/>
                <w:kern w:val="0"/>
                <w:sz w:val="22"/>
                <w:szCs w:val="22"/>
              </w:rPr>
              <w:t>share</w:t>
            </w:r>
            <w:r w:rsidRPr="005E13B9">
              <w:rPr>
                <w:kern w:val="0"/>
                <w:sz w:val="22"/>
                <w:szCs w:val="22"/>
              </w:rPr>
              <w:t>holding ratio</w:t>
            </w:r>
          </w:p>
        </w:tc>
        <w:tc>
          <w:tcPr>
            <w:tcW w:w="1429" w:type="pct"/>
            <w:tcBorders>
              <w:top w:val="nil"/>
              <w:bottom w:val="nil"/>
            </w:tcBorders>
            <w:noWrap/>
            <w:tcMar>
              <w:top w:w="14" w:type="dxa"/>
              <w:left w:w="14" w:type="dxa"/>
              <w:bottom w:w="0" w:type="dxa"/>
              <w:right w:w="14" w:type="dxa"/>
            </w:tcMar>
            <w:vAlign w:val="center"/>
          </w:tcPr>
          <w:p w14:paraId="31683476" w14:textId="72ABB8FC"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0.04</w:t>
            </w:r>
            <w:r w:rsidR="00B34BB7" w:rsidRPr="005E13B9">
              <w:rPr>
                <w:rFonts w:eastAsia="標楷體"/>
                <w:sz w:val="22"/>
                <w:szCs w:val="22"/>
              </w:rPr>
              <w:t>1</w:t>
            </w:r>
            <w:r w:rsidRPr="005E13B9">
              <w:rPr>
                <w:rFonts w:eastAsia="標楷體"/>
                <w:sz w:val="22"/>
                <w:szCs w:val="22"/>
              </w:rPr>
              <w:t>*</w:t>
            </w:r>
          </w:p>
        </w:tc>
        <w:tc>
          <w:tcPr>
            <w:tcW w:w="1125" w:type="pct"/>
            <w:tcBorders>
              <w:top w:val="nil"/>
              <w:bottom w:val="nil"/>
            </w:tcBorders>
            <w:vAlign w:val="center"/>
          </w:tcPr>
          <w:p w14:paraId="05B16345" w14:textId="607C3922" w:rsidR="005B1D79" w:rsidRPr="005E13B9" w:rsidRDefault="005B1D79" w:rsidP="00B34BB7">
            <w:pPr>
              <w:overflowPunct w:val="0"/>
              <w:adjustRightInd w:val="0"/>
              <w:snapToGrid w:val="0"/>
              <w:jc w:val="center"/>
              <w:rPr>
                <w:rFonts w:eastAsia="標楷體"/>
                <w:sz w:val="22"/>
                <w:szCs w:val="22"/>
              </w:rPr>
            </w:pPr>
            <w:r w:rsidRPr="005E13B9">
              <w:rPr>
                <w:rFonts w:eastAsia="標楷體"/>
                <w:sz w:val="22"/>
                <w:szCs w:val="22"/>
              </w:rPr>
              <w:t>-0.009</w:t>
            </w:r>
          </w:p>
        </w:tc>
        <w:tc>
          <w:tcPr>
            <w:tcW w:w="992" w:type="pct"/>
            <w:tcBorders>
              <w:top w:val="nil"/>
              <w:bottom w:val="nil"/>
            </w:tcBorders>
            <w:vAlign w:val="center"/>
          </w:tcPr>
          <w:p w14:paraId="0139FDBA" w14:textId="53527775"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-0.003*</w:t>
            </w:r>
          </w:p>
        </w:tc>
      </w:tr>
      <w:tr w:rsidR="006F104F" w:rsidRPr="005E13B9" w14:paraId="32137E22"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05314998" w14:textId="77777777" w:rsidR="005B1D79" w:rsidRPr="005E13B9" w:rsidRDefault="005B1D79" w:rsidP="001C65C7">
            <w:pPr>
              <w:widowControl/>
              <w:overflowPunct w:val="0"/>
              <w:adjustRightInd w:val="0"/>
              <w:snapToGrid w:val="0"/>
              <w:rPr>
                <w:rFonts w:eastAsia="標楷體"/>
                <w:kern w:val="0"/>
                <w:sz w:val="22"/>
                <w:szCs w:val="22"/>
              </w:rPr>
            </w:pPr>
          </w:p>
        </w:tc>
        <w:tc>
          <w:tcPr>
            <w:tcW w:w="1429" w:type="pct"/>
            <w:tcBorders>
              <w:top w:val="nil"/>
              <w:bottom w:val="nil"/>
            </w:tcBorders>
            <w:noWrap/>
            <w:tcMar>
              <w:top w:w="14" w:type="dxa"/>
              <w:left w:w="14" w:type="dxa"/>
              <w:bottom w:w="0" w:type="dxa"/>
              <w:right w:w="14" w:type="dxa"/>
            </w:tcMar>
            <w:vAlign w:val="center"/>
          </w:tcPr>
          <w:p w14:paraId="4EE0EC7A" w14:textId="13651715"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0.079</w:t>
            </w:r>
            <w:r w:rsidRPr="005E13B9">
              <w:rPr>
                <w:rFonts w:eastAsia="標楷體" w:hint="eastAsia"/>
                <w:sz w:val="22"/>
                <w:szCs w:val="22"/>
              </w:rPr>
              <w:t>)</w:t>
            </w:r>
          </w:p>
        </w:tc>
        <w:tc>
          <w:tcPr>
            <w:tcW w:w="1125" w:type="pct"/>
            <w:tcBorders>
              <w:top w:val="nil"/>
              <w:bottom w:val="nil"/>
            </w:tcBorders>
            <w:vAlign w:val="center"/>
          </w:tcPr>
          <w:p w14:paraId="25DCD283" w14:textId="14D8AF7A"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9</w:t>
            </w:r>
            <w:r w:rsidRPr="005E13B9">
              <w:rPr>
                <w:rFonts w:eastAsia="標楷體" w:hint="eastAsia"/>
                <w:sz w:val="22"/>
                <w:szCs w:val="22"/>
              </w:rPr>
              <w:t>)</w:t>
            </w:r>
          </w:p>
        </w:tc>
        <w:tc>
          <w:tcPr>
            <w:tcW w:w="992" w:type="pct"/>
            <w:tcBorders>
              <w:top w:val="nil"/>
              <w:bottom w:val="nil"/>
            </w:tcBorders>
            <w:vAlign w:val="center"/>
          </w:tcPr>
          <w:p w14:paraId="2384A0A4" w14:textId="52E64DE6" w:rsidR="005B1D79" w:rsidRPr="005E13B9" w:rsidRDefault="006C7AFA" w:rsidP="00B34BB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2</w:t>
            </w:r>
            <w:r w:rsidRPr="005E13B9">
              <w:rPr>
                <w:rFonts w:eastAsia="標楷體" w:hint="eastAsia"/>
                <w:sz w:val="22"/>
                <w:szCs w:val="22"/>
              </w:rPr>
              <w:t>)</w:t>
            </w:r>
          </w:p>
        </w:tc>
      </w:tr>
      <w:tr w:rsidR="006F104F" w:rsidRPr="005E13B9" w14:paraId="2D8D2427"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30DAADED"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Directors’ pledge ratio</w:t>
            </w:r>
          </w:p>
        </w:tc>
        <w:tc>
          <w:tcPr>
            <w:tcW w:w="1429" w:type="pct"/>
            <w:tcBorders>
              <w:top w:val="nil"/>
              <w:bottom w:val="nil"/>
            </w:tcBorders>
            <w:noWrap/>
            <w:tcMar>
              <w:top w:w="14" w:type="dxa"/>
              <w:left w:w="14" w:type="dxa"/>
              <w:bottom w:w="0" w:type="dxa"/>
              <w:right w:w="14" w:type="dxa"/>
            </w:tcMar>
            <w:vAlign w:val="center"/>
          </w:tcPr>
          <w:p w14:paraId="504F3331" w14:textId="2D78A560"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-0.03</w:t>
            </w:r>
            <w:r w:rsidR="00B34BB7" w:rsidRPr="005E13B9">
              <w:rPr>
                <w:rFonts w:eastAsia="標楷體"/>
                <w:sz w:val="22"/>
                <w:szCs w:val="22"/>
              </w:rPr>
              <w:t>1</w:t>
            </w:r>
            <w:r w:rsidRPr="005E13B9">
              <w:rPr>
                <w:rFonts w:eastAsia="標楷體"/>
                <w:sz w:val="22"/>
                <w:szCs w:val="22"/>
              </w:rPr>
              <w:t>***</w:t>
            </w:r>
          </w:p>
        </w:tc>
        <w:tc>
          <w:tcPr>
            <w:tcW w:w="1125" w:type="pct"/>
            <w:tcBorders>
              <w:top w:val="nil"/>
              <w:bottom w:val="nil"/>
            </w:tcBorders>
            <w:vAlign w:val="center"/>
          </w:tcPr>
          <w:p w14:paraId="096BAD54" w14:textId="4C0BF348" w:rsidR="005B1D79" w:rsidRPr="005E13B9" w:rsidRDefault="005B1D79" w:rsidP="001C65C7">
            <w:pPr>
              <w:overflowPunct w:val="0"/>
              <w:adjustRightInd w:val="0"/>
              <w:snapToGrid w:val="0"/>
              <w:jc w:val="center"/>
              <w:rPr>
                <w:rFonts w:eastAsia="標楷體"/>
                <w:sz w:val="22"/>
                <w:szCs w:val="22"/>
              </w:rPr>
            </w:pPr>
            <w:r w:rsidRPr="005E13B9">
              <w:rPr>
                <w:sz w:val="22"/>
                <w:szCs w:val="22"/>
              </w:rPr>
              <w:t>-0.003**</w:t>
            </w:r>
          </w:p>
        </w:tc>
        <w:tc>
          <w:tcPr>
            <w:tcW w:w="992" w:type="pct"/>
            <w:tcBorders>
              <w:top w:val="nil"/>
              <w:bottom w:val="nil"/>
            </w:tcBorders>
            <w:vAlign w:val="center"/>
          </w:tcPr>
          <w:p w14:paraId="02E530C8" w14:textId="5B4512E9"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0.00</w:t>
            </w:r>
            <w:r w:rsidR="00B34BB7" w:rsidRPr="005E13B9">
              <w:rPr>
                <w:rFonts w:eastAsia="標楷體"/>
                <w:sz w:val="22"/>
                <w:szCs w:val="22"/>
              </w:rPr>
              <w:t>2</w:t>
            </w:r>
            <w:r w:rsidRPr="005E13B9">
              <w:rPr>
                <w:rFonts w:eastAsia="標楷體"/>
                <w:sz w:val="22"/>
                <w:szCs w:val="22"/>
              </w:rPr>
              <w:t>**</w:t>
            </w:r>
          </w:p>
        </w:tc>
      </w:tr>
      <w:tr w:rsidR="006F104F" w:rsidRPr="005E13B9" w14:paraId="22061DB9"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1AB0A831" w14:textId="77777777" w:rsidR="005B1D79" w:rsidRPr="005E13B9" w:rsidRDefault="005B1D79" w:rsidP="001C65C7">
            <w:pPr>
              <w:widowControl/>
              <w:overflowPunct w:val="0"/>
              <w:adjustRightInd w:val="0"/>
              <w:snapToGrid w:val="0"/>
              <w:rPr>
                <w:rFonts w:eastAsia="標楷體"/>
                <w:kern w:val="0"/>
                <w:sz w:val="22"/>
                <w:szCs w:val="22"/>
              </w:rPr>
            </w:pPr>
          </w:p>
        </w:tc>
        <w:tc>
          <w:tcPr>
            <w:tcW w:w="1429" w:type="pct"/>
            <w:tcBorders>
              <w:top w:val="nil"/>
              <w:bottom w:val="nil"/>
            </w:tcBorders>
            <w:noWrap/>
            <w:tcMar>
              <w:top w:w="14" w:type="dxa"/>
              <w:left w:w="14" w:type="dxa"/>
              <w:bottom w:w="0" w:type="dxa"/>
              <w:right w:w="14" w:type="dxa"/>
            </w:tcMar>
            <w:vAlign w:val="center"/>
          </w:tcPr>
          <w:p w14:paraId="063116E0" w14:textId="219CC605"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0.009</w:t>
            </w:r>
            <w:r w:rsidRPr="005E13B9">
              <w:rPr>
                <w:rFonts w:eastAsia="標楷體" w:hint="eastAsia"/>
                <w:sz w:val="22"/>
                <w:szCs w:val="22"/>
              </w:rPr>
              <w:t>)</w:t>
            </w:r>
          </w:p>
        </w:tc>
        <w:tc>
          <w:tcPr>
            <w:tcW w:w="1125" w:type="pct"/>
            <w:tcBorders>
              <w:top w:val="nil"/>
              <w:bottom w:val="nil"/>
            </w:tcBorders>
            <w:vAlign w:val="center"/>
          </w:tcPr>
          <w:p w14:paraId="24475642" w14:textId="36EF6B5C"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2</w:t>
            </w:r>
            <w:r w:rsidRPr="005E13B9">
              <w:rPr>
                <w:rFonts w:eastAsia="標楷體" w:hint="eastAsia"/>
                <w:sz w:val="22"/>
                <w:szCs w:val="22"/>
              </w:rPr>
              <w:t>)</w:t>
            </w:r>
          </w:p>
        </w:tc>
        <w:tc>
          <w:tcPr>
            <w:tcW w:w="992" w:type="pct"/>
            <w:tcBorders>
              <w:top w:val="nil"/>
              <w:bottom w:val="nil"/>
            </w:tcBorders>
            <w:vAlign w:val="center"/>
          </w:tcPr>
          <w:p w14:paraId="5FC4F55F" w14:textId="2B93156C"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1</w:t>
            </w:r>
            <w:r w:rsidRPr="005E13B9">
              <w:rPr>
                <w:rFonts w:eastAsia="標楷體" w:hint="eastAsia"/>
                <w:sz w:val="22"/>
                <w:szCs w:val="22"/>
              </w:rPr>
              <w:t>)</w:t>
            </w:r>
          </w:p>
        </w:tc>
      </w:tr>
      <w:tr w:rsidR="006F104F" w:rsidRPr="005E13B9" w14:paraId="1945E260"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5FAEFE5F" w14:textId="77777777" w:rsidR="005B1D79" w:rsidRPr="005E13B9" w:rsidRDefault="005B1D79" w:rsidP="001C65C7">
            <w:pPr>
              <w:widowControl/>
              <w:overflowPunct w:val="0"/>
              <w:adjustRightInd w:val="0"/>
              <w:snapToGrid w:val="0"/>
              <w:rPr>
                <w:rFonts w:eastAsia="標楷體"/>
                <w:kern w:val="0"/>
                <w:sz w:val="22"/>
                <w:szCs w:val="22"/>
              </w:rPr>
            </w:pPr>
            <w:r w:rsidRPr="005E13B9">
              <w:rPr>
                <w:sz w:val="22"/>
                <w:szCs w:val="22"/>
              </w:rPr>
              <w:t>CEO duality dummy</w:t>
            </w:r>
          </w:p>
        </w:tc>
        <w:tc>
          <w:tcPr>
            <w:tcW w:w="1429" w:type="pct"/>
            <w:tcBorders>
              <w:top w:val="nil"/>
              <w:bottom w:val="nil"/>
            </w:tcBorders>
            <w:noWrap/>
            <w:tcMar>
              <w:top w:w="14" w:type="dxa"/>
              <w:left w:w="14" w:type="dxa"/>
              <w:bottom w:w="0" w:type="dxa"/>
              <w:right w:w="14" w:type="dxa"/>
            </w:tcMar>
            <w:vAlign w:val="center"/>
          </w:tcPr>
          <w:p w14:paraId="57617D3E" w14:textId="7AC97AB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1.631***</w:t>
            </w:r>
          </w:p>
        </w:tc>
        <w:tc>
          <w:tcPr>
            <w:tcW w:w="1125" w:type="pct"/>
            <w:tcBorders>
              <w:top w:val="nil"/>
              <w:bottom w:val="nil"/>
            </w:tcBorders>
            <w:vAlign w:val="center"/>
          </w:tcPr>
          <w:p w14:paraId="520EA198" w14:textId="0E02E492"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-0.143**</w:t>
            </w:r>
          </w:p>
        </w:tc>
        <w:tc>
          <w:tcPr>
            <w:tcW w:w="992" w:type="pct"/>
            <w:tcBorders>
              <w:top w:val="nil"/>
              <w:bottom w:val="nil"/>
            </w:tcBorders>
            <w:vAlign w:val="center"/>
          </w:tcPr>
          <w:p w14:paraId="165A178B" w14:textId="0F9DE592"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-0.00</w:t>
            </w:r>
            <w:r w:rsidR="00B34BB7" w:rsidRPr="005E13B9">
              <w:rPr>
                <w:rFonts w:eastAsia="標楷體"/>
                <w:sz w:val="22"/>
                <w:szCs w:val="22"/>
              </w:rPr>
              <w:t>5</w:t>
            </w:r>
          </w:p>
        </w:tc>
      </w:tr>
      <w:tr w:rsidR="006F104F" w:rsidRPr="005E13B9" w14:paraId="50C9DA46"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290A3D2A" w14:textId="77777777" w:rsidR="005B1D79" w:rsidRPr="005E13B9" w:rsidRDefault="005B1D79" w:rsidP="001C65C7">
            <w:pPr>
              <w:overflowPunct w:val="0"/>
              <w:adjustRightInd w:val="0"/>
              <w:snapToGrid w:val="0"/>
              <w:rPr>
                <w:rFonts w:eastAsia="標楷體"/>
                <w:sz w:val="22"/>
                <w:szCs w:val="22"/>
              </w:rPr>
            </w:pPr>
          </w:p>
        </w:tc>
        <w:tc>
          <w:tcPr>
            <w:tcW w:w="1429" w:type="pct"/>
            <w:tcBorders>
              <w:top w:val="nil"/>
              <w:bottom w:val="nil"/>
            </w:tcBorders>
            <w:noWrap/>
            <w:tcMar>
              <w:top w:w="14" w:type="dxa"/>
              <w:left w:w="14" w:type="dxa"/>
              <w:bottom w:w="0" w:type="dxa"/>
              <w:right w:w="14" w:type="dxa"/>
            </w:tcMar>
            <w:vAlign w:val="center"/>
          </w:tcPr>
          <w:p w14:paraId="08D94842" w14:textId="56E6FB62"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0.42</w:t>
            </w:r>
            <w:r w:rsidR="00B34BB7" w:rsidRPr="005E13B9">
              <w:rPr>
                <w:rFonts w:eastAsia="標楷體"/>
                <w:sz w:val="22"/>
                <w:szCs w:val="22"/>
              </w:rPr>
              <w:t>7</w:t>
            </w:r>
            <w:r w:rsidRPr="005E13B9">
              <w:rPr>
                <w:rFonts w:eastAsia="標楷體" w:hint="eastAsia"/>
                <w:sz w:val="22"/>
                <w:szCs w:val="22"/>
              </w:rPr>
              <w:t>)</w:t>
            </w:r>
          </w:p>
        </w:tc>
        <w:tc>
          <w:tcPr>
            <w:tcW w:w="1125" w:type="pct"/>
            <w:tcBorders>
              <w:top w:val="nil"/>
              <w:bottom w:val="nil"/>
            </w:tcBorders>
            <w:vAlign w:val="center"/>
          </w:tcPr>
          <w:p w14:paraId="12B5B0D8" w14:textId="72540E1D"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0.068</w:t>
            </w:r>
            <w:r w:rsidRPr="005E13B9">
              <w:rPr>
                <w:rFonts w:eastAsia="標楷體" w:hint="eastAsia"/>
                <w:sz w:val="22"/>
                <w:szCs w:val="22"/>
              </w:rPr>
              <w:t>)</w:t>
            </w:r>
          </w:p>
        </w:tc>
        <w:tc>
          <w:tcPr>
            <w:tcW w:w="992" w:type="pct"/>
            <w:tcBorders>
              <w:top w:val="nil"/>
              <w:bottom w:val="nil"/>
            </w:tcBorders>
            <w:vAlign w:val="center"/>
          </w:tcPr>
          <w:p w14:paraId="5F4E1008" w14:textId="20940994"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0.01</w:t>
            </w:r>
            <w:r w:rsidR="00B34BB7" w:rsidRPr="005E13B9">
              <w:rPr>
                <w:rFonts w:eastAsia="標楷體"/>
                <w:sz w:val="22"/>
                <w:szCs w:val="22"/>
              </w:rPr>
              <w:t>4</w:t>
            </w:r>
            <w:r w:rsidRPr="005E13B9">
              <w:rPr>
                <w:rFonts w:eastAsia="標楷體" w:hint="eastAsia"/>
                <w:sz w:val="22"/>
                <w:szCs w:val="22"/>
              </w:rPr>
              <w:t>)</w:t>
            </w:r>
          </w:p>
        </w:tc>
      </w:tr>
      <w:tr w:rsidR="006F104F" w:rsidRPr="005E13B9" w14:paraId="19FD0CEC"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6AC78153"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Board size</w:t>
            </w:r>
          </w:p>
        </w:tc>
        <w:tc>
          <w:tcPr>
            <w:tcW w:w="1429" w:type="pct"/>
            <w:tcBorders>
              <w:top w:val="nil"/>
              <w:bottom w:val="nil"/>
            </w:tcBorders>
            <w:noWrap/>
            <w:tcMar>
              <w:top w:w="14" w:type="dxa"/>
              <w:left w:w="14" w:type="dxa"/>
              <w:bottom w:w="0" w:type="dxa"/>
              <w:right w:w="14" w:type="dxa"/>
            </w:tcMar>
            <w:vAlign w:val="center"/>
          </w:tcPr>
          <w:p w14:paraId="02B93B73" w14:textId="5F54036B"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-0.302***</w:t>
            </w:r>
          </w:p>
        </w:tc>
        <w:tc>
          <w:tcPr>
            <w:tcW w:w="1125" w:type="pct"/>
            <w:tcBorders>
              <w:top w:val="nil"/>
              <w:bottom w:val="nil"/>
            </w:tcBorders>
            <w:vAlign w:val="center"/>
          </w:tcPr>
          <w:p w14:paraId="172A6CA4" w14:textId="3B02A07D"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-0.07</w:t>
            </w:r>
            <w:r w:rsidR="00B34BB7" w:rsidRPr="005E13B9">
              <w:rPr>
                <w:rFonts w:eastAsia="標楷體"/>
                <w:sz w:val="22"/>
                <w:szCs w:val="22"/>
              </w:rPr>
              <w:t>9</w:t>
            </w:r>
            <w:r w:rsidRPr="005E13B9">
              <w:rPr>
                <w:rFonts w:eastAsia="標楷體"/>
                <w:sz w:val="22"/>
                <w:szCs w:val="22"/>
              </w:rPr>
              <w:t>***</w:t>
            </w:r>
          </w:p>
        </w:tc>
        <w:tc>
          <w:tcPr>
            <w:tcW w:w="992" w:type="pct"/>
            <w:tcBorders>
              <w:top w:val="nil"/>
              <w:bottom w:val="nil"/>
            </w:tcBorders>
            <w:vAlign w:val="center"/>
          </w:tcPr>
          <w:p w14:paraId="51969C75" w14:textId="58975D7D"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w:t>
            </w:r>
            <w:r w:rsidR="00B34BB7" w:rsidRPr="005E13B9">
              <w:rPr>
                <w:rFonts w:eastAsia="標楷體"/>
                <w:sz w:val="22"/>
                <w:szCs w:val="22"/>
              </w:rPr>
              <w:t>10</w:t>
            </w:r>
            <w:r w:rsidRPr="005E13B9">
              <w:rPr>
                <w:rFonts w:eastAsia="標楷體"/>
                <w:sz w:val="22"/>
                <w:szCs w:val="22"/>
              </w:rPr>
              <w:t>***</w:t>
            </w:r>
          </w:p>
        </w:tc>
      </w:tr>
      <w:tr w:rsidR="006F104F" w:rsidRPr="005E13B9" w14:paraId="7B63E53F"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1BE57A1A" w14:textId="77777777" w:rsidR="005B1D79" w:rsidRPr="005E13B9" w:rsidRDefault="005B1D79" w:rsidP="001C65C7">
            <w:pPr>
              <w:overflowPunct w:val="0"/>
              <w:adjustRightInd w:val="0"/>
              <w:snapToGrid w:val="0"/>
              <w:rPr>
                <w:rFonts w:eastAsia="標楷體"/>
                <w:sz w:val="22"/>
                <w:szCs w:val="22"/>
              </w:rPr>
            </w:pPr>
          </w:p>
        </w:tc>
        <w:tc>
          <w:tcPr>
            <w:tcW w:w="1429" w:type="pct"/>
            <w:tcBorders>
              <w:top w:val="nil"/>
              <w:bottom w:val="nil"/>
            </w:tcBorders>
            <w:noWrap/>
            <w:tcMar>
              <w:top w:w="14" w:type="dxa"/>
              <w:left w:w="14" w:type="dxa"/>
              <w:bottom w:w="0" w:type="dxa"/>
              <w:right w:w="14" w:type="dxa"/>
            </w:tcMar>
            <w:vAlign w:val="center"/>
          </w:tcPr>
          <w:p w14:paraId="4D89EC0B" w14:textId="05FCC210"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0.07</w:t>
            </w:r>
            <w:r w:rsidR="00B34BB7" w:rsidRPr="005E13B9">
              <w:rPr>
                <w:rFonts w:eastAsia="標楷體"/>
                <w:sz w:val="22"/>
                <w:szCs w:val="22"/>
              </w:rPr>
              <w:t>6</w:t>
            </w:r>
            <w:r w:rsidRPr="005E13B9">
              <w:rPr>
                <w:rFonts w:eastAsia="標楷體" w:hint="eastAsia"/>
                <w:sz w:val="22"/>
                <w:szCs w:val="22"/>
              </w:rPr>
              <w:t>)</w:t>
            </w:r>
          </w:p>
        </w:tc>
        <w:tc>
          <w:tcPr>
            <w:tcW w:w="1125" w:type="pct"/>
            <w:tcBorders>
              <w:top w:val="nil"/>
              <w:bottom w:val="nil"/>
            </w:tcBorders>
            <w:vAlign w:val="center"/>
          </w:tcPr>
          <w:p w14:paraId="3F314F77" w14:textId="29CC0AEC"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0.01</w:t>
            </w:r>
            <w:r w:rsidR="00B34BB7" w:rsidRPr="005E13B9">
              <w:rPr>
                <w:rFonts w:eastAsia="標楷體"/>
                <w:sz w:val="22"/>
                <w:szCs w:val="22"/>
              </w:rPr>
              <w:t>1</w:t>
            </w:r>
            <w:r w:rsidRPr="005E13B9">
              <w:rPr>
                <w:rFonts w:eastAsia="標楷體" w:hint="eastAsia"/>
                <w:sz w:val="22"/>
                <w:szCs w:val="22"/>
              </w:rPr>
              <w:t>)</w:t>
            </w:r>
          </w:p>
        </w:tc>
        <w:tc>
          <w:tcPr>
            <w:tcW w:w="992" w:type="pct"/>
            <w:tcBorders>
              <w:top w:val="nil"/>
              <w:bottom w:val="nil"/>
            </w:tcBorders>
            <w:vAlign w:val="center"/>
          </w:tcPr>
          <w:p w14:paraId="61C27087" w14:textId="0C9F4F30"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0.002</w:t>
            </w:r>
            <w:r w:rsidRPr="005E13B9">
              <w:rPr>
                <w:rFonts w:eastAsia="標楷體" w:hint="eastAsia"/>
                <w:sz w:val="22"/>
                <w:szCs w:val="22"/>
              </w:rPr>
              <w:t>)</w:t>
            </w:r>
          </w:p>
        </w:tc>
      </w:tr>
      <w:tr w:rsidR="006F104F" w:rsidRPr="005E13B9" w14:paraId="4414BA38"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425EABE8" w14:textId="77777777" w:rsidR="005B1D79" w:rsidRPr="005E13B9" w:rsidRDefault="005B1D79" w:rsidP="001C65C7">
            <w:pPr>
              <w:overflowPunct w:val="0"/>
              <w:adjustRightInd w:val="0"/>
              <w:snapToGrid w:val="0"/>
              <w:rPr>
                <w:rFonts w:eastAsia="標楷體"/>
                <w:sz w:val="22"/>
                <w:szCs w:val="22"/>
              </w:rPr>
            </w:pPr>
            <w:r w:rsidRPr="005E13B9">
              <w:rPr>
                <w:rFonts w:eastAsia="標楷體"/>
                <w:kern w:val="0"/>
                <w:sz w:val="22"/>
                <w:szCs w:val="22"/>
              </w:rPr>
              <w:t>Electronic dummy</w:t>
            </w:r>
          </w:p>
        </w:tc>
        <w:tc>
          <w:tcPr>
            <w:tcW w:w="1429" w:type="pct"/>
            <w:tcBorders>
              <w:top w:val="nil"/>
              <w:bottom w:val="nil"/>
            </w:tcBorders>
            <w:noWrap/>
            <w:tcMar>
              <w:top w:w="14" w:type="dxa"/>
              <w:left w:w="14" w:type="dxa"/>
              <w:bottom w:w="0" w:type="dxa"/>
              <w:right w:w="14" w:type="dxa"/>
            </w:tcMar>
            <w:vAlign w:val="center"/>
          </w:tcPr>
          <w:p w14:paraId="44F5AD3C" w14:textId="31669F0F"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1.03</w:t>
            </w:r>
            <w:r w:rsidR="00B34BB7" w:rsidRPr="005E13B9">
              <w:rPr>
                <w:rFonts w:eastAsia="標楷體"/>
                <w:sz w:val="22"/>
                <w:szCs w:val="22"/>
              </w:rPr>
              <w:t>5</w:t>
            </w:r>
            <w:r w:rsidRPr="005E13B9">
              <w:rPr>
                <w:rFonts w:eastAsia="標楷體"/>
                <w:sz w:val="22"/>
                <w:szCs w:val="22"/>
              </w:rPr>
              <w:t>**</w:t>
            </w:r>
          </w:p>
        </w:tc>
        <w:tc>
          <w:tcPr>
            <w:tcW w:w="1125" w:type="pct"/>
            <w:tcBorders>
              <w:top w:val="nil"/>
              <w:bottom w:val="nil"/>
            </w:tcBorders>
            <w:vAlign w:val="center"/>
          </w:tcPr>
          <w:p w14:paraId="2003BB5A" w14:textId="2D661988"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0.347***</w:t>
            </w:r>
          </w:p>
        </w:tc>
        <w:tc>
          <w:tcPr>
            <w:tcW w:w="992" w:type="pct"/>
            <w:tcBorders>
              <w:top w:val="nil"/>
              <w:bottom w:val="nil"/>
            </w:tcBorders>
            <w:vAlign w:val="center"/>
          </w:tcPr>
          <w:p w14:paraId="4A373C65" w14:textId="409FF2E8"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-0.024</w:t>
            </w:r>
          </w:p>
        </w:tc>
      </w:tr>
      <w:tr w:rsidR="006F104F" w:rsidRPr="005E13B9" w14:paraId="78018FC7"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6A38D3C7" w14:textId="77777777" w:rsidR="005B1D79" w:rsidRPr="005E13B9" w:rsidRDefault="005B1D79" w:rsidP="001C65C7">
            <w:pPr>
              <w:overflowPunct w:val="0"/>
              <w:adjustRightInd w:val="0"/>
              <w:snapToGrid w:val="0"/>
              <w:rPr>
                <w:rFonts w:eastAsia="標楷體"/>
                <w:sz w:val="22"/>
                <w:szCs w:val="22"/>
              </w:rPr>
            </w:pPr>
          </w:p>
        </w:tc>
        <w:tc>
          <w:tcPr>
            <w:tcW w:w="1429" w:type="pct"/>
            <w:tcBorders>
              <w:top w:val="nil"/>
              <w:bottom w:val="nil"/>
            </w:tcBorders>
            <w:noWrap/>
            <w:tcMar>
              <w:top w:w="14" w:type="dxa"/>
              <w:left w:w="14" w:type="dxa"/>
              <w:bottom w:w="0" w:type="dxa"/>
              <w:right w:w="14" w:type="dxa"/>
            </w:tcMar>
            <w:vAlign w:val="center"/>
          </w:tcPr>
          <w:p w14:paraId="2121668A" w14:textId="680FE4FC"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0.40</w:t>
            </w:r>
            <w:r w:rsidR="00B34BB7" w:rsidRPr="005E13B9">
              <w:rPr>
                <w:rFonts w:eastAsia="標楷體"/>
                <w:sz w:val="22"/>
                <w:szCs w:val="22"/>
              </w:rPr>
              <w:t>6</w:t>
            </w:r>
            <w:r w:rsidRPr="005E13B9">
              <w:rPr>
                <w:rFonts w:eastAsia="標楷體" w:hint="eastAsia"/>
                <w:sz w:val="22"/>
                <w:szCs w:val="22"/>
              </w:rPr>
              <w:t>)</w:t>
            </w:r>
          </w:p>
        </w:tc>
        <w:tc>
          <w:tcPr>
            <w:tcW w:w="1125" w:type="pct"/>
            <w:tcBorders>
              <w:top w:val="nil"/>
              <w:bottom w:val="nil"/>
            </w:tcBorders>
            <w:vAlign w:val="center"/>
          </w:tcPr>
          <w:p w14:paraId="19678F88" w14:textId="2BC3920B"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0.08</w:t>
            </w:r>
            <w:r w:rsidR="00B34BB7" w:rsidRPr="005E13B9">
              <w:rPr>
                <w:rFonts w:eastAsia="標楷體"/>
                <w:sz w:val="22"/>
                <w:szCs w:val="22"/>
              </w:rPr>
              <w:t>4</w:t>
            </w:r>
            <w:r w:rsidRPr="005E13B9">
              <w:rPr>
                <w:rFonts w:eastAsia="標楷體" w:hint="eastAsia"/>
                <w:sz w:val="22"/>
                <w:szCs w:val="22"/>
              </w:rPr>
              <w:t>)</w:t>
            </w:r>
          </w:p>
        </w:tc>
        <w:tc>
          <w:tcPr>
            <w:tcW w:w="992" w:type="pct"/>
            <w:tcBorders>
              <w:top w:val="nil"/>
              <w:bottom w:val="nil"/>
            </w:tcBorders>
            <w:vAlign w:val="center"/>
          </w:tcPr>
          <w:p w14:paraId="34FA0E40" w14:textId="27FF8B48"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0.02</w:t>
            </w:r>
            <w:r w:rsidR="00B34BB7" w:rsidRPr="005E13B9">
              <w:rPr>
                <w:rFonts w:eastAsia="標楷體"/>
                <w:sz w:val="22"/>
                <w:szCs w:val="22"/>
              </w:rPr>
              <w:t>2</w:t>
            </w:r>
            <w:r w:rsidRPr="005E13B9">
              <w:rPr>
                <w:rFonts w:eastAsia="標楷體" w:hint="eastAsia"/>
                <w:sz w:val="22"/>
                <w:szCs w:val="22"/>
              </w:rPr>
              <w:t>)</w:t>
            </w:r>
          </w:p>
        </w:tc>
      </w:tr>
      <w:tr w:rsidR="006F104F" w:rsidRPr="005E13B9" w14:paraId="01D244BF"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6EF5C006" w14:textId="77777777" w:rsidR="005B1D79" w:rsidRPr="005E13B9" w:rsidRDefault="005B1D79" w:rsidP="001C65C7">
            <w:pPr>
              <w:widowControl/>
              <w:overflowPunct w:val="0"/>
              <w:adjustRightInd w:val="0"/>
              <w:snapToGrid w:val="0"/>
              <w:rPr>
                <w:rFonts w:eastAsia="標楷體"/>
                <w:kern w:val="0"/>
                <w:sz w:val="22"/>
                <w:szCs w:val="22"/>
              </w:rPr>
            </w:pPr>
            <w:r w:rsidRPr="005E13B9">
              <w:rPr>
                <w:rFonts w:eastAsia="標楷體"/>
                <w:kern w:val="0"/>
                <w:sz w:val="22"/>
                <w:szCs w:val="22"/>
              </w:rPr>
              <w:t>Firm scale</w:t>
            </w:r>
          </w:p>
        </w:tc>
        <w:tc>
          <w:tcPr>
            <w:tcW w:w="1429" w:type="pct"/>
            <w:tcBorders>
              <w:top w:val="nil"/>
              <w:bottom w:val="nil"/>
            </w:tcBorders>
            <w:noWrap/>
            <w:tcMar>
              <w:top w:w="14" w:type="dxa"/>
              <w:left w:w="14" w:type="dxa"/>
              <w:bottom w:w="0" w:type="dxa"/>
              <w:right w:w="14" w:type="dxa"/>
            </w:tcMar>
            <w:vAlign w:val="center"/>
          </w:tcPr>
          <w:p w14:paraId="64D49466" w14:textId="2B1EDAA9"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6.26</w:t>
            </w:r>
            <w:r w:rsidR="00B34BB7" w:rsidRPr="005E13B9">
              <w:rPr>
                <w:rFonts w:eastAsia="標楷體"/>
                <w:sz w:val="22"/>
                <w:szCs w:val="22"/>
              </w:rPr>
              <w:t>6</w:t>
            </w:r>
            <w:r w:rsidRPr="005E13B9">
              <w:rPr>
                <w:rFonts w:eastAsia="標楷體"/>
                <w:sz w:val="22"/>
                <w:szCs w:val="22"/>
              </w:rPr>
              <w:t>***</w:t>
            </w:r>
          </w:p>
        </w:tc>
        <w:tc>
          <w:tcPr>
            <w:tcW w:w="1125" w:type="pct"/>
            <w:tcBorders>
              <w:top w:val="nil"/>
              <w:bottom w:val="nil"/>
            </w:tcBorders>
            <w:vAlign w:val="center"/>
          </w:tcPr>
          <w:p w14:paraId="4A4DEE63" w14:textId="6ED87B50"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0.45</w:t>
            </w:r>
            <w:r w:rsidR="00B34BB7" w:rsidRPr="005E13B9">
              <w:rPr>
                <w:rFonts w:eastAsia="標楷體"/>
                <w:sz w:val="22"/>
                <w:szCs w:val="22"/>
              </w:rPr>
              <w:t>5</w:t>
            </w:r>
            <w:r w:rsidRPr="005E13B9">
              <w:rPr>
                <w:rFonts w:eastAsia="標楷體"/>
                <w:sz w:val="22"/>
                <w:szCs w:val="22"/>
              </w:rPr>
              <w:t>***</w:t>
            </w:r>
          </w:p>
        </w:tc>
        <w:tc>
          <w:tcPr>
            <w:tcW w:w="992" w:type="pct"/>
            <w:tcBorders>
              <w:top w:val="nil"/>
              <w:bottom w:val="nil"/>
            </w:tcBorders>
            <w:vAlign w:val="center"/>
          </w:tcPr>
          <w:p w14:paraId="2ABF23EF" w14:textId="22A6355C"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0.044***</w:t>
            </w:r>
          </w:p>
        </w:tc>
      </w:tr>
      <w:tr w:rsidR="006F104F" w:rsidRPr="005E13B9" w14:paraId="2CA831CF"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7AA3FA59" w14:textId="77777777" w:rsidR="005B1D79" w:rsidRPr="005E13B9" w:rsidRDefault="005B1D79" w:rsidP="001C65C7">
            <w:pPr>
              <w:overflowPunct w:val="0"/>
              <w:adjustRightInd w:val="0"/>
              <w:snapToGrid w:val="0"/>
              <w:rPr>
                <w:rFonts w:eastAsia="標楷體"/>
                <w:sz w:val="22"/>
                <w:szCs w:val="22"/>
              </w:rPr>
            </w:pPr>
          </w:p>
        </w:tc>
        <w:tc>
          <w:tcPr>
            <w:tcW w:w="1429" w:type="pct"/>
            <w:tcBorders>
              <w:top w:val="nil"/>
              <w:bottom w:val="nil"/>
            </w:tcBorders>
            <w:noWrap/>
            <w:tcMar>
              <w:top w:w="14" w:type="dxa"/>
              <w:left w:w="14" w:type="dxa"/>
              <w:bottom w:w="0" w:type="dxa"/>
              <w:right w:w="14" w:type="dxa"/>
            </w:tcMar>
            <w:vAlign w:val="center"/>
          </w:tcPr>
          <w:p w14:paraId="7FC8138E" w14:textId="1AA4357E"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0.169</w:t>
            </w:r>
            <w:r w:rsidRPr="005E13B9">
              <w:rPr>
                <w:rFonts w:eastAsia="標楷體" w:hint="eastAsia"/>
                <w:sz w:val="22"/>
                <w:szCs w:val="22"/>
              </w:rPr>
              <w:t>)</w:t>
            </w:r>
          </w:p>
        </w:tc>
        <w:tc>
          <w:tcPr>
            <w:tcW w:w="1125" w:type="pct"/>
            <w:tcBorders>
              <w:top w:val="nil"/>
              <w:bottom w:val="nil"/>
            </w:tcBorders>
            <w:vAlign w:val="center"/>
          </w:tcPr>
          <w:p w14:paraId="39A31CA8" w14:textId="2DD6E93C"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0.020</w:t>
            </w:r>
            <w:r w:rsidRPr="005E13B9">
              <w:rPr>
                <w:rFonts w:eastAsia="標楷體" w:hint="eastAsia"/>
                <w:sz w:val="22"/>
                <w:szCs w:val="22"/>
              </w:rPr>
              <w:t>)</w:t>
            </w:r>
          </w:p>
        </w:tc>
        <w:tc>
          <w:tcPr>
            <w:tcW w:w="992" w:type="pct"/>
            <w:tcBorders>
              <w:top w:val="nil"/>
              <w:bottom w:val="nil"/>
            </w:tcBorders>
            <w:vAlign w:val="center"/>
          </w:tcPr>
          <w:p w14:paraId="418F2C6D" w14:textId="2A4C07C3"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0.00</w:t>
            </w:r>
            <w:r w:rsidR="00B34BB7" w:rsidRPr="005E13B9">
              <w:rPr>
                <w:rFonts w:eastAsia="標楷體"/>
                <w:sz w:val="22"/>
                <w:szCs w:val="22"/>
              </w:rPr>
              <w:t>4</w:t>
            </w:r>
            <w:r w:rsidRPr="005E13B9">
              <w:rPr>
                <w:rFonts w:eastAsia="標楷體" w:hint="eastAsia"/>
                <w:sz w:val="22"/>
                <w:szCs w:val="22"/>
              </w:rPr>
              <w:t>)</w:t>
            </w:r>
          </w:p>
        </w:tc>
      </w:tr>
      <w:tr w:rsidR="006F104F" w:rsidRPr="005E13B9" w14:paraId="3506A2BE"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4B8B8E5E" w14:textId="77777777" w:rsidR="005B1D79" w:rsidRPr="005E13B9" w:rsidRDefault="005B1D79" w:rsidP="001C65C7">
            <w:pPr>
              <w:overflowPunct w:val="0"/>
              <w:adjustRightInd w:val="0"/>
              <w:snapToGrid w:val="0"/>
              <w:rPr>
                <w:rFonts w:eastAsia="標楷體"/>
                <w:sz w:val="22"/>
                <w:szCs w:val="22"/>
              </w:rPr>
            </w:pPr>
            <w:r w:rsidRPr="005E13B9">
              <w:rPr>
                <w:rFonts w:eastAsia="標楷體"/>
                <w:sz w:val="22"/>
                <w:szCs w:val="22"/>
              </w:rPr>
              <w:t>Constant</w:t>
            </w:r>
          </w:p>
        </w:tc>
        <w:tc>
          <w:tcPr>
            <w:tcW w:w="1429" w:type="pct"/>
            <w:tcBorders>
              <w:top w:val="nil"/>
              <w:bottom w:val="nil"/>
            </w:tcBorders>
            <w:noWrap/>
            <w:tcMar>
              <w:top w:w="14" w:type="dxa"/>
              <w:left w:w="14" w:type="dxa"/>
              <w:bottom w:w="0" w:type="dxa"/>
              <w:right w:w="14" w:type="dxa"/>
            </w:tcMar>
            <w:vAlign w:val="center"/>
          </w:tcPr>
          <w:p w14:paraId="43E18085" w14:textId="1E2B3E3B"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-87.805***</w:t>
            </w:r>
          </w:p>
        </w:tc>
        <w:tc>
          <w:tcPr>
            <w:tcW w:w="1125" w:type="pct"/>
            <w:tcBorders>
              <w:top w:val="nil"/>
              <w:bottom w:val="nil"/>
            </w:tcBorders>
            <w:vAlign w:val="center"/>
          </w:tcPr>
          <w:p w14:paraId="3D0C3606" w14:textId="01C203AD"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-4.42</w:t>
            </w:r>
            <w:r w:rsidR="00B34BB7" w:rsidRPr="005E13B9">
              <w:rPr>
                <w:rFonts w:eastAsia="標楷體"/>
                <w:sz w:val="22"/>
                <w:szCs w:val="22"/>
              </w:rPr>
              <w:t>9</w:t>
            </w:r>
            <w:r w:rsidRPr="005E13B9">
              <w:rPr>
                <w:rFonts w:eastAsia="標楷體"/>
                <w:sz w:val="22"/>
                <w:szCs w:val="22"/>
              </w:rPr>
              <w:t>***</w:t>
            </w:r>
          </w:p>
        </w:tc>
        <w:tc>
          <w:tcPr>
            <w:tcW w:w="992" w:type="pct"/>
            <w:tcBorders>
              <w:top w:val="nil"/>
              <w:bottom w:val="nil"/>
            </w:tcBorders>
            <w:vAlign w:val="center"/>
          </w:tcPr>
          <w:p w14:paraId="18815781" w14:textId="4470BB41"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-0.361***</w:t>
            </w:r>
          </w:p>
        </w:tc>
      </w:tr>
      <w:tr w:rsidR="006F104F" w:rsidRPr="005E13B9" w14:paraId="2D64F94C" w14:textId="77777777" w:rsidTr="006C7AFA">
        <w:trPr>
          <w:cantSplit/>
          <w:trHeight w:hRule="exact" w:val="283"/>
        </w:trPr>
        <w:tc>
          <w:tcPr>
            <w:tcW w:w="1454" w:type="pct"/>
            <w:tcBorders>
              <w:top w:val="nil"/>
              <w:bottom w:val="nil"/>
            </w:tcBorders>
            <w:noWrap/>
            <w:tcMar>
              <w:top w:w="14" w:type="dxa"/>
              <w:left w:w="14" w:type="dxa"/>
              <w:bottom w:w="0" w:type="dxa"/>
              <w:right w:w="14" w:type="dxa"/>
            </w:tcMar>
            <w:vAlign w:val="center"/>
          </w:tcPr>
          <w:p w14:paraId="5A9E1350" w14:textId="77777777" w:rsidR="005B1D79" w:rsidRPr="005E13B9" w:rsidRDefault="005B1D79" w:rsidP="001C65C7">
            <w:pPr>
              <w:overflowPunct w:val="0"/>
              <w:adjustRightInd w:val="0"/>
              <w:snapToGrid w:val="0"/>
              <w:rPr>
                <w:rFonts w:eastAsia="標楷體"/>
                <w:sz w:val="22"/>
                <w:szCs w:val="22"/>
              </w:rPr>
            </w:pPr>
          </w:p>
        </w:tc>
        <w:tc>
          <w:tcPr>
            <w:tcW w:w="1429" w:type="pct"/>
            <w:tcBorders>
              <w:top w:val="nil"/>
              <w:bottom w:val="nil"/>
            </w:tcBorders>
            <w:noWrap/>
            <w:tcMar>
              <w:top w:w="14" w:type="dxa"/>
              <w:left w:w="14" w:type="dxa"/>
              <w:bottom w:w="0" w:type="dxa"/>
              <w:right w:w="14" w:type="dxa"/>
            </w:tcMar>
            <w:vAlign w:val="center"/>
          </w:tcPr>
          <w:p w14:paraId="7D57B80E" w14:textId="241A5483"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2.650</w:t>
            </w:r>
            <w:r w:rsidRPr="005E13B9">
              <w:rPr>
                <w:rFonts w:eastAsia="標楷體" w:hint="eastAsia"/>
                <w:sz w:val="22"/>
                <w:szCs w:val="22"/>
              </w:rPr>
              <w:t>)</w:t>
            </w:r>
          </w:p>
        </w:tc>
        <w:tc>
          <w:tcPr>
            <w:tcW w:w="1125" w:type="pct"/>
            <w:tcBorders>
              <w:top w:val="nil"/>
              <w:bottom w:val="nil"/>
            </w:tcBorders>
            <w:vAlign w:val="center"/>
          </w:tcPr>
          <w:p w14:paraId="293CE2AE" w14:textId="509545DB"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0.295</w:t>
            </w:r>
            <w:r w:rsidRPr="005E13B9">
              <w:rPr>
                <w:rFonts w:eastAsia="標楷體" w:hint="eastAsia"/>
                <w:sz w:val="22"/>
                <w:szCs w:val="22"/>
              </w:rPr>
              <w:t>)</w:t>
            </w:r>
          </w:p>
        </w:tc>
        <w:tc>
          <w:tcPr>
            <w:tcW w:w="992" w:type="pct"/>
            <w:tcBorders>
              <w:top w:val="nil"/>
              <w:bottom w:val="nil"/>
            </w:tcBorders>
            <w:vAlign w:val="center"/>
          </w:tcPr>
          <w:p w14:paraId="1FD0EEC7" w14:textId="7164E37B" w:rsidR="005B1D79" w:rsidRPr="005E13B9" w:rsidRDefault="006C7AFA" w:rsidP="001C65C7">
            <w:pPr>
              <w:overflowPunct w:val="0"/>
              <w:adjustRightInd w:val="0"/>
              <w:snapToGrid w:val="0"/>
              <w:jc w:val="center"/>
              <w:rPr>
                <w:rFonts w:eastAsia="標楷體"/>
                <w:sz w:val="22"/>
                <w:szCs w:val="22"/>
              </w:rPr>
            </w:pPr>
            <w:r w:rsidRPr="005E13B9">
              <w:rPr>
                <w:rFonts w:eastAsia="標楷體" w:hint="eastAsia"/>
                <w:sz w:val="22"/>
                <w:szCs w:val="22"/>
              </w:rPr>
              <w:t>(</w:t>
            </w:r>
            <w:r w:rsidR="005B1D79" w:rsidRPr="005E13B9">
              <w:rPr>
                <w:rFonts w:eastAsia="標楷體"/>
                <w:sz w:val="22"/>
                <w:szCs w:val="22"/>
              </w:rPr>
              <w:t>0.05</w:t>
            </w:r>
            <w:r w:rsidR="00B34BB7" w:rsidRPr="005E13B9">
              <w:rPr>
                <w:rFonts w:eastAsia="標楷體"/>
                <w:sz w:val="22"/>
                <w:szCs w:val="22"/>
              </w:rPr>
              <w:t>6</w:t>
            </w:r>
            <w:r w:rsidRPr="005E13B9">
              <w:rPr>
                <w:rFonts w:eastAsia="標楷體" w:hint="eastAsia"/>
                <w:sz w:val="22"/>
                <w:szCs w:val="22"/>
              </w:rPr>
              <w:t>)</w:t>
            </w:r>
          </w:p>
        </w:tc>
      </w:tr>
      <w:tr w:rsidR="006F104F" w:rsidRPr="005E13B9" w14:paraId="5C752D8C" w14:textId="77777777" w:rsidTr="00FC6142">
        <w:trPr>
          <w:cantSplit/>
          <w:trHeight w:hRule="exact" w:val="283"/>
        </w:trPr>
        <w:tc>
          <w:tcPr>
            <w:tcW w:w="1454" w:type="pct"/>
            <w:tcBorders>
              <w:top w:val="single" w:sz="4" w:space="0" w:color="auto"/>
              <w:bottom w:val="single" w:sz="4" w:space="0" w:color="auto"/>
            </w:tcBorders>
            <w:noWrap/>
            <w:tcMar>
              <w:top w:w="14" w:type="dxa"/>
              <w:left w:w="14" w:type="dxa"/>
              <w:bottom w:w="0" w:type="dxa"/>
              <w:right w:w="14" w:type="dxa"/>
            </w:tcMar>
            <w:vAlign w:val="center"/>
          </w:tcPr>
          <w:p w14:paraId="15BCAA82" w14:textId="77777777" w:rsidR="005B1D79" w:rsidRPr="005E13B9" w:rsidRDefault="005B1D79" w:rsidP="001C65C7">
            <w:pPr>
              <w:overflowPunct w:val="0"/>
              <w:adjustRightInd w:val="0"/>
              <w:snapToGrid w:val="0"/>
              <w:jc w:val="both"/>
              <w:rPr>
                <w:rFonts w:eastAsia="標楷體"/>
                <w:sz w:val="22"/>
                <w:szCs w:val="22"/>
              </w:rPr>
            </w:pPr>
            <w:r w:rsidRPr="005E13B9">
              <w:rPr>
                <w:rFonts w:eastAsia="標楷體"/>
                <w:sz w:val="22"/>
                <w:szCs w:val="22"/>
                <w:shd w:val="clear" w:color="auto" w:fill="FFFFFF"/>
              </w:rPr>
              <w:t>Adj. R</w:t>
            </w:r>
            <w:r w:rsidRPr="005E13B9">
              <w:rPr>
                <w:rFonts w:eastAsia="標楷體"/>
                <w:sz w:val="22"/>
                <w:szCs w:val="22"/>
                <w:shd w:val="clear" w:color="auto" w:fill="FFFFFF"/>
                <w:vertAlign w:val="superscript"/>
              </w:rPr>
              <w:t>2</w:t>
            </w:r>
          </w:p>
        </w:tc>
        <w:tc>
          <w:tcPr>
            <w:tcW w:w="1429" w:type="pct"/>
            <w:tcBorders>
              <w:top w:val="single" w:sz="4" w:space="0" w:color="auto"/>
              <w:bottom w:val="single" w:sz="4" w:space="0" w:color="auto"/>
            </w:tcBorders>
            <w:noWrap/>
            <w:tcMar>
              <w:top w:w="14" w:type="dxa"/>
              <w:left w:w="14" w:type="dxa"/>
              <w:bottom w:w="0" w:type="dxa"/>
              <w:right w:w="14" w:type="dxa"/>
            </w:tcMar>
            <w:vAlign w:val="center"/>
          </w:tcPr>
          <w:p w14:paraId="01E60529" w14:textId="335F7888"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w:t>
            </w:r>
            <w:r w:rsidR="00B34BB7" w:rsidRPr="005E13B9">
              <w:rPr>
                <w:rFonts w:eastAsia="標楷體"/>
                <w:sz w:val="22"/>
                <w:szCs w:val="22"/>
              </w:rPr>
              <w:t>300</w:t>
            </w:r>
          </w:p>
        </w:tc>
        <w:tc>
          <w:tcPr>
            <w:tcW w:w="1125" w:type="pct"/>
            <w:tcBorders>
              <w:top w:val="single" w:sz="4" w:space="0" w:color="auto"/>
              <w:bottom w:val="single" w:sz="4" w:space="0" w:color="auto"/>
            </w:tcBorders>
            <w:vAlign w:val="center"/>
          </w:tcPr>
          <w:p w14:paraId="7060B7C1" w14:textId="3A02C29D"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0.111</w:t>
            </w:r>
          </w:p>
        </w:tc>
        <w:tc>
          <w:tcPr>
            <w:tcW w:w="992" w:type="pct"/>
            <w:tcBorders>
              <w:top w:val="single" w:sz="4" w:space="0" w:color="auto"/>
              <w:bottom w:val="single" w:sz="4" w:space="0" w:color="auto"/>
            </w:tcBorders>
            <w:vAlign w:val="center"/>
          </w:tcPr>
          <w:p w14:paraId="49765A5B" w14:textId="457E51A4"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0.035</w:t>
            </w:r>
          </w:p>
        </w:tc>
      </w:tr>
      <w:tr w:rsidR="006F104F" w:rsidRPr="005E13B9" w14:paraId="336C939F" w14:textId="77777777" w:rsidTr="00FC6142">
        <w:trPr>
          <w:cantSplit/>
          <w:trHeight w:hRule="exact" w:val="283"/>
        </w:trPr>
        <w:tc>
          <w:tcPr>
            <w:tcW w:w="1454" w:type="pct"/>
            <w:tcBorders>
              <w:top w:val="single" w:sz="4" w:space="0" w:color="auto"/>
              <w:bottom w:val="single" w:sz="4" w:space="0" w:color="auto"/>
            </w:tcBorders>
            <w:noWrap/>
            <w:tcMar>
              <w:top w:w="14" w:type="dxa"/>
              <w:left w:w="14" w:type="dxa"/>
              <w:bottom w:w="0" w:type="dxa"/>
              <w:right w:w="14" w:type="dxa"/>
            </w:tcMar>
            <w:vAlign w:val="center"/>
          </w:tcPr>
          <w:p w14:paraId="1661418F" w14:textId="77777777" w:rsidR="005B1D79" w:rsidRPr="005E13B9" w:rsidRDefault="005B1D79" w:rsidP="001C65C7">
            <w:pPr>
              <w:overflowPunct w:val="0"/>
              <w:adjustRightInd w:val="0"/>
              <w:snapToGrid w:val="0"/>
              <w:jc w:val="both"/>
              <w:rPr>
                <w:rFonts w:eastAsia="標楷體"/>
                <w:sz w:val="22"/>
                <w:szCs w:val="22"/>
              </w:rPr>
            </w:pPr>
            <w:r w:rsidRPr="005E13B9">
              <w:rPr>
                <w:rFonts w:eastAsia="標楷體"/>
                <w:sz w:val="22"/>
                <w:szCs w:val="22"/>
                <w:shd w:val="clear" w:color="auto" w:fill="FFFFFF"/>
              </w:rPr>
              <w:t>Coefficient estimates</w:t>
            </w:r>
          </w:p>
        </w:tc>
        <w:tc>
          <w:tcPr>
            <w:tcW w:w="1429" w:type="pct"/>
            <w:tcBorders>
              <w:top w:val="single" w:sz="4" w:space="0" w:color="auto"/>
              <w:bottom w:val="single" w:sz="4" w:space="0" w:color="auto"/>
            </w:tcBorders>
            <w:noWrap/>
            <w:tcMar>
              <w:top w:w="14" w:type="dxa"/>
              <w:left w:w="14" w:type="dxa"/>
              <w:bottom w:w="0" w:type="dxa"/>
              <w:right w:w="14" w:type="dxa"/>
            </w:tcMar>
            <w:vAlign w:val="center"/>
          </w:tcPr>
          <w:p w14:paraId="2C1CBB6E"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OLS</w:t>
            </w:r>
          </w:p>
        </w:tc>
        <w:tc>
          <w:tcPr>
            <w:tcW w:w="1125" w:type="pct"/>
            <w:tcBorders>
              <w:top w:val="single" w:sz="4" w:space="0" w:color="auto"/>
              <w:bottom w:val="single" w:sz="4" w:space="0" w:color="auto"/>
            </w:tcBorders>
            <w:vAlign w:val="center"/>
          </w:tcPr>
          <w:p w14:paraId="654F3271"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OLS</w:t>
            </w:r>
          </w:p>
        </w:tc>
        <w:tc>
          <w:tcPr>
            <w:tcW w:w="992" w:type="pct"/>
            <w:tcBorders>
              <w:top w:val="single" w:sz="4" w:space="0" w:color="auto"/>
              <w:bottom w:val="single" w:sz="4" w:space="0" w:color="auto"/>
            </w:tcBorders>
            <w:vAlign w:val="center"/>
          </w:tcPr>
          <w:p w14:paraId="2A4EFDD5"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OLS</w:t>
            </w:r>
          </w:p>
        </w:tc>
      </w:tr>
      <w:tr w:rsidR="006F104F" w:rsidRPr="005E13B9" w14:paraId="052B9711" w14:textId="77777777" w:rsidTr="00FC6142">
        <w:trPr>
          <w:cantSplit/>
          <w:trHeight w:hRule="exact" w:val="283"/>
        </w:trPr>
        <w:tc>
          <w:tcPr>
            <w:tcW w:w="1454" w:type="pct"/>
            <w:tcBorders>
              <w:top w:val="single" w:sz="4" w:space="0" w:color="auto"/>
              <w:bottom w:val="single" w:sz="12" w:space="0" w:color="auto"/>
            </w:tcBorders>
            <w:noWrap/>
            <w:tcMar>
              <w:top w:w="14" w:type="dxa"/>
              <w:left w:w="14" w:type="dxa"/>
              <w:bottom w:w="0" w:type="dxa"/>
              <w:right w:w="14" w:type="dxa"/>
            </w:tcMar>
            <w:vAlign w:val="center"/>
          </w:tcPr>
          <w:p w14:paraId="6767F9ED" w14:textId="77777777" w:rsidR="005B1D79" w:rsidRPr="005E13B9" w:rsidRDefault="005B1D79" w:rsidP="001C65C7">
            <w:pPr>
              <w:overflowPunct w:val="0"/>
              <w:adjustRightInd w:val="0"/>
              <w:snapToGrid w:val="0"/>
              <w:jc w:val="both"/>
              <w:rPr>
                <w:rFonts w:eastAsia="標楷體"/>
                <w:sz w:val="22"/>
                <w:szCs w:val="22"/>
              </w:rPr>
            </w:pPr>
            <w:r w:rsidRPr="005E13B9">
              <w:rPr>
                <w:rFonts w:eastAsia="標楷體"/>
                <w:sz w:val="22"/>
                <w:szCs w:val="22"/>
                <w:shd w:val="clear" w:color="auto" w:fill="FFFFFF"/>
              </w:rPr>
              <w:t>Standard errors</w:t>
            </w:r>
          </w:p>
        </w:tc>
        <w:tc>
          <w:tcPr>
            <w:tcW w:w="1429" w:type="pct"/>
            <w:tcBorders>
              <w:top w:val="single" w:sz="4" w:space="0" w:color="auto"/>
              <w:bottom w:val="single" w:sz="12" w:space="0" w:color="auto"/>
            </w:tcBorders>
            <w:noWrap/>
            <w:tcMar>
              <w:top w:w="14" w:type="dxa"/>
              <w:left w:w="14" w:type="dxa"/>
              <w:bottom w:w="0" w:type="dxa"/>
              <w:right w:w="14" w:type="dxa"/>
            </w:tcMar>
            <w:vAlign w:val="center"/>
          </w:tcPr>
          <w:p w14:paraId="1AEBD7A9"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White</w:t>
            </w:r>
            <w:r w:rsidR="00F6219A" w:rsidRPr="005E13B9">
              <w:rPr>
                <w:rStyle w:val="af9"/>
                <w:sz w:val="22"/>
                <w:szCs w:val="22"/>
              </w:rPr>
              <w:footnoteReference w:id="2"/>
            </w:r>
          </w:p>
        </w:tc>
        <w:tc>
          <w:tcPr>
            <w:tcW w:w="1125" w:type="pct"/>
            <w:tcBorders>
              <w:top w:val="single" w:sz="4" w:space="0" w:color="auto"/>
              <w:bottom w:val="single" w:sz="12" w:space="0" w:color="auto"/>
            </w:tcBorders>
            <w:vAlign w:val="center"/>
          </w:tcPr>
          <w:p w14:paraId="64BD2AB6"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White</w:t>
            </w:r>
          </w:p>
        </w:tc>
        <w:tc>
          <w:tcPr>
            <w:tcW w:w="992" w:type="pct"/>
            <w:tcBorders>
              <w:top w:val="single" w:sz="4" w:space="0" w:color="auto"/>
              <w:bottom w:val="single" w:sz="12" w:space="0" w:color="auto"/>
            </w:tcBorders>
            <w:vAlign w:val="center"/>
          </w:tcPr>
          <w:p w14:paraId="481C6A6C"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White</w:t>
            </w:r>
          </w:p>
        </w:tc>
      </w:tr>
    </w:tbl>
    <w:p w14:paraId="6DB74EEA" w14:textId="77777777" w:rsidR="004F5776" w:rsidRPr="005E13B9" w:rsidRDefault="004F5776" w:rsidP="001C65C7">
      <w:pPr>
        <w:widowControl/>
        <w:overflowPunct w:val="0"/>
        <w:rPr>
          <w:rFonts w:eastAsia="標楷體"/>
          <w:b/>
          <w:sz w:val="26"/>
          <w:szCs w:val="26"/>
        </w:rPr>
      </w:pPr>
    </w:p>
    <w:p w14:paraId="442B7D29" w14:textId="539739BA" w:rsidR="004F5776" w:rsidRPr="005E13B9" w:rsidRDefault="004F5776" w:rsidP="00532BD2">
      <w:pPr>
        <w:overflowPunct w:val="0"/>
        <w:adjustRightInd w:val="0"/>
        <w:snapToGrid w:val="0"/>
        <w:ind w:firstLineChars="200" w:firstLine="520"/>
        <w:jc w:val="both"/>
        <w:rPr>
          <w:rFonts w:eastAsia="標楷體"/>
          <w:sz w:val="26"/>
          <w:szCs w:val="26"/>
          <w:shd w:val="clear" w:color="auto" w:fill="FFFFFF"/>
        </w:rPr>
      </w:pPr>
      <w:r w:rsidRPr="005E13B9">
        <w:rPr>
          <w:rFonts w:eastAsia="標楷體"/>
          <w:sz w:val="26"/>
          <w:szCs w:val="26"/>
          <w:shd w:val="clear" w:color="auto" w:fill="FFFFFF"/>
        </w:rPr>
        <w:t>We explore whether the shareholding of institutional investors would be affected by industry category change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changing once and more than once</w:t>
      </w:r>
      <w:r w:rsidR="00532BD2" w:rsidRPr="005E13B9">
        <w:rPr>
          <w:rFonts w:eastAsia="標楷體"/>
          <w:sz w:val="26"/>
          <w:szCs w:val="26"/>
          <w:shd w:val="clear" w:color="auto" w:fill="FFFFFF"/>
        </w:rPr>
        <w:t>.</w:t>
      </w:r>
      <w:r w:rsidRPr="005E13B9">
        <w:rPr>
          <w:rFonts w:eastAsia="標楷體"/>
          <w:sz w:val="26"/>
          <w:szCs w:val="26"/>
          <w:shd w:val="clear" w:color="auto" w:fill="FFFFFF"/>
        </w:rPr>
        <w:t xml:space="preserve"> </w:t>
      </w:r>
      <w:r w:rsidR="00532BD2" w:rsidRPr="005E13B9">
        <w:rPr>
          <w:rFonts w:eastAsia="標楷體"/>
          <w:sz w:val="26"/>
          <w:szCs w:val="26"/>
          <w:shd w:val="clear" w:color="auto" w:fill="FFFFFF"/>
        </w:rPr>
        <w:t>T</w:t>
      </w:r>
      <w:r w:rsidRPr="005E13B9">
        <w:rPr>
          <w:rFonts w:eastAsia="標楷體"/>
          <w:sz w:val="26"/>
          <w:szCs w:val="26"/>
          <w:shd w:val="clear" w:color="auto" w:fill="FFFFFF"/>
        </w:rPr>
        <w:t xml:space="preserve">he results are shown </w:t>
      </w:r>
      <w:r w:rsidR="00532BD2" w:rsidRPr="005E13B9">
        <w:rPr>
          <w:rFonts w:eastAsia="標楷體"/>
          <w:sz w:val="26"/>
          <w:szCs w:val="26"/>
          <w:shd w:val="clear" w:color="auto" w:fill="FFFFFF"/>
        </w:rPr>
        <w:t xml:space="preserve">in Table 4 </w:t>
      </w:r>
      <w:r w:rsidRPr="005E13B9">
        <w:rPr>
          <w:rFonts w:eastAsia="標楷體"/>
          <w:sz w:val="26"/>
          <w:szCs w:val="26"/>
          <w:shd w:val="clear" w:color="auto" w:fill="FFFFFF"/>
        </w:rPr>
        <w:t xml:space="preserve">for the shareholding changes of foreign institutions, domestic institutions, and security dealers in Equations (2a) – (2c), respectively. </w:t>
      </w:r>
      <w:r w:rsidR="00532BD2" w:rsidRPr="005E13B9">
        <w:rPr>
          <w:rFonts w:eastAsia="標楷體"/>
          <w:sz w:val="26"/>
          <w:szCs w:val="26"/>
          <w:shd w:val="clear" w:color="auto" w:fill="FFFFFF"/>
        </w:rPr>
        <w:t>Besides</w:t>
      </w:r>
      <w:r w:rsidRPr="005E13B9">
        <w:rPr>
          <w:rFonts w:eastAsia="標楷體"/>
          <w:sz w:val="26"/>
          <w:szCs w:val="26"/>
          <w:shd w:val="clear" w:color="auto" w:fill="FFFFFF"/>
        </w:rPr>
        <w:t>, we employ financial statement variables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net profit ratio, asset turnover ratio, and debt ratio, board structure variables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directors’ </w:t>
      </w:r>
      <w:r w:rsidRPr="005E13B9">
        <w:rPr>
          <w:rFonts w:eastAsia="標楷體" w:hint="eastAsia"/>
          <w:sz w:val="26"/>
          <w:szCs w:val="26"/>
          <w:shd w:val="clear" w:color="auto" w:fill="FFFFFF"/>
        </w:rPr>
        <w:t>share</w:t>
      </w:r>
      <w:r w:rsidRPr="005E13B9">
        <w:rPr>
          <w:rFonts w:eastAsia="標楷體"/>
          <w:sz w:val="26"/>
          <w:szCs w:val="26"/>
          <w:shd w:val="clear" w:color="auto" w:fill="FFFFFF"/>
        </w:rPr>
        <w:t xml:space="preserve">holding ratio, managers’ </w:t>
      </w:r>
      <w:r w:rsidRPr="005E13B9">
        <w:rPr>
          <w:rFonts w:eastAsia="標楷體" w:hint="eastAsia"/>
          <w:sz w:val="26"/>
          <w:szCs w:val="26"/>
          <w:shd w:val="clear" w:color="auto" w:fill="FFFFFF"/>
        </w:rPr>
        <w:t>share</w:t>
      </w:r>
      <w:r w:rsidRPr="005E13B9">
        <w:rPr>
          <w:rFonts w:eastAsia="標楷體"/>
          <w:sz w:val="26"/>
          <w:szCs w:val="26"/>
          <w:shd w:val="clear" w:color="auto" w:fill="FFFFFF"/>
        </w:rPr>
        <w:t xml:space="preserve">holding ratio, directors’ pledge ratio, CEO duality </w:t>
      </w:r>
      <w:r w:rsidRPr="005E13B9">
        <w:rPr>
          <w:rFonts w:eastAsia="標楷體"/>
          <w:kern w:val="0"/>
          <w:sz w:val="26"/>
          <w:szCs w:val="26"/>
        </w:rPr>
        <w:t>dummy</w:t>
      </w:r>
      <w:r w:rsidRPr="005E13B9">
        <w:rPr>
          <w:rFonts w:eastAsia="標楷體"/>
          <w:sz w:val="26"/>
          <w:szCs w:val="26"/>
          <w:shd w:val="clear" w:color="auto" w:fill="FFFFFF"/>
        </w:rPr>
        <w:t>, and board size, and others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w:t>
      </w:r>
      <w:r w:rsidRPr="005E13B9">
        <w:rPr>
          <w:rFonts w:eastAsia="標楷體"/>
          <w:noProof/>
          <w:kern w:val="0"/>
          <w:sz w:val="26"/>
          <w:szCs w:val="26"/>
        </w:rPr>
        <w:t>electronic</w:t>
      </w:r>
      <w:r w:rsidRPr="005E13B9">
        <w:rPr>
          <w:rFonts w:eastAsia="標楷體"/>
          <w:kern w:val="0"/>
          <w:sz w:val="26"/>
          <w:szCs w:val="26"/>
        </w:rPr>
        <w:t xml:space="preserve"> dummy</w:t>
      </w:r>
      <w:r w:rsidRPr="005E13B9">
        <w:rPr>
          <w:rFonts w:eastAsia="標楷體"/>
          <w:sz w:val="26"/>
          <w:szCs w:val="26"/>
          <w:shd w:val="clear" w:color="auto" w:fill="FFFFFF"/>
        </w:rPr>
        <w:t xml:space="preserve"> and firm scale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as </w:t>
      </w:r>
      <w:r w:rsidRPr="005E13B9">
        <w:rPr>
          <w:rFonts w:eastAsia="標楷體" w:hint="eastAsia"/>
          <w:sz w:val="26"/>
          <w:szCs w:val="26"/>
          <w:shd w:val="clear" w:color="auto" w:fill="FFFFFF"/>
        </w:rPr>
        <w:t xml:space="preserve">the </w:t>
      </w:r>
      <w:r w:rsidRPr="005E13B9">
        <w:rPr>
          <w:rFonts w:eastAsia="標楷體"/>
          <w:sz w:val="26"/>
          <w:szCs w:val="26"/>
          <w:shd w:val="clear" w:color="auto" w:fill="FFFFFF"/>
        </w:rPr>
        <w:t xml:space="preserve">controlling variables. The t-statistics are based on the standard errors that are adjusted by heteroscedasticity (White, </w:t>
      </w:r>
      <w:r w:rsidRPr="005E13B9">
        <w:rPr>
          <w:rFonts w:eastAsia="標楷體"/>
          <w:sz w:val="26"/>
          <w:szCs w:val="26"/>
          <w:shd w:val="clear" w:color="auto" w:fill="FFFFFF"/>
        </w:rPr>
        <w:lastRenderedPageBreak/>
        <w:t>1980) in Columns (2a) – (2c). Statistical significance values at the 10%, 5%, and 1% levels are denoted by *, **, and ***, respectively.</w:t>
      </w:r>
    </w:p>
    <w:p w14:paraId="7FD252AA" w14:textId="77777777" w:rsidR="00AB5FDA" w:rsidRPr="005E13B9" w:rsidRDefault="00AB5FDA" w:rsidP="001C65C7">
      <w:pPr>
        <w:widowControl/>
        <w:overflowPunct w:val="0"/>
        <w:rPr>
          <w:rFonts w:eastAsia="標楷體"/>
          <w:b/>
          <w:sz w:val="26"/>
          <w:szCs w:val="26"/>
        </w:rPr>
      </w:pPr>
    </w:p>
    <w:p w14:paraId="2CE7702B" w14:textId="434AF10E" w:rsidR="00FD0A65" w:rsidRPr="005E13B9" w:rsidRDefault="005B1D79" w:rsidP="00532BD2">
      <w:pPr>
        <w:widowControl/>
        <w:overflowPunct w:val="0"/>
        <w:jc w:val="center"/>
        <w:rPr>
          <w:rFonts w:eastAsia="標楷體"/>
          <w:sz w:val="26"/>
          <w:szCs w:val="26"/>
          <w:shd w:val="clear" w:color="auto" w:fill="FFFFFF"/>
        </w:rPr>
      </w:pPr>
      <w:r w:rsidRPr="005E13B9">
        <w:rPr>
          <w:rFonts w:eastAsia="標楷體"/>
          <w:b/>
          <w:sz w:val="26"/>
          <w:szCs w:val="26"/>
        </w:rPr>
        <w:t>Table 4</w:t>
      </w:r>
      <w:r w:rsidR="00532BD2" w:rsidRPr="005E13B9">
        <w:rPr>
          <w:rFonts w:eastAsia="標楷體"/>
          <w:b/>
          <w:sz w:val="26"/>
          <w:szCs w:val="26"/>
        </w:rPr>
        <w:t xml:space="preserve"> </w:t>
      </w:r>
      <w:r w:rsidR="00E76E0C" w:rsidRPr="005E13B9">
        <w:rPr>
          <w:rFonts w:eastAsia="標楷體"/>
          <w:b/>
          <w:sz w:val="26"/>
          <w:szCs w:val="26"/>
        </w:rPr>
        <w:t xml:space="preserve"> </w:t>
      </w:r>
      <w:r w:rsidRPr="005E13B9">
        <w:rPr>
          <w:rFonts w:eastAsia="標楷體"/>
          <w:b/>
          <w:sz w:val="26"/>
          <w:szCs w:val="26"/>
        </w:rPr>
        <w:t xml:space="preserve">Results for </w:t>
      </w:r>
      <w:r w:rsidR="00E76E0C" w:rsidRPr="005E13B9">
        <w:rPr>
          <w:b/>
          <w:sz w:val="26"/>
          <w:szCs w:val="26"/>
        </w:rPr>
        <w:t>Multiple Regression Mode</w:t>
      </w:r>
      <w:r w:rsidRPr="005E13B9">
        <w:rPr>
          <w:b/>
          <w:sz w:val="26"/>
          <w:szCs w:val="26"/>
        </w:rPr>
        <w:t xml:space="preserve">ls in </w:t>
      </w:r>
      <w:r w:rsidR="00E76E0C" w:rsidRPr="005E13B9">
        <w:rPr>
          <w:b/>
          <w:sz w:val="26"/>
          <w:szCs w:val="26"/>
        </w:rPr>
        <w:t xml:space="preserve">Terms </w:t>
      </w:r>
      <w:r w:rsidRPr="005E13B9">
        <w:rPr>
          <w:b/>
          <w:sz w:val="26"/>
          <w:szCs w:val="26"/>
        </w:rPr>
        <w:t xml:space="preserve">of </w:t>
      </w:r>
      <w:r w:rsidR="0082626C" w:rsidRPr="005E13B9">
        <w:rPr>
          <w:rFonts w:hint="eastAsia"/>
          <w:b/>
          <w:sz w:val="26"/>
          <w:szCs w:val="26"/>
        </w:rPr>
        <w:t xml:space="preserve">the </w:t>
      </w:r>
      <w:r w:rsidRPr="005E13B9">
        <w:rPr>
          <w:b/>
          <w:sz w:val="26"/>
          <w:szCs w:val="26"/>
        </w:rPr>
        <w:t>i</w:t>
      </w:r>
      <w:r w:rsidRPr="005E13B9">
        <w:rPr>
          <w:b/>
          <w:kern w:val="0"/>
          <w:sz w:val="26"/>
          <w:szCs w:val="26"/>
        </w:rPr>
        <w:t>n</w:t>
      </w:r>
      <w:r w:rsidR="00E76E0C" w:rsidRPr="005E13B9">
        <w:rPr>
          <w:b/>
          <w:kern w:val="0"/>
          <w:sz w:val="26"/>
          <w:szCs w:val="26"/>
        </w:rPr>
        <w:t>dustry Category Change</w:t>
      </w:r>
    </w:p>
    <w:tbl>
      <w:tblPr>
        <w:tblW w:w="5000" w:type="pct"/>
        <w:tblBorders>
          <w:top w:val="double" w:sz="4" w:space="0" w:color="auto"/>
          <w:bottom w:val="double" w:sz="4" w:space="0" w:color="auto"/>
        </w:tblBorders>
        <w:tblCellMar>
          <w:left w:w="0" w:type="dxa"/>
          <w:right w:w="0" w:type="dxa"/>
        </w:tblCellMar>
        <w:tblLook w:val="0000" w:firstRow="0" w:lastRow="0" w:firstColumn="0" w:lastColumn="0" w:noHBand="0" w:noVBand="0"/>
      </w:tblPr>
      <w:tblGrid>
        <w:gridCol w:w="2759"/>
        <w:gridCol w:w="2066"/>
        <w:gridCol w:w="21"/>
        <w:gridCol w:w="2089"/>
        <w:gridCol w:w="107"/>
        <w:gridCol w:w="1984"/>
      </w:tblGrid>
      <w:tr w:rsidR="006F104F" w:rsidRPr="005E13B9" w14:paraId="63367604" w14:textId="77777777" w:rsidTr="00B152FC">
        <w:trPr>
          <w:cantSplit/>
          <w:trHeight w:hRule="exact" w:val="375"/>
        </w:trPr>
        <w:tc>
          <w:tcPr>
            <w:tcW w:w="5000" w:type="pct"/>
            <w:gridSpan w:val="6"/>
            <w:tcBorders>
              <w:top w:val="single" w:sz="12" w:space="0" w:color="auto"/>
              <w:bottom w:val="single" w:sz="4" w:space="0" w:color="auto"/>
            </w:tcBorders>
            <w:noWrap/>
            <w:tcMar>
              <w:top w:w="14" w:type="dxa"/>
              <w:left w:w="14" w:type="dxa"/>
              <w:bottom w:w="0" w:type="dxa"/>
              <w:right w:w="14" w:type="dxa"/>
            </w:tcMar>
            <w:vAlign w:val="center"/>
          </w:tcPr>
          <w:p w14:paraId="28E7E484" w14:textId="77777777" w:rsidR="005B1D79" w:rsidRPr="005E13B9" w:rsidRDefault="005B1D79" w:rsidP="001C65C7">
            <w:pPr>
              <w:widowControl/>
              <w:overflowPunct w:val="0"/>
              <w:adjustRightInd w:val="0"/>
              <w:snapToGrid w:val="0"/>
              <w:rPr>
                <w:rFonts w:eastAsia="標楷體"/>
                <w:sz w:val="22"/>
                <w:szCs w:val="22"/>
              </w:rPr>
            </w:pPr>
            <w:r w:rsidRPr="005E13B9">
              <w:rPr>
                <w:rFonts w:eastAsia="標楷體"/>
                <w:kern w:val="0"/>
                <w:sz w:val="22"/>
                <w:szCs w:val="22"/>
              </w:rPr>
              <w:t>Dependent</w:t>
            </w:r>
            <w:r w:rsidRPr="005E13B9">
              <w:rPr>
                <w:rFonts w:eastAsia="標楷體"/>
                <w:sz w:val="22"/>
                <w:szCs w:val="22"/>
              </w:rPr>
              <w:t xml:space="preserve"> variable</w:t>
            </w:r>
            <w:r w:rsidRPr="005E13B9">
              <w:rPr>
                <w:rFonts w:eastAsia="標楷體" w:hint="eastAsia"/>
                <w:sz w:val="22"/>
                <w:szCs w:val="22"/>
              </w:rPr>
              <w:t>：</w:t>
            </w:r>
            <w:r w:rsidRPr="005E13B9">
              <w:rPr>
                <w:rFonts w:eastAsia="標楷體"/>
                <w:sz w:val="22"/>
                <w:szCs w:val="22"/>
              </w:rPr>
              <w:t>S</w:t>
            </w:r>
            <w:r w:rsidRPr="005E13B9">
              <w:rPr>
                <w:sz w:val="22"/>
                <w:szCs w:val="22"/>
              </w:rPr>
              <w:t>hareholding of institutional investors</w:t>
            </w:r>
          </w:p>
        </w:tc>
      </w:tr>
      <w:tr w:rsidR="006F104F" w:rsidRPr="005E13B9" w14:paraId="4FA36EF3" w14:textId="77777777" w:rsidTr="007875FC">
        <w:trPr>
          <w:cantSplit/>
          <w:trHeight w:hRule="exact" w:val="912"/>
        </w:trPr>
        <w:tc>
          <w:tcPr>
            <w:tcW w:w="1528" w:type="pct"/>
            <w:tcBorders>
              <w:top w:val="single" w:sz="4" w:space="0" w:color="auto"/>
              <w:bottom w:val="single" w:sz="4" w:space="0" w:color="auto"/>
            </w:tcBorders>
            <w:noWrap/>
            <w:tcMar>
              <w:top w:w="14" w:type="dxa"/>
              <w:left w:w="14" w:type="dxa"/>
              <w:bottom w:w="0" w:type="dxa"/>
              <w:right w:w="14" w:type="dxa"/>
            </w:tcMar>
            <w:vAlign w:val="center"/>
          </w:tcPr>
          <w:p w14:paraId="3B5A5E08" w14:textId="77777777" w:rsidR="005B1D79" w:rsidRPr="005E13B9" w:rsidRDefault="005B1D79" w:rsidP="001C65C7">
            <w:pPr>
              <w:overflowPunct w:val="0"/>
              <w:adjustRightInd w:val="0"/>
              <w:snapToGrid w:val="0"/>
              <w:rPr>
                <w:rFonts w:eastAsia="標楷體"/>
                <w:sz w:val="22"/>
                <w:szCs w:val="22"/>
              </w:rPr>
            </w:pPr>
            <w:r w:rsidRPr="005E13B9">
              <w:rPr>
                <w:rFonts w:eastAsia="標楷體"/>
                <w:sz w:val="22"/>
                <w:szCs w:val="22"/>
              </w:rPr>
              <w:t>Independent variable</w:t>
            </w:r>
          </w:p>
        </w:tc>
        <w:tc>
          <w:tcPr>
            <w:tcW w:w="1157" w:type="pct"/>
            <w:gridSpan w:val="2"/>
            <w:tcBorders>
              <w:top w:val="single" w:sz="4" w:space="0" w:color="auto"/>
              <w:bottom w:val="single" w:sz="4" w:space="0" w:color="auto"/>
            </w:tcBorders>
            <w:noWrap/>
            <w:tcMar>
              <w:top w:w="14" w:type="dxa"/>
              <w:left w:w="14" w:type="dxa"/>
              <w:bottom w:w="0" w:type="dxa"/>
              <w:right w:w="14" w:type="dxa"/>
            </w:tcMar>
          </w:tcPr>
          <w:p w14:paraId="14D625EF" w14:textId="77777777" w:rsidR="005B1D79" w:rsidRPr="005E13B9" w:rsidRDefault="005B1D79" w:rsidP="00532BD2">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2a</w:t>
            </w:r>
            <w:r w:rsidRPr="005E13B9">
              <w:rPr>
                <w:rFonts w:eastAsia="標楷體" w:hint="eastAsia"/>
                <w:sz w:val="22"/>
                <w:szCs w:val="22"/>
              </w:rPr>
              <w:t>）</w:t>
            </w:r>
          </w:p>
          <w:p w14:paraId="767A112C" w14:textId="77777777" w:rsidR="005B1D79" w:rsidRPr="005E13B9" w:rsidRDefault="005B1D79" w:rsidP="00532BD2">
            <w:pPr>
              <w:overflowPunct w:val="0"/>
              <w:adjustRightInd w:val="0"/>
              <w:snapToGrid w:val="0"/>
              <w:jc w:val="center"/>
              <w:rPr>
                <w:sz w:val="22"/>
                <w:szCs w:val="22"/>
              </w:rPr>
            </w:pPr>
            <w:r w:rsidRPr="005E13B9">
              <w:rPr>
                <w:sz w:val="22"/>
                <w:szCs w:val="22"/>
              </w:rPr>
              <w:t>Shareholding change</w:t>
            </w:r>
          </w:p>
          <w:p w14:paraId="43F1AC89" w14:textId="77777777" w:rsidR="005B1D79" w:rsidRPr="005E13B9" w:rsidRDefault="005B1D79" w:rsidP="00532BD2">
            <w:pPr>
              <w:overflowPunct w:val="0"/>
              <w:adjustRightInd w:val="0"/>
              <w:snapToGrid w:val="0"/>
              <w:jc w:val="center"/>
              <w:rPr>
                <w:rFonts w:eastAsia="標楷體"/>
                <w:sz w:val="22"/>
                <w:szCs w:val="22"/>
              </w:rPr>
            </w:pPr>
            <w:r w:rsidRPr="005E13B9">
              <w:rPr>
                <w:sz w:val="22"/>
                <w:szCs w:val="22"/>
              </w:rPr>
              <w:t>of foreign institutions</w:t>
            </w:r>
          </w:p>
        </w:tc>
        <w:tc>
          <w:tcPr>
            <w:tcW w:w="1157" w:type="pct"/>
            <w:tcBorders>
              <w:top w:val="single" w:sz="4" w:space="0" w:color="auto"/>
              <w:bottom w:val="single" w:sz="4" w:space="0" w:color="auto"/>
            </w:tcBorders>
          </w:tcPr>
          <w:p w14:paraId="2974DECF" w14:textId="77777777" w:rsidR="005B1D79" w:rsidRPr="005E13B9" w:rsidRDefault="005B1D79" w:rsidP="00532BD2">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2b</w:t>
            </w:r>
            <w:r w:rsidRPr="005E13B9">
              <w:rPr>
                <w:rFonts w:eastAsia="標楷體" w:hint="eastAsia"/>
                <w:sz w:val="22"/>
                <w:szCs w:val="22"/>
              </w:rPr>
              <w:t>）</w:t>
            </w:r>
          </w:p>
          <w:p w14:paraId="03947947" w14:textId="77777777" w:rsidR="005B1D79" w:rsidRPr="005E13B9" w:rsidRDefault="005B1D79" w:rsidP="00532BD2">
            <w:pPr>
              <w:overflowPunct w:val="0"/>
              <w:adjustRightInd w:val="0"/>
              <w:snapToGrid w:val="0"/>
              <w:jc w:val="center"/>
              <w:rPr>
                <w:sz w:val="22"/>
                <w:szCs w:val="22"/>
              </w:rPr>
            </w:pPr>
            <w:r w:rsidRPr="005E13B9">
              <w:rPr>
                <w:sz w:val="22"/>
                <w:szCs w:val="22"/>
              </w:rPr>
              <w:t>Shareholding change</w:t>
            </w:r>
          </w:p>
          <w:p w14:paraId="71FD569B" w14:textId="77777777" w:rsidR="005B1D79" w:rsidRPr="005E13B9" w:rsidRDefault="005B1D79" w:rsidP="00532BD2">
            <w:pPr>
              <w:overflowPunct w:val="0"/>
              <w:adjustRightInd w:val="0"/>
              <w:snapToGrid w:val="0"/>
              <w:jc w:val="center"/>
              <w:rPr>
                <w:rFonts w:eastAsia="標楷體"/>
                <w:sz w:val="22"/>
                <w:szCs w:val="22"/>
              </w:rPr>
            </w:pPr>
            <w:r w:rsidRPr="005E13B9">
              <w:rPr>
                <w:sz w:val="22"/>
                <w:szCs w:val="22"/>
              </w:rPr>
              <w:t xml:space="preserve">of </w:t>
            </w:r>
            <w:r w:rsidRPr="005E13B9">
              <w:rPr>
                <w:rFonts w:eastAsia="標楷體"/>
                <w:sz w:val="22"/>
                <w:szCs w:val="22"/>
              </w:rPr>
              <w:t>domestic institutions</w:t>
            </w:r>
          </w:p>
        </w:tc>
        <w:tc>
          <w:tcPr>
            <w:tcW w:w="1157" w:type="pct"/>
            <w:gridSpan w:val="2"/>
            <w:tcBorders>
              <w:top w:val="single" w:sz="4" w:space="0" w:color="auto"/>
              <w:bottom w:val="single" w:sz="4" w:space="0" w:color="auto"/>
            </w:tcBorders>
          </w:tcPr>
          <w:p w14:paraId="1EF072E5" w14:textId="77777777" w:rsidR="005B1D79" w:rsidRPr="005E13B9" w:rsidRDefault="005B1D79" w:rsidP="00532BD2">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2c</w:t>
            </w:r>
            <w:r w:rsidRPr="005E13B9">
              <w:rPr>
                <w:rFonts w:eastAsia="標楷體" w:hint="eastAsia"/>
                <w:sz w:val="22"/>
                <w:szCs w:val="22"/>
              </w:rPr>
              <w:t>）</w:t>
            </w:r>
          </w:p>
          <w:p w14:paraId="097474F7" w14:textId="77777777" w:rsidR="005B1D79" w:rsidRPr="005E13B9" w:rsidRDefault="005B1D79" w:rsidP="00532BD2">
            <w:pPr>
              <w:overflowPunct w:val="0"/>
              <w:adjustRightInd w:val="0"/>
              <w:snapToGrid w:val="0"/>
              <w:jc w:val="center"/>
              <w:rPr>
                <w:sz w:val="22"/>
                <w:szCs w:val="22"/>
              </w:rPr>
            </w:pPr>
            <w:r w:rsidRPr="005E13B9">
              <w:rPr>
                <w:sz w:val="22"/>
                <w:szCs w:val="22"/>
              </w:rPr>
              <w:t>Shareholding change</w:t>
            </w:r>
          </w:p>
          <w:p w14:paraId="53B7DCEE" w14:textId="77777777" w:rsidR="005B1D79" w:rsidRPr="005E13B9" w:rsidRDefault="005B1D79" w:rsidP="00532BD2">
            <w:pPr>
              <w:overflowPunct w:val="0"/>
              <w:adjustRightInd w:val="0"/>
              <w:snapToGrid w:val="0"/>
              <w:jc w:val="center"/>
              <w:rPr>
                <w:rFonts w:eastAsia="標楷體"/>
                <w:sz w:val="22"/>
                <w:szCs w:val="22"/>
              </w:rPr>
            </w:pPr>
            <w:r w:rsidRPr="005E13B9">
              <w:rPr>
                <w:rFonts w:eastAsia="標楷體"/>
                <w:sz w:val="22"/>
                <w:szCs w:val="22"/>
              </w:rPr>
              <w:t>of security dealers</w:t>
            </w:r>
          </w:p>
        </w:tc>
      </w:tr>
      <w:tr w:rsidR="006F104F" w:rsidRPr="005E13B9" w14:paraId="6848C3F9" w14:textId="77777777" w:rsidTr="007875FC">
        <w:trPr>
          <w:cantSplit/>
          <w:trHeight w:hRule="exact" w:val="283"/>
        </w:trPr>
        <w:tc>
          <w:tcPr>
            <w:tcW w:w="1528" w:type="pct"/>
            <w:tcBorders>
              <w:top w:val="single" w:sz="4" w:space="0" w:color="auto"/>
              <w:bottom w:val="nil"/>
            </w:tcBorders>
            <w:noWrap/>
            <w:tcMar>
              <w:top w:w="14" w:type="dxa"/>
              <w:left w:w="14" w:type="dxa"/>
              <w:bottom w:w="0" w:type="dxa"/>
              <w:right w:w="14" w:type="dxa"/>
            </w:tcMar>
            <w:vAlign w:val="center"/>
          </w:tcPr>
          <w:p w14:paraId="4BE44DF9" w14:textId="77777777" w:rsidR="005B1D79" w:rsidRPr="005E13B9" w:rsidRDefault="005B1D79" w:rsidP="001C65C7">
            <w:pPr>
              <w:widowControl/>
              <w:overflowPunct w:val="0"/>
              <w:adjustRightInd w:val="0"/>
              <w:snapToGrid w:val="0"/>
              <w:ind w:left="312" w:hangingChars="142" w:hanging="312"/>
              <w:rPr>
                <w:rFonts w:eastAsia="標楷體"/>
                <w:kern w:val="0"/>
                <w:sz w:val="22"/>
                <w:szCs w:val="22"/>
              </w:rPr>
            </w:pPr>
            <w:r w:rsidRPr="005E13B9">
              <w:rPr>
                <w:kern w:val="0"/>
                <w:sz w:val="22"/>
                <w:szCs w:val="22"/>
              </w:rPr>
              <w:t>Industry category change once</w:t>
            </w:r>
          </w:p>
        </w:tc>
        <w:tc>
          <w:tcPr>
            <w:tcW w:w="1157" w:type="pct"/>
            <w:gridSpan w:val="2"/>
            <w:tcBorders>
              <w:top w:val="single" w:sz="4" w:space="0" w:color="auto"/>
              <w:bottom w:val="nil"/>
            </w:tcBorders>
            <w:noWrap/>
            <w:tcMar>
              <w:top w:w="14" w:type="dxa"/>
              <w:left w:w="14" w:type="dxa"/>
              <w:bottom w:w="0" w:type="dxa"/>
              <w:right w:w="14" w:type="dxa"/>
            </w:tcMar>
            <w:vAlign w:val="center"/>
          </w:tcPr>
          <w:p w14:paraId="1090204D" w14:textId="5D7577A9" w:rsidR="005B1D79" w:rsidRPr="005E13B9" w:rsidRDefault="005B1D79" w:rsidP="00361C19">
            <w:pPr>
              <w:overflowPunct w:val="0"/>
              <w:adjustRightInd w:val="0"/>
              <w:snapToGrid w:val="0"/>
              <w:jc w:val="center"/>
              <w:rPr>
                <w:rFonts w:eastAsia="標楷體"/>
                <w:sz w:val="22"/>
                <w:szCs w:val="22"/>
              </w:rPr>
            </w:pPr>
            <w:r w:rsidRPr="005E13B9">
              <w:rPr>
                <w:rFonts w:eastAsia="標楷體"/>
                <w:sz w:val="22"/>
                <w:szCs w:val="22"/>
              </w:rPr>
              <w:t>-5.40</w:t>
            </w:r>
            <w:r w:rsidR="00361C19" w:rsidRPr="005E13B9">
              <w:rPr>
                <w:rFonts w:eastAsia="標楷體"/>
                <w:sz w:val="22"/>
                <w:szCs w:val="22"/>
              </w:rPr>
              <w:t>8</w:t>
            </w:r>
            <w:r w:rsidRPr="005E13B9">
              <w:rPr>
                <w:rFonts w:eastAsia="標楷體"/>
                <w:sz w:val="22"/>
                <w:szCs w:val="22"/>
              </w:rPr>
              <w:t>***</w:t>
            </w:r>
          </w:p>
        </w:tc>
        <w:tc>
          <w:tcPr>
            <w:tcW w:w="1157" w:type="pct"/>
            <w:tcBorders>
              <w:top w:val="single" w:sz="4" w:space="0" w:color="auto"/>
              <w:bottom w:val="nil"/>
            </w:tcBorders>
            <w:vAlign w:val="center"/>
          </w:tcPr>
          <w:p w14:paraId="0433F175" w14:textId="2F2E4483" w:rsidR="005B1D79" w:rsidRPr="005E13B9" w:rsidRDefault="005B1D79" w:rsidP="004D616C">
            <w:pPr>
              <w:overflowPunct w:val="0"/>
              <w:adjustRightInd w:val="0"/>
              <w:snapToGrid w:val="0"/>
              <w:jc w:val="center"/>
              <w:rPr>
                <w:rFonts w:eastAsia="標楷體"/>
                <w:sz w:val="22"/>
                <w:szCs w:val="22"/>
              </w:rPr>
            </w:pPr>
            <w:r w:rsidRPr="005E13B9">
              <w:rPr>
                <w:rFonts w:eastAsia="標楷體"/>
                <w:sz w:val="22"/>
                <w:szCs w:val="22"/>
              </w:rPr>
              <w:t>-0.032</w:t>
            </w:r>
          </w:p>
        </w:tc>
        <w:tc>
          <w:tcPr>
            <w:tcW w:w="1157" w:type="pct"/>
            <w:gridSpan w:val="2"/>
            <w:tcBorders>
              <w:top w:val="single" w:sz="4" w:space="0" w:color="auto"/>
              <w:bottom w:val="nil"/>
            </w:tcBorders>
            <w:vAlign w:val="center"/>
          </w:tcPr>
          <w:p w14:paraId="57C2D3EB" w14:textId="120F4204"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0.013</w:t>
            </w:r>
          </w:p>
        </w:tc>
      </w:tr>
      <w:tr w:rsidR="006F104F" w:rsidRPr="005E13B9" w14:paraId="21612F4F"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4A930CFC" w14:textId="77777777" w:rsidR="005B1D79" w:rsidRPr="005E13B9" w:rsidRDefault="005B1D79" w:rsidP="001C65C7">
            <w:pPr>
              <w:widowControl/>
              <w:overflowPunct w:val="0"/>
              <w:adjustRightInd w:val="0"/>
              <w:snapToGrid w:val="0"/>
              <w:ind w:firstLineChars="142" w:firstLine="312"/>
              <w:rPr>
                <w:rFonts w:eastAsia="標楷體"/>
                <w:kern w:val="0"/>
                <w:sz w:val="22"/>
                <w:szCs w:val="22"/>
              </w:rPr>
            </w:pPr>
            <w:r w:rsidRPr="005E13B9">
              <w:rPr>
                <w:kern w:val="0"/>
                <w:sz w:val="22"/>
                <w:szCs w:val="22"/>
              </w:rPr>
              <w:t>dummy</w:t>
            </w:r>
          </w:p>
        </w:tc>
        <w:tc>
          <w:tcPr>
            <w:tcW w:w="1157" w:type="pct"/>
            <w:gridSpan w:val="2"/>
            <w:tcBorders>
              <w:top w:val="nil"/>
              <w:bottom w:val="nil"/>
            </w:tcBorders>
            <w:noWrap/>
            <w:tcMar>
              <w:top w:w="14" w:type="dxa"/>
              <w:left w:w="14" w:type="dxa"/>
              <w:bottom w:w="0" w:type="dxa"/>
              <w:right w:w="14" w:type="dxa"/>
            </w:tcMar>
            <w:vAlign w:val="center"/>
          </w:tcPr>
          <w:p w14:paraId="0665FE1C" w14:textId="7E7C7F4F" w:rsidR="005B1D79" w:rsidRPr="005E13B9" w:rsidRDefault="005B1D79" w:rsidP="00361C19">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0.576</w:t>
            </w:r>
            <w:r w:rsidRPr="005E13B9">
              <w:rPr>
                <w:rFonts w:eastAsia="標楷體" w:hint="eastAsia"/>
                <w:sz w:val="22"/>
                <w:szCs w:val="22"/>
              </w:rPr>
              <w:t>）</w:t>
            </w:r>
          </w:p>
        </w:tc>
        <w:tc>
          <w:tcPr>
            <w:tcW w:w="1157" w:type="pct"/>
            <w:tcBorders>
              <w:top w:val="nil"/>
              <w:bottom w:val="nil"/>
            </w:tcBorders>
            <w:vAlign w:val="center"/>
          </w:tcPr>
          <w:p w14:paraId="11D2347E" w14:textId="541BD405" w:rsidR="005B1D79" w:rsidRPr="005E13B9" w:rsidRDefault="005B1D79" w:rsidP="004D616C">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0.08</w:t>
            </w:r>
            <w:r w:rsidR="004D616C" w:rsidRPr="005E13B9">
              <w:rPr>
                <w:rFonts w:eastAsia="標楷體"/>
                <w:sz w:val="22"/>
                <w:szCs w:val="22"/>
              </w:rPr>
              <w:t>1</w:t>
            </w:r>
            <w:r w:rsidRPr="005E13B9">
              <w:rPr>
                <w:rFonts w:eastAsia="標楷體" w:hint="eastAsia"/>
                <w:sz w:val="22"/>
                <w:szCs w:val="22"/>
              </w:rPr>
              <w:t>）</w:t>
            </w:r>
          </w:p>
        </w:tc>
        <w:tc>
          <w:tcPr>
            <w:tcW w:w="1157" w:type="pct"/>
            <w:gridSpan w:val="2"/>
            <w:tcBorders>
              <w:top w:val="nil"/>
              <w:bottom w:val="nil"/>
            </w:tcBorders>
            <w:vAlign w:val="center"/>
          </w:tcPr>
          <w:p w14:paraId="483481B7" w14:textId="31C917D7"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0.02</w:t>
            </w:r>
            <w:r w:rsidR="000A0C28" w:rsidRPr="005E13B9">
              <w:rPr>
                <w:rFonts w:eastAsia="標楷體"/>
                <w:sz w:val="22"/>
                <w:szCs w:val="22"/>
              </w:rPr>
              <w:t>4</w:t>
            </w:r>
            <w:r w:rsidRPr="005E13B9">
              <w:rPr>
                <w:rFonts w:eastAsia="標楷體" w:hint="eastAsia"/>
                <w:sz w:val="22"/>
                <w:szCs w:val="22"/>
              </w:rPr>
              <w:t>）</w:t>
            </w:r>
          </w:p>
        </w:tc>
      </w:tr>
      <w:tr w:rsidR="006F104F" w:rsidRPr="005E13B9" w14:paraId="2DDFB0F3"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2860BDC5"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Industry category change more</w:t>
            </w:r>
          </w:p>
        </w:tc>
        <w:tc>
          <w:tcPr>
            <w:tcW w:w="1157" w:type="pct"/>
            <w:gridSpan w:val="2"/>
            <w:tcBorders>
              <w:top w:val="nil"/>
              <w:bottom w:val="nil"/>
            </w:tcBorders>
            <w:noWrap/>
            <w:tcMar>
              <w:top w:w="14" w:type="dxa"/>
              <w:left w:w="14" w:type="dxa"/>
              <w:bottom w:w="0" w:type="dxa"/>
              <w:right w:w="14" w:type="dxa"/>
            </w:tcMar>
            <w:vAlign w:val="center"/>
          </w:tcPr>
          <w:p w14:paraId="225D00C4" w14:textId="092CEFA4" w:rsidR="005B1D79" w:rsidRPr="005E13B9" w:rsidRDefault="005B1D79" w:rsidP="00361C19">
            <w:pPr>
              <w:overflowPunct w:val="0"/>
              <w:adjustRightInd w:val="0"/>
              <w:snapToGrid w:val="0"/>
              <w:jc w:val="center"/>
              <w:rPr>
                <w:rFonts w:eastAsia="標楷體"/>
                <w:sz w:val="22"/>
                <w:szCs w:val="22"/>
              </w:rPr>
            </w:pPr>
            <w:r w:rsidRPr="005E13B9">
              <w:rPr>
                <w:rFonts w:eastAsia="標楷體"/>
                <w:sz w:val="22"/>
                <w:szCs w:val="22"/>
              </w:rPr>
              <w:t>0.950</w:t>
            </w:r>
          </w:p>
        </w:tc>
        <w:tc>
          <w:tcPr>
            <w:tcW w:w="1157" w:type="pct"/>
            <w:tcBorders>
              <w:top w:val="nil"/>
              <w:bottom w:val="nil"/>
            </w:tcBorders>
            <w:vAlign w:val="center"/>
          </w:tcPr>
          <w:p w14:paraId="64F31CA4" w14:textId="3F682BA7" w:rsidR="005B1D79" w:rsidRPr="005E13B9" w:rsidRDefault="005B1D79" w:rsidP="004D616C">
            <w:pPr>
              <w:overflowPunct w:val="0"/>
              <w:adjustRightInd w:val="0"/>
              <w:snapToGrid w:val="0"/>
              <w:jc w:val="center"/>
              <w:rPr>
                <w:rFonts w:eastAsia="標楷體"/>
                <w:sz w:val="22"/>
                <w:szCs w:val="22"/>
              </w:rPr>
            </w:pPr>
            <w:r w:rsidRPr="005E13B9">
              <w:rPr>
                <w:rFonts w:eastAsia="標楷體"/>
                <w:sz w:val="22"/>
                <w:szCs w:val="22"/>
              </w:rPr>
              <w:t>-0.29</w:t>
            </w:r>
            <w:r w:rsidR="004D616C" w:rsidRPr="005E13B9">
              <w:rPr>
                <w:rFonts w:eastAsia="標楷體"/>
                <w:sz w:val="22"/>
                <w:szCs w:val="22"/>
              </w:rPr>
              <w:t>9</w:t>
            </w:r>
            <w:r w:rsidRPr="005E13B9">
              <w:rPr>
                <w:rFonts w:eastAsia="標楷體"/>
                <w:sz w:val="22"/>
                <w:szCs w:val="22"/>
              </w:rPr>
              <w:t>***</w:t>
            </w:r>
          </w:p>
        </w:tc>
        <w:tc>
          <w:tcPr>
            <w:tcW w:w="1157" w:type="pct"/>
            <w:gridSpan w:val="2"/>
            <w:tcBorders>
              <w:top w:val="nil"/>
              <w:bottom w:val="nil"/>
            </w:tcBorders>
            <w:vAlign w:val="center"/>
          </w:tcPr>
          <w:p w14:paraId="5D9EBDAE" w14:textId="33A33FBD"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-0.03</w:t>
            </w:r>
            <w:r w:rsidR="000A0C28" w:rsidRPr="005E13B9">
              <w:rPr>
                <w:rFonts w:eastAsia="標楷體"/>
                <w:sz w:val="22"/>
                <w:szCs w:val="22"/>
              </w:rPr>
              <w:t>6</w:t>
            </w:r>
            <w:r w:rsidRPr="005E13B9">
              <w:rPr>
                <w:rFonts w:eastAsia="標楷體"/>
                <w:sz w:val="22"/>
                <w:szCs w:val="22"/>
              </w:rPr>
              <w:t>*</w:t>
            </w:r>
          </w:p>
        </w:tc>
      </w:tr>
      <w:tr w:rsidR="006F104F" w:rsidRPr="005E13B9" w14:paraId="58C93E73"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799433F7" w14:textId="77777777" w:rsidR="005B1D79" w:rsidRPr="005E13B9" w:rsidRDefault="005B1D79" w:rsidP="001C65C7">
            <w:pPr>
              <w:widowControl/>
              <w:overflowPunct w:val="0"/>
              <w:adjustRightInd w:val="0"/>
              <w:snapToGrid w:val="0"/>
              <w:ind w:firstLineChars="142" w:firstLine="312"/>
              <w:rPr>
                <w:rFonts w:eastAsia="標楷體"/>
                <w:kern w:val="0"/>
                <w:sz w:val="22"/>
                <w:szCs w:val="22"/>
              </w:rPr>
            </w:pPr>
            <w:r w:rsidRPr="005E13B9">
              <w:rPr>
                <w:kern w:val="0"/>
                <w:sz w:val="22"/>
                <w:szCs w:val="22"/>
              </w:rPr>
              <w:t>than once dummy</w:t>
            </w:r>
          </w:p>
        </w:tc>
        <w:tc>
          <w:tcPr>
            <w:tcW w:w="1157" w:type="pct"/>
            <w:gridSpan w:val="2"/>
            <w:tcBorders>
              <w:top w:val="nil"/>
              <w:bottom w:val="nil"/>
            </w:tcBorders>
            <w:noWrap/>
            <w:tcMar>
              <w:top w:w="14" w:type="dxa"/>
              <w:left w:w="14" w:type="dxa"/>
              <w:bottom w:w="0" w:type="dxa"/>
              <w:right w:w="14" w:type="dxa"/>
            </w:tcMar>
            <w:vAlign w:val="center"/>
          </w:tcPr>
          <w:p w14:paraId="459A74D4" w14:textId="0D657D1E" w:rsidR="005B1D79" w:rsidRPr="005E13B9" w:rsidRDefault="005B1D79" w:rsidP="00361C19">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0.58</w:t>
            </w:r>
            <w:r w:rsidR="00361C19" w:rsidRPr="005E13B9">
              <w:rPr>
                <w:rFonts w:eastAsia="標楷體"/>
                <w:sz w:val="22"/>
                <w:szCs w:val="22"/>
              </w:rPr>
              <w:t>8</w:t>
            </w:r>
            <w:r w:rsidRPr="005E13B9">
              <w:rPr>
                <w:rFonts w:eastAsia="標楷體" w:hint="eastAsia"/>
                <w:sz w:val="22"/>
                <w:szCs w:val="22"/>
              </w:rPr>
              <w:t>）</w:t>
            </w:r>
          </w:p>
        </w:tc>
        <w:tc>
          <w:tcPr>
            <w:tcW w:w="1157" w:type="pct"/>
            <w:tcBorders>
              <w:top w:val="nil"/>
              <w:bottom w:val="nil"/>
            </w:tcBorders>
            <w:vAlign w:val="center"/>
          </w:tcPr>
          <w:p w14:paraId="5180CAA5" w14:textId="1A5F8A4D" w:rsidR="005B1D79" w:rsidRPr="005E13B9" w:rsidRDefault="005B1D79" w:rsidP="004D616C">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0.103</w:t>
            </w:r>
            <w:r w:rsidRPr="005E13B9">
              <w:rPr>
                <w:rFonts w:eastAsia="標楷體" w:hint="eastAsia"/>
                <w:sz w:val="22"/>
                <w:szCs w:val="22"/>
              </w:rPr>
              <w:t>）</w:t>
            </w:r>
          </w:p>
        </w:tc>
        <w:tc>
          <w:tcPr>
            <w:tcW w:w="1157" w:type="pct"/>
            <w:gridSpan w:val="2"/>
            <w:tcBorders>
              <w:top w:val="nil"/>
              <w:bottom w:val="nil"/>
            </w:tcBorders>
            <w:vAlign w:val="center"/>
          </w:tcPr>
          <w:p w14:paraId="54EB0FC8" w14:textId="18D10BE8"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0.019</w:t>
            </w:r>
            <w:r w:rsidRPr="005E13B9">
              <w:rPr>
                <w:rFonts w:eastAsia="標楷體" w:hint="eastAsia"/>
                <w:sz w:val="22"/>
                <w:szCs w:val="22"/>
              </w:rPr>
              <w:t>）</w:t>
            </w:r>
          </w:p>
        </w:tc>
      </w:tr>
      <w:tr w:rsidR="006F104F" w:rsidRPr="005E13B9" w14:paraId="4485BE1D"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3B6DB6F7"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Net profit ratio</w:t>
            </w:r>
          </w:p>
        </w:tc>
        <w:tc>
          <w:tcPr>
            <w:tcW w:w="1157" w:type="pct"/>
            <w:gridSpan w:val="2"/>
            <w:tcBorders>
              <w:top w:val="nil"/>
              <w:bottom w:val="nil"/>
            </w:tcBorders>
            <w:noWrap/>
            <w:tcMar>
              <w:top w:w="14" w:type="dxa"/>
              <w:left w:w="14" w:type="dxa"/>
              <w:bottom w:w="0" w:type="dxa"/>
              <w:right w:w="14" w:type="dxa"/>
            </w:tcMar>
            <w:vAlign w:val="center"/>
          </w:tcPr>
          <w:p w14:paraId="7B10FEDD" w14:textId="040DD5A6" w:rsidR="005B1D79" w:rsidRPr="005E13B9" w:rsidRDefault="00AA345F" w:rsidP="00AA345F">
            <w:pPr>
              <w:overflowPunct w:val="0"/>
              <w:adjustRightInd w:val="0"/>
              <w:snapToGrid w:val="0"/>
              <w:jc w:val="center"/>
              <w:rPr>
                <w:rFonts w:eastAsia="標楷體"/>
                <w:sz w:val="22"/>
                <w:szCs w:val="22"/>
              </w:rPr>
            </w:pPr>
            <w:r w:rsidRPr="005E13B9">
              <w:rPr>
                <w:rFonts w:eastAsia="標楷體"/>
                <w:sz w:val="22"/>
                <w:szCs w:val="22"/>
              </w:rPr>
              <w:t>4.9e-4</w:t>
            </w:r>
          </w:p>
        </w:tc>
        <w:tc>
          <w:tcPr>
            <w:tcW w:w="1157" w:type="pct"/>
            <w:tcBorders>
              <w:top w:val="nil"/>
              <w:bottom w:val="nil"/>
            </w:tcBorders>
            <w:vAlign w:val="center"/>
          </w:tcPr>
          <w:p w14:paraId="560E5C05" w14:textId="339EE4CA" w:rsidR="005B1D79" w:rsidRPr="005E13B9" w:rsidRDefault="004D616C" w:rsidP="004D616C">
            <w:pPr>
              <w:overflowPunct w:val="0"/>
              <w:adjustRightInd w:val="0"/>
              <w:snapToGrid w:val="0"/>
              <w:jc w:val="center"/>
              <w:rPr>
                <w:rFonts w:eastAsia="標楷體"/>
                <w:sz w:val="22"/>
                <w:szCs w:val="22"/>
              </w:rPr>
            </w:pPr>
            <w:r w:rsidRPr="005E13B9">
              <w:rPr>
                <w:rFonts w:eastAsia="標楷體"/>
                <w:sz w:val="22"/>
                <w:szCs w:val="22"/>
              </w:rPr>
              <w:t>2.2e-4</w:t>
            </w:r>
          </w:p>
        </w:tc>
        <w:tc>
          <w:tcPr>
            <w:tcW w:w="1157" w:type="pct"/>
            <w:gridSpan w:val="2"/>
            <w:tcBorders>
              <w:top w:val="nil"/>
              <w:bottom w:val="nil"/>
            </w:tcBorders>
            <w:vAlign w:val="center"/>
          </w:tcPr>
          <w:p w14:paraId="7FED0FD8" w14:textId="51C61D3A" w:rsidR="005B1D79" w:rsidRPr="005E13B9" w:rsidRDefault="000A0C28" w:rsidP="000A0C28">
            <w:pPr>
              <w:overflowPunct w:val="0"/>
              <w:adjustRightInd w:val="0"/>
              <w:snapToGrid w:val="0"/>
              <w:jc w:val="center"/>
              <w:rPr>
                <w:rFonts w:eastAsia="標楷體"/>
                <w:sz w:val="22"/>
                <w:szCs w:val="22"/>
              </w:rPr>
            </w:pPr>
            <w:r w:rsidRPr="005E13B9">
              <w:rPr>
                <w:rFonts w:eastAsia="標楷體"/>
                <w:sz w:val="22"/>
                <w:szCs w:val="22"/>
              </w:rPr>
              <w:t>7e-5</w:t>
            </w:r>
          </w:p>
        </w:tc>
      </w:tr>
      <w:tr w:rsidR="006F104F" w:rsidRPr="005E13B9" w14:paraId="7F20D964"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59DB470F" w14:textId="77777777" w:rsidR="005B1D79" w:rsidRPr="005E13B9" w:rsidRDefault="005B1D79" w:rsidP="001C65C7">
            <w:pPr>
              <w:widowControl/>
              <w:overflowPunct w:val="0"/>
              <w:adjustRightInd w:val="0"/>
              <w:snapToGrid w:val="0"/>
              <w:rPr>
                <w:rFonts w:eastAsia="標楷體"/>
                <w:kern w:val="0"/>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4C41F333" w14:textId="7A20BA4D"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00AA345F" w:rsidRPr="005E13B9">
              <w:rPr>
                <w:rFonts w:eastAsia="標楷體" w:hint="eastAsia"/>
                <w:sz w:val="22"/>
                <w:szCs w:val="22"/>
              </w:rPr>
              <w:t>4</w:t>
            </w:r>
            <w:r w:rsidR="00AA345F" w:rsidRPr="005E13B9">
              <w:rPr>
                <w:rFonts w:eastAsia="標楷體"/>
                <w:sz w:val="22"/>
                <w:szCs w:val="22"/>
              </w:rPr>
              <w:t>.8e-4</w:t>
            </w:r>
            <w:r w:rsidRPr="005E13B9">
              <w:rPr>
                <w:rFonts w:eastAsia="標楷體" w:hint="eastAsia"/>
                <w:sz w:val="22"/>
                <w:szCs w:val="22"/>
              </w:rPr>
              <w:t>）</w:t>
            </w:r>
          </w:p>
        </w:tc>
        <w:tc>
          <w:tcPr>
            <w:tcW w:w="1157" w:type="pct"/>
            <w:tcBorders>
              <w:top w:val="nil"/>
              <w:bottom w:val="nil"/>
            </w:tcBorders>
            <w:vAlign w:val="center"/>
          </w:tcPr>
          <w:p w14:paraId="191BC2D2" w14:textId="58B2AF21" w:rsidR="005B1D79" w:rsidRPr="005E13B9" w:rsidRDefault="005B1D79" w:rsidP="004D616C">
            <w:pPr>
              <w:overflowPunct w:val="0"/>
              <w:adjustRightInd w:val="0"/>
              <w:snapToGrid w:val="0"/>
              <w:jc w:val="center"/>
              <w:rPr>
                <w:rFonts w:eastAsia="標楷體"/>
                <w:sz w:val="22"/>
                <w:szCs w:val="22"/>
              </w:rPr>
            </w:pPr>
            <w:r w:rsidRPr="005E13B9">
              <w:rPr>
                <w:rFonts w:eastAsia="標楷體" w:hint="eastAsia"/>
                <w:sz w:val="22"/>
                <w:szCs w:val="22"/>
              </w:rPr>
              <w:t>（</w:t>
            </w:r>
            <w:r w:rsidR="004D616C" w:rsidRPr="005E13B9">
              <w:rPr>
                <w:rFonts w:eastAsia="標楷體" w:hint="eastAsia"/>
                <w:sz w:val="22"/>
                <w:szCs w:val="22"/>
              </w:rPr>
              <w:t>1</w:t>
            </w:r>
            <w:r w:rsidR="004D616C" w:rsidRPr="005E13B9">
              <w:rPr>
                <w:rFonts w:eastAsia="標楷體"/>
                <w:sz w:val="22"/>
                <w:szCs w:val="22"/>
              </w:rPr>
              <w:t>.5e-4</w:t>
            </w:r>
            <w:r w:rsidRPr="005E13B9">
              <w:rPr>
                <w:rFonts w:eastAsia="標楷體" w:hint="eastAsia"/>
                <w:sz w:val="22"/>
                <w:szCs w:val="22"/>
              </w:rPr>
              <w:t>）</w:t>
            </w:r>
          </w:p>
        </w:tc>
        <w:tc>
          <w:tcPr>
            <w:tcW w:w="1157" w:type="pct"/>
            <w:gridSpan w:val="2"/>
            <w:tcBorders>
              <w:top w:val="nil"/>
              <w:bottom w:val="nil"/>
            </w:tcBorders>
            <w:vAlign w:val="center"/>
          </w:tcPr>
          <w:p w14:paraId="590DBD37" w14:textId="187FC340"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000A0C28" w:rsidRPr="005E13B9">
              <w:rPr>
                <w:rFonts w:eastAsia="標楷體" w:hint="eastAsia"/>
                <w:sz w:val="22"/>
                <w:szCs w:val="22"/>
              </w:rPr>
              <w:t>6e</w:t>
            </w:r>
            <w:r w:rsidR="000A0C28" w:rsidRPr="005E13B9">
              <w:rPr>
                <w:rFonts w:eastAsia="標楷體"/>
                <w:sz w:val="22"/>
                <w:szCs w:val="22"/>
              </w:rPr>
              <w:t>-5</w:t>
            </w:r>
            <w:r w:rsidRPr="005E13B9">
              <w:rPr>
                <w:rFonts w:eastAsia="標楷體" w:hint="eastAsia"/>
                <w:sz w:val="22"/>
                <w:szCs w:val="22"/>
              </w:rPr>
              <w:t>）</w:t>
            </w:r>
          </w:p>
        </w:tc>
      </w:tr>
      <w:tr w:rsidR="006F104F" w:rsidRPr="005E13B9" w14:paraId="46A30923"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2A40DF8B"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Assets turnover ratio</w:t>
            </w:r>
          </w:p>
        </w:tc>
        <w:tc>
          <w:tcPr>
            <w:tcW w:w="1157" w:type="pct"/>
            <w:gridSpan w:val="2"/>
            <w:tcBorders>
              <w:top w:val="nil"/>
              <w:bottom w:val="nil"/>
            </w:tcBorders>
            <w:noWrap/>
            <w:tcMar>
              <w:top w:w="14" w:type="dxa"/>
              <w:left w:w="14" w:type="dxa"/>
              <w:bottom w:w="0" w:type="dxa"/>
              <w:right w:w="14" w:type="dxa"/>
            </w:tcMar>
            <w:vAlign w:val="center"/>
          </w:tcPr>
          <w:p w14:paraId="15CCA80C" w14:textId="5498144E"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2.117***</w:t>
            </w:r>
          </w:p>
        </w:tc>
        <w:tc>
          <w:tcPr>
            <w:tcW w:w="1157" w:type="pct"/>
            <w:tcBorders>
              <w:top w:val="nil"/>
              <w:bottom w:val="nil"/>
            </w:tcBorders>
            <w:vAlign w:val="center"/>
          </w:tcPr>
          <w:p w14:paraId="675791F3" w14:textId="59F56C03" w:rsidR="005B1D79" w:rsidRPr="005E13B9" w:rsidRDefault="005B1D79" w:rsidP="004D616C">
            <w:pPr>
              <w:overflowPunct w:val="0"/>
              <w:adjustRightInd w:val="0"/>
              <w:snapToGrid w:val="0"/>
              <w:jc w:val="center"/>
              <w:rPr>
                <w:rFonts w:eastAsia="標楷體"/>
                <w:sz w:val="22"/>
                <w:szCs w:val="22"/>
              </w:rPr>
            </w:pPr>
            <w:r w:rsidRPr="005E13B9">
              <w:rPr>
                <w:rFonts w:eastAsia="標楷體"/>
                <w:sz w:val="22"/>
                <w:szCs w:val="22"/>
              </w:rPr>
              <w:t>0.229***</w:t>
            </w:r>
          </w:p>
        </w:tc>
        <w:tc>
          <w:tcPr>
            <w:tcW w:w="1157" w:type="pct"/>
            <w:gridSpan w:val="2"/>
            <w:tcBorders>
              <w:top w:val="nil"/>
              <w:bottom w:val="nil"/>
            </w:tcBorders>
            <w:vAlign w:val="center"/>
          </w:tcPr>
          <w:p w14:paraId="2586FCF5" w14:textId="385C1E8D"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-0.007</w:t>
            </w:r>
          </w:p>
        </w:tc>
      </w:tr>
      <w:tr w:rsidR="006F104F" w:rsidRPr="005E13B9" w14:paraId="79DA605C"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77A25E26" w14:textId="77777777" w:rsidR="005B1D79" w:rsidRPr="005E13B9" w:rsidRDefault="005B1D79" w:rsidP="001C65C7">
            <w:pPr>
              <w:widowControl/>
              <w:overflowPunct w:val="0"/>
              <w:adjustRightInd w:val="0"/>
              <w:snapToGrid w:val="0"/>
              <w:rPr>
                <w:rFonts w:eastAsia="標楷體"/>
                <w:kern w:val="0"/>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2B02E13A" w14:textId="694FE9BF"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0.300</w:t>
            </w:r>
            <w:r w:rsidRPr="005E13B9">
              <w:rPr>
                <w:rFonts w:eastAsia="標楷體" w:hint="eastAsia"/>
                <w:sz w:val="22"/>
                <w:szCs w:val="22"/>
              </w:rPr>
              <w:t>）</w:t>
            </w:r>
          </w:p>
        </w:tc>
        <w:tc>
          <w:tcPr>
            <w:tcW w:w="1157" w:type="pct"/>
            <w:tcBorders>
              <w:top w:val="nil"/>
              <w:bottom w:val="nil"/>
            </w:tcBorders>
            <w:vAlign w:val="center"/>
          </w:tcPr>
          <w:p w14:paraId="288726A5" w14:textId="2740D96E" w:rsidR="005B1D79" w:rsidRPr="005E13B9" w:rsidRDefault="005B1D79" w:rsidP="004D616C">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0.04</w:t>
            </w:r>
            <w:r w:rsidR="004D616C" w:rsidRPr="005E13B9">
              <w:rPr>
                <w:rFonts w:eastAsia="標楷體"/>
                <w:sz w:val="22"/>
                <w:szCs w:val="22"/>
              </w:rPr>
              <w:t>2</w:t>
            </w:r>
            <w:r w:rsidRPr="005E13B9">
              <w:rPr>
                <w:rFonts w:eastAsia="標楷體" w:hint="eastAsia"/>
                <w:sz w:val="22"/>
                <w:szCs w:val="22"/>
              </w:rPr>
              <w:t>）</w:t>
            </w:r>
          </w:p>
        </w:tc>
        <w:tc>
          <w:tcPr>
            <w:tcW w:w="1157" w:type="pct"/>
            <w:gridSpan w:val="2"/>
            <w:tcBorders>
              <w:top w:val="nil"/>
              <w:bottom w:val="nil"/>
            </w:tcBorders>
            <w:vAlign w:val="center"/>
          </w:tcPr>
          <w:p w14:paraId="63E240BC" w14:textId="4BD4A19A"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w:t>
            </w:r>
            <w:r w:rsidR="000A0C28" w:rsidRPr="005E13B9">
              <w:rPr>
                <w:rFonts w:eastAsia="標楷體"/>
                <w:sz w:val="22"/>
                <w:szCs w:val="22"/>
              </w:rPr>
              <w:t>10</w:t>
            </w:r>
            <w:r w:rsidRPr="005E13B9">
              <w:rPr>
                <w:rFonts w:eastAsia="標楷體" w:hint="eastAsia"/>
                <w:sz w:val="22"/>
                <w:szCs w:val="22"/>
              </w:rPr>
              <w:t>）</w:t>
            </w:r>
          </w:p>
        </w:tc>
      </w:tr>
      <w:tr w:rsidR="006F104F" w:rsidRPr="005E13B9" w14:paraId="028FD068"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49AF911F" w14:textId="77777777" w:rsidR="005B1D79" w:rsidRPr="005E13B9" w:rsidRDefault="005B1D79" w:rsidP="001C65C7">
            <w:pPr>
              <w:widowControl/>
              <w:overflowPunct w:val="0"/>
              <w:adjustRightInd w:val="0"/>
              <w:snapToGrid w:val="0"/>
              <w:rPr>
                <w:rFonts w:eastAsia="標楷體"/>
                <w:kern w:val="0"/>
                <w:sz w:val="22"/>
                <w:szCs w:val="22"/>
              </w:rPr>
            </w:pPr>
            <w:r w:rsidRPr="005E13B9">
              <w:rPr>
                <w:sz w:val="22"/>
                <w:szCs w:val="22"/>
              </w:rPr>
              <w:t>Debt ratio</w:t>
            </w:r>
          </w:p>
        </w:tc>
        <w:tc>
          <w:tcPr>
            <w:tcW w:w="1157" w:type="pct"/>
            <w:gridSpan w:val="2"/>
            <w:tcBorders>
              <w:top w:val="nil"/>
              <w:bottom w:val="nil"/>
            </w:tcBorders>
            <w:noWrap/>
            <w:tcMar>
              <w:top w:w="14" w:type="dxa"/>
              <w:left w:w="14" w:type="dxa"/>
              <w:bottom w:w="0" w:type="dxa"/>
              <w:right w:w="14" w:type="dxa"/>
            </w:tcMar>
            <w:vAlign w:val="center"/>
          </w:tcPr>
          <w:p w14:paraId="6F5F3B15" w14:textId="0699B51A"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-0.02</w:t>
            </w:r>
            <w:r w:rsidR="00AA345F" w:rsidRPr="005E13B9">
              <w:rPr>
                <w:rFonts w:eastAsia="標楷體"/>
                <w:sz w:val="22"/>
                <w:szCs w:val="22"/>
              </w:rPr>
              <w:t>3</w:t>
            </w:r>
            <w:r w:rsidRPr="005E13B9">
              <w:rPr>
                <w:rFonts w:eastAsia="標楷體"/>
                <w:sz w:val="22"/>
                <w:szCs w:val="22"/>
              </w:rPr>
              <w:t>**</w:t>
            </w:r>
          </w:p>
        </w:tc>
        <w:tc>
          <w:tcPr>
            <w:tcW w:w="1157" w:type="pct"/>
            <w:tcBorders>
              <w:top w:val="nil"/>
              <w:bottom w:val="nil"/>
            </w:tcBorders>
            <w:vAlign w:val="center"/>
          </w:tcPr>
          <w:p w14:paraId="336A9941" w14:textId="497D17F4" w:rsidR="005B1D79" w:rsidRPr="005E13B9" w:rsidRDefault="005B1D79" w:rsidP="004D616C">
            <w:pPr>
              <w:overflowPunct w:val="0"/>
              <w:adjustRightInd w:val="0"/>
              <w:snapToGrid w:val="0"/>
              <w:jc w:val="center"/>
              <w:rPr>
                <w:rFonts w:eastAsia="標楷體"/>
                <w:sz w:val="22"/>
                <w:szCs w:val="22"/>
              </w:rPr>
            </w:pPr>
            <w:r w:rsidRPr="005E13B9">
              <w:rPr>
                <w:rFonts w:eastAsia="標楷體"/>
                <w:sz w:val="22"/>
                <w:szCs w:val="22"/>
              </w:rPr>
              <w:t>-0.0</w:t>
            </w:r>
            <w:r w:rsidR="004D616C" w:rsidRPr="005E13B9">
              <w:rPr>
                <w:rFonts w:eastAsia="標楷體"/>
                <w:sz w:val="22"/>
                <w:szCs w:val="22"/>
              </w:rPr>
              <w:t>10</w:t>
            </w:r>
            <w:r w:rsidRPr="005E13B9">
              <w:rPr>
                <w:rFonts w:eastAsia="標楷體"/>
                <w:sz w:val="22"/>
                <w:szCs w:val="22"/>
              </w:rPr>
              <w:t>***</w:t>
            </w:r>
          </w:p>
        </w:tc>
        <w:tc>
          <w:tcPr>
            <w:tcW w:w="1157" w:type="pct"/>
            <w:gridSpan w:val="2"/>
            <w:tcBorders>
              <w:top w:val="nil"/>
              <w:bottom w:val="nil"/>
            </w:tcBorders>
            <w:vAlign w:val="center"/>
          </w:tcPr>
          <w:p w14:paraId="1B861993" w14:textId="3F91FBB6"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-0.00</w:t>
            </w:r>
            <w:r w:rsidR="000A0C28" w:rsidRPr="005E13B9">
              <w:rPr>
                <w:rFonts w:eastAsia="標楷體"/>
                <w:sz w:val="22"/>
                <w:szCs w:val="22"/>
              </w:rPr>
              <w:t>1</w:t>
            </w:r>
            <w:r w:rsidRPr="005E13B9">
              <w:rPr>
                <w:rFonts w:eastAsia="標楷體"/>
                <w:sz w:val="22"/>
                <w:szCs w:val="22"/>
              </w:rPr>
              <w:t>*</w:t>
            </w:r>
          </w:p>
        </w:tc>
      </w:tr>
      <w:tr w:rsidR="006F104F" w:rsidRPr="005E13B9" w14:paraId="6AB2AAAE"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623ADB81" w14:textId="77777777" w:rsidR="005B1D79" w:rsidRPr="005E13B9" w:rsidRDefault="005B1D79" w:rsidP="001C65C7">
            <w:pPr>
              <w:widowControl/>
              <w:overflowPunct w:val="0"/>
              <w:adjustRightInd w:val="0"/>
              <w:snapToGrid w:val="0"/>
              <w:rPr>
                <w:rFonts w:eastAsia="標楷體"/>
                <w:kern w:val="0"/>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0703C6C6" w14:textId="3357F37B" w:rsidR="005B1D79" w:rsidRPr="005E13B9" w:rsidRDefault="005B1D79" w:rsidP="001C65C7">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0.01</w:t>
            </w:r>
            <w:r w:rsidR="00AA345F" w:rsidRPr="005E13B9">
              <w:rPr>
                <w:rFonts w:eastAsia="標楷體"/>
                <w:sz w:val="22"/>
                <w:szCs w:val="22"/>
              </w:rPr>
              <w:t>1</w:t>
            </w:r>
            <w:r w:rsidRPr="005E13B9">
              <w:rPr>
                <w:rFonts w:eastAsia="標楷體" w:hint="eastAsia"/>
                <w:sz w:val="22"/>
                <w:szCs w:val="22"/>
              </w:rPr>
              <w:t>）</w:t>
            </w:r>
          </w:p>
          <w:p w14:paraId="36ED5B6B"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t>
            </w:r>
            <w:r w:rsidRPr="005E13B9">
              <w:rPr>
                <w:rFonts w:eastAsia="標楷體" w:hint="eastAsia"/>
                <w:sz w:val="22"/>
                <w:szCs w:val="22"/>
              </w:rPr>
              <w:t>）</w:t>
            </w:r>
          </w:p>
        </w:tc>
        <w:tc>
          <w:tcPr>
            <w:tcW w:w="1157" w:type="pct"/>
            <w:tcBorders>
              <w:top w:val="nil"/>
              <w:bottom w:val="nil"/>
            </w:tcBorders>
            <w:vAlign w:val="center"/>
          </w:tcPr>
          <w:p w14:paraId="4AD8E845" w14:textId="5F0CB658" w:rsidR="005B1D79" w:rsidRPr="005E13B9" w:rsidRDefault="005B1D79" w:rsidP="001C65C7">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0.001</w:t>
            </w:r>
            <w:r w:rsidRPr="005E13B9">
              <w:rPr>
                <w:rFonts w:eastAsia="標楷體" w:hint="eastAsia"/>
                <w:sz w:val="22"/>
                <w:szCs w:val="22"/>
              </w:rPr>
              <w:t>）</w:t>
            </w:r>
          </w:p>
          <w:p w14:paraId="7E537515"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t>
            </w:r>
            <w:r w:rsidRPr="005E13B9">
              <w:rPr>
                <w:rFonts w:eastAsia="標楷體" w:hint="eastAsia"/>
                <w:sz w:val="22"/>
                <w:szCs w:val="22"/>
              </w:rPr>
              <w:t>）</w:t>
            </w:r>
          </w:p>
        </w:tc>
        <w:tc>
          <w:tcPr>
            <w:tcW w:w="1157" w:type="pct"/>
            <w:gridSpan w:val="2"/>
            <w:tcBorders>
              <w:top w:val="nil"/>
              <w:bottom w:val="nil"/>
            </w:tcBorders>
            <w:vAlign w:val="center"/>
          </w:tcPr>
          <w:p w14:paraId="62BF948C" w14:textId="59265509"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w:t>
            </w:r>
            <w:r w:rsidR="000A0C28" w:rsidRPr="005E13B9">
              <w:rPr>
                <w:rFonts w:eastAsia="標楷體"/>
                <w:sz w:val="22"/>
                <w:szCs w:val="22"/>
              </w:rPr>
              <w:t>1</w:t>
            </w:r>
            <w:r w:rsidRPr="005E13B9">
              <w:rPr>
                <w:rFonts w:eastAsia="標楷體" w:hint="eastAsia"/>
                <w:sz w:val="22"/>
                <w:szCs w:val="22"/>
              </w:rPr>
              <w:t>）</w:t>
            </w:r>
          </w:p>
        </w:tc>
      </w:tr>
      <w:tr w:rsidR="006F104F" w:rsidRPr="005E13B9" w14:paraId="695F8043"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634ABDA9"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 xml:space="preserve">Directors’ </w:t>
            </w:r>
            <w:r w:rsidR="0082626C" w:rsidRPr="005E13B9">
              <w:rPr>
                <w:rFonts w:hint="eastAsia"/>
                <w:kern w:val="0"/>
                <w:sz w:val="22"/>
                <w:szCs w:val="22"/>
              </w:rPr>
              <w:t>share</w:t>
            </w:r>
            <w:r w:rsidRPr="005E13B9">
              <w:rPr>
                <w:kern w:val="0"/>
                <w:sz w:val="22"/>
                <w:szCs w:val="22"/>
              </w:rPr>
              <w:t>holding ratio</w:t>
            </w:r>
          </w:p>
        </w:tc>
        <w:tc>
          <w:tcPr>
            <w:tcW w:w="1157" w:type="pct"/>
            <w:gridSpan w:val="2"/>
            <w:tcBorders>
              <w:top w:val="nil"/>
              <w:bottom w:val="nil"/>
            </w:tcBorders>
            <w:noWrap/>
            <w:tcMar>
              <w:top w:w="14" w:type="dxa"/>
              <w:left w:w="14" w:type="dxa"/>
              <w:bottom w:w="0" w:type="dxa"/>
              <w:right w:w="14" w:type="dxa"/>
            </w:tcMar>
            <w:vAlign w:val="center"/>
          </w:tcPr>
          <w:p w14:paraId="455ADE2D" w14:textId="0B25A79A"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-0.03</w:t>
            </w:r>
            <w:r w:rsidR="00AA345F" w:rsidRPr="005E13B9">
              <w:rPr>
                <w:rFonts w:eastAsia="標楷體"/>
                <w:sz w:val="22"/>
                <w:szCs w:val="22"/>
              </w:rPr>
              <w:t>9</w:t>
            </w:r>
            <w:r w:rsidRPr="005E13B9">
              <w:rPr>
                <w:rFonts w:eastAsia="標楷體"/>
                <w:sz w:val="22"/>
                <w:szCs w:val="22"/>
              </w:rPr>
              <w:t>**</w:t>
            </w:r>
          </w:p>
        </w:tc>
        <w:tc>
          <w:tcPr>
            <w:tcW w:w="1157" w:type="pct"/>
            <w:tcBorders>
              <w:top w:val="nil"/>
              <w:bottom w:val="nil"/>
            </w:tcBorders>
            <w:vAlign w:val="center"/>
          </w:tcPr>
          <w:p w14:paraId="4A0A3FC3" w14:textId="19DEE60C" w:rsidR="005B1D79" w:rsidRPr="005E13B9" w:rsidRDefault="005B1D79" w:rsidP="004D616C">
            <w:pPr>
              <w:overflowPunct w:val="0"/>
              <w:adjustRightInd w:val="0"/>
              <w:snapToGrid w:val="0"/>
              <w:jc w:val="center"/>
              <w:rPr>
                <w:rFonts w:eastAsia="標楷體"/>
                <w:sz w:val="22"/>
                <w:szCs w:val="22"/>
              </w:rPr>
            </w:pPr>
            <w:r w:rsidRPr="005E13B9">
              <w:rPr>
                <w:rFonts w:eastAsia="標楷體"/>
                <w:sz w:val="22"/>
                <w:szCs w:val="22"/>
              </w:rPr>
              <w:t>-0.01</w:t>
            </w:r>
            <w:r w:rsidR="004D616C" w:rsidRPr="005E13B9">
              <w:rPr>
                <w:rFonts w:eastAsia="標楷體"/>
                <w:sz w:val="22"/>
                <w:szCs w:val="22"/>
              </w:rPr>
              <w:t>1</w:t>
            </w:r>
            <w:r w:rsidRPr="005E13B9">
              <w:rPr>
                <w:rFonts w:eastAsia="標楷體"/>
                <w:sz w:val="22"/>
                <w:szCs w:val="22"/>
              </w:rPr>
              <w:t>***</w:t>
            </w:r>
          </w:p>
        </w:tc>
        <w:tc>
          <w:tcPr>
            <w:tcW w:w="1157" w:type="pct"/>
            <w:gridSpan w:val="2"/>
            <w:tcBorders>
              <w:top w:val="nil"/>
              <w:bottom w:val="nil"/>
            </w:tcBorders>
            <w:vAlign w:val="center"/>
          </w:tcPr>
          <w:p w14:paraId="063CE666" w14:textId="46DA91E4"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-0.00</w:t>
            </w:r>
            <w:r w:rsidR="000A0C28" w:rsidRPr="005E13B9">
              <w:rPr>
                <w:rFonts w:eastAsia="標楷體"/>
                <w:sz w:val="22"/>
                <w:szCs w:val="22"/>
              </w:rPr>
              <w:t>2</w:t>
            </w:r>
            <w:r w:rsidRPr="005E13B9">
              <w:rPr>
                <w:rFonts w:eastAsia="標楷體"/>
                <w:sz w:val="22"/>
                <w:szCs w:val="22"/>
              </w:rPr>
              <w:t>***</w:t>
            </w:r>
          </w:p>
        </w:tc>
      </w:tr>
      <w:tr w:rsidR="006F104F" w:rsidRPr="005E13B9" w14:paraId="064146BB"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0FC886CD" w14:textId="77777777" w:rsidR="005B1D79" w:rsidRPr="005E13B9" w:rsidRDefault="005B1D79" w:rsidP="001C65C7">
            <w:pPr>
              <w:widowControl/>
              <w:overflowPunct w:val="0"/>
              <w:adjustRightInd w:val="0"/>
              <w:snapToGrid w:val="0"/>
              <w:rPr>
                <w:rFonts w:eastAsia="標楷體"/>
                <w:kern w:val="0"/>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1AE80EA3" w14:textId="7A7F3935"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0.01</w:t>
            </w:r>
            <w:r w:rsidR="00AA345F" w:rsidRPr="005E13B9">
              <w:rPr>
                <w:rFonts w:eastAsia="標楷體"/>
                <w:sz w:val="22"/>
                <w:szCs w:val="22"/>
              </w:rPr>
              <w:t>9</w:t>
            </w:r>
            <w:r w:rsidRPr="005E13B9">
              <w:rPr>
                <w:rFonts w:eastAsia="標楷體" w:hint="eastAsia"/>
                <w:sz w:val="22"/>
                <w:szCs w:val="22"/>
              </w:rPr>
              <w:t>）</w:t>
            </w:r>
          </w:p>
        </w:tc>
        <w:tc>
          <w:tcPr>
            <w:tcW w:w="1157" w:type="pct"/>
            <w:tcBorders>
              <w:top w:val="nil"/>
              <w:bottom w:val="nil"/>
            </w:tcBorders>
            <w:vAlign w:val="center"/>
          </w:tcPr>
          <w:p w14:paraId="5386447A" w14:textId="530DA20E" w:rsidR="005B1D79" w:rsidRPr="005E13B9" w:rsidRDefault="005B1D79" w:rsidP="004D616C">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w:t>
            </w:r>
            <w:r w:rsidR="004D616C" w:rsidRPr="005E13B9">
              <w:rPr>
                <w:rFonts w:eastAsia="標楷體"/>
                <w:sz w:val="22"/>
                <w:szCs w:val="22"/>
              </w:rPr>
              <w:t>2</w:t>
            </w:r>
            <w:r w:rsidRPr="005E13B9">
              <w:rPr>
                <w:rFonts w:eastAsia="標楷體" w:hint="eastAsia"/>
                <w:sz w:val="22"/>
                <w:szCs w:val="22"/>
              </w:rPr>
              <w:t>）</w:t>
            </w:r>
          </w:p>
        </w:tc>
        <w:tc>
          <w:tcPr>
            <w:tcW w:w="1157" w:type="pct"/>
            <w:gridSpan w:val="2"/>
            <w:tcBorders>
              <w:top w:val="nil"/>
              <w:bottom w:val="nil"/>
            </w:tcBorders>
            <w:vAlign w:val="center"/>
          </w:tcPr>
          <w:p w14:paraId="60FDDE2D" w14:textId="57DCD928"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w:t>
            </w:r>
            <w:r w:rsidR="000A0C28" w:rsidRPr="005E13B9">
              <w:rPr>
                <w:rFonts w:eastAsia="標楷體"/>
                <w:sz w:val="22"/>
                <w:szCs w:val="22"/>
              </w:rPr>
              <w:t>1</w:t>
            </w:r>
            <w:r w:rsidRPr="005E13B9">
              <w:rPr>
                <w:rFonts w:eastAsia="標楷體" w:hint="eastAsia"/>
                <w:sz w:val="22"/>
                <w:szCs w:val="22"/>
              </w:rPr>
              <w:t>）</w:t>
            </w:r>
          </w:p>
        </w:tc>
      </w:tr>
      <w:tr w:rsidR="006F104F" w:rsidRPr="005E13B9" w14:paraId="439792C7"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11433A5F"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 xml:space="preserve">Managers’ </w:t>
            </w:r>
            <w:r w:rsidR="0082626C" w:rsidRPr="005E13B9">
              <w:rPr>
                <w:rFonts w:hint="eastAsia"/>
                <w:kern w:val="0"/>
                <w:sz w:val="22"/>
                <w:szCs w:val="22"/>
              </w:rPr>
              <w:t>share</w:t>
            </w:r>
            <w:r w:rsidRPr="005E13B9">
              <w:rPr>
                <w:kern w:val="0"/>
                <w:sz w:val="22"/>
                <w:szCs w:val="22"/>
              </w:rPr>
              <w:t>holding ratio</w:t>
            </w:r>
          </w:p>
        </w:tc>
        <w:tc>
          <w:tcPr>
            <w:tcW w:w="1157" w:type="pct"/>
            <w:gridSpan w:val="2"/>
            <w:tcBorders>
              <w:top w:val="nil"/>
              <w:bottom w:val="nil"/>
            </w:tcBorders>
            <w:noWrap/>
            <w:tcMar>
              <w:top w:w="14" w:type="dxa"/>
              <w:left w:w="14" w:type="dxa"/>
              <w:bottom w:w="0" w:type="dxa"/>
              <w:right w:w="14" w:type="dxa"/>
            </w:tcMar>
            <w:vAlign w:val="center"/>
          </w:tcPr>
          <w:p w14:paraId="5B22F818" w14:textId="7DC2A8DA"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-0.009</w:t>
            </w:r>
          </w:p>
        </w:tc>
        <w:tc>
          <w:tcPr>
            <w:tcW w:w="1157" w:type="pct"/>
            <w:tcBorders>
              <w:top w:val="nil"/>
              <w:bottom w:val="nil"/>
            </w:tcBorders>
            <w:vAlign w:val="center"/>
          </w:tcPr>
          <w:p w14:paraId="6794A9A7" w14:textId="5CB571B3" w:rsidR="005B1D79" w:rsidRPr="005E13B9" w:rsidRDefault="005B1D79" w:rsidP="004D616C">
            <w:pPr>
              <w:overflowPunct w:val="0"/>
              <w:adjustRightInd w:val="0"/>
              <w:snapToGrid w:val="0"/>
              <w:jc w:val="center"/>
              <w:rPr>
                <w:rFonts w:eastAsia="標楷體"/>
                <w:sz w:val="22"/>
                <w:szCs w:val="22"/>
              </w:rPr>
            </w:pPr>
            <w:r w:rsidRPr="005E13B9">
              <w:rPr>
                <w:rFonts w:eastAsia="標楷體"/>
                <w:sz w:val="22"/>
                <w:szCs w:val="22"/>
              </w:rPr>
              <w:t>-0.00</w:t>
            </w:r>
            <w:r w:rsidR="004D616C" w:rsidRPr="005E13B9">
              <w:rPr>
                <w:rFonts w:eastAsia="標楷體"/>
                <w:sz w:val="22"/>
                <w:szCs w:val="22"/>
              </w:rPr>
              <w:t>9</w:t>
            </w:r>
          </w:p>
        </w:tc>
        <w:tc>
          <w:tcPr>
            <w:tcW w:w="1157" w:type="pct"/>
            <w:gridSpan w:val="2"/>
            <w:tcBorders>
              <w:top w:val="nil"/>
              <w:bottom w:val="nil"/>
            </w:tcBorders>
            <w:vAlign w:val="center"/>
          </w:tcPr>
          <w:p w14:paraId="4D3D4BF3" w14:textId="4E83BBAE"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-0.003*</w:t>
            </w:r>
          </w:p>
        </w:tc>
      </w:tr>
      <w:tr w:rsidR="006F104F" w:rsidRPr="005E13B9" w14:paraId="0CCAFF3A"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28E6AC8B" w14:textId="77777777" w:rsidR="005B1D79" w:rsidRPr="005E13B9" w:rsidRDefault="005B1D79" w:rsidP="001C65C7">
            <w:pPr>
              <w:widowControl/>
              <w:overflowPunct w:val="0"/>
              <w:adjustRightInd w:val="0"/>
              <w:snapToGrid w:val="0"/>
              <w:rPr>
                <w:rFonts w:eastAsia="標楷體"/>
                <w:kern w:val="0"/>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34761894" w14:textId="2FD4A41D"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0.077</w:t>
            </w:r>
            <w:r w:rsidRPr="005E13B9">
              <w:rPr>
                <w:rFonts w:eastAsia="標楷體" w:hint="eastAsia"/>
                <w:sz w:val="22"/>
                <w:szCs w:val="22"/>
              </w:rPr>
              <w:t>）</w:t>
            </w:r>
          </w:p>
        </w:tc>
        <w:tc>
          <w:tcPr>
            <w:tcW w:w="1157" w:type="pct"/>
            <w:tcBorders>
              <w:top w:val="nil"/>
              <w:bottom w:val="nil"/>
            </w:tcBorders>
            <w:vAlign w:val="center"/>
          </w:tcPr>
          <w:p w14:paraId="3199B591" w14:textId="37D7D00C" w:rsidR="005B1D79" w:rsidRPr="005E13B9" w:rsidRDefault="005B1D79" w:rsidP="004D616C">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0.008</w:t>
            </w:r>
            <w:r w:rsidRPr="005E13B9">
              <w:rPr>
                <w:rFonts w:eastAsia="標楷體" w:hint="eastAsia"/>
                <w:sz w:val="22"/>
                <w:szCs w:val="22"/>
              </w:rPr>
              <w:t>）</w:t>
            </w:r>
          </w:p>
        </w:tc>
        <w:tc>
          <w:tcPr>
            <w:tcW w:w="1157" w:type="pct"/>
            <w:gridSpan w:val="2"/>
            <w:tcBorders>
              <w:top w:val="nil"/>
              <w:bottom w:val="nil"/>
            </w:tcBorders>
            <w:vAlign w:val="center"/>
          </w:tcPr>
          <w:p w14:paraId="70D7404F" w14:textId="0D6EAD30"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w:t>
            </w:r>
            <w:r w:rsidR="000A0C28" w:rsidRPr="005E13B9">
              <w:rPr>
                <w:rFonts w:eastAsia="標楷體"/>
                <w:sz w:val="22"/>
                <w:szCs w:val="22"/>
              </w:rPr>
              <w:t>2</w:t>
            </w:r>
            <w:r w:rsidRPr="005E13B9">
              <w:rPr>
                <w:rFonts w:eastAsia="標楷體" w:hint="eastAsia"/>
                <w:sz w:val="22"/>
                <w:szCs w:val="22"/>
              </w:rPr>
              <w:t>）</w:t>
            </w:r>
          </w:p>
        </w:tc>
      </w:tr>
      <w:tr w:rsidR="006F104F" w:rsidRPr="005E13B9" w14:paraId="3A9A0DCB"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62AE1688"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Directors’ pledge ratio</w:t>
            </w:r>
          </w:p>
        </w:tc>
        <w:tc>
          <w:tcPr>
            <w:tcW w:w="1157" w:type="pct"/>
            <w:gridSpan w:val="2"/>
            <w:tcBorders>
              <w:top w:val="nil"/>
              <w:bottom w:val="nil"/>
            </w:tcBorders>
            <w:noWrap/>
            <w:tcMar>
              <w:top w:w="14" w:type="dxa"/>
              <w:left w:w="14" w:type="dxa"/>
              <w:bottom w:w="0" w:type="dxa"/>
              <w:right w:w="14" w:type="dxa"/>
            </w:tcMar>
            <w:vAlign w:val="center"/>
          </w:tcPr>
          <w:p w14:paraId="4BA33DAA" w14:textId="6404ED1E"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-0.02</w:t>
            </w:r>
            <w:r w:rsidR="00AA345F" w:rsidRPr="005E13B9">
              <w:rPr>
                <w:rFonts w:eastAsia="標楷體"/>
                <w:sz w:val="22"/>
                <w:szCs w:val="22"/>
              </w:rPr>
              <w:t>8</w:t>
            </w:r>
            <w:r w:rsidRPr="005E13B9">
              <w:rPr>
                <w:rFonts w:eastAsia="標楷體"/>
                <w:sz w:val="22"/>
                <w:szCs w:val="22"/>
              </w:rPr>
              <w:t>***</w:t>
            </w:r>
          </w:p>
        </w:tc>
        <w:tc>
          <w:tcPr>
            <w:tcW w:w="1157" w:type="pct"/>
            <w:tcBorders>
              <w:top w:val="nil"/>
              <w:bottom w:val="nil"/>
            </w:tcBorders>
            <w:vAlign w:val="center"/>
          </w:tcPr>
          <w:p w14:paraId="50818FED" w14:textId="6D55250A" w:rsidR="005B1D79" w:rsidRPr="005E13B9" w:rsidRDefault="005B1D79" w:rsidP="004D616C">
            <w:pPr>
              <w:overflowPunct w:val="0"/>
              <w:adjustRightInd w:val="0"/>
              <w:snapToGrid w:val="0"/>
              <w:jc w:val="center"/>
              <w:rPr>
                <w:rFonts w:eastAsia="標楷體"/>
                <w:sz w:val="22"/>
                <w:szCs w:val="22"/>
              </w:rPr>
            </w:pPr>
            <w:r w:rsidRPr="005E13B9">
              <w:rPr>
                <w:rFonts w:eastAsia="標楷體"/>
                <w:sz w:val="22"/>
                <w:szCs w:val="22"/>
              </w:rPr>
              <w:t>-0.003**</w:t>
            </w:r>
          </w:p>
        </w:tc>
        <w:tc>
          <w:tcPr>
            <w:tcW w:w="1157" w:type="pct"/>
            <w:gridSpan w:val="2"/>
            <w:tcBorders>
              <w:top w:val="nil"/>
              <w:bottom w:val="nil"/>
            </w:tcBorders>
            <w:vAlign w:val="center"/>
          </w:tcPr>
          <w:p w14:paraId="157B69E4" w14:textId="6E628406"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0.00</w:t>
            </w:r>
            <w:r w:rsidR="000A0C28" w:rsidRPr="005E13B9">
              <w:rPr>
                <w:rFonts w:eastAsia="標楷體"/>
                <w:sz w:val="22"/>
                <w:szCs w:val="22"/>
              </w:rPr>
              <w:t>2</w:t>
            </w:r>
            <w:r w:rsidRPr="005E13B9">
              <w:rPr>
                <w:rFonts w:eastAsia="標楷體"/>
                <w:sz w:val="22"/>
                <w:szCs w:val="22"/>
              </w:rPr>
              <w:t>**</w:t>
            </w:r>
          </w:p>
        </w:tc>
      </w:tr>
      <w:tr w:rsidR="006F104F" w:rsidRPr="005E13B9" w14:paraId="5D4EE331"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431006E7" w14:textId="77777777" w:rsidR="005B1D79" w:rsidRPr="005E13B9" w:rsidRDefault="005B1D79" w:rsidP="001C65C7">
            <w:pPr>
              <w:widowControl/>
              <w:overflowPunct w:val="0"/>
              <w:adjustRightInd w:val="0"/>
              <w:snapToGrid w:val="0"/>
              <w:rPr>
                <w:rFonts w:eastAsia="標楷體"/>
                <w:kern w:val="0"/>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58E5A3CF" w14:textId="2C097FE7"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0.009</w:t>
            </w:r>
            <w:r w:rsidRPr="005E13B9">
              <w:rPr>
                <w:rFonts w:eastAsia="標楷體" w:hint="eastAsia"/>
                <w:sz w:val="22"/>
                <w:szCs w:val="22"/>
              </w:rPr>
              <w:t>）</w:t>
            </w:r>
          </w:p>
        </w:tc>
        <w:tc>
          <w:tcPr>
            <w:tcW w:w="1157" w:type="pct"/>
            <w:tcBorders>
              <w:top w:val="nil"/>
              <w:bottom w:val="nil"/>
            </w:tcBorders>
            <w:vAlign w:val="center"/>
          </w:tcPr>
          <w:p w14:paraId="7CCA1882" w14:textId="27F7441C" w:rsidR="005B1D79" w:rsidRPr="005E13B9" w:rsidRDefault="005B1D79" w:rsidP="004D616C">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w:t>
            </w:r>
            <w:r w:rsidR="004D616C" w:rsidRPr="005E13B9">
              <w:rPr>
                <w:rFonts w:eastAsia="標楷體"/>
                <w:sz w:val="22"/>
                <w:szCs w:val="22"/>
              </w:rPr>
              <w:t>2</w:t>
            </w:r>
            <w:r w:rsidRPr="005E13B9">
              <w:rPr>
                <w:rFonts w:eastAsia="標楷體" w:hint="eastAsia"/>
                <w:sz w:val="22"/>
                <w:szCs w:val="22"/>
              </w:rPr>
              <w:t>）</w:t>
            </w:r>
          </w:p>
        </w:tc>
        <w:tc>
          <w:tcPr>
            <w:tcW w:w="1157" w:type="pct"/>
            <w:gridSpan w:val="2"/>
            <w:tcBorders>
              <w:top w:val="nil"/>
              <w:bottom w:val="nil"/>
            </w:tcBorders>
            <w:vAlign w:val="center"/>
          </w:tcPr>
          <w:p w14:paraId="701B2B09" w14:textId="15AFD2BD"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w:t>
            </w:r>
            <w:r w:rsidR="000A0C28" w:rsidRPr="005E13B9">
              <w:rPr>
                <w:rFonts w:eastAsia="標楷體"/>
                <w:sz w:val="22"/>
                <w:szCs w:val="22"/>
              </w:rPr>
              <w:t>1</w:t>
            </w:r>
            <w:r w:rsidRPr="005E13B9">
              <w:rPr>
                <w:rFonts w:eastAsia="標楷體" w:hint="eastAsia"/>
                <w:sz w:val="22"/>
                <w:szCs w:val="22"/>
              </w:rPr>
              <w:t>）</w:t>
            </w:r>
          </w:p>
        </w:tc>
      </w:tr>
      <w:tr w:rsidR="006F104F" w:rsidRPr="005E13B9" w14:paraId="0E5D76F8"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366EB06F" w14:textId="77777777" w:rsidR="005B1D79" w:rsidRPr="005E13B9" w:rsidRDefault="005B1D79" w:rsidP="001C65C7">
            <w:pPr>
              <w:widowControl/>
              <w:overflowPunct w:val="0"/>
              <w:adjustRightInd w:val="0"/>
              <w:snapToGrid w:val="0"/>
              <w:rPr>
                <w:rFonts w:eastAsia="標楷體"/>
                <w:kern w:val="0"/>
                <w:sz w:val="22"/>
                <w:szCs w:val="22"/>
              </w:rPr>
            </w:pPr>
            <w:r w:rsidRPr="005E13B9">
              <w:rPr>
                <w:sz w:val="22"/>
                <w:szCs w:val="22"/>
              </w:rPr>
              <w:t>CEO duality dummy</w:t>
            </w:r>
          </w:p>
        </w:tc>
        <w:tc>
          <w:tcPr>
            <w:tcW w:w="1157" w:type="pct"/>
            <w:gridSpan w:val="2"/>
            <w:tcBorders>
              <w:top w:val="nil"/>
              <w:bottom w:val="nil"/>
            </w:tcBorders>
            <w:noWrap/>
            <w:tcMar>
              <w:top w:w="14" w:type="dxa"/>
              <w:left w:w="14" w:type="dxa"/>
              <w:bottom w:w="0" w:type="dxa"/>
              <w:right w:w="14" w:type="dxa"/>
            </w:tcMar>
            <w:vAlign w:val="center"/>
          </w:tcPr>
          <w:p w14:paraId="4F735FCD" w14:textId="1D56529E"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1.78</w:t>
            </w:r>
            <w:r w:rsidR="00AA345F" w:rsidRPr="005E13B9">
              <w:rPr>
                <w:rFonts w:eastAsia="標楷體"/>
                <w:sz w:val="22"/>
                <w:szCs w:val="22"/>
              </w:rPr>
              <w:t>6</w:t>
            </w:r>
            <w:r w:rsidRPr="005E13B9">
              <w:rPr>
                <w:rFonts w:eastAsia="標楷體"/>
                <w:sz w:val="22"/>
                <w:szCs w:val="22"/>
              </w:rPr>
              <w:t>***</w:t>
            </w:r>
          </w:p>
        </w:tc>
        <w:tc>
          <w:tcPr>
            <w:tcW w:w="1157" w:type="pct"/>
            <w:tcBorders>
              <w:top w:val="nil"/>
              <w:bottom w:val="nil"/>
            </w:tcBorders>
            <w:vAlign w:val="center"/>
          </w:tcPr>
          <w:p w14:paraId="182F0E45" w14:textId="0CCEE313"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-0.14</w:t>
            </w:r>
            <w:r w:rsidR="000A0C28" w:rsidRPr="005E13B9">
              <w:rPr>
                <w:rFonts w:eastAsia="標楷體"/>
                <w:sz w:val="22"/>
                <w:szCs w:val="22"/>
              </w:rPr>
              <w:t>8</w:t>
            </w:r>
            <w:r w:rsidRPr="005E13B9">
              <w:rPr>
                <w:rFonts w:eastAsia="標楷體"/>
                <w:sz w:val="22"/>
                <w:szCs w:val="22"/>
              </w:rPr>
              <w:t>**</w:t>
            </w:r>
          </w:p>
        </w:tc>
        <w:tc>
          <w:tcPr>
            <w:tcW w:w="1157" w:type="pct"/>
            <w:gridSpan w:val="2"/>
            <w:tcBorders>
              <w:top w:val="nil"/>
              <w:bottom w:val="nil"/>
            </w:tcBorders>
            <w:vAlign w:val="center"/>
          </w:tcPr>
          <w:p w14:paraId="60433BE4" w14:textId="1EC96586"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w:t>
            </w:r>
            <w:r w:rsidR="000A0C28" w:rsidRPr="005E13B9">
              <w:rPr>
                <w:rFonts w:eastAsia="標楷體"/>
                <w:sz w:val="22"/>
                <w:szCs w:val="22"/>
              </w:rPr>
              <w:t>3e-4</w:t>
            </w:r>
          </w:p>
        </w:tc>
      </w:tr>
      <w:tr w:rsidR="006F104F" w:rsidRPr="005E13B9" w14:paraId="459F1E32"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32A9B31B" w14:textId="77777777" w:rsidR="005B1D79" w:rsidRPr="005E13B9" w:rsidRDefault="005B1D79" w:rsidP="001C65C7">
            <w:pPr>
              <w:overflowPunct w:val="0"/>
              <w:adjustRightInd w:val="0"/>
              <w:snapToGrid w:val="0"/>
              <w:rPr>
                <w:rFonts w:eastAsia="標楷體"/>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3348D053" w14:textId="13AC35BE"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0.427</w:t>
            </w:r>
            <w:r w:rsidRPr="005E13B9">
              <w:rPr>
                <w:rFonts w:eastAsia="標楷體" w:hint="eastAsia"/>
                <w:sz w:val="22"/>
                <w:szCs w:val="22"/>
              </w:rPr>
              <w:t>）</w:t>
            </w:r>
          </w:p>
        </w:tc>
        <w:tc>
          <w:tcPr>
            <w:tcW w:w="1157" w:type="pct"/>
            <w:tcBorders>
              <w:top w:val="nil"/>
              <w:bottom w:val="nil"/>
            </w:tcBorders>
            <w:vAlign w:val="center"/>
          </w:tcPr>
          <w:p w14:paraId="0B6CDEDE" w14:textId="3792D80F"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0.07</w:t>
            </w:r>
            <w:r w:rsidR="000A0C28" w:rsidRPr="005E13B9">
              <w:rPr>
                <w:rFonts w:eastAsia="標楷體"/>
                <w:sz w:val="22"/>
                <w:szCs w:val="22"/>
              </w:rPr>
              <w:t>1</w:t>
            </w:r>
            <w:r w:rsidRPr="005E13B9">
              <w:rPr>
                <w:rFonts w:eastAsia="標楷體" w:hint="eastAsia"/>
                <w:sz w:val="22"/>
                <w:szCs w:val="22"/>
              </w:rPr>
              <w:t>）</w:t>
            </w:r>
          </w:p>
        </w:tc>
        <w:tc>
          <w:tcPr>
            <w:tcW w:w="1157" w:type="pct"/>
            <w:gridSpan w:val="2"/>
            <w:tcBorders>
              <w:top w:val="nil"/>
              <w:bottom w:val="nil"/>
            </w:tcBorders>
            <w:vAlign w:val="center"/>
          </w:tcPr>
          <w:p w14:paraId="6AAE8E89" w14:textId="587848F7"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0.01</w:t>
            </w:r>
            <w:r w:rsidR="000A0C28" w:rsidRPr="005E13B9">
              <w:rPr>
                <w:rFonts w:eastAsia="標楷體"/>
                <w:sz w:val="22"/>
                <w:szCs w:val="22"/>
              </w:rPr>
              <w:t>5</w:t>
            </w:r>
            <w:r w:rsidRPr="005E13B9">
              <w:rPr>
                <w:rFonts w:eastAsia="標楷體" w:hint="eastAsia"/>
                <w:sz w:val="22"/>
                <w:szCs w:val="22"/>
              </w:rPr>
              <w:t>）</w:t>
            </w:r>
          </w:p>
        </w:tc>
      </w:tr>
      <w:tr w:rsidR="006F104F" w:rsidRPr="005E13B9" w14:paraId="1D213931"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04564ABF" w14:textId="77777777" w:rsidR="005B1D79" w:rsidRPr="005E13B9" w:rsidRDefault="005B1D79" w:rsidP="001C65C7">
            <w:pPr>
              <w:widowControl/>
              <w:overflowPunct w:val="0"/>
              <w:adjustRightInd w:val="0"/>
              <w:snapToGrid w:val="0"/>
              <w:rPr>
                <w:rFonts w:eastAsia="標楷體"/>
                <w:kern w:val="0"/>
                <w:sz w:val="22"/>
                <w:szCs w:val="22"/>
              </w:rPr>
            </w:pPr>
            <w:r w:rsidRPr="005E13B9">
              <w:rPr>
                <w:kern w:val="0"/>
                <w:sz w:val="22"/>
                <w:szCs w:val="22"/>
              </w:rPr>
              <w:t>Board size</w:t>
            </w:r>
          </w:p>
        </w:tc>
        <w:tc>
          <w:tcPr>
            <w:tcW w:w="1157" w:type="pct"/>
            <w:gridSpan w:val="2"/>
            <w:tcBorders>
              <w:top w:val="nil"/>
              <w:bottom w:val="nil"/>
            </w:tcBorders>
            <w:noWrap/>
            <w:tcMar>
              <w:top w:w="14" w:type="dxa"/>
              <w:left w:w="14" w:type="dxa"/>
              <w:bottom w:w="0" w:type="dxa"/>
              <w:right w:w="14" w:type="dxa"/>
            </w:tcMar>
            <w:vAlign w:val="center"/>
          </w:tcPr>
          <w:p w14:paraId="7D7E280C" w14:textId="5096724B"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-0.323***</w:t>
            </w:r>
          </w:p>
        </w:tc>
        <w:tc>
          <w:tcPr>
            <w:tcW w:w="1157" w:type="pct"/>
            <w:tcBorders>
              <w:top w:val="nil"/>
              <w:bottom w:val="nil"/>
            </w:tcBorders>
            <w:vAlign w:val="center"/>
          </w:tcPr>
          <w:p w14:paraId="6BD34A12" w14:textId="17779137"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-0.078***</w:t>
            </w:r>
          </w:p>
        </w:tc>
        <w:tc>
          <w:tcPr>
            <w:tcW w:w="1157" w:type="pct"/>
            <w:gridSpan w:val="2"/>
            <w:tcBorders>
              <w:top w:val="nil"/>
              <w:bottom w:val="nil"/>
            </w:tcBorders>
            <w:vAlign w:val="center"/>
          </w:tcPr>
          <w:p w14:paraId="23CD7C2B" w14:textId="199417DB"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-0.010***</w:t>
            </w:r>
          </w:p>
        </w:tc>
      </w:tr>
      <w:tr w:rsidR="006F104F" w:rsidRPr="005E13B9" w14:paraId="7846FF0B"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1E9BCFCA" w14:textId="77777777" w:rsidR="005B1D79" w:rsidRPr="005E13B9" w:rsidRDefault="005B1D79" w:rsidP="001C65C7">
            <w:pPr>
              <w:overflowPunct w:val="0"/>
              <w:adjustRightInd w:val="0"/>
              <w:snapToGrid w:val="0"/>
              <w:rPr>
                <w:rFonts w:eastAsia="標楷體"/>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5A7F3AB1" w14:textId="023D6C15"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0.07</w:t>
            </w:r>
            <w:r w:rsidR="00AA345F" w:rsidRPr="005E13B9">
              <w:rPr>
                <w:rFonts w:eastAsia="標楷體"/>
                <w:sz w:val="22"/>
                <w:szCs w:val="22"/>
              </w:rPr>
              <w:t>6</w:t>
            </w:r>
            <w:r w:rsidRPr="005E13B9">
              <w:rPr>
                <w:rFonts w:eastAsia="標楷體" w:hint="eastAsia"/>
                <w:sz w:val="22"/>
                <w:szCs w:val="22"/>
              </w:rPr>
              <w:t>）</w:t>
            </w:r>
          </w:p>
        </w:tc>
        <w:tc>
          <w:tcPr>
            <w:tcW w:w="1157" w:type="pct"/>
            <w:tcBorders>
              <w:top w:val="nil"/>
              <w:bottom w:val="nil"/>
            </w:tcBorders>
            <w:vAlign w:val="center"/>
          </w:tcPr>
          <w:p w14:paraId="5DFB8EFC" w14:textId="69B691D7"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0.01</w:t>
            </w:r>
            <w:r w:rsidR="000A0C28" w:rsidRPr="005E13B9">
              <w:rPr>
                <w:rFonts w:eastAsia="標楷體"/>
                <w:sz w:val="22"/>
                <w:szCs w:val="22"/>
              </w:rPr>
              <w:t>1</w:t>
            </w:r>
            <w:r w:rsidRPr="005E13B9">
              <w:rPr>
                <w:rFonts w:eastAsia="標楷體" w:hint="eastAsia"/>
                <w:sz w:val="22"/>
                <w:szCs w:val="22"/>
              </w:rPr>
              <w:t>）</w:t>
            </w:r>
          </w:p>
        </w:tc>
        <w:tc>
          <w:tcPr>
            <w:tcW w:w="1157" w:type="pct"/>
            <w:gridSpan w:val="2"/>
            <w:tcBorders>
              <w:top w:val="nil"/>
              <w:bottom w:val="nil"/>
            </w:tcBorders>
            <w:vAlign w:val="center"/>
          </w:tcPr>
          <w:p w14:paraId="16A94EF6" w14:textId="6163E427"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0.002</w:t>
            </w:r>
            <w:r w:rsidRPr="005E13B9">
              <w:rPr>
                <w:rFonts w:eastAsia="標楷體" w:hint="eastAsia"/>
                <w:sz w:val="22"/>
                <w:szCs w:val="22"/>
              </w:rPr>
              <w:t>）</w:t>
            </w:r>
          </w:p>
        </w:tc>
      </w:tr>
      <w:tr w:rsidR="006F104F" w:rsidRPr="005E13B9" w14:paraId="63A905F4"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56B3345E" w14:textId="77777777" w:rsidR="005B1D79" w:rsidRPr="005E13B9" w:rsidRDefault="005B1D79" w:rsidP="001C65C7">
            <w:pPr>
              <w:overflowPunct w:val="0"/>
              <w:adjustRightInd w:val="0"/>
              <w:snapToGrid w:val="0"/>
              <w:rPr>
                <w:rFonts w:eastAsia="標楷體"/>
                <w:sz w:val="22"/>
                <w:szCs w:val="22"/>
              </w:rPr>
            </w:pPr>
            <w:r w:rsidRPr="005E13B9">
              <w:rPr>
                <w:rFonts w:eastAsia="標楷體"/>
                <w:kern w:val="0"/>
                <w:sz w:val="22"/>
                <w:szCs w:val="22"/>
              </w:rPr>
              <w:t>Electronic dummy</w:t>
            </w:r>
          </w:p>
        </w:tc>
        <w:tc>
          <w:tcPr>
            <w:tcW w:w="1157" w:type="pct"/>
            <w:gridSpan w:val="2"/>
            <w:tcBorders>
              <w:top w:val="nil"/>
              <w:bottom w:val="nil"/>
            </w:tcBorders>
            <w:noWrap/>
            <w:tcMar>
              <w:top w:w="14" w:type="dxa"/>
              <w:left w:w="14" w:type="dxa"/>
              <w:bottom w:w="0" w:type="dxa"/>
              <w:right w:w="14" w:type="dxa"/>
            </w:tcMar>
            <w:vAlign w:val="center"/>
          </w:tcPr>
          <w:p w14:paraId="33ECDF3A" w14:textId="09680BD1"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4.464***</w:t>
            </w:r>
          </w:p>
        </w:tc>
        <w:tc>
          <w:tcPr>
            <w:tcW w:w="1157" w:type="pct"/>
            <w:tcBorders>
              <w:top w:val="nil"/>
              <w:bottom w:val="nil"/>
            </w:tcBorders>
            <w:vAlign w:val="center"/>
          </w:tcPr>
          <w:p w14:paraId="213C8F2F" w14:textId="1C05DAD2"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0.379***</w:t>
            </w:r>
          </w:p>
        </w:tc>
        <w:tc>
          <w:tcPr>
            <w:tcW w:w="1157" w:type="pct"/>
            <w:gridSpan w:val="2"/>
            <w:tcBorders>
              <w:top w:val="nil"/>
              <w:bottom w:val="nil"/>
            </w:tcBorders>
            <w:vAlign w:val="center"/>
          </w:tcPr>
          <w:p w14:paraId="2B4DD31F" w14:textId="0CF7DEEE"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-0.03</w:t>
            </w:r>
            <w:r w:rsidR="000A0C28" w:rsidRPr="005E13B9">
              <w:rPr>
                <w:rFonts w:eastAsia="標楷體"/>
                <w:sz w:val="22"/>
                <w:szCs w:val="22"/>
              </w:rPr>
              <w:t>1</w:t>
            </w:r>
          </w:p>
        </w:tc>
      </w:tr>
      <w:tr w:rsidR="006F104F" w:rsidRPr="005E13B9" w14:paraId="053D3437"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66565C99" w14:textId="77777777" w:rsidR="005B1D79" w:rsidRPr="005E13B9" w:rsidRDefault="005B1D79" w:rsidP="001C65C7">
            <w:pPr>
              <w:overflowPunct w:val="0"/>
              <w:adjustRightInd w:val="0"/>
              <w:snapToGrid w:val="0"/>
              <w:rPr>
                <w:rFonts w:eastAsia="標楷體"/>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1A2B3632" w14:textId="696F006B"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0.57</w:t>
            </w:r>
            <w:r w:rsidR="00AA345F" w:rsidRPr="005E13B9">
              <w:rPr>
                <w:rFonts w:eastAsia="標楷體"/>
                <w:sz w:val="22"/>
                <w:szCs w:val="22"/>
              </w:rPr>
              <w:t>8</w:t>
            </w:r>
            <w:r w:rsidRPr="005E13B9">
              <w:rPr>
                <w:rFonts w:eastAsia="標楷體" w:hint="eastAsia"/>
                <w:sz w:val="22"/>
                <w:szCs w:val="22"/>
              </w:rPr>
              <w:t>）</w:t>
            </w:r>
          </w:p>
        </w:tc>
        <w:tc>
          <w:tcPr>
            <w:tcW w:w="1157" w:type="pct"/>
            <w:tcBorders>
              <w:top w:val="nil"/>
              <w:bottom w:val="nil"/>
            </w:tcBorders>
            <w:vAlign w:val="center"/>
          </w:tcPr>
          <w:p w14:paraId="06CAE320" w14:textId="63D191C1"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0.08</w:t>
            </w:r>
            <w:r w:rsidR="000A0C28" w:rsidRPr="005E13B9">
              <w:rPr>
                <w:rFonts w:eastAsia="標楷體"/>
                <w:sz w:val="22"/>
                <w:szCs w:val="22"/>
              </w:rPr>
              <w:t>3</w:t>
            </w:r>
            <w:r w:rsidRPr="005E13B9">
              <w:rPr>
                <w:rFonts w:eastAsia="標楷體" w:hint="eastAsia"/>
                <w:sz w:val="22"/>
                <w:szCs w:val="22"/>
              </w:rPr>
              <w:t>）</w:t>
            </w:r>
          </w:p>
        </w:tc>
        <w:tc>
          <w:tcPr>
            <w:tcW w:w="1157" w:type="pct"/>
            <w:gridSpan w:val="2"/>
            <w:tcBorders>
              <w:top w:val="nil"/>
              <w:bottom w:val="nil"/>
            </w:tcBorders>
            <w:vAlign w:val="center"/>
          </w:tcPr>
          <w:p w14:paraId="3077F6A0" w14:textId="56BD819E"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0.02</w:t>
            </w:r>
            <w:r w:rsidR="000A0C28" w:rsidRPr="005E13B9">
              <w:rPr>
                <w:rFonts w:eastAsia="標楷體"/>
                <w:sz w:val="22"/>
                <w:szCs w:val="22"/>
              </w:rPr>
              <w:t>2</w:t>
            </w:r>
            <w:r w:rsidRPr="005E13B9">
              <w:rPr>
                <w:rFonts w:eastAsia="標楷體" w:hint="eastAsia"/>
                <w:sz w:val="22"/>
                <w:szCs w:val="22"/>
              </w:rPr>
              <w:t>）</w:t>
            </w:r>
          </w:p>
        </w:tc>
      </w:tr>
      <w:tr w:rsidR="006F104F" w:rsidRPr="005E13B9" w14:paraId="509271DD"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1808DE86" w14:textId="77777777" w:rsidR="005B1D79" w:rsidRPr="005E13B9" w:rsidRDefault="005B1D79" w:rsidP="001C65C7">
            <w:pPr>
              <w:widowControl/>
              <w:overflowPunct w:val="0"/>
              <w:adjustRightInd w:val="0"/>
              <w:snapToGrid w:val="0"/>
              <w:rPr>
                <w:rFonts w:eastAsia="標楷體"/>
                <w:kern w:val="0"/>
                <w:sz w:val="22"/>
                <w:szCs w:val="22"/>
              </w:rPr>
            </w:pPr>
            <w:r w:rsidRPr="005E13B9">
              <w:rPr>
                <w:rFonts w:eastAsia="標楷體"/>
                <w:kern w:val="0"/>
                <w:sz w:val="22"/>
                <w:szCs w:val="22"/>
              </w:rPr>
              <w:t>Firm scale</w:t>
            </w:r>
          </w:p>
        </w:tc>
        <w:tc>
          <w:tcPr>
            <w:tcW w:w="1157" w:type="pct"/>
            <w:gridSpan w:val="2"/>
            <w:tcBorders>
              <w:top w:val="nil"/>
              <w:bottom w:val="nil"/>
            </w:tcBorders>
            <w:noWrap/>
            <w:tcMar>
              <w:top w:w="14" w:type="dxa"/>
              <w:left w:w="14" w:type="dxa"/>
              <w:bottom w:w="0" w:type="dxa"/>
              <w:right w:w="14" w:type="dxa"/>
            </w:tcMar>
            <w:vAlign w:val="center"/>
          </w:tcPr>
          <w:p w14:paraId="274D8B87" w14:textId="51F5F3CE"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6.2</w:t>
            </w:r>
            <w:r w:rsidR="00AA345F" w:rsidRPr="005E13B9">
              <w:rPr>
                <w:rFonts w:eastAsia="標楷體"/>
                <w:sz w:val="22"/>
                <w:szCs w:val="22"/>
              </w:rPr>
              <w:t>60</w:t>
            </w:r>
            <w:r w:rsidRPr="005E13B9">
              <w:rPr>
                <w:rFonts w:eastAsia="標楷體"/>
                <w:sz w:val="22"/>
                <w:szCs w:val="22"/>
              </w:rPr>
              <w:t>***</w:t>
            </w:r>
          </w:p>
        </w:tc>
        <w:tc>
          <w:tcPr>
            <w:tcW w:w="1157" w:type="pct"/>
            <w:tcBorders>
              <w:top w:val="nil"/>
              <w:bottom w:val="nil"/>
            </w:tcBorders>
            <w:vAlign w:val="center"/>
          </w:tcPr>
          <w:p w14:paraId="64EE9381" w14:textId="79D18589"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0.456***</w:t>
            </w:r>
          </w:p>
        </w:tc>
        <w:tc>
          <w:tcPr>
            <w:tcW w:w="1157" w:type="pct"/>
            <w:gridSpan w:val="2"/>
            <w:tcBorders>
              <w:top w:val="nil"/>
              <w:bottom w:val="nil"/>
            </w:tcBorders>
            <w:vAlign w:val="center"/>
          </w:tcPr>
          <w:p w14:paraId="2F9DB76C" w14:textId="3F227BEA"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0.043***</w:t>
            </w:r>
          </w:p>
        </w:tc>
      </w:tr>
      <w:tr w:rsidR="006F104F" w:rsidRPr="005E13B9" w14:paraId="6CD6B7DE"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1D271E01" w14:textId="77777777" w:rsidR="005B1D79" w:rsidRPr="005E13B9" w:rsidRDefault="005B1D79" w:rsidP="001C65C7">
            <w:pPr>
              <w:overflowPunct w:val="0"/>
              <w:adjustRightInd w:val="0"/>
              <w:snapToGrid w:val="0"/>
              <w:rPr>
                <w:rFonts w:eastAsia="標楷體"/>
                <w:sz w:val="22"/>
                <w:szCs w:val="22"/>
              </w:rPr>
            </w:pPr>
          </w:p>
        </w:tc>
        <w:tc>
          <w:tcPr>
            <w:tcW w:w="1157" w:type="pct"/>
            <w:gridSpan w:val="2"/>
            <w:tcBorders>
              <w:top w:val="nil"/>
              <w:bottom w:val="nil"/>
            </w:tcBorders>
            <w:noWrap/>
            <w:tcMar>
              <w:top w:w="14" w:type="dxa"/>
              <w:left w:w="14" w:type="dxa"/>
              <w:bottom w:w="0" w:type="dxa"/>
              <w:right w:w="14" w:type="dxa"/>
            </w:tcMar>
            <w:vAlign w:val="center"/>
          </w:tcPr>
          <w:p w14:paraId="00B6C35D" w14:textId="5A46A9ED"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0.16</w:t>
            </w:r>
            <w:r w:rsidR="00AA345F" w:rsidRPr="005E13B9">
              <w:rPr>
                <w:rFonts w:eastAsia="標楷體"/>
                <w:sz w:val="22"/>
                <w:szCs w:val="22"/>
              </w:rPr>
              <w:t>8</w:t>
            </w:r>
            <w:r w:rsidRPr="005E13B9">
              <w:rPr>
                <w:rFonts w:eastAsia="標楷體" w:hint="eastAsia"/>
                <w:sz w:val="22"/>
                <w:szCs w:val="22"/>
              </w:rPr>
              <w:t>）</w:t>
            </w:r>
          </w:p>
        </w:tc>
        <w:tc>
          <w:tcPr>
            <w:tcW w:w="1157" w:type="pct"/>
            <w:tcBorders>
              <w:top w:val="nil"/>
              <w:bottom w:val="nil"/>
            </w:tcBorders>
            <w:vAlign w:val="center"/>
          </w:tcPr>
          <w:p w14:paraId="7E7186B2" w14:textId="75FCC33D"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0.020</w:t>
            </w:r>
            <w:r w:rsidRPr="005E13B9">
              <w:rPr>
                <w:rFonts w:eastAsia="標楷體" w:hint="eastAsia"/>
                <w:sz w:val="22"/>
                <w:szCs w:val="22"/>
              </w:rPr>
              <w:t>）</w:t>
            </w:r>
          </w:p>
        </w:tc>
        <w:tc>
          <w:tcPr>
            <w:tcW w:w="1157" w:type="pct"/>
            <w:gridSpan w:val="2"/>
            <w:tcBorders>
              <w:top w:val="nil"/>
              <w:bottom w:val="nil"/>
            </w:tcBorders>
            <w:vAlign w:val="center"/>
          </w:tcPr>
          <w:p w14:paraId="6449588B" w14:textId="7CA2D8DD"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w:t>
            </w:r>
            <w:r w:rsidR="000A0C28" w:rsidRPr="005E13B9">
              <w:rPr>
                <w:rFonts w:eastAsia="標楷體"/>
                <w:sz w:val="22"/>
                <w:szCs w:val="22"/>
              </w:rPr>
              <w:t>4</w:t>
            </w:r>
            <w:r w:rsidRPr="005E13B9">
              <w:rPr>
                <w:rFonts w:eastAsia="標楷體" w:hint="eastAsia"/>
                <w:sz w:val="22"/>
                <w:szCs w:val="22"/>
              </w:rPr>
              <w:t>）</w:t>
            </w:r>
          </w:p>
        </w:tc>
      </w:tr>
      <w:tr w:rsidR="006F104F" w:rsidRPr="005E13B9" w14:paraId="542842BA"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0458A4A8" w14:textId="77777777" w:rsidR="005B1D79" w:rsidRPr="005E13B9" w:rsidRDefault="005B1D79" w:rsidP="001C65C7">
            <w:pPr>
              <w:overflowPunct w:val="0"/>
              <w:adjustRightInd w:val="0"/>
              <w:snapToGrid w:val="0"/>
              <w:rPr>
                <w:rFonts w:eastAsia="標楷體"/>
                <w:sz w:val="22"/>
                <w:szCs w:val="22"/>
              </w:rPr>
            </w:pPr>
            <w:r w:rsidRPr="005E13B9">
              <w:rPr>
                <w:rFonts w:eastAsia="標楷體"/>
                <w:sz w:val="22"/>
                <w:szCs w:val="22"/>
              </w:rPr>
              <w:t>Constant</w:t>
            </w:r>
          </w:p>
        </w:tc>
        <w:tc>
          <w:tcPr>
            <w:tcW w:w="1157" w:type="pct"/>
            <w:gridSpan w:val="2"/>
            <w:tcBorders>
              <w:top w:val="nil"/>
              <w:bottom w:val="nil"/>
            </w:tcBorders>
            <w:noWrap/>
            <w:tcMar>
              <w:top w:w="14" w:type="dxa"/>
              <w:left w:w="14" w:type="dxa"/>
              <w:bottom w:w="0" w:type="dxa"/>
              <w:right w:w="14" w:type="dxa"/>
            </w:tcMar>
            <w:vAlign w:val="center"/>
          </w:tcPr>
          <w:p w14:paraId="57B16ED0" w14:textId="3143E85E"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-85.94</w:t>
            </w:r>
            <w:r w:rsidR="00AA345F" w:rsidRPr="005E13B9">
              <w:rPr>
                <w:rFonts w:eastAsia="標楷體"/>
                <w:sz w:val="22"/>
                <w:szCs w:val="22"/>
              </w:rPr>
              <w:t>2</w:t>
            </w:r>
            <w:r w:rsidRPr="005E13B9">
              <w:rPr>
                <w:rFonts w:eastAsia="標楷體"/>
                <w:sz w:val="22"/>
                <w:szCs w:val="22"/>
              </w:rPr>
              <w:t>***</w:t>
            </w:r>
          </w:p>
        </w:tc>
        <w:tc>
          <w:tcPr>
            <w:tcW w:w="1157" w:type="pct"/>
            <w:tcBorders>
              <w:top w:val="nil"/>
              <w:bottom w:val="nil"/>
            </w:tcBorders>
            <w:vAlign w:val="center"/>
          </w:tcPr>
          <w:p w14:paraId="4CF4FABA" w14:textId="60B16F7F"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-4.47</w:t>
            </w:r>
            <w:r w:rsidR="000A0C28" w:rsidRPr="005E13B9">
              <w:rPr>
                <w:rFonts w:eastAsia="標楷體"/>
                <w:sz w:val="22"/>
                <w:szCs w:val="22"/>
              </w:rPr>
              <w:t>3</w:t>
            </w:r>
            <w:r w:rsidRPr="005E13B9">
              <w:rPr>
                <w:rFonts w:eastAsia="標楷體"/>
                <w:sz w:val="22"/>
                <w:szCs w:val="22"/>
              </w:rPr>
              <w:t>***</w:t>
            </w:r>
          </w:p>
        </w:tc>
        <w:tc>
          <w:tcPr>
            <w:tcW w:w="1157" w:type="pct"/>
            <w:gridSpan w:val="2"/>
            <w:tcBorders>
              <w:top w:val="nil"/>
              <w:bottom w:val="nil"/>
            </w:tcBorders>
            <w:vAlign w:val="center"/>
          </w:tcPr>
          <w:p w14:paraId="6D439140" w14:textId="0E66881B"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-0.330***</w:t>
            </w:r>
          </w:p>
        </w:tc>
      </w:tr>
      <w:tr w:rsidR="006F104F" w:rsidRPr="005E13B9" w14:paraId="5290818C" w14:textId="77777777" w:rsidTr="007875FC">
        <w:trPr>
          <w:cantSplit/>
          <w:trHeight w:hRule="exact" w:val="283"/>
        </w:trPr>
        <w:tc>
          <w:tcPr>
            <w:tcW w:w="1528" w:type="pct"/>
            <w:tcBorders>
              <w:top w:val="nil"/>
              <w:bottom w:val="nil"/>
            </w:tcBorders>
            <w:noWrap/>
            <w:tcMar>
              <w:top w:w="14" w:type="dxa"/>
              <w:left w:w="14" w:type="dxa"/>
              <w:bottom w:w="0" w:type="dxa"/>
              <w:right w:w="14" w:type="dxa"/>
            </w:tcMar>
            <w:vAlign w:val="center"/>
          </w:tcPr>
          <w:p w14:paraId="2794CACA" w14:textId="77777777" w:rsidR="005B1D79" w:rsidRPr="005E13B9" w:rsidRDefault="005B1D79" w:rsidP="001C65C7">
            <w:pPr>
              <w:overflowPunct w:val="0"/>
              <w:adjustRightInd w:val="0"/>
              <w:snapToGrid w:val="0"/>
              <w:rPr>
                <w:rFonts w:eastAsia="標楷體"/>
                <w:sz w:val="22"/>
                <w:szCs w:val="22"/>
              </w:rPr>
            </w:pPr>
          </w:p>
        </w:tc>
        <w:tc>
          <w:tcPr>
            <w:tcW w:w="1145" w:type="pct"/>
            <w:tcBorders>
              <w:top w:val="nil"/>
              <w:bottom w:val="nil"/>
            </w:tcBorders>
            <w:noWrap/>
            <w:tcMar>
              <w:top w:w="14" w:type="dxa"/>
              <w:left w:w="14" w:type="dxa"/>
              <w:bottom w:w="0" w:type="dxa"/>
              <w:right w:w="14" w:type="dxa"/>
            </w:tcMar>
            <w:vAlign w:val="center"/>
          </w:tcPr>
          <w:p w14:paraId="12346C78" w14:textId="34602FB1" w:rsidR="005B1D79" w:rsidRPr="005E13B9" w:rsidRDefault="005B1D79" w:rsidP="00AA345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2.62</w:t>
            </w:r>
            <w:r w:rsidR="00AA345F" w:rsidRPr="005E13B9">
              <w:rPr>
                <w:rFonts w:eastAsia="標楷體"/>
                <w:sz w:val="22"/>
                <w:szCs w:val="22"/>
              </w:rPr>
              <w:t>6</w:t>
            </w:r>
            <w:r w:rsidRPr="005E13B9">
              <w:rPr>
                <w:rFonts w:eastAsia="標楷體" w:hint="eastAsia"/>
                <w:sz w:val="22"/>
                <w:szCs w:val="22"/>
              </w:rPr>
              <w:t>）</w:t>
            </w:r>
          </w:p>
        </w:tc>
        <w:tc>
          <w:tcPr>
            <w:tcW w:w="1228" w:type="pct"/>
            <w:gridSpan w:val="3"/>
            <w:tcBorders>
              <w:top w:val="nil"/>
              <w:bottom w:val="nil"/>
            </w:tcBorders>
            <w:vAlign w:val="center"/>
          </w:tcPr>
          <w:p w14:paraId="0031FD35" w14:textId="1DD11701"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0.29</w:t>
            </w:r>
            <w:r w:rsidR="000A0C28" w:rsidRPr="005E13B9">
              <w:rPr>
                <w:rFonts w:eastAsia="標楷體"/>
                <w:sz w:val="22"/>
                <w:szCs w:val="22"/>
              </w:rPr>
              <w:t>5</w:t>
            </w:r>
            <w:r w:rsidRPr="005E13B9">
              <w:rPr>
                <w:rFonts w:eastAsia="標楷體" w:hint="eastAsia"/>
                <w:sz w:val="22"/>
                <w:szCs w:val="22"/>
              </w:rPr>
              <w:t>）</w:t>
            </w:r>
          </w:p>
        </w:tc>
        <w:tc>
          <w:tcPr>
            <w:tcW w:w="1098" w:type="pct"/>
            <w:tcBorders>
              <w:top w:val="nil"/>
              <w:bottom w:val="nil"/>
            </w:tcBorders>
            <w:vAlign w:val="center"/>
          </w:tcPr>
          <w:p w14:paraId="18CB83EB" w14:textId="23A10773" w:rsidR="005B1D79" w:rsidRPr="005E13B9" w:rsidRDefault="005B1D79" w:rsidP="000A0C28">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0.05</w:t>
            </w:r>
            <w:r w:rsidR="000A0C28" w:rsidRPr="005E13B9">
              <w:rPr>
                <w:rFonts w:eastAsia="標楷體"/>
                <w:sz w:val="22"/>
                <w:szCs w:val="22"/>
              </w:rPr>
              <w:t>6</w:t>
            </w:r>
            <w:r w:rsidRPr="005E13B9">
              <w:rPr>
                <w:rFonts w:eastAsia="標楷體" w:hint="eastAsia"/>
                <w:sz w:val="22"/>
                <w:szCs w:val="22"/>
              </w:rPr>
              <w:t>）</w:t>
            </w:r>
          </w:p>
        </w:tc>
      </w:tr>
      <w:tr w:rsidR="006F104F" w:rsidRPr="005E13B9" w14:paraId="7D30E053" w14:textId="77777777" w:rsidTr="007875FC">
        <w:trPr>
          <w:cantSplit/>
          <w:trHeight w:hRule="exact" w:val="283"/>
        </w:trPr>
        <w:tc>
          <w:tcPr>
            <w:tcW w:w="1528" w:type="pct"/>
            <w:tcBorders>
              <w:top w:val="single" w:sz="4" w:space="0" w:color="auto"/>
              <w:bottom w:val="single" w:sz="4" w:space="0" w:color="auto"/>
            </w:tcBorders>
            <w:noWrap/>
            <w:tcMar>
              <w:top w:w="14" w:type="dxa"/>
              <w:left w:w="14" w:type="dxa"/>
              <w:bottom w:w="0" w:type="dxa"/>
              <w:right w:w="14" w:type="dxa"/>
            </w:tcMar>
            <w:vAlign w:val="center"/>
          </w:tcPr>
          <w:p w14:paraId="0CC6C264" w14:textId="77777777" w:rsidR="005B1D79" w:rsidRPr="005E13B9" w:rsidRDefault="005B1D79" w:rsidP="001C65C7">
            <w:pPr>
              <w:overflowPunct w:val="0"/>
              <w:adjustRightInd w:val="0"/>
              <w:snapToGrid w:val="0"/>
              <w:jc w:val="both"/>
              <w:rPr>
                <w:rFonts w:eastAsia="標楷體"/>
                <w:sz w:val="22"/>
                <w:szCs w:val="22"/>
              </w:rPr>
            </w:pPr>
            <w:r w:rsidRPr="005E13B9">
              <w:rPr>
                <w:rFonts w:eastAsia="標楷體"/>
                <w:sz w:val="22"/>
                <w:szCs w:val="22"/>
                <w:shd w:val="clear" w:color="auto" w:fill="FFFFFF"/>
              </w:rPr>
              <w:t>Adj. R</w:t>
            </w:r>
            <w:r w:rsidRPr="005E13B9">
              <w:rPr>
                <w:rFonts w:eastAsia="標楷體"/>
                <w:sz w:val="22"/>
                <w:szCs w:val="22"/>
                <w:shd w:val="clear" w:color="auto" w:fill="FFFFFF"/>
                <w:vertAlign w:val="superscript"/>
              </w:rPr>
              <w:t>2</w:t>
            </w:r>
          </w:p>
        </w:tc>
        <w:tc>
          <w:tcPr>
            <w:tcW w:w="1145" w:type="pct"/>
            <w:tcBorders>
              <w:top w:val="single" w:sz="4" w:space="0" w:color="auto"/>
              <w:bottom w:val="single" w:sz="4" w:space="0" w:color="auto"/>
            </w:tcBorders>
            <w:noWrap/>
            <w:tcMar>
              <w:top w:w="14" w:type="dxa"/>
              <w:left w:w="14" w:type="dxa"/>
              <w:bottom w:w="0" w:type="dxa"/>
              <w:right w:w="14" w:type="dxa"/>
            </w:tcMar>
            <w:vAlign w:val="center"/>
          </w:tcPr>
          <w:p w14:paraId="401C3CE9" w14:textId="6912699F" w:rsidR="005B1D79" w:rsidRPr="005E13B9" w:rsidRDefault="005B1D79" w:rsidP="00AA345F">
            <w:pPr>
              <w:overflowPunct w:val="0"/>
              <w:adjustRightInd w:val="0"/>
              <w:snapToGrid w:val="0"/>
              <w:jc w:val="center"/>
              <w:rPr>
                <w:rFonts w:eastAsia="標楷體"/>
                <w:sz w:val="22"/>
                <w:szCs w:val="22"/>
              </w:rPr>
            </w:pPr>
            <w:r w:rsidRPr="005E13B9">
              <w:rPr>
                <w:rFonts w:eastAsia="標楷體"/>
                <w:sz w:val="22"/>
                <w:szCs w:val="22"/>
              </w:rPr>
              <w:t>0.313</w:t>
            </w:r>
          </w:p>
        </w:tc>
        <w:tc>
          <w:tcPr>
            <w:tcW w:w="1228" w:type="pct"/>
            <w:gridSpan w:val="3"/>
            <w:tcBorders>
              <w:top w:val="single" w:sz="4" w:space="0" w:color="auto"/>
              <w:bottom w:val="single" w:sz="4" w:space="0" w:color="auto"/>
            </w:tcBorders>
            <w:vAlign w:val="center"/>
          </w:tcPr>
          <w:p w14:paraId="16599488" w14:textId="796C3F1A"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0.110</w:t>
            </w:r>
          </w:p>
        </w:tc>
        <w:tc>
          <w:tcPr>
            <w:tcW w:w="1098" w:type="pct"/>
            <w:tcBorders>
              <w:top w:val="single" w:sz="4" w:space="0" w:color="auto"/>
              <w:bottom w:val="single" w:sz="4" w:space="0" w:color="auto"/>
            </w:tcBorders>
            <w:vAlign w:val="center"/>
          </w:tcPr>
          <w:p w14:paraId="05A3EFBD" w14:textId="1EC18DC6" w:rsidR="005B1D79" w:rsidRPr="005E13B9" w:rsidRDefault="005B1D79" w:rsidP="000A0C28">
            <w:pPr>
              <w:overflowPunct w:val="0"/>
              <w:adjustRightInd w:val="0"/>
              <w:snapToGrid w:val="0"/>
              <w:jc w:val="center"/>
              <w:rPr>
                <w:rFonts w:eastAsia="標楷體"/>
                <w:sz w:val="22"/>
                <w:szCs w:val="22"/>
              </w:rPr>
            </w:pPr>
            <w:r w:rsidRPr="005E13B9">
              <w:rPr>
                <w:rFonts w:eastAsia="標楷體"/>
                <w:sz w:val="22"/>
                <w:szCs w:val="22"/>
              </w:rPr>
              <w:t>0.02</w:t>
            </w:r>
            <w:r w:rsidR="000A0C28" w:rsidRPr="005E13B9">
              <w:rPr>
                <w:rFonts w:eastAsia="標楷體"/>
                <w:sz w:val="22"/>
                <w:szCs w:val="22"/>
              </w:rPr>
              <w:t>8</w:t>
            </w:r>
          </w:p>
        </w:tc>
      </w:tr>
      <w:tr w:rsidR="006F104F" w:rsidRPr="005E13B9" w14:paraId="48C665D5" w14:textId="77777777" w:rsidTr="007875FC">
        <w:trPr>
          <w:cantSplit/>
          <w:trHeight w:hRule="exact" w:val="283"/>
        </w:trPr>
        <w:tc>
          <w:tcPr>
            <w:tcW w:w="1528" w:type="pct"/>
            <w:tcBorders>
              <w:top w:val="single" w:sz="4" w:space="0" w:color="auto"/>
              <w:bottom w:val="single" w:sz="4" w:space="0" w:color="auto"/>
            </w:tcBorders>
            <w:noWrap/>
            <w:tcMar>
              <w:top w:w="14" w:type="dxa"/>
              <w:left w:w="14" w:type="dxa"/>
              <w:bottom w:w="0" w:type="dxa"/>
              <w:right w:w="14" w:type="dxa"/>
            </w:tcMar>
            <w:vAlign w:val="center"/>
          </w:tcPr>
          <w:p w14:paraId="571AD8F8" w14:textId="77777777" w:rsidR="005B1D79" w:rsidRPr="005E13B9" w:rsidRDefault="005B1D79" w:rsidP="001C65C7">
            <w:pPr>
              <w:overflowPunct w:val="0"/>
              <w:adjustRightInd w:val="0"/>
              <w:snapToGrid w:val="0"/>
              <w:jc w:val="both"/>
              <w:rPr>
                <w:rFonts w:eastAsia="標楷體"/>
                <w:sz w:val="22"/>
                <w:szCs w:val="22"/>
              </w:rPr>
            </w:pPr>
            <w:r w:rsidRPr="005E13B9">
              <w:rPr>
                <w:rFonts w:eastAsia="標楷體"/>
                <w:sz w:val="22"/>
                <w:szCs w:val="22"/>
                <w:shd w:val="clear" w:color="auto" w:fill="FFFFFF"/>
              </w:rPr>
              <w:t>Coefficient estimates</w:t>
            </w:r>
          </w:p>
        </w:tc>
        <w:tc>
          <w:tcPr>
            <w:tcW w:w="1145" w:type="pct"/>
            <w:tcBorders>
              <w:top w:val="single" w:sz="4" w:space="0" w:color="auto"/>
              <w:bottom w:val="single" w:sz="4" w:space="0" w:color="auto"/>
            </w:tcBorders>
            <w:noWrap/>
            <w:tcMar>
              <w:top w:w="14" w:type="dxa"/>
              <w:left w:w="14" w:type="dxa"/>
              <w:bottom w:w="0" w:type="dxa"/>
              <w:right w:w="14" w:type="dxa"/>
            </w:tcMar>
            <w:vAlign w:val="center"/>
          </w:tcPr>
          <w:p w14:paraId="3C029602"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OLS</w:t>
            </w:r>
          </w:p>
        </w:tc>
        <w:tc>
          <w:tcPr>
            <w:tcW w:w="1228" w:type="pct"/>
            <w:gridSpan w:val="3"/>
            <w:tcBorders>
              <w:top w:val="single" w:sz="4" w:space="0" w:color="auto"/>
              <w:bottom w:val="single" w:sz="4" w:space="0" w:color="auto"/>
            </w:tcBorders>
            <w:vAlign w:val="center"/>
          </w:tcPr>
          <w:p w14:paraId="4A41A47E"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OLS</w:t>
            </w:r>
          </w:p>
        </w:tc>
        <w:tc>
          <w:tcPr>
            <w:tcW w:w="1098" w:type="pct"/>
            <w:tcBorders>
              <w:top w:val="single" w:sz="4" w:space="0" w:color="auto"/>
              <w:bottom w:val="single" w:sz="4" w:space="0" w:color="auto"/>
            </w:tcBorders>
            <w:vAlign w:val="center"/>
          </w:tcPr>
          <w:p w14:paraId="5350407A"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OLS</w:t>
            </w:r>
          </w:p>
        </w:tc>
      </w:tr>
      <w:tr w:rsidR="006F104F" w:rsidRPr="005E13B9" w14:paraId="46189329" w14:textId="77777777" w:rsidTr="007875FC">
        <w:trPr>
          <w:cantSplit/>
          <w:trHeight w:hRule="exact" w:val="283"/>
        </w:trPr>
        <w:tc>
          <w:tcPr>
            <w:tcW w:w="1528" w:type="pct"/>
            <w:tcBorders>
              <w:top w:val="single" w:sz="4" w:space="0" w:color="auto"/>
              <w:bottom w:val="single" w:sz="12" w:space="0" w:color="auto"/>
            </w:tcBorders>
            <w:noWrap/>
            <w:tcMar>
              <w:top w:w="14" w:type="dxa"/>
              <w:left w:w="14" w:type="dxa"/>
              <w:bottom w:w="0" w:type="dxa"/>
              <w:right w:w="14" w:type="dxa"/>
            </w:tcMar>
            <w:vAlign w:val="center"/>
          </w:tcPr>
          <w:p w14:paraId="7E3D6A3A" w14:textId="77777777" w:rsidR="005B1D79" w:rsidRPr="005E13B9" w:rsidRDefault="005B1D79" w:rsidP="001C65C7">
            <w:pPr>
              <w:overflowPunct w:val="0"/>
              <w:adjustRightInd w:val="0"/>
              <w:snapToGrid w:val="0"/>
              <w:jc w:val="both"/>
              <w:rPr>
                <w:rFonts w:eastAsia="標楷體"/>
                <w:sz w:val="22"/>
                <w:szCs w:val="22"/>
              </w:rPr>
            </w:pPr>
            <w:r w:rsidRPr="005E13B9">
              <w:rPr>
                <w:rFonts w:eastAsia="標楷體"/>
                <w:sz w:val="22"/>
                <w:szCs w:val="22"/>
                <w:shd w:val="clear" w:color="auto" w:fill="FFFFFF"/>
              </w:rPr>
              <w:t>Standard errors</w:t>
            </w:r>
          </w:p>
        </w:tc>
        <w:tc>
          <w:tcPr>
            <w:tcW w:w="1145" w:type="pct"/>
            <w:tcBorders>
              <w:top w:val="single" w:sz="4" w:space="0" w:color="auto"/>
              <w:bottom w:val="single" w:sz="12" w:space="0" w:color="auto"/>
            </w:tcBorders>
            <w:noWrap/>
            <w:tcMar>
              <w:top w:w="14" w:type="dxa"/>
              <w:left w:w="14" w:type="dxa"/>
              <w:bottom w:w="0" w:type="dxa"/>
              <w:right w:w="14" w:type="dxa"/>
            </w:tcMar>
            <w:vAlign w:val="center"/>
          </w:tcPr>
          <w:p w14:paraId="152128B6"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White</w:t>
            </w:r>
          </w:p>
        </w:tc>
        <w:tc>
          <w:tcPr>
            <w:tcW w:w="1228" w:type="pct"/>
            <w:gridSpan w:val="3"/>
            <w:tcBorders>
              <w:top w:val="single" w:sz="4" w:space="0" w:color="auto"/>
              <w:bottom w:val="single" w:sz="12" w:space="0" w:color="auto"/>
            </w:tcBorders>
            <w:vAlign w:val="center"/>
          </w:tcPr>
          <w:p w14:paraId="3423887D"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White</w:t>
            </w:r>
          </w:p>
        </w:tc>
        <w:tc>
          <w:tcPr>
            <w:tcW w:w="1098" w:type="pct"/>
            <w:tcBorders>
              <w:top w:val="single" w:sz="4" w:space="0" w:color="auto"/>
              <w:bottom w:val="single" w:sz="12" w:space="0" w:color="auto"/>
            </w:tcBorders>
            <w:vAlign w:val="center"/>
          </w:tcPr>
          <w:p w14:paraId="5237E9FE" w14:textId="77777777" w:rsidR="005B1D79" w:rsidRPr="005E13B9" w:rsidRDefault="005B1D79" w:rsidP="001C65C7">
            <w:pPr>
              <w:overflowPunct w:val="0"/>
              <w:adjustRightInd w:val="0"/>
              <w:snapToGrid w:val="0"/>
              <w:jc w:val="center"/>
              <w:rPr>
                <w:rFonts w:eastAsia="標楷體"/>
                <w:sz w:val="22"/>
                <w:szCs w:val="22"/>
              </w:rPr>
            </w:pPr>
            <w:r w:rsidRPr="005E13B9">
              <w:rPr>
                <w:rFonts w:eastAsia="標楷體"/>
                <w:sz w:val="22"/>
                <w:szCs w:val="22"/>
              </w:rPr>
              <w:t>White</w:t>
            </w:r>
          </w:p>
        </w:tc>
      </w:tr>
    </w:tbl>
    <w:p w14:paraId="37D25639" w14:textId="77777777" w:rsidR="005B1D79" w:rsidRPr="005E13B9" w:rsidRDefault="005B1D79" w:rsidP="001C65C7">
      <w:pPr>
        <w:overflowPunct w:val="0"/>
        <w:rPr>
          <w:rFonts w:ascii="Calibri" w:hAnsi="Calibri"/>
          <w:szCs w:val="22"/>
        </w:rPr>
      </w:pPr>
    </w:p>
    <w:p w14:paraId="1B42A9BE" w14:textId="50AEBBFC" w:rsidR="00562D71" w:rsidRPr="005E13B9" w:rsidRDefault="0013600E" w:rsidP="001C65C7">
      <w:pPr>
        <w:overflowPunct w:val="0"/>
        <w:adjustRightInd w:val="0"/>
        <w:ind w:firstLineChars="200" w:firstLine="520"/>
        <w:jc w:val="both"/>
        <w:rPr>
          <w:sz w:val="26"/>
          <w:szCs w:val="26"/>
        </w:rPr>
      </w:pPr>
      <w:r w:rsidRPr="005E13B9">
        <w:rPr>
          <w:sz w:val="26"/>
          <w:szCs w:val="26"/>
        </w:rPr>
        <w:t xml:space="preserve">We reveal that </w:t>
      </w:r>
      <w:r w:rsidR="00025A9F" w:rsidRPr="005E13B9">
        <w:rPr>
          <w:noProof/>
          <w:sz w:val="26"/>
          <w:szCs w:val="26"/>
        </w:rPr>
        <w:t>the</w:t>
      </w:r>
      <w:r w:rsidR="00025A9F" w:rsidRPr="005E13B9">
        <w:rPr>
          <w:sz w:val="26"/>
          <w:szCs w:val="26"/>
        </w:rPr>
        <w:t xml:space="preserve"> </w:t>
      </w:r>
      <w:r w:rsidR="00572EF8" w:rsidRPr="005E13B9">
        <w:rPr>
          <w:sz w:val="26"/>
          <w:szCs w:val="26"/>
        </w:rPr>
        <w:t xml:space="preserve">corporate name </w:t>
      </w:r>
      <w:r w:rsidRPr="005E13B9">
        <w:rPr>
          <w:sz w:val="26"/>
          <w:szCs w:val="26"/>
        </w:rPr>
        <w:t xml:space="preserve">change once </w:t>
      </w:r>
      <w:r w:rsidR="000552E7" w:rsidRPr="005E13B9">
        <w:rPr>
          <w:sz w:val="26"/>
          <w:szCs w:val="26"/>
        </w:rPr>
        <w:t xml:space="preserve">the </w:t>
      </w:r>
      <w:r w:rsidRPr="005E13B9">
        <w:rPr>
          <w:noProof/>
          <w:sz w:val="26"/>
          <w:szCs w:val="26"/>
        </w:rPr>
        <w:t>dummy</w:t>
      </w:r>
      <w:r w:rsidRPr="005E13B9">
        <w:rPr>
          <w:sz w:val="26"/>
          <w:szCs w:val="26"/>
        </w:rPr>
        <w:t xml:space="preserve"> has a positive impact on the shareholding change of security dealers, indicating that </w:t>
      </w:r>
      <w:r w:rsidR="00572EF8" w:rsidRPr="005E13B9">
        <w:rPr>
          <w:sz w:val="26"/>
          <w:szCs w:val="26"/>
        </w:rPr>
        <w:t xml:space="preserve">corporate name </w:t>
      </w:r>
      <w:r w:rsidRPr="005E13B9">
        <w:rPr>
          <w:sz w:val="26"/>
          <w:szCs w:val="26"/>
        </w:rPr>
        <w:t xml:space="preserve">change might increase the shareholding of security dealers. We infer that these firms might search for change by way of changing their firm names, which might </w:t>
      </w:r>
      <w:r w:rsidRPr="005E13B9">
        <w:rPr>
          <w:noProof/>
          <w:sz w:val="26"/>
          <w:szCs w:val="26"/>
        </w:rPr>
        <w:t>appeal</w:t>
      </w:r>
      <w:r w:rsidR="00041B53" w:rsidRPr="005E13B9">
        <w:rPr>
          <w:noProof/>
          <w:sz w:val="26"/>
          <w:szCs w:val="26"/>
        </w:rPr>
        <w:t xml:space="preserve"> to</w:t>
      </w:r>
      <w:r w:rsidRPr="005E13B9">
        <w:rPr>
          <w:sz w:val="26"/>
          <w:szCs w:val="26"/>
        </w:rPr>
        <w:t xml:space="preserve"> some institutional investors such as security dealers to increase their shareholdings. </w:t>
      </w:r>
      <w:r w:rsidRPr="005E13B9">
        <w:rPr>
          <w:noProof/>
          <w:sz w:val="26"/>
          <w:szCs w:val="26"/>
        </w:rPr>
        <w:t xml:space="preserve">However, </w:t>
      </w:r>
      <w:r w:rsidR="00041B53" w:rsidRPr="005E13B9">
        <w:rPr>
          <w:noProof/>
          <w:sz w:val="26"/>
          <w:szCs w:val="26"/>
        </w:rPr>
        <w:t xml:space="preserve">the dummy variable of </w:t>
      </w:r>
      <w:r w:rsidR="00572EF8" w:rsidRPr="005E13B9">
        <w:rPr>
          <w:noProof/>
          <w:sz w:val="26"/>
          <w:szCs w:val="26"/>
        </w:rPr>
        <w:t xml:space="preserve">corporate name </w:t>
      </w:r>
      <w:r w:rsidRPr="005E13B9">
        <w:rPr>
          <w:noProof/>
          <w:sz w:val="26"/>
          <w:szCs w:val="26"/>
        </w:rPr>
        <w:t xml:space="preserve">change more than once is negatively related to </w:t>
      </w:r>
      <w:r w:rsidRPr="005E13B9">
        <w:rPr>
          <w:noProof/>
          <w:sz w:val="26"/>
          <w:szCs w:val="26"/>
        </w:rPr>
        <w:lastRenderedPageBreak/>
        <w:t>institutional investors</w:t>
      </w:r>
      <w:r w:rsidR="00041B53" w:rsidRPr="005E13B9">
        <w:rPr>
          <w:noProof/>
          <w:sz w:val="26"/>
          <w:szCs w:val="26"/>
        </w:rPr>
        <w:t>,</w:t>
      </w:r>
      <w:r w:rsidRPr="005E13B9">
        <w:rPr>
          <w:noProof/>
          <w:sz w:val="26"/>
          <w:szCs w:val="26"/>
        </w:rPr>
        <w:t xml:space="preserve"> including foreign institution</w:t>
      </w:r>
      <w:r w:rsidR="000552E7" w:rsidRPr="005E13B9">
        <w:rPr>
          <w:noProof/>
          <w:sz w:val="26"/>
          <w:szCs w:val="26"/>
        </w:rPr>
        <w:t>s</w:t>
      </w:r>
      <w:r w:rsidRPr="005E13B9">
        <w:rPr>
          <w:noProof/>
          <w:sz w:val="26"/>
          <w:szCs w:val="26"/>
        </w:rPr>
        <w:t>, domestic institution</w:t>
      </w:r>
      <w:r w:rsidR="000552E7" w:rsidRPr="005E13B9">
        <w:rPr>
          <w:noProof/>
          <w:sz w:val="26"/>
          <w:szCs w:val="26"/>
        </w:rPr>
        <w:t>s</w:t>
      </w:r>
      <w:r w:rsidRPr="005E13B9">
        <w:rPr>
          <w:noProof/>
          <w:sz w:val="26"/>
          <w:szCs w:val="26"/>
        </w:rPr>
        <w:t>, and security dealer</w:t>
      </w:r>
      <w:r w:rsidR="000552E7" w:rsidRPr="005E13B9">
        <w:rPr>
          <w:noProof/>
          <w:sz w:val="26"/>
          <w:szCs w:val="26"/>
        </w:rPr>
        <w:t>s</w:t>
      </w:r>
      <w:r w:rsidRPr="005E13B9">
        <w:rPr>
          <w:noProof/>
          <w:sz w:val="26"/>
          <w:szCs w:val="26"/>
        </w:rPr>
        <w:t>.</w:t>
      </w:r>
      <w:r w:rsidRPr="005E13B9">
        <w:rPr>
          <w:sz w:val="26"/>
          <w:szCs w:val="26"/>
        </w:rPr>
        <w:t xml:space="preserve"> We speculate that </w:t>
      </w:r>
      <w:r w:rsidR="00572EF8" w:rsidRPr="005E13B9">
        <w:rPr>
          <w:sz w:val="26"/>
          <w:szCs w:val="26"/>
        </w:rPr>
        <w:t xml:space="preserve">corporate name </w:t>
      </w:r>
      <w:r w:rsidRPr="005E13B9">
        <w:rPr>
          <w:sz w:val="26"/>
          <w:szCs w:val="26"/>
        </w:rPr>
        <w:t xml:space="preserve">change twice or more might </w:t>
      </w:r>
      <w:r w:rsidR="00E30AB9" w:rsidRPr="005E13B9">
        <w:rPr>
          <w:sz w:val="26"/>
          <w:szCs w:val="26"/>
        </w:rPr>
        <w:t>be the result of</w:t>
      </w:r>
      <w:r w:rsidRPr="005E13B9">
        <w:rPr>
          <w:sz w:val="26"/>
          <w:szCs w:val="26"/>
        </w:rPr>
        <w:t xml:space="preserve"> poor firm performance</w:t>
      </w:r>
      <w:r w:rsidR="00E30AB9" w:rsidRPr="005E13B9">
        <w:rPr>
          <w:rFonts w:hint="eastAsia"/>
          <w:sz w:val="26"/>
          <w:szCs w:val="26"/>
        </w:rPr>
        <w:t>,</w:t>
      </w:r>
      <w:r w:rsidRPr="005E13B9">
        <w:rPr>
          <w:sz w:val="26"/>
          <w:szCs w:val="26"/>
        </w:rPr>
        <w:t xml:space="preserve"> </w:t>
      </w:r>
      <w:r w:rsidR="00025A9F" w:rsidRPr="005E13B9">
        <w:rPr>
          <w:rFonts w:hint="eastAsia"/>
          <w:sz w:val="26"/>
          <w:szCs w:val="26"/>
        </w:rPr>
        <w:t xml:space="preserve">which </w:t>
      </w:r>
      <w:r w:rsidRPr="005E13B9">
        <w:rPr>
          <w:sz w:val="26"/>
          <w:szCs w:val="26"/>
        </w:rPr>
        <w:t xml:space="preserve">likely </w:t>
      </w:r>
      <w:r w:rsidR="00E30AB9" w:rsidRPr="005E13B9">
        <w:rPr>
          <w:rFonts w:hint="eastAsia"/>
          <w:sz w:val="26"/>
          <w:szCs w:val="26"/>
        </w:rPr>
        <w:t>causes</w:t>
      </w:r>
      <w:r w:rsidRPr="005E13B9">
        <w:rPr>
          <w:sz w:val="26"/>
          <w:szCs w:val="26"/>
        </w:rPr>
        <w:t xml:space="preserve"> </w:t>
      </w:r>
      <w:r w:rsidR="00025A9F" w:rsidRPr="005E13B9">
        <w:rPr>
          <w:rFonts w:hint="eastAsia"/>
          <w:sz w:val="26"/>
          <w:szCs w:val="26"/>
        </w:rPr>
        <w:t xml:space="preserve">the </w:t>
      </w:r>
      <w:r w:rsidR="00025A9F" w:rsidRPr="005E13B9">
        <w:rPr>
          <w:sz w:val="26"/>
          <w:szCs w:val="26"/>
        </w:rPr>
        <w:t>decrease</w:t>
      </w:r>
      <w:r w:rsidR="00025A9F" w:rsidRPr="005E13B9">
        <w:rPr>
          <w:rFonts w:hint="eastAsia"/>
          <w:sz w:val="26"/>
          <w:szCs w:val="26"/>
        </w:rPr>
        <w:t xml:space="preserve"> of </w:t>
      </w:r>
      <w:r w:rsidR="00025A9F" w:rsidRPr="005E13B9">
        <w:rPr>
          <w:sz w:val="26"/>
          <w:szCs w:val="26"/>
        </w:rPr>
        <w:t>the institutional investors’ shareholding</w:t>
      </w:r>
      <w:r w:rsidR="00025A9F" w:rsidRPr="005E13B9">
        <w:rPr>
          <w:rFonts w:hint="eastAsia"/>
          <w:sz w:val="26"/>
          <w:szCs w:val="26"/>
        </w:rPr>
        <w:t xml:space="preserve"> for</w:t>
      </w:r>
      <w:r w:rsidR="00041B53" w:rsidRPr="005E13B9">
        <w:rPr>
          <w:sz w:val="26"/>
          <w:szCs w:val="26"/>
        </w:rPr>
        <w:t xml:space="preserve"> th</w:t>
      </w:r>
      <w:r w:rsidR="00E30AB9" w:rsidRPr="005E13B9">
        <w:rPr>
          <w:rFonts w:hint="eastAsia"/>
          <w:sz w:val="26"/>
          <w:szCs w:val="26"/>
        </w:rPr>
        <w:t>i</w:t>
      </w:r>
      <w:r w:rsidR="00041B53" w:rsidRPr="005E13B9">
        <w:rPr>
          <w:sz w:val="26"/>
          <w:szCs w:val="26"/>
        </w:rPr>
        <w:t>s firm.</w:t>
      </w:r>
    </w:p>
    <w:p w14:paraId="67769A1D" w14:textId="2A5296AB" w:rsidR="00562D71" w:rsidRPr="005E13B9" w:rsidRDefault="0013600E" w:rsidP="001C65C7">
      <w:pPr>
        <w:overflowPunct w:val="0"/>
        <w:adjustRightInd w:val="0"/>
        <w:ind w:firstLineChars="200" w:firstLine="520"/>
        <w:jc w:val="both"/>
        <w:rPr>
          <w:sz w:val="26"/>
          <w:szCs w:val="26"/>
        </w:rPr>
      </w:pPr>
      <w:r w:rsidRPr="005E13B9">
        <w:rPr>
          <w:sz w:val="26"/>
          <w:szCs w:val="26"/>
        </w:rPr>
        <w:t>As for the result</w:t>
      </w:r>
      <w:r w:rsidR="00E30AB9" w:rsidRPr="005E13B9">
        <w:rPr>
          <w:rFonts w:hint="eastAsia"/>
          <w:sz w:val="26"/>
          <w:szCs w:val="26"/>
        </w:rPr>
        <w:t>s</w:t>
      </w:r>
      <w:r w:rsidRPr="005E13B9">
        <w:rPr>
          <w:sz w:val="26"/>
          <w:szCs w:val="26"/>
        </w:rPr>
        <w:t xml:space="preserve"> for industry </w:t>
      </w:r>
      <w:r w:rsidR="007474CA" w:rsidRPr="005E13B9">
        <w:rPr>
          <w:sz w:val="26"/>
          <w:szCs w:val="26"/>
        </w:rPr>
        <w:t>category</w:t>
      </w:r>
      <w:r w:rsidRPr="005E13B9">
        <w:rPr>
          <w:sz w:val="26"/>
          <w:szCs w:val="26"/>
        </w:rPr>
        <w:t xml:space="preserve"> change, we find that industry </w:t>
      </w:r>
      <w:r w:rsidR="007474CA" w:rsidRPr="005E13B9">
        <w:rPr>
          <w:sz w:val="26"/>
          <w:szCs w:val="26"/>
        </w:rPr>
        <w:t>category</w:t>
      </w:r>
      <w:r w:rsidRPr="005E13B9">
        <w:rPr>
          <w:sz w:val="26"/>
          <w:szCs w:val="26"/>
        </w:rPr>
        <w:t xml:space="preserve"> change once dummy is negatively related to the shareholding change of foreign institutions</w:t>
      </w:r>
      <w:r w:rsidR="00E30AB9" w:rsidRPr="005E13B9">
        <w:rPr>
          <w:rFonts w:hint="eastAsia"/>
          <w:sz w:val="26"/>
          <w:szCs w:val="26"/>
        </w:rPr>
        <w:t>.</w:t>
      </w:r>
      <w:r w:rsidRPr="005E13B9">
        <w:rPr>
          <w:sz w:val="26"/>
          <w:szCs w:val="26"/>
        </w:rPr>
        <w:t xml:space="preserve"> </w:t>
      </w:r>
      <w:r w:rsidR="00532BD2" w:rsidRPr="005E13B9">
        <w:rPr>
          <w:sz w:val="26"/>
          <w:szCs w:val="26"/>
        </w:rPr>
        <w:t>Besides</w:t>
      </w:r>
      <w:r w:rsidRPr="005E13B9">
        <w:rPr>
          <w:sz w:val="26"/>
          <w:szCs w:val="26"/>
        </w:rPr>
        <w:t xml:space="preserve">, industry </w:t>
      </w:r>
      <w:r w:rsidR="007474CA" w:rsidRPr="005E13B9">
        <w:rPr>
          <w:sz w:val="26"/>
          <w:szCs w:val="26"/>
        </w:rPr>
        <w:t>category</w:t>
      </w:r>
      <w:r w:rsidRPr="005E13B9">
        <w:rPr>
          <w:sz w:val="26"/>
          <w:szCs w:val="26"/>
        </w:rPr>
        <w:t xml:space="preserve"> change more than once dummy has </w:t>
      </w:r>
      <w:r w:rsidR="00E30AB9" w:rsidRPr="005E13B9">
        <w:rPr>
          <w:rFonts w:hint="eastAsia"/>
          <w:sz w:val="26"/>
          <w:szCs w:val="26"/>
        </w:rPr>
        <w:t xml:space="preserve">a </w:t>
      </w:r>
      <w:r w:rsidRPr="005E13B9">
        <w:rPr>
          <w:sz w:val="26"/>
          <w:szCs w:val="26"/>
        </w:rPr>
        <w:t>negative effect on</w:t>
      </w:r>
      <w:r w:rsidR="000552E7" w:rsidRPr="005E13B9">
        <w:rPr>
          <w:sz w:val="26"/>
          <w:szCs w:val="26"/>
        </w:rPr>
        <w:t>rms</w:t>
      </w:r>
      <w:r w:rsidRPr="005E13B9">
        <w:rPr>
          <w:sz w:val="26"/>
          <w:szCs w:val="26"/>
        </w:rPr>
        <w:t xml:space="preserve"> the shareholding changes of domestic institutions and security dealers. The results show that the firm changing industry </w:t>
      </w:r>
      <w:r w:rsidR="007474CA" w:rsidRPr="005E13B9">
        <w:rPr>
          <w:sz w:val="26"/>
          <w:szCs w:val="26"/>
        </w:rPr>
        <w:t>category</w:t>
      </w:r>
      <w:r w:rsidRPr="005E13B9">
        <w:rPr>
          <w:sz w:val="26"/>
          <w:szCs w:val="26"/>
        </w:rPr>
        <w:t xml:space="preserve"> once or more than once might not have </w:t>
      </w:r>
      <w:r w:rsidR="000552E7" w:rsidRPr="005E13B9">
        <w:rPr>
          <w:sz w:val="26"/>
          <w:szCs w:val="26"/>
        </w:rPr>
        <w:t xml:space="preserve">a </w:t>
      </w:r>
      <w:r w:rsidRPr="005E13B9">
        <w:rPr>
          <w:sz w:val="26"/>
          <w:szCs w:val="26"/>
        </w:rPr>
        <w:t xml:space="preserve">positive signal for institutional investors, indicating that changing industry </w:t>
      </w:r>
      <w:r w:rsidR="007474CA" w:rsidRPr="005E13B9">
        <w:rPr>
          <w:sz w:val="26"/>
          <w:szCs w:val="26"/>
        </w:rPr>
        <w:t>category</w:t>
      </w:r>
      <w:r w:rsidRPr="005E13B9">
        <w:rPr>
          <w:sz w:val="26"/>
          <w:szCs w:val="26"/>
        </w:rPr>
        <w:t xml:space="preserve"> might be recognized as </w:t>
      </w:r>
      <w:r w:rsidR="00E30AB9" w:rsidRPr="005E13B9">
        <w:rPr>
          <w:sz w:val="26"/>
          <w:szCs w:val="26"/>
        </w:rPr>
        <w:t>not</w:t>
      </w:r>
      <w:r w:rsidR="00E30AB9" w:rsidRPr="005E13B9">
        <w:rPr>
          <w:rFonts w:hint="eastAsia"/>
          <w:sz w:val="26"/>
          <w:szCs w:val="26"/>
        </w:rPr>
        <w:t xml:space="preserve"> a </w:t>
      </w:r>
      <w:r w:rsidRPr="005E13B9">
        <w:rPr>
          <w:sz w:val="26"/>
          <w:szCs w:val="26"/>
        </w:rPr>
        <w:t xml:space="preserve">real </w:t>
      </w:r>
      <w:r w:rsidR="00E30AB9" w:rsidRPr="005E13B9">
        <w:rPr>
          <w:rFonts w:hint="eastAsia"/>
          <w:sz w:val="26"/>
          <w:szCs w:val="26"/>
        </w:rPr>
        <w:t xml:space="preserve">but a </w:t>
      </w:r>
      <w:r w:rsidRPr="005E13B9">
        <w:rPr>
          <w:sz w:val="26"/>
          <w:szCs w:val="26"/>
        </w:rPr>
        <w:t xml:space="preserve">nominal change. Consequently, institutional investors might </w:t>
      </w:r>
      <w:r w:rsidR="00E30AB9" w:rsidRPr="005E13B9">
        <w:rPr>
          <w:rFonts w:hint="eastAsia"/>
          <w:sz w:val="26"/>
          <w:szCs w:val="26"/>
        </w:rPr>
        <w:t xml:space="preserve">be </w:t>
      </w:r>
      <w:r w:rsidR="00E30AB9" w:rsidRPr="005E13B9">
        <w:rPr>
          <w:sz w:val="26"/>
          <w:szCs w:val="26"/>
        </w:rPr>
        <w:t>decreas</w:t>
      </w:r>
      <w:r w:rsidR="00E30AB9" w:rsidRPr="005E13B9">
        <w:rPr>
          <w:rFonts w:hint="eastAsia"/>
          <w:sz w:val="26"/>
          <w:szCs w:val="26"/>
        </w:rPr>
        <w:t>ing</w:t>
      </w:r>
      <w:r w:rsidR="00E30AB9" w:rsidRPr="005E13B9">
        <w:rPr>
          <w:sz w:val="26"/>
          <w:szCs w:val="26"/>
        </w:rPr>
        <w:t xml:space="preserve"> instead of</w:t>
      </w:r>
      <w:r w:rsidRPr="005E13B9">
        <w:rPr>
          <w:sz w:val="26"/>
          <w:szCs w:val="26"/>
        </w:rPr>
        <w:t xml:space="preserve"> </w:t>
      </w:r>
      <w:r w:rsidR="00E30AB9" w:rsidRPr="005E13B9">
        <w:rPr>
          <w:sz w:val="26"/>
          <w:szCs w:val="26"/>
        </w:rPr>
        <w:t>increas</w:t>
      </w:r>
      <w:r w:rsidR="00E30AB9" w:rsidRPr="005E13B9">
        <w:rPr>
          <w:rFonts w:hint="eastAsia"/>
          <w:sz w:val="26"/>
          <w:szCs w:val="26"/>
        </w:rPr>
        <w:t>ing</w:t>
      </w:r>
      <w:r w:rsidR="00E30AB9" w:rsidRPr="005E13B9">
        <w:rPr>
          <w:sz w:val="26"/>
          <w:szCs w:val="26"/>
        </w:rPr>
        <w:t xml:space="preserve"> </w:t>
      </w:r>
      <w:r w:rsidRPr="005E13B9">
        <w:rPr>
          <w:sz w:val="26"/>
          <w:szCs w:val="26"/>
        </w:rPr>
        <w:t>their shareholding</w:t>
      </w:r>
      <w:r w:rsidR="00E30AB9" w:rsidRPr="005E13B9">
        <w:rPr>
          <w:rFonts w:hint="eastAsia"/>
          <w:sz w:val="26"/>
          <w:szCs w:val="26"/>
        </w:rPr>
        <w:t>s</w:t>
      </w:r>
      <w:r w:rsidRPr="005E13B9">
        <w:rPr>
          <w:sz w:val="26"/>
          <w:szCs w:val="26"/>
        </w:rPr>
        <w:t xml:space="preserve"> </w:t>
      </w:r>
      <w:r w:rsidR="00E30AB9" w:rsidRPr="005E13B9">
        <w:rPr>
          <w:rFonts w:hint="eastAsia"/>
          <w:sz w:val="26"/>
          <w:szCs w:val="26"/>
        </w:rPr>
        <w:t>for</w:t>
      </w:r>
      <w:r w:rsidRPr="005E13B9">
        <w:rPr>
          <w:sz w:val="26"/>
          <w:szCs w:val="26"/>
        </w:rPr>
        <w:t xml:space="preserve"> these firms. </w:t>
      </w:r>
    </w:p>
    <w:p w14:paraId="4C033E4D" w14:textId="3D6AE920" w:rsidR="00562D71" w:rsidRPr="005E13B9" w:rsidRDefault="0013600E" w:rsidP="001C65C7">
      <w:pPr>
        <w:overflowPunct w:val="0"/>
        <w:adjustRightInd w:val="0"/>
        <w:ind w:firstLineChars="200" w:firstLine="520"/>
        <w:jc w:val="both"/>
        <w:rPr>
          <w:sz w:val="26"/>
          <w:szCs w:val="26"/>
        </w:rPr>
      </w:pPr>
      <w:r w:rsidRPr="005E13B9">
        <w:rPr>
          <w:sz w:val="26"/>
          <w:szCs w:val="26"/>
        </w:rPr>
        <w:t xml:space="preserve">As mentioned in </w:t>
      </w:r>
      <w:r w:rsidR="003865AC" w:rsidRPr="005E13B9">
        <w:rPr>
          <w:rFonts w:hint="eastAsia"/>
          <w:sz w:val="26"/>
          <w:szCs w:val="26"/>
        </w:rPr>
        <w:t xml:space="preserve">the </w:t>
      </w:r>
      <w:r w:rsidRPr="005E13B9">
        <w:rPr>
          <w:sz w:val="26"/>
          <w:szCs w:val="26"/>
        </w:rPr>
        <w:t>descripti</w:t>
      </w:r>
      <w:r w:rsidR="003865AC" w:rsidRPr="005E13B9">
        <w:rPr>
          <w:rFonts w:hint="eastAsia"/>
          <w:sz w:val="26"/>
          <w:szCs w:val="26"/>
        </w:rPr>
        <w:t>ve</w:t>
      </w:r>
      <w:r w:rsidRPr="005E13B9">
        <w:rPr>
          <w:sz w:val="26"/>
          <w:szCs w:val="26"/>
        </w:rPr>
        <w:t xml:space="preserve"> statistics</w:t>
      </w:r>
      <w:r w:rsidR="003865AC" w:rsidRPr="005E13B9">
        <w:rPr>
          <w:rFonts w:hint="eastAsia"/>
          <w:sz w:val="26"/>
          <w:szCs w:val="26"/>
        </w:rPr>
        <w:t xml:space="preserve"> section</w:t>
      </w:r>
      <w:r w:rsidRPr="005E13B9">
        <w:rPr>
          <w:sz w:val="26"/>
          <w:szCs w:val="26"/>
        </w:rPr>
        <w:t xml:space="preserve">, some firms listed </w:t>
      </w:r>
      <w:r w:rsidR="0053371A" w:rsidRPr="005E13B9">
        <w:rPr>
          <w:rFonts w:hint="eastAsia"/>
          <w:sz w:val="26"/>
          <w:szCs w:val="26"/>
        </w:rPr>
        <w:t>o</w:t>
      </w:r>
      <w:r w:rsidRPr="005E13B9">
        <w:rPr>
          <w:sz w:val="26"/>
          <w:szCs w:val="26"/>
        </w:rPr>
        <w:t xml:space="preserve">n </w:t>
      </w:r>
      <w:r w:rsidR="00FB5351" w:rsidRPr="005E13B9">
        <w:rPr>
          <w:rFonts w:hint="eastAsia"/>
          <w:sz w:val="26"/>
          <w:szCs w:val="26"/>
        </w:rPr>
        <w:t xml:space="preserve">the </w:t>
      </w:r>
      <w:r w:rsidRPr="005E13B9">
        <w:rPr>
          <w:sz w:val="26"/>
          <w:szCs w:val="26"/>
        </w:rPr>
        <w:t xml:space="preserve">TWSE have </w:t>
      </w:r>
      <w:r w:rsidRPr="005E13B9">
        <w:rPr>
          <w:noProof/>
          <w:sz w:val="26"/>
          <w:szCs w:val="26"/>
        </w:rPr>
        <w:t>higher</w:t>
      </w:r>
      <w:r w:rsidRPr="005E13B9">
        <w:rPr>
          <w:sz w:val="26"/>
          <w:szCs w:val="26"/>
        </w:rPr>
        <w:t xml:space="preserve"> debt ratio</w:t>
      </w:r>
      <w:r w:rsidR="003865AC" w:rsidRPr="005E13B9">
        <w:rPr>
          <w:rFonts w:hint="eastAsia"/>
          <w:sz w:val="26"/>
          <w:szCs w:val="26"/>
        </w:rPr>
        <w:t>s</w:t>
      </w:r>
      <w:r w:rsidRPr="005E13B9">
        <w:rPr>
          <w:sz w:val="26"/>
          <w:szCs w:val="26"/>
        </w:rPr>
        <w:t xml:space="preserve">, lower directors’ </w:t>
      </w:r>
      <w:r w:rsidR="003865AC" w:rsidRPr="005E13B9">
        <w:rPr>
          <w:rFonts w:hint="eastAsia"/>
          <w:sz w:val="26"/>
          <w:szCs w:val="26"/>
        </w:rPr>
        <w:t>share</w:t>
      </w:r>
      <w:r w:rsidRPr="005E13B9">
        <w:rPr>
          <w:sz w:val="26"/>
          <w:szCs w:val="26"/>
        </w:rPr>
        <w:t>holding ratio</w:t>
      </w:r>
      <w:r w:rsidR="003865AC" w:rsidRPr="005E13B9">
        <w:rPr>
          <w:rFonts w:hint="eastAsia"/>
          <w:sz w:val="26"/>
          <w:szCs w:val="26"/>
        </w:rPr>
        <w:t>s</w:t>
      </w:r>
      <w:r w:rsidRPr="005E13B9">
        <w:rPr>
          <w:sz w:val="26"/>
          <w:szCs w:val="26"/>
        </w:rPr>
        <w:t>, and higher directors pledge ratio</w:t>
      </w:r>
      <w:r w:rsidR="003865AC" w:rsidRPr="005E13B9">
        <w:rPr>
          <w:rFonts w:hint="eastAsia"/>
          <w:sz w:val="26"/>
          <w:szCs w:val="26"/>
        </w:rPr>
        <w:t>s</w:t>
      </w:r>
      <w:r w:rsidRPr="005E13B9">
        <w:rPr>
          <w:sz w:val="26"/>
          <w:szCs w:val="26"/>
        </w:rPr>
        <w:t xml:space="preserve">. We then suspect that corporate governance and financial issues might exist in </w:t>
      </w:r>
      <w:r w:rsidR="003865AC" w:rsidRPr="005E13B9">
        <w:rPr>
          <w:rFonts w:hint="eastAsia"/>
          <w:sz w:val="26"/>
          <w:szCs w:val="26"/>
        </w:rPr>
        <w:t>the</w:t>
      </w:r>
      <w:r w:rsidRPr="005E13B9">
        <w:rPr>
          <w:sz w:val="26"/>
          <w:szCs w:val="26"/>
        </w:rPr>
        <w:t xml:space="preserve"> firms. </w:t>
      </w:r>
      <w:r w:rsidR="003865AC" w:rsidRPr="005E13B9">
        <w:rPr>
          <w:sz w:val="26"/>
          <w:szCs w:val="26"/>
        </w:rPr>
        <w:t>Therefore</w:t>
      </w:r>
      <w:r w:rsidRPr="005E13B9">
        <w:rPr>
          <w:sz w:val="26"/>
          <w:szCs w:val="26"/>
        </w:rPr>
        <w:t xml:space="preserve">, we </w:t>
      </w:r>
      <w:r w:rsidR="003865AC" w:rsidRPr="005E13B9">
        <w:rPr>
          <w:rFonts w:hint="eastAsia"/>
          <w:sz w:val="26"/>
          <w:szCs w:val="26"/>
        </w:rPr>
        <w:t>app</w:t>
      </w:r>
      <w:r w:rsidRPr="005E13B9">
        <w:rPr>
          <w:sz w:val="26"/>
          <w:szCs w:val="26"/>
        </w:rPr>
        <w:t xml:space="preserve">ly the variables in terms of board structure, financial statement, and others as </w:t>
      </w:r>
      <w:r w:rsidR="003865AC" w:rsidRPr="005E13B9">
        <w:rPr>
          <w:rFonts w:hint="eastAsia"/>
          <w:sz w:val="26"/>
          <w:szCs w:val="26"/>
        </w:rPr>
        <w:t xml:space="preserve">the </w:t>
      </w:r>
      <w:r w:rsidRPr="005E13B9">
        <w:rPr>
          <w:sz w:val="26"/>
          <w:szCs w:val="26"/>
        </w:rPr>
        <w:t xml:space="preserve">controlling variables for our models, which might enhance the revealed results </w:t>
      </w:r>
      <w:r w:rsidR="003865AC" w:rsidRPr="005E13B9">
        <w:rPr>
          <w:rFonts w:hint="eastAsia"/>
          <w:sz w:val="26"/>
          <w:szCs w:val="26"/>
        </w:rPr>
        <w:t>and</w:t>
      </w:r>
      <w:r w:rsidRPr="005E13B9">
        <w:rPr>
          <w:sz w:val="26"/>
          <w:szCs w:val="26"/>
        </w:rPr>
        <w:t xml:space="preserve"> disclose the relationship</w:t>
      </w:r>
      <w:r w:rsidR="003865AC" w:rsidRPr="005E13B9">
        <w:rPr>
          <w:rFonts w:hint="eastAsia"/>
          <w:sz w:val="26"/>
          <w:szCs w:val="26"/>
        </w:rPr>
        <w:t>s</w:t>
      </w:r>
      <w:r w:rsidRPr="005E13B9">
        <w:rPr>
          <w:sz w:val="26"/>
          <w:szCs w:val="26"/>
        </w:rPr>
        <w:t xml:space="preserve"> </w:t>
      </w:r>
      <w:r w:rsidR="003865AC" w:rsidRPr="005E13B9">
        <w:rPr>
          <w:rFonts w:hint="eastAsia"/>
          <w:sz w:val="26"/>
          <w:szCs w:val="26"/>
        </w:rPr>
        <w:t>among</w:t>
      </w:r>
      <w:r w:rsidRPr="005E13B9">
        <w:rPr>
          <w:sz w:val="26"/>
          <w:szCs w:val="26"/>
        </w:rPr>
        <w:t xml:space="preserve"> </w:t>
      </w:r>
      <w:r w:rsidR="003865AC" w:rsidRPr="005E13B9">
        <w:rPr>
          <w:rFonts w:hint="eastAsia"/>
          <w:sz w:val="26"/>
          <w:szCs w:val="26"/>
        </w:rPr>
        <w:t xml:space="preserve">the </w:t>
      </w:r>
      <w:r w:rsidRPr="005E13B9">
        <w:rPr>
          <w:sz w:val="26"/>
          <w:szCs w:val="26"/>
        </w:rPr>
        <w:t xml:space="preserve">board structure, </w:t>
      </w:r>
      <w:r w:rsidR="003865AC" w:rsidRPr="005E13B9">
        <w:rPr>
          <w:rFonts w:hint="eastAsia"/>
          <w:sz w:val="26"/>
          <w:szCs w:val="26"/>
        </w:rPr>
        <w:t xml:space="preserve">the </w:t>
      </w:r>
      <w:r w:rsidRPr="005E13B9">
        <w:rPr>
          <w:sz w:val="26"/>
          <w:szCs w:val="26"/>
        </w:rPr>
        <w:t xml:space="preserve">financial performance, </w:t>
      </w:r>
      <w:r w:rsidR="003865AC" w:rsidRPr="005E13B9">
        <w:rPr>
          <w:rFonts w:hint="eastAsia"/>
          <w:sz w:val="26"/>
          <w:szCs w:val="26"/>
        </w:rPr>
        <w:t>as well as</w:t>
      </w:r>
      <w:r w:rsidRPr="005E13B9">
        <w:rPr>
          <w:sz w:val="26"/>
          <w:szCs w:val="26"/>
        </w:rPr>
        <w:t xml:space="preserve"> the shareholding</w:t>
      </w:r>
      <w:r w:rsidR="003865AC" w:rsidRPr="005E13B9">
        <w:rPr>
          <w:rFonts w:hint="eastAsia"/>
          <w:sz w:val="26"/>
          <w:szCs w:val="26"/>
        </w:rPr>
        <w:t>s</w:t>
      </w:r>
      <w:r w:rsidRPr="005E13B9">
        <w:rPr>
          <w:sz w:val="26"/>
          <w:szCs w:val="26"/>
        </w:rPr>
        <w:t xml:space="preserve"> of institutional investors.</w:t>
      </w:r>
    </w:p>
    <w:p w14:paraId="3379DBCD" w14:textId="497E43A5" w:rsidR="00562D71" w:rsidRPr="005E13B9" w:rsidRDefault="000552E7" w:rsidP="001C65C7">
      <w:pPr>
        <w:overflowPunct w:val="0"/>
        <w:adjustRightInd w:val="0"/>
        <w:ind w:firstLineChars="200" w:firstLine="520"/>
        <w:jc w:val="both"/>
        <w:rPr>
          <w:sz w:val="26"/>
          <w:szCs w:val="26"/>
        </w:rPr>
      </w:pPr>
      <w:r w:rsidRPr="005E13B9">
        <w:rPr>
          <w:sz w:val="26"/>
          <w:szCs w:val="26"/>
        </w:rPr>
        <w:t>Concerning</w:t>
      </w:r>
      <w:r w:rsidR="0013600E" w:rsidRPr="005E13B9">
        <w:rPr>
          <w:sz w:val="26"/>
          <w:szCs w:val="26"/>
        </w:rPr>
        <w:t xml:space="preserve"> financial statement variables, </w:t>
      </w:r>
      <w:r w:rsidR="003865AC" w:rsidRPr="005E13B9">
        <w:rPr>
          <w:rFonts w:hint="eastAsia"/>
          <w:sz w:val="26"/>
          <w:szCs w:val="26"/>
        </w:rPr>
        <w:t xml:space="preserve">the </w:t>
      </w:r>
      <w:r w:rsidR="0013600E" w:rsidRPr="005E13B9">
        <w:rPr>
          <w:sz w:val="26"/>
          <w:szCs w:val="26"/>
        </w:rPr>
        <w:t xml:space="preserve">net profit ratio and </w:t>
      </w:r>
      <w:r w:rsidR="003865AC" w:rsidRPr="005E13B9">
        <w:rPr>
          <w:rFonts w:hint="eastAsia"/>
          <w:sz w:val="26"/>
          <w:szCs w:val="26"/>
        </w:rPr>
        <w:t xml:space="preserve">the </w:t>
      </w:r>
      <w:r w:rsidR="0013600E" w:rsidRPr="005E13B9">
        <w:rPr>
          <w:sz w:val="26"/>
          <w:szCs w:val="26"/>
        </w:rPr>
        <w:t xml:space="preserve">assets turnover ratio are all positively related to the shareholding change of institutional investors, implying that institutional investors prefer to increase the shareholding for the firms with higher net profit ratios and assets turnover ratios. However, the debt ratio is negatively related to the shareholding change of institutional investors. We argue that the firms with high debt ratios might increase interest expense and even </w:t>
      </w:r>
      <w:r w:rsidR="003865AC" w:rsidRPr="005E13B9">
        <w:rPr>
          <w:rFonts w:hint="eastAsia"/>
          <w:sz w:val="26"/>
          <w:szCs w:val="26"/>
        </w:rPr>
        <w:t>surge</w:t>
      </w:r>
      <w:r w:rsidR="0013600E" w:rsidRPr="005E13B9">
        <w:rPr>
          <w:sz w:val="26"/>
          <w:szCs w:val="26"/>
        </w:rPr>
        <w:t xml:space="preserve"> financial risks, which might </w:t>
      </w:r>
      <w:r w:rsidR="00475EFE" w:rsidRPr="005E13B9">
        <w:rPr>
          <w:rFonts w:hint="eastAsia"/>
          <w:sz w:val="26"/>
          <w:szCs w:val="26"/>
        </w:rPr>
        <w:t xml:space="preserve">result in the </w:t>
      </w:r>
      <w:r w:rsidR="00475EFE" w:rsidRPr="005E13B9">
        <w:rPr>
          <w:sz w:val="26"/>
          <w:szCs w:val="26"/>
        </w:rPr>
        <w:t xml:space="preserve">decrease </w:t>
      </w:r>
      <w:r w:rsidR="00475EFE" w:rsidRPr="005E13B9">
        <w:rPr>
          <w:rFonts w:hint="eastAsia"/>
          <w:sz w:val="26"/>
          <w:szCs w:val="26"/>
        </w:rPr>
        <w:t>rather than the</w:t>
      </w:r>
      <w:r w:rsidR="0013600E" w:rsidRPr="005E13B9">
        <w:rPr>
          <w:sz w:val="26"/>
          <w:szCs w:val="26"/>
        </w:rPr>
        <w:t xml:space="preserve"> increase </w:t>
      </w:r>
      <w:r w:rsidR="00475EFE" w:rsidRPr="005E13B9">
        <w:rPr>
          <w:rFonts w:hint="eastAsia"/>
          <w:sz w:val="26"/>
          <w:szCs w:val="26"/>
        </w:rPr>
        <w:t xml:space="preserve">of </w:t>
      </w:r>
      <w:r w:rsidR="0013600E" w:rsidRPr="005E13B9">
        <w:rPr>
          <w:sz w:val="26"/>
          <w:szCs w:val="26"/>
        </w:rPr>
        <w:t xml:space="preserve">the </w:t>
      </w:r>
      <w:r w:rsidR="00475EFE" w:rsidRPr="005E13B9">
        <w:rPr>
          <w:sz w:val="26"/>
          <w:szCs w:val="26"/>
        </w:rPr>
        <w:t xml:space="preserve">institutional investors’ </w:t>
      </w:r>
      <w:r w:rsidR="0013600E" w:rsidRPr="005E13B9">
        <w:rPr>
          <w:sz w:val="26"/>
          <w:szCs w:val="26"/>
        </w:rPr>
        <w:t>shareholding</w:t>
      </w:r>
      <w:r w:rsidR="003865AC" w:rsidRPr="005E13B9">
        <w:rPr>
          <w:rFonts w:hint="eastAsia"/>
          <w:sz w:val="26"/>
          <w:szCs w:val="26"/>
        </w:rPr>
        <w:t>s</w:t>
      </w:r>
      <w:r w:rsidR="0013600E" w:rsidRPr="005E13B9">
        <w:rPr>
          <w:sz w:val="26"/>
          <w:szCs w:val="26"/>
        </w:rPr>
        <w:t xml:space="preserve"> </w:t>
      </w:r>
      <w:r w:rsidR="003865AC" w:rsidRPr="005E13B9">
        <w:rPr>
          <w:rFonts w:hint="eastAsia"/>
          <w:sz w:val="26"/>
          <w:szCs w:val="26"/>
        </w:rPr>
        <w:t>for</w:t>
      </w:r>
      <w:r w:rsidR="0013600E" w:rsidRPr="005E13B9">
        <w:rPr>
          <w:sz w:val="26"/>
          <w:szCs w:val="26"/>
        </w:rPr>
        <w:t xml:space="preserve"> these firms.</w:t>
      </w:r>
    </w:p>
    <w:p w14:paraId="64F21A6B" w14:textId="1E3DDD5B" w:rsidR="00562D71" w:rsidRPr="005E13B9" w:rsidRDefault="0013600E" w:rsidP="001C65C7">
      <w:pPr>
        <w:overflowPunct w:val="0"/>
        <w:adjustRightInd w:val="0"/>
        <w:ind w:firstLineChars="200" w:firstLine="520"/>
        <w:jc w:val="both"/>
        <w:rPr>
          <w:sz w:val="26"/>
          <w:szCs w:val="26"/>
        </w:rPr>
      </w:pPr>
      <w:r w:rsidRPr="005E13B9">
        <w:rPr>
          <w:sz w:val="26"/>
          <w:szCs w:val="26"/>
        </w:rPr>
        <w:t>As for board structure variables, Table 3</w:t>
      </w:r>
      <w:r w:rsidR="0053371A" w:rsidRPr="005E13B9">
        <w:rPr>
          <w:rFonts w:hint="eastAsia"/>
          <w:sz w:val="26"/>
          <w:szCs w:val="26"/>
        </w:rPr>
        <w:t xml:space="preserve"> and </w:t>
      </w:r>
      <w:r w:rsidR="00532BD2" w:rsidRPr="005E13B9">
        <w:rPr>
          <w:sz w:val="26"/>
          <w:szCs w:val="26"/>
        </w:rPr>
        <w:t xml:space="preserve">Table </w:t>
      </w:r>
      <w:r w:rsidRPr="005E13B9">
        <w:rPr>
          <w:sz w:val="26"/>
          <w:szCs w:val="26"/>
        </w:rPr>
        <w:t xml:space="preserve">4 reveal that directors’ </w:t>
      </w:r>
      <w:r w:rsidR="008946D2" w:rsidRPr="005E13B9">
        <w:rPr>
          <w:rFonts w:hint="eastAsia"/>
          <w:sz w:val="26"/>
          <w:szCs w:val="26"/>
        </w:rPr>
        <w:t>share</w:t>
      </w:r>
      <w:r w:rsidRPr="005E13B9">
        <w:rPr>
          <w:sz w:val="26"/>
          <w:szCs w:val="26"/>
        </w:rPr>
        <w:t>holding ratio</w:t>
      </w:r>
      <w:r w:rsidR="008946D2" w:rsidRPr="005E13B9">
        <w:rPr>
          <w:rFonts w:hint="eastAsia"/>
          <w:sz w:val="26"/>
          <w:szCs w:val="26"/>
        </w:rPr>
        <w:t>s</w:t>
      </w:r>
      <w:r w:rsidRPr="005E13B9">
        <w:rPr>
          <w:sz w:val="26"/>
          <w:szCs w:val="26"/>
        </w:rPr>
        <w:t xml:space="preserve"> </w:t>
      </w:r>
      <w:r w:rsidR="008946D2" w:rsidRPr="005E13B9">
        <w:rPr>
          <w:rFonts w:hint="eastAsia"/>
          <w:sz w:val="26"/>
          <w:szCs w:val="26"/>
        </w:rPr>
        <w:t>are</w:t>
      </w:r>
      <w:r w:rsidRPr="005E13B9">
        <w:rPr>
          <w:sz w:val="26"/>
          <w:szCs w:val="26"/>
        </w:rPr>
        <w:t xml:space="preserve"> negatively related to the shareholding change of institutional investors. The result might indicate that the firms with high directors’ </w:t>
      </w:r>
      <w:r w:rsidR="008946D2" w:rsidRPr="005E13B9">
        <w:rPr>
          <w:rFonts w:hint="eastAsia"/>
          <w:sz w:val="26"/>
          <w:szCs w:val="26"/>
        </w:rPr>
        <w:t>share</w:t>
      </w:r>
      <w:r w:rsidRPr="005E13B9">
        <w:rPr>
          <w:sz w:val="26"/>
          <w:szCs w:val="26"/>
        </w:rPr>
        <w:t xml:space="preserve">holding ratios might be controlled even intervened by the directors instead of </w:t>
      </w:r>
      <w:r w:rsidR="008946D2" w:rsidRPr="005E13B9">
        <w:rPr>
          <w:rFonts w:hint="eastAsia"/>
          <w:sz w:val="26"/>
          <w:szCs w:val="26"/>
        </w:rPr>
        <w:t xml:space="preserve">the </w:t>
      </w:r>
      <w:r w:rsidRPr="005E13B9">
        <w:rPr>
          <w:sz w:val="26"/>
          <w:szCs w:val="26"/>
        </w:rPr>
        <w:t xml:space="preserve">professional managers, which might result in that institutional investors may not prefer </w:t>
      </w:r>
      <w:r w:rsidR="008946D2" w:rsidRPr="005E13B9">
        <w:rPr>
          <w:rFonts w:hint="eastAsia"/>
          <w:sz w:val="26"/>
          <w:szCs w:val="26"/>
        </w:rPr>
        <w:t xml:space="preserve">to </w:t>
      </w:r>
      <w:r w:rsidRPr="005E13B9">
        <w:rPr>
          <w:sz w:val="26"/>
          <w:szCs w:val="26"/>
        </w:rPr>
        <w:t>increas</w:t>
      </w:r>
      <w:r w:rsidR="008946D2" w:rsidRPr="005E13B9">
        <w:rPr>
          <w:rFonts w:hint="eastAsia"/>
          <w:sz w:val="26"/>
          <w:szCs w:val="26"/>
        </w:rPr>
        <w:t>e</w:t>
      </w:r>
      <w:r w:rsidRPr="005E13B9">
        <w:rPr>
          <w:sz w:val="26"/>
          <w:szCs w:val="26"/>
        </w:rPr>
        <w:t xml:space="preserve"> the shareholding</w:t>
      </w:r>
      <w:r w:rsidR="008946D2" w:rsidRPr="005E13B9">
        <w:rPr>
          <w:rFonts w:hint="eastAsia"/>
          <w:sz w:val="26"/>
          <w:szCs w:val="26"/>
        </w:rPr>
        <w:t>s</w:t>
      </w:r>
      <w:r w:rsidRPr="005E13B9">
        <w:rPr>
          <w:sz w:val="26"/>
          <w:szCs w:val="26"/>
        </w:rPr>
        <w:t xml:space="preserve"> of these firms. Besides, board size and directors' pledge ratio also have </w:t>
      </w:r>
      <w:r w:rsidRPr="005E13B9">
        <w:rPr>
          <w:noProof/>
          <w:sz w:val="26"/>
          <w:szCs w:val="26"/>
        </w:rPr>
        <w:t>negative</w:t>
      </w:r>
      <w:r w:rsidRPr="005E13B9">
        <w:rPr>
          <w:sz w:val="26"/>
          <w:szCs w:val="26"/>
        </w:rPr>
        <w:t xml:space="preserve"> relationship</w:t>
      </w:r>
      <w:r w:rsidR="008946D2" w:rsidRPr="005E13B9">
        <w:rPr>
          <w:rFonts w:hint="eastAsia"/>
          <w:sz w:val="26"/>
          <w:szCs w:val="26"/>
        </w:rPr>
        <w:t>s</w:t>
      </w:r>
      <w:r w:rsidRPr="005E13B9">
        <w:rPr>
          <w:sz w:val="26"/>
          <w:szCs w:val="26"/>
        </w:rPr>
        <w:t xml:space="preserve"> with the shareholding change of institutional investors. In fact, the firms with large board size and higher directors pledge ratio might not be regarded as </w:t>
      </w:r>
      <w:r w:rsidR="008946D2" w:rsidRPr="005E13B9">
        <w:rPr>
          <w:rFonts w:hint="eastAsia"/>
          <w:noProof/>
          <w:sz w:val="26"/>
          <w:szCs w:val="26"/>
        </w:rPr>
        <w:t>the</w:t>
      </w:r>
      <w:r w:rsidR="00041B53" w:rsidRPr="005E13B9">
        <w:rPr>
          <w:noProof/>
          <w:sz w:val="26"/>
          <w:szCs w:val="26"/>
        </w:rPr>
        <w:t xml:space="preserve"> </w:t>
      </w:r>
      <w:r w:rsidRPr="005E13B9">
        <w:rPr>
          <w:noProof/>
          <w:sz w:val="26"/>
          <w:szCs w:val="26"/>
        </w:rPr>
        <w:t>well-function</w:t>
      </w:r>
      <w:r w:rsidR="008946D2" w:rsidRPr="005E13B9">
        <w:rPr>
          <w:rFonts w:hint="eastAsia"/>
          <w:noProof/>
          <w:sz w:val="26"/>
          <w:szCs w:val="26"/>
        </w:rPr>
        <w:t>ed</w:t>
      </w:r>
      <w:r w:rsidRPr="005E13B9">
        <w:rPr>
          <w:sz w:val="26"/>
          <w:szCs w:val="26"/>
        </w:rPr>
        <w:t xml:space="preserve"> board structure</w:t>
      </w:r>
      <w:r w:rsidR="0082626C" w:rsidRPr="005E13B9">
        <w:rPr>
          <w:rFonts w:hint="eastAsia"/>
          <w:sz w:val="26"/>
          <w:szCs w:val="26"/>
        </w:rPr>
        <w:t>s</w:t>
      </w:r>
      <w:r w:rsidRPr="005E13B9">
        <w:rPr>
          <w:sz w:val="26"/>
          <w:szCs w:val="26"/>
        </w:rPr>
        <w:t>, which might not enhance the shareholding of institutional investors</w:t>
      </w:r>
      <w:r w:rsidR="0082626C" w:rsidRPr="005E13B9">
        <w:rPr>
          <w:rFonts w:hint="eastAsia"/>
          <w:sz w:val="26"/>
          <w:szCs w:val="26"/>
        </w:rPr>
        <w:t xml:space="preserve"> consequently</w:t>
      </w:r>
      <w:r w:rsidRPr="005E13B9">
        <w:rPr>
          <w:sz w:val="26"/>
          <w:szCs w:val="26"/>
        </w:rPr>
        <w:t>.</w:t>
      </w:r>
    </w:p>
    <w:p w14:paraId="36EC57A2" w14:textId="115AAB8A" w:rsidR="006445EE" w:rsidRPr="005E13B9" w:rsidRDefault="0013600E" w:rsidP="001C65C7">
      <w:pPr>
        <w:overflowPunct w:val="0"/>
        <w:adjustRightInd w:val="0"/>
        <w:ind w:firstLineChars="200" w:firstLine="520"/>
        <w:jc w:val="both"/>
        <w:rPr>
          <w:sz w:val="26"/>
          <w:szCs w:val="26"/>
        </w:rPr>
      </w:pPr>
      <w:r w:rsidRPr="005E13B9">
        <w:rPr>
          <w:sz w:val="26"/>
          <w:szCs w:val="26"/>
        </w:rPr>
        <w:lastRenderedPageBreak/>
        <w:t xml:space="preserve">As for other controlling variables, </w:t>
      </w:r>
      <w:r w:rsidR="0082626C" w:rsidRPr="005E13B9">
        <w:rPr>
          <w:rFonts w:hint="eastAsia"/>
          <w:sz w:val="26"/>
          <w:szCs w:val="26"/>
        </w:rPr>
        <w:t xml:space="preserve">the </w:t>
      </w:r>
      <w:r w:rsidRPr="005E13B9">
        <w:rPr>
          <w:sz w:val="26"/>
          <w:szCs w:val="26"/>
        </w:rPr>
        <w:t xml:space="preserve">electronic dummy and </w:t>
      </w:r>
      <w:r w:rsidR="0082626C" w:rsidRPr="005E13B9">
        <w:rPr>
          <w:rFonts w:hint="eastAsia"/>
          <w:sz w:val="26"/>
          <w:szCs w:val="26"/>
        </w:rPr>
        <w:t xml:space="preserve">the </w:t>
      </w:r>
      <w:r w:rsidRPr="005E13B9">
        <w:rPr>
          <w:sz w:val="26"/>
          <w:szCs w:val="26"/>
        </w:rPr>
        <w:t>firm scale have positive effects on the shareholding changes of foreign institutions a</w:t>
      </w:r>
      <w:r w:rsidR="0082626C" w:rsidRPr="005E13B9">
        <w:rPr>
          <w:rFonts w:hint="eastAsia"/>
          <w:sz w:val="26"/>
          <w:szCs w:val="26"/>
        </w:rPr>
        <w:t>s well as</w:t>
      </w:r>
      <w:r w:rsidRPr="005E13B9">
        <w:rPr>
          <w:sz w:val="26"/>
          <w:szCs w:val="26"/>
        </w:rPr>
        <w:t xml:space="preserve"> domestic institutions. We argue that institutional investors seem to prefer holding electronic firms, which might result from that several firms with </w:t>
      </w:r>
      <w:r w:rsidR="000552E7" w:rsidRPr="005E13B9">
        <w:rPr>
          <w:sz w:val="26"/>
          <w:szCs w:val="26"/>
        </w:rPr>
        <w:t xml:space="preserve">the </w:t>
      </w:r>
      <w:r w:rsidRPr="005E13B9">
        <w:rPr>
          <w:noProof/>
          <w:sz w:val="26"/>
          <w:szCs w:val="26"/>
        </w:rPr>
        <w:t>highly</w:t>
      </w:r>
      <w:r w:rsidRPr="005E13B9">
        <w:rPr>
          <w:sz w:val="26"/>
          <w:szCs w:val="26"/>
        </w:rPr>
        <w:t xml:space="preserve"> international competition are electronic firms with large firm scales. </w:t>
      </w:r>
    </w:p>
    <w:p w14:paraId="23EAB6BF" w14:textId="77777777" w:rsidR="009E4739" w:rsidRPr="005E13B9" w:rsidRDefault="009E4739" w:rsidP="001C65C7">
      <w:pPr>
        <w:overflowPunct w:val="0"/>
        <w:adjustRightInd w:val="0"/>
        <w:jc w:val="both"/>
        <w:rPr>
          <w:rFonts w:eastAsia="標楷體"/>
          <w:b/>
          <w:sz w:val="26"/>
          <w:szCs w:val="26"/>
        </w:rPr>
      </w:pPr>
    </w:p>
    <w:p w14:paraId="7E718F81" w14:textId="77777777" w:rsidR="00562D71" w:rsidRPr="005E13B9" w:rsidRDefault="0013600E" w:rsidP="001C65C7">
      <w:pPr>
        <w:overflowPunct w:val="0"/>
        <w:adjustRightInd w:val="0"/>
        <w:jc w:val="both"/>
        <w:rPr>
          <w:sz w:val="26"/>
          <w:szCs w:val="26"/>
        </w:rPr>
      </w:pPr>
      <w:r w:rsidRPr="005E13B9">
        <w:rPr>
          <w:rFonts w:eastAsia="標楷體"/>
          <w:b/>
          <w:sz w:val="26"/>
          <w:szCs w:val="26"/>
        </w:rPr>
        <w:t>Peterse</w:t>
      </w:r>
      <w:r w:rsidR="006956F8" w:rsidRPr="005E13B9">
        <w:rPr>
          <w:rFonts w:eastAsia="標楷體"/>
          <w:b/>
          <w:sz w:val="26"/>
          <w:szCs w:val="26"/>
        </w:rPr>
        <w:t xml:space="preserve">n </w:t>
      </w:r>
      <w:r w:rsidR="00742780" w:rsidRPr="005E13B9">
        <w:rPr>
          <w:rFonts w:eastAsia="標楷體"/>
          <w:b/>
          <w:sz w:val="26"/>
          <w:szCs w:val="26"/>
        </w:rPr>
        <w:t>Regression Models</w:t>
      </w:r>
    </w:p>
    <w:p w14:paraId="659B4B10" w14:textId="3F6B07D7" w:rsidR="00562D71" w:rsidRPr="005E13B9" w:rsidRDefault="0013600E" w:rsidP="001C65C7">
      <w:pPr>
        <w:overflowPunct w:val="0"/>
        <w:adjustRightInd w:val="0"/>
        <w:ind w:firstLine="420"/>
        <w:jc w:val="both"/>
        <w:rPr>
          <w:rFonts w:eastAsia="標楷體"/>
          <w:sz w:val="26"/>
          <w:szCs w:val="26"/>
        </w:rPr>
      </w:pPr>
      <w:r w:rsidRPr="005E13B9">
        <w:rPr>
          <w:sz w:val="26"/>
          <w:szCs w:val="26"/>
        </w:rPr>
        <w:t xml:space="preserve">Due to </w:t>
      </w:r>
      <w:r w:rsidRPr="005E13B9">
        <w:rPr>
          <w:rFonts w:eastAsia="標楷體"/>
          <w:sz w:val="26"/>
          <w:szCs w:val="26"/>
        </w:rPr>
        <w:t xml:space="preserve">the defects of </w:t>
      </w:r>
      <w:r w:rsidRPr="005E13B9">
        <w:rPr>
          <w:sz w:val="26"/>
          <w:szCs w:val="26"/>
        </w:rPr>
        <w:t>multiple regression models</w:t>
      </w:r>
      <w:r w:rsidRPr="005E13B9">
        <w:rPr>
          <w:rFonts w:eastAsia="標楷體"/>
          <w:sz w:val="26"/>
          <w:szCs w:val="26"/>
        </w:rPr>
        <w:t xml:space="preserve"> proposed, we employ the model proposed by Petersen for grasping the relative accuracy after taking the structure of the data into account, which would be beneficial for the robustness of our empirical results. We then present the results employed by Petersen models in Table 5 and </w:t>
      </w:r>
      <w:r w:rsidR="000552E7" w:rsidRPr="005E13B9">
        <w:rPr>
          <w:rFonts w:eastAsia="標楷體"/>
          <w:sz w:val="26"/>
          <w:szCs w:val="26"/>
        </w:rPr>
        <w:t xml:space="preserve">Table </w:t>
      </w:r>
      <w:r w:rsidRPr="005E13B9">
        <w:rPr>
          <w:rFonts w:eastAsia="標楷體"/>
          <w:sz w:val="26"/>
          <w:szCs w:val="26"/>
        </w:rPr>
        <w:t>6.</w:t>
      </w:r>
    </w:p>
    <w:p w14:paraId="39BF1CBB" w14:textId="35F505AB" w:rsidR="004F5776" w:rsidRPr="005E13B9" w:rsidRDefault="004F5776" w:rsidP="001C65C7">
      <w:pPr>
        <w:overflowPunct w:val="0"/>
        <w:adjustRightInd w:val="0"/>
        <w:ind w:firstLineChars="200" w:firstLine="520"/>
        <w:jc w:val="both"/>
        <w:rPr>
          <w:rFonts w:eastAsia="標楷體"/>
          <w:sz w:val="26"/>
          <w:szCs w:val="26"/>
          <w:shd w:val="clear" w:color="auto" w:fill="FFFFFF"/>
        </w:rPr>
      </w:pPr>
      <w:r w:rsidRPr="005E13B9">
        <w:rPr>
          <w:rFonts w:eastAsia="標楷體"/>
          <w:sz w:val="26"/>
          <w:szCs w:val="26"/>
          <w:shd w:val="clear" w:color="auto" w:fill="FFFFFF"/>
        </w:rPr>
        <w:t>We explore whether the shareholding of institutional investors would be affected by the corporate name change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changing once and more than once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and the results are shown </w:t>
      </w:r>
      <w:r w:rsidR="00532BD2" w:rsidRPr="005E13B9">
        <w:rPr>
          <w:rFonts w:eastAsia="標楷體"/>
          <w:sz w:val="26"/>
          <w:szCs w:val="26"/>
          <w:shd w:val="clear" w:color="auto" w:fill="FFFFFF"/>
        </w:rPr>
        <w:t xml:space="preserve">in Table 5 </w:t>
      </w:r>
      <w:r w:rsidRPr="005E13B9">
        <w:rPr>
          <w:rFonts w:eastAsia="標楷體"/>
          <w:sz w:val="26"/>
          <w:szCs w:val="26"/>
          <w:shd w:val="clear" w:color="auto" w:fill="FFFFFF"/>
        </w:rPr>
        <w:t>for the shareholding changes of foreign institutions, domestic institutions, and security dealers in Equations (3a) – (3c), respectively. In addition, we employ financial statement variables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net profit ratio, asset turnover ratio, and debt ratio, board structure variables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directors’ </w:t>
      </w:r>
      <w:r w:rsidRPr="005E13B9">
        <w:rPr>
          <w:rFonts w:eastAsia="標楷體" w:hint="eastAsia"/>
          <w:sz w:val="26"/>
          <w:szCs w:val="26"/>
          <w:shd w:val="clear" w:color="auto" w:fill="FFFFFF"/>
        </w:rPr>
        <w:t>share</w:t>
      </w:r>
      <w:r w:rsidRPr="005E13B9">
        <w:rPr>
          <w:rFonts w:eastAsia="標楷體"/>
          <w:sz w:val="26"/>
          <w:szCs w:val="26"/>
          <w:shd w:val="clear" w:color="auto" w:fill="FFFFFF"/>
        </w:rPr>
        <w:t xml:space="preserve">holding ratio, managers’ </w:t>
      </w:r>
      <w:r w:rsidRPr="005E13B9">
        <w:rPr>
          <w:rFonts w:eastAsia="標楷體" w:hint="eastAsia"/>
          <w:sz w:val="26"/>
          <w:szCs w:val="26"/>
          <w:shd w:val="clear" w:color="auto" w:fill="FFFFFF"/>
        </w:rPr>
        <w:t>share</w:t>
      </w:r>
      <w:r w:rsidRPr="005E13B9">
        <w:rPr>
          <w:rFonts w:eastAsia="標楷體"/>
          <w:sz w:val="26"/>
          <w:szCs w:val="26"/>
          <w:shd w:val="clear" w:color="auto" w:fill="FFFFFF"/>
        </w:rPr>
        <w:t xml:space="preserve">holding ratio, directors’ pledge ratio, CEO duality </w:t>
      </w:r>
      <w:r w:rsidRPr="005E13B9">
        <w:rPr>
          <w:rFonts w:eastAsia="標楷體"/>
          <w:kern w:val="0"/>
          <w:sz w:val="26"/>
          <w:szCs w:val="26"/>
        </w:rPr>
        <w:t>dummy</w:t>
      </w:r>
      <w:r w:rsidRPr="005E13B9">
        <w:rPr>
          <w:rFonts w:eastAsia="標楷體"/>
          <w:sz w:val="26"/>
          <w:szCs w:val="26"/>
          <w:shd w:val="clear" w:color="auto" w:fill="FFFFFF"/>
        </w:rPr>
        <w:t>, and board size, and others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w:t>
      </w:r>
      <w:r w:rsidRPr="005E13B9">
        <w:rPr>
          <w:rFonts w:eastAsia="標楷體"/>
          <w:noProof/>
          <w:kern w:val="0"/>
          <w:sz w:val="26"/>
          <w:szCs w:val="26"/>
        </w:rPr>
        <w:t>electronic</w:t>
      </w:r>
      <w:r w:rsidRPr="005E13B9">
        <w:rPr>
          <w:rFonts w:eastAsia="標楷體"/>
          <w:kern w:val="0"/>
          <w:sz w:val="26"/>
          <w:szCs w:val="26"/>
        </w:rPr>
        <w:t xml:space="preserve"> dummy</w:t>
      </w:r>
      <w:r w:rsidRPr="005E13B9">
        <w:rPr>
          <w:rFonts w:eastAsia="標楷體"/>
          <w:sz w:val="26"/>
          <w:szCs w:val="26"/>
          <w:shd w:val="clear" w:color="auto" w:fill="FFFFFF"/>
        </w:rPr>
        <w:t xml:space="preserve"> and firm scale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as </w:t>
      </w:r>
      <w:r w:rsidRPr="005E13B9">
        <w:rPr>
          <w:rFonts w:eastAsia="標楷體" w:hint="eastAsia"/>
          <w:sz w:val="26"/>
          <w:szCs w:val="26"/>
          <w:shd w:val="clear" w:color="auto" w:fill="FFFFFF"/>
        </w:rPr>
        <w:t xml:space="preserve">the </w:t>
      </w:r>
      <w:r w:rsidRPr="005E13B9">
        <w:rPr>
          <w:rFonts w:eastAsia="標楷體"/>
          <w:sz w:val="26"/>
          <w:szCs w:val="26"/>
          <w:shd w:val="clear" w:color="auto" w:fill="FFFFFF"/>
        </w:rPr>
        <w:t xml:space="preserve">controlling variables. The t-statistics are based on the standard errors that are adjusted by the two-way clusters existed in firm and year (Petersen, 2009) in Columns (3a) – (3c). Statistical significance values at the 10%, 5%, and 1% levels are denoted by *, **, and ***, respectively. </w:t>
      </w:r>
    </w:p>
    <w:p w14:paraId="7163CDF5" w14:textId="77777777" w:rsidR="004F5776" w:rsidRPr="005E13B9" w:rsidRDefault="004F5776" w:rsidP="001C65C7">
      <w:pPr>
        <w:widowControl/>
        <w:overflowPunct w:val="0"/>
        <w:rPr>
          <w:rFonts w:eastAsia="標楷體"/>
          <w:b/>
          <w:sz w:val="26"/>
          <w:szCs w:val="26"/>
        </w:rPr>
      </w:pPr>
    </w:p>
    <w:p w14:paraId="40EDA221" w14:textId="77777777" w:rsidR="00532BD2" w:rsidRPr="005E13B9" w:rsidRDefault="00532BD2">
      <w:pPr>
        <w:widowControl/>
        <w:rPr>
          <w:rFonts w:eastAsia="標楷體"/>
          <w:b/>
          <w:sz w:val="26"/>
          <w:szCs w:val="26"/>
        </w:rPr>
      </w:pPr>
      <w:r w:rsidRPr="005E13B9">
        <w:rPr>
          <w:rFonts w:eastAsia="標楷體"/>
          <w:b/>
          <w:sz w:val="26"/>
          <w:szCs w:val="26"/>
        </w:rPr>
        <w:br w:type="page"/>
      </w:r>
    </w:p>
    <w:p w14:paraId="176BA4C0" w14:textId="6E02DCD5" w:rsidR="00FD0A65" w:rsidRPr="005E13B9" w:rsidRDefault="001F6F2C" w:rsidP="00532BD2">
      <w:pPr>
        <w:widowControl/>
        <w:overflowPunct w:val="0"/>
        <w:jc w:val="center"/>
        <w:rPr>
          <w:rFonts w:eastAsia="標楷體"/>
          <w:sz w:val="26"/>
          <w:szCs w:val="26"/>
          <w:shd w:val="clear" w:color="auto" w:fill="FFFFFF"/>
        </w:rPr>
      </w:pPr>
      <w:r w:rsidRPr="005E13B9">
        <w:rPr>
          <w:rFonts w:eastAsia="標楷體"/>
          <w:b/>
          <w:sz w:val="26"/>
          <w:szCs w:val="26"/>
        </w:rPr>
        <w:lastRenderedPageBreak/>
        <w:t>Table 5</w:t>
      </w:r>
      <w:r w:rsidR="006C7AFA" w:rsidRPr="005E13B9">
        <w:rPr>
          <w:rFonts w:eastAsia="標楷體"/>
          <w:b/>
          <w:sz w:val="26"/>
          <w:szCs w:val="26"/>
        </w:rPr>
        <w:t xml:space="preserve"> </w:t>
      </w:r>
      <w:r w:rsidR="00532BD2" w:rsidRPr="005E13B9">
        <w:rPr>
          <w:rFonts w:eastAsia="標楷體"/>
          <w:b/>
          <w:sz w:val="26"/>
          <w:szCs w:val="26"/>
        </w:rPr>
        <w:t xml:space="preserve"> </w:t>
      </w:r>
      <w:r w:rsidRPr="005E13B9">
        <w:rPr>
          <w:rFonts w:eastAsia="標楷體"/>
          <w:b/>
          <w:sz w:val="26"/>
          <w:szCs w:val="26"/>
        </w:rPr>
        <w:t xml:space="preserve">Results for Petersen </w:t>
      </w:r>
      <w:r w:rsidR="00E76E0C" w:rsidRPr="005E13B9">
        <w:rPr>
          <w:b/>
          <w:sz w:val="26"/>
          <w:szCs w:val="26"/>
        </w:rPr>
        <w:t xml:space="preserve">Models </w:t>
      </w:r>
      <w:r w:rsidRPr="005E13B9">
        <w:rPr>
          <w:b/>
          <w:sz w:val="26"/>
          <w:szCs w:val="26"/>
        </w:rPr>
        <w:t xml:space="preserve">in </w:t>
      </w:r>
      <w:r w:rsidR="00E76E0C" w:rsidRPr="005E13B9">
        <w:rPr>
          <w:b/>
          <w:sz w:val="26"/>
          <w:szCs w:val="26"/>
        </w:rPr>
        <w:t xml:space="preserve">Terms </w:t>
      </w:r>
      <w:r w:rsidRPr="005E13B9">
        <w:rPr>
          <w:b/>
          <w:sz w:val="26"/>
          <w:szCs w:val="26"/>
        </w:rPr>
        <w:t xml:space="preserve">of </w:t>
      </w:r>
      <w:r w:rsidR="00041B53" w:rsidRPr="005E13B9">
        <w:rPr>
          <w:b/>
          <w:noProof/>
          <w:sz w:val="26"/>
          <w:szCs w:val="26"/>
        </w:rPr>
        <w:t xml:space="preserve">the </w:t>
      </w:r>
      <w:r w:rsidRPr="005E13B9">
        <w:rPr>
          <w:b/>
          <w:noProof/>
          <w:sz w:val="26"/>
          <w:szCs w:val="26"/>
        </w:rPr>
        <w:t>corporate</w:t>
      </w:r>
      <w:r w:rsidRPr="005E13B9">
        <w:rPr>
          <w:b/>
          <w:sz w:val="26"/>
          <w:szCs w:val="26"/>
        </w:rPr>
        <w:t xml:space="preserve"> name </w:t>
      </w:r>
      <w:r w:rsidRPr="005E13B9">
        <w:rPr>
          <w:b/>
          <w:kern w:val="0"/>
          <w:sz w:val="26"/>
          <w:szCs w:val="26"/>
        </w:rPr>
        <w:t>change</w:t>
      </w:r>
    </w:p>
    <w:tbl>
      <w:tblPr>
        <w:tblW w:w="5000" w:type="pct"/>
        <w:tblBorders>
          <w:top w:val="double" w:sz="4" w:space="0" w:color="auto"/>
          <w:bottom w:val="double" w:sz="4" w:space="0" w:color="auto"/>
        </w:tblBorders>
        <w:tblCellMar>
          <w:left w:w="0" w:type="dxa"/>
          <w:right w:w="0" w:type="dxa"/>
        </w:tblCellMar>
        <w:tblLook w:val="0000" w:firstRow="0" w:lastRow="0" w:firstColumn="0" w:lastColumn="0" w:noHBand="0" w:noVBand="0"/>
      </w:tblPr>
      <w:tblGrid>
        <w:gridCol w:w="2625"/>
        <w:gridCol w:w="2133"/>
        <w:gridCol w:w="2134"/>
        <w:gridCol w:w="2134"/>
      </w:tblGrid>
      <w:tr w:rsidR="006F104F" w:rsidRPr="005E13B9" w14:paraId="1A33745F" w14:textId="77777777" w:rsidTr="00532BD2">
        <w:trPr>
          <w:cantSplit/>
          <w:trHeight w:val="20"/>
        </w:trPr>
        <w:tc>
          <w:tcPr>
            <w:tcW w:w="5000" w:type="pct"/>
            <w:gridSpan w:val="4"/>
            <w:tcBorders>
              <w:top w:val="single" w:sz="12" w:space="0" w:color="auto"/>
              <w:bottom w:val="single" w:sz="4" w:space="0" w:color="auto"/>
            </w:tcBorders>
            <w:noWrap/>
            <w:tcMar>
              <w:top w:w="14" w:type="dxa"/>
              <w:left w:w="14" w:type="dxa"/>
              <w:bottom w:w="0" w:type="dxa"/>
              <w:right w:w="14" w:type="dxa"/>
            </w:tcMar>
            <w:vAlign w:val="center"/>
          </w:tcPr>
          <w:p w14:paraId="3D26F28A" w14:textId="77777777" w:rsidR="001F6F2C" w:rsidRPr="005E13B9" w:rsidRDefault="001F6F2C" w:rsidP="001C65C7">
            <w:pPr>
              <w:widowControl/>
              <w:overflowPunct w:val="0"/>
              <w:adjustRightInd w:val="0"/>
              <w:snapToGrid w:val="0"/>
              <w:rPr>
                <w:rFonts w:eastAsia="標楷體"/>
                <w:sz w:val="22"/>
                <w:szCs w:val="22"/>
              </w:rPr>
            </w:pPr>
            <w:r w:rsidRPr="005E13B9">
              <w:rPr>
                <w:rFonts w:eastAsia="標楷體"/>
                <w:kern w:val="0"/>
                <w:sz w:val="22"/>
                <w:szCs w:val="22"/>
              </w:rPr>
              <w:t>Dependent</w:t>
            </w:r>
            <w:r w:rsidRPr="005E13B9">
              <w:rPr>
                <w:rFonts w:eastAsia="標楷體"/>
                <w:sz w:val="22"/>
                <w:szCs w:val="22"/>
              </w:rPr>
              <w:t xml:space="preserve"> variable</w:t>
            </w:r>
            <w:r w:rsidRPr="005E13B9">
              <w:rPr>
                <w:rFonts w:eastAsia="標楷體" w:hint="eastAsia"/>
                <w:sz w:val="22"/>
                <w:szCs w:val="22"/>
              </w:rPr>
              <w:t>：</w:t>
            </w:r>
            <w:r w:rsidRPr="005E13B9">
              <w:rPr>
                <w:rFonts w:eastAsia="標楷體"/>
                <w:sz w:val="22"/>
                <w:szCs w:val="22"/>
              </w:rPr>
              <w:t>S</w:t>
            </w:r>
            <w:r w:rsidRPr="005E13B9">
              <w:rPr>
                <w:sz w:val="22"/>
                <w:szCs w:val="22"/>
              </w:rPr>
              <w:t>hareholding of institutional investors</w:t>
            </w:r>
          </w:p>
        </w:tc>
      </w:tr>
      <w:tr w:rsidR="006F104F" w:rsidRPr="005E13B9" w14:paraId="7414617D" w14:textId="77777777" w:rsidTr="007875FC">
        <w:trPr>
          <w:cantSplit/>
          <w:trHeight w:val="20"/>
        </w:trPr>
        <w:tc>
          <w:tcPr>
            <w:tcW w:w="1454" w:type="pct"/>
            <w:tcBorders>
              <w:top w:val="single" w:sz="4" w:space="0" w:color="auto"/>
              <w:bottom w:val="single" w:sz="4" w:space="0" w:color="auto"/>
            </w:tcBorders>
            <w:noWrap/>
            <w:tcMar>
              <w:top w:w="14" w:type="dxa"/>
              <w:left w:w="14" w:type="dxa"/>
              <w:bottom w:w="0" w:type="dxa"/>
              <w:right w:w="14" w:type="dxa"/>
            </w:tcMar>
            <w:vAlign w:val="center"/>
          </w:tcPr>
          <w:p w14:paraId="43042AFE" w14:textId="77777777" w:rsidR="001F6F2C" w:rsidRPr="005E13B9" w:rsidRDefault="001F6F2C" w:rsidP="001C65C7">
            <w:pPr>
              <w:overflowPunct w:val="0"/>
              <w:adjustRightInd w:val="0"/>
              <w:snapToGrid w:val="0"/>
              <w:rPr>
                <w:rFonts w:eastAsia="標楷體"/>
                <w:sz w:val="22"/>
                <w:szCs w:val="22"/>
              </w:rPr>
            </w:pPr>
            <w:r w:rsidRPr="005E13B9">
              <w:rPr>
                <w:rFonts w:eastAsia="標楷體"/>
                <w:sz w:val="22"/>
                <w:szCs w:val="22"/>
              </w:rPr>
              <w:t>Independent variable</w:t>
            </w:r>
          </w:p>
        </w:tc>
        <w:tc>
          <w:tcPr>
            <w:tcW w:w="1182" w:type="pct"/>
            <w:tcBorders>
              <w:top w:val="single" w:sz="4" w:space="0" w:color="auto"/>
              <w:bottom w:val="single" w:sz="4" w:space="0" w:color="auto"/>
            </w:tcBorders>
            <w:noWrap/>
            <w:tcMar>
              <w:top w:w="14" w:type="dxa"/>
              <w:left w:w="14" w:type="dxa"/>
              <w:bottom w:w="0" w:type="dxa"/>
              <w:right w:w="14" w:type="dxa"/>
            </w:tcMar>
            <w:vAlign w:val="center"/>
          </w:tcPr>
          <w:p w14:paraId="11F21AE2" w14:textId="77777777" w:rsidR="001F6F2C" w:rsidRPr="005E13B9" w:rsidRDefault="001F6F2C" w:rsidP="001C65C7">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3a</w:t>
            </w:r>
            <w:r w:rsidRPr="005E13B9">
              <w:rPr>
                <w:rFonts w:eastAsia="標楷體" w:hint="eastAsia"/>
                <w:sz w:val="22"/>
                <w:szCs w:val="22"/>
              </w:rPr>
              <w:t>）</w:t>
            </w:r>
          </w:p>
          <w:p w14:paraId="0FFE03F5" w14:textId="77777777" w:rsidR="001F6F2C" w:rsidRPr="005E13B9" w:rsidRDefault="001F6F2C" w:rsidP="001C65C7">
            <w:pPr>
              <w:overflowPunct w:val="0"/>
              <w:adjustRightInd w:val="0"/>
              <w:snapToGrid w:val="0"/>
              <w:jc w:val="center"/>
              <w:rPr>
                <w:sz w:val="22"/>
                <w:szCs w:val="22"/>
              </w:rPr>
            </w:pPr>
            <w:r w:rsidRPr="005E13B9">
              <w:rPr>
                <w:sz w:val="22"/>
                <w:szCs w:val="22"/>
              </w:rPr>
              <w:t>Shareholding change</w:t>
            </w:r>
          </w:p>
          <w:p w14:paraId="1EEA75CB" w14:textId="77777777" w:rsidR="001F6F2C" w:rsidRPr="005E13B9" w:rsidRDefault="001F6F2C" w:rsidP="001C65C7">
            <w:pPr>
              <w:overflowPunct w:val="0"/>
              <w:adjustRightInd w:val="0"/>
              <w:snapToGrid w:val="0"/>
              <w:jc w:val="center"/>
              <w:rPr>
                <w:rFonts w:eastAsia="標楷體"/>
                <w:sz w:val="22"/>
                <w:szCs w:val="22"/>
              </w:rPr>
            </w:pPr>
            <w:r w:rsidRPr="005E13B9">
              <w:rPr>
                <w:sz w:val="22"/>
                <w:szCs w:val="22"/>
              </w:rPr>
              <w:t>of foreign institutions</w:t>
            </w:r>
          </w:p>
        </w:tc>
        <w:tc>
          <w:tcPr>
            <w:tcW w:w="1182" w:type="pct"/>
            <w:tcBorders>
              <w:top w:val="single" w:sz="4" w:space="0" w:color="auto"/>
              <w:bottom w:val="single" w:sz="4" w:space="0" w:color="auto"/>
            </w:tcBorders>
            <w:vAlign w:val="center"/>
          </w:tcPr>
          <w:p w14:paraId="23B5B188" w14:textId="77777777" w:rsidR="001F6F2C" w:rsidRPr="005E13B9" w:rsidRDefault="001F6F2C" w:rsidP="001C65C7">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3b</w:t>
            </w:r>
            <w:r w:rsidRPr="005E13B9">
              <w:rPr>
                <w:rFonts w:eastAsia="標楷體" w:hint="eastAsia"/>
                <w:sz w:val="22"/>
                <w:szCs w:val="22"/>
              </w:rPr>
              <w:t>）</w:t>
            </w:r>
          </w:p>
          <w:p w14:paraId="0C687E82" w14:textId="77777777" w:rsidR="001F6F2C" w:rsidRPr="005E13B9" w:rsidRDefault="001F6F2C" w:rsidP="001C65C7">
            <w:pPr>
              <w:overflowPunct w:val="0"/>
              <w:adjustRightInd w:val="0"/>
              <w:snapToGrid w:val="0"/>
              <w:jc w:val="center"/>
              <w:rPr>
                <w:sz w:val="22"/>
                <w:szCs w:val="22"/>
              </w:rPr>
            </w:pPr>
            <w:r w:rsidRPr="005E13B9">
              <w:rPr>
                <w:sz w:val="22"/>
                <w:szCs w:val="22"/>
              </w:rPr>
              <w:t>Shareholding change</w:t>
            </w:r>
          </w:p>
          <w:p w14:paraId="1FC9FB60" w14:textId="77777777" w:rsidR="001F6F2C" w:rsidRPr="005E13B9" w:rsidRDefault="001F6F2C" w:rsidP="001C65C7">
            <w:pPr>
              <w:overflowPunct w:val="0"/>
              <w:adjustRightInd w:val="0"/>
              <w:snapToGrid w:val="0"/>
              <w:jc w:val="center"/>
              <w:rPr>
                <w:rFonts w:eastAsia="標楷體"/>
                <w:sz w:val="22"/>
                <w:szCs w:val="22"/>
              </w:rPr>
            </w:pPr>
            <w:r w:rsidRPr="005E13B9">
              <w:rPr>
                <w:sz w:val="22"/>
                <w:szCs w:val="22"/>
              </w:rPr>
              <w:t xml:space="preserve">of </w:t>
            </w:r>
            <w:r w:rsidRPr="005E13B9">
              <w:rPr>
                <w:rFonts w:eastAsia="標楷體"/>
                <w:sz w:val="22"/>
                <w:szCs w:val="22"/>
              </w:rPr>
              <w:t>domestic institutions</w:t>
            </w:r>
          </w:p>
        </w:tc>
        <w:tc>
          <w:tcPr>
            <w:tcW w:w="1182" w:type="pct"/>
            <w:tcBorders>
              <w:top w:val="single" w:sz="4" w:space="0" w:color="auto"/>
              <w:bottom w:val="single" w:sz="4" w:space="0" w:color="auto"/>
            </w:tcBorders>
          </w:tcPr>
          <w:p w14:paraId="22BD438E" w14:textId="77777777" w:rsidR="001F6F2C" w:rsidRPr="005E13B9" w:rsidRDefault="001F6F2C" w:rsidP="001C65C7">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3c</w:t>
            </w:r>
            <w:r w:rsidRPr="005E13B9">
              <w:rPr>
                <w:rFonts w:eastAsia="標楷體" w:hint="eastAsia"/>
                <w:sz w:val="22"/>
                <w:szCs w:val="22"/>
              </w:rPr>
              <w:t>）</w:t>
            </w:r>
          </w:p>
          <w:p w14:paraId="51D56278" w14:textId="77777777" w:rsidR="001F6F2C" w:rsidRPr="005E13B9" w:rsidRDefault="001F6F2C" w:rsidP="001C65C7">
            <w:pPr>
              <w:overflowPunct w:val="0"/>
              <w:adjustRightInd w:val="0"/>
              <w:snapToGrid w:val="0"/>
              <w:jc w:val="center"/>
              <w:rPr>
                <w:sz w:val="22"/>
                <w:szCs w:val="22"/>
              </w:rPr>
            </w:pPr>
            <w:r w:rsidRPr="005E13B9">
              <w:rPr>
                <w:sz w:val="22"/>
                <w:szCs w:val="22"/>
              </w:rPr>
              <w:t>Shareholding change</w:t>
            </w:r>
          </w:p>
          <w:p w14:paraId="022F852B" w14:textId="77777777" w:rsidR="001F6F2C" w:rsidRPr="005E13B9" w:rsidRDefault="001F6F2C" w:rsidP="001C65C7">
            <w:pPr>
              <w:overflowPunct w:val="0"/>
              <w:adjustRightInd w:val="0"/>
              <w:snapToGrid w:val="0"/>
              <w:jc w:val="center"/>
              <w:rPr>
                <w:rFonts w:eastAsia="標楷體"/>
                <w:sz w:val="22"/>
                <w:szCs w:val="22"/>
              </w:rPr>
            </w:pPr>
            <w:r w:rsidRPr="005E13B9">
              <w:rPr>
                <w:rFonts w:eastAsia="標楷體"/>
                <w:sz w:val="22"/>
                <w:szCs w:val="22"/>
              </w:rPr>
              <w:t>of security dealers</w:t>
            </w:r>
          </w:p>
        </w:tc>
      </w:tr>
      <w:tr w:rsidR="006F104F" w:rsidRPr="005E13B9" w14:paraId="27AFF521" w14:textId="77777777" w:rsidTr="007875FC">
        <w:trPr>
          <w:cantSplit/>
          <w:trHeight w:val="20"/>
        </w:trPr>
        <w:tc>
          <w:tcPr>
            <w:tcW w:w="1454" w:type="pct"/>
            <w:tcBorders>
              <w:top w:val="single" w:sz="4" w:space="0" w:color="auto"/>
              <w:bottom w:val="nil"/>
            </w:tcBorders>
            <w:noWrap/>
            <w:tcMar>
              <w:top w:w="14" w:type="dxa"/>
              <w:left w:w="14" w:type="dxa"/>
              <w:bottom w:w="0" w:type="dxa"/>
              <w:right w:w="14" w:type="dxa"/>
            </w:tcMar>
            <w:vAlign w:val="center"/>
          </w:tcPr>
          <w:p w14:paraId="4CECF252" w14:textId="77777777" w:rsidR="001F6F2C" w:rsidRPr="005E13B9" w:rsidRDefault="001F6F2C" w:rsidP="001C65C7">
            <w:pPr>
              <w:widowControl/>
              <w:overflowPunct w:val="0"/>
              <w:adjustRightInd w:val="0"/>
              <w:snapToGrid w:val="0"/>
              <w:rPr>
                <w:rFonts w:eastAsia="標楷體"/>
                <w:kern w:val="0"/>
                <w:sz w:val="22"/>
                <w:szCs w:val="22"/>
              </w:rPr>
            </w:pPr>
            <w:r w:rsidRPr="005E13B9">
              <w:rPr>
                <w:kern w:val="0"/>
                <w:sz w:val="22"/>
                <w:szCs w:val="22"/>
              </w:rPr>
              <w:t xml:space="preserve">Corporate name change once </w:t>
            </w:r>
          </w:p>
        </w:tc>
        <w:tc>
          <w:tcPr>
            <w:tcW w:w="1182" w:type="pct"/>
            <w:tcBorders>
              <w:top w:val="single" w:sz="4" w:space="0" w:color="auto"/>
              <w:bottom w:val="nil"/>
            </w:tcBorders>
            <w:noWrap/>
            <w:tcMar>
              <w:top w:w="14" w:type="dxa"/>
              <w:left w:w="14" w:type="dxa"/>
              <w:bottom w:w="0" w:type="dxa"/>
              <w:right w:w="14" w:type="dxa"/>
            </w:tcMar>
            <w:vAlign w:val="center"/>
          </w:tcPr>
          <w:p w14:paraId="39191293" w14:textId="7980DA5D"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-0.48</w:t>
            </w:r>
            <w:r w:rsidR="00C54797" w:rsidRPr="005E13B9">
              <w:rPr>
                <w:rFonts w:eastAsia="標楷體"/>
                <w:sz w:val="22"/>
                <w:szCs w:val="22"/>
              </w:rPr>
              <w:t>8</w:t>
            </w:r>
          </w:p>
        </w:tc>
        <w:tc>
          <w:tcPr>
            <w:tcW w:w="1182" w:type="pct"/>
            <w:tcBorders>
              <w:top w:val="single" w:sz="4" w:space="0" w:color="auto"/>
              <w:bottom w:val="nil"/>
            </w:tcBorders>
            <w:vAlign w:val="center"/>
          </w:tcPr>
          <w:p w14:paraId="11EA62A1" w14:textId="441B537F"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-0.101</w:t>
            </w:r>
          </w:p>
        </w:tc>
        <w:tc>
          <w:tcPr>
            <w:tcW w:w="1182" w:type="pct"/>
            <w:tcBorders>
              <w:top w:val="single" w:sz="4" w:space="0" w:color="auto"/>
              <w:bottom w:val="nil"/>
            </w:tcBorders>
            <w:vAlign w:val="center"/>
          </w:tcPr>
          <w:p w14:paraId="67D66A11" w14:textId="1A08E5F1"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0.1</w:t>
            </w:r>
            <w:r w:rsidR="00416B2F" w:rsidRPr="005E13B9">
              <w:rPr>
                <w:rFonts w:eastAsia="標楷體"/>
                <w:sz w:val="22"/>
                <w:szCs w:val="22"/>
              </w:rPr>
              <w:t>10</w:t>
            </w:r>
            <w:r w:rsidRPr="005E13B9">
              <w:rPr>
                <w:rFonts w:eastAsia="標楷體"/>
                <w:sz w:val="22"/>
                <w:szCs w:val="22"/>
              </w:rPr>
              <w:t>*</w:t>
            </w:r>
          </w:p>
        </w:tc>
      </w:tr>
      <w:tr w:rsidR="006F104F" w:rsidRPr="005E13B9" w14:paraId="7E3B4D34"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245BBC7F" w14:textId="77777777" w:rsidR="001F6F2C" w:rsidRPr="005E13B9" w:rsidRDefault="001F6F2C" w:rsidP="001C65C7">
            <w:pPr>
              <w:widowControl/>
              <w:overflowPunct w:val="0"/>
              <w:adjustRightInd w:val="0"/>
              <w:snapToGrid w:val="0"/>
              <w:ind w:firstLineChars="142" w:firstLine="312"/>
              <w:rPr>
                <w:rFonts w:eastAsia="標楷體"/>
                <w:kern w:val="0"/>
                <w:sz w:val="22"/>
                <w:szCs w:val="22"/>
              </w:rPr>
            </w:pPr>
            <w:r w:rsidRPr="005E13B9">
              <w:rPr>
                <w:kern w:val="0"/>
                <w:sz w:val="22"/>
                <w:szCs w:val="22"/>
              </w:rPr>
              <w:t>dummy</w:t>
            </w:r>
          </w:p>
        </w:tc>
        <w:tc>
          <w:tcPr>
            <w:tcW w:w="1182" w:type="pct"/>
            <w:tcBorders>
              <w:top w:val="nil"/>
              <w:bottom w:val="nil"/>
            </w:tcBorders>
            <w:noWrap/>
            <w:tcMar>
              <w:top w:w="14" w:type="dxa"/>
              <w:left w:w="14" w:type="dxa"/>
              <w:bottom w:w="0" w:type="dxa"/>
              <w:right w:w="14" w:type="dxa"/>
            </w:tcMar>
            <w:vAlign w:val="center"/>
          </w:tcPr>
          <w:p w14:paraId="6E5B0EE1" w14:textId="359DC71D"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1.12</w:t>
            </w:r>
            <w:r w:rsidR="00C54797" w:rsidRPr="005E13B9">
              <w:rPr>
                <w:rFonts w:eastAsia="標楷體"/>
                <w:sz w:val="22"/>
                <w:szCs w:val="22"/>
              </w:rPr>
              <w:t>7</w:t>
            </w:r>
            <w:r w:rsidRPr="005E13B9">
              <w:rPr>
                <w:rFonts w:eastAsia="標楷體" w:hint="eastAsia"/>
                <w:sz w:val="22"/>
                <w:szCs w:val="22"/>
              </w:rPr>
              <w:t>)</w:t>
            </w:r>
          </w:p>
        </w:tc>
        <w:tc>
          <w:tcPr>
            <w:tcW w:w="1182" w:type="pct"/>
            <w:tcBorders>
              <w:top w:val="nil"/>
              <w:bottom w:val="nil"/>
            </w:tcBorders>
            <w:vAlign w:val="center"/>
          </w:tcPr>
          <w:p w14:paraId="3656B72A" w14:textId="675F1018"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0.107</w:t>
            </w:r>
            <w:r w:rsidRPr="005E13B9">
              <w:rPr>
                <w:rFonts w:eastAsia="標楷體" w:hint="eastAsia"/>
                <w:sz w:val="22"/>
                <w:szCs w:val="22"/>
              </w:rPr>
              <w:t>)</w:t>
            </w:r>
          </w:p>
        </w:tc>
        <w:tc>
          <w:tcPr>
            <w:tcW w:w="1182" w:type="pct"/>
            <w:tcBorders>
              <w:top w:val="nil"/>
              <w:bottom w:val="nil"/>
            </w:tcBorders>
            <w:vAlign w:val="center"/>
          </w:tcPr>
          <w:p w14:paraId="37BD8F9D" w14:textId="626A18CE"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0.058</w:t>
            </w:r>
            <w:r w:rsidRPr="005E13B9">
              <w:rPr>
                <w:rFonts w:eastAsia="標楷體" w:hint="eastAsia"/>
                <w:sz w:val="22"/>
                <w:szCs w:val="22"/>
              </w:rPr>
              <w:t>)</w:t>
            </w:r>
          </w:p>
        </w:tc>
      </w:tr>
      <w:tr w:rsidR="006F104F" w:rsidRPr="005E13B9" w14:paraId="038E42BF" w14:textId="77777777" w:rsidTr="007875FC">
        <w:trPr>
          <w:cantSplit/>
          <w:trHeight w:val="341"/>
        </w:trPr>
        <w:tc>
          <w:tcPr>
            <w:tcW w:w="1454" w:type="pct"/>
            <w:tcBorders>
              <w:top w:val="nil"/>
              <w:bottom w:val="nil"/>
            </w:tcBorders>
            <w:noWrap/>
            <w:tcMar>
              <w:top w:w="14" w:type="dxa"/>
              <w:left w:w="14" w:type="dxa"/>
              <w:bottom w:w="0" w:type="dxa"/>
              <w:right w:w="14" w:type="dxa"/>
            </w:tcMar>
            <w:vAlign w:val="center"/>
          </w:tcPr>
          <w:p w14:paraId="440DB58F" w14:textId="77777777" w:rsidR="001F6F2C" w:rsidRPr="005E13B9" w:rsidRDefault="001F6F2C" w:rsidP="001C65C7">
            <w:pPr>
              <w:widowControl/>
              <w:overflowPunct w:val="0"/>
              <w:adjustRightInd w:val="0"/>
              <w:snapToGrid w:val="0"/>
              <w:rPr>
                <w:rFonts w:eastAsia="標楷體"/>
                <w:kern w:val="0"/>
                <w:sz w:val="22"/>
                <w:szCs w:val="22"/>
              </w:rPr>
            </w:pPr>
            <w:r w:rsidRPr="005E13B9">
              <w:rPr>
                <w:kern w:val="0"/>
                <w:sz w:val="22"/>
                <w:szCs w:val="22"/>
              </w:rPr>
              <w:t xml:space="preserve">Corporate name change more </w:t>
            </w:r>
          </w:p>
        </w:tc>
        <w:tc>
          <w:tcPr>
            <w:tcW w:w="1182" w:type="pct"/>
            <w:tcBorders>
              <w:top w:val="nil"/>
              <w:bottom w:val="nil"/>
            </w:tcBorders>
            <w:noWrap/>
            <w:tcMar>
              <w:top w:w="14" w:type="dxa"/>
              <w:left w:w="14" w:type="dxa"/>
              <w:bottom w:w="0" w:type="dxa"/>
              <w:right w:w="14" w:type="dxa"/>
            </w:tcMar>
            <w:vAlign w:val="center"/>
          </w:tcPr>
          <w:p w14:paraId="5CFAF78E" w14:textId="00EC6A7F"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-1.978</w:t>
            </w:r>
          </w:p>
        </w:tc>
        <w:tc>
          <w:tcPr>
            <w:tcW w:w="1182" w:type="pct"/>
            <w:tcBorders>
              <w:top w:val="nil"/>
              <w:bottom w:val="nil"/>
            </w:tcBorders>
            <w:vAlign w:val="center"/>
          </w:tcPr>
          <w:p w14:paraId="22F7DCCD" w14:textId="44F94435"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-0.198</w:t>
            </w:r>
          </w:p>
        </w:tc>
        <w:tc>
          <w:tcPr>
            <w:tcW w:w="1182" w:type="pct"/>
            <w:tcBorders>
              <w:top w:val="nil"/>
              <w:bottom w:val="nil"/>
            </w:tcBorders>
            <w:vAlign w:val="center"/>
          </w:tcPr>
          <w:p w14:paraId="05E028EA" w14:textId="1B4670E7"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-0.156**.</w:t>
            </w:r>
          </w:p>
        </w:tc>
      </w:tr>
      <w:tr w:rsidR="006F104F" w:rsidRPr="005E13B9" w14:paraId="5C9DD9F6"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03A35389" w14:textId="77777777" w:rsidR="001F6F2C" w:rsidRPr="005E13B9" w:rsidRDefault="001F6F2C" w:rsidP="001C65C7">
            <w:pPr>
              <w:widowControl/>
              <w:overflowPunct w:val="0"/>
              <w:adjustRightInd w:val="0"/>
              <w:snapToGrid w:val="0"/>
              <w:ind w:firstLineChars="142" w:firstLine="312"/>
              <w:rPr>
                <w:rFonts w:eastAsia="標楷體"/>
                <w:kern w:val="0"/>
                <w:sz w:val="22"/>
                <w:szCs w:val="22"/>
              </w:rPr>
            </w:pPr>
            <w:r w:rsidRPr="005E13B9">
              <w:rPr>
                <w:kern w:val="0"/>
                <w:sz w:val="22"/>
                <w:szCs w:val="22"/>
              </w:rPr>
              <w:t>than once dummy</w:t>
            </w:r>
          </w:p>
        </w:tc>
        <w:tc>
          <w:tcPr>
            <w:tcW w:w="1182" w:type="pct"/>
            <w:tcBorders>
              <w:top w:val="nil"/>
              <w:bottom w:val="nil"/>
            </w:tcBorders>
            <w:noWrap/>
            <w:tcMar>
              <w:top w:w="14" w:type="dxa"/>
              <w:left w:w="14" w:type="dxa"/>
              <w:bottom w:w="0" w:type="dxa"/>
              <w:right w:w="14" w:type="dxa"/>
            </w:tcMar>
            <w:vAlign w:val="center"/>
          </w:tcPr>
          <w:p w14:paraId="2BC86073" w14:textId="08BE3E24"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1.815</w:t>
            </w:r>
            <w:r w:rsidRPr="005E13B9">
              <w:rPr>
                <w:rFonts w:eastAsia="標楷體" w:hint="eastAsia"/>
                <w:sz w:val="22"/>
                <w:szCs w:val="22"/>
              </w:rPr>
              <w:t>)</w:t>
            </w:r>
          </w:p>
        </w:tc>
        <w:tc>
          <w:tcPr>
            <w:tcW w:w="1182" w:type="pct"/>
            <w:tcBorders>
              <w:top w:val="nil"/>
              <w:bottom w:val="nil"/>
            </w:tcBorders>
            <w:vAlign w:val="center"/>
          </w:tcPr>
          <w:p w14:paraId="4128DFAA" w14:textId="437724DB"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0.17</w:t>
            </w:r>
            <w:r w:rsidR="00FE669F" w:rsidRPr="005E13B9">
              <w:rPr>
                <w:rFonts w:eastAsia="標楷體"/>
                <w:sz w:val="22"/>
                <w:szCs w:val="22"/>
              </w:rPr>
              <w:t>8</w:t>
            </w:r>
            <w:r w:rsidRPr="005E13B9">
              <w:rPr>
                <w:rFonts w:eastAsia="標楷體" w:hint="eastAsia"/>
                <w:sz w:val="22"/>
                <w:szCs w:val="22"/>
              </w:rPr>
              <w:t>)</w:t>
            </w:r>
          </w:p>
        </w:tc>
        <w:tc>
          <w:tcPr>
            <w:tcW w:w="1182" w:type="pct"/>
            <w:tcBorders>
              <w:top w:val="nil"/>
              <w:bottom w:val="nil"/>
            </w:tcBorders>
            <w:vAlign w:val="center"/>
          </w:tcPr>
          <w:p w14:paraId="581945F6" w14:textId="78660E21"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0.065</w:t>
            </w:r>
            <w:r w:rsidRPr="005E13B9">
              <w:rPr>
                <w:rFonts w:eastAsia="標楷體" w:hint="eastAsia"/>
                <w:sz w:val="22"/>
                <w:szCs w:val="22"/>
              </w:rPr>
              <w:t>)</w:t>
            </w:r>
          </w:p>
        </w:tc>
      </w:tr>
      <w:tr w:rsidR="006F104F" w:rsidRPr="005E13B9" w14:paraId="0A272AE7"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2EBFAC47" w14:textId="77777777" w:rsidR="001F6F2C" w:rsidRPr="005E13B9" w:rsidRDefault="001F6F2C" w:rsidP="001C65C7">
            <w:pPr>
              <w:widowControl/>
              <w:overflowPunct w:val="0"/>
              <w:adjustRightInd w:val="0"/>
              <w:snapToGrid w:val="0"/>
              <w:rPr>
                <w:rFonts w:eastAsia="標楷體"/>
                <w:kern w:val="0"/>
                <w:sz w:val="22"/>
                <w:szCs w:val="22"/>
              </w:rPr>
            </w:pPr>
            <w:r w:rsidRPr="005E13B9">
              <w:rPr>
                <w:kern w:val="0"/>
                <w:sz w:val="22"/>
                <w:szCs w:val="22"/>
              </w:rPr>
              <w:t>Net profit ratio</w:t>
            </w:r>
          </w:p>
        </w:tc>
        <w:tc>
          <w:tcPr>
            <w:tcW w:w="1182" w:type="pct"/>
            <w:tcBorders>
              <w:top w:val="nil"/>
              <w:bottom w:val="nil"/>
            </w:tcBorders>
            <w:noWrap/>
            <w:tcMar>
              <w:top w:w="14" w:type="dxa"/>
              <w:left w:w="14" w:type="dxa"/>
              <w:bottom w:w="0" w:type="dxa"/>
              <w:right w:w="14" w:type="dxa"/>
            </w:tcMar>
            <w:vAlign w:val="center"/>
          </w:tcPr>
          <w:p w14:paraId="0A40E794" w14:textId="26E44A27" w:rsidR="001F6F2C" w:rsidRPr="005E13B9" w:rsidRDefault="00C54797" w:rsidP="00C54797">
            <w:pPr>
              <w:overflowPunct w:val="0"/>
              <w:adjustRightInd w:val="0"/>
              <w:snapToGrid w:val="0"/>
              <w:jc w:val="center"/>
              <w:rPr>
                <w:rFonts w:eastAsia="標楷體"/>
                <w:sz w:val="22"/>
                <w:szCs w:val="22"/>
              </w:rPr>
            </w:pPr>
            <w:r w:rsidRPr="005E13B9">
              <w:rPr>
                <w:rFonts w:eastAsia="標楷體"/>
                <w:sz w:val="22"/>
                <w:szCs w:val="22"/>
              </w:rPr>
              <w:t>5.4e-4</w:t>
            </w:r>
            <w:r w:rsidR="001F6F2C" w:rsidRPr="005E13B9">
              <w:rPr>
                <w:rFonts w:eastAsia="標楷體"/>
                <w:sz w:val="22"/>
                <w:szCs w:val="22"/>
              </w:rPr>
              <w:t>**</w:t>
            </w:r>
          </w:p>
        </w:tc>
        <w:tc>
          <w:tcPr>
            <w:tcW w:w="1182" w:type="pct"/>
            <w:tcBorders>
              <w:top w:val="nil"/>
              <w:bottom w:val="nil"/>
            </w:tcBorders>
            <w:vAlign w:val="center"/>
          </w:tcPr>
          <w:p w14:paraId="7700CCB0" w14:textId="2DA3CF8B" w:rsidR="001F6F2C" w:rsidRPr="005E13B9" w:rsidRDefault="00FE669F" w:rsidP="00FE669F">
            <w:pPr>
              <w:overflowPunct w:val="0"/>
              <w:adjustRightInd w:val="0"/>
              <w:snapToGrid w:val="0"/>
              <w:jc w:val="center"/>
              <w:rPr>
                <w:rFonts w:eastAsia="標楷體"/>
                <w:sz w:val="22"/>
                <w:szCs w:val="22"/>
              </w:rPr>
            </w:pPr>
            <w:r w:rsidRPr="005E13B9">
              <w:rPr>
                <w:rFonts w:eastAsia="標楷體"/>
                <w:sz w:val="22"/>
                <w:szCs w:val="22"/>
              </w:rPr>
              <w:t>2.2e-4</w:t>
            </w:r>
          </w:p>
        </w:tc>
        <w:tc>
          <w:tcPr>
            <w:tcW w:w="1182" w:type="pct"/>
            <w:tcBorders>
              <w:top w:val="nil"/>
              <w:bottom w:val="nil"/>
            </w:tcBorders>
            <w:vAlign w:val="center"/>
          </w:tcPr>
          <w:p w14:paraId="74B9776B" w14:textId="581DE8A1" w:rsidR="001F6F2C" w:rsidRPr="005E13B9" w:rsidRDefault="00416B2F" w:rsidP="00416B2F">
            <w:pPr>
              <w:overflowPunct w:val="0"/>
              <w:adjustRightInd w:val="0"/>
              <w:snapToGrid w:val="0"/>
              <w:jc w:val="center"/>
              <w:rPr>
                <w:rFonts w:eastAsia="標楷體"/>
                <w:sz w:val="22"/>
                <w:szCs w:val="22"/>
              </w:rPr>
            </w:pPr>
            <w:r w:rsidRPr="005E13B9">
              <w:rPr>
                <w:rFonts w:eastAsia="標楷體"/>
                <w:sz w:val="22"/>
                <w:szCs w:val="22"/>
              </w:rPr>
              <w:t>7e-5</w:t>
            </w:r>
          </w:p>
        </w:tc>
      </w:tr>
      <w:tr w:rsidR="006F104F" w:rsidRPr="005E13B9" w14:paraId="3206F567"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1BA58A1B" w14:textId="77777777" w:rsidR="001F6F2C" w:rsidRPr="005E13B9" w:rsidRDefault="001F6F2C" w:rsidP="001C65C7">
            <w:pPr>
              <w:widowControl/>
              <w:overflowPunct w:val="0"/>
              <w:adjustRightInd w:val="0"/>
              <w:snapToGrid w:val="0"/>
              <w:rPr>
                <w:rFonts w:eastAsia="標楷體"/>
                <w:kern w:val="0"/>
                <w:sz w:val="22"/>
                <w:szCs w:val="22"/>
              </w:rPr>
            </w:pPr>
          </w:p>
        </w:tc>
        <w:tc>
          <w:tcPr>
            <w:tcW w:w="1182" w:type="pct"/>
            <w:tcBorders>
              <w:top w:val="nil"/>
              <w:bottom w:val="nil"/>
            </w:tcBorders>
            <w:noWrap/>
            <w:tcMar>
              <w:top w:w="14" w:type="dxa"/>
              <w:left w:w="14" w:type="dxa"/>
              <w:bottom w:w="0" w:type="dxa"/>
              <w:right w:w="14" w:type="dxa"/>
            </w:tcMar>
            <w:vAlign w:val="center"/>
          </w:tcPr>
          <w:p w14:paraId="38AFEB67" w14:textId="2D1D96A2"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C54797" w:rsidRPr="005E13B9">
              <w:rPr>
                <w:rFonts w:eastAsia="標楷體" w:hint="eastAsia"/>
                <w:sz w:val="22"/>
                <w:szCs w:val="22"/>
              </w:rPr>
              <w:t>2</w:t>
            </w:r>
            <w:r w:rsidR="00C54797" w:rsidRPr="005E13B9">
              <w:rPr>
                <w:rFonts w:eastAsia="標楷體"/>
                <w:sz w:val="22"/>
                <w:szCs w:val="22"/>
              </w:rPr>
              <w:t>.4e-1</w:t>
            </w:r>
            <w:r w:rsidRPr="005E13B9">
              <w:rPr>
                <w:rFonts w:eastAsia="標楷體" w:hint="eastAsia"/>
                <w:sz w:val="22"/>
                <w:szCs w:val="22"/>
              </w:rPr>
              <w:t>)</w:t>
            </w:r>
          </w:p>
        </w:tc>
        <w:tc>
          <w:tcPr>
            <w:tcW w:w="1182" w:type="pct"/>
            <w:tcBorders>
              <w:top w:val="nil"/>
              <w:bottom w:val="nil"/>
            </w:tcBorders>
            <w:vAlign w:val="center"/>
          </w:tcPr>
          <w:p w14:paraId="4FE68DBB" w14:textId="622F914B"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FE669F" w:rsidRPr="005E13B9">
              <w:rPr>
                <w:rFonts w:eastAsia="標楷體" w:hint="eastAsia"/>
                <w:sz w:val="22"/>
                <w:szCs w:val="22"/>
              </w:rPr>
              <w:t>1</w:t>
            </w:r>
            <w:r w:rsidR="00FE669F" w:rsidRPr="005E13B9">
              <w:rPr>
                <w:rFonts w:eastAsia="標楷體"/>
                <w:sz w:val="22"/>
                <w:szCs w:val="22"/>
              </w:rPr>
              <w:t>.3e-4</w:t>
            </w:r>
            <w:r w:rsidRPr="005E13B9">
              <w:rPr>
                <w:rFonts w:eastAsia="標楷體" w:hint="eastAsia"/>
                <w:sz w:val="22"/>
                <w:szCs w:val="22"/>
              </w:rPr>
              <w:t>)</w:t>
            </w:r>
          </w:p>
        </w:tc>
        <w:tc>
          <w:tcPr>
            <w:tcW w:w="1182" w:type="pct"/>
            <w:tcBorders>
              <w:top w:val="nil"/>
              <w:bottom w:val="nil"/>
            </w:tcBorders>
            <w:vAlign w:val="center"/>
          </w:tcPr>
          <w:p w14:paraId="5AD82B6E" w14:textId="6BD93978"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416B2F" w:rsidRPr="005E13B9">
              <w:rPr>
                <w:rFonts w:eastAsia="標楷體" w:hint="eastAsia"/>
                <w:sz w:val="22"/>
                <w:szCs w:val="22"/>
              </w:rPr>
              <w:t>9e</w:t>
            </w:r>
            <w:r w:rsidR="00416B2F" w:rsidRPr="005E13B9">
              <w:rPr>
                <w:rFonts w:eastAsia="標楷體"/>
                <w:sz w:val="22"/>
                <w:szCs w:val="22"/>
              </w:rPr>
              <w:t>-5</w:t>
            </w:r>
            <w:r w:rsidRPr="005E13B9">
              <w:rPr>
                <w:rFonts w:eastAsia="標楷體" w:hint="eastAsia"/>
                <w:sz w:val="22"/>
                <w:szCs w:val="22"/>
              </w:rPr>
              <w:t>)</w:t>
            </w:r>
          </w:p>
        </w:tc>
      </w:tr>
      <w:tr w:rsidR="006F104F" w:rsidRPr="005E13B9" w14:paraId="7D1B3A0A"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50012D1C" w14:textId="77777777" w:rsidR="001F6F2C" w:rsidRPr="005E13B9" w:rsidRDefault="001F6F2C" w:rsidP="001C65C7">
            <w:pPr>
              <w:widowControl/>
              <w:overflowPunct w:val="0"/>
              <w:adjustRightInd w:val="0"/>
              <w:snapToGrid w:val="0"/>
              <w:rPr>
                <w:rFonts w:eastAsia="標楷體"/>
                <w:kern w:val="0"/>
                <w:sz w:val="22"/>
                <w:szCs w:val="22"/>
              </w:rPr>
            </w:pPr>
            <w:r w:rsidRPr="005E13B9">
              <w:rPr>
                <w:kern w:val="0"/>
                <w:sz w:val="22"/>
                <w:szCs w:val="22"/>
              </w:rPr>
              <w:t>Assets turnover ratio</w:t>
            </w:r>
          </w:p>
        </w:tc>
        <w:tc>
          <w:tcPr>
            <w:tcW w:w="1182" w:type="pct"/>
            <w:tcBorders>
              <w:top w:val="nil"/>
              <w:bottom w:val="nil"/>
            </w:tcBorders>
            <w:noWrap/>
            <w:tcMar>
              <w:top w:w="14" w:type="dxa"/>
              <w:left w:w="14" w:type="dxa"/>
              <w:bottom w:w="0" w:type="dxa"/>
              <w:right w:w="14" w:type="dxa"/>
            </w:tcMar>
            <w:vAlign w:val="center"/>
          </w:tcPr>
          <w:p w14:paraId="582C69F4" w14:textId="63288836"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1.750***</w:t>
            </w:r>
          </w:p>
        </w:tc>
        <w:tc>
          <w:tcPr>
            <w:tcW w:w="1182" w:type="pct"/>
            <w:tcBorders>
              <w:top w:val="nil"/>
              <w:bottom w:val="nil"/>
            </w:tcBorders>
            <w:vAlign w:val="center"/>
          </w:tcPr>
          <w:p w14:paraId="3AE9AD3A" w14:textId="55E5E38E"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0.243***</w:t>
            </w:r>
          </w:p>
        </w:tc>
        <w:tc>
          <w:tcPr>
            <w:tcW w:w="1182" w:type="pct"/>
            <w:tcBorders>
              <w:top w:val="nil"/>
              <w:bottom w:val="nil"/>
            </w:tcBorders>
            <w:vAlign w:val="center"/>
          </w:tcPr>
          <w:p w14:paraId="31A76004" w14:textId="13AE9A21"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-0.00</w:t>
            </w:r>
            <w:r w:rsidR="00416B2F" w:rsidRPr="005E13B9">
              <w:rPr>
                <w:rFonts w:eastAsia="標楷體"/>
                <w:sz w:val="22"/>
                <w:szCs w:val="22"/>
              </w:rPr>
              <w:t>4</w:t>
            </w:r>
          </w:p>
        </w:tc>
      </w:tr>
      <w:tr w:rsidR="006F104F" w:rsidRPr="005E13B9" w14:paraId="1D7B623F"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188E8181" w14:textId="77777777" w:rsidR="001F6F2C" w:rsidRPr="005E13B9" w:rsidRDefault="001F6F2C" w:rsidP="001C65C7">
            <w:pPr>
              <w:widowControl/>
              <w:overflowPunct w:val="0"/>
              <w:adjustRightInd w:val="0"/>
              <w:snapToGrid w:val="0"/>
              <w:rPr>
                <w:rFonts w:eastAsia="標楷體"/>
                <w:kern w:val="0"/>
                <w:sz w:val="22"/>
                <w:szCs w:val="22"/>
              </w:rPr>
            </w:pPr>
          </w:p>
        </w:tc>
        <w:tc>
          <w:tcPr>
            <w:tcW w:w="1182" w:type="pct"/>
            <w:tcBorders>
              <w:top w:val="nil"/>
              <w:bottom w:val="nil"/>
            </w:tcBorders>
            <w:noWrap/>
            <w:tcMar>
              <w:top w:w="14" w:type="dxa"/>
              <w:left w:w="14" w:type="dxa"/>
              <w:bottom w:w="0" w:type="dxa"/>
              <w:right w:w="14" w:type="dxa"/>
            </w:tcMar>
            <w:vAlign w:val="center"/>
          </w:tcPr>
          <w:p w14:paraId="2E0AECAF" w14:textId="3C67A03A"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0.63</w:t>
            </w:r>
            <w:r w:rsidR="00C54797" w:rsidRPr="005E13B9">
              <w:rPr>
                <w:rFonts w:eastAsia="標楷體"/>
                <w:sz w:val="22"/>
                <w:szCs w:val="22"/>
              </w:rPr>
              <w:t>4</w:t>
            </w:r>
            <w:r w:rsidRPr="005E13B9">
              <w:rPr>
                <w:rFonts w:eastAsia="標楷體" w:hint="eastAsia"/>
                <w:sz w:val="22"/>
                <w:szCs w:val="22"/>
              </w:rPr>
              <w:t>)</w:t>
            </w:r>
          </w:p>
        </w:tc>
        <w:tc>
          <w:tcPr>
            <w:tcW w:w="1182" w:type="pct"/>
            <w:tcBorders>
              <w:top w:val="nil"/>
              <w:bottom w:val="nil"/>
            </w:tcBorders>
            <w:vAlign w:val="center"/>
          </w:tcPr>
          <w:p w14:paraId="7426BF9A" w14:textId="6F579B58"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0.066</w:t>
            </w:r>
            <w:r w:rsidRPr="005E13B9">
              <w:rPr>
                <w:rFonts w:eastAsia="標楷體" w:hint="eastAsia"/>
                <w:sz w:val="22"/>
                <w:szCs w:val="22"/>
              </w:rPr>
              <w:t>)</w:t>
            </w:r>
          </w:p>
        </w:tc>
        <w:tc>
          <w:tcPr>
            <w:tcW w:w="1182" w:type="pct"/>
            <w:tcBorders>
              <w:top w:val="nil"/>
              <w:bottom w:val="nil"/>
            </w:tcBorders>
            <w:vAlign w:val="center"/>
          </w:tcPr>
          <w:p w14:paraId="0D916279" w14:textId="2C5BB224"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0.018</w:t>
            </w:r>
            <w:r w:rsidRPr="005E13B9">
              <w:rPr>
                <w:rFonts w:eastAsia="標楷體" w:hint="eastAsia"/>
                <w:sz w:val="22"/>
                <w:szCs w:val="22"/>
              </w:rPr>
              <w:t>)</w:t>
            </w:r>
          </w:p>
        </w:tc>
      </w:tr>
      <w:tr w:rsidR="006F104F" w:rsidRPr="005E13B9" w14:paraId="749BA33B"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2174DDC2" w14:textId="77777777" w:rsidR="001F6F2C" w:rsidRPr="005E13B9" w:rsidRDefault="001F6F2C" w:rsidP="001C65C7">
            <w:pPr>
              <w:widowControl/>
              <w:overflowPunct w:val="0"/>
              <w:adjustRightInd w:val="0"/>
              <w:snapToGrid w:val="0"/>
              <w:rPr>
                <w:rFonts w:eastAsia="標楷體"/>
                <w:kern w:val="0"/>
                <w:sz w:val="22"/>
                <w:szCs w:val="22"/>
              </w:rPr>
            </w:pPr>
            <w:r w:rsidRPr="005E13B9">
              <w:rPr>
                <w:sz w:val="22"/>
                <w:szCs w:val="22"/>
              </w:rPr>
              <w:t>Debt ratio</w:t>
            </w:r>
          </w:p>
        </w:tc>
        <w:tc>
          <w:tcPr>
            <w:tcW w:w="1182" w:type="pct"/>
            <w:tcBorders>
              <w:top w:val="nil"/>
              <w:bottom w:val="nil"/>
            </w:tcBorders>
            <w:noWrap/>
            <w:tcMar>
              <w:top w:w="14" w:type="dxa"/>
              <w:left w:w="14" w:type="dxa"/>
              <w:bottom w:w="0" w:type="dxa"/>
              <w:right w:w="14" w:type="dxa"/>
            </w:tcMar>
            <w:vAlign w:val="center"/>
          </w:tcPr>
          <w:p w14:paraId="1B6C3146" w14:textId="6E7AB180"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-0.014</w:t>
            </w:r>
          </w:p>
        </w:tc>
        <w:tc>
          <w:tcPr>
            <w:tcW w:w="1182" w:type="pct"/>
            <w:tcBorders>
              <w:top w:val="nil"/>
              <w:bottom w:val="nil"/>
            </w:tcBorders>
            <w:vAlign w:val="center"/>
          </w:tcPr>
          <w:p w14:paraId="20AAFD15" w14:textId="0EEF7A3B"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-0.009***</w:t>
            </w:r>
          </w:p>
        </w:tc>
        <w:tc>
          <w:tcPr>
            <w:tcW w:w="1182" w:type="pct"/>
            <w:tcBorders>
              <w:top w:val="nil"/>
              <w:bottom w:val="nil"/>
            </w:tcBorders>
            <w:vAlign w:val="center"/>
          </w:tcPr>
          <w:p w14:paraId="5ABBE060" w14:textId="54CDD3DD"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-0.001</w:t>
            </w:r>
          </w:p>
        </w:tc>
      </w:tr>
      <w:tr w:rsidR="006F104F" w:rsidRPr="005E13B9" w14:paraId="654A88A2"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11D1FEE7" w14:textId="77777777" w:rsidR="001F6F2C" w:rsidRPr="005E13B9" w:rsidRDefault="001F6F2C" w:rsidP="001C65C7">
            <w:pPr>
              <w:widowControl/>
              <w:overflowPunct w:val="0"/>
              <w:adjustRightInd w:val="0"/>
              <w:snapToGrid w:val="0"/>
              <w:rPr>
                <w:rFonts w:eastAsia="標楷體"/>
                <w:kern w:val="0"/>
                <w:sz w:val="22"/>
                <w:szCs w:val="22"/>
              </w:rPr>
            </w:pPr>
          </w:p>
        </w:tc>
        <w:tc>
          <w:tcPr>
            <w:tcW w:w="1182" w:type="pct"/>
            <w:tcBorders>
              <w:top w:val="nil"/>
              <w:bottom w:val="nil"/>
            </w:tcBorders>
            <w:noWrap/>
            <w:tcMar>
              <w:top w:w="14" w:type="dxa"/>
              <w:left w:w="14" w:type="dxa"/>
              <w:bottom w:w="0" w:type="dxa"/>
              <w:right w:w="14" w:type="dxa"/>
            </w:tcMar>
            <w:vAlign w:val="center"/>
          </w:tcPr>
          <w:p w14:paraId="0D6D64B0" w14:textId="4064EBD0"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0.02</w:t>
            </w:r>
            <w:r w:rsidR="00C54797" w:rsidRPr="005E13B9">
              <w:rPr>
                <w:rFonts w:eastAsia="標楷體"/>
                <w:sz w:val="22"/>
                <w:szCs w:val="22"/>
              </w:rPr>
              <w:t>3</w:t>
            </w:r>
            <w:r w:rsidRPr="005E13B9">
              <w:rPr>
                <w:rFonts w:eastAsia="標楷體" w:hint="eastAsia"/>
                <w:sz w:val="22"/>
                <w:szCs w:val="22"/>
              </w:rPr>
              <w:t>)</w:t>
            </w:r>
          </w:p>
        </w:tc>
        <w:tc>
          <w:tcPr>
            <w:tcW w:w="1182" w:type="pct"/>
            <w:tcBorders>
              <w:top w:val="nil"/>
              <w:bottom w:val="nil"/>
            </w:tcBorders>
            <w:vAlign w:val="center"/>
          </w:tcPr>
          <w:p w14:paraId="31F17B7D" w14:textId="4BBEBE42"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FE669F" w:rsidRPr="005E13B9">
              <w:rPr>
                <w:rFonts w:eastAsia="標楷體" w:hint="eastAsia"/>
                <w:sz w:val="22"/>
                <w:szCs w:val="22"/>
              </w:rPr>
              <w:t>2</w:t>
            </w:r>
            <w:r w:rsidR="00FE669F" w:rsidRPr="005E13B9">
              <w:rPr>
                <w:rFonts w:eastAsia="標楷體"/>
                <w:sz w:val="22"/>
                <w:szCs w:val="22"/>
              </w:rPr>
              <w:t>.3e-3</w:t>
            </w:r>
            <w:r w:rsidRPr="005E13B9">
              <w:rPr>
                <w:rFonts w:eastAsia="標楷體" w:hint="eastAsia"/>
                <w:sz w:val="22"/>
                <w:szCs w:val="22"/>
              </w:rPr>
              <w:t>)</w:t>
            </w:r>
          </w:p>
        </w:tc>
        <w:tc>
          <w:tcPr>
            <w:tcW w:w="1182" w:type="pct"/>
            <w:tcBorders>
              <w:top w:val="nil"/>
              <w:bottom w:val="nil"/>
            </w:tcBorders>
            <w:vAlign w:val="center"/>
          </w:tcPr>
          <w:p w14:paraId="181B2AED" w14:textId="77459561"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0.001</w:t>
            </w:r>
            <w:r w:rsidRPr="005E13B9">
              <w:rPr>
                <w:rFonts w:eastAsia="標楷體" w:hint="eastAsia"/>
                <w:sz w:val="22"/>
                <w:szCs w:val="22"/>
              </w:rPr>
              <w:t>)</w:t>
            </w:r>
          </w:p>
        </w:tc>
      </w:tr>
      <w:tr w:rsidR="006F104F" w:rsidRPr="005E13B9" w14:paraId="7E57E912"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77689414" w14:textId="77777777" w:rsidR="001F6F2C" w:rsidRPr="005E13B9" w:rsidRDefault="001F6F2C" w:rsidP="001C65C7">
            <w:pPr>
              <w:widowControl/>
              <w:overflowPunct w:val="0"/>
              <w:adjustRightInd w:val="0"/>
              <w:snapToGrid w:val="0"/>
              <w:rPr>
                <w:rFonts w:eastAsia="標楷體"/>
                <w:kern w:val="0"/>
                <w:sz w:val="22"/>
                <w:szCs w:val="22"/>
              </w:rPr>
            </w:pPr>
            <w:r w:rsidRPr="005E13B9">
              <w:rPr>
                <w:kern w:val="0"/>
                <w:sz w:val="22"/>
                <w:szCs w:val="22"/>
              </w:rPr>
              <w:t xml:space="preserve">Directors’ </w:t>
            </w:r>
            <w:r w:rsidR="0082626C" w:rsidRPr="005E13B9">
              <w:rPr>
                <w:rFonts w:hint="eastAsia"/>
                <w:kern w:val="0"/>
                <w:sz w:val="22"/>
                <w:szCs w:val="22"/>
              </w:rPr>
              <w:t>share</w:t>
            </w:r>
            <w:r w:rsidRPr="005E13B9">
              <w:rPr>
                <w:kern w:val="0"/>
                <w:sz w:val="22"/>
                <w:szCs w:val="22"/>
              </w:rPr>
              <w:t>holding ratio</w:t>
            </w:r>
          </w:p>
        </w:tc>
        <w:tc>
          <w:tcPr>
            <w:tcW w:w="1182" w:type="pct"/>
            <w:tcBorders>
              <w:top w:val="nil"/>
              <w:bottom w:val="nil"/>
            </w:tcBorders>
            <w:noWrap/>
            <w:tcMar>
              <w:top w:w="14" w:type="dxa"/>
              <w:left w:w="14" w:type="dxa"/>
              <w:bottom w:w="0" w:type="dxa"/>
              <w:right w:w="14" w:type="dxa"/>
            </w:tcMar>
            <w:vAlign w:val="center"/>
          </w:tcPr>
          <w:p w14:paraId="7FBB3598" w14:textId="7AB7520A" w:rsidR="00532BD2" w:rsidRPr="005E13B9" w:rsidRDefault="001F6F2C" w:rsidP="001C65C7">
            <w:pPr>
              <w:overflowPunct w:val="0"/>
              <w:adjustRightInd w:val="0"/>
              <w:snapToGrid w:val="0"/>
              <w:jc w:val="center"/>
              <w:rPr>
                <w:rFonts w:eastAsia="標楷體"/>
                <w:sz w:val="22"/>
                <w:szCs w:val="22"/>
              </w:rPr>
            </w:pPr>
            <w:r w:rsidRPr="005E13B9">
              <w:rPr>
                <w:rFonts w:eastAsia="標楷體"/>
                <w:sz w:val="22"/>
                <w:szCs w:val="22"/>
              </w:rPr>
              <w:t>-0.029</w:t>
            </w:r>
          </w:p>
          <w:p w14:paraId="0205AC52" w14:textId="65D354C6"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0.035</w:t>
            </w:r>
            <w:r w:rsidRPr="005E13B9">
              <w:rPr>
                <w:rFonts w:eastAsia="標楷體" w:hint="eastAsia"/>
                <w:sz w:val="22"/>
                <w:szCs w:val="22"/>
              </w:rPr>
              <w:t>)</w:t>
            </w:r>
          </w:p>
        </w:tc>
        <w:tc>
          <w:tcPr>
            <w:tcW w:w="1182" w:type="pct"/>
            <w:tcBorders>
              <w:top w:val="nil"/>
              <w:bottom w:val="nil"/>
            </w:tcBorders>
            <w:vAlign w:val="center"/>
          </w:tcPr>
          <w:p w14:paraId="74534CD9" w14:textId="6F95C5E9" w:rsidR="00532BD2" w:rsidRPr="005E13B9" w:rsidRDefault="001F6F2C" w:rsidP="001C65C7">
            <w:pPr>
              <w:overflowPunct w:val="0"/>
              <w:adjustRightInd w:val="0"/>
              <w:snapToGrid w:val="0"/>
              <w:jc w:val="center"/>
              <w:rPr>
                <w:rFonts w:eastAsia="標楷體"/>
                <w:sz w:val="22"/>
                <w:szCs w:val="22"/>
              </w:rPr>
            </w:pPr>
            <w:r w:rsidRPr="005E13B9">
              <w:rPr>
                <w:rFonts w:eastAsia="標楷體"/>
                <w:sz w:val="22"/>
                <w:szCs w:val="22"/>
              </w:rPr>
              <w:t>-0.010***</w:t>
            </w:r>
          </w:p>
          <w:p w14:paraId="2EB06C61" w14:textId="5FD676FA"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0.003</w:t>
            </w:r>
            <w:r w:rsidRPr="005E13B9">
              <w:rPr>
                <w:rFonts w:eastAsia="標楷體" w:hint="eastAsia"/>
                <w:sz w:val="22"/>
                <w:szCs w:val="22"/>
              </w:rPr>
              <w:t>)</w:t>
            </w:r>
          </w:p>
        </w:tc>
        <w:tc>
          <w:tcPr>
            <w:tcW w:w="1182" w:type="pct"/>
            <w:tcBorders>
              <w:top w:val="nil"/>
              <w:bottom w:val="nil"/>
            </w:tcBorders>
            <w:vAlign w:val="center"/>
          </w:tcPr>
          <w:p w14:paraId="2517601C" w14:textId="09799CDF" w:rsidR="00532BD2" w:rsidRPr="005E13B9" w:rsidRDefault="001F6F2C" w:rsidP="001C65C7">
            <w:pPr>
              <w:overflowPunct w:val="0"/>
              <w:adjustRightInd w:val="0"/>
              <w:snapToGrid w:val="0"/>
              <w:jc w:val="center"/>
              <w:rPr>
                <w:rFonts w:eastAsia="標楷體"/>
                <w:sz w:val="22"/>
                <w:szCs w:val="22"/>
              </w:rPr>
            </w:pPr>
            <w:r w:rsidRPr="005E13B9">
              <w:rPr>
                <w:rFonts w:eastAsia="標楷體"/>
                <w:sz w:val="22"/>
                <w:szCs w:val="22"/>
              </w:rPr>
              <w:t>-0.00</w:t>
            </w:r>
            <w:r w:rsidR="00416B2F" w:rsidRPr="005E13B9">
              <w:rPr>
                <w:rFonts w:eastAsia="標楷體"/>
                <w:sz w:val="22"/>
                <w:szCs w:val="22"/>
              </w:rPr>
              <w:t>2</w:t>
            </w:r>
          </w:p>
          <w:p w14:paraId="413A8D9F" w14:textId="1983B9DB"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0.001</w:t>
            </w:r>
            <w:r w:rsidRPr="005E13B9">
              <w:rPr>
                <w:rFonts w:eastAsia="標楷體" w:hint="eastAsia"/>
                <w:sz w:val="22"/>
                <w:szCs w:val="22"/>
              </w:rPr>
              <w:t>)</w:t>
            </w:r>
          </w:p>
        </w:tc>
      </w:tr>
      <w:tr w:rsidR="006F104F" w:rsidRPr="005E13B9" w14:paraId="46006D00"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581549C0" w14:textId="77777777" w:rsidR="001F6F2C" w:rsidRPr="005E13B9" w:rsidRDefault="001F6F2C" w:rsidP="001C65C7">
            <w:pPr>
              <w:widowControl/>
              <w:overflowPunct w:val="0"/>
              <w:adjustRightInd w:val="0"/>
              <w:snapToGrid w:val="0"/>
              <w:rPr>
                <w:rFonts w:eastAsia="標楷體"/>
                <w:kern w:val="0"/>
                <w:sz w:val="22"/>
                <w:szCs w:val="22"/>
              </w:rPr>
            </w:pPr>
            <w:r w:rsidRPr="005E13B9">
              <w:rPr>
                <w:kern w:val="0"/>
                <w:sz w:val="22"/>
                <w:szCs w:val="22"/>
              </w:rPr>
              <w:t xml:space="preserve">Managers’ </w:t>
            </w:r>
            <w:r w:rsidR="0082626C" w:rsidRPr="005E13B9">
              <w:rPr>
                <w:rFonts w:hint="eastAsia"/>
                <w:kern w:val="0"/>
                <w:sz w:val="22"/>
                <w:szCs w:val="22"/>
              </w:rPr>
              <w:t>share</w:t>
            </w:r>
            <w:r w:rsidRPr="005E13B9">
              <w:rPr>
                <w:kern w:val="0"/>
                <w:sz w:val="22"/>
                <w:szCs w:val="22"/>
              </w:rPr>
              <w:t>holding ratio</w:t>
            </w:r>
          </w:p>
        </w:tc>
        <w:tc>
          <w:tcPr>
            <w:tcW w:w="1182" w:type="pct"/>
            <w:tcBorders>
              <w:top w:val="nil"/>
              <w:bottom w:val="nil"/>
            </w:tcBorders>
            <w:noWrap/>
            <w:tcMar>
              <w:top w:w="14" w:type="dxa"/>
              <w:left w:w="14" w:type="dxa"/>
              <w:bottom w:w="0" w:type="dxa"/>
              <w:right w:w="14" w:type="dxa"/>
            </w:tcMar>
            <w:vAlign w:val="center"/>
          </w:tcPr>
          <w:p w14:paraId="2E3BA723" w14:textId="7768159B" w:rsidR="00532BD2" w:rsidRPr="005E13B9" w:rsidRDefault="001F6F2C" w:rsidP="001C65C7">
            <w:pPr>
              <w:overflowPunct w:val="0"/>
              <w:adjustRightInd w:val="0"/>
              <w:snapToGrid w:val="0"/>
              <w:jc w:val="center"/>
              <w:rPr>
                <w:rFonts w:eastAsia="標楷體"/>
                <w:sz w:val="22"/>
                <w:szCs w:val="22"/>
              </w:rPr>
            </w:pPr>
            <w:r w:rsidRPr="005E13B9">
              <w:rPr>
                <w:rFonts w:eastAsia="標楷體"/>
                <w:sz w:val="22"/>
                <w:szCs w:val="22"/>
              </w:rPr>
              <w:t>0.058</w:t>
            </w:r>
          </w:p>
          <w:p w14:paraId="43BB2B68" w14:textId="6F11C7CD"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0.137</w:t>
            </w:r>
            <w:r w:rsidRPr="005E13B9">
              <w:rPr>
                <w:rFonts w:eastAsia="標楷體" w:hint="eastAsia"/>
                <w:sz w:val="22"/>
                <w:szCs w:val="22"/>
              </w:rPr>
              <w:t>)</w:t>
            </w:r>
          </w:p>
        </w:tc>
        <w:tc>
          <w:tcPr>
            <w:tcW w:w="1182" w:type="pct"/>
            <w:tcBorders>
              <w:top w:val="nil"/>
              <w:bottom w:val="nil"/>
            </w:tcBorders>
            <w:vAlign w:val="center"/>
          </w:tcPr>
          <w:p w14:paraId="5C52B127" w14:textId="419F2E0F" w:rsidR="00532BD2" w:rsidRPr="005E13B9" w:rsidRDefault="001F6F2C" w:rsidP="001C65C7">
            <w:pPr>
              <w:overflowPunct w:val="0"/>
              <w:adjustRightInd w:val="0"/>
              <w:snapToGrid w:val="0"/>
              <w:jc w:val="center"/>
              <w:rPr>
                <w:rFonts w:eastAsia="標楷體"/>
                <w:sz w:val="22"/>
                <w:szCs w:val="22"/>
              </w:rPr>
            </w:pPr>
            <w:r w:rsidRPr="005E13B9">
              <w:rPr>
                <w:rFonts w:eastAsia="標楷體"/>
                <w:sz w:val="22"/>
                <w:szCs w:val="22"/>
              </w:rPr>
              <w:t>-0.011**</w:t>
            </w:r>
          </w:p>
          <w:p w14:paraId="7E7D1AC1" w14:textId="12B6DC1B"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0.011</w:t>
            </w:r>
            <w:r w:rsidRPr="005E13B9">
              <w:rPr>
                <w:rFonts w:eastAsia="標楷體" w:hint="eastAsia"/>
                <w:sz w:val="22"/>
                <w:szCs w:val="22"/>
              </w:rPr>
              <w:t>)</w:t>
            </w:r>
          </w:p>
        </w:tc>
        <w:tc>
          <w:tcPr>
            <w:tcW w:w="1182" w:type="pct"/>
            <w:tcBorders>
              <w:top w:val="nil"/>
              <w:bottom w:val="nil"/>
            </w:tcBorders>
            <w:vAlign w:val="center"/>
          </w:tcPr>
          <w:p w14:paraId="226D7D38" w14:textId="6D7DCBCA" w:rsidR="00532BD2" w:rsidRPr="005E13B9" w:rsidRDefault="001F6F2C" w:rsidP="001C65C7">
            <w:pPr>
              <w:overflowPunct w:val="0"/>
              <w:adjustRightInd w:val="0"/>
              <w:snapToGrid w:val="0"/>
              <w:jc w:val="center"/>
              <w:rPr>
                <w:rFonts w:eastAsia="標楷體"/>
                <w:sz w:val="22"/>
                <w:szCs w:val="22"/>
              </w:rPr>
            </w:pPr>
            <w:r w:rsidRPr="005E13B9">
              <w:rPr>
                <w:rFonts w:eastAsia="標楷體"/>
                <w:sz w:val="22"/>
                <w:szCs w:val="22"/>
              </w:rPr>
              <w:t>-0.003</w:t>
            </w:r>
          </w:p>
          <w:p w14:paraId="2078667C" w14:textId="020D05B5"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Pr="005E13B9">
              <w:rPr>
                <w:rFonts w:eastAsia="標楷體"/>
                <w:sz w:val="22"/>
                <w:szCs w:val="22"/>
              </w:rPr>
              <w:t>0.00</w:t>
            </w:r>
            <w:r w:rsidR="00416B2F" w:rsidRPr="005E13B9">
              <w:rPr>
                <w:rFonts w:eastAsia="標楷體"/>
                <w:sz w:val="22"/>
                <w:szCs w:val="22"/>
              </w:rPr>
              <w:t>3</w:t>
            </w:r>
            <w:r w:rsidRPr="005E13B9">
              <w:rPr>
                <w:rFonts w:eastAsia="標楷體" w:hint="eastAsia"/>
                <w:sz w:val="22"/>
                <w:szCs w:val="22"/>
              </w:rPr>
              <w:t>)</w:t>
            </w:r>
          </w:p>
        </w:tc>
      </w:tr>
      <w:tr w:rsidR="006F104F" w:rsidRPr="005E13B9" w14:paraId="470A8A8C"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401A698A" w14:textId="77777777" w:rsidR="001F6F2C" w:rsidRPr="005E13B9" w:rsidRDefault="001F6F2C" w:rsidP="001C65C7">
            <w:pPr>
              <w:widowControl/>
              <w:overflowPunct w:val="0"/>
              <w:adjustRightInd w:val="0"/>
              <w:snapToGrid w:val="0"/>
              <w:rPr>
                <w:rFonts w:eastAsia="標楷體"/>
                <w:kern w:val="0"/>
                <w:sz w:val="22"/>
                <w:szCs w:val="22"/>
              </w:rPr>
            </w:pPr>
            <w:r w:rsidRPr="005E13B9">
              <w:rPr>
                <w:kern w:val="0"/>
                <w:sz w:val="22"/>
                <w:szCs w:val="22"/>
              </w:rPr>
              <w:t>Directors’ pledge ratio</w:t>
            </w:r>
          </w:p>
        </w:tc>
        <w:tc>
          <w:tcPr>
            <w:tcW w:w="1182" w:type="pct"/>
            <w:tcBorders>
              <w:top w:val="nil"/>
              <w:bottom w:val="nil"/>
            </w:tcBorders>
            <w:noWrap/>
            <w:tcMar>
              <w:top w:w="14" w:type="dxa"/>
              <w:left w:w="14" w:type="dxa"/>
              <w:bottom w:w="0" w:type="dxa"/>
              <w:right w:w="14" w:type="dxa"/>
            </w:tcMar>
            <w:vAlign w:val="center"/>
          </w:tcPr>
          <w:p w14:paraId="504FAF38" w14:textId="229A57B4"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-0.03</w:t>
            </w:r>
            <w:r w:rsidR="00C54797" w:rsidRPr="005E13B9">
              <w:rPr>
                <w:rFonts w:eastAsia="標楷體"/>
                <w:sz w:val="22"/>
                <w:szCs w:val="22"/>
              </w:rPr>
              <w:t>8</w:t>
            </w:r>
            <w:r w:rsidRPr="005E13B9">
              <w:rPr>
                <w:rFonts w:eastAsia="標楷體"/>
                <w:sz w:val="22"/>
                <w:szCs w:val="22"/>
              </w:rPr>
              <w:t>**</w:t>
            </w:r>
          </w:p>
        </w:tc>
        <w:tc>
          <w:tcPr>
            <w:tcW w:w="1182" w:type="pct"/>
            <w:tcBorders>
              <w:top w:val="nil"/>
              <w:bottom w:val="nil"/>
            </w:tcBorders>
            <w:vAlign w:val="center"/>
          </w:tcPr>
          <w:p w14:paraId="1C01DA40" w14:textId="0C26A572"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-0.002***</w:t>
            </w:r>
          </w:p>
        </w:tc>
        <w:tc>
          <w:tcPr>
            <w:tcW w:w="1182" w:type="pct"/>
            <w:tcBorders>
              <w:top w:val="nil"/>
              <w:bottom w:val="nil"/>
            </w:tcBorders>
            <w:vAlign w:val="center"/>
          </w:tcPr>
          <w:p w14:paraId="0E1E9A1A" w14:textId="4FC5561A"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0.00</w:t>
            </w:r>
            <w:r w:rsidR="00416B2F" w:rsidRPr="005E13B9">
              <w:rPr>
                <w:rFonts w:eastAsia="標楷體"/>
                <w:sz w:val="22"/>
                <w:szCs w:val="22"/>
              </w:rPr>
              <w:t>2</w:t>
            </w:r>
          </w:p>
        </w:tc>
      </w:tr>
      <w:tr w:rsidR="006F104F" w:rsidRPr="005E13B9" w14:paraId="4E8CA158"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7A71F20D" w14:textId="77777777" w:rsidR="001F6F2C" w:rsidRPr="005E13B9" w:rsidRDefault="001F6F2C" w:rsidP="001C65C7">
            <w:pPr>
              <w:widowControl/>
              <w:overflowPunct w:val="0"/>
              <w:adjustRightInd w:val="0"/>
              <w:snapToGrid w:val="0"/>
              <w:rPr>
                <w:rFonts w:eastAsia="標楷體"/>
                <w:kern w:val="0"/>
                <w:sz w:val="22"/>
                <w:szCs w:val="22"/>
              </w:rPr>
            </w:pPr>
          </w:p>
        </w:tc>
        <w:tc>
          <w:tcPr>
            <w:tcW w:w="1182" w:type="pct"/>
            <w:tcBorders>
              <w:top w:val="nil"/>
              <w:bottom w:val="nil"/>
            </w:tcBorders>
            <w:noWrap/>
            <w:tcMar>
              <w:top w:w="14" w:type="dxa"/>
              <w:left w:w="14" w:type="dxa"/>
              <w:bottom w:w="0" w:type="dxa"/>
              <w:right w:w="14" w:type="dxa"/>
            </w:tcMar>
            <w:vAlign w:val="center"/>
          </w:tcPr>
          <w:p w14:paraId="005FCAB9" w14:textId="0A4A56CA"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0.01</w:t>
            </w:r>
            <w:r w:rsidR="00C54797" w:rsidRPr="005E13B9">
              <w:rPr>
                <w:rFonts w:eastAsia="標楷體"/>
                <w:sz w:val="22"/>
                <w:szCs w:val="22"/>
              </w:rPr>
              <w:t>9</w:t>
            </w:r>
            <w:r w:rsidRPr="005E13B9">
              <w:rPr>
                <w:rFonts w:eastAsia="標楷體" w:hint="eastAsia"/>
                <w:sz w:val="22"/>
                <w:szCs w:val="22"/>
              </w:rPr>
              <w:t>)</w:t>
            </w:r>
          </w:p>
        </w:tc>
        <w:tc>
          <w:tcPr>
            <w:tcW w:w="1182" w:type="pct"/>
            <w:tcBorders>
              <w:top w:val="nil"/>
              <w:bottom w:val="nil"/>
            </w:tcBorders>
            <w:vAlign w:val="center"/>
          </w:tcPr>
          <w:p w14:paraId="75F0C131" w14:textId="41A5AB47"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0.002</w:t>
            </w:r>
            <w:r w:rsidRPr="005E13B9">
              <w:rPr>
                <w:rFonts w:eastAsia="標楷體" w:hint="eastAsia"/>
                <w:sz w:val="22"/>
                <w:szCs w:val="22"/>
              </w:rPr>
              <w:t>)</w:t>
            </w:r>
          </w:p>
        </w:tc>
        <w:tc>
          <w:tcPr>
            <w:tcW w:w="1182" w:type="pct"/>
            <w:tcBorders>
              <w:top w:val="nil"/>
              <w:bottom w:val="nil"/>
            </w:tcBorders>
            <w:vAlign w:val="center"/>
          </w:tcPr>
          <w:p w14:paraId="30307887" w14:textId="6085091F"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0.001</w:t>
            </w:r>
            <w:r w:rsidRPr="005E13B9">
              <w:rPr>
                <w:rFonts w:eastAsia="標楷體" w:hint="eastAsia"/>
                <w:sz w:val="22"/>
                <w:szCs w:val="22"/>
              </w:rPr>
              <w:t>)</w:t>
            </w:r>
          </w:p>
        </w:tc>
      </w:tr>
      <w:tr w:rsidR="006F104F" w:rsidRPr="005E13B9" w14:paraId="3AAB7A62"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04167FB2" w14:textId="77777777" w:rsidR="001F6F2C" w:rsidRPr="005E13B9" w:rsidRDefault="001F6F2C" w:rsidP="001C65C7">
            <w:pPr>
              <w:widowControl/>
              <w:overflowPunct w:val="0"/>
              <w:adjustRightInd w:val="0"/>
              <w:snapToGrid w:val="0"/>
              <w:rPr>
                <w:rFonts w:eastAsia="標楷體"/>
                <w:kern w:val="0"/>
                <w:sz w:val="22"/>
                <w:szCs w:val="22"/>
              </w:rPr>
            </w:pPr>
            <w:r w:rsidRPr="005E13B9">
              <w:rPr>
                <w:sz w:val="22"/>
                <w:szCs w:val="22"/>
              </w:rPr>
              <w:t>CEO duality</w:t>
            </w:r>
            <w:r w:rsidRPr="005E13B9">
              <w:rPr>
                <w:rFonts w:eastAsia="標楷體"/>
                <w:kern w:val="0"/>
                <w:sz w:val="22"/>
                <w:szCs w:val="22"/>
              </w:rPr>
              <w:t xml:space="preserve"> dummy</w:t>
            </w:r>
          </w:p>
        </w:tc>
        <w:tc>
          <w:tcPr>
            <w:tcW w:w="1182" w:type="pct"/>
            <w:tcBorders>
              <w:top w:val="nil"/>
              <w:bottom w:val="nil"/>
            </w:tcBorders>
            <w:noWrap/>
            <w:tcMar>
              <w:top w:w="14" w:type="dxa"/>
              <w:left w:w="14" w:type="dxa"/>
              <w:bottom w:w="0" w:type="dxa"/>
              <w:right w:w="14" w:type="dxa"/>
            </w:tcMar>
            <w:vAlign w:val="center"/>
          </w:tcPr>
          <w:p w14:paraId="6E2D7128" w14:textId="60F03848"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1.653*</w:t>
            </w:r>
          </w:p>
        </w:tc>
        <w:tc>
          <w:tcPr>
            <w:tcW w:w="1182" w:type="pct"/>
            <w:tcBorders>
              <w:top w:val="nil"/>
              <w:bottom w:val="nil"/>
            </w:tcBorders>
            <w:vAlign w:val="center"/>
          </w:tcPr>
          <w:p w14:paraId="605AECC9" w14:textId="0BA8AAB9"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-0.166</w:t>
            </w:r>
          </w:p>
        </w:tc>
        <w:tc>
          <w:tcPr>
            <w:tcW w:w="1182" w:type="pct"/>
            <w:tcBorders>
              <w:top w:val="nil"/>
              <w:bottom w:val="nil"/>
            </w:tcBorders>
            <w:vAlign w:val="center"/>
          </w:tcPr>
          <w:p w14:paraId="1B3AD288" w14:textId="6ABBD6C1"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-0.001</w:t>
            </w:r>
          </w:p>
        </w:tc>
      </w:tr>
      <w:tr w:rsidR="006F104F" w:rsidRPr="005E13B9" w14:paraId="31E6AEE5"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5F82C64F" w14:textId="77777777" w:rsidR="001F6F2C" w:rsidRPr="005E13B9" w:rsidRDefault="001F6F2C" w:rsidP="001C65C7">
            <w:pPr>
              <w:overflowPunct w:val="0"/>
              <w:adjustRightInd w:val="0"/>
              <w:snapToGrid w:val="0"/>
              <w:rPr>
                <w:rFonts w:eastAsia="標楷體"/>
                <w:sz w:val="22"/>
                <w:szCs w:val="22"/>
              </w:rPr>
            </w:pPr>
          </w:p>
        </w:tc>
        <w:tc>
          <w:tcPr>
            <w:tcW w:w="1182" w:type="pct"/>
            <w:tcBorders>
              <w:top w:val="nil"/>
              <w:bottom w:val="nil"/>
            </w:tcBorders>
            <w:noWrap/>
            <w:tcMar>
              <w:top w:w="14" w:type="dxa"/>
              <w:left w:w="14" w:type="dxa"/>
              <w:bottom w:w="0" w:type="dxa"/>
              <w:right w:w="14" w:type="dxa"/>
            </w:tcMar>
            <w:vAlign w:val="center"/>
          </w:tcPr>
          <w:p w14:paraId="36FEB432" w14:textId="2BB821C0"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0.97</w:t>
            </w:r>
            <w:r w:rsidR="00C54797" w:rsidRPr="005E13B9">
              <w:rPr>
                <w:rFonts w:eastAsia="標楷體"/>
                <w:sz w:val="22"/>
                <w:szCs w:val="22"/>
              </w:rPr>
              <w:t>6</w:t>
            </w:r>
            <w:r w:rsidRPr="005E13B9">
              <w:rPr>
                <w:rFonts w:eastAsia="標楷體" w:hint="eastAsia"/>
                <w:sz w:val="22"/>
                <w:szCs w:val="22"/>
              </w:rPr>
              <w:t>)</w:t>
            </w:r>
          </w:p>
        </w:tc>
        <w:tc>
          <w:tcPr>
            <w:tcW w:w="1182" w:type="pct"/>
            <w:tcBorders>
              <w:top w:val="nil"/>
              <w:bottom w:val="nil"/>
            </w:tcBorders>
            <w:vAlign w:val="center"/>
          </w:tcPr>
          <w:p w14:paraId="6453A06D" w14:textId="60AA2C35"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0.118</w:t>
            </w:r>
            <w:r w:rsidRPr="005E13B9">
              <w:rPr>
                <w:rFonts w:eastAsia="標楷體" w:hint="eastAsia"/>
                <w:sz w:val="22"/>
                <w:szCs w:val="22"/>
              </w:rPr>
              <w:t>)</w:t>
            </w:r>
          </w:p>
        </w:tc>
        <w:tc>
          <w:tcPr>
            <w:tcW w:w="1182" w:type="pct"/>
            <w:tcBorders>
              <w:top w:val="nil"/>
              <w:bottom w:val="nil"/>
            </w:tcBorders>
            <w:vAlign w:val="center"/>
          </w:tcPr>
          <w:p w14:paraId="773E73A0" w14:textId="6056ACC7"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w:t>
            </w:r>
            <w:r w:rsidR="00416B2F" w:rsidRPr="005E13B9">
              <w:rPr>
                <w:rFonts w:eastAsia="標楷體"/>
                <w:sz w:val="22"/>
                <w:szCs w:val="22"/>
              </w:rPr>
              <w:t>30</w:t>
            </w:r>
            <w:r w:rsidRPr="005E13B9">
              <w:rPr>
                <w:rFonts w:eastAsia="標楷體" w:hint="eastAsia"/>
                <w:sz w:val="22"/>
                <w:szCs w:val="22"/>
              </w:rPr>
              <w:t>)</w:t>
            </w:r>
          </w:p>
        </w:tc>
      </w:tr>
      <w:tr w:rsidR="006F104F" w:rsidRPr="005E13B9" w14:paraId="356B2C28"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79D06513" w14:textId="77777777" w:rsidR="001F6F2C" w:rsidRPr="005E13B9" w:rsidRDefault="001F6F2C" w:rsidP="001C65C7">
            <w:pPr>
              <w:widowControl/>
              <w:overflowPunct w:val="0"/>
              <w:adjustRightInd w:val="0"/>
              <w:snapToGrid w:val="0"/>
              <w:rPr>
                <w:rFonts w:eastAsia="標楷體"/>
                <w:kern w:val="0"/>
                <w:sz w:val="22"/>
                <w:szCs w:val="22"/>
              </w:rPr>
            </w:pPr>
            <w:r w:rsidRPr="005E13B9">
              <w:rPr>
                <w:kern w:val="0"/>
                <w:sz w:val="22"/>
                <w:szCs w:val="22"/>
              </w:rPr>
              <w:t>Board size</w:t>
            </w:r>
          </w:p>
        </w:tc>
        <w:tc>
          <w:tcPr>
            <w:tcW w:w="1182" w:type="pct"/>
            <w:tcBorders>
              <w:top w:val="nil"/>
              <w:bottom w:val="nil"/>
            </w:tcBorders>
            <w:noWrap/>
            <w:tcMar>
              <w:top w:w="14" w:type="dxa"/>
              <w:left w:w="14" w:type="dxa"/>
              <w:bottom w:w="0" w:type="dxa"/>
              <w:right w:w="14" w:type="dxa"/>
            </w:tcMar>
            <w:vAlign w:val="center"/>
          </w:tcPr>
          <w:p w14:paraId="4AC27A98" w14:textId="51F39851"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-0.249</w:t>
            </w:r>
          </w:p>
        </w:tc>
        <w:tc>
          <w:tcPr>
            <w:tcW w:w="1182" w:type="pct"/>
            <w:tcBorders>
              <w:top w:val="nil"/>
              <w:bottom w:val="nil"/>
            </w:tcBorders>
            <w:vAlign w:val="center"/>
          </w:tcPr>
          <w:p w14:paraId="21E5FA41" w14:textId="6F5F8653"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-0.08</w:t>
            </w:r>
            <w:r w:rsidR="00FE669F" w:rsidRPr="005E13B9">
              <w:rPr>
                <w:rFonts w:eastAsia="標楷體"/>
                <w:sz w:val="22"/>
                <w:szCs w:val="22"/>
              </w:rPr>
              <w:t>5</w:t>
            </w:r>
            <w:r w:rsidRPr="005E13B9">
              <w:rPr>
                <w:rFonts w:eastAsia="標楷體"/>
                <w:sz w:val="22"/>
                <w:szCs w:val="22"/>
              </w:rPr>
              <w:t>***</w:t>
            </w:r>
          </w:p>
        </w:tc>
        <w:tc>
          <w:tcPr>
            <w:tcW w:w="1182" w:type="pct"/>
            <w:tcBorders>
              <w:top w:val="nil"/>
              <w:bottom w:val="nil"/>
            </w:tcBorders>
            <w:vAlign w:val="center"/>
          </w:tcPr>
          <w:p w14:paraId="0EBE4BB6" w14:textId="782F353E"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-0.010**</w:t>
            </w:r>
          </w:p>
        </w:tc>
      </w:tr>
      <w:tr w:rsidR="006F104F" w:rsidRPr="005E13B9" w14:paraId="1A760126"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6B89C65B" w14:textId="77777777" w:rsidR="001F6F2C" w:rsidRPr="005E13B9" w:rsidRDefault="001F6F2C" w:rsidP="001C65C7">
            <w:pPr>
              <w:overflowPunct w:val="0"/>
              <w:adjustRightInd w:val="0"/>
              <w:snapToGrid w:val="0"/>
              <w:rPr>
                <w:rFonts w:eastAsia="標楷體"/>
                <w:sz w:val="22"/>
                <w:szCs w:val="22"/>
              </w:rPr>
            </w:pPr>
          </w:p>
        </w:tc>
        <w:tc>
          <w:tcPr>
            <w:tcW w:w="1182" w:type="pct"/>
            <w:tcBorders>
              <w:top w:val="nil"/>
              <w:bottom w:val="nil"/>
            </w:tcBorders>
            <w:noWrap/>
            <w:tcMar>
              <w:top w:w="14" w:type="dxa"/>
              <w:left w:w="14" w:type="dxa"/>
              <w:bottom w:w="0" w:type="dxa"/>
              <w:right w:w="14" w:type="dxa"/>
            </w:tcMar>
            <w:vAlign w:val="center"/>
          </w:tcPr>
          <w:p w14:paraId="1F8B8A5F" w14:textId="092745E7"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0.152</w:t>
            </w:r>
            <w:r w:rsidRPr="005E13B9">
              <w:rPr>
                <w:rFonts w:eastAsia="標楷體" w:hint="eastAsia"/>
                <w:sz w:val="22"/>
                <w:szCs w:val="22"/>
              </w:rPr>
              <w:t>)</w:t>
            </w:r>
          </w:p>
        </w:tc>
        <w:tc>
          <w:tcPr>
            <w:tcW w:w="1182" w:type="pct"/>
            <w:tcBorders>
              <w:top w:val="nil"/>
              <w:bottom w:val="nil"/>
            </w:tcBorders>
            <w:vAlign w:val="center"/>
          </w:tcPr>
          <w:p w14:paraId="474814FC" w14:textId="39A3C1FB"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0.02</w:t>
            </w:r>
            <w:r w:rsidR="00FE669F" w:rsidRPr="005E13B9">
              <w:rPr>
                <w:rFonts w:eastAsia="標楷體"/>
                <w:sz w:val="22"/>
                <w:szCs w:val="22"/>
              </w:rPr>
              <w:t>1</w:t>
            </w:r>
            <w:r w:rsidRPr="005E13B9">
              <w:rPr>
                <w:rFonts w:eastAsia="標楷體" w:hint="eastAsia"/>
                <w:sz w:val="22"/>
                <w:szCs w:val="22"/>
              </w:rPr>
              <w:t>)</w:t>
            </w:r>
          </w:p>
        </w:tc>
        <w:tc>
          <w:tcPr>
            <w:tcW w:w="1182" w:type="pct"/>
            <w:tcBorders>
              <w:top w:val="nil"/>
              <w:bottom w:val="nil"/>
            </w:tcBorders>
            <w:vAlign w:val="center"/>
          </w:tcPr>
          <w:p w14:paraId="3359E369" w14:textId="461A7B64"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0.004</w:t>
            </w:r>
            <w:r w:rsidRPr="005E13B9">
              <w:rPr>
                <w:rFonts w:eastAsia="標楷體" w:hint="eastAsia"/>
                <w:sz w:val="22"/>
                <w:szCs w:val="22"/>
              </w:rPr>
              <w:t>)</w:t>
            </w:r>
          </w:p>
        </w:tc>
      </w:tr>
      <w:tr w:rsidR="006F104F" w:rsidRPr="005E13B9" w14:paraId="2E59BF16"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3C16C5A7" w14:textId="77777777" w:rsidR="001F6F2C" w:rsidRPr="005E13B9" w:rsidRDefault="001F6F2C" w:rsidP="001C65C7">
            <w:pPr>
              <w:overflowPunct w:val="0"/>
              <w:adjustRightInd w:val="0"/>
              <w:snapToGrid w:val="0"/>
              <w:rPr>
                <w:rFonts w:eastAsia="標楷體"/>
                <w:sz w:val="22"/>
                <w:szCs w:val="22"/>
              </w:rPr>
            </w:pPr>
            <w:r w:rsidRPr="005E13B9">
              <w:rPr>
                <w:rFonts w:eastAsia="標楷體"/>
                <w:kern w:val="0"/>
                <w:sz w:val="22"/>
                <w:szCs w:val="22"/>
              </w:rPr>
              <w:t>Electronic dummy</w:t>
            </w:r>
          </w:p>
        </w:tc>
        <w:tc>
          <w:tcPr>
            <w:tcW w:w="1182" w:type="pct"/>
            <w:tcBorders>
              <w:top w:val="nil"/>
              <w:bottom w:val="nil"/>
            </w:tcBorders>
            <w:noWrap/>
            <w:tcMar>
              <w:top w:w="14" w:type="dxa"/>
              <w:left w:w="14" w:type="dxa"/>
              <w:bottom w:w="0" w:type="dxa"/>
              <w:right w:w="14" w:type="dxa"/>
            </w:tcMar>
            <w:vAlign w:val="center"/>
          </w:tcPr>
          <w:p w14:paraId="50A97002" w14:textId="18C7F2F2"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1.09</w:t>
            </w:r>
            <w:r w:rsidR="00C54797" w:rsidRPr="005E13B9">
              <w:rPr>
                <w:rFonts w:eastAsia="標楷體"/>
                <w:sz w:val="22"/>
                <w:szCs w:val="22"/>
              </w:rPr>
              <w:t>2</w:t>
            </w:r>
          </w:p>
        </w:tc>
        <w:tc>
          <w:tcPr>
            <w:tcW w:w="1182" w:type="pct"/>
            <w:tcBorders>
              <w:top w:val="nil"/>
              <w:bottom w:val="nil"/>
            </w:tcBorders>
            <w:vAlign w:val="center"/>
          </w:tcPr>
          <w:p w14:paraId="0F3ADC7D" w14:textId="56A05B2C"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0.31</w:t>
            </w:r>
            <w:r w:rsidR="00FE669F" w:rsidRPr="005E13B9">
              <w:rPr>
                <w:rFonts w:eastAsia="標楷體"/>
                <w:sz w:val="22"/>
                <w:szCs w:val="22"/>
              </w:rPr>
              <w:t>8</w:t>
            </w:r>
            <w:r w:rsidRPr="005E13B9">
              <w:rPr>
                <w:rFonts w:eastAsia="標楷體"/>
                <w:sz w:val="22"/>
                <w:szCs w:val="22"/>
              </w:rPr>
              <w:t>**</w:t>
            </w:r>
          </w:p>
        </w:tc>
        <w:tc>
          <w:tcPr>
            <w:tcW w:w="1182" w:type="pct"/>
            <w:tcBorders>
              <w:top w:val="nil"/>
              <w:bottom w:val="nil"/>
            </w:tcBorders>
            <w:vAlign w:val="center"/>
          </w:tcPr>
          <w:p w14:paraId="60296021" w14:textId="00FC8C84"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-0.022</w:t>
            </w:r>
          </w:p>
        </w:tc>
      </w:tr>
      <w:tr w:rsidR="006F104F" w:rsidRPr="005E13B9" w14:paraId="6D53C318"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44047473" w14:textId="77777777" w:rsidR="001F6F2C" w:rsidRPr="005E13B9" w:rsidRDefault="001F6F2C" w:rsidP="001C65C7">
            <w:pPr>
              <w:overflowPunct w:val="0"/>
              <w:adjustRightInd w:val="0"/>
              <w:snapToGrid w:val="0"/>
              <w:rPr>
                <w:rFonts w:eastAsia="標楷體"/>
                <w:sz w:val="22"/>
                <w:szCs w:val="22"/>
              </w:rPr>
            </w:pPr>
          </w:p>
        </w:tc>
        <w:tc>
          <w:tcPr>
            <w:tcW w:w="1182" w:type="pct"/>
            <w:tcBorders>
              <w:top w:val="nil"/>
              <w:bottom w:val="nil"/>
            </w:tcBorders>
            <w:noWrap/>
            <w:tcMar>
              <w:top w:w="14" w:type="dxa"/>
              <w:left w:w="14" w:type="dxa"/>
              <w:bottom w:w="0" w:type="dxa"/>
              <w:right w:w="14" w:type="dxa"/>
            </w:tcMar>
            <w:vAlign w:val="center"/>
          </w:tcPr>
          <w:p w14:paraId="79F44839" w14:textId="04411E2E"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0.81</w:t>
            </w:r>
            <w:r w:rsidR="00C54797" w:rsidRPr="005E13B9">
              <w:rPr>
                <w:rFonts w:eastAsia="標楷體"/>
                <w:sz w:val="22"/>
                <w:szCs w:val="22"/>
              </w:rPr>
              <w:t>1</w:t>
            </w:r>
            <w:r w:rsidRPr="005E13B9">
              <w:rPr>
                <w:rFonts w:eastAsia="標楷體" w:hint="eastAsia"/>
                <w:sz w:val="22"/>
                <w:szCs w:val="22"/>
              </w:rPr>
              <w:t>)</w:t>
            </w:r>
          </w:p>
        </w:tc>
        <w:tc>
          <w:tcPr>
            <w:tcW w:w="1182" w:type="pct"/>
            <w:tcBorders>
              <w:top w:val="nil"/>
              <w:bottom w:val="nil"/>
            </w:tcBorders>
            <w:vAlign w:val="center"/>
          </w:tcPr>
          <w:p w14:paraId="2B83BADA" w14:textId="60D69A39"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0.139</w:t>
            </w:r>
            <w:r w:rsidRPr="005E13B9">
              <w:rPr>
                <w:rFonts w:eastAsia="標楷體" w:hint="eastAsia"/>
                <w:sz w:val="22"/>
                <w:szCs w:val="22"/>
              </w:rPr>
              <w:t>)</w:t>
            </w:r>
          </w:p>
        </w:tc>
        <w:tc>
          <w:tcPr>
            <w:tcW w:w="1182" w:type="pct"/>
            <w:tcBorders>
              <w:top w:val="nil"/>
              <w:bottom w:val="nil"/>
            </w:tcBorders>
            <w:vAlign w:val="center"/>
          </w:tcPr>
          <w:p w14:paraId="77A418AE" w14:textId="73A7479E"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0.028</w:t>
            </w:r>
            <w:r w:rsidRPr="005E13B9">
              <w:rPr>
                <w:rFonts w:eastAsia="標楷體" w:hint="eastAsia"/>
                <w:sz w:val="22"/>
                <w:szCs w:val="22"/>
              </w:rPr>
              <w:t>)</w:t>
            </w:r>
          </w:p>
        </w:tc>
      </w:tr>
      <w:tr w:rsidR="006F104F" w:rsidRPr="005E13B9" w14:paraId="68526BB9"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41706189" w14:textId="77777777" w:rsidR="001F6F2C" w:rsidRPr="005E13B9" w:rsidRDefault="001F6F2C" w:rsidP="001C65C7">
            <w:pPr>
              <w:widowControl/>
              <w:overflowPunct w:val="0"/>
              <w:adjustRightInd w:val="0"/>
              <w:snapToGrid w:val="0"/>
              <w:rPr>
                <w:rFonts w:eastAsia="標楷體"/>
                <w:kern w:val="0"/>
                <w:sz w:val="22"/>
                <w:szCs w:val="22"/>
              </w:rPr>
            </w:pPr>
            <w:r w:rsidRPr="005E13B9">
              <w:rPr>
                <w:rFonts w:eastAsia="標楷體"/>
                <w:kern w:val="0"/>
                <w:sz w:val="22"/>
                <w:szCs w:val="22"/>
              </w:rPr>
              <w:t>Firm scale</w:t>
            </w:r>
          </w:p>
        </w:tc>
        <w:tc>
          <w:tcPr>
            <w:tcW w:w="1182" w:type="pct"/>
            <w:tcBorders>
              <w:top w:val="nil"/>
              <w:bottom w:val="nil"/>
            </w:tcBorders>
            <w:noWrap/>
            <w:tcMar>
              <w:top w:w="14" w:type="dxa"/>
              <w:left w:w="14" w:type="dxa"/>
              <w:bottom w:w="0" w:type="dxa"/>
              <w:right w:w="14" w:type="dxa"/>
            </w:tcMar>
            <w:vAlign w:val="center"/>
          </w:tcPr>
          <w:p w14:paraId="0F5A9B51" w14:textId="512F7CEA"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6.165***</w:t>
            </w:r>
          </w:p>
        </w:tc>
        <w:tc>
          <w:tcPr>
            <w:tcW w:w="1182" w:type="pct"/>
            <w:tcBorders>
              <w:top w:val="nil"/>
              <w:bottom w:val="nil"/>
            </w:tcBorders>
            <w:vAlign w:val="center"/>
          </w:tcPr>
          <w:p w14:paraId="22051E09" w14:textId="3EF9CC76"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0.46</w:t>
            </w:r>
            <w:r w:rsidR="00FE669F" w:rsidRPr="005E13B9">
              <w:rPr>
                <w:rFonts w:eastAsia="標楷體"/>
                <w:sz w:val="22"/>
                <w:szCs w:val="22"/>
              </w:rPr>
              <w:t>6</w:t>
            </w:r>
            <w:r w:rsidRPr="005E13B9">
              <w:rPr>
                <w:rFonts w:eastAsia="標楷體"/>
                <w:sz w:val="22"/>
                <w:szCs w:val="22"/>
              </w:rPr>
              <w:t>***</w:t>
            </w:r>
          </w:p>
        </w:tc>
        <w:tc>
          <w:tcPr>
            <w:tcW w:w="1182" w:type="pct"/>
            <w:tcBorders>
              <w:top w:val="nil"/>
              <w:bottom w:val="nil"/>
            </w:tcBorders>
            <w:vAlign w:val="center"/>
          </w:tcPr>
          <w:p w14:paraId="395E0E2B" w14:textId="737363EB"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0.046***</w:t>
            </w:r>
          </w:p>
        </w:tc>
      </w:tr>
      <w:tr w:rsidR="006F104F" w:rsidRPr="005E13B9" w14:paraId="6420A56D"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3CFB8BD2" w14:textId="77777777" w:rsidR="001F6F2C" w:rsidRPr="005E13B9" w:rsidRDefault="001F6F2C" w:rsidP="001C65C7">
            <w:pPr>
              <w:overflowPunct w:val="0"/>
              <w:adjustRightInd w:val="0"/>
              <w:snapToGrid w:val="0"/>
              <w:rPr>
                <w:rFonts w:eastAsia="標楷體"/>
                <w:sz w:val="22"/>
                <w:szCs w:val="22"/>
              </w:rPr>
            </w:pPr>
          </w:p>
        </w:tc>
        <w:tc>
          <w:tcPr>
            <w:tcW w:w="1182" w:type="pct"/>
            <w:tcBorders>
              <w:top w:val="nil"/>
              <w:bottom w:val="nil"/>
            </w:tcBorders>
            <w:noWrap/>
            <w:tcMar>
              <w:top w:w="14" w:type="dxa"/>
              <w:left w:w="14" w:type="dxa"/>
              <w:bottom w:w="0" w:type="dxa"/>
              <w:right w:w="14" w:type="dxa"/>
            </w:tcMar>
            <w:vAlign w:val="center"/>
          </w:tcPr>
          <w:p w14:paraId="192FDB8C" w14:textId="25D7EB4F"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0.418</w:t>
            </w:r>
            <w:r w:rsidRPr="005E13B9">
              <w:rPr>
                <w:rFonts w:eastAsia="標楷體" w:hint="eastAsia"/>
                <w:sz w:val="22"/>
                <w:szCs w:val="22"/>
              </w:rPr>
              <w:t>)</w:t>
            </w:r>
          </w:p>
        </w:tc>
        <w:tc>
          <w:tcPr>
            <w:tcW w:w="1182" w:type="pct"/>
            <w:tcBorders>
              <w:top w:val="nil"/>
              <w:bottom w:val="nil"/>
            </w:tcBorders>
            <w:vAlign w:val="center"/>
          </w:tcPr>
          <w:p w14:paraId="5C063EAF" w14:textId="10259221"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0.057</w:t>
            </w:r>
            <w:r w:rsidRPr="005E13B9">
              <w:rPr>
                <w:rFonts w:eastAsia="標楷體" w:hint="eastAsia"/>
                <w:sz w:val="22"/>
                <w:szCs w:val="22"/>
              </w:rPr>
              <w:t>)</w:t>
            </w:r>
          </w:p>
        </w:tc>
        <w:tc>
          <w:tcPr>
            <w:tcW w:w="1182" w:type="pct"/>
            <w:tcBorders>
              <w:top w:val="nil"/>
              <w:bottom w:val="nil"/>
            </w:tcBorders>
            <w:vAlign w:val="center"/>
          </w:tcPr>
          <w:p w14:paraId="769F9B95" w14:textId="16EE47CC"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0.0</w:t>
            </w:r>
            <w:r w:rsidR="00416B2F" w:rsidRPr="005E13B9">
              <w:rPr>
                <w:rFonts w:eastAsia="標楷體"/>
                <w:sz w:val="22"/>
                <w:szCs w:val="22"/>
              </w:rPr>
              <w:t>10</w:t>
            </w:r>
            <w:r w:rsidRPr="005E13B9">
              <w:rPr>
                <w:rFonts w:eastAsia="標楷體" w:hint="eastAsia"/>
                <w:sz w:val="22"/>
                <w:szCs w:val="22"/>
              </w:rPr>
              <w:t>)</w:t>
            </w:r>
          </w:p>
        </w:tc>
      </w:tr>
      <w:tr w:rsidR="006F104F" w:rsidRPr="005E13B9" w14:paraId="121BBF73"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53774201" w14:textId="77777777" w:rsidR="001F6F2C" w:rsidRPr="005E13B9" w:rsidRDefault="001F6F2C" w:rsidP="001C65C7">
            <w:pPr>
              <w:overflowPunct w:val="0"/>
              <w:adjustRightInd w:val="0"/>
              <w:snapToGrid w:val="0"/>
              <w:rPr>
                <w:rFonts w:eastAsia="標楷體"/>
                <w:sz w:val="22"/>
                <w:szCs w:val="22"/>
              </w:rPr>
            </w:pPr>
            <w:r w:rsidRPr="005E13B9">
              <w:rPr>
                <w:rFonts w:eastAsia="標楷體"/>
                <w:sz w:val="22"/>
                <w:szCs w:val="22"/>
              </w:rPr>
              <w:t>Constant</w:t>
            </w:r>
          </w:p>
        </w:tc>
        <w:tc>
          <w:tcPr>
            <w:tcW w:w="1182" w:type="pct"/>
            <w:tcBorders>
              <w:top w:val="nil"/>
              <w:bottom w:val="nil"/>
            </w:tcBorders>
            <w:noWrap/>
            <w:tcMar>
              <w:top w:w="14" w:type="dxa"/>
              <w:left w:w="14" w:type="dxa"/>
              <w:bottom w:w="0" w:type="dxa"/>
              <w:right w:w="14" w:type="dxa"/>
            </w:tcMar>
            <w:vAlign w:val="center"/>
          </w:tcPr>
          <w:p w14:paraId="212C006C" w14:textId="676B086B" w:rsidR="001F6F2C" w:rsidRPr="005E13B9" w:rsidRDefault="001F6F2C" w:rsidP="00C54797">
            <w:pPr>
              <w:overflowPunct w:val="0"/>
              <w:adjustRightInd w:val="0"/>
              <w:snapToGrid w:val="0"/>
              <w:jc w:val="center"/>
              <w:rPr>
                <w:rFonts w:eastAsia="標楷體"/>
                <w:sz w:val="22"/>
                <w:szCs w:val="22"/>
              </w:rPr>
            </w:pPr>
            <w:r w:rsidRPr="005E13B9">
              <w:rPr>
                <w:rFonts w:eastAsia="標楷體"/>
                <w:sz w:val="22"/>
                <w:szCs w:val="22"/>
              </w:rPr>
              <w:t>-83.309***</w:t>
            </w:r>
          </w:p>
        </w:tc>
        <w:tc>
          <w:tcPr>
            <w:tcW w:w="1182" w:type="pct"/>
            <w:tcBorders>
              <w:top w:val="nil"/>
              <w:bottom w:val="nil"/>
            </w:tcBorders>
            <w:vAlign w:val="center"/>
          </w:tcPr>
          <w:p w14:paraId="301903D4" w14:textId="0C63A581" w:rsidR="001F6F2C" w:rsidRPr="005E13B9" w:rsidRDefault="001F6F2C" w:rsidP="00FE669F">
            <w:pPr>
              <w:overflowPunct w:val="0"/>
              <w:adjustRightInd w:val="0"/>
              <w:snapToGrid w:val="0"/>
              <w:jc w:val="center"/>
              <w:rPr>
                <w:rFonts w:eastAsia="標楷體"/>
                <w:sz w:val="22"/>
                <w:szCs w:val="22"/>
              </w:rPr>
            </w:pPr>
            <w:r w:rsidRPr="005E13B9">
              <w:rPr>
                <w:rFonts w:eastAsia="標楷體"/>
                <w:sz w:val="22"/>
                <w:szCs w:val="22"/>
              </w:rPr>
              <w:t>-5.307***</w:t>
            </w:r>
          </w:p>
        </w:tc>
        <w:tc>
          <w:tcPr>
            <w:tcW w:w="1182" w:type="pct"/>
            <w:tcBorders>
              <w:top w:val="nil"/>
              <w:bottom w:val="nil"/>
            </w:tcBorders>
            <w:vAlign w:val="center"/>
          </w:tcPr>
          <w:p w14:paraId="4AB4B8A0" w14:textId="4E451EAC" w:rsidR="001F6F2C" w:rsidRPr="005E13B9" w:rsidRDefault="001F6F2C" w:rsidP="00416B2F">
            <w:pPr>
              <w:overflowPunct w:val="0"/>
              <w:adjustRightInd w:val="0"/>
              <w:snapToGrid w:val="0"/>
              <w:jc w:val="center"/>
              <w:rPr>
                <w:rFonts w:eastAsia="標楷體"/>
                <w:sz w:val="22"/>
                <w:szCs w:val="22"/>
              </w:rPr>
            </w:pPr>
            <w:r w:rsidRPr="005E13B9">
              <w:rPr>
                <w:rFonts w:eastAsia="標楷體"/>
                <w:sz w:val="22"/>
                <w:szCs w:val="22"/>
              </w:rPr>
              <w:t>-0.429***</w:t>
            </w:r>
          </w:p>
        </w:tc>
      </w:tr>
      <w:tr w:rsidR="006F104F" w:rsidRPr="005E13B9" w14:paraId="1401806D" w14:textId="77777777" w:rsidTr="007875FC">
        <w:trPr>
          <w:cantSplit/>
          <w:trHeight w:val="20"/>
        </w:trPr>
        <w:tc>
          <w:tcPr>
            <w:tcW w:w="1454" w:type="pct"/>
            <w:tcBorders>
              <w:top w:val="nil"/>
              <w:bottom w:val="nil"/>
            </w:tcBorders>
            <w:noWrap/>
            <w:tcMar>
              <w:top w:w="14" w:type="dxa"/>
              <w:left w:w="14" w:type="dxa"/>
              <w:bottom w:w="0" w:type="dxa"/>
              <w:right w:w="14" w:type="dxa"/>
            </w:tcMar>
            <w:vAlign w:val="center"/>
          </w:tcPr>
          <w:p w14:paraId="4D8C52C7" w14:textId="77777777" w:rsidR="001F6F2C" w:rsidRPr="005E13B9" w:rsidRDefault="001F6F2C" w:rsidP="001C65C7">
            <w:pPr>
              <w:overflowPunct w:val="0"/>
              <w:adjustRightInd w:val="0"/>
              <w:snapToGrid w:val="0"/>
              <w:rPr>
                <w:rFonts w:eastAsia="標楷體"/>
                <w:sz w:val="22"/>
                <w:szCs w:val="22"/>
              </w:rPr>
            </w:pPr>
          </w:p>
        </w:tc>
        <w:tc>
          <w:tcPr>
            <w:tcW w:w="1182" w:type="pct"/>
            <w:tcBorders>
              <w:top w:val="nil"/>
              <w:bottom w:val="nil"/>
            </w:tcBorders>
            <w:noWrap/>
            <w:tcMar>
              <w:top w:w="14" w:type="dxa"/>
              <w:left w:w="14" w:type="dxa"/>
              <w:bottom w:w="0" w:type="dxa"/>
              <w:right w:w="14" w:type="dxa"/>
            </w:tcMar>
            <w:vAlign w:val="center"/>
          </w:tcPr>
          <w:p w14:paraId="1B507862" w14:textId="102EDF18" w:rsidR="001F6F2C" w:rsidRPr="005E13B9" w:rsidRDefault="00532BD2" w:rsidP="00C54797">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5.867</w:t>
            </w:r>
            <w:r w:rsidRPr="005E13B9">
              <w:rPr>
                <w:rFonts w:eastAsia="標楷體" w:hint="eastAsia"/>
                <w:sz w:val="22"/>
                <w:szCs w:val="22"/>
              </w:rPr>
              <w:t>)</w:t>
            </w:r>
          </w:p>
        </w:tc>
        <w:tc>
          <w:tcPr>
            <w:tcW w:w="1182" w:type="pct"/>
            <w:tcBorders>
              <w:top w:val="nil"/>
              <w:bottom w:val="nil"/>
            </w:tcBorders>
            <w:vAlign w:val="center"/>
          </w:tcPr>
          <w:p w14:paraId="79270424" w14:textId="65D0EB1A" w:rsidR="001F6F2C" w:rsidRPr="005E13B9" w:rsidRDefault="00532BD2" w:rsidP="00FE669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0.703</w:t>
            </w:r>
            <w:r w:rsidRPr="005E13B9">
              <w:rPr>
                <w:rFonts w:eastAsia="標楷體" w:hint="eastAsia"/>
                <w:sz w:val="22"/>
                <w:szCs w:val="22"/>
              </w:rPr>
              <w:t>)</w:t>
            </w:r>
          </w:p>
        </w:tc>
        <w:tc>
          <w:tcPr>
            <w:tcW w:w="1182" w:type="pct"/>
            <w:tcBorders>
              <w:top w:val="nil"/>
              <w:bottom w:val="nil"/>
            </w:tcBorders>
            <w:vAlign w:val="center"/>
          </w:tcPr>
          <w:p w14:paraId="68D6D049" w14:textId="7228A4A6" w:rsidR="001F6F2C" w:rsidRPr="005E13B9" w:rsidRDefault="00532BD2" w:rsidP="00416B2F">
            <w:pPr>
              <w:overflowPunct w:val="0"/>
              <w:adjustRightInd w:val="0"/>
              <w:snapToGrid w:val="0"/>
              <w:jc w:val="center"/>
              <w:rPr>
                <w:rFonts w:eastAsia="標楷體"/>
                <w:sz w:val="22"/>
                <w:szCs w:val="22"/>
              </w:rPr>
            </w:pPr>
            <w:r w:rsidRPr="005E13B9">
              <w:rPr>
                <w:rFonts w:eastAsia="標楷體" w:hint="eastAsia"/>
                <w:sz w:val="22"/>
                <w:szCs w:val="22"/>
              </w:rPr>
              <w:t>(</w:t>
            </w:r>
            <w:r w:rsidR="001F6F2C" w:rsidRPr="005E13B9">
              <w:rPr>
                <w:rFonts w:eastAsia="標楷體"/>
                <w:sz w:val="22"/>
                <w:szCs w:val="22"/>
              </w:rPr>
              <w:t>0.13</w:t>
            </w:r>
            <w:r w:rsidR="00416B2F" w:rsidRPr="005E13B9">
              <w:rPr>
                <w:rFonts w:eastAsia="標楷體"/>
                <w:sz w:val="22"/>
                <w:szCs w:val="22"/>
              </w:rPr>
              <w:t>2</w:t>
            </w:r>
            <w:r w:rsidRPr="005E13B9">
              <w:rPr>
                <w:rFonts w:eastAsia="標楷體" w:hint="eastAsia"/>
                <w:sz w:val="22"/>
                <w:szCs w:val="22"/>
              </w:rPr>
              <w:t>)</w:t>
            </w:r>
          </w:p>
        </w:tc>
      </w:tr>
      <w:tr w:rsidR="006F104F" w:rsidRPr="005E13B9" w14:paraId="526CF0A6" w14:textId="77777777" w:rsidTr="007875FC">
        <w:trPr>
          <w:cantSplit/>
          <w:trHeight w:val="20"/>
        </w:trPr>
        <w:tc>
          <w:tcPr>
            <w:tcW w:w="1454" w:type="pct"/>
            <w:tcBorders>
              <w:top w:val="single" w:sz="4" w:space="0" w:color="auto"/>
              <w:bottom w:val="single" w:sz="4" w:space="0" w:color="auto"/>
            </w:tcBorders>
            <w:noWrap/>
            <w:tcMar>
              <w:top w:w="14" w:type="dxa"/>
              <w:left w:w="14" w:type="dxa"/>
              <w:bottom w:w="0" w:type="dxa"/>
              <w:right w:w="14" w:type="dxa"/>
            </w:tcMar>
            <w:vAlign w:val="center"/>
          </w:tcPr>
          <w:p w14:paraId="18A88B66" w14:textId="77777777" w:rsidR="001F6F2C" w:rsidRPr="005E13B9" w:rsidRDefault="001F6F2C" w:rsidP="001C65C7">
            <w:pPr>
              <w:overflowPunct w:val="0"/>
              <w:adjustRightInd w:val="0"/>
              <w:snapToGrid w:val="0"/>
              <w:jc w:val="both"/>
              <w:rPr>
                <w:rFonts w:eastAsia="標楷體"/>
              </w:rPr>
            </w:pPr>
            <w:r w:rsidRPr="005E13B9">
              <w:rPr>
                <w:rFonts w:eastAsia="標楷體"/>
                <w:shd w:val="clear" w:color="auto" w:fill="FFFFFF"/>
              </w:rPr>
              <w:t>Adj. R</w:t>
            </w:r>
            <w:r w:rsidRPr="005E13B9">
              <w:rPr>
                <w:rFonts w:eastAsia="標楷體"/>
                <w:shd w:val="clear" w:color="auto" w:fill="FFFFFF"/>
                <w:vertAlign w:val="superscript"/>
              </w:rPr>
              <w:t>2</w:t>
            </w:r>
          </w:p>
        </w:tc>
        <w:tc>
          <w:tcPr>
            <w:tcW w:w="1182" w:type="pct"/>
            <w:tcBorders>
              <w:top w:val="single" w:sz="4" w:space="0" w:color="auto"/>
              <w:bottom w:val="single" w:sz="4" w:space="0" w:color="auto"/>
            </w:tcBorders>
            <w:noWrap/>
            <w:tcMar>
              <w:top w:w="14" w:type="dxa"/>
              <w:left w:w="14" w:type="dxa"/>
              <w:bottom w:w="0" w:type="dxa"/>
              <w:right w:w="14" w:type="dxa"/>
            </w:tcMar>
            <w:vAlign w:val="center"/>
          </w:tcPr>
          <w:p w14:paraId="14F88B91" w14:textId="528C9862" w:rsidR="001F6F2C" w:rsidRPr="005E13B9" w:rsidRDefault="001F6F2C" w:rsidP="00C54797">
            <w:pPr>
              <w:overflowPunct w:val="0"/>
              <w:adjustRightInd w:val="0"/>
              <w:snapToGrid w:val="0"/>
              <w:jc w:val="center"/>
              <w:rPr>
                <w:rFonts w:eastAsia="標楷體"/>
              </w:rPr>
            </w:pPr>
            <w:r w:rsidRPr="005E13B9">
              <w:rPr>
                <w:rFonts w:eastAsia="標楷體"/>
              </w:rPr>
              <w:t>0.28</w:t>
            </w:r>
            <w:r w:rsidR="00C54797" w:rsidRPr="005E13B9">
              <w:rPr>
                <w:rFonts w:eastAsia="標楷體"/>
              </w:rPr>
              <w:t>4</w:t>
            </w:r>
          </w:p>
        </w:tc>
        <w:tc>
          <w:tcPr>
            <w:tcW w:w="1182" w:type="pct"/>
            <w:tcBorders>
              <w:top w:val="single" w:sz="4" w:space="0" w:color="auto"/>
              <w:bottom w:val="single" w:sz="4" w:space="0" w:color="auto"/>
            </w:tcBorders>
            <w:vAlign w:val="center"/>
          </w:tcPr>
          <w:p w14:paraId="1E0F0668" w14:textId="1AD828DA" w:rsidR="001F6F2C" w:rsidRPr="005E13B9" w:rsidRDefault="001F6F2C" w:rsidP="00FE669F">
            <w:pPr>
              <w:overflowPunct w:val="0"/>
              <w:adjustRightInd w:val="0"/>
              <w:snapToGrid w:val="0"/>
              <w:jc w:val="center"/>
              <w:rPr>
                <w:rFonts w:eastAsia="標楷體"/>
              </w:rPr>
            </w:pPr>
            <w:r w:rsidRPr="005E13B9">
              <w:rPr>
                <w:rFonts w:eastAsia="標楷體"/>
              </w:rPr>
              <w:t>0.090</w:t>
            </w:r>
          </w:p>
        </w:tc>
        <w:tc>
          <w:tcPr>
            <w:tcW w:w="1182" w:type="pct"/>
            <w:tcBorders>
              <w:top w:val="single" w:sz="4" w:space="0" w:color="auto"/>
              <w:bottom w:val="single" w:sz="4" w:space="0" w:color="auto"/>
            </w:tcBorders>
            <w:vAlign w:val="center"/>
          </w:tcPr>
          <w:p w14:paraId="41757742" w14:textId="1C415C88" w:rsidR="001F6F2C" w:rsidRPr="005E13B9" w:rsidRDefault="001F6F2C" w:rsidP="00416B2F">
            <w:pPr>
              <w:overflowPunct w:val="0"/>
              <w:adjustRightInd w:val="0"/>
              <w:snapToGrid w:val="0"/>
              <w:jc w:val="center"/>
              <w:rPr>
                <w:rFonts w:eastAsia="標楷體"/>
              </w:rPr>
            </w:pPr>
            <w:r w:rsidRPr="005E13B9">
              <w:rPr>
                <w:rFonts w:eastAsia="標楷體"/>
              </w:rPr>
              <w:t>0.027</w:t>
            </w:r>
          </w:p>
        </w:tc>
      </w:tr>
      <w:tr w:rsidR="006F104F" w:rsidRPr="005E13B9" w14:paraId="0E7B4DB2" w14:textId="77777777" w:rsidTr="007875FC">
        <w:trPr>
          <w:cantSplit/>
          <w:trHeight w:val="20"/>
        </w:trPr>
        <w:tc>
          <w:tcPr>
            <w:tcW w:w="1454" w:type="pct"/>
            <w:tcBorders>
              <w:top w:val="single" w:sz="4" w:space="0" w:color="auto"/>
              <w:bottom w:val="single" w:sz="4" w:space="0" w:color="auto"/>
            </w:tcBorders>
            <w:noWrap/>
            <w:tcMar>
              <w:top w:w="14" w:type="dxa"/>
              <w:left w:w="14" w:type="dxa"/>
              <w:bottom w:w="0" w:type="dxa"/>
              <w:right w:w="14" w:type="dxa"/>
            </w:tcMar>
            <w:vAlign w:val="center"/>
          </w:tcPr>
          <w:p w14:paraId="3858E9B2" w14:textId="77777777" w:rsidR="001F6F2C" w:rsidRPr="005E13B9" w:rsidRDefault="001F6F2C" w:rsidP="001C65C7">
            <w:pPr>
              <w:overflowPunct w:val="0"/>
              <w:adjustRightInd w:val="0"/>
              <w:snapToGrid w:val="0"/>
              <w:jc w:val="both"/>
              <w:rPr>
                <w:rFonts w:eastAsia="標楷體"/>
              </w:rPr>
            </w:pPr>
            <w:r w:rsidRPr="005E13B9">
              <w:rPr>
                <w:rFonts w:eastAsia="標楷體"/>
                <w:shd w:val="clear" w:color="auto" w:fill="FFFFFF"/>
              </w:rPr>
              <w:t>Coefficient estimates</w:t>
            </w:r>
          </w:p>
        </w:tc>
        <w:tc>
          <w:tcPr>
            <w:tcW w:w="1182" w:type="pct"/>
            <w:tcBorders>
              <w:top w:val="single" w:sz="4" w:space="0" w:color="auto"/>
              <w:bottom w:val="single" w:sz="4" w:space="0" w:color="auto"/>
            </w:tcBorders>
            <w:noWrap/>
            <w:tcMar>
              <w:top w:w="14" w:type="dxa"/>
              <w:left w:w="14" w:type="dxa"/>
              <w:bottom w:w="0" w:type="dxa"/>
              <w:right w:w="14" w:type="dxa"/>
            </w:tcMar>
            <w:vAlign w:val="center"/>
          </w:tcPr>
          <w:p w14:paraId="460A1FE4" w14:textId="77777777" w:rsidR="001F6F2C" w:rsidRPr="005E13B9" w:rsidRDefault="001F6F2C" w:rsidP="001C65C7">
            <w:pPr>
              <w:overflowPunct w:val="0"/>
              <w:adjustRightInd w:val="0"/>
              <w:snapToGrid w:val="0"/>
              <w:jc w:val="center"/>
              <w:rPr>
                <w:rFonts w:eastAsia="標楷體"/>
              </w:rPr>
            </w:pPr>
            <w:r w:rsidRPr="005E13B9">
              <w:rPr>
                <w:rFonts w:eastAsia="標楷體"/>
              </w:rPr>
              <w:t>OLS</w:t>
            </w:r>
          </w:p>
        </w:tc>
        <w:tc>
          <w:tcPr>
            <w:tcW w:w="1182" w:type="pct"/>
            <w:tcBorders>
              <w:top w:val="single" w:sz="4" w:space="0" w:color="auto"/>
              <w:bottom w:val="single" w:sz="4" w:space="0" w:color="auto"/>
            </w:tcBorders>
            <w:vAlign w:val="center"/>
          </w:tcPr>
          <w:p w14:paraId="0D763996" w14:textId="77777777" w:rsidR="001F6F2C" w:rsidRPr="005E13B9" w:rsidRDefault="001F6F2C" w:rsidP="001C65C7">
            <w:pPr>
              <w:overflowPunct w:val="0"/>
              <w:adjustRightInd w:val="0"/>
              <w:snapToGrid w:val="0"/>
              <w:jc w:val="center"/>
              <w:rPr>
                <w:rFonts w:eastAsia="標楷體"/>
              </w:rPr>
            </w:pPr>
            <w:r w:rsidRPr="005E13B9">
              <w:rPr>
                <w:rFonts w:eastAsia="標楷體"/>
              </w:rPr>
              <w:t>OLS</w:t>
            </w:r>
          </w:p>
        </w:tc>
        <w:tc>
          <w:tcPr>
            <w:tcW w:w="1182" w:type="pct"/>
            <w:tcBorders>
              <w:top w:val="single" w:sz="4" w:space="0" w:color="auto"/>
              <w:bottom w:val="single" w:sz="4" w:space="0" w:color="auto"/>
            </w:tcBorders>
            <w:vAlign w:val="center"/>
          </w:tcPr>
          <w:p w14:paraId="0B8BD51C" w14:textId="77777777" w:rsidR="001F6F2C" w:rsidRPr="005E13B9" w:rsidRDefault="001F6F2C" w:rsidP="001C65C7">
            <w:pPr>
              <w:overflowPunct w:val="0"/>
              <w:adjustRightInd w:val="0"/>
              <w:snapToGrid w:val="0"/>
              <w:jc w:val="center"/>
              <w:rPr>
                <w:rFonts w:eastAsia="標楷體"/>
              </w:rPr>
            </w:pPr>
            <w:r w:rsidRPr="005E13B9">
              <w:rPr>
                <w:rFonts w:eastAsia="標楷體"/>
              </w:rPr>
              <w:t>OLS</w:t>
            </w:r>
          </w:p>
        </w:tc>
      </w:tr>
      <w:tr w:rsidR="006F104F" w:rsidRPr="005E13B9" w14:paraId="0DBED5E5" w14:textId="77777777" w:rsidTr="007875FC">
        <w:trPr>
          <w:cantSplit/>
          <w:trHeight w:val="20"/>
        </w:trPr>
        <w:tc>
          <w:tcPr>
            <w:tcW w:w="1454" w:type="pct"/>
            <w:tcBorders>
              <w:top w:val="single" w:sz="4" w:space="0" w:color="auto"/>
              <w:bottom w:val="single" w:sz="12" w:space="0" w:color="auto"/>
            </w:tcBorders>
            <w:noWrap/>
            <w:tcMar>
              <w:top w:w="14" w:type="dxa"/>
              <w:left w:w="14" w:type="dxa"/>
              <w:bottom w:w="0" w:type="dxa"/>
              <w:right w:w="14" w:type="dxa"/>
            </w:tcMar>
            <w:vAlign w:val="center"/>
          </w:tcPr>
          <w:p w14:paraId="2B6053D2" w14:textId="77777777" w:rsidR="001F6F2C" w:rsidRPr="005E13B9" w:rsidRDefault="001F6F2C" w:rsidP="001C65C7">
            <w:pPr>
              <w:overflowPunct w:val="0"/>
              <w:adjustRightInd w:val="0"/>
              <w:snapToGrid w:val="0"/>
              <w:jc w:val="both"/>
              <w:rPr>
                <w:rFonts w:eastAsia="標楷體"/>
              </w:rPr>
            </w:pPr>
            <w:r w:rsidRPr="005E13B9">
              <w:rPr>
                <w:rFonts w:eastAsia="標楷體"/>
                <w:shd w:val="clear" w:color="auto" w:fill="FFFFFF"/>
              </w:rPr>
              <w:t>Standard errors</w:t>
            </w:r>
          </w:p>
        </w:tc>
        <w:tc>
          <w:tcPr>
            <w:tcW w:w="1182" w:type="pct"/>
            <w:tcBorders>
              <w:top w:val="single" w:sz="4" w:space="0" w:color="auto"/>
              <w:bottom w:val="single" w:sz="12" w:space="0" w:color="auto"/>
            </w:tcBorders>
            <w:noWrap/>
            <w:tcMar>
              <w:top w:w="14" w:type="dxa"/>
              <w:left w:w="14" w:type="dxa"/>
              <w:bottom w:w="0" w:type="dxa"/>
              <w:right w:w="14" w:type="dxa"/>
            </w:tcMar>
            <w:vAlign w:val="center"/>
          </w:tcPr>
          <w:p w14:paraId="297C74EF" w14:textId="77777777" w:rsidR="001F6F2C" w:rsidRPr="005E13B9" w:rsidRDefault="001F6F2C" w:rsidP="001C65C7">
            <w:pPr>
              <w:overflowPunct w:val="0"/>
              <w:adjustRightInd w:val="0"/>
              <w:snapToGrid w:val="0"/>
              <w:jc w:val="center"/>
              <w:rPr>
                <w:rFonts w:eastAsia="標楷體"/>
              </w:rPr>
            </w:pPr>
            <w:r w:rsidRPr="005E13B9">
              <w:rPr>
                <w:rFonts w:eastAsia="標楷體"/>
              </w:rPr>
              <w:t>CL–F&amp;Y</w:t>
            </w:r>
            <w:r w:rsidR="00776C56" w:rsidRPr="005E13B9">
              <w:rPr>
                <w:rStyle w:val="af9"/>
              </w:rPr>
              <w:footnoteReference w:id="3"/>
            </w:r>
          </w:p>
        </w:tc>
        <w:tc>
          <w:tcPr>
            <w:tcW w:w="1182" w:type="pct"/>
            <w:tcBorders>
              <w:top w:val="single" w:sz="4" w:space="0" w:color="auto"/>
              <w:bottom w:val="single" w:sz="12" w:space="0" w:color="auto"/>
            </w:tcBorders>
            <w:vAlign w:val="center"/>
          </w:tcPr>
          <w:p w14:paraId="269EBFE7" w14:textId="77777777" w:rsidR="001F6F2C" w:rsidRPr="005E13B9" w:rsidRDefault="001F6F2C" w:rsidP="001C65C7">
            <w:pPr>
              <w:overflowPunct w:val="0"/>
              <w:adjustRightInd w:val="0"/>
              <w:snapToGrid w:val="0"/>
              <w:jc w:val="center"/>
              <w:rPr>
                <w:rFonts w:eastAsia="標楷體"/>
              </w:rPr>
            </w:pPr>
            <w:r w:rsidRPr="005E13B9">
              <w:rPr>
                <w:rFonts w:eastAsia="標楷體"/>
              </w:rPr>
              <w:t>CL–F&amp;Y</w:t>
            </w:r>
          </w:p>
        </w:tc>
        <w:tc>
          <w:tcPr>
            <w:tcW w:w="1182" w:type="pct"/>
            <w:tcBorders>
              <w:top w:val="single" w:sz="4" w:space="0" w:color="auto"/>
              <w:bottom w:val="single" w:sz="12" w:space="0" w:color="auto"/>
            </w:tcBorders>
            <w:vAlign w:val="center"/>
          </w:tcPr>
          <w:p w14:paraId="3334DAE8" w14:textId="77777777" w:rsidR="001F6F2C" w:rsidRPr="005E13B9" w:rsidRDefault="001F6F2C" w:rsidP="001C65C7">
            <w:pPr>
              <w:overflowPunct w:val="0"/>
              <w:adjustRightInd w:val="0"/>
              <w:snapToGrid w:val="0"/>
              <w:jc w:val="center"/>
              <w:rPr>
                <w:rFonts w:eastAsia="標楷體"/>
              </w:rPr>
            </w:pPr>
            <w:r w:rsidRPr="005E13B9">
              <w:rPr>
                <w:rFonts w:eastAsia="標楷體"/>
              </w:rPr>
              <w:t>CL–F&amp;Y</w:t>
            </w:r>
          </w:p>
        </w:tc>
      </w:tr>
    </w:tbl>
    <w:p w14:paraId="57462282" w14:textId="4258E1A2" w:rsidR="004F5776" w:rsidRPr="005E13B9" w:rsidRDefault="004F5776" w:rsidP="001C65C7">
      <w:pPr>
        <w:widowControl/>
        <w:overflowPunct w:val="0"/>
        <w:rPr>
          <w:rFonts w:eastAsia="標楷體"/>
          <w:b/>
          <w:sz w:val="26"/>
          <w:szCs w:val="26"/>
        </w:rPr>
      </w:pPr>
    </w:p>
    <w:p w14:paraId="66D4E601" w14:textId="6B2BE00B" w:rsidR="004F5776" w:rsidRPr="005E13B9" w:rsidRDefault="004F5776" w:rsidP="001C65C7">
      <w:pPr>
        <w:overflowPunct w:val="0"/>
        <w:adjustRightInd w:val="0"/>
        <w:ind w:firstLineChars="200" w:firstLine="520"/>
        <w:jc w:val="both"/>
        <w:rPr>
          <w:rFonts w:eastAsia="標楷體"/>
          <w:b/>
          <w:sz w:val="26"/>
          <w:szCs w:val="26"/>
        </w:rPr>
      </w:pPr>
      <w:r w:rsidRPr="005E13B9">
        <w:rPr>
          <w:rFonts w:eastAsia="標楷體"/>
          <w:sz w:val="26"/>
          <w:szCs w:val="26"/>
          <w:shd w:val="clear" w:color="auto" w:fill="FFFFFF"/>
        </w:rPr>
        <w:t>We explore whether the shareholding of institutional investors would be affected by industry category change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changing once and more than once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and the results are shown </w:t>
      </w:r>
      <w:r w:rsidR="00532BD2" w:rsidRPr="005E13B9">
        <w:rPr>
          <w:rFonts w:eastAsia="標楷體"/>
          <w:sz w:val="26"/>
          <w:szCs w:val="26"/>
          <w:shd w:val="clear" w:color="auto" w:fill="FFFFFF"/>
        </w:rPr>
        <w:t xml:space="preserve">in Table 6 </w:t>
      </w:r>
      <w:r w:rsidRPr="005E13B9">
        <w:rPr>
          <w:rFonts w:eastAsia="標楷體"/>
          <w:sz w:val="26"/>
          <w:szCs w:val="26"/>
          <w:shd w:val="clear" w:color="auto" w:fill="FFFFFF"/>
        </w:rPr>
        <w:t>for the shareholding changes of foreign institutions, domestic institutions, and security dealers in Equations (4a) – (4c), respectively. In addition, we employ financial statement variables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net profit ratio, asset turnover ratio, and debt ratio, board structure variables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directors’ </w:t>
      </w:r>
      <w:r w:rsidRPr="005E13B9">
        <w:rPr>
          <w:rFonts w:eastAsia="標楷體" w:hint="eastAsia"/>
          <w:sz w:val="26"/>
          <w:szCs w:val="26"/>
          <w:shd w:val="clear" w:color="auto" w:fill="FFFFFF"/>
        </w:rPr>
        <w:t>share</w:t>
      </w:r>
      <w:r w:rsidRPr="005E13B9">
        <w:rPr>
          <w:rFonts w:eastAsia="標楷體"/>
          <w:sz w:val="26"/>
          <w:szCs w:val="26"/>
          <w:shd w:val="clear" w:color="auto" w:fill="FFFFFF"/>
        </w:rPr>
        <w:t xml:space="preserve">holding ratio, managers’ </w:t>
      </w:r>
      <w:r w:rsidRPr="005E13B9">
        <w:rPr>
          <w:rFonts w:eastAsia="標楷體" w:hint="eastAsia"/>
          <w:sz w:val="26"/>
          <w:szCs w:val="26"/>
          <w:shd w:val="clear" w:color="auto" w:fill="FFFFFF"/>
        </w:rPr>
        <w:t>share</w:t>
      </w:r>
      <w:r w:rsidRPr="005E13B9">
        <w:rPr>
          <w:rFonts w:eastAsia="標楷體"/>
          <w:sz w:val="26"/>
          <w:szCs w:val="26"/>
          <w:shd w:val="clear" w:color="auto" w:fill="FFFFFF"/>
        </w:rPr>
        <w:t xml:space="preserve">holding ratio, directors’ pledge ratio, CEO duality </w:t>
      </w:r>
      <w:r w:rsidRPr="005E13B9">
        <w:rPr>
          <w:rFonts w:eastAsia="標楷體"/>
          <w:kern w:val="0"/>
          <w:sz w:val="26"/>
          <w:szCs w:val="26"/>
        </w:rPr>
        <w:t>dummy</w:t>
      </w:r>
      <w:r w:rsidRPr="005E13B9">
        <w:rPr>
          <w:rFonts w:eastAsia="標楷體"/>
          <w:sz w:val="26"/>
          <w:szCs w:val="26"/>
          <w:shd w:val="clear" w:color="auto" w:fill="FFFFFF"/>
        </w:rPr>
        <w:t>, and board size, and others</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including </w:t>
      </w:r>
      <w:r w:rsidRPr="005E13B9">
        <w:rPr>
          <w:rFonts w:eastAsia="標楷體"/>
          <w:noProof/>
          <w:kern w:val="0"/>
          <w:sz w:val="26"/>
          <w:szCs w:val="26"/>
        </w:rPr>
        <w:t>electronic</w:t>
      </w:r>
      <w:r w:rsidRPr="005E13B9">
        <w:rPr>
          <w:rFonts w:eastAsia="標楷體"/>
          <w:kern w:val="0"/>
          <w:sz w:val="26"/>
          <w:szCs w:val="26"/>
        </w:rPr>
        <w:t xml:space="preserve"> dummy</w:t>
      </w:r>
      <w:r w:rsidRPr="005E13B9">
        <w:rPr>
          <w:rFonts w:eastAsia="標楷體"/>
          <w:sz w:val="26"/>
          <w:szCs w:val="26"/>
          <w:shd w:val="clear" w:color="auto" w:fill="FFFFFF"/>
        </w:rPr>
        <w:t xml:space="preserve"> and firm scale</w:t>
      </w:r>
      <w:r w:rsidRPr="005E13B9">
        <w:rPr>
          <w:rFonts w:eastAsia="標楷體" w:hint="eastAsia"/>
          <w:sz w:val="26"/>
          <w:szCs w:val="26"/>
          <w:shd w:val="clear" w:color="auto" w:fill="FFFFFF"/>
        </w:rPr>
        <w:t>,</w:t>
      </w:r>
      <w:r w:rsidRPr="005E13B9">
        <w:rPr>
          <w:rFonts w:eastAsia="標楷體"/>
          <w:sz w:val="26"/>
          <w:szCs w:val="26"/>
          <w:shd w:val="clear" w:color="auto" w:fill="FFFFFF"/>
        </w:rPr>
        <w:t xml:space="preserve"> as </w:t>
      </w:r>
      <w:r w:rsidRPr="005E13B9">
        <w:rPr>
          <w:rFonts w:eastAsia="標楷體" w:hint="eastAsia"/>
          <w:sz w:val="26"/>
          <w:szCs w:val="26"/>
          <w:shd w:val="clear" w:color="auto" w:fill="FFFFFF"/>
        </w:rPr>
        <w:t xml:space="preserve">the </w:t>
      </w:r>
      <w:r w:rsidRPr="005E13B9">
        <w:rPr>
          <w:rFonts w:eastAsia="標楷體"/>
          <w:sz w:val="26"/>
          <w:szCs w:val="26"/>
          <w:shd w:val="clear" w:color="auto" w:fill="FFFFFF"/>
        </w:rPr>
        <w:t xml:space="preserve">controlling variables. The t-statistics are based on the standard errors that are adjusted by the two-way clusters existed in firm and year (Petersen, 2009) in Columns (4a) – </w:t>
      </w:r>
      <w:r w:rsidRPr="005E13B9">
        <w:rPr>
          <w:rFonts w:eastAsia="標楷體"/>
          <w:sz w:val="26"/>
          <w:szCs w:val="26"/>
          <w:shd w:val="clear" w:color="auto" w:fill="FFFFFF"/>
        </w:rPr>
        <w:lastRenderedPageBreak/>
        <w:t xml:space="preserve">(4c). Statistical significance values at the 10%, 5%, and 1% levels are denoted by *, **, and ***, respectively. </w:t>
      </w:r>
    </w:p>
    <w:p w14:paraId="46C82C4D" w14:textId="77777777" w:rsidR="004F5776" w:rsidRPr="005E13B9" w:rsidRDefault="004F5776" w:rsidP="001C65C7">
      <w:pPr>
        <w:widowControl/>
        <w:overflowPunct w:val="0"/>
        <w:rPr>
          <w:rFonts w:eastAsia="標楷體"/>
          <w:b/>
          <w:sz w:val="26"/>
          <w:szCs w:val="26"/>
        </w:rPr>
      </w:pPr>
    </w:p>
    <w:p w14:paraId="189F382A" w14:textId="424F8EAE" w:rsidR="001F6F2C" w:rsidRPr="005E13B9" w:rsidRDefault="001F6F2C" w:rsidP="00532BD2">
      <w:pPr>
        <w:widowControl/>
        <w:overflowPunct w:val="0"/>
        <w:rPr>
          <w:b/>
          <w:sz w:val="26"/>
          <w:szCs w:val="26"/>
        </w:rPr>
      </w:pPr>
      <w:r w:rsidRPr="005E13B9">
        <w:rPr>
          <w:rFonts w:eastAsia="標楷體"/>
          <w:b/>
          <w:sz w:val="26"/>
          <w:szCs w:val="26"/>
        </w:rPr>
        <w:t>Table 6</w:t>
      </w:r>
      <w:r w:rsidR="00532BD2" w:rsidRPr="005E13B9">
        <w:rPr>
          <w:rFonts w:eastAsia="標楷體"/>
          <w:b/>
          <w:sz w:val="26"/>
          <w:szCs w:val="26"/>
        </w:rPr>
        <w:t xml:space="preserve">  </w:t>
      </w:r>
      <w:r w:rsidRPr="005E13B9">
        <w:rPr>
          <w:rFonts w:eastAsia="標楷體"/>
          <w:b/>
          <w:sz w:val="26"/>
          <w:szCs w:val="26"/>
        </w:rPr>
        <w:t xml:space="preserve">Results for Petersen </w:t>
      </w:r>
      <w:r w:rsidRPr="005E13B9">
        <w:rPr>
          <w:b/>
          <w:sz w:val="26"/>
          <w:szCs w:val="26"/>
        </w:rPr>
        <w:t xml:space="preserve">models in terms of </w:t>
      </w:r>
      <w:r w:rsidR="00FB7A87" w:rsidRPr="005E13B9">
        <w:rPr>
          <w:rFonts w:hint="eastAsia"/>
          <w:b/>
          <w:sz w:val="26"/>
          <w:szCs w:val="26"/>
        </w:rPr>
        <w:t xml:space="preserve">the </w:t>
      </w:r>
      <w:r w:rsidRPr="005E13B9">
        <w:rPr>
          <w:b/>
          <w:sz w:val="26"/>
          <w:szCs w:val="26"/>
        </w:rPr>
        <w:t>industry category</w:t>
      </w:r>
      <w:r w:rsidRPr="005E13B9">
        <w:rPr>
          <w:b/>
          <w:kern w:val="0"/>
          <w:sz w:val="26"/>
          <w:szCs w:val="26"/>
        </w:rPr>
        <w:t xml:space="preserve"> change</w:t>
      </w:r>
    </w:p>
    <w:tbl>
      <w:tblPr>
        <w:tblW w:w="5000" w:type="pct"/>
        <w:tblBorders>
          <w:top w:val="double" w:sz="4" w:space="0" w:color="auto"/>
          <w:bottom w:val="double" w:sz="4" w:space="0" w:color="auto"/>
        </w:tblBorders>
        <w:tblCellMar>
          <w:left w:w="0" w:type="dxa"/>
          <w:right w:w="0" w:type="dxa"/>
        </w:tblCellMar>
        <w:tblLook w:val="0000" w:firstRow="0" w:lastRow="0" w:firstColumn="0" w:lastColumn="0" w:noHBand="0" w:noVBand="0"/>
      </w:tblPr>
      <w:tblGrid>
        <w:gridCol w:w="2619"/>
        <w:gridCol w:w="2135"/>
        <w:gridCol w:w="2136"/>
        <w:gridCol w:w="2136"/>
      </w:tblGrid>
      <w:tr w:rsidR="006F104F" w:rsidRPr="005E13B9" w14:paraId="044982C5" w14:textId="77777777" w:rsidTr="00532BD2">
        <w:trPr>
          <w:cantSplit/>
          <w:trHeight w:hRule="exact" w:val="375"/>
        </w:trPr>
        <w:tc>
          <w:tcPr>
            <w:tcW w:w="5000" w:type="pct"/>
            <w:gridSpan w:val="4"/>
            <w:tcBorders>
              <w:top w:val="single" w:sz="12" w:space="0" w:color="auto"/>
              <w:bottom w:val="single" w:sz="4" w:space="0" w:color="auto"/>
            </w:tcBorders>
            <w:noWrap/>
            <w:tcMar>
              <w:top w:w="14" w:type="dxa"/>
              <w:left w:w="14" w:type="dxa"/>
              <w:bottom w:w="0" w:type="dxa"/>
              <w:right w:w="14" w:type="dxa"/>
            </w:tcMar>
            <w:vAlign w:val="center"/>
          </w:tcPr>
          <w:p w14:paraId="6C7FF792" w14:textId="77777777" w:rsidR="001F6F2C" w:rsidRPr="005E13B9" w:rsidRDefault="001F6F2C" w:rsidP="001C65C7">
            <w:pPr>
              <w:widowControl/>
              <w:overflowPunct w:val="0"/>
              <w:adjustRightInd w:val="0"/>
              <w:snapToGrid w:val="0"/>
              <w:rPr>
                <w:rFonts w:eastAsia="標楷體"/>
                <w:sz w:val="22"/>
                <w:szCs w:val="18"/>
              </w:rPr>
            </w:pPr>
            <w:r w:rsidRPr="005E13B9">
              <w:rPr>
                <w:rFonts w:eastAsia="標楷體"/>
                <w:kern w:val="0"/>
                <w:sz w:val="22"/>
                <w:szCs w:val="20"/>
              </w:rPr>
              <w:t>Dependent</w:t>
            </w:r>
            <w:r w:rsidRPr="005E13B9">
              <w:rPr>
                <w:rFonts w:eastAsia="標楷體"/>
                <w:sz w:val="22"/>
                <w:szCs w:val="20"/>
              </w:rPr>
              <w:t xml:space="preserve"> variable</w:t>
            </w:r>
            <w:r w:rsidRPr="005E13B9">
              <w:rPr>
                <w:rFonts w:eastAsia="標楷體" w:hint="eastAsia"/>
                <w:sz w:val="22"/>
                <w:szCs w:val="20"/>
              </w:rPr>
              <w:t>：</w:t>
            </w:r>
            <w:r w:rsidRPr="005E13B9">
              <w:rPr>
                <w:rFonts w:eastAsia="標楷體"/>
                <w:sz w:val="22"/>
                <w:szCs w:val="20"/>
              </w:rPr>
              <w:t>S</w:t>
            </w:r>
            <w:r w:rsidRPr="005E13B9">
              <w:rPr>
                <w:sz w:val="22"/>
                <w:szCs w:val="20"/>
              </w:rPr>
              <w:t>hareholding of institutional investors</w:t>
            </w:r>
          </w:p>
        </w:tc>
      </w:tr>
      <w:tr w:rsidR="006F104F" w:rsidRPr="005E13B9" w14:paraId="23005B52" w14:textId="77777777" w:rsidTr="007875FC">
        <w:trPr>
          <w:cantSplit/>
          <w:trHeight w:hRule="exact" w:val="990"/>
        </w:trPr>
        <w:tc>
          <w:tcPr>
            <w:tcW w:w="1451" w:type="pct"/>
            <w:tcBorders>
              <w:top w:val="single" w:sz="4" w:space="0" w:color="auto"/>
              <w:bottom w:val="single" w:sz="4" w:space="0" w:color="auto"/>
            </w:tcBorders>
            <w:noWrap/>
            <w:tcMar>
              <w:top w:w="14" w:type="dxa"/>
              <w:left w:w="14" w:type="dxa"/>
              <w:bottom w:w="0" w:type="dxa"/>
              <w:right w:w="14" w:type="dxa"/>
            </w:tcMar>
            <w:vAlign w:val="center"/>
          </w:tcPr>
          <w:p w14:paraId="132A743E" w14:textId="77777777" w:rsidR="001F6F2C" w:rsidRPr="005E13B9" w:rsidRDefault="001F6F2C" w:rsidP="001C65C7">
            <w:pPr>
              <w:overflowPunct w:val="0"/>
              <w:adjustRightInd w:val="0"/>
              <w:snapToGrid w:val="0"/>
              <w:rPr>
                <w:rFonts w:eastAsia="標楷體"/>
                <w:sz w:val="22"/>
                <w:szCs w:val="18"/>
              </w:rPr>
            </w:pPr>
            <w:r w:rsidRPr="005E13B9">
              <w:rPr>
                <w:rFonts w:eastAsia="標楷體"/>
                <w:sz w:val="22"/>
                <w:szCs w:val="20"/>
              </w:rPr>
              <w:t>Independent variable</w:t>
            </w:r>
          </w:p>
        </w:tc>
        <w:tc>
          <w:tcPr>
            <w:tcW w:w="1183" w:type="pct"/>
            <w:tcBorders>
              <w:top w:val="single" w:sz="4" w:space="0" w:color="auto"/>
              <w:bottom w:val="single" w:sz="4" w:space="0" w:color="auto"/>
            </w:tcBorders>
            <w:noWrap/>
            <w:tcMar>
              <w:top w:w="14" w:type="dxa"/>
              <w:left w:w="14" w:type="dxa"/>
              <w:bottom w:w="0" w:type="dxa"/>
              <w:right w:w="14" w:type="dxa"/>
            </w:tcMar>
            <w:vAlign w:val="center"/>
          </w:tcPr>
          <w:p w14:paraId="5EBA3C99" w14:textId="77777777" w:rsidR="001F6F2C" w:rsidRPr="005E13B9" w:rsidRDefault="001F6F2C" w:rsidP="001C65C7">
            <w:pPr>
              <w:overflowPunct w:val="0"/>
              <w:adjustRightInd w:val="0"/>
              <w:snapToGrid w:val="0"/>
              <w:jc w:val="center"/>
              <w:rPr>
                <w:rFonts w:eastAsia="標楷體"/>
                <w:sz w:val="22"/>
                <w:szCs w:val="18"/>
              </w:rPr>
            </w:pPr>
            <w:r w:rsidRPr="005E13B9">
              <w:rPr>
                <w:rFonts w:eastAsia="標楷體" w:hint="eastAsia"/>
                <w:sz w:val="22"/>
                <w:szCs w:val="18"/>
              </w:rPr>
              <w:t>（</w:t>
            </w:r>
            <w:r w:rsidRPr="005E13B9">
              <w:rPr>
                <w:rFonts w:eastAsia="標楷體"/>
                <w:sz w:val="22"/>
                <w:szCs w:val="18"/>
              </w:rPr>
              <w:t>4a</w:t>
            </w:r>
            <w:r w:rsidRPr="005E13B9">
              <w:rPr>
                <w:rFonts w:eastAsia="標楷體" w:hint="eastAsia"/>
                <w:sz w:val="22"/>
                <w:szCs w:val="18"/>
              </w:rPr>
              <w:t>）</w:t>
            </w:r>
          </w:p>
          <w:p w14:paraId="29B39DC3" w14:textId="77777777" w:rsidR="001F6F2C" w:rsidRPr="005E13B9" w:rsidRDefault="001F6F2C" w:rsidP="001C65C7">
            <w:pPr>
              <w:overflowPunct w:val="0"/>
              <w:adjustRightInd w:val="0"/>
              <w:snapToGrid w:val="0"/>
              <w:jc w:val="center"/>
              <w:rPr>
                <w:sz w:val="22"/>
                <w:szCs w:val="20"/>
              </w:rPr>
            </w:pPr>
            <w:r w:rsidRPr="005E13B9">
              <w:rPr>
                <w:sz w:val="22"/>
                <w:szCs w:val="20"/>
              </w:rPr>
              <w:t>Shareholding change</w:t>
            </w:r>
          </w:p>
          <w:p w14:paraId="6AB8160F" w14:textId="77777777" w:rsidR="001F6F2C" w:rsidRPr="005E13B9" w:rsidRDefault="001F6F2C" w:rsidP="001C65C7">
            <w:pPr>
              <w:overflowPunct w:val="0"/>
              <w:adjustRightInd w:val="0"/>
              <w:snapToGrid w:val="0"/>
              <w:jc w:val="center"/>
              <w:rPr>
                <w:rFonts w:eastAsia="標楷體"/>
                <w:sz w:val="22"/>
                <w:szCs w:val="18"/>
              </w:rPr>
            </w:pPr>
            <w:r w:rsidRPr="005E13B9">
              <w:rPr>
                <w:sz w:val="22"/>
                <w:szCs w:val="20"/>
              </w:rPr>
              <w:t>of foreign institutions</w:t>
            </w:r>
          </w:p>
        </w:tc>
        <w:tc>
          <w:tcPr>
            <w:tcW w:w="1183" w:type="pct"/>
            <w:tcBorders>
              <w:top w:val="single" w:sz="4" w:space="0" w:color="auto"/>
              <w:bottom w:val="single" w:sz="4" w:space="0" w:color="auto"/>
            </w:tcBorders>
            <w:vAlign w:val="center"/>
          </w:tcPr>
          <w:p w14:paraId="33331D95" w14:textId="77777777" w:rsidR="001F6F2C" w:rsidRPr="005E13B9" w:rsidRDefault="001F6F2C" w:rsidP="001C65C7">
            <w:pPr>
              <w:overflowPunct w:val="0"/>
              <w:adjustRightInd w:val="0"/>
              <w:snapToGrid w:val="0"/>
              <w:jc w:val="center"/>
              <w:rPr>
                <w:rFonts w:eastAsia="標楷體"/>
                <w:sz w:val="22"/>
                <w:szCs w:val="18"/>
              </w:rPr>
            </w:pPr>
            <w:r w:rsidRPr="005E13B9">
              <w:rPr>
                <w:rFonts w:eastAsia="標楷體" w:hint="eastAsia"/>
                <w:sz w:val="22"/>
                <w:szCs w:val="18"/>
              </w:rPr>
              <w:t>（</w:t>
            </w:r>
            <w:r w:rsidRPr="005E13B9">
              <w:rPr>
                <w:rFonts w:eastAsia="標楷體"/>
                <w:sz w:val="22"/>
                <w:szCs w:val="18"/>
              </w:rPr>
              <w:t>4b</w:t>
            </w:r>
            <w:r w:rsidRPr="005E13B9">
              <w:rPr>
                <w:rFonts w:eastAsia="標楷體" w:hint="eastAsia"/>
                <w:sz w:val="22"/>
                <w:szCs w:val="18"/>
              </w:rPr>
              <w:t>）</w:t>
            </w:r>
          </w:p>
          <w:p w14:paraId="4B02B8B1" w14:textId="77777777" w:rsidR="001F6F2C" w:rsidRPr="005E13B9" w:rsidRDefault="001F6F2C" w:rsidP="001C65C7">
            <w:pPr>
              <w:overflowPunct w:val="0"/>
              <w:adjustRightInd w:val="0"/>
              <w:snapToGrid w:val="0"/>
              <w:jc w:val="center"/>
              <w:rPr>
                <w:sz w:val="22"/>
                <w:szCs w:val="20"/>
              </w:rPr>
            </w:pPr>
            <w:r w:rsidRPr="005E13B9">
              <w:rPr>
                <w:sz w:val="22"/>
                <w:szCs w:val="20"/>
              </w:rPr>
              <w:t>Shareholding change</w:t>
            </w:r>
          </w:p>
          <w:p w14:paraId="427436CB" w14:textId="77777777" w:rsidR="001F6F2C" w:rsidRPr="005E13B9" w:rsidRDefault="001F6F2C" w:rsidP="001C65C7">
            <w:pPr>
              <w:overflowPunct w:val="0"/>
              <w:adjustRightInd w:val="0"/>
              <w:snapToGrid w:val="0"/>
              <w:jc w:val="center"/>
              <w:rPr>
                <w:rFonts w:eastAsia="標楷體"/>
                <w:sz w:val="22"/>
                <w:szCs w:val="18"/>
              </w:rPr>
            </w:pPr>
            <w:r w:rsidRPr="005E13B9">
              <w:rPr>
                <w:sz w:val="22"/>
                <w:szCs w:val="20"/>
              </w:rPr>
              <w:t xml:space="preserve">of </w:t>
            </w:r>
            <w:r w:rsidRPr="005E13B9">
              <w:rPr>
                <w:rFonts w:eastAsia="標楷體"/>
                <w:sz w:val="22"/>
                <w:szCs w:val="20"/>
              </w:rPr>
              <w:t>domestic institutions</w:t>
            </w:r>
          </w:p>
        </w:tc>
        <w:tc>
          <w:tcPr>
            <w:tcW w:w="1183" w:type="pct"/>
            <w:tcBorders>
              <w:top w:val="single" w:sz="4" w:space="0" w:color="auto"/>
              <w:bottom w:val="single" w:sz="4" w:space="0" w:color="auto"/>
            </w:tcBorders>
          </w:tcPr>
          <w:p w14:paraId="7F66D113" w14:textId="77777777" w:rsidR="001F6F2C" w:rsidRPr="005E13B9" w:rsidRDefault="001F6F2C" w:rsidP="001C65C7">
            <w:pPr>
              <w:overflowPunct w:val="0"/>
              <w:adjustRightInd w:val="0"/>
              <w:snapToGrid w:val="0"/>
              <w:jc w:val="center"/>
              <w:rPr>
                <w:rFonts w:eastAsia="標楷體"/>
                <w:sz w:val="22"/>
                <w:szCs w:val="18"/>
              </w:rPr>
            </w:pPr>
            <w:r w:rsidRPr="005E13B9">
              <w:rPr>
                <w:rFonts w:eastAsia="標楷體" w:hint="eastAsia"/>
                <w:sz w:val="22"/>
                <w:szCs w:val="18"/>
              </w:rPr>
              <w:t>（</w:t>
            </w:r>
            <w:r w:rsidRPr="005E13B9">
              <w:rPr>
                <w:rFonts w:eastAsia="標楷體"/>
                <w:sz w:val="22"/>
                <w:szCs w:val="18"/>
              </w:rPr>
              <w:t>4c</w:t>
            </w:r>
            <w:r w:rsidRPr="005E13B9">
              <w:rPr>
                <w:rFonts w:eastAsia="標楷體" w:hint="eastAsia"/>
                <w:sz w:val="22"/>
                <w:szCs w:val="18"/>
              </w:rPr>
              <w:t>）</w:t>
            </w:r>
          </w:p>
          <w:p w14:paraId="266FC31C" w14:textId="77777777" w:rsidR="001F6F2C" w:rsidRPr="005E13B9" w:rsidRDefault="001F6F2C" w:rsidP="001C65C7">
            <w:pPr>
              <w:overflowPunct w:val="0"/>
              <w:adjustRightInd w:val="0"/>
              <w:snapToGrid w:val="0"/>
              <w:jc w:val="center"/>
              <w:rPr>
                <w:sz w:val="22"/>
                <w:szCs w:val="20"/>
              </w:rPr>
            </w:pPr>
            <w:r w:rsidRPr="005E13B9">
              <w:rPr>
                <w:sz w:val="22"/>
                <w:szCs w:val="20"/>
              </w:rPr>
              <w:t>Shareholding change</w:t>
            </w:r>
          </w:p>
          <w:p w14:paraId="289CD0BB" w14:textId="77777777" w:rsidR="001F6F2C" w:rsidRPr="005E13B9" w:rsidRDefault="001F6F2C" w:rsidP="001C65C7">
            <w:pPr>
              <w:overflowPunct w:val="0"/>
              <w:adjustRightInd w:val="0"/>
              <w:snapToGrid w:val="0"/>
              <w:jc w:val="center"/>
              <w:rPr>
                <w:rFonts w:eastAsia="標楷體"/>
                <w:sz w:val="22"/>
                <w:szCs w:val="18"/>
              </w:rPr>
            </w:pPr>
            <w:r w:rsidRPr="005E13B9">
              <w:rPr>
                <w:rFonts w:eastAsia="標楷體"/>
                <w:sz w:val="22"/>
                <w:szCs w:val="20"/>
              </w:rPr>
              <w:t>of security dealers</w:t>
            </w:r>
          </w:p>
        </w:tc>
      </w:tr>
      <w:tr w:rsidR="006F104F" w:rsidRPr="005E13B9" w14:paraId="205F7DDA" w14:textId="77777777" w:rsidTr="007875FC">
        <w:trPr>
          <w:cantSplit/>
          <w:trHeight w:hRule="exact" w:val="255"/>
        </w:trPr>
        <w:tc>
          <w:tcPr>
            <w:tcW w:w="1451" w:type="pct"/>
            <w:tcBorders>
              <w:top w:val="single" w:sz="4" w:space="0" w:color="auto"/>
              <w:bottom w:val="nil"/>
            </w:tcBorders>
            <w:noWrap/>
            <w:tcMar>
              <w:top w:w="14" w:type="dxa"/>
              <w:left w:w="14" w:type="dxa"/>
              <w:bottom w:w="0" w:type="dxa"/>
              <w:right w:w="14" w:type="dxa"/>
            </w:tcMar>
            <w:vAlign w:val="center"/>
          </w:tcPr>
          <w:p w14:paraId="5FBC13E8" w14:textId="77777777" w:rsidR="001F6F2C" w:rsidRPr="005E13B9" w:rsidRDefault="001F6F2C" w:rsidP="001C65C7">
            <w:pPr>
              <w:widowControl/>
              <w:overflowPunct w:val="0"/>
              <w:adjustRightInd w:val="0"/>
              <w:snapToGrid w:val="0"/>
              <w:rPr>
                <w:rFonts w:eastAsia="標楷體"/>
                <w:kern w:val="0"/>
                <w:sz w:val="22"/>
                <w:szCs w:val="20"/>
              </w:rPr>
            </w:pPr>
            <w:r w:rsidRPr="005E13B9">
              <w:rPr>
                <w:kern w:val="0"/>
                <w:sz w:val="22"/>
                <w:szCs w:val="20"/>
              </w:rPr>
              <w:t xml:space="preserve">Industry category change </w:t>
            </w:r>
          </w:p>
        </w:tc>
        <w:tc>
          <w:tcPr>
            <w:tcW w:w="1183" w:type="pct"/>
            <w:tcBorders>
              <w:top w:val="single" w:sz="4" w:space="0" w:color="auto"/>
              <w:bottom w:val="nil"/>
            </w:tcBorders>
            <w:noWrap/>
            <w:tcMar>
              <w:top w:w="14" w:type="dxa"/>
              <w:left w:w="14" w:type="dxa"/>
              <w:bottom w:w="0" w:type="dxa"/>
              <w:right w:w="14" w:type="dxa"/>
            </w:tcMar>
            <w:vAlign w:val="center"/>
          </w:tcPr>
          <w:p w14:paraId="4D54912F" w14:textId="50B05E9C"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-5.686***</w:t>
            </w:r>
          </w:p>
        </w:tc>
        <w:tc>
          <w:tcPr>
            <w:tcW w:w="1183" w:type="pct"/>
            <w:tcBorders>
              <w:top w:val="single" w:sz="4" w:space="0" w:color="auto"/>
              <w:bottom w:val="nil"/>
            </w:tcBorders>
            <w:vAlign w:val="center"/>
          </w:tcPr>
          <w:p w14:paraId="4052931D" w14:textId="5F462A59"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0.02</w:t>
            </w:r>
            <w:r w:rsidR="00F05F94" w:rsidRPr="005E13B9">
              <w:rPr>
                <w:rFonts w:eastAsia="標楷體"/>
                <w:sz w:val="22"/>
                <w:szCs w:val="20"/>
              </w:rPr>
              <w:t>7</w:t>
            </w:r>
          </w:p>
        </w:tc>
        <w:tc>
          <w:tcPr>
            <w:tcW w:w="1183" w:type="pct"/>
            <w:tcBorders>
              <w:top w:val="single" w:sz="4" w:space="0" w:color="auto"/>
              <w:bottom w:val="nil"/>
            </w:tcBorders>
            <w:vAlign w:val="center"/>
          </w:tcPr>
          <w:p w14:paraId="3AE28D9C" w14:textId="25B1514C"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0.012</w:t>
            </w:r>
          </w:p>
        </w:tc>
      </w:tr>
      <w:tr w:rsidR="006F104F" w:rsidRPr="005E13B9" w14:paraId="3BB82A5F"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0A6BE86B" w14:textId="77777777" w:rsidR="001F6F2C" w:rsidRPr="005E13B9" w:rsidRDefault="001F6F2C" w:rsidP="001C65C7">
            <w:pPr>
              <w:widowControl/>
              <w:overflowPunct w:val="0"/>
              <w:adjustRightInd w:val="0"/>
              <w:snapToGrid w:val="0"/>
              <w:ind w:firstLineChars="142" w:firstLine="312"/>
              <w:rPr>
                <w:rFonts w:eastAsia="標楷體"/>
                <w:kern w:val="0"/>
                <w:sz w:val="22"/>
                <w:szCs w:val="20"/>
              </w:rPr>
            </w:pPr>
            <w:r w:rsidRPr="005E13B9">
              <w:rPr>
                <w:kern w:val="0"/>
                <w:sz w:val="22"/>
                <w:szCs w:val="20"/>
              </w:rPr>
              <w:t>once dummy</w:t>
            </w:r>
          </w:p>
        </w:tc>
        <w:tc>
          <w:tcPr>
            <w:tcW w:w="1183" w:type="pct"/>
            <w:tcBorders>
              <w:top w:val="nil"/>
              <w:bottom w:val="nil"/>
            </w:tcBorders>
            <w:noWrap/>
            <w:tcMar>
              <w:top w:w="14" w:type="dxa"/>
              <w:left w:w="14" w:type="dxa"/>
              <w:bottom w:w="0" w:type="dxa"/>
              <w:right w:w="14" w:type="dxa"/>
            </w:tcMar>
            <w:vAlign w:val="center"/>
          </w:tcPr>
          <w:p w14:paraId="68C00AA3" w14:textId="192A642F"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1.503</w:t>
            </w:r>
            <w:r w:rsidRPr="005E13B9">
              <w:rPr>
                <w:rFonts w:eastAsia="標楷體" w:hint="eastAsia"/>
                <w:sz w:val="22"/>
                <w:szCs w:val="20"/>
              </w:rPr>
              <w:t>）</w:t>
            </w:r>
          </w:p>
        </w:tc>
        <w:tc>
          <w:tcPr>
            <w:tcW w:w="1183" w:type="pct"/>
            <w:tcBorders>
              <w:top w:val="nil"/>
              <w:bottom w:val="nil"/>
            </w:tcBorders>
            <w:vAlign w:val="center"/>
          </w:tcPr>
          <w:p w14:paraId="2A651124" w14:textId="1BF694E4"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0.12</w:t>
            </w:r>
            <w:r w:rsidR="00F05F94" w:rsidRPr="005E13B9">
              <w:rPr>
                <w:rFonts w:eastAsia="標楷體"/>
                <w:sz w:val="22"/>
                <w:szCs w:val="20"/>
              </w:rPr>
              <w:t>4</w:t>
            </w:r>
            <w:r w:rsidRPr="005E13B9">
              <w:rPr>
                <w:rFonts w:eastAsia="標楷體" w:hint="eastAsia"/>
                <w:sz w:val="22"/>
                <w:szCs w:val="20"/>
              </w:rPr>
              <w:t>）</w:t>
            </w:r>
          </w:p>
        </w:tc>
        <w:tc>
          <w:tcPr>
            <w:tcW w:w="1183" w:type="pct"/>
            <w:tcBorders>
              <w:top w:val="nil"/>
              <w:bottom w:val="nil"/>
            </w:tcBorders>
            <w:vAlign w:val="center"/>
          </w:tcPr>
          <w:p w14:paraId="024F6A93" w14:textId="1E8884E9"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0.052</w:t>
            </w:r>
            <w:r w:rsidRPr="005E13B9">
              <w:rPr>
                <w:rFonts w:eastAsia="標楷體" w:hint="eastAsia"/>
                <w:sz w:val="22"/>
                <w:szCs w:val="20"/>
              </w:rPr>
              <w:t>）</w:t>
            </w:r>
          </w:p>
        </w:tc>
      </w:tr>
      <w:tr w:rsidR="006F104F" w:rsidRPr="005E13B9" w14:paraId="510C8A38"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233E555C" w14:textId="77777777" w:rsidR="001F6F2C" w:rsidRPr="005E13B9" w:rsidRDefault="001F6F2C" w:rsidP="001C65C7">
            <w:pPr>
              <w:widowControl/>
              <w:overflowPunct w:val="0"/>
              <w:adjustRightInd w:val="0"/>
              <w:snapToGrid w:val="0"/>
              <w:rPr>
                <w:rFonts w:eastAsia="標楷體"/>
                <w:kern w:val="0"/>
                <w:sz w:val="22"/>
                <w:szCs w:val="20"/>
              </w:rPr>
            </w:pPr>
            <w:r w:rsidRPr="005E13B9">
              <w:rPr>
                <w:kern w:val="0"/>
                <w:sz w:val="22"/>
                <w:szCs w:val="20"/>
              </w:rPr>
              <w:t xml:space="preserve">Industry category change </w:t>
            </w:r>
          </w:p>
        </w:tc>
        <w:tc>
          <w:tcPr>
            <w:tcW w:w="1183" w:type="pct"/>
            <w:tcBorders>
              <w:top w:val="nil"/>
              <w:bottom w:val="nil"/>
            </w:tcBorders>
            <w:noWrap/>
            <w:tcMar>
              <w:top w:w="14" w:type="dxa"/>
              <w:left w:w="14" w:type="dxa"/>
              <w:bottom w:w="0" w:type="dxa"/>
              <w:right w:w="14" w:type="dxa"/>
            </w:tcMar>
            <w:vAlign w:val="center"/>
          </w:tcPr>
          <w:p w14:paraId="295D628B" w14:textId="40FBD018"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0.94</w:t>
            </w:r>
            <w:r w:rsidR="00814323" w:rsidRPr="005E13B9">
              <w:rPr>
                <w:rFonts w:eastAsia="標楷體"/>
                <w:sz w:val="22"/>
                <w:szCs w:val="20"/>
              </w:rPr>
              <w:t>1</w:t>
            </w:r>
          </w:p>
        </w:tc>
        <w:tc>
          <w:tcPr>
            <w:tcW w:w="1183" w:type="pct"/>
            <w:tcBorders>
              <w:top w:val="nil"/>
              <w:bottom w:val="nil"/>
            </w:tcBorders>
            <w:vAlign w:val="center"/>
          </w:tcPr>
          <w:p w14:paraId="7E9A4A34" w14:textId="3F40A258"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-0.29</w:t>
            </w:r>
            <w:r w:rsidR="00F05F94" w:rsidRPr="005E13B9">
              <w:rPr>
                <w:rFonts w:eastAsia="標楷體"/>
                <w:sz w:val="22"/>
                <w:szCs w:val="20"/>
              </w:rPr>
              <w:t>8</w:t>
            </w:r>
            <w:r w:rsidRPr="005E13B9">
              <w:rPr>
                <w:rFonts w:eastAsia="標楷體"/>
                <w:sz w:val="22"/>
                <w:szCs w:val="20"/>
              </w:rPr>
              <w:t>*</w:t>
            </w:r>
          </w:p>
        </w:tc>
        <w:tc>
          <w:tcPr>
            <w:tcW w:w="1183" w:type="pct"/>
            <w:tcBorders>
              <w:top w:val="nil"/>
              <w:bottom w:val="nil"/>
            </w:tcBorders>
            <w:vAlign w:val="center"/>
          </w:tcPr>
          <w:p w14:paraId="001DB9AF" w14:textId="20727243"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-0.03</w:t>
            </w:r>
            <w:r w:rsidR="00F05F94" w:rsidRPr="005E13B9">
              <w:rPr>
                <w:rFonts w:eastAsia="標楷體"/>
                <w:sz w:val="22"/>
                <w:szCs w:val="20"/>
              </w:rPr>
              <w:t>6</w:t>
            </w:r>
          </w:p>
          <w:p w14:paraId="0F692DBE"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w:t>
            </w:r>
          </w:p>
        </w:tc>
      </w:tr>
      <w:tr w:rsidR="006F104F" w:rsidRPr="005E13B9" w14:paraId="7DF468AA"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691F7764" w14:textId="77777777" w:rsidR="001F6F2C" w:rsidRPr="005E13B9" w:rsidRDefault="001F6F2C" w:rsidP="001C65C7">
            <w:pPr>
              <w:widowControl/>
              <w:overflowPunct w:val="0"/>
              <w:adjustRightInd w:val="0"/>
              <w:snapToGrid w:val="0"/>
              <w:ind w:firstLineChars="142" w:firstLine="312"/>
              <w:rPr>
                <w:rFonts w:eastAsia="標楷體"/>
                <w:kern w:val="0"/>
                <w:sz w:val="22"/>
                <w:szCs w:val="20"/>
              </w:rPr>
            </w:pPr>
            <w:r w:rsidRPr="005E13B9">
              <w:rPr>
                <w:kern w:val="0"/>
                <w:sz w:val="22"/>
                <w:szCs w:val="20"/>
              </w:rPr>
              <w:t xml:space="preserve">more than once </w:t>
            </w:r>
            <w:r w:rsidRPr="005E13B9">
              <w:rPr>
                <w:noProof/>
                <w:kern w:val="0"/>
                <w:sz w:val="22"/>
                <w:szCs w:val="20"/>
              </w:rPr>
              <w:t>dummy</w:t>
            </w:r>
          </w:p>
        </w:tc>
        <w:tc>
          <w:tcPr>
            <w:tcW w:w="1183" w:type="pct"/>
            <w:tcBorders>
              <w:top w:val="nil"/>
              <w:bottom w:val="nil"/>
            </w:tcBorders>
            <w:noWrap/>
            <w:tcMar>
              <w:top w:w="14" w:type="dxa"/>
              <w:left w:w="14" w:type="dxa"/>
              <w:bottom w:w="0" w:type="dxa"/>
              <w:right w:w="14" w:type="dxa"/>
            </w:tcMar>
            <w:vAlign w:val="center"/>
          </w:tcPr>
          <w:p w14:paraId="77341CB4" w14:textId="176B07BB"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1.367</w:t>
            </w:r>
            <w:r w:rsidRPr="005E13B9">
              <w:rPr>
                <w:rFonts w:eastAsia="標楷體" w:hint="eastAsia"/>
                <w:sz w:val="22"/>
                <w:szCs w:val="20"/>
              </w:rPr>
              <w:t>）</w:t>
            </w:r>
          </w:p>
        </w:tc>
        <w:tc>
          <w:tcPr>
            <w:tcW w:w="1183" w:type="pct"/>
            <w:tcBorders>
              <w:top w:val="nil"/>
              <w:bottom w:val="nil"/>
            </w:tcBorders>
            <w:vAlign w:val="center"/>
          </w:tcPr>
          <w:p w14:paraId="253E1C61" w14:textId="2DA0EAA1"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0.176</w:t>
            </w:r>
            <w:r w:rsidRPr="005E13B9">
              <w:rPr>
                <w:rFonts w:eastAsia="標楷體" w:hint="eastAsia"/>
                <w:sz w:val="22"/>
                <w:szCs w:val="20"/>
              </w:rPr>
              <w:t>）</w:t>
            </w:r>
          </w:p>
        </w:tc>
        <w:tc>
          <w:tcPr>
            <w:tcW w:w="1183" w:type="pct"/>
            <w:tcBorders>
              <w:top w:val="nil"/>
              <w:bottom w:val="nil"/>
            </w:tcBorders>
            <w:vAlign w:val="center"/>
          </w:tcPr>
          <w:p w14:paraId="5AD379CC" w14:textId="61963FB7"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0.036</w:t>
            </w:r>
            <w:r w:rsidRPr="005E13B9">
              <w:rPr>
                <w:rFonts w:eastAsia="標楷體" w:hint="eastAsia"/>
                <w:sz w:val="22"/>
                <w:szCs w:val="20"/>
              </w:rPr>
              <w:t>）</w:t>
            </w:r>
          </w:p>
        </w:tc>
      </w:tr>
      <w:tr w:rsidR="006F104F" w:rsidRPr="005E13B9" w14:paraId="2C67658A"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24602EA1" w14:textId="7C821F49" w:rsidR="001F6F2C" w:rsidRPr="005E13B9" w:rsidRDefault="001F6F2C" w:rsidP="001C65C7">
            <w:pPr>
              <w:widowControl/>
              <w:overflowPunct w:val="0"/>
              <w:adjustRightInd w:val="0"/>
              <w:snapToGrid w:val="0"/>
              <w:rPr>
                <w:rFonts w:eastAsia="標楷體"/>
                <w:kern w:val="0"/>
                <w:sz w:val="22"/>
                <w:szCs w:val="20"/>
              </w:rPr>
            </w:pPr>
            <w:r w:rsidRPr="005E13B9">
              <w:rPr>
                <w:kern w:val="0"/>
                <w:sz w:val="22"/>
                <w:szCs w:val="20"/>
              </w:rPr>
              <w:t>Net profit ratio</w:t>
            </w:r>
          </w:p>
        </w:tc>
        <w:tc>
          <w:tcPr>
            <w:tcW w:w="1183" w:type="pct"/>
            <w:tcBorders>
              <w:top w:val="nil"/>
              <w:bottom w:val="nil"/>
            </w:tcBorders>
            <w:noWrap/>
            <w:tcMar>
              <w:top w:w="14" w:type="dxa"/>
              <w:left w:w="14" w:type="dxa"/>
              <w:bottom w:w="0" w:type="dxa"/>
              <w:right w:w="14" w:type="dxa"/>
            </w:tcMar>
            <w:vAlign w:val="center"/>
          </w:tcPr>
          <w:p w14:paraId="18E9AD7C" w14:textId="0CCF2DE1" w:rsidR="001F6F2C" w:rsidRPr="005E13B9" w:rsidRDefault="00814323" w:rsidP="00814323">
            <w:pPr>
              <w:overflowPunct w:val="0"/>
              <w:adjustRightInd w:val="0"/>
              <w:snapToGrid w:val="0"/>
              <w:jc w:val="center"/>
              <w:rPr>
                <w:rFonts w:eastAsia="標楷體"/>
                <w:sz w:val="22"/>
                <w:szCs w:val="20"/>
              </w:rPr>
            </w:pPr>
            <w:r w:rsidRPr="005E13B9">
              <w:rPr>
                <w:rFonts w:eastAsia="標楷體"/>
                <w:sz w:val="22"/>
                <w:szCs w:val="20"/>
              </w:rPr>
              <w:t>3.5e-4</w:t>
            </w:r>
          </w:p>
        </w:tc>
        <w:tc>
          <w:tcPr>
            <w:tcW w:w="1183" w:type="pct"/>
            <w:tcBorders>
              <w:top w:val="nil"/>
              <w:bottom w:val="nil"/>
            </w:tcBorders>
            <w:vAlign w:val="center"/>
          </w:tcPr>
          <w:p w14:paraId="57B11D1A" w14:textId="29FB57E0" w:rsidR="001F6F2C" w:rsidRPr="005E13B9" w:rsidRDefault="00F05F94" w:rsidP="00F05F94">
            <w:pPr>
              <w:overflowPunct w:val="0"/>
              <w:adjustRightInd w:val="0"/>
              <w:snapToGrid w:val="0"/>
              <w:jc w:val="center"/>
              <w:rPr>
                <w:rFonts w:eastAsia="標楷體"/>
                <w:sz w:val="22"/>
                <w:szCs w:val="20"/>
              </w:rPr>
            </w:pPr>
            <w:r w:rsidRPr="005E13B9">
              <w:rPr>
                <w:rFonts w:eastAsia="標楷體"/>
                <w:sz w:val="22"/>
                <w:szCs w:val="20"/>
              </w:rPr>
              <w:t>2.3e-4</w:t>
            </w:r>
            <w:r w:rsidR="001F6F2C" w:rsidRPr="005E13B9">
              <w:rPr>
                <w:rFonts w:eastAsia="標楷體"/>
                <w:sz w:val="22"/>
                <w:szCs w:val="20"/>
              </w:rPr>
              <w:t>*</w:t>
            </w:r>
          </w:p>
        </w:tc>
        <w:tc>
          <w:tcPr>
            <w:tcW w:w="1183" w:type="pct"/>
            <w:tcBorders>
              <w:top w:val="nil"/>
              <w:bottom w:val="nil"/>
            </w:tcBorders>
            <w:vAlign w:val="center"/>
          </w:tcPr>
          <w:p w14:paraId="40B64AFB" w14:textId="527C1E6A" w:rsidR="001F6F2C" w:rsidRPr="005E13B9" w:rsidRDefault="00F05F94" w:rsidP="00F05F94">
            <w:pPr>
              <w:overflowPunct w:val="0"/>
              <w:adjustRightInd w:val="0"/>
              <w:snapToGrid w:val="0"/>
              <w:jc w:val="center"/>
              <w:rPr>
                <w:rFonts w:eastAsia="標楷體"/>
                <w:sz w:val="22"/>
                <w:szCs w:val="20"/>
              </w:rPr>
            </w:pPr>
            <w:r w:rsidRPr="005E13B9">
              <w:rPr>
                <w:rFonts w:eastAsia="標楷體"/>
                <w:sz w:val="22"/>
                <w:szCs w:val="20"/>
              </w:rPr>
              <w:t>7e-5</w:t>
            </w:r>
          </w:p>
        </w:tc>
      </w:tr>
      <w:tr w:rsidR="006F104F" w:rsidRPr="005E13B9" w14:paraId="21364CCF"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15AF1742" w14:textId="77777777" w:rsidR="001F6F2C" w:rsidRPr="005E13B9" w:rsidRDefault="001F6F2C" w:rsidP="001C65C7">
            <w:pPr>
              <w:widowControl/>
              <w:overflowPunct w:val="0"/>
              <w:adjustRightInd w:val="0"/>
              <w:snapToGrid w:val="0"/>
              <w:rPr>
                <w:rFonts w:eastAsia="標楷體"/>
                <w:kern w:val="0"/>
                <w:sz w:val="22"/>
                <w:szCs w:val="20"/>
              </w:rPr>
            </w:pPr>
          </w:p>
        </w:tc>
        <w:tc>
          <w:tcPr>
            <w:tcW w:w="1183" w:type="pct"/>
            <w:tcBorders>
              <w:top w:val="nil"/>
              <w:bottom w:val="nil"/>
            </w:tcBorders>
            <w:noWrap/>
            <w:tcMar>
              <w:top w:w="14" w:type="dxa"/>
              <w:left w:w="14" w:type="dxa"/>
              <w:bottom w:w="0" w:type="dxa"/>
              <w:right w:w="14" w:type="dxa"/>
            </w:tcMar>
            <w:vAlign w:val="center"/>
          </w:tcPr>
          <w:p w14:paraId="791BF453" w14:textId="354CC2D7"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00814323" w:rsidRPr="005E13B9">
              <w:rPr>
                <w:rFonts w:eastAsia="標楷體" w:hint="eastAsia"/>
                <w:sz w:val="22"/>
                <w:szCs w:val="20"/>
              </w:rPr>
              <w:t>3e</w:t>
            </w:r>
            <w:r w:rsidR="00814323" w:rsidRPr="005E13B9">
              <w:rPr>
                <w:rFonts w:eastAsia="標楷體"/>
                <w:sz w:val="22"/>
                <w:szCs w:val="20"/>
              </w:rPr>
              <w:t>-4</w:t>
            </w:r>
            <w:r w:rsidRPr="005E13B9">
              <w:rPr>
                <w:rFonts w:eastAsia="標楷體" w:hint="eastAsia"/>
                <w:sz w:val="22"/>
                <w:szCs w:val="20"/>
              </w:rPr>
              <w:t>）</w:t>
            </w:r>
          </w:p>
        </w:tc>
        <w:tc>
          <w:tcPr>
            <w:tcW w:w="1183" w:type="pct"/>
            <w:tcBorders>
              <w:top w:val="nil"/>
              <w:bottom w:val="nil"/>
            </w:tcBorders>
            <w:vAlign w:val="center"/>
          </w:tcPr>
          <w:p w14:paraId="4078FA94" w14:textId="4DC16E0E"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00F05F94" w:rsidRPr="005E13B9">
              <w:rPr>
                <w:rFonts w:eastAsia="標楷體" w:hint="eastAsia"/>
                <w:sz w:val="22"/>
                <w:szCs w:val="20"/>
              </w:rPr>
              <w:t>1</w:t>
            </w:r>
            <w:r w:rsidR="00F05F94" w:rsidRPr="005E13B9">
              <w:rPr>
                <w:rFonts w:eastAsia="標楷體"/>
                <w:sz w:val="22"/>
                <w:szCs w:val="20"/>
              </w:rPr>
              <w:t>.3e-4</w:t>
            </w:r>
            <w:r w:rsidRPr="005E13B9">
              <w:rPr>
                <w:rFonts w:eastAsia="標楷體" w:hint="eastAsia"/>
                <w:sz w:val="22"/>
                <w:szCs w:val="20"/>
              </w:rPr>
              <w:t>）</w:t>
            </w:r>
          </w:p>
        </w:tc>
        <w:tc>
          <w:tcPr>
            <w:tcW w:w="1183" w:type="pct"/>
            <w:tcBorders>
              <w:top w:val="nil"/>
              <w:bottom w:val="nil"/>
            </w:tcBorders>
            <w:vAlign w:val="center"/>
          </w:tcPr>
          <w:p w14:paraId="7C31E54A" w14:textId="2D1B9009"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00F05F94" w:rsidRPr="005E13B9">
              <w:rPr>
                <w:rFonts w:eastAsia="標楷體" w:hint="eastAsia"/>
                <w:sz w:val="22"/>
                <w:szCs w:val="20"/>
              </w:rPr>
              <w:t>9e</w:t>
            </w:r>
            <w:r w:rsidR="00F05F94" w:rsidRPr="005E13B9">
              <w:rPr>
                <w:rFonts w:eastAsia="標楷體"/>
                <w:sz w:val="22"/>
                <w:szCs w:val="20"/>
              </w:rPr>
              <w:t>-5</w:t>
            </w:r>
            <w:r w:rsidRPr="005E13B9">
              <w:rPr>
                <w:rFonts w:eastAsia="標楷體" w:hint="eastAsia"/>
                <w:sz w:val="22"/>
                <w:szCs w:val="20"/>
              </w:rPr>
              <w:t>）</w:t>
            </w:r>
          </w:p>
        </w:tc>
      </w:tr>
      <w:tr w:rsidR="006F104F" w:rsidRPr="005E13B9" w14:paraId="6CECFF37"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3B2D5DAB" w14:textId="77777777" w:rsidR="001F6F2C" w:rsidRPr="005E13B9" w:rsidRDefault="001F6F2C" w:rsidP="001C65C7">
            <w:pPr>
              <w:widowControl/>
              <w:overflowPunct w:val="0"/>
              <w:adjustRightInd w:val="0"/>
              <w:snapToGrid w:val="0"/>
              <w:rPr>
                <w:rFonts w:eastAsia="標楷體"/>
                <w:kern w:val="0"/>
                <w:sz w:val="22"/>
                <w:szCs w:val="20"/>
              </w:rPr>
            </w:pPr>
            <w:r w:rsidRPr="005E13B9">
              <w:rPr>
                <w:kern w:val="0"/>
                <w:sz w:val="22"/>
                <w:szCs w:val="20"/>
              </w:rPr>
              <w:t>Assets turnover ratio</w:t>
            </w:r>
          </w:p>
        </w:tc>
        <w:tc>
          <w:tcPr>
            <w:tcW w:w="1183" w:type="pct"/>
            <w:tcBorders>
              <w:top w:val="nil"/>
              <w:bottom w:val="nil"/>
            </w:tcBorders>
            <w:noWrap/>
            <w:tcMar>
              <w:top w:w="14" w:type="dxa"/>
              <w:left w:w="14" w:type="dxa"/>
              <w:bottom w:w="0" w:type="dxa"/>
              <w:right w:w="14" w:type="dxa"/>
            </w:tcMar>
            <w:vAlign w:val="center"/>
          </w:tcPr>
          <w:p w14:paraId="566F3300" w14:textId="5CDB8533"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1.928***</w:t>
            </w:r>
          </w:p>
        </w:tc>
        <w:tc>
          <w:tcPr>
            <w:tcW w:w="1183" w:type="pct"/>
            <w:tcBorders>
              <w:top w:val="nil"/>
              <w:bottom w:val="nil"/>
            </w:tcBorders>
            <w:vAlign w:val="center"/>
          </w:tcPr>
          <w:p w14:paraId="03046497" w14:textId="10A7FC1C"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0.248***</w:t>
            </w:r>
          </w:p>
        </w:tc>
        <w:tc>
          <w:tcPr>
            <w:tcW w:w="1183" w:type="pct"/>
            <w:tcBorders>
              <w:top w:val="nil"/>
              <w:bottom w:val="nil"/>
            </w:tcBorders>
            <w:vAlign w:val="center"/>
          </w:tcPr>
          <w:p w14:paraId="5A93A34F" w14:textId="33379359"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w:t>
            </w:r>
            <w:r w:rsidR="00F05F94" w:rsidRPr="005E13B9">
              <w:rPr>
                <w:rFonts w:eastAsia="標楷體"/>
                <w:sz w:val="22"/>
                <w:szCs w:val="20"/>
              </w:rPr>
              <w:t>10</w:t>
            </w:r>
          </w:p>
        </w:tc>
      </w:tr>
      <w:tr w:rsidR="006F104F" w:rsidRPr="005E13B9" w14:paraId="6CECD4AE"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5B07D8F0" w14:textId="77777777" w:rsidR="001F6F2C" w:rsidRPr="005E13B9" w:rsidRDefault="001F6F2C" w:rsidP="001C65C7">
            <w:pPr>
              <w:widowControl/>
              <w:overflowPunct w:val="0"/>
              <w:adjustRightInd w:val="0"/>
              <w:snapToGrid w:val="0"/>
              <w:rPr>
                <w:rFonts w:eastAsia="標楷體"/>
                <w:kern w:val="0"/>
                <w:sz w:val="22"/>
                <w:szCs w:val="20"/>
              </w:rPr>
            </w:pPr>
          </w:p>
        </w:tc>
        <w:tc>
          <w:tcPr>
            <w:tcW w:w="1183" w:type="pct"/>
            <w:tcBorders>
              <w:top w:val="nil"/>
              <w:bottom w:val="nil"/>
            </w:tcBorders>
            <w:noWrap/>
            <w:tcMar>
              <w:top w:w="14" w:type="dxa"/>
              <w:left w:w="14" w:type="dxa"/>
              <w:bottom w:w="0" w:type="dxa"/>
              <w:right w:w="14" w:type="dxa"/>
            </w:tcMar>
            <w:vAlign w:val="center"/>
          </w:tcPr>
          <w:p w14:paraId="571A680C" w14:textId="1A31205B"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0.6</w:t>
            </w:r>
            <w:r w:rsidR="00814323" w:rsidRPr="005E13B9">
              <w:rPr>
                <w:rFonts w:eastAsia="標楷體"/>
                <w:sz w:val="22"/>
                <w:szCs w:val="20"/>
              </w:rPr>
              <w:t>10</w:t>
            </w:r>
            <w:r w:rsidRPr="005E13B9">
              <w:rPr>
                <w:rFonts w:eastAsia="標楷體" w:hint="eastAsia"/>
                <w:sz w:val="22"/>
                <w:szCs w:val="20"/>
              </w:rPr>
              <w:t>）</w:t>
            </w:r>
          </w:p>
        </w:tc>
        <w:tc>
          <w:tcPr>
            <w:tcW w:w="1183" w:type="pct"/>
            <w:tcBorders>
              <w:top w:val="nil"/>
              <w:bottom w:val="nil"/>
            </w:tcBorders>
            <w:vAlign w:val="center"/>
          </w:tcPr>
          <w:p w14:paraId="2B166DAD" w14:textId="177F7CAA"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0.065</w:t>
            </w:r>
            <w:r w:rsidRPr="005E13B9">
              <w:rPr>
                <w:rFonts w:eastAsia="標楷體" w:hint="eastAsia"/>
                <w:sz w:val="22"/>
                <w:szCs w:val="20"/>
              </w:rPr>
              <w:t>）</w:t>
            </w:r>
          </w:p>
        </w:tc>
        <w:tc>
          <w:tcPr>
            <w:tcW w:w="1183" w:type="pct"/>
            <w:tcBorders>
              <w:top w:val="nil"/>
              <w:bottom w:val="nil"/>
            </w:tcBorders>
            <w:vAlign w:val="center"/>
          </w:tcPr>
          <w:p w14:paraId="167A4D1B" w14:textId="761C80D7"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0.021</w:t>
            </w:r>
            <w:r w:rsidRPr="005E13B9">
              <w:rPr>
                <w:rFonts w:eastAsia="標楷體" w:hint="eastAsia"/>
                <w:sz w:val="22"/>
                <w:szCs w:val="20"/>
              </w:rPr>
              <w:t>）</w:t>
            </w:r>
          </w:p>
        </w:tc>
      </w:tr>
      <w:tr w:rsidR="006F104F" w:rsidRPr="005E13B9" w14:paraId="09278A56"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54A8092D" w14:textId="77777777" w:rsidR="001F6F2C" w:rsidRPr="005E13B9" w:rsidRDefault="001F6F2C" w:rsidP="001C65C7">
            <w:pPr>
              <w:widowControl/>
              <w:overflowPunct w:val="0"/>
              <w:adjustRightInd w:val="0"/>
              <w:snapToGrid w:val="0"/>
              <w:rPr>
                <w:rFonts w:eastAsia="標楷體"/>
                <w:kern w:val="0"/>
                <w:sz w:val="22"/>
                <w:szCs w:val="20"/>
              </w:rPr>
            </w:pPr>
            <w:r w:rsidRPr="005E13B9">
              <w:rPr>
                <w:sz w:val="22"/>
                <w:szCs w:val="20"/>
              </w:rPr>
              <w:t>Debt ratio</w:t>
            </w:r>
          </w:p>
        </w:tc>
        <w:tc>
          <w:tcPr>
            <w:tcW w:w="1183" w:type="pct"/>
            <w:tcBorders>
              <w:top w:val="nil"/>
              <w:bottom w:val="nil"/>
            </w:tcBorders>
            <w:noWrap/>
            <w:tcMar>
              <w:top w:w="14" w:type="dxa"/>
              <w:left w:w="14" w:type="dxa"/>
              <w:bottom w:w="0" w:type="dxa"/>
              <w:right w:w="14" w:type="dxa"/>
            </w:tcMar>
            <w:vAlign w:val="center"/>
          </w:tcPr>
          <w:p w14:paraId="4D74E7D3" w14:textId="7138C976"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-0.022</w:t>
            </w:r>
          </w:p>
        </w:tc>
        <w:tc>
          <w:tcPr>
            <w:tcW w:w="1183" w:type="pct"/>
            <w:tcBorders>
              <w:top w:val="nil"/>
              <w:bottom w:val="nil"/>
            </w:tcBorders>
            <w:vAlign w:val="center"/>
          </w:tcPr>
          <w:p w14:paraId="18EE79BF" w14:textId="2D5A7EEF"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w:t>
            </w:r>
            <w:r w:rsidR="00F05F94" w:rsidRPr="005E13B9">
              <w:rPr>
                <w:rFonts w:eastAsia="標楷體"/>
                <w:sz w:val="22"/>
                <w:szCs w:val="20"/>
              </w:rPr>
              <w:t>10</w:t>
            </w:r>
            <w:r w:rsidRPr="005E13B9">
              <w:rPr>
                <w:rFonts w:eastAsia="標楷體"/>
                <w:sz w:val="22"/>
                <w:szCs w:val="20"/>
              </w:rPr>
              <w:t>***</w:t>
            </w:r>
          </w:p>
        </w:tc>
        <w:tc>
          <w:tcPr>
            <w:tcW w:w="1183" w:type="pct"/>
            <w:tcBorders>
              <w:top w:val="nil"/>
              <w:bottom w:val="nil"/>
            </w:tcBorders>
            <w:vAlign w:val="center"/>
          </w:tcPr>
          <w:p w14:paraId="0FC1640A" w14:textId="3E87AB32"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-0.001</w:t>
            </w:r>
          </w:p>
        </w:tc>
      </w:tr>
      <w:tr w:rsidR="006F104F" w:rsidRPr="005E13B9" w14:paraId="7281F265"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4CF2A948" w14:textId="77777777" w:rsidR="001F6F2C" w:rsidRPr="005E13B9" w:rsidRDefault="001F6F2C" w:rsidP="001C65C7">
            <w:pPr>
              <w:widowControl/>
              <w:overflowPunct w:val="0"/>
              <w:adjustRightInd w:val="0"/>
              <w:snapToGrid w:val="0"/>
              <w:rPr>
                <w:rFonts w:eastAsia="標楷體"/>
                <w:kern w:val="0"/>
                <w:sz w:val="22"/>
                <w:szCs w:val="20"/>
              </w:rPr>
            </w:pPr>
          </w:p>
        </w:tc>
        <w:tc>
          <w:tcPr>
            <w:tcW w:w="1183" w:type="pct"/>
            <w:tcBorders>
              <w:top w:val="nil"/>
              <w:bottom w:val="nil"/>
            </w:tcBorders>
            <w:noWrap/>
            <w:tcMar>
              <w:top w:w="14" w:type="dxa"/>
              <w:left w:w="14" w:type="dxa"/>
              <w:bottom w:w="0" w:type="dxa"/>
              <w:right w:w="14" w:type="dxa"/>
            </w:tcMar>
            <w:vAlign w:val="center"/>
          </w:tcPr>
          <w:p w14:paraId="14551729" w14:textId="2A95B293" w:rsidR="001F6F2C" w:rsidRPr="005E13B9" w:rsidRDefault="001F6F2C" w:rsidP="001C65C7">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0.023</w:t>
            </w:r>
            <w:r w:rsidRPr="005E13B9">
              <w:rPr>
                <w:rFonts w:eastAsia="標楷體" w:hint="eastAsia"/>
                <w:sz w:val="22"/>
                <w:szCs w:val="20"/>
              </w:rPr>
              <w:t>）</w:t>
            </w:r>
          </w:p>
          <w:p w14:paraId="1F6637DE"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w:t>
            </w:r>
            <w:r w:rsidRPr="005E13B9">
              <w:rPr>
                <w:rFonts w:eastAsia="標楷體" w:hint="eastAsia"/>
                <w:sz w:val="22"/>
                <w:szCs w:val="20"/>
              </w:rPr>
              <w:t>）</w:t>
            </w:r>
          </w:p>
        </w:tc>
        <w:tc>
          <w:tcPr>
            <w:tcW w:w="1183" w:type="pct"/>
            <w:tcBorders>
              <w:top w:val="nil"/>
              <w:bottom w:val="nil"/>
            </w:tcBorders>
            <w:vAlign w:val="center"/>
          </w:tcPr>
          <w:p w14:paraId="2F7A0D6D" w14:textId="03C4583E" w:rsidR="001F6F2C" w:rsidRPr="005E13B9" w:rsidRDefault="001F6F2C" w:rsidP="001C65C7">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0.002</w:t>
            </w:r>
            <w:r w:rsidRPr="005E13B9">
              <w:rPr>
                <w:rFonts w:eastAsia="標楷體" w:hint="eastAsia"/>
                <w:sz w:val="22"/>
                <w:szCs w:val="20"/>
              </w:rPr>
              <w:t>）</w:t>
            </w:r>
          </w:p>
          <w:p w14:paraId="7861D6E6"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w:t>
            </w:r>
            <w:r w:rsidRPr="005E13B9">
              <w:rPr>
                <w:rFonts w:eastAsia="標楷體" w:hint="eastAsia"/>
                <w:sz w:val="22"/>
                <w:szCs w:val="20"/>
              </w:rPr>
              <w:t>）</w:t>
            </w:r>
          </w:p>
        </w:tc>
        <w:tc>
          <w:tcPr>
            <w:tcW w:w="1183" w:type="pct"/>
            <w:tcBorders>
              <w:top w:val="nil"/>
              <w:bottom w:val="nil"/>
            </w:tcBorders>
            <w:vAlign w:val="center"/>
          </w:tcPr>
          <w:p w14:paraId="5C7E409F" w14:textId="75BF7700"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0.001</w:t>
            </w:r>
            <w:r w:rsidRPr="005E13B9">
              <w:rPr>
                <w:rFonts w:eastAsia="標楷體" w:hint="eastAsia"/>
                <w:sz w:val="22"/>
                <w:szCs w:val="20"/>
              </w:rPr>
              <w:t>）</w:t>
            </w:r>
          </w:p>
        </w:tc>
      </w:tr>
      <w:tr w:rsidR="006F104F" w:rsidRPr="005E13B9" w14:paraId="713DC908"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7E3CF656" w14:textId="77777777" w:rsidR="001F6F2C" w:rsidRPr="005E13B9" w:rsidRDefault="001F6F2C" w:rsidP="001C65C7">
            <w:pPr>
              <w:widowControl/>
              <w:overflowPunct w:val="0"/>
              <w:adjustRightInd w:val="0"/>
              <w:snapToGrid w:val="0"/>
              <w:rPr>
                <w:rFonts w:eastAsia="標楷體"/>
                <w:kern w:val="0"/>
                <w:sz w:val="22"/>
                <w:szCs w:val="20"/>
              </w:rPr>
            </w:pPr>
            <w:r w:rsidRPr="005E13B9">
              <w:rPr>
                <w:kern w:val="0"/>
                <w:sz w:val="22"/>
                <w:szCs w:val="20"/>
              </w:rPr>
              <w:t xml:space="preserve">Directors’ </w:t>
            </w:r>
            <w:r w:rsidR="00FB7A87" w:rsidRPr="005E13B9">
              <w:rPr>
                <w:kern w:val="0"/>
                <w:sz w:val="22"/>
                <w:szCs w:val="20"/>
              </w:rPr>
              <w:t>share</w:t>
            </w:r>
            <w:r w:rsidRPr="005E13B9">
              <w:rPr>
                <w:kern w:val="0"/>
                <w:sz w:val="22"/>
                <w:szCs w:val="20"/>
              </w:rPr>
              <w:t>holding ratio</w:t>
            </w:r>
          </w:p>
        </w:tc>
        <w:tc>
          <w:tcPr>
            <w:tcW w:w="1183" w:type="pct"/>
            <w:tcBorders>
              <w:top w:val="nil"/>
              <w:bottom w:val="nil"/>
            </w:tcBorders>
            <w:noWrap/>
            <w:tcMar>
              <w:top w:w="14" w:type="dxa"/>
              <w:left w:w="14" w:type="dxa"/>
              <w:bottom w:w="0" w:type="dxa"/>
              <w:right w:w="14" w:type="dxa"/>
            </w:tcMar>
            <w:vAlign w:val="center"/>
          </w:tcPr>
          <w:p w14:paraId="03C345F2" w14:textId="0EEDF5CA"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-0.04</w:t>
            </w:r>
            <w:r w:rsidR="00814323" w:rsidRPr="005E13B9">
              <w:rPr>
                <w:rFonts w:eastAsia="標楷體"/>
                <w:sz w:val="22"/>
                <w:szCs w:val="20"/>
              </w:rPr>
              <w:t>2</w:t>
            </w:r>
          </w:p>
        </w:tc>
        <w:tc>
          <w:tcPr>
            <w:tcW w:w="1183" w:type="pct"/>
            <w:tcBorders>
              <w:top w:val="nil"/>
              <w:bottom w:val="nil"/>
            </w:tcBorders>
            <w:vAlign w:val="center"/>
          </w:tcPr>
          <w:p w14:paraId="755EFC66" w14:textId="1E79E598"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-0.010***</w:t>
            </w:r>
          </w:p>
        </w:tc>
        <w:tc>
          <w:tcPr>
            <w:tcW w:w="1183" w:type="pct"/>
            <w:tcBorders>
              <w:top w:val="nil"/>
              <w:bottom w:val="nil"/>
            </w:tcBorders>
            <w:vAlign w:val="center"/>
          </w:tcPr>
          <w:p w14:paraId="5805CAB1" w14:textId="59BC165C"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-0.00</w:t>
            </w:r>
            <w:r w:rsidR="00F05F94" w:rsidRPr="005E13B9">
              <w:rPr>
                <w:rFonts w:eastAsia="標楷體"/>
                <w:sz w:val="22"/>
                <w:szCs w:val="20"/>
              </w:rPr>
              <w:t>2</w:t>
            </w:r>
          </w:p>
        </w:tc>
      </w:tr>
      <w:tr w:rsidR="006F104F" w:rsidRPr="005E13B9" w14:paraId="31EBCC22"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6A5624DA" w14:textId="77777777" w:rsidR="001F6F2C" w:rsidRPr="005E13B9" w:rsidRDefault="001F6F2C" w:rsidP="001C65C7">
            <w:pPr>
              <w:widowControl/>
              <w:overflowPunct w:val="0"/>
              <w:adjustRightInd w:val="0"/>
              <w:snapToGrid w:val="0"/>
              <w:rPr>
                <w:rFonts w:eastAsia="標楷體"/>
                <w:kern w:val="0"/>
                <w:sz w:val="22"/>
                <w:szCs w:val="20"/>
              </w:rPr>
            </w:pPr>
          </w:p>
        </w:tc>
        <w:tc>
          <w:tcPr>
            <w:tcW w:w="1183" w:type="pct"/>
            <w:tcBorders>
              <w:top w:val="nil"/>
              <w:bottom w:val="nil"/>
            </w:tcBorders>
            <w:noWrap/>
            <w:tcMar>
              <w:top w:w="14" w:type="dxa"/>
              <w:left w:w="14" w:type="dxa"/>
              <w:bottom w:w="0" w:type="dxa"/>
              <w:right w:w="14" w:type="dxa"/>
            </w:tcMar>
            <w:vAlign w:val="center"/>
          </w:tcPr>
          <w:p w14:paraId="05D09D3C" w14:textId="59FB0C37"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0.034</w:t>
            </w:r>
            <w:r w:rsidRPr="005E13B9">
              <w:rPr>
                <w:rFonts w:eastAsia="標楷體" w:hint="eastAsia"/>
                <w:sz w:val="22"/>
                <w:szCs w:val="20"/>
              </w:rPr>
              <w:t>）</w:t>
            </w:r>
          </w:p>
        </w:tc>
        <w:tc>
          <w:tcPr>
            <w:tcW w:w="1183" w:type="pct"/>
            <w:tcBorders>
              <w:top w:val="nil"/>
              <w:bottom w:val="nil"/>
            </w:tcBorders>
            <w:vAlign w:val="center"/>
          </w:tcPr>
          <w:p w14:paraId="2F2CB8B3" w14:textId="4569ABFF"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0.003</w:t>
            </w:r>
            <w:r w:rsidRPr="005E13B9">
              <w:rPr>
                <w:rFonts w:eastAsia="標楷體" w:hint="eastAsia"/>
                <w:sz w:val="22"/>
                <w:szCs w:val="20"/>
              </w:rPr>
              <w:t>）</w:t>
            </w:r>
          </w:p>
        </w:tc>
        <w:tc>
          <w:tcPr>
            <w:tcW w:w="1183" w:type="pct"/>
            <w:tcBorders>
              <w:top w:val="nil"/>
              <w:bottom w:val="nil"/>
            </w:tcBorders>
            <w:vAlign w:val="center"/>
          </w:tcPr>
          <w:p w14:paraId="61B683D1" w14:textId="1FB2B173"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0.001</w:t>
            </w:r>
            <w:r w:rsidRPr="005E13B9">
              <w:rPr>
                <w:rFonts w:eastAsia="標楷體" w:hint="eastAsia"/>
                <w:sz w:val="22"/>
                <w:szCs w:val="20"/>
              </w:rPr>
              <w:t>）</w:t>
            </w:r>
          </w:p>
        </w:tc>
      </w:tr>
      <w:tr w:rsidR="006F104F" w:rsidRPr="005E13B9" w14:paraId="36CDDFC4"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3E02FAB6" w14:textId="77777777" w:rsidR="001F6F2C" w:rsidRPr="005E13B9" w:rsidRDefault="001F6F2C" w:rsidP="001C65C7">
            <w:pPr>
              <w:widowControl/>
              <w:overflowPunct w:val="0"/>
              <w:adjustRightInd w:val="0"/>
              <w:snapToGrid w:val="0"/>
              <w:rPr>
                <w:rFonts w:eastAsia="標楷體"/>
                <w:kern w:val="0"/>
                <w:sz w:val="22"/>
                <w:szCs w:val="20"/>
              </w:rPr>
            </w:pPr>
            <w:r w:rsidRPr="005E13B9">
              <w:rPr>
                <w:kern w:val="0"/>
                <w:sz w:val="22"/>
                <w:szCs w:val="20"/>
              </w:rPr>
              <w:t xml:space="preserve">Managers’ </w:t>
            </w:r>
            <w:r w:rsidR="00FB7A87" w:rsidRPr="005E13B9">
              <w:rPr>
                <w:kern w:val="0"/>
                <w:sz w:val="22"/>
                <w:szCs w:val="20"/>
              </w:rPr>
              <w:t>share</w:t>
            </w:r>
            <w:r w:rsidRPr="005E13B9">
              <w:rPr>
                <w:kern w:val="0"/>
                <w:sz w:val="22"/>
                <w:szCs w:val="20"/>
              </w:rPr>
              <w:t>holding ratio</w:t>
            </w:r>
          </w:p>
        </w:tc>
        <w:tc>
          <w:tcPr>
            <w:tcW w:w="1183" w:type="pct"/>
            <w:tcBorders>
              <w:top w:val="nil"/>
              <w:bottom w:val="nil"/>
            </w:tcBorders>
            <w:noWrap/>
            <w:tcMar>
              <w:top w:w="14" w:type="dxa"/>
              <w:left w:w="14" w:type="dxa"/>
              <w:bottom w:w="0" w:type="dxa"/>
              <w:right w:w="14" w:type="dxa"/>
            </w:tcMar>
            <w:vAlign w:val="center"/>
          </w:tcPr>
          <w:p w14:paraId="1358E11A" w14:textId="13A4BE94"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0.00</w:t>
            </w:r>
            <w:r w:rsidR="00814323" w:rsidRPr="005E13B9">
              <w:rPr>
                <w:rFonts w:eastAsia="標楷體"/>
                <w:sz w:val="22"/>
                <w:szCs w:val="20"/>
              </w:rPr>
              <w:t>5</w:t>
            </w:r>
          </w:p>
        </w:tc>
        <w:tc>
          <w:tcPr>
            <w:tcW w:w="1183" w:type="pct"/>
            <w:tcBorders>
              <w:top w:val="nil"/>
              <w:bottom w:val="nil"/>
            </w:tcBorders>
            <w:vAlign w:val="center"/>
          </w:tcPr>
          <w:p w14:paraId="53C052C6" w14:textId="01F81CD3"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-0.011</w:t>
            </w:r>
          </w:p>
        </w:tc>
        <w:tc>
          <w:tcPr>
            <w:tcW w:w="1183" w:type="pct"/>
            <w:tcBorders>
              <w:top w:val="nil"/>
              <w:bottom w:val="nil"/>
            </w:tcBorders>
            <w:vAlign w:val="center"/>
          </w:tcPr>
          <w:p w14:paraId="143455D7" w14:textId="254E3D14"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-0.003</w:t>
            </w:r>
          </w:p>
        </w:tc>
      </w:tr>
      <w:tr w:rsidR="006F104F" w:rsidRPr="005E13B9" w14:paraId="04A8AF00"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130E20B2" w14:textId="77777777" w:rsidR="001F6F2C" w:rsidRPr="005E13B9" w:rsidRDefault="001F6F2C" w:rsidP="001C65C7">
            <w:pPr>
              <w:widowControl/>
              <w:overflowPunct w:val="0"/>
              <w:adjustRightInd w:val="0"/>
              <w:snapToGrid w:val="0"/>
              <w:rPr>
                <w:rFonts w:eastAsia="標楷體"/>
                <w:kern w:val="0"/>
                <w:sz w:val="22"/>
                <w:szCs w:val="20"/>
              </w:rPr>
            </w:pPr>
          </w:p>
        </w:tc>
        <w:tc>
          <w:tcPr>
            <w:tcW w:w="1183" w:type="pct"/>
            <w:tcBorders>
              <w:top w:val="nil"/>
              <w:bottom w:val="nil"/>
            </w:tcBorders>
            <w:noWrap/>
            <w:tcMar>
              <w:top w:w="14" w:type="dxa"/>
              <w:left w:w="14" w:type="dxa"/>
              <w:bottom w:w="0" w:type="dxa"/>
              <w:right w:w="14" w:type="dxa"/>
            </w:tcMar>
            <w:vAlign w:val="center"/>
          </w:tcPr>
          <w:p w14:paraId="200912E0" w14:textId="1A1D33FF"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0.13</w:t>
            </w:r>
            <w:r w:rsidR="00814323" w:rsidRPr="005E13B9">
              <w:rPr>
                <w:rFonts w:eastAsia="標楷體"/>
                <w:sz w:val="22"/>
                <w:szCs w:val="20"/>
              </w:rPr>
              <w:t>5</w:t>
            </w:r>
            <w:r w:rsidRPr="005E13B9">
              <w:rPr>
                <w:rFonts w:eastAsia="標楷體" w:hint="eastAsia"/>
                <w:sz w:val="22"/>
                <w:szCs w:val="20"/>
              </w:rPr>
              <w:t>）</w:t>
            </w:r>
          </w:p>
        </w:tc>
        <w:tc>
          <w:tcPr>
            <w:tcW w:w="1183" w:type="pct"/>
            <w:tcBorders>
              <w:top w:val="nil"/>
              <w:bottom w:val="nil"/>
            </w:tcBorders>
            <w:vAlign w:val="center"/>
          </w:tcPr>
          <w:p w14:paraId="1725D66C" w14:textId="26766D32"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0.011</w:t>
            </w:r>
            <w:r w:rsidRPr="005E13B9">
              <w:rPr>
                <w:rFonts w:eastAsia="標楷體" w:hint="eastAsia"/>
                <w:sz w:val="22"/>
                <w:szCs w:val="20"/>
              </w:rPr>
              <w:t>）</w:t>
            </w:r>
          </w:p>
        </w:tc>
        <w:tc>
          <w:tcPr>
            <w:tcW w:w="1183" w:type="pct"/>
            <w:tcBorders>
              <w:top w:val="nil"/>
              <w:bottom w:val="nil"/>
            </w:tcBorders>
            <w:vAlign w:val="center"/>
          </w:tcPr>
          <w:p w14:paraId="219FA5CF" w14:textId="09A1A31B"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0.00</w:t>
            </w:r>
            <w:r w:rsidR="00F05F94" w:rsidRPr="005E13B9">
              <w:rPr>
                <w:rFonts w:eastAsia="標楷體"/>
                <w:sz w:val="22"/>
                <w:szCs w:val="20"/>
              </w:rPr>
              <w:t>3</w:t>
            </w:r>
            <w:r w:rsidRPr="005E13B9">
              <w:rPr>
                <w:rFonts w:eastAsia="標楷體" w:hint="eastAsia"/>
                <w:sz w:val="22"/>
                <w:szCs w:val="20"/>
              </w:rPr>
              <w:t>）</w:t>
            </w:r>
          </w:p>
        </w:tc>
      </w:tr>
      <w:tr w:rsidR="006F104F" w:rsidRPr="005E13B9" w14:paraId="5F0EA485"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564E3A56" w14:textId="77777777" w:rsidR="001F6F2C" w:rsidRPr="005E13B9" w:rsidRDefault="001F6F2C" w:rsidP="001C65C7">
            <w:pPr>
              <w:widowControl/>
              <w:overflowPunct w:val="0"/>
              <w:adjustRightInd w:val="0"/>
              <w:snapToGrid w:val="0"/>
              <w:rPr>
                <w:rFonts w:eastAsia="標楷體"/>
                <w:kern w:val="0"/>
                <w:sz w:val="22"/>
                <w:szCs w:val="20"/>
              </w:rPr>
            </w:pPr>
            <w:r w:rsidRPr="005E13B9">
              <w:rPr>
                <w:kern w:val="0"/>
                <w:sz w:val="22"/>
                <w:szCs w:val="20"/>
              </w:rPr>
              <w:t>Directors’ pledge ratio</w:t>
            </w:r>
          </w:p>
        </w:tc>
        <w:tc>
          <w:tcPr>
            <w:tcW w:w="1183" w:type="pct"/>
            <w:tcBorders>
              <w:top w:val="nil"/>
              <w:bottom w:val="nil"/>
            </w:tcBorders>
            <w:noWrap/>
            <w:tcMar>
              <w:top w:w="14" w:type="dxa"/>
              <w:left w:w="14" w:type="dxa"/>
              <w:bottom w:w="0" w:type="dxa"/>
              <w:right w:w="14" w:type="dxa"/>
            </w:tcMar>
            <w:vAlign w:val="center"/>
          </w:tcPr>
          <w:p w14:paraId="1220DCF2" w14:textId="6D60795A"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-0.034*</w:t>
            </w:r>
          </w:p>
        </w:tc>
        <w:tc>
          <w:tcPr>
            <w:tcW w:w="1183" w:type="pct"/>
            <w:tcBorders>
              <w:top w:val="nil"/>
              <w:bottom w:val="nil"/>
            </w:tcBorders>
            <w:vAlign w:val="center"/>
          </w:tcPr>
          <w:p w14:paraId="11C8F261" w14:textId="2847E6E4"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-0.002</w:t>
            </w:r>
          </w:p>
        </w:tc>
        <w:tc>
          <w:tcPr>
            <w:tcW w:w="1183" w:type="pct"/>
            <w:tcBorders>
              <w:top w:val="nil"/>
              <w:bottom w:val="nil"/>
            </w:tcBorders>
            <w:vAlign w:val="center"/>
          </w:tcPr>
          <w:p w14:paraId="65072B22" w14:textId="4514FC4B"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0.00</w:t>
            </w:r>
            <w:r w:rsidR="00F05F94" w:rsidRPr="005E13B9">
              <w:rPr>
                <w:rFonts w:eastAsia="標楷體"/>
                <w:sz w:val="22"/>
                <w:szCs w:val="20"/>
              </w:rPr>
              <w:t>2</w:t>
            </w:r>
          </w:p>
        </w:tc>
      </w:tr>
      <w:tr w:rsidR="006F104F" w:rsidRPr="005E13B9" w14:paraId="27D5C93B"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4FCA751B" w14:textId="77777777" w:rsidR="001F6F2C" w:rsidRPr="005E13B9" w:rsidRDefault="001F6F2C" w:rsidP="001C65C7">
            <w:pPr>
              <w:widowControl/>
              <w:overflowPunct w:val="0"/>
              <w:adjustRightInd w:val="0"/>
              <w:snapToGrid w:val="0"/>
              <w:rPr>
                <w:rFonts w:eastAsia="標楷體"/>
                <w:kern w:val="0"/>
                <w:sz w:val="22"/>
                <w:szCs w:val="20"/>
              </w:rPr>
            </w:pPr>
          </w:p>
        </w:tc>
        <w:tc>
          <w:tcPr>
            <w:tcW w:w="1183" w:type="pct"/>
            <w:tcBorders>
              <w:top w:val="nil"/>
              <w:bottom w:val="nil"/>
            </w:tcBorders>
            <w:noWrap/>
            <w:tcMar>
              <w:top w:w="14" w:type="dxa"/>
              <w:left w:w="14" w:type="dxa"/>
              <w:bottom w:w="0" w:type="dxa"/>
              <w:right w:w="14" w:type="dxa"/>
            </w:tcMar>
            <w:vAlign w:val="center"/>
          </w:tcPr>
          <w:p w14:paraId="24FB7124" w14:textId="291C68FC"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0.018</w:t>
            </w:r>
            <w:r w:rsidRPr="005E13B9">
              <w:rPr>
                <w:rFonts w:eastAsia="標楷體" w:hint="eastAsia"/>
                <w:sz w:val="22"/>
                <w:szCs w:val="20"/>
              </w:rPr>
              <w:t>）</w:t>
            </w:r>
          </w:p>
        </w:tc>
        <w:tc>
          <w:tcPr>
            <w:tcW w:w="1183" w:type="pct"/>
            <w:tcBorders>
              <w:top w:val="nil"/>
              <w:bottom w:val="nil"/>
            </w:tcBorders>
            <w:vAlign w:val="center"/>
          </w:tcPr>
          <w:p w14:paraId="5D302DDF" w14:textId="69718D7F"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0.002</w:t>
            </w:r>
            <w:r w:rsidRPr="005E13B9">
              <w:rPr>
                <w:rFonts w:eastAsia="標楷體" w:hint="eastAsia"/>
                <w:sz w:val="22"/>
                <w:szCs w:val="20"/>
              </w:rPr>
              <w:t>）</w:t>
            </w:r>
          </w:p>
        </w:tc>
        <w:tc>
          <w:tcPr>
            <w:tcW w:w="1183" w:type="pct"/>
            <w:tcBorders>
              <w:top w:val="nil"/>
              <w:bottom w:val="nil"/>
            </w:tcBorders>
            <w:vAlign w:val="center"/>
          </w:tcPr>
          <w:p w14:paraId="1C5C9BE8" w14:textId="511F9BE4"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0.001</w:t>
            </w:r>
            <w:r w:rsidRPr="005E13B9">
              <w:rPr>
                <w:rFonts w:eastAsia="標楷體" w:hint="eastAsia"/>
                <w:sz w:val="22"/>
                <w:szCs w:val="20"/>
              </w:rPr>
              <w:t>）</w:t>
            </w:r>
          </w:p>
        </w:tc>
      </w:tr>
      <w:tr w:rsidR="006F104F" w:rsidRPr="005E13B9" w14:paraId="6B460E84"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4F95ADE1" w14:textId="77777777" w:rsidR="001F6F2C" w:rsidRPr="005E13B9" w:rsidRDefault="001F6F2C" w:rsidP="001C65C7">
            <w:pPr>
              <w:widowControl/>
              <w:overflowPunct w:val="0"/>
              <w:adjustRightInd w:val="0"/>
              <w:snapToGrid w:val="0"/>
              <w:rPr>
                <w:rFonts w:eastAsia="標楷體"/>
                <w:kern w:val="0"/>
                <w:sz w:val="22"/>
                <w:szCs w:val="20"/>
              </w:rPr>
            </w:pPr>
            <w:r w:rsidRPr="005E13B9">
              <w:rPr>
                <w:sz w:val="22"/>
                <w:szCs w:val="20"/>
              </w:rPr>
              <w:t>CEO duality</w:t>
            </w:r>
            <w:r w:rsidRPr="005E13B9">
              <w:rPr>
                <w:rFonts w:eastAsia="標楷體"/>
                <w:kern w:val="0"/>
                <w:sz w:val="22"/>
                <w:szCs w:val="20"/>
              </w:rPr>
              <w:t xml:space="preserve"> dummy</w:t>
            </w:r>
          </w:p>
        </w:tc>
        <w:tc>
          <w:tcPr>
            <w:tcW w:w="1183" w:type="pct"/>
            <w:tcBorders>
              <w:top w:val="nil"/>
              <w:bottom w:val="nil"/>
            </w:tcBorders>
            <w:noWrap/>
            <w:tcMar>
              <w:top w:w="14" w:type="dxa"/>
              <w:left w:w="14" w:type="dxa"/>
              <w:bottom w:w="0" w:type="dxa"/>
              <w:right w:w="14" w:type="dxa"/>
            </w:tcMar>
            <w:vAlign w:val="center"/>
          </w:tcPr>
          <w:p w14:paraId="3C3C7B96" w14:textId="7CCFDCF6"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1.81</w:t>
            </w:r>
            <w:r w:rsidR="00814323" w:rsidRPr="005E13B9">
              <w:rPr>
                <w:rFonts w:eastAsia="標楷體"/>
                <w:sz w:val="22"/>
                <w:szCs w:val="20"/>
              </w:rPr>
              <w:t>8</w:t>
            </w:r>
            <w:r w:rsidRPr="005E13B9">
              <w:rPr>
                <w:rFonts w:eastAsia="標楷體"/>
                <w:sz w:val="22"/>
                <w:szCs w:val="20"/>
              </w:rPr>
              <w:t>*</w:t>
            </w:r>
          </w:p>
        </w:tc>
        <w:tc>
          <w:tcPr>
            <w:tcW w:w="1183" w:type="pct"/>
            <w:tcBorders>
              <w:top w:val="nil"/>
              <w:bottom w:val="nil"/>
            </w:tcBorders>
            <w:vAlign w:val="center"/>
          </w:tcPr>
          <w:p w14:paraId="775E0414" w14:textId="444E24B7"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-0.154</w:t>
            </w:r>
          </w:p>
        </w:tc>
        <w:tc>
          <w:tcPr>
            <w:tcW w:w="1183" w:type="pct"/>
            <w:tcBorders>
              <w:top w:val="nil"/>
              <w:bottom w:val="nil"/>
            </w:tcBorders>
            <w:vAlign w:val="center"/>
          </w:tcPr>
          <w:p w14:paraId="6CCF6441" w14:textId="59B88790"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0.00</w:t>
            </w:r>
            <w:r w:rsidR="00F05F94" w:rsidRPr="005E13B9">
              <w:rPr>
                <w:rFonts w:eastAsia="標楷體"/>
                <w:sz w:val="22"/>
                <w:szCs w:val="20"/>
              </w:rPr>
              <w:t>1</w:t>
            </w:r>
          </w:p>
        </w:tc>
      </w:tr>
      <w:tr w:rsidR="006F104F" w:rsidRPr="005E13B9" w14:paraId="55FE0112"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79A7D65C" w14:textId="77777777" w:rsidR="001F6F2C" w:rsidRPr="005E13B9" w:rsidRDefault="001F6F2C" w:rsidP="001C65C7">
            <w:pPr>
              <w:overflowPunct w:val="0"/>
              <w:adjustRightInd w:val="0"/>
              <w:snapToGrid w:val="0"/>
              <w:rPr>
                <w:rFonts w:eastAsia="標楷體"/>
                <w:sz w:val="22"/>
                <w:szCs w:val="20"/>
              </w:rPr>
            </w:pPr>
          </w:p>
        </w:tc>
        <w:tc>
          <w:tcPr>
            <w:tcW w:w="1183" w:type="pct"/>
            <w:tcBorders>
              <w:top w:val="nil"/>
              <w:bottom w:val="nil"/>
            </w:tcBorders>
            <w:noWrap/>
            <w:tcMar>
              <w:top w:w="14" w:type="dxa"/>
              <w:left w:w="14" w:type="dxa"/>
              <w:bottom w:w="0" w:type="dxa"/>
              <w:right w:w="14" w:type="dxa"/>
            </w:tcMar>
            <w:vAlign w:val="center"/>
          </w:tcPr>
          <w:p w14:paraId="36D783BB" w14:textId="09FDB554"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1.01</w:t>
            </w:r>
            <w:r w:rsidR="00814323" w:rsidRPr="005E13B9">
              <w:rPr>
                <w:rFonts w:eastAsia="標楷體"/>
                <w:sz w:val="22"/>
                <w:szCs w:val="20"/>
              </w:rPr>
              <w:t>5</w:t>
            </w:r>
            <w:r w:rsidRPr="005E13B9">
              <w:rPr>
                <w:rFonts w:eastAsia="標楷體" w:hint="eastAsia"/>
                <w:sz w:val="22"/>
                <w:szCs w:val="20"/>
              </w:rPr>
              <w:t>）</w:t>
            </w:r>
          </w:p>
        </w:tc>
        <w:tc>
          <w:tcPr>
            <w:tcW w:w="1183" w:type="pct"/>
            <w:tcBorders>
              <w:top w:val="nil"/>
              <w:bottom w:val="nil"/>
            </w:tcBorders>
            <w:vAlign w:val="center"/>
          </w:tcPr>
          <w:p w14:paraId="04E55D9A" w14:textId="5195CCD8"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0.11</w:t>
            </w:r>
            <w:r w:rsidR="00F05F94" w:rsidRPr="005E13B9">
              <w:rPr>
                <w:rFonts w:eastAsia="標楷體"/>
                <w:sz w:val="22"/>
                <w:szCs w:val="20"/>
              </w:rPr>
              <w:t>9</w:t>
            </w:r>
            <w:r w:rsidRPr="005E13B9">
              <w:rPr>
                <w:rFonts w:eastAsia="標楷體" w:hint="eastAsia"/>
                <w:sz w:val="22"/>
                <w:szCs w:val="20"/>
              </w:rPr>
              <w:t>）</w:t>
            </w:r>
          </w:p>
        </w:tc>
        <w:tc>
          <w:tcPr>
            <w:tcW w:w="1183" w:type="pct"/>
            <w:tcBorders>
              <w:top w:val="nil"/>
              <w:bottom w:val="nil"/>
            </w:tcBorders>
            <w:vAlign w:val="center"/>
          </w:tcPr>
          <w:p w14:paraId="6E44870D" w14:textId="5E5D988A"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w:t>
            </w:r>
            <w:r w:rsidR="00F05F94" w:rsidRPr="005E13B9">
              <w:rPr>
                <w:rFonts w:eastAsia="標楷體"/>
                <w:sz w:val="22"/>
                <w:szCs w:val="20"/>
              </w:rPr>
              <w:t>30</w:t>
            </w:r>
            <w:r w:rsidRPr="005E13B9">
              <w:rPr>
                <w:rFonts w:eastAsia="標楷體" w:hint="eastAsia"/>
                <w:sz w:val="22"/>
                <w:szCs w:val="20"/>
              </w:rPr>
              <w:t>）</w:t>
            </w:r>
          </w:p>
        </w:tc>
      </w:tr>
      <w:tr w:rsidR="006F104F" w:rsidRPr="005E13B9" w14:paraId="2B77E6DB"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0C7BF96B" w14:textId="77777777" w:rsidR="001F6F2C" w:rsidRPr="005E13B9" w:rsidRDefault="001F6F2C" w:rsidP="001C65C7">
            <w:pPr>
              <w:widowControl/>
              <w:overflowPunct w:val="0"/>
              <w:adjustRightInd w:val="0"/>
              <w:snapToGrid w:val="0"/>
              <w:rPr>
                <w:rFonts w:eastAsia="標楷體"/>
                <w:kern w:val="0"/>
                <w:sz w:val="22"/>
                <w:szCs w:val="20"/>
              </w:rPr>
            </w:pPr>
            <w:r w:rsidRPr="005E13B9">
              <w:rPr>
                <w:kern w:val="0"/>
                <w:sz w:val="22"/>
                <w:szCs w:val="20"/>
              </w:rPr>
              <w:t>Board size</w:t>
            </w:r>
          </w:p>
        </w:tc>
        <w:tc>
          <w:tcPr>
            <w:tcW w:w="1183" w:type="pct"/>
            <w:tcBorders>
              <w:top w:val="nil"/>
              <w:bottom w:val="nil"/>
            </w:tcBorders>
            <w:noWrap/>
            <w:tcMar>
              <w:top w:w="14" w:type="dxa"/>
              <w:left w:w="14" w:type="dxa"/>
              <w:bottom w:w="0" w:type="dxa"/>
              <w:right w:w="14" w:type="dxa"/>
            </w:tcMar>
            <w:vAlign w:val="center"/>
          </w:tcPr>
          <w:p w14:paraId="0B1C243D" w14:textId="5D654930"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-0.27</w:t>
            </w:r>
            <w:r w:rsidR="00814323" w:rsidRPr="005E13B9">
              <w:rPr>
                <w:rFonts w:eastAsia="標楷體"/>
                <w:sz w:val="22"/>
                <w:szCs w:val="20"/>
              </w:rPr>
              <w:t>4</w:t>
            </w:r>
            <w:r w:rsidRPr="005E13B9">
              <w:rPr>
                <w:rFonts w:eastAsia="標楷體"/>
                <w:sz w:val="22"/>
                <w:szCs w:val="20"/>
              </w:rPr>
              <w:t>*</w:t>
            </w:r>
          </w:p>
        </w:tc>
        <w:tc>
          <w:tcPr>
            <w:tcW w:w="1183" w:type="pct"/>
            <w:tcBorders>
              <w:top w:val="nil"/>
              <w:bottom w:val="nil"/>
            </w:tcBorders>
            <w:vAlign w:val="center"/>
          </w:tcPr>
          <w:p w14:paraId="51A6EBA3" w14:textId="7AE048C4"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-0.084***</w:t>
            </w:r>
          </w:p>
        </w:tc>
        <w:tc>
          <w:tcPr>
            <w:tcW w:w="1183" w:type="pct"/>
            <w:tcBorders>
              <w:top w:val="nil"/>
              <w:bottom w:val="nil"/>
            </w:tcBorders>
            <w:vAlign w:val="center"/>
          </w:tcPr>
          <w:p w14:paraId="0BAA9DE4" w14:textId="74CD0070"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-0.01</w:t>
            </w:r>
            <w:r w:rsidR="00F05F94" w:rsidRPr="005E13B9">
              <w:rPr>
                <w:rFonts w:eastAsia="標楷體"/>
                <w:sz w:val="22"/>
                <w:szCs w:val="20"/>
              </w:rPr>
              <w:t>1</w:t>
            </w:r>
            <w:r w:rsidRPr="005E13B9">
              <w:rPr>
                <w:rFonts w:eastAsia="標楷體"/>
                <w:sz w:val="22"/>
                <w:szCs w:val="20"/>
              </w:rPr>
              <w:t>***</w:t>
            </w:r>
          </w:p>
        </w:tc>
      </w:tr>
      <w:tr w:rsidR="006F104F" w:rsidRPr="005E13B9" w14:paraId="7BD8DD24"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31E02DC9" w14:textId="77777777" w:rsidR="001F6F2C" w:rsidRPr="005E13B9" w:rsidRDefault="001F6F2C" w:rsidP="001C65C7">
            <w:pPr>
              <w:overflowPunct w:val="0"/>
              <w:adjustRightInd w:val="0"/>
              <w:snapToGrid w:val="0"/>
              <w:rPr>
                <w:rFonts w:eastAsia="標楷體"/>
                <w:sz w:val="22"/>
                <w:szCs w:val="20"/>
              </w:rPr>
            </w:pPr>
          </w:p>
        </w:tc>
        <w:tc>
          <w:tcPr>
            <w:tcW w:w="1183" w:type="pct"/>
            <w:tcBorders>
              <w:top w:val="nil"/>
              <w:bottom w:val="nil"/>
            </w:tcBorders>
            <w:noWrap/>
            <w:tcMar>
              <w:top w:w="14" w:type="dxa"/>
              <w:left w:w="14" w:type="dxa"/>
              <w:bottom w:w="0" w:type="dxa"/>
              <w:right w:w="14" w:type="dxa"/>
            </w:tcMar>
            <w:vAlign w:val="center"/>
          </w:tcPr>
          <w:p w14:paraId="004943C7" w14:textId="17A77AF4"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0.15</w:t>
            </w:r>
            <w:r w:rsidR="00814323" w:rsidRPr="005E13B9">
              <w:rPr>
                <w:rFonts w:eastAsia="標楷體"/>
                <w:sz w:val="22"/>
                <w:szCs w:val="20"/>
              </w:rPr>
              <w:t>3</w:t>
            </w:r>
            <w:r w:rsidRPr="005E13B9">
              <w:rPr>
                <w:rFonts w:eastAsia="標楷體" w:hint="eastAsia"/>
                <w:sz w:val="22"/>
                <w:szCs w:val="20"/>
              </w:rPr>
              <w:t>）</w:t>
            </w:r>
          </w:p>
        </w:tc>
        <w:tc>
          <w:tcPr>
            <w:tcW w:w="1183" w:type="pct"/>
            <w:tcBorders>
              <w:top w:val="nil"/>
              <w:bottom w:val="nil"/>
            </w:tcBorders>
            <w:vAlign w:val="center"/>
          </w:tcPr>
          <w:p w14:paraId="15B9CEE9" w14:textId="33A159EB"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0.02</w:t>
            </w:r>
            <w:r w:rsidR="00F05F94" w:rsidRPr="005E13B9">
              <w:rPr>
                <w:rFonts w:eastAsia="標楷體"/>
                <w:sz w:val="22"/>
                <w:szCs w:val="20"/>
              </w:rPr>
              <w:t>1</w:t>
            </w:r>
            <w:r w:rsidRPr="005E13B9">
              <w:rPr>
                <w:rFonts w:eastAsia="標楷體" w:hint="eastAsia"/>
                <w:sz w:val="22"/>
                <w:szCs w:val="20"/>
              </w:rPr>
              <w:t>）</w:t>
            </w:r>
          </w:p>
        </w:tc>
        <w:tc>
          <w:tcPr>
            <w:tcW w:w="1183" w:type="pct"/>
            <w:tcBorders>
              <w:top w:val="nil"/>
              <w:bottom w:val="nil"/>
            </w:tcBorders>
            <w:vAlign w:val="center"/>
          </w:tcPr>
          <w:p w14:paraId="14437B2B" w14:textId="7796CAC3"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0.004</w:t>
            </w:r>
            <w:r w:rsidRPr="005E13B9">
              <w:rPr>
                <w:rFonts w:eastAsia="標楷體" w:hint="eastAsia"/>
                <w:sz w:val="22"/>
                <w:szCs w:val="20"/>
              </w:rPr>
              <w:t>）</w:t>
            </w:r>
          </w:p>
        </w:tc>
      </w:tr>
      <w:tr w:rsidR="006F104F" w:rsidRPr="005E13B9" w14:paraId="4D341F5B"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49A8AD23" w14:textId="77777777" w:rsidR="001F6F2C" w:rsidRPr="005E13B9" w:rsidRDefault="001F6F2C" w:rsidP="001C65C7">
            <w:pPr>
              <w:overflowPunct w:val="0"/>
              <w:adjustRightInd w:val="0"/>
              <w:snapToGrid w:val="0"/>
              <w:rPr>
                <w:rFonts w:eastAsia="標楷體"/>
                <w:sz w:val="22"/>
                <w:szCs w:val="20"/>
              </w:rPr>
            </w:pPr>
            <w:r w:rsidRPr="005E13B9">
              <w:rPr>
                <w:rFonts w:eastAsia="標楷體"/>
                <w:kern w:val="0"/>
                <w:sz w:val="22"/>
                <w:szCs w:val="20"/>
              </w:rPr>
              <w:t>Electronic dummy</w:t>
            </w:r>
          </w:p>
        </w:tc>
        <w:tc>
          <w:tcPr>
            <w:tcW w:w="1183" w:type="pct"/>
            <w:tcBorders>
              <w:top w:val="nil"/>
              <w:bottom w:val="nil"/>
            </w:tcBorders>
            <w:noWrap/>
            <w:tcMar>
              <w:top w:w="14" w:type="dxa"/>
              <w:left w:w="14" w:type="dxa"/>
              <w:bottom w:w="0" w:type="dxa"/>
              <w:right w:w="14" w:type="dxa"/>
            </w:tcMar>
            <w:vAlign w:val="center"/>
          </w:tcPr>
          <w:p w14:paraId="6706FBE4" w14:textId="0F24A182"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4.701***</w:t>
            </w:r>
          </w:p>
        </w:tc>
        <w:tc>
          <w:tcPr>
            <w:tcW w:w="1183" w:type="pct"/>
            <w:tcBorders>
              <w:top w:val="nil"/>
              <w:bottom w:val="nil"/>
            </w:tcBorders>
            <w:vAlign w:val="center"/>
          </w:tcPr>
          <w:p w14:paraId="11FA546A" w14:textId="50035D5E"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0.329**</w:t>
            </w:r>
          </w:p>
        </w:tc>
        <w:tc>
          <w:tcPr>
            <w:tcW w:w="1183" w:type="pct"/>
            <w:tcBorders>
              <w:top w:val="nil"/>
              <w:bottom w:val="nil"/>
            </w:tcBorders>
            <w:vAlign w:val="center"/>
          </w:tcPr>
          <w:p w14:paraId="4B852047" w14:textId="6EED8144"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-0.029</w:t>
            </w:r>
          </w:p>
        </w:tc>
      </w:tr>
      <w:tr w:rsidR="006F104F" w:rsidRPr="005E13B9" w14:paraId="63AA5ED4"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63A3BE8C" w14:textId="77777777" w:rsidR="001F6F2C" w:rsidRPr="005E13B9" w:rsidRDefault="001F6F2C" w:rsidP="001C65C7">
            <w:pPr>
              <w:overflowPunct w:val="0"/>
              <w:adjustRightInd w:val="0"/>
              <w:snapToGrid w:val="0"/>
              <w:rPr>
                <w:rFonts w:eastAsia="標楷體"/>
                <w:sz w:val="22"/>
                <w:szCs w:val="20"/>
              </w:rPr>
            </w:pPr>
          </w:p>
        </w:tc>
        <w:tc>
          <w:tcPr>
            <w:tcW w:w="1183" w:type="pct"/>
            <w:tcBorders>
              <w:top w:val="nil"/>
              <w:bottom w:val="nil"/>
            </w:tcBorders>
            <w:noWrap/>
            <w:tcMar>
              <w:top w:w="14" w:type="dxa"/>
              <w:left w:w="14" w:type="dxa"/>
              <w:bottom w:w="0" w:type="dxa"/>
              <w:right w:w="14" w:type="dxa"/>
            </w:tcMar>
            <w:vAlign w:val="center"/>
          </w:tcPr>
          <w:p w14:paraId="1BD1EE8F" w14:textId="0B54BAEB"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1.336</w:t>
            </w:r>
            <w:r w:rsidRPr="005E13B9">
              <w:rPr>
                <w:rFonts w:eastAsia="標楷體" w:hint="eastAsia"/>
                <w:sz w:val="22"/>
                <w:szCs w:val="20"/>
              </w:rPr>
              <w:t>）</w:t>
            </w:r>
          </w:p>
        </w:tc>
        <w:tc>
          <w:tcPr>
            <w:tcW w:w="1183" w:type="pct"/>
            <w:tcBorders>
              <w:top w:val="nil"/>
              <w:bottom w:val="nil"/>
            </w:tcBorders>
            <w:vAlign w:val="center"/>
          </w:tcPr>
          <w:p w14:paraId="5FB9946D" w14:textId="2C21C68D"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0.150</w:t>
            </w:r>
            <w:r w:rsidRPr="005E13B9">
              <w:rPr>
                <w:rFonts w:eastAsia="標楷體" w:hint="eastAsia"/>
                <w:sz w:val="22"/>
                <w:szCs w:val="20"/>
              </w:rPr>
              <w:t>）</w:t>
            </w:r>
          </w:p>
        </w:tc>
        <w:tc>
          <w:tcPr>
            <w:tcW w:w="1183" w:type="pct"/>
            <w:tcBorders>
              <w:top w:val="nil"/>
              <w:bottom w:val="nil"/>
            </w:tcBorders>
            <w:vAlign w:val="center"/>
          </w:tcPr>
          <w:p w14:paraId="6D800771" w14:textId="2884F33C"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0.047</w:t>
            </w:r>
            <w:r w:rsidRPr="005E13B9">
              <w:rPr>
                <w:rFonts w:eastAsia="標楷體" w:hint="eastAsia"/>
                <w:sz w:val="22"/>
                <w:szCs w:val="20"/>
              </w:rPr>
              <w:t>）</w:t>
            </w:r>
          </w:p>
        </w:tc>
      </w:tr>
      <w:tr w:rsidR="006F104F" w:rsidRPr="005E13B9" w14:paraId="71920EF0"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1A04D0B2" w14:textId="77777777" w:rsidR="001F6F2C" w:rsidRPr="005E13B9" w:rsidRDefault="001F6F2C" w:rsidP="001C65C7">
            <w:pPr>
              <w:widowControl/>
              <w:overflowPunct w:val="0"/>
              <w:adjustRightInd w:val="0"/>
              <w:snapToGrid w:val="0"/>
              <w:rPr>
                <w:rFonts w:eastAsia="標楷體"/>
                <w:kern w:val="0"/>
                <w:sz w:val="22"/>
                <w:szCs w:val="20"/>
              </w:rPr>
            </w:pPr>
            <w:r w:rsidRPr="005E13B9">
              <w:rPr>
                <w:rFonts w:eastAsia="標楷體"/>
                <w:kern w:val="0"/>
                <w:sz w:val="22"/>
                <w:szCs w:val="20"/>
              </w:rPr>
              <w:t>Firm scale</w:t>
            </w:r>
          </w:p>
        </w:tc>
        <w:tc>
          <w:tcPr>
            <w:tcW w:w="1183" w:type="pct"/>
            <w:tcBorders>
              <w:top w:val="nil"/>
              <w:bottom w:val="nil"/>
            </w:tcBorders>
            <w:noWrap/>
            <w:tcMar>
              <w:top w:w="14" w:type="dxa"/>
              <w:left w:w="14" w:type="dxa"/>
              <w:bottom w:w="0" w:type="dxa"/>
              <w:right w:w="14" w:type="dxa"/>
            </w:tcMar>
            <w:vAlign w:val="center"/>
          </w:tcPr>
          <w:p w14:paraId="45C702CC" w14:textId="4C936FCF"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6.162***</w:t>
            </w:r>
          </w:p>
        </w:tc>
        <w:tc>
          <w:tcPr>
            <w:tcW w:w="1183" w:type="pct"/>
            <w:tcBorders>
              <w:top w:val="nil"/>
              <w:bottom w:val="nil"/>
            </w:tcBorders>
            <w:vAlign w:val="center"/>
          </w:tcPr>
          <w:p w14:paraId="7EC3268B" w14:textId="26CADC2D"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0.466***</w:t>
            </w:r>
          </w:p>
        </w:tc>
        <w:tc>
          <w:tcPr>
            <w:tcW w:w="1183" w:type="pct"/>
            <w:tcBorders>
              <w:top w:val="nil"/>
              <w:bottom w:val="nil"/>
            </w:tcBorders>
            <w:vAlign w:val="center"/>
          </w:tcPr>
          <w:p w14:paraId="1FAAABEB" w14:textId="4202A2D6"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0.04</w:t>
            </w:r>
            <w:r w:rsidR="00F05F94" w:rsidRPr="005E13B9">
              <w:rPr>
                <w:rFonts w:eastAsia="標楷體"/>
                <w:sz w:val="22"/>
                <w:szCs w:val="20"/>
              </w:rPr>
              <w:t>6</w:t>
            </w:r>
            <w:r w:rsidRPr="005E13B9">
              <w:rPr>
                <w:rFonts w:eastAsia="標楷體"/>
                <w:sz w:val="22"/>
                <w:szCs w:val="20"/>
              </w:rPr>
              <w:t>***</w:t>
            </w:r>
          </w:p>
        </w:tc>
      </w:tr>
      <w:tr w:rsidR="006F104F" w:rsidRPr="005E13B9" w14:paraId="4D0AD4F1"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0B5412B7" w14:textId="77777777" w:rsidR="001F6F2C" w:rsidRPr="005E13B9" w:rsidRDefault="001F6F2C" w:rsidP="001C65C7">
            <w:pPr>
              <w:overflowPunct w:val="0"/>
              <w:adjustRightInd w:val="0"/>
              <w:snapToGrid w:val="0"/>
              <w:rPr>
                <w:rFonts w:eastAsia="標楷體"/>
                <w:sz w:val="22"/>
                <w:szCs w:val="20"/>
              </w:rPr>
            </w:pPr>
          </w:p>
        </w:tc>
        <w:tc>
          <w:tcPr>
            <w:tcW w:w="1183" w:type="pct"/>
            <w:tcBorders>
              <w:top w:val="nil"/>
              <w:bottom w:val="nil"/>
            </w:tcBorders>
            <w:noWrap/>
            <w:tcMar>
              <w:top w:w="14" w:type="dxa"/>
              <w:left w:w="14" w:type="dxa"/>
              <w:bottom w:w="0" w:type="dxa"/>
              <w:right w:w="14" w:type="dxa"/>
            </w:tcMar>
            <w:vAlign w:val="center"/>
          </w:tcPr>
          <w:p w14:paraId="335E9DF8" w14:textId="4F353902"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0.420</w:t>
            </w:r>
            <w:r w:rsidRPr="005E13B9">
              <w:rPr>
                <w:rFonts w:eastAsia="標楷體" w:hint="eastAsia"/>
                <w:sz w:val="22"/>
                <w:szCs w:val="20"/>
              </w:rPr>
              <w:t>）</w:t>
            </w:r>
          </w:p>
        </w:tc>
        <w:tc>
          <w:tcPr>
            <w:tcW w:w="1183" w:type="pct"/>
            <w:tcBorders>
              <w:top w:val="nil"/>
              <w:bottom w:val="nil"/>
            </w:tcBorders>
            <w:vAlign w:val="center"/>
          </w:tcPr>
          <w:p w14:paraId="4FDF025E" w14:textId="4F6D72BA"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0.057</w:t>
            </w:r>
            <w:r w:rsidRPr="005E13B9">
              <w:rPr>
                <w:rFonts w:eastAsia="標楷體" w:hint="eastAsia"/>
                <w:sz w:val="22"/>
                <w:szCs w:val="20"/>
              </w:rPr>
              <w:t>）</w:t>
            </w:r>
          </w:p>
        </w:tc>
        <w:tc>
          <w:tcPr>
            <w:tcW w:w="1183" w:type="pct"/>
            <w:tcBorders>
              <w:top w:val="nil"/>
              <w:bottom w:val="nil"/>
            </w:tcBorders>
            <w:vAlign w:val="center"/>
          </w:tcPr>
          <w:p w14:paraId="396AB0BB" w14:textId="0B9D3799"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0.0</w:t>
            </w:r>
            <w:r w:rsidR="00F05F94" w:rsidRPr="005E13B9">
              <w:rPr>
                <w:rFonts w:eastAsia="標楷體"/>
                <w:sz w:val="22"/>
                <w:szCs w:val="20"/>
              </w:rPr>
              <w:t>10</w:t>
            </w:r>
            <w:r w:rsidRPr="005E13B9">
              <w:rPr>
                <w:rFonts w:eastAsia="標楷體" w:hint="eastAsia"/>
                <w:sz w:val="22"/>
                <w:szCs w:val="20"/>
              </w:rPr>
              <w:t>）</w:t>
            </w:r>
          </w:p>
        </w:tc>
      </w:tr>
      <w:tr w:rsidR="006F104F" w:rsidRPr="005E13B9" w14:paraId="2317BFDB"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339807AE" w14:textId="77777777" w:rsidR="001F6F2C" w:rsidRPr="005E13B9" w:rsidRDefault="001F6F2C" w:rsidP="001C65C7">
            <w:pPr>
              <w:overflowPunct w:val="0"/>
              <w:adjustRightInd w:val="0"/>
              <w:snapToGrid w:val="0"/>
              <w:rPr>
                <w:rFonts w:eastAsia="標楷體"/>
                <w:sz w:val="22"/>
                <w:szCs w:val="20"/>
              </w:rPr>
            </w:pPr>
            <w:r w:rsidRPr="005E13B9">
              <w:rPr>
                <w:rFonts w:eastAsia="標楷體"/>
                <w:sz w:val="22"/>
                <w:szCs w:val="20"/>
              </w:rPr>
              <w:t>Constant</w:t>
            </w:r>
          </w:p>
        </w:tc>
        <w:tc>
          <w:tcPr>
            <w:tcW w:w="1183" w:type="pct"/>
            <w:tcBorders>
              <w:top w:val="nil"/>
              <w:bottom w:val="nil"/>
            </w:tcBorders>
            <w:noWrap/>
            <w:tcMar>
              <w:top w:w="14" w:type="dxa"/>
              <w:left w:w="14" w:type="dxa"/>
              <w:bottom w:w="0" w:type="dxa"/>
              <w:right w:w="14" w:type="dxa"/>
            </w:tcMar>
            <w:vAlign w:val="center"/>
          </w:tcPr>
          <w:p w14:paraId="6A6B67CA" w14:textId="47D8CF47"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-81.620***</w:t>
            </w:r>
          </w:p>
        </w:tc>
        <w:tc>
          <w:tcPr>
            <w:tcW w:w="1183" w:type="pct"/>
            <w:tcBorders>
              <w:top w:val="nil"/>
              <w:bottom w:val="nil"/>
            </w:tcBorders>
            <w:vAlign w:val="center"/>
          </w:tcPr>
          <w:p w14:paraId="35799876" w14:textId="34D7353E"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-5.339***</w:t>
            </w:r>
          </w:p>
        </w:tc>
        <w:tc>
          <w:tcPr>
            <w:tcW w:w="1183" w:type="pct"/>
            <w:tcBorders>
              <w:top w:val="nil"/>
              <w:bottom w:val="nil"/>
            </w:tcBorders>
            <w:vAlign w:val="center"/>
          </w:tcPr>
          <w:p w14:paraId="14DAA5CF" w14:textId="296AAE7E" w:rsidR="001F6F2C" w:rsidRPr="005E13B9" w:rsidRDefault="001F6F2C" w:rsidP="00F05F94">
            <w:pPr>
              <w:overflowPunct w:val="0"/>
              <w:adjustRightInd w:val="0"/>
              <w:snapToGrid w:val="0"/>
              <w:jc w:val="center"/>
              <w:rPr>
                <w:rFonts w:eastAsia="標楷體"/>
                <w:sz w:val="22"/>
                <w:szCs w:val="20"/>
              </w:rPr>
            </w:pPr>
            <w:r w:rsidRPr="005E13B9">
              <w:rPr>
                <w:rFonts w:eastAsia="標楷體"/>
                <w:sz w:val="22"/>
                <w:szCs w:val="20"/>
              </w:rPr>
              <w:t>-0.399***</w:t>
            </w:r>
          </w:p>
        </w:tc>
      </w:tr>
      <w:tr w:rsidR="006F104F" w:rsidRPr="005E13B9" w14:paraId="31B27279" w14:textId="77777777" w:rsidTr="007875FC">
        <w:trPr>
          <w:cantSplit/>
          <w:trHeight w:hRule="exact" w:val="255"/>
        </w:trPr>
        <w:tc>
          <w:tcPr>
            <w:tcW w:w="1451" w:type="pct"/>
            <w:tcBorders>
              <w:top w:val="nil"/>
              <w:bottom w:val="nil"/>
            </w:tcBorders>
            <w:noWrap/>
            <w:tcMar>
              <w:top w:w="14" w:type="dxa"/>
              <w:left w:w="14" w:type="dxa"/>
              <w:bottom w:w="0" w:type="dxa"/>
              <w:right w:w="14" w:type="dxa"/>
            </w:tcMar>
            <w:vAlign w:val="center"/>
          </w:tcPr>
          <w:p w14:paraId="6127FD3D" w14:textId="77777777" w:rsidR="001F6F2C" w:rsidRPr="005E13B9" w:rsidRDefault="001F6F2C" w:rsidP="001C65C7">
            <w:pPr>
              <w:overflowPunct w:val="0"/>
              <w:adjustRightInd w:val="0"/>
              <w:snapToGrid w:val="0"/>
              <w:rPr>
                <w:rFonts w:eastAsia="標楷體"/>
                <w:sz w:val="22"/>
                <w:szCs w:val="18"/>
              </w:rPr>
            </w:pPr>
          </w:p>
        </w:tc>
        <w:tc>
          <w:tcPr>
            <w:tcW w:w="1183" w:type="pct"/>
            <w:tcBorders>
              <w:top w:val="nil"/>
              <w:bottom w:val="nil"/>
            </w:tcBorders>
            <w:noWrap/>
            <w:tcMar>
              <w:top w:w="14" w:type="dxa"/>
              <w:left w:w="14" w:type="dxa"/>
              <w:bottom w:w="0" w:type="dxa"/>
              <w:right w:w="14" w:type="dxa"/>
            </w:tcMar>
            <w:vAlign w:val="center"/>
          </w:tcPr>
          <w:p w14:paraId="562AEE57" w14:textId="6394B08E" w:rsidR="001F6F2C" w:rsidRPr="005E13B9" w:rsidRDefault="001F6F2C" w:rsidP="00814323">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5.787</w:t>
            </w:r>
            <w:r w:rsidRPr="005E13B9">
              <w:rPr>
                <w:rFonts w:eastAsia="標楷體" w:hint="eastAsia"/>
                <w:sz w:val="22"/>
                <w:szCs w:val="20"/>
              </w:rPr>
              <w:t>）</w:t>
            </w:r>
          </w:p>
        </w:tc>
        <w:tc>
          <w:tcPr>
            <w:tcW w:w="1183" w:type="pct"/>
            <w:tcBorders>
              <w:top w:val="nil"/>
              <w:bottom w:val="nil"/>
            </w:tcBorders>
            <w:vAlign w:val="center"/>
          </w:tcPr>
          <w:p w14:paraId="48066FFF" w14:textId="3F22660A"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0.713</w:t>
            </w:r>
            <w:r w:rsidRPr="005E13B9">
              <w:rPr>
                <w:rFonts w:eastAsia="標楷體" w:hint="eastAsia"/>
                <w:sz w:val="22"/>
                <w:szCs w:val="20"/>
              </w:rPr>
              <w:t>）</w:t>
            </w:r>
          </w:p>
        </w:tc>
        <w:tc>
          <w:tcPr>
            <w:tcW w:w="1183" w:type="pct"/>
            <w:tcBorders>
              <w:top w:val="nil"/>
              <w:bottom w:val="nil"/>
            </w:tcBorders>
            <w:vAlign w:val="center"/>
          </w:tcPr>
          <w:p w14:paraId="3A037529" w14:textId="6EE011D9" w:rsidR="001F6F2C" w:rsidRPr="005E13B9" w:rsidRDefault="001F6F2C" w:rsidP="00F05F94">
            <w:pPr>
              <w:overflowPunct w:val="0"/>
              <w:adjustRightInd w:val="0"/>
              <w:snapToGrid w:val="0"/>
              <w:jc w:val="center"/>
              <w:rPr>
                <w:rFonts w:eastAsia="標楷體"/>
                <w:sz w:val="22"/>
                <w:szCs w:val="20"/>
              </w:rPr>
            </w:pPr>
            <w:r w:rsidRPr="005E13B9">
              <w:rPr>
                <w:rFonts w:eastAsia="標楷體" w:hint="eastAsia"/>
                <w:sz w:val="22"/>
                <w:szCs w:val="20"/>
              </w:rPr>
              <w:t>（</w:t>
            </w:r>
            <w:r w:rsidRPr="005E13B9">
              <w:rPr>
                <w:rFonts w:eastAsia="標楷體"/>
                <w:sz w:val="22"/>
                <w:szCs w:val="20"/>
              </w:rPr>
              <w:t>0.13</w:t>
            </w:r>
            <w:r w:rsidR="00F05F94" w:rsidRPr="005E13B9">
              <w:rPr>
                <w:rFonts w:eastAsia="標楷體"/>
                <w:sz w:val="22"/>
                <w:szCs w:val="20"/>
              </w:rPr>
              <w:t>3</w:t>
            </w:r>
            <w:r w:rsidRPr="005E13B9">
              <w:rPr>
                <w:rFonts w:eastAsia="標楷體" w:hint="eastAsia"/>
                <w:sz w:val="22"/>
                <w:szCs w:val="20"/>
              </w:rPr>
              <w:t>）</w:t>
            </w:r>
          </w:p>
        </w:tc>
      </w:tr>
      <w:tr w:rsidR="006F104F" w:rsidRPr="005E13B9" w14:paraId="747E039C" w14:textId="77777777" w:rsidTr="007875FC">
        <w:trPr>
          <w:cantSplit/>
          <w:trHeight w:hRule="exact" w:val="340"/>
        </w:trPr>
        <w:tc>
          <w:tcPr>
            <w:tcW w:w="1451" w:type="pct"/>
            <w:tcBorders>
              <w:top w:val="single" w:sz="4" w:space="0" w:color="auto"/>
              <w:bottom w:val="single" w:sz="4" w:space="0" w:color="auto"/>
            </w:tcBorders>
            <w:noWrap/>
            <w:tcMar>
              <w:top w:w="14" w:type="dxa"/>
              <w:left w:w="14" w:type="dxa"/>
              <w:bottom w:w="0" w:type="dxa"/>
              <w:right w:w="14" w:type="dxa"/>
            </w:tcMar>
            <w:vAlign w:val="center"/>
          </w:tcPr>
          <w:p w14:paraId="25DE57DC" w14:textId="77777777" w:rsidR="001F6F2C" w:rsidRPr="005E13B9" w:rsidRDefault="001F6F2C" w:rsidP="001C65C7">
            <w:pPr>
              <w:overflowPunct w:val="0"/>
              <w:adjustRightInd w:val="0"/>
              <w:snapToGrid w:val="0"/>
              <w:jc w:val="both"/>
              <w:rPr>
                <w:rFonts w:eastAsia="標楷體"/>
                <w:sz w:val="22"/>
                <w:szCs w:val="18"/>
              </w:rPr>
            </w:pPr>
            <w:r w:rsidRPr="005E13B9">
              <w:rPr>
                <w:rFonts w:eastAsia="標楷體"/>
                <w:sz w:val="22"/>
                <w:szCs w:val="20"/>
                <w:shd w:val="clear" w:color="auto" w:fill="FFFFFF"/>
              </w:rPr>
              <w:t>Adj. R</w:t>
            </w:r>
            <w:r w:rsidRPr="005E13B9">
              <w:rPr>
                <w:rFonts w:eastAsia="標楷體"/>
                <w:sz w:val="22"/>
                <w:szCs w:val="20"/>
                <w:shd w:val="clear" w:color="auto" w:fill="FFFFFF"/>
                <w:vertAlign w:val="superscript"/>
              </w:rPr>
              <w:t>2</w:t>
            </w:r>
          </w:p>
        </w:tc>
        <w:tc>
          <w:tcPr>
            <w:tcW w:w="1183" w:type="pct"/>
            <w:tcBorders>
              <w:top w:val="single" w:sz="4" w:space="0" w:color="auto"/>
              <w:bottom w:val="single" w:sz="4" w:space="0" w:color="auto"/>
            </w:tcBorders>
            <w:noWrap/>
            <w:tcMar>
              <w:top w:w="14" w:type="dxa"/>
              <w:left w:w="14" w:type="dxa"/>
              <w:bottom w:w="0" w:type="dxa"/>
              <w:right w:w="14" w:type="dxa"/>
            </w:tcMar>
            <w:vAlign w:val="center"/>
          </w:tcPr>
          <w:p w14:paraId="5DDD6CD6" w14:textId="1C4CEE90" w:rsidR="001F6F2C" w:rsidRPr="005E13B9" w:rsidRDefault="001F6F2C" w:rsidP="00814323">
            <w:pPr>
              <w:overflowPunct w:val="0"/>
              <w:adjustRightInd w:val="0"/>
              <w:snapToGrid w:val="0"/>
              <w:jc w:val="center"/>
              <w:rPr>
                <w:rFonts w:eastAsia="標楷體"/>
                <w:sz w:val="22"/>
                <w:szCs w:val="20"/>
              </w:rPr>
            </w:pPr>
            <w:r w:rsidRPr="005E13B9">
              <w:rPr>
                <w:rFonts w:eastAsia="標楷體"/>
                <w:sz w:val="22"/>
                <w:szCs w:val="20"/>
              </w:rPr>
              <w:t>0.29</w:t>
            </w:r>
            <w:r w:rsidR="00814323" w:rsidRPr="005E13B9">
              <w:rPr>
                <w:rFonts w:eastAsia="標楷體"/>
                <w:sz w:val="22"/>
                <w:szCs w:val="20"/>
              </w:rPr>
              <w:t>9</w:t>
            </w:r>
          </w:p>
        </w:tc>
        <w:tc>
          <w:tcPr>
            <w:tcW w:w="1183" w:type="pct"/>
            <w:tcBorders>
              <w:top w:val="single" w:sz="4" w:space="0" w:color="auto"/>
              <w:bottom w:val="single" w:sz="4" w:space="0" w:color="auto"/>
            </w:tcBorders>
            <w:vAlign w:val="center"/>
          </w:tcPr>
          <w:p w14:paraId="12A52663"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0.0908</w:t>
            </w:r>
          </w:p>
        </w:tc>
        <w:tc>
          <w:tcPr>
            <w:tcW w:w="1183" w:type="pct"/>
            <w:tcBorders>
              <w:top w:val="single" w:sz="4" w:space="0" w:color="auto"/>
              <w:bottom w:val="single" w:sz="4" w:space="0" w:color="auto"/>
            </w:tcBorders>
            <w:vAlign w:val="center"/>
          </w:tcPr>
          <w:p w14:paraId="64BE52DE" w14:textId="749B443C" w:rsidR="001F6F2C" w:rsidRPr="005E13B9" w:rsidRDefault="001F6F2C" w:rsidP="00151895">
            <w:pPr>
              <w:overflowPunct w:val="0"/>
              <w:adjustRightInd w:val="0"/>
              <w:snapToGrid w:val="0"/>
              <w:jc w:val="center"/>
              <w:rPr>
                <w:rFonts w:eastAsia="標楷體"/>
                <w:sz w:val="22"/>
                <w:szCs w:val="20"/>
              </w:rPr>
            </w:pPr>
            <w:r w:rsidRPr="005E13B9">
              <w:rPr>
                <w:rFonts w:eastAsia="標楷體"/>
                <w:sz w:val="22"/>
                <w:szCs w:val="20"/>
              </w:rPr>
              <w:t>0.02</w:t>
            </w:r>
            <w:r w:rsidR="00151895" w:rsidRPr="005E13B9">
              <w:rPr>
                <w:rFonts w:eastAsia="標楷體"/>
                <w:sz w:val="22"/>
                <w:szCs w:val="20"/>
              </w:rPr>
              <w:t>1</w:t>
            </w:r>
          </w:p>
        </w:tc>
      </w:tr>
      <w:tr w:rsidR="006F104F" w:rsidRPr="005E13B9" w14:paraId="4F3898DC" w14:textId="77777777" w:rsidTr="007875FC">
        <w:trPr>
          <w:cantSplit/>
          <w:trHeight w:hRule="exact" w:val="340"/>
        </w:trPr>
        <w:tc>
          <w:tcPr>
            <w:tcW w:w="1451" w:type="pct"/>
            <w:tcBorders>
              <w:top w:val="single" w:sz="4" w:space="0" w:color="auto"/>
              <w:bottom w:val="single" w:sz="4" w:space="0" w:color="auto"/>
            </w:tcBorders>
            <w:noWrap/>
            <w:tcMar>
              <w:top w:w="14" w:type="dxa"/>
              <w:left w:w="14" w:type="dxa"/>
              <w:bottom w:w="0" w:type="dxa"/>
              <w:right w:w="14" w:type="dxa"/>
            </w:tcMar>
            <w:vAlign w:val="center"/>
          </w:tcPr>
          <w:p w14:paraId="215D6645" w14:textId="77777777" w:rsidR="001F6F2C" w:rsidRPr="005E13B9" w:rsidRDefault="001F6F2C" w:rsidP="001C65C7">
            <w:pPr>
              <w:overflowPunct w:val="0"/>
              <w:adjustRightInd w:val="0"/>
              <w:snapToGrid w:val="0"/>
              <w:jc w:val="both"/>
              <w:rPr>
                <w:rFonts w:eastAsia="標楷體"/>
                <w:sz w:val="22"/>
                <w:szCs w:val="20"/>
              </w:rPr>
            </w:pPr>
            <w:r w:rsidRPr="005E13B9">
              <w:rPr>
                <w:rFonts w:eastAsia="標楷體"/>
                <w:sz w:val="22"/>
                <w:szCs w:val="20"/>
                <w:shd w:val="clear" w:color="auto" w:fill="FFFFFF"/>
              </w:rPr>
              <w:t>Coefficient estimates</w:t>
            </w:r>
          </w:p>
        </w:tc>
        <w:tc>
          <w:tcPr>
            <w:tcW w:w="1183" w:type="pct"/>
            <w:tcBorders>
              <w:top w:val="single" w:sz="4" w:space="0" w:color="auto"/>
              <w:bottom w:val="single" w:sz="4" w:space="0" w:color="auto"/>
            </w:tcBorders>
            <w:noWrap/>
            <w:tcMar>
              <w:top w:w="14" w:type="dxa"/>
              <w:left w:w="14" w:type="dxa"/>
              <w:bottom w:w="0" w:type="dxa"/>
              <w:right w:w="14" w:type="dxa"/>
            </w:tcMar>
            <w:vAlign w:val="center"/>
          </w:tcPr>
          <w:p w14:paraId="17291C71"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OLS</w:t>
            </w:r>
          </w:p>
        </w:tc>
        <w:tc>
          <w:tcPr>
            <w:tcW w:w="1183" w:type="pct"/>
            <w:tcBorders>
              <w:top w:val="single" w:sz="4" w:space="0" w:color="auto"/>
              <w:bottom w:val="single" w:sz="4" w:space="0" w:color="auto"/>
            </w:tcBorders>
            <w:vAlign w:val="center"/>
          </w:tcPr>
          <w:p w14:paraId="1F34D772"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OLS</w:t>
            </w:r>
          </w:p>
        </w:tc>
        <w:tc>
          <w:tcPr>
            <w:tcW w:w="1183" w:type="pct"/>
            <w:tcBorders>
              <w:top w:val="single" w:sz="4" w:space="0" w:color="auto"/>
              <w:bottom w:val="single" w:sz="4" w:space="0" w:color="auto"/>
            </w:tcBorders>
            <w:vAlign w:val="center"/>
          </w:tcPr>
          <w:p w14:paraId="4939F353"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OLS</w:t>
            </w:r>
          </w:p>
        </w:tc>
      </w:tr>
      <w:tr w:rsidR="006F104F" w:rsidRPr="005E13B9" w14:paraId="7BCA2953" w14:textId="77777777" w:rsidTr="007875FC">
        <w:trPr>
          <w:cantSplit/>
          <w:trHeight w:hRule="exact" w:val="340"/>
        </w:trPr>
        <w:tc>
          <w:tcPr>
            <w:tcW w:w="1451" w:type="pct"/>
            <w:tcBorders>
              <w:top w:val="single" w:sz="4" w:space="0" w:color="auto"/>
              <w:bottom w:val="single" w:sz="12" w:space="0" w:color="auto"/>
            </w:tcBorders>
            <w:noWrap/>
            <w:tcMar>
              <w:top w:w="14" w:type="dxa"/>
              <w:left w:w="14" w:type="dxa"/>
              <w:bottom w:w="0" w:type="dxa"/>
              <w:right w:w="14" w:type="dxa"/>
            </w:tcMar>
            <w:vAlign w:val="center"/>
          </w:tcPr>
          <w:p w14:paraId="494D045E" w14:textId="77777777" w:rsidR="001F6F2C" w:rsidRPr="005E13B9" w:rsidRDefault="001F6F2C" w:rsidP="001C65C7">
            <w:pPr>
              <w:overflowPunct w:val="0"/>
              <w:adjustRightInd w:val="0"/>
              <w:snapToGrid w:val="0"/>
              <w:jc w:val="both"/>
              <w:rPr>
                <w:rFonts w:eastAsia="標楷體"/>
                <w:sz w:val="22"/>
                <w:szCs w:val="20"/>
              </w:rPr>
            </w:pPr>
            <w:r w:rsidRPr="005E13B9">
              <w:rPr>
                <w:rFonts w:eastAsia="標楷體"/>
                <w:sz w:val="22"/>
                <w:szCs w:val="20"/>
                <w:shd w:val="clear" w:color="auto" w:fill="FFFFFF"/>
              </w:rPr>
              <w:t>Standard errors</w:t>
            </w:r>
          </w:p>
        </w:tc>
        <w:tc>
          <w:tcPr>
            <w:tcW w:w="1183" w:type="pct"/>
            <w:tcBorders>
              <w:top w:val="single" w:sz="4" w:space="0" w:color="auto"/>
              <w:bottom w:val="single" w:sz="12" w:space="0" w:color="auto"/>
            </w:tcBorders>
            <w:noWrap/>
            <w:tcMar>
              <w:top w:w="14" w:type="dxa"/>
              <w:left w:w="14" w:type="dxa"/>
              <w:bottom w:w="0" w:type="dxa"/>
              <w:right w:w="14" w:type="dxa"/>
            </w:tcMar>
            <w:vAlign w:val="center"/>
          </w:tcPr>
          <w:p w14:paraId="2AAD58D3"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CL–F&amp;Y</w:t>
            </w:r>
          </w:p>
        </w:tc>
        <w:tc>
          <w:tcPr>
            <w:tcW w:w="1183" w:type="pct"/>
            <w:tcBorders>
              <w:top w:val="single" w:sz="4" w:space="0" w:color="auto"/>
              <w:bottom w:val="single" w:sz="12" w:space="0" w:color="auto"/>
            </w:tcBorders>
            <w:vAlign w:val="center"/>
          </w:tcPr>
          <w:p w14:paraId="573565DA"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CL–F&amp;Y</w:t>
            </w:r>
          </w:p>
        </w:tc>
        <w:tc>
          <w:tcPr>
            <w:tcW w:w="1183" w:type="pct"/>
            <w:tcBorders>
              <w:top w:val="single" w:sz="4" w:space="0" w:color="auto"/>
              <w:bottom w:val="single" w:sz="12" w:space="0" w:color="auto"/>
            </w:tcBorders>
            <w:vAlign w:val="center"/>
          </w:tcPr>
          <w:p w14:paraId="369135CF" w14:textId="77777777" w:rsidR="001F6F2C" w:rsidRPr="005E13B9" w:rsidRDefault="001F6F2C" w:rsidP="001C65C7">
            <w:pPr>
              <w:overflowPunct w:val="0"/>
              <w:adjustRightInd w:val="0"/>
              <w:snapToGrid w:val="0"/>
              <w:jc w:val="center"/>
              <w:rPr>
                <w:rFonts w:eastAsia="標楷體"/>
                <w:sz w:val="22"/>
                <w:szCs w:val="20"/>
              </w:rPr>
            </w:pPr>
            <w:r w:rsidRPr="005E13B9">
              <w:rPr>
                <w:rFonts w:eastAsia="標楷體"/>
                <w:sz w:val="22"/>
                <w:szCs w:val="20"/>
              </w:rPr>
              <w:t>CL–F&amp;Y</w:t>
            </w:r>
          </w:p>
        </w:tc>
      </w:tr>
    </w:tbl>
    <w:p w14:paraId="749E9BE7" w14:textId="77777777" w:rsidR="00BD0506" w:rsidRPr="005E13B9" w:rsidRDefault="00BD0506" w:rsidP="001C65C7">
      <w:pPr>
        <w:overflowPunct w:val="0"/>
        <w:adjustRightInd w:val="0"/>
        <w:snapToGrid w:val="0"/>
        <w:ind w:firstLine="420"/>
        <w:jc w:val="both"/>
        <w:rPr>
          <w:sz w:val="26"/>
          <w:szCs w:val="26"/>
        </w:rPr>
      </w:pPr>
    </w:p>
    <w:p w14:paraId="15A06145" w14:textId="119AA452" w:rsidR="00562D71" w:rsidRPr="005E13B9" w:rsidRDefault="009E4739" w:rsidP="001C65C7">
      <w:pPr>
        <w:overflowPunct w:val="0"/>
        <w:adjustRightInd w:val="0"/>
        <w:ind w:firstLine="420"/>
        <w:jc w:val="both"/>
        <w:rPr>
          <w:sz w:val="26"/>
          <w:szCs w:val="26"/>
        </w:rPr>
      </w:pPr>
      <w:r w:rsidRPr="005E13B9">
        <w:rPr>
          <w:sz w:val="26"/>
          <w:szCs w:val="26"/>
        </w:rPr>
        <w:t>Table</w:t>
      </w:r>
      <w:r w:rsidR="0013600E" w:rsidRPr="005E13B9">
        <w:rPr>
          <w:sz w:val="26"/>
          <w:szCs w:val="26"/>
        </w:rPr>
        <w:t xml:space="preserve"> 5</w:t>
      </w:r>
      <w:r w:rsidRPr="005E13B9">
        <w:rPr>
          <w:rFonts w:hint="eastAsia"/>
          <w:sz w:val="26"/>
          <w:szCs w:val="26"/>
        </w:rPr>
        <w:t xml:space="preserve"> and </w:t>
      </w:r>
      <w:r w:rsidR="000552E7" w:rsidRPr="005E13B9">
        <w:rPr>
          <w:sz w:val="26"/>
          <w:szCs w:val="26"/>
        </w:rPr>
        <w:t xml:space="preserve">Table </w:t>
      </w:r>
      <w:r w:rsidR="0013600E" w:rsidRPr="005E13B9">
        <w:rPr>
          <w:sz w:val="26"/>
          <w:szCs w:val="26"/>
        </w:rPr>
        <w:t>6 reveal almost the same results as Table 3</w:t>
      </w:r>
      <w:r w:rsidR="00EF7221" w:rsidRPr="005E13B9">
        <w:rPr>
          <w:rFonts w:hint="eastAsia"/>
          <w:sz w:val="26"/>
          <w:szCs w:val="26"/>
        </w:rPr>
        <w:t xml:space="preserve"> and</w:t>
      </w:r>
      <w:r w:rsidR="000552E7" w:rsidRPr="005E13B9">
        <w:rPr>
          <w:sz w:val="26"/>
          <w:szCs w:val="26"/>
        </w:rPr>
        <w:t xml:space="preserve"> Table</w:t>
      </w:r>
      <w:r w:rsidR="00EF7221" w:rsidRPr="005E13B9">
        <w:rPr>
          <w:rFonts w:hint="eastAsia"/>
          <w:sz w:val="26"/>
          <w:szCs w:val="26"/>
        </w:rPr>
        <w:t xml:space="preserve"> </w:t>
      </w:r>
      <w:r w:rsidR="0013600E" w:rsidRPr="005E13B9">
        <w:rPr>
          <w:sz w:val="26"/>
          <w:szCs w:val="26"/>
        </w:rPr>
        <w:t xml:space="preserve">4. </w:t>
      </w:r>
      <w:r w:rsidR="00041B53" w:rsidRPr="005E13B9">
        <w:rPr>
          <w:noProof/>
          <w:sz w:val="26"/>
          <w:szCs w:val="26"/>
        </w:rPr>
        <w:t>The dummy variable of c</w:t>
      </w:r>
      <w:r w:rsidR="00572EF8" w:rsidRPr="005E13B9">
        <w:rPr>
          <w:noProof/>
          <w:sz w:val="26"/>
          <w:szCs w:val="26"/>
        </w:rPr>
        <w:t xml:space="preserve">orporate name </w:t>
      </w:r>
      <w:r w:rsidR="0013600E" w:rsidRPr="005E13B9">
        <w:rPr>
          <w:noProof/>
          <w:sz w:val="26"/>
          <w:szCs w:val="26"/>
        </w:rPr>
        <w:t>change once</w:t>
      </w:r>
      <w:r w:rsidR="00EF7221" w:rsidRPr="005E13B9">
        <w:rPr>
          <w:rFonts w:hint="eastAsia"/>
          <w:noProof/>
          <w:sz w:val="26"/>
          <w:szCs w:val="26"/>
        </w:rPr>
        <w:t xml:space="preserve"> </w:t>
      </w:r>
      <w:r w:rsidR="0013600E" w:rsidRPr="005E13B9">
        <w:rPr>
          <w:noProof/>
          <w:sz w:val="26"/>
          <w:szCs w:val="26"/>
        </w:rPr>
        <w:t xml:space="preserve">has </w:t>
      </w:r>
      <w:r w:rsidR="00FB7A87" w:rsidRPr="005E13B9">
        <w:rPr>
          <w:rFonts w:hint="eastAsia"/>
          <w:noProof/>
          <w:sz w:val="26"/>
          <w:szCs w:val="26"/>
        </w:rPr>
        <w:t>a</w:t>
      </w:r>
      <w:r w:rsidR="0013600E" w:rsidRPr="005E13B9">
        <w:rPr>
          <w:noProof/>
          <w:sz w:val="26"/>
          <w:szCs w:val="26"/>
        </w:rPr>
        <w:t xml:space="preserve"> positive effect on the shareholding change of security dealers, while </w:t>
      </w:r>
      <w:r w:rsidR="00041B53" w:rsidRPr="005E13B9">
        <w:rPr>
          <w:noProof/>
          <w:sz w:val="26"/>
          <w:szCs w:val="26"/>
        </w:rPr>
        <w:t xml:space="preserve">the dummy variable of </w:t>
      </w:r>
      <w:r w:rsidR="00572EF8" w:rsidRPr="005E13B9">
        <w:rPr>
          <w:noProof/>
          <w:sz w:val="26"/>
          <w:szCs w:val="26"/>
        </w:rPr>
        <w:t xml:space="preserve">corporate name </w:t>
      </w:r>
      <w:r w:rsidR="0013600E" w:rsidRPr="005E13B9">
        <w:rPr>
          <w:noProof/>
          <w:sz w:val="26"/>
          <w:szCs w:val="26"/>
        </w:rPr>
        <w:t>change more than once is negatively related to institutional investors.</w:t>
      </w:r>
      <w:r w:rsidR="0013600E" w:rsidRPr="005E13B9">
        <w:rPr>
          <w:sz w:val="26"/>
          <w:szCs w:val="26"/>
        </w:rPr>
        <w:t xml:space="preserve"> We argue that a firm changes its name </w:t>
      </w:r>
      <w:r w:rsidR="00FB7A87" w:rsidRPr="005E13B9">
        <w:rPr>
          <w:sz w:val="26"/>
          <w:szCs w:val="26"/>
        </w:rPr>
        <w:t xml:space="preserve">probably </w:t>
      </w:r>
      <w:r w:rsidR="0013600E" w:rsidRPr="005E13B9">
        <w:rPr>
          <w:sz w:val="26"/>
          <w:szCs w:val="26"/>
        </w:rPr>
        <w:t xml:space="preserve">to seek survival and to expect a brand new start due to the poor performance in the past, which is somewhat acceptable for institutional investors. However, a firm changes its name twice or even more might not have </w:t>
      </w:r>
      <w:r w:rsidR="00041B53" w:rsidRPr="005E13B9">
        <w:rPr>
          <w:noProof/>
          <w:sz w:val="26"/>
          <w:szCs w:val="26"/>
        </w:rPr>
        <w:t xml:space="preserve">a </w:t>
      </w:r>
      <w:r w:rsidR="0013600E" w:rsidRPr="005E13B9">
        <w:rPr>
          <w:noProof/>
          <w:sz w:val="26"/>
          <w:szCs w:val="26"/>
        </w:rPr>
        <w:t>better</w:t>
      </w:r>
      <w:r w:rsidR="0013600E" w:rsidRPr="005E13B9">
        <w:rPr>
          <w:sz w:val="26"/>
          <w:szCs w:val="26"/>
        </w:rPr>
        <w:t xml:space="preserve"> impression for the firm, which may result in </w:t>
      </w:r>
      <w:r w:rsidR="00FB7A87" w:rsidRPr="005E13B9">
        <w:rPr>
          <w:rFonts w:hint="eastAsia"/>
          <w:sz w:val="26"/>
          <w:szCs w:val="26"/>
        </w:rPr>
        <w:t>the</w:t>
      </w:r>
      <w:r w:rsidR="0013600E" w:rsidRPr="005E13B9">
        <w:rPr>
          <w:sz w:val="26"/>
          <w:szCs w:val="26"/>
        </w:rPr>
        <w:t xml:space="preserve"> decrease </w:t>
      </w:r>
      <w:r w:rsidR="00FB7A87" w:rsidRPr="005E13B9">
        <w:rPr>
          <w:rFonts w:hint="eastAsia"/>
          <w:sz w:val="26"/>
          <w:szCs w:val="26"/>
        </w:rPr>
        <w:t xml:space="preserve">of </w:t>
      </w:r>
      <w:r w:rsidR="00FB7A87" w:rsidRPr="005E13B9">
        <w:rPr>
          <w:sz w:val="26"/>
          <w:szCs w:val="26"/>
        </w:rPr>
        <w:t>institutional investors’</w:t>
      </w:r>
      <w:r w:rsidR="0013600E" w:rsidRPr="005E13B9">
        <w:rPr>
          <w:sz w:val="26"/>
          <w:szCs w:val="26"/>
        </w:rPr>
        <w:t xml:space="preserve"> </w:t>
      </w:r>
      <w:r w:rsidR="0013600E" w:rsidRPr="005E13B9">
        <w:rPr>
          <w:sz w:val="26"/>
          <w:szCs w:val="26"/>
        </w:rPr>
        <w:lastRenderedPageBreak/>
        <w:t xml:space="preserve">shareholdings due to </w:t>
      </w:r>
      <w:r w:rsidR="00FB7A87" w:rsidRPr="005E13B9">
        <w:rPr>
          <w:rFonts w:hint="eastAsia"/>
          <w:sz w:val="26"/>
          <w:szCs w:val="26"/>
        </w:rPr>
        <w:t xml:space="preserve">the </w:t>
      </w:r>
      <w:r w:rsidR="00FB7A87" w:rsidRPr="005E13B9">
        <w:rPr>
          <w:sz w:val="26"/>
          <w:szCs w:val="26"/>
        </w:rPr>
        <w:t>concern</w:t>
      </w:r>
      <w:r w:rsidR="00FB7A87" w:rsidRPr="005E13B9">
        <w:rPr>
          <w:rFonts w:hint="eastAsia"/>
          <w:sz w:val="26"/>
          <w:szCs w:val="26"/>
        </w:rPr>
        <w:t xml:space="preserve"> of </w:t>
      </w:r>
      <w:r w:rsidR="00FB7A87" w:rsidRPr="005E13B9">
        <w:rPr>
          <w:sz w:val="26"/>
          <w:szCs w:val="26"/>
        </w:rPr>
        <w:t>risk</w:t>
      </w:r>
      <w:r w:rsidR="0013600E" w:rsidRPr="005E13B9">
        <w:rPr>
          <w:sz w:val="26"/>
          <w:szCs w:val="26"/>
        </w:rPr>
        <w:t>.</w:t>
      </w:r>
    </w:p>
    <w:p w14:paraId="44C06151" w14:textId="039598AD" w:rsidR="00562D71" w:rsidRPr="005E13B9" w:rsidRDefault="0013600E" w:rsidP="001C65C7">
      <w:pPr>
        <w:overflowPunct w:val="0"/>
        <w:adjustRightInd w:val="0"/>
        <w:ind w:firstLineChars="200" w:firstLine="520"/>
        <w:jc w:val="both"/>
        <w:rPr>
          <w:sz w:val="26"/>
          <w:szCs w:val="26"/>
        </w:rPr>
      </w:pPr>
      <w:r w:rsidRPr="005E13B9">
        <w:rPr>
          <w:sz w:val="26"/>
          <w:szCs w:val="26"/>
        </w:rPr>
        <w:t xml:space="preserve">As for the results in terms of industry </w:t>
      </w:r>
      <w:r w:rsidR="007474CA" w:rsidRPr="005E13B9">
        <w:rPr>
          <w:sz w:val="26"/>
          <w:szCs w:val="26"/>
        </w:rPr>
        <w:t>category</w:t>
      </w:r>
      <w:r w:rsidRPr="005E13B9">
        <w:rPr>
          <w:sz w:val="26"/>
          <w:szCs w:val="26"/>
        </w:rPr>
        <w:t xml:space="preserve"> change, </w:t>
      </w:r>
      <w:r w:rsidR="00FB7A87" w:rsidRPr="005E13B9">
        <w:rPr>
          <w:rFonts w:hint="eastAsia"/>
          <w:sz w:val="26"/>
          <w:szCs w:val="26"/>
        </w:rPr>
        <w:t xml:space="preserve">the </w:t>
      </w:r>
      <w:r w:rsidR="00FB7A87" w:rsidRPr="005E13B9">
        <w:rPr>
          <w:sz w:val="26"/>
          <w:szCs w:val="26"/>
        </w:rPr>
        <w:t xml:space="preserve">dummy </w:t>
      </w:r>
      <w:r w:rsidR="00FB7A87" w:rsidRPr="005E13B9">
        <w:rPr>
          <w:rFonts w:hint="eastAsia"/>
          <w:sz w:val="26"/>
          <w:szCs w:val="26"/>
        </w:rPr>
        <w:t xml:space="preserve">of </w:t>
      </w:r>
      <w:r w:rsidRPr="005E13B9">
        <w:rPr>
          <w:sz w:val="26"/>
          <w:szCs w:val="26"/>
        </w:rPr>
        <w:t xml:space="preserve">industry </w:t>
      </w:r>
      <w:r w:rsidR="007474CA" w:rsidRPr="005E13B9">
        <w:rPr>
          <w:sz w:val="26"/>
          <w:szCs w:val="26"/>
        </w:rPr>
        <w:t>category</w:t>
      </w:r>
      <w:r w:rsidRPr="005E13B9">
        <w:rPr>
          <w:sz w:val="26"/>
          <w:szCs w:val="26"/>
        </w:rPr>
        <w:t xml:space="preserve"> change once has </w:t>
      </w:r>
      <w:r w:rsidR="00FB7A87" w:rsidRPr="005E13B9">
        <w:rPr>
          <w:rFonts w:hint="eastAsia"/>
          <w:sz w:val="26"/>
          <w:szCs w:val="26"/>
        </w:rPr>
        <w:t>a</w:t>
      </w:r>
      <w:r w:rsidRPr="005E13B9">
        <w:rPr>
          <w:sz w:val="26"/>
          <w:szCs w:val="26"/>
        </w:rPr>
        <w:t xml:space="preserve"> significantly negative impact on the shareholding change of foreign institutions, and industry </w:t>
      </w:r>
      <w:r w:rsidR="007474CA" w:rsidRPr="005E13B9">
        <w:rPr>
          <w:sz w:val="26"/>
          <w:szCs w:val="26"/>
        </w:rPr>
        <w:t>category</w:t>
      </w:r>
      <w:r w:rsidRPr="005E13B9">
        <w:rPr>
          <w:sz w:val="26"/>
          <w:szCs w:val="26"/>
        </w:rPr>
        <w:t xml:space="preserve"> change more than once dummy negatively influences the shareholding changes of domestic institutions and security dealers. We infer that firms change their </w:t>
      </w:r>
      <w:r w:rsidR="007474CA" w:rsidRPr="005E13B9">
        <w:rPr>
          <w:sz w:val="26"/>
          <w:szCs w:val="26"/>
        </w:rPr>
        <w:t>industry categories</w:t>
      </w:r>
      <w:r w:rsidRPr="005E13B9">
        <w:rPr>
          <w:sz w:val="26"/>
          <w:szCs w:val="26"/>
        </w:rPr>
        <w:t xml:space="preserve"> might </w:t>
      </w:r>
      <w:r w:rsidR="00FB7A87" w:rsidRPr="005E13B9">
        <w:rPr>
          <w:sz w:val="26"/>
          <w:szCs w:val="26"/>
        </w:rPr>
        <w:t>stem from</w:t>
      </w:r>
      <w:r w:rsidRPr="005E13B9">
        <w:rPr>
          <w:sz w:val="26"/>
          <w:szCs w:val="26"/>
        </w:rPr>
        <w:t xml:space="preserve"> pursuing </w:t>
      </w:r>
      <w:r w:rsidR="005D5069" w:rsidRPr="005E13B9">
        <w:rPr>
          <w:sz w:val="26"/>
          <w:szCs w:val="26"/>
        </w:rPr>
        <w:t xml:space="preserve">a </w:t>
      </w:r>
      <w:r w:rsidRPr="005E13B9">
        <w:rPr>
          <w:noProof/>
          <w:sz w:val="26"/>
          <w:szCs w:val="26"/>
        </w:rPr>
        <w:t>higher</w:t>
      </w:r>
      <w:r w:rsidRPr="005E13B9">
        <w:rPr>
          <w:sz w:val="26"/>
          <w:szCs w:val="26"/>
        </w:rPr>
        <w:t xml:space="preserve"> P</w:t>
      </w:r>
      <w:r w:rsidR="00FB7A87" w:rsidRPr="005E13B9">
        <w:rPr>
          <w:rFonts w:hint="eastAsia"/>
          <w:sz w:val="26"/>
          <w:szCs w:val="26"/>
        </w:rPr>
        <w:t>/</w:t>
      </w:r>
      <w:r w:rsidRPr="005E13B9">
        <w:rPr>
          <w:sz w:val="26"/>
          <w:szCs w:val="26"/>
        </w:rPr>
        <w:t xml:space="preserve">E ratio in other </w:t>
      </w:r>
      <w:r w:rsidR="007474CA" w:rsidRPr="005E13B9">
        <w:rPr>
          <w:sz w:val="26"/>
          <w:szCs w:val="26"/>
        </w:rPr>
        <w:t>industry categories</w:t>
      </w:r>
      <w:r w:rsidRPr="005E13B9">
        <w:rPr>
          <w:sz w:val="26"/>
          <w:szCs w:val="26"/>
        </w:rPr>
        <w:t xml:space="preserve">. However, foreign institutions might consider that the industry </w:t>
      </w:r>
      <w:r w:rsidR="007474CA" w:rsidRPr="005E13B9">
        <w:rPr>
          <w:sz w:val="26"/>
          <w:szCs w:val="26"/>
        </w:rPr>
        <w:t>category</w:t>
      </w:r>
      <w:r w:rsidRPr="005E13B9">
        <w:rPr>
          <w:sz w:val="26"/>
          <w:szCs w:val="26"/>
        </w:rPr>
        <w:t xml:space="preserve"> change would not change the essence of these firms; </w:t>
      </w:r>
      <w:r w:rsidR="006C7AFA" w:rsidRPr="005E13B9">
        <w:rPr>
          <w:sz w:val="26"/>
          <w:szCs w:val="26"/>
        </w:rPr>
        <w:t>besides</w:t>
      </w:r>
      <w:r w:rsidRPr="005E13B9">
        <w:rPr>
          <w:sz w:val="26"/>
          <w:szCs w:val="26"/>
        </w:rPr>
        <w:t>, institutional investors might regard these firm</w:t>
      </w:r>
      <w:r w:rsidR="000552E7" w:rsidRPr="005E13B9">
        <w:rPr>
          <w:sz w:val="26"/>
          <w:szCs w:val="26"/>
        </w:rPr>
        <w:t>s</w:t>
      </w:r>
      <w:r w:rsidRPr="005E13B9">
        <w:rPr>
          <w:sz w:val="26"/>
          <w:szCs w:val="26"/>
        </w:rPr>
        <w:t xml:space="preserve"> are speculative</w:t>
      </w:r>
      <w:r w:rsidR="00F72C13" w:rsidRPr="005E13B9">
        <w:rPr>
          <w:rFonts w:hint="eastAsia"/>
          <w:sz w:val="26"/>
          <w:szCs w:val="26"/>
        </w:rPr>
        <w:t>.</w:t>
      </w:r>
      <w:r w:rsidRPr="005E13B9">
        <w:rPr>
          <w:sz w:val="26"/>
          <w:szCs w:val="26"/>
        </w:rPr>
        <w:t xml:space="preserve"> </w:t>
      </w:r>
      <w:r w:rsidR="00F72C13" w:rsidRPr="005E13B9">
        <w:rPr>
          <w:sz w:val="26"/>
          <w:szCs w:val="26"/>
        </w:rPr>
        <w:t>Therefore</w:t>
      </w:r>
      <w:r w:rsidR="00F72C13" w:rsidRPr="005E13B9">
        <w:rPr>
          <w:rFonts w:hint="eastAsia"/>
          <w:sz w:val="26"/>
          <w:szCs w:val="26"/>
        </w:rPr>
        <w:t>,</w:t>
      </w:r>
      <w:r w:rsidRPr="005E13B9">
        <w:rPr>
          <w:sz w:val="26"/>
          <w:szCs w:val="26"/>
        </w:rPr>
        <w:t xml:space="preserve"> foreign institutions decrease their shareholdings for these firms</w:t>
      </w:r>
      <w:r w:rsidR="00F72C13" w:rsidRPr="005E13B9">
        <w:rPr>
          <w:rFonts w:hint="eastAsia"/>
          <w:sz w:val="26"/>
          <w:szCs w:val="26"/>
        </w:rPr>
        <w:t xml:space="preserve"> in response</w:t>
      </w:r>
      <w:r w:rsidRPr="005E13B9">
        <w:rPr>
          <w:sz w:val="26"/>
          <w:szCs w:val="26"/>
        </w:rPr>
        <w:t>.</w:t>
      </w:r>
    </w:p>
    <w:p w14:paraId="236244AF" w14:textId="152766C4" w:rsidR="00562D71" w:rsidRPr="005E13B9" w:rsidRDefault="0013600E" w:rsidP="001C65C7">
      <w:pPr>
        <w:overflowPunct w:val="0"/>
        <w:adjustRightInd w:val="0"/>
        <w:ind w:firstLineChars="200" w:firstLine="520"/>
        <w:jc w:val="both"/>
        <w:rPr>
          <w:sz w:val="26"/>
          <w:szCs w:val="26"/>
        </w:rPr>
      </w:pPr>
      <w:r w:rsidRPr="005E13B9">
        <w:rPr>
          <w:sz w:val="26"/>
          <w:szCs w:val="26"/>
        </w:rPr>
        <w:t xml:space="preserve">As for the results shown for other controlling variables, </w:t>
      </w:r>
      <w:r w:rsidR="00F72C13" w:rsidRPr="005E13B9">
        <w:rPr>
          <w:rFonts w:hint="eastAsia"/>
          <w:sz w:val="26"/>
          <w:szCs w:val="26"/>
        </w:rPr>
        <w:t xml:space="preserve">the </w:t>
      </w:r>
      <w:r w:rsidRPr="005E13B9">
        <w:rPr>
          <w:sz w:val="26"/>
          <w:szCs w:val="26"/>
        </w:rPr>
        <w:t xml:space="preserve">net profit ratio, </w:t>
      </w:r>
      <w:r w:rsidR="00F72C13" w:rsidRPr="005E13B9">
        <w:rPr>
          <w:rFonts w:hint="eastAsia"/>
          <w:sz w:val="26"/>
          <w:szCs w:val="26"/>
        </w:rPr>
        <w:t xml:space="preserve">the </w:t>
      </w:r>
      <w:r w:rsidRPr="005E13B9">
        <w:rPr>
          <w:sz w:val="26"/>
          <w:szCs w:val="26"/>
        </w:rPr>
        <w:t xml:space="preserve">asset turnover ratio, and </w:t>
      </w:r>
      <w:r w:rsidR="00F72C13" w:rsidRPr="005E13B9">
        <w:rPr>
          <w:rFonts w:hint="eastAsia"/>
          <w:sz w:val="26"/>
          <w:szCs w:val="26"/>
        </w:rPr>
        <w:t xml:space="preserve">the </w:t>
      </w:r>
      <w:r w:rsidRPr="005E13B9">
        <w:rPr>
          <w:sz w:val="26"/>
          <w:szCs w:val="26"/>
        </w:rPr>
        <w:t xml:space="preserve">firm scale are positively related to shareholding changes of foreign institutions and domestic institutions. These findings represent that foreign institutions and domestic institutions prefer </w:t>
      </w:r>
      <w:r w:rsidR="00F72C13" w:rsidRPr="005E13B9">
        <w:rPr>
          <w:rFonts w:hint="eastAsia"/>
          <w:sz w:val="26"/>
          <w:szCs w:val="26"/>
        </w:rPr>
        <w:t xml:space="preserve">to </w:t>
      </w:r>
      <w:r w:rsidRPr="005E13B9">
        <w:rPr>
          <w:sz w:val="26"/>
          <w:szCs w:val="26"/>
        </w:rPr>
        <w:t xml:space="preserve">hold the shares of the firms with </w:t>
      </w:r>
      <w:r w:rsidR="000552E7" w:rsidRPr="005E13B9">
        <w:rPr>
          <w:sz w:val="26"/>
          <w:szCs w:val="26"/>
        </w:rPr>
        <w:t xml:space="preserve">a </w:t>
      </w:r>
      <w:r w:rsidRPr="005E13B9">
        <w:rPr>
          <w:sz w:val="26"/>
          <w:szCs w:val="26"/>
        </w:rPr>
        <w:t xml:space="preserve">high turnover ratio, implying that the firm with better asset management would appeal </w:t>
      </w:r>
      <w:r w:rsidR="00F72C13" w:rsidRPr="005E13B9">
        <w:rPr>
          <w:rFonts w:hint="eastAsia"/>
          <w:sz w:val="26"/>
          <w:szCs w:val="26"/>
        </w:rPr>
        <w:t xml:space="preserve">to </w:t>
      </w:r>
      <w:r w:rsidRPr="005E13B9">
        <w:rPr>
          <w:sz w:val="26"/>
          <w:szCs w:val="26"/>
        </w:rPr>
        <w:t>institutional investor</w:t>
      </w:r>
      <w:r w:rsidR="000552E7" w:rsidRPr="005E13B9">
        <w:rPr>
          <w:sz w:val="26"/>
          <w:szCs w:val="26"/>
        </w:rPr>
        <w:t>s</w:t>
      </w:r>
      <w:r w:rsidRPr="005E13B9">
        <w:rPr>
          <w:sz w:val="26"/>
          <w:szCs w:val="26"/>
        </w:rPr>
        <w:t xml:space="preserve"> to increases their shareholdings.</w:t>
      </w:r>
    </w:p>
    <w:p w14:paraId="0BF1A267" w14:textId="24AE3AF5" w:rsidR="002035AD" w:rsidRPr="005E13B9" w:rsidRDefault="0013600E" w:rsidP="001C65C7">
      <w:pPr>
        <w:overflowPunct w:val="0"/>
        <w:adjustRightInd w:val="0"/>
        <w:ind w:firstLineChars="200" w:firstLine="520"/>
        <w:jc w:val="both"/>
        <w:rPr>
          <w:sz w:val="26"/>
          <w:szCs w:val="26"/>
        </w:rPr>
      </w:pPr>
      <w:r w:rsidRPr="005E13B9">
        <w:rPr>
          <w:sz w:val="26"/>
          <w:szCs w:val="26"/>
        </w:rPr>
        <w:t xml:space="preserve">In addition, institutional investors prefer </w:t>
      </w:r>
      <w:r w:rsidR="00F72C13" w:rsidRPr="005E13B9">
        <w:rPr>
          <w:rFonts w:hint="eastAsia"/>
          <w:sz w:val="26"/>
          <w:szCs w:val="26"/>
        </w:rPr>
        <w:t xml:space="preserve">to </w:t>
      </w:r>
      <w:r w:rsidRPr="005E13B9">
        <w:rPr>
          <w:sz w:val="26"/>
          <w:szCs w:val="26"/>
        </w:rPr>
        <w:t>hold large</w:t>
      </w:r>
      <w:r w:rsidR="00F72C13" w:rsidRPr="005E13B9">
        <w:rPr>
          <w:rFonts w:hint="eastAsia"/>
          <w:sz w:val="26"/>
          <w:szCs w:val="26"/>
        </w:rPr>
        <w:t>-</w:t>
      </w:r>
      <w:r w:rsidRPr="005E13B9">
        <w:rPr>
          <w:sz w:val="26"/>
          <w:szCs w:val="26"/>
        </w:rPr>
        <w:t xml:space="preserve">scale </w:t>
      </w:r>
      <w:r w:rsidR="00F72C13" w:rsidRPr="005E13B9">
        <w:rPr>
          <w:sz w:val="26"/>
          <w:szCs w:val="26"/>
        </w:rPr>
        <w:t xml:space="preserve">firms </w:t>
      </w:r>
      <w:r w:rsidRPr="005E13B9">
        <w:rPr>
          <w:sz w:val="26"/>
          <w:szCs w:val="26"/>
        </w:rPr>
        <w:t xml:space="preserve">due to the concern of liquidity, which is revealed in this study as well. However, the </w:t>
      </w:r>
      <w:r w:rsidR="00F72C13" w:rsidRPr="005E13B9">
        <w:rPr>
          <w:sz w:val="26"/>
          <w:szCs w:val="26"/>
        </w:rPr>
        <w:t xml:space="preserve">large-scale </w:t>
      </w:r>
      <w:r w:rsidRPr="005E13B9">
        <w:rPr>
          <w:sz w:val="26"/>
          <w:szCs w:val="26"/>
        </w:rPr>
        <w:t xml:space="preserve">firms might not have </w:t>
      </w:r>
      <w:r w:rsidR="000552E7" w:rsidRPr="005E13B9">
        <w:rPr>
          <w:sz w:val="26"/>
          <w:szCs w:val="26"/>
        </w:rPr>
        <w:t xml:space="preserve">a </w:t>
      </w:r>
      <w:r w:rsidRPr="005E13B9">
        <w:rPr>
          <w:sz w:val="26"/>
          <w:szCs w:val="26"/>
        </w:rPr>
        <w:t xml:space="preserve">higher director </w:t>
      </w:r>
      <w:r w:rsidR="00F72C13" w:rsidRPr="005E13B9">
        <w:rPr>
          <w:rFonts w:hint="eastAsia"/>
          <w:sz w:val="26"/>
          <w:szCs w:val="26"/>
        </w:rPr>
        <w:t>share</w:t>
      </w:r>
      <w:r w:rsidRPr="005E13B9">
        <w:rPr>
          <w:sz w:val="26"/>
          <w:szCs w:val="26"/>
        </w:rPr>
        <w:t>holding ratio</w:t>
      </w:r>
      <w:r w:rsidR="005D5069" w:rsidRPr="005E13B9">
        <w:rPr>
          <w:sz w:val="26"/>
          <w:szCs w:val="26"/>
        </w:rPr>
        <w:t>.</w:t>
      </w:r>
      <w:r w:rsidRPr="005E13B9">
        <w:rPr>
          <w:sz w:val="26"/>
          <w:szCs w:val="26"/>
        </w:rPr>
        <w:t xml:space="preserve"> </w:t>
      </w:r>
      <w:r w:rsidR="005D5069" w:rsidRPr="005E13B9">
        <w:rPr>
          <w:sz w:val="26"/>
          <w:szCs w:val="26"/>
        </w:rPr>
        <w:t>Besides</w:t>
      </w:r>
      <w:r w:rsidRPr="005E13B9">
        <w:rPr>
          <w:sz w:val="26"/>
          <w:szCs w:val="26"/>
        </w:rPr>
        <w:t xml:space="preserve">, the tradeoff between director </w:t>
      </w:r>
      <w:r w:rsidR="00F72C13" w:rsidRPr="005E13B9">
        <w:rPr>
          <w:rFonts w:hint="eastAsia"/>
          <w:sz w:val="26"/>
          <w:szCs w:val="26"/>
        </w:rPr>
        <w:t>share</w:t>
      </w:r>
      <w:r w:rsidRPr="005E13B9">
        <w:rPr>
          <w:sz w:val="26"/>
          <w:szCs w:val="26"/>
        </w:rPr>
        <w:t xml:space="preserve">holding ratio and institutional </w:t>
      </w:r>
      <w:r w:rsidR="00F72C13" w:rsidRPr="005E13B9">
        <w:rPr>
          <w:rFonts w:hint="eastAsia"/>
          <w:sz w:val="26"/>
          <w:szCs w:val="26"/>
        </w:rPr>
        <w:t>share</w:t>
      </w:r>
      <w:r w:rsidRPr="005E13B9">
        <w:rPr>
          <w:sz w:val="26"/>
          <w:szCs w:val="26"/>
        </w:rPr>
        <w:t xml:space="preserve">holding ratio might result in the </w:t>
      </w:r>
      <w:r w:rsidR="00F72C13" w:rsidRPr="005E13B9">
        <w:rPr>
          <w:sz w:val="26"/>
          <w:szCs w:val="26"/>
        </w:rPr>
        <w:t>decline</w:t>
      </w:r>
      <w:r w:rsidR="00F72C13" w:rsidRPr="005E13B9">
        <w:rPr>
          <w:rFonts w:hint="eastAsia"/>
          <w:sz w:val="26"/>
          <w:szCs w:val="26"/>
        </w:rPr>
        <w:t xml:space="preserve"> of </w:t>
      </w:r>
      <w:r w:rsidRPr="005E13B9">
        <w:rPr>
          <w:sz w:val="26"/>
          <w:szCs w:val="26"/>
        </w:rPr>
        <w:t>directors' shareholding for large-scale firms.</w:t>
      </w:r>
    </w:p>
    <w:p w14:paraId="4FEFFF11" w14:textId="77777777" w:rsidR="009E4739" w:rsidRPr="005E13B9" w:rsidRDefault="009E4739" w:rsidP="001C65C7">
      <w:pPr>
        <w:overflowPunct w:val="0"/>
        <w:adjustRightInd w:val="0"/>
        <w:ind w:firstLine="420"/>
        <w:jc w:val="both"/>
        <w:rPr>
          <w:sz w:val="26"/>
          <w:szCs w:val="26"/>
        </w:rPr>
      </w:pPr>
    </w:p>
    <w:p w14:paraId="45190B1D" w14:textId="77777777" w:rsidR="00562D71" w:rsidRPr="005E13B9" w:rsidRDefault="00742780" w:rsidP="001C65C7">
      <w:pPr>
        <w:widowControl/>
        <w:overflowPunct w:val="0"/>
        <w:jc w:val="center"/>
        <w:rPr>
          <w:rFonts w:eastAsia="標楷體"/>
          <w:sz w:val="26"/>
          <w:szCs w:val="26"/>
        </w:rPr>
      </w:pPr>
      <w:r w:rsidRPr="005E13B9">
        <w:rPr>
          <w:rFonts w:eastAsia="標楷體"/>
          <w:b/>
          <w:sz w:val="26"/>
          <w:szCs w:val="26"/>
        </w:rPr>
        <w:t>CONCLUSION</w:t>
      </w:r>
    </w:p>
    <w:p w14:paraId="6CCC2C80" w14:textId="6CA3FFAB" w:rsidR="00562D71" w:rsidRPr="005E13B9" w:rsidRDefault="0013600E" w:rsidP="001C65C7">
      <w:pPr>
        <w:overflowPunct w:val="0"/>
        <w:adjustRightInd w:val="0"/>
        <w:ind w:firstLineChars="200" w:firstLine="520"/>
        <w:jc w:val="both"/>
        <w:rPr>
          <w:rFonts w:eastAsia="標楷體"/>
          <w:bCs/>
          <w:sz w:val="26"/>
          <w:szCs w:val="26"/>
        </w:rPr>
      </w:pPr>
      <w:r w:rsidRPr="005E13B9">
        <w:rPr>
          <w:sz w:val="26"/>
          <w:szCs w:val="26"/>
        </w:rPr>
        <w:t xml:space="preserve">Enterprises argue that </w:t>
      </w:r>
      <w:r w:rsidR="00572EF8" w:rsidRPr="005E13B9">
        <w:rPr>
          <w:sz w:val="26"/>
          <w:szCs w:val="26"/>
        </w:rPr>
        <w:t xml:space="preserve">corporate name </w:t>
      </w:r>
      <w:r w:rsidRPr="005E13B9">
        <w:rPr>
          <w:sz w:val="26"/>
          <w:szCs w:val="26"/>
        </w:rPr>
        <w:t>might be related to the firm performance, and even play an important role in future prospects of enterprises because of the myth of cultural factors, especially for the Asian companies. Due to this myth</w:t>
      </w:r>
      <w:r w:rsidRPr="005E13B9">
        <w:rPr>
          <w:rStyle w:val="shorttext"/>
          <w:sz w:val="26"/>
          <w:szCs w:val="26"/>
        </w:rPr>
        <w:t xml:space="preserve">, we are </w:t>
      </w:r>
      <w:r w:rsidRPr="005E13B9">
        <w:rPr>
          <w:sz w:val="26"/>
          <w:szCs w:val="26"/>
        </w:rPr>
        <w:t xml:space="preserve">interested in the concern mentioned above, and </w:t>
      </w:r>
      <w:r w:rsidR="00CF5479" w:rsidRPr="005E13B9">
        <w:rPr>
          <w:rFonts w:hint="eastAsia"/>
          <w:sz w:val="26"/>
          <w:szCs w:val="26"/>
        </w:rPr>
        <w:t>conduct this s</w:t>
      </w:r>
      <w:r w:rsidR="000552E7" w:rsidRPr="005E13B9">
        <w:rPr>
          <w:sz w:val="26"/>
          <w:szCs w:val="26"/>
        </w:rPr>
        <w:t>t</w:t>
      </w:r>
      <w:r w:rsidR="00CF5479" w:rsidRPr="005E13B9">
        <w:rPr>
          <w:rFonts w:hint="eastAsia"/>
          <w:sz w:val="26"/>
          <w:szCs w:val="26"/>
        </w:rPr>
        <w:t xml:space="preserve">udy to </w:t>
      </w:r>
      <w:r w:rsidRPr="005E13B9">
        <w:rPr>
          <w:sz w:val="26"/>
          <w:szCs w:val="26"/>
        </w:rPr>
        <w:t xml:space="preserve">explore whether changing the </w:t>
      </w:r>
      <w:r w:rsidR="00572EF8" w:rsidRPr="005E13B9">
        <w:rPr>
          <w:sz w:val="26"/>
          <w:szCs w:val="26"/>
        </w:rPr>
        <w:t xml:space="preserve">corporate name </w:t>
      </w:r>
      <w:r w:rsidRPr="005E13B9">
        <w:rPr>
          <w:sz w:val="26"/>
          <w:szCs w:val="26"/>
        </w:rPr>
        <w:t>would i</w:t>
      </w:r>
      <w:r w:rsidRPr="005E13B9">
        <w:rPr>
          <w:rFonts w:eastAsia="標楷體"/>
          <w:bCs/>
          <w:sz w:val="26"/>
          <w:szCs w:val="26"/>
        </w:rPr>
        <w:t xml:space="preserve">mpact the shareholdings of intuitional investors.  </w:t>
      </w:r>
    </w:p>
    <w:p w14:paraId="6FD429F3" w14:textId="14D23CFF" w:rsidR="00562D71" w:rsidRPr="005E13B9" w:rsidRDefault="0013600E" w:rsidP="001C65C7">
      <w:pPr>
        <w:overflowPunct w:val="0"/>
        <w:adjustRightInd w:val="0"/>
        <w:ind w:firstLineChars="200" w:firstLine="520"/>
        <w:jc w:val="both"/>
        <w:rPr>
          <w:sz w:val="26"/>
          <w:szCs w:val="26"/>
        </w:rPr>
      </w:pPr>
      <w:r w:rsidRPr="005E13B9">
        <w:rPr>
          <w:sz w:val="26"/>
          <w:szCs w:val="26"/>
        </w:rPr>
        <w:t>In addition, some firms might switch</w:t>
      </w:r>
      <w:r w:rsidR="00041B53" w:rsidRPr="005E13B9">
        <w:rPr>
          <w:sz w:val="26"/>
          <w:szCs w:val="26"/>
        </w:rPr>
        <w:t xml:space="preserve"> the</w:t>
      </w:r>
      <w:r w:rsidRPr="005E13B9">
        <w:rPr>
          <w:sz w:val="26"/>
          <w:szCs w:val="26"/>
        </w:rPr>
        <w:t xml:space="preserve"> </w:t>
      </w:r>
      <w:r w:rsidRPr="005E13B9">
        <w:rPr>
          <w:noProof/>
          <w:sz w:val="26"/>
          <w:szCs w:val="26"/>
        </w:rPr>
        <w:t>original</w:t>
      </w:r>
      <w:r w:rsidRPr="005E13B9">
        <w:rPr>
          <w:sz w:val="26"/>
          <w:szCs w:val="26"/>
        </w:rPr>
        <w:t xml:space="preserve"> industry </w:t>
      </w:r>
      <w:r w:rsidR="007474CA" w:rsidRPr="005E13B9">
        <w:rPr>
          <w:sz w:val="26"/>
          <w:szCs w:val="26"/>
        </w:rPr>
        <w:t>category</w:t>
      </w:r>
      <w:r w:rsidRPr="005E13B9">
        <w:rPr>
          <w:sz w:val="26"/>
          <w:szCs w:val="26"/>
        </w:rPr>
        <w:t xml:space="preserve"> to another</w:t>
      </w:r>
      <w:r w:rsidR="00722119" w:rsidRPr="005E13B9">
        <w:rPr>
          <w:rFonts w:hint="eastAsia"/>
          <w:sz w:val="26"/>
          <w:szCs w:val="26"/>
        </w:rPr>
        <w:t xml:space="preserve"> due to</w:t>
      </w:r>
      <w:r w:rsidRPr="005E13B9">
        <w:rPr>
          <w:sz w:val="26"/>
          <w:szCs w:val="26"/>
        </w:rPr>
        <w:t xml:space="preserve"> </w:t>
      </w:r>
      <w:r w:rsidR="00722119" w:rsidRPr="005E13B9">
        <w:rPr>
          <w:rFonts w:hint="eastAsia"/>
          <w:sz w:val="26"/>
          <w:szCs w:val="26"/>
        </w:rPr>
        <w:t xml:space="preserve">the expectation of </w:t>
      </w:r>
      <w:r w:rsidR="000552E7" w:rsidRPr="005E13B9">
        <w:rPr>
          <w:sz w:val="26"/>
          <w:szCs w:val="26"/>
        </w:rPr>
        <w:t xml:space="preserve">a </w:t>
      </w:r>
      <w:r w:rsidR="00722119" w:rsidRPr="005E13B9">
        <w:rPr>
          <w:sz w:val="26"/>
          <w:szCs w:val="26"/>
        </w:rPr>
        <w:t xml:space="preserve">higher </w:t>
      </w:r>
      <w:r w:rsidR="00722119" w:rsidRPr="005E13B9">
        <w:rPr>
          <w:rFonts w:hint="eastAsia"/>
          <w:sz w:val="26"/>
          <w:szCs w:val="26"/>
        </w:rPr>
        <w:t xml:space="preserve">P/E </w:t>
      </w:r>
      <w:r w:rsidR="00722119" w:rsidRPr="005E13B9">
        <w:rPr>
          <w:sz w:val="26"/>
          <w:szCs w:val="26"/>
        </w:rPr>
        <w:t>ratio compared to the original industry category</w:t>
      </w:r>
      <w:r w:rsidRPr="005E13B9">
        <w:rPr>
          <w:sz w:val="26"/>
          <w:szCs w:val="26"/>
        </w:rPr>
        <w:t xml:space="preserve">. However, whether the industry </w:t>
      </w:r>
      <w:r w:rsidR="007474CA" w:rsidRPr="005E13B9">
        <w:rPr>
          <w:sz w:val="26"/>
          <w:szCs w:val="26"/>
        </w:rPr>
        <w:t>category</w:t>
      </w:r>
      <w:r w:rsidRPr="005E13B9">
        <w:rPr>
          <w:sz w:val="26"/>
          <w:szCs w:val="26"/>
        </w:rPr>
        <w:t xml:space="preserve"> changed would a</w:t>
      </w:r>
      <w:r w:rsidR="00722119" w:rsidRPr="005E13B9">
        <w:rPr>
          <w:rFonts w:hint="eastAsia"/>
          <w:sz w:val="26"/>
          <w:szCs w:val="26"/>
        </w:rPr>
        <w:t>ttract</w:t>
      </w:r>
      <w:r w:rsidRPr="005E13B9">
        <w:rPr>
          <w:sz w:val="26"/>
          <w:szCs w:val="26"/>
        </w:rPr>
        <w:t xml:space="preserve"> institutional investors to increase their shareholding would be another issue to </w:t>
      </w:r>
      <w:r w:rsidR="00722119" w:rsidRPr="005E13B9">
        <w:rPr>
          <w:rFonts w:hint="eastAsia"/>
          <w:sz w:val="26"/>
          <w:szCs w:val="26"/>
        </w:rPr>
        <w:t>be discussed</w:t>
      </w:r>
      <w:r w:rsidRPr="005E13B9">
        <w:rPr>
          <w:sz w:val="26"/>
          <w:szCs w:val="26"/>
        </w:rPr>
        <w:t xml:space="preserve"> in this study, which seems rarely explored and even unexplored in the relevant studies after surveying the relevant literature shown in </w:t>
      </w:r>
      <w:r w:rsidR="009E4739" w:rsidRPr="005E13B9">
        <w:rPr>
          <w:rFonts w:hint="eastAsia"/>
          <w:sz w:val="26"/>
          <w:szCs w:val="26"/>
        </w:rPr>
        <w:t xml:space="preserve">the second </w:t>
      </w:r>
      <w:r w:rsidR="009E4739" w:rsidRPr="005E13B9">
        <w:rPr>
          <w:sz w:val="26"/>
          <w:szCs w:val="26"/>
        </w:rPr>
        <w:t>section</w:t>
      </w:r>
      <w:r w:rsidRPr="005E13B9">
        <w:rPr>
          <w:sz w:val="26"/>
          <w:szCs w:val="26"/>
        </w:rPr>
        <w:t>.</w:t>
      </w:r>
    </w:p>
    <w:p w14:paraId="395A4E6E" w14:textId="77777777" w:rsidR="00562D71" w:rsidRPr="005E13B9" w:rsidRDefault="0013600E" w:rsidP="001C65C7">
      <w:pPr>
        <w:overflowPunct w:val="0"/>
        <w:adjustRightInd w:val="0"/>
        <w:ind w:firstLineChars="200" w:firstLine="520"/>
        <w:jc w:val="both"/>
        <w:rPr>
          <w:sz w:val="26"/>
          <w:szCs w:val="26"/>
        </w:rPr>
      </w:pPr>
      <w:r w:rsidRPr="005E13B9">
        <w:rPr>
          <w:sz w:val="26"/>
          <w:szCs w:val="26"/>
        </w:rPr>
        <w:t xml:space="preserve">By employing the firms listed </w:t>
      </w:r>
      <w:r w:rsidR="009E4739" w:rsidRPr="005E13B9">
        <w:rPr>
          <w:rFonts w:hint="eastAsia"/>
          <w:sz w:val="26"/>
          <w:szCs w:val="26"/>
        </w:rPr>
        <w:t>o</w:t>
      </w:r>
      <w:r w:rsidRPr="005E13B9">
        <w:rPr>
          <w:sz w:val="26"/>
          <w:szCs w:val="26"/>
        </w:rPr>
        <w:t xml:space="preserve">n </w:t>
      </w:r>
      <w:r w:rsidR="009E4739" w:rsidRPr="005E13B9">
        <w:rPr>
          <w:rFonts w:hint="eastAsia"/>
          <w:sz w:val="26"/>
          <w:szCs w:val="26"/>
        </w:rPr>
        <w:t xml:space="preserve">the </w:t>
      </w:r>
      <w:r w:rsidRPr="005E13B9">
        <w:rPr>
          <w:sz w:val="26"/>
          <w:szCs w:val="26"/>
        </w:rPr>
        <w:t>TWSE as our samples, we explore whether the firm either changing</w:t>
      </w:r>
      <w:r w:rsidR="001203B1" w:rsidRPr="005E13B9">
        <w:rPr>
          <w:sz w:val="26"/>
          <w:szCs w:val="26"/>
        </w:rPr>
        <w:t xml:space="preserve"> the</w:t>
      </w:r>
      <w:r w:rsidRPr="005E13B9">
        <w:rPr>
          <w:sz w:val="26"/>
          <w:szCs w:val="26"/>
        </w:rPr>
        <w:t xml:space="preserve"> </w:t>
      </w:r>
      <w:r w:rsidR="00572EF8" w:rsidRPr="005E13B9">
        <w:rPr>
          <w:noProof/>
          <w:sz w:val="26"/>
          <w:szCs w:val="26"/>
        </w:rPr>
        <w:t>corporate</w:t>
      </w:r>
      <w:r w:rsidR="00572EF8" w:rsidRPr="005E13B9">
        <w:rPr>
          <w:sz w:val="26"/>
          <w:szCs w:val="26"/>
        </w:rPr>
        <w:t xml:space="preserve"> name </w:t>
      </w:r>
      <w:r w:rsidRPr="005E13B9">
        <w:rPr>
          <w:sz w:val="26"/>
          <w:szCs w:val="26"/>
        </w:rPr>
        <w:t xml:space="preserve">or switching industry </w:t>
      </w:r>
      <w:r w:rsidR="007474CA" w:rsidRPr="005E13B9">
        <w:rPr>
          <w:sz w:val="26"/>
          <w:szCs w:val="26"/>
        </w:rPr>
        <w:t>category</w:t>
      </w:r>
      <w:r w:rsidRPr="005E13B9">
        <w:rPr>
          <w:sz w:val="26"/>
          <w:szCs w:val="26"/>
        </w:rPr>
        <w:t xml:space="preserve"> would affect the shareholding of institutional investors after taking into account </w:t>
      </w:r>
      <w:r w:rsidR="00722119" w:rsidRPr="005E13B9">
        <w:rPr>
          <w:rFonts w:hint="eastAsia"/>
          <w:sz w:val="26"/>
          <w:szCs w:val="26"/>
        </w:rPr>
        <w:t xml:space="preserve">the </w:t>
      </w:r>
      <w:r w:rsidRPr="005E13B9">
        <w:rPr>
          <w:sz w:val="26"/>
          <w:szCs w:val="26"/>
        </w:rPr>
        <w:t xml:space="preserve">board structure, </w:t>
      </w:r>
      <w:r w:rsidR="00722119" w:rsidRPr="005E13B9">
        <w:rPr>
          <w:rFonts w:hint="eastAsia"/>
          <w:sz w:val="26"/>
          <w:szCs w:val="26"/>
        </w:rPr>
        <w:t xml:space="preserve">the </w:t>
      </w:r>
      <w:r w:rsidRPr="005E13B9">
        <w:rPr>
          <w:sz w:val="26"/>
          <w:szCs w:val="26"/>
        </w:rPr>
        <w:t xml:space="preserve">financial performance, and others controlling variables. In addition, the </w:t>
      </w:r>
      <w:r w:rsidRPr="005E13B9">
        <w:rPr>
          <w:sz w:val="26"/>
          <w:szCs w:val="26"/>
        </w:rPr>
        <w:lastRenderedPageBreak/>
        <w:t>shareholding of institutional investors</w:t>
      </w:r>
      <w:r w:rsidR="001203B1" w:rsidRPr="005E13B9">
        <w:rPr>
          <w:sz w:val="26"/>
          <w:szCs w:val="26"/>
        </w:rPr>
        <w:t>,</w:t>
      </w:r>
      <w:r w:rsidRPr="005E13B9">
        <w:rPr>
          <w:sz w:val="26"/>
          <w:szCs w:val="26"/>
        </w:rPr>
        <w:t xml:space="preserve"> </w:t>
      </w:r>
      <w:r w:rsidRPr="005E13B9">
        <w:rPr>
          <w:noProof/>
          <w:sz w:val="26"/>
          <w:szCs w:val="26"/>
        </w:rPr>
        <w:t>including</w:t>
      </w:r>
      <w:r w:rsidRPr="005E13B9">
        <w:rPr>
          <w:sz w:val="26"/>
          <w:szCs w:val="26"/>
        </w:rPr>
        <w:t xml:space="preserve"> foreign institutions, domestic institutions, and security </w:t>
      </w:r>
      <w:r w:rsidRPr="005E13B9">
        <w:rPr>
          <w:noProof/>
          <w:sz w:val="26"/>
          <w:szCs w:val="26"/>
        </w:rPr>
        <w:t>dealers</w:t>
      </w:r>
      <w:r w:rsidR="001203B1" w:rsidRPr="005E13B9">
        <w:rPr>
          <w:noProof/>
          <w:sz w:val="26"/>
          <w:szCs w:val="26"/>
        </w:rPr>
        <w:t>,</w:t>
      </w:r>
      <w:r w:rsidRPr="005E13B9">
        <w:rPr>
          <w:sz w:val="26"/>
          <w:szCs w:val="26"/>
        </w:rPr>
        <w:t xml:space="preserve"> are examined respectively, and then we reveal some remarkable findings as follows.</w:t>
      </w:r>
    </w:p>
    <w:p w14:paraId="587FB53D" w14:textId="77777777" w:rsidR="00562D71" w:rsidRPr="005E13B9" w:rsidRDefault="0013600E" w:rsidP="001C65C7">
      <w:pPr>
        <w:overflowPunct w:val="0"/>
        <w:adjustRightInd w:val="0"/>
        <w:ind w:firstLineChars="200" w:firstLine="520"/>
        <w:jc w:val="both"/>
        <w:rPr>
          <w:sz w:val="26"/>
          <w:szCs w:val="26"/>
        </w:rPr>
      </w:pPr>
      <w:r w:rsidRPr="005E13B9">
        <w:rPr>
          <w:sz w:val="26"/>
          <w:szCs w:val="26"/>
        </w:rPr>
        <w:t xml:space="preserve">First, we find that institutional investors would not prefer </w:t>
      </w:r>
      <w:r w:rsidR="00E243E9" w:rsidRPr="005E13B9">
        <w:rPr>
          <w:rFonts w:hint="eastAsia"/>
          <w:sz w:val="26"/>
          <w:szCs w:val="26"/>
        </w:rPr>
        <w:t xml:space="preserve">to </w:t>
      </w:r>
      <w:r w:rsidRPr="005E13B9">
        <w:rPr>
          <w:sz w:val="26"/>
          <w:szCs w:val="26"/>
        </w:rPr>
        <w:t>increas</w:t>
      </w:r>
      <w:r w:rsidR="00E243E9" w:rsidRPr="005E13B9">
        <w:rPr>
          <w:rFonts w:hint="eastAsia"/>
          <w:sz w:val="26"/>
          <w:szCs w:val="26"/>
        </w:rPr>
        <w:t>e</w:t>
      </w:r>
      <w:r w:rsidRPr="005E13B9">
        <w:rPr>
          <w:sz w:val="26"/>
          <w:szCs w:val="26"/>
        </w:rPr>
        <w:t xml:space="preserve"> the shareholding for the firms changing their names more than once. We infer that institutional investors might suspect these firms without </w:t>
      </w:r>
      <w:r w:rsidR="00E243E9" w:rsidRPr="005E13B9">
        <w:rPr>
          <w:sz w:val="26"/>
          <w:szCs w:val="26"/>
        </w:rPr>
        <w:t>superior</w:t>
      </w:r>
      <w:r w:rsidRPr="005E13B9">
        <w:rPr>
          <w:sz w:val="26"/>
          <w:szCs w:val="26"/>
        </w:rPr>
        <w:t xml:space="preserve"> firm performance </w:t>
      </w:r>
      <w:r w:rsidRPr="005E13B9">
        <w:rPr>
          <w:noProof/>
          <w:sz w:val="26"/>
          <w:szCs w:val="26"/>
        </w:rPr>
        <w:t>and</w:t>
      </w:r>
      <w:r w:rsidRPr="005E13B9">
        <w:rPr>
          <w:sz w:val="26"/>
          <w:szCs w:val="26"/>
        </w:rPr>
        <w:t xml:space="preserve"> even with difficulty in operating business</w:t>
      </w:r>
      <w:r w:rsidR="00E243E9" w:rsidRPr="005E13B9">
        <w:rPr>
          <w:rFonts w:hint="eastAsia"/>
          <w:sz w:val="26"/>
          <w:szCs w:val="26"/>
        </w:rPr>
        <w:t>, which</w:t>
      </w:r>
      <w:r w:rsidRPr="005E13B9">
        <w:rPr>
          <w:sz w:val="26"/>
          <w:szCs w:val="26"/>
        </w:rPr>
        <w:t xml:space="preserve"> result</w:t>
      </w:r>
      <w:r w:rsidR="00E243E9" w:rsidRPr="005E13B9">
        <w:rPr>
          <w:rFonts w:hint="eastAsia"/>
          <w:sz w:val="26"/>
          <w:szCs w:val="26"/>
        </w:rPr>
        <w:t>s</w:t>
      </w:r>
      <w:r w:rsidRPr="005E13B9">
        <w:rPr>
          <w:sz w:val="26"/>
          <w:szCs w:val="26"/>
        </w:rPr>
        <w:t xml:space="preserve"> in the shareholding of institutional investors declined. Second, institutional investors might not prefer </w:t>
      </w:r>
      <w:r w:rsidR="00E243E9" w:rsidRPr="005E13B9">
        <w:rPr>
          <w:rFonts w:hint="eastAsia"/>
          <w:sz w:val="26"/>
          <w:szCs w:val="26"/>
        </w:rPr>
        <w:t xml:space="preserve">to </w:t>
      </w:r>
      <w:r w:rsidRPr="005E13B9">
        <w:rPr>
          <w:sz w:val="26"/>
          <w:szCs w:val="26"/>
        </w:rPr>
        <w:t xml:space="preserve">hold the shares of </w:t>
      </w:r>
      <w:r w:rsidR="00E243E9" w:rsidRPr="005E13B9">
        <w:rPr>
          <w:rFonts w:hint="eastAsia"/>
          <w:sz w:val="26"/>
          <w:szCs w:val="26"/>
        </w:rPr>
        <w:t xml:space="preserve">the </w:t>
      </w:r>
      <w:r w:rsidRPr="005E13B9">
        <w:rPr>
          <w:sz w:val="26"/>
          <w:szCs w:val="26"/>
        </w:rPr>
        <w:t xml:space="preserve">firms with </w:t>
      </w:r>
      <w:r w:rsidR="007474CA" w:rsidRPr="005E13B9">
        <w:rPr>
          <w:sz w:val="26"/>
          <w:szCs w:val="26"/>
        </w:rPr>
        <w:t>industry categories</w:t>
      </w:r>
      <w:r w:rsidRPr="005E13B9">
        <w:rPr>
          <w:sz w:val="26"/>
          <w:szCs w:val="26"/>
        </w:rPr>
        <w:t xml:space="preserve"> changed once and even more since </w:t>
      </w:r>
      <w:r w:rsidR="00E243E9" w:rsidRPr="005E13B9">
        <w:rPr>
          <w:sz w:val="26"/>
          <w:szCs w:val="26"/>
        </w:rPr>
        <w:t>institutional investors</w:t>
      </w:r>
      <w:r w:rsidRPr="005E13B9">
        <w:rPr>
          <w:sz w:val="26"/>
          <w:szCs w:val="26"/>
        </w:rPr>
        <w:t xml:space="preserve"> might suspect</w:t>
      </w:r>
      <w:r w:rsidR="00E243E9" w:rsidRPr="005E13B9">
        <w:rPr>
          <w:sz w:val="26"/>
          <w:szCs w:val="26"/>
        </w:rPr>
        <w:t xml:space="preserve"> </w:t>
      </w:r>
      <w:r w:rsidRPr="005E13B9">
        <w:rPr>
          <w:sz w:val="26"/>
          <w:szCs w:val="26"/>
        </w:rPr>
        <w:t xml:space="preserve">that these firms might have corporate governance </w:t>
      </w:r>
      <w:r w:rsidR="00E243E9" w:rsidRPr="005E13B9">
        <w:rPr>
          <w:rFonts w:hint="eastAsia"/>
          <w:sz w:val="26"/>
          <w:szCs w:val="26"/>
        </w:rPr>
        <w:t xml:space="preserve">and </w:t>
      </w:r>
      <w:r w:rsidRPr="005E13B9">
        <w:rPr>
          <w:sz w:val="26"/>
          <w:szCs w:val="26"/>
        </w:rPr>
        <w:t xml:space="preserve">even financial issues. Third, we identify that </w:t>
      </w:r>
      <w:r w:rsidR="00E243E9" w:rsidRPr="005E13B9">
        <w:rPr>
          <w:rFonts w:hint="eastAsia"/>
          <w:sz w:val="26"/>
          <w:szCs w:val="26"/>
        </w:rPr>
        <w:t xml:space="preserve">the </w:t>
      </w:r>
      <w:r w:rsidRPr="005E13B9">
        <w:rPr>
          <w:sz w:val="26"/>
          <w:szCs w:val="26"/>
        </w:rPr>
        <w:t xml:space="preserve">debt ratio and </w:t>
      </w:r>
      <w:r w:rsidR="00E243E9" w:rsidRPr="005E13B9">
        <w:rPr>
          <w:rFonts w:hint="eastAsia"/>
          <w:sz w:val="26"/>
          <w:szCs w:val="26"/>
        </w:rPr>
        <w:t xml:space="preserve">the </w:t>
      </w:r>
      <w:r w:rsidRPr="005E13B9">
        <w:rPr>
          <w:sz w:val="26"/>
          <w:szCs w:val="26"/>
        </w:rPr>
        <w:t xml:space="preserve">board size are negatively related to the shareholding change of institutional investors, implying that the firms with large board size and higher debt ratio might not have better corporate governance. </w:t>
      </w:r>
    </w:p>
    <w:p w14:paraId="3658D8DA" w14:textId="537691D1" w:rsidR="00562D71" w:rsidRPr="005E13B9" w:rsidRDefault="0013600E" w:rsidP="001C65C7">
      <w:pPr>
        <w:overflowPunct w:val="0"/>
        <w:adjustRightInd w:val="0"/>
        <w:ind w:firstLineChars="200" w:firstLine="520"/>
        <w:jc w:val="both"/>
        <w:rPr>
          <w:sz w:val="26"/>
          <w:szCs w:val="26"/>
        </w:rPr>
      </w:pPr>
      <w:r w:rsidRPr="005E13B9">
        <w:rPr>
          <w:sz w:val="26"/>
          <w:szCs w:val="26"/>
        </w:rPr>
        <w:t>We argue that this study might contribute to</w:t>
      </w:r>
      <w:r w:rsidR="001203B1" w:rsidRPr="005E13B9">
        <w:rPr>
          <w:sz w:val="26"/>
          <w:szCs w:val="26"/>
        </w:rPr>
        <w:t xml:space="preserve"> the</w:t>
      </w:r>
      <w:r w:rsidRPr="005E13B9">
        <w:rPr>
          <w:sz w:val="26"/>
          <w:szCs w:val="26"/>
        </w:rPr>
        <w:t xml:space="preserve"> </w:t>
      </w:r>
      <w:r w:rsidRPr="005E13B9">
        <w:rPr>
          <w:noProof/>
          <w:sz w:val="26"/>
          <w:szCs w:val="26"/>
        </w:rPr>
        <w:t>existing</w:t>
      </w:r>
      <w:r w:rsidRPr="005E13B9">
        <w:rPr>
          <w:sz w:val="26"/>
          <w:szCs w:val="26"/>
        </w:rPr>
        <w:t xml:space="preserve"> literature in the following aspects. First, we might be the pioneer to explore whether the shareholding change of institutional investors would be affected by </w:t>
      </w:r>
      <w:r w:rsidRPr="005E13B9">
        <w:rPr>
          <w:noProof/>
          <w:sz w:val="26"/>
          <w:szCs w:val="26"/>
        </w:rPr>
        <w:t xml:space="preserve">either </w:t>
      </w:r>
      <w:r w:rsidR="001203B1" w:rsidRPr="005E13B9">
        <w:rPr>
          <w:noProof/>
          <w:sz w:val="26"/>
          <w:szCs w:val="26"/>
        </w:rPr>
        <w:t xml:space="preserve">the </w:t>
      </w:r>
      <w:r w:rsidR="00572EF8" w:rsidRPr="005E13B9">
        <w:rPr>
          <w:noProof/>
          <w:sz w:val="26"/>
          <w:szCs w:val="26"/>
        </w:rPr>
        <w:t xml:space="preserve">corporate name </w:t>
      </w:r>
      <w:r w:rsidRPr="005E13B9">
        <w:rPr>
          <w:noProof/>
          <w:sz w:val="26"/>
          <w:szCs w:val="26"/>
        </w:rPr>
        <w:t>change or</w:t>
      </w:r>
      <w:r w:rsidRPr="005E13B9">
        <w:rPr>
          <w:sz w:val="26"/>
          <w:szCs w:val="26"/>
        </w:rPr>
        <w:t xml:space="preserve"> </w:t>
      </w:r>
      <w:r w:rsidR="001203B1" w:rsidRPr="005E13B9">
        <w:rPr>
          <w:noProof/>
          <w:sz w:val="26"/>
          <w:szCs w:val="26"/>
        </w:rPr>
        <w:t xml:space="preserve">the </w:t>
      </w:r>
      <w:r w:rsidR="007474CA" w:rsidRPr="005E13B9">
        <w:rPr>
          <w:sz w:val="26"/>
          <w:szCs w:val="26"/>
        </w:rPr>
        <w:t>industry categories</w:t>
      </w:r>
      <w:r w:rsidRPr="005E13B9">
        <w:rPr>
          <w:sz w:val="26"/>
          <w:szCs w:val="26"/>
        </w:rPr>
        <w:t xml:space="preserve"> change</w:t>
      </w:r>
      <w:r w:rsidR="00E243E9" w:rsidRPr="005E13B9">
        <w:rPr>
          <w:rFonts w:hint="eastAsia"/>
          <w:sz w:val="26"/>
          <w:szCs w:val="26"/>
        </w:rPr>
        <w:t xml:space="preserve"> since</w:t>
      </w:r>
      <w:r w:rsidR="001203B1" w:rsidRPr="005E13B9">
        <w:rPr>
          <w:sz w:val="26"/>
          <w:szCs w:val="26"/>
        </w:rPr>
        <w:t xml:space="preserve"> the</w:t>
      </w:r>
      <w:r w:rsidR="00E243E9" w:rsidRPr="005E13B9">
        <w:rPr>
          <w:rFonts w:hint="eastAsia"/>
          <w:sz w:val="26"/>
          <w:szCs w:val="26"/>
        </w:rPr>
        <w:t>se two elements</w:t>
      </w:r>
      <w:r w:rsidR="001203B1" w:rsidRPr="005E13B9">
        <w:rPr>
          <w:sz w:val="26"/>
          <w:szCs w:val="26"/>
        </w:rPr>
        <w:t xml:space="preserve"> are </w:t>
      </w:r>
      <w:r w:rsidR="00E243E9" w:rsidRPr="005E13B9">
        <w:rPr>
          <w:rFonts w:hint="eastAsia"/>
          <w:sz w:val="26"/>
          <w:szCs w:val="26"/>
        </w:rPr>
        <w:t>seldom</w:t>
      </w:r>
      <w:r w:rsidRPr="005E13B9">
        <w:rPr>
          <w:sz w:val="26"/>
          <w:szCs w:val="26"/>
        </w:rPr>
        <w:t xml:space="preserve"> explored </w:t>
      </w:r>
      <w:r w:rsidR="001203B1" w:rsidRPr="005E13B9">
        <w:rPr>
          <w:sz w:val="26"/>
          <w:szCs w:val="26"/>
        </w:rPr>
        <w:t xml:space="preserve">or </w:t>
      </w:r>
      <w:r w:rsidRPr="005E13B9">
        <w:rPr>
          <w:sz w:val="26"/>
          <w:szCs w:val="26"/>
        </w:rPr>
        <w:t xml:space="preserve">even unexplored in the relevant studies. Second, we </w:t>
      </w:r>
      <w:r w:rsidR="00F45B53" w:rsidRPr="005E13B9">
        <w:rPr>
          <w:rFonts w:hint="eastAsia"/>
          <w:sz w:val="26"/>
          <w:szCs w:val="26"/>
        </w:rPr>
        <w:t>examin</w:t>
      </w:r>
      <w:r w:rsidRPr="005E13B9">
        <w:rPr>
          <w:sz w:val="26"/>
          <w:szCs w:val="26"/>
        </w:rPr>
        <w:t>e the shareholding</w:t>
      </w:r>
      <w:r w:rsidR="00F45B53" w:rsidRPr="005E13B9">
        <w:rPr>
          <w:rFonts w:hint="eastAsia"/>
          <w:sz w:val="26"/>
          <w:szCs w:val="26"/>
        </w:rPr>
        <w:t>s</w:t>
      </w:r>
      <w:r w:rsidRPr="005E13B9">
        <w:rPr>
          <w:sz w:val="26"/>
          <w:szCs w:val="26"/>
        </w:rPr>
        <w:t xml:space="preserve"> of diverse institutional investors</w:t>
      </w:r>
      <w:r w:rsidR="00F45B53" w:rsidRPr="005E13B9">
        <w:rPr>
          <w:rFonts w:hint="eastAsia"/>
          <w:sz w:val="26"/>
          <w:szCs w:val="26"/>
        </w:rPr>
        <w:t>,</w:t>
      </w:r>
      <w:r w:rsidRPr="005E13B9">
        <w:rPr>
          <w:sz w:val="26"/>
          <w:szCs w:val="26"/>
        </w:rPr>
        <w:t xml:space="preserve"> including foreign institutions, domestic institutions, and security dealers, which would be beneficial for realizing the shareholding change</w:t>
      </w:r>
      <w:r w:rsidR="00F45B53" w:rsidRPr="005E13B9">
        <w:rPr>
          <w:rFonts w:hint="eastAsia"/>
          <w:sz w:val="26"/>
          <w:szCs w:val="26"/>
        </w:rPr>
        <w:t>s</w:t>
      </w:r>
      <w:r w:rsidRPr="005E13B9">
        <w:rPr>
          <w:sz w:val="26"/>
          <w:szCs w:val="26"/>
        </w:rPr>
        <w:t xml:space="preserve"> of various institutional investors in </w:t>
      </w:r>
      <w:r w:rsidR="00F45B53" w:rsidRPr="005E13B9">
        <w:rPr>
          <w:rFonts w:hint="eastAsia"/>
          <w:sz w:val="26"/>
          <w:szCs w:val="26"/>
        </w:rPr>
        <w:t>response</w:t>
      </w:r>
      <w:r w:rsidRPr="005E13B9">
        <w:rPr>
          <w:sz w:val="26"/>
          <w:szCs w:val="26"/>
        </w:rPr>
        <w:t xml:space="preserve"> to the </w:t>
      </w:r>
      <w:r w:rsidR="00572EF8" w:rsidRPr="005E13B9">
        <w:rPr>
          <w:sz w:val="26"/>
          <w:szCs w:val="26"/>
        </w:rPr>
        <w:t xml:space="preserve">corporate name </w:t>
      </w:r>
      <w:r w:rsidRPr="005E13B9">
        <w:rPr>
          <w:sz w:val="26"/>
          <w:szCs w:val="26"/>
        </w:rPr>
        <w:t xml:space="preserve">or industry </w:t>
      </w:r>
      <w:r w:rsidR="007474CA" w:rsidRPr="005E13B9">
        <w:rPr>
          <w:sz w:val="26"/>
          <w:szCs w:val="26"/>
        </w:rPr>
        <w:t>category</w:t>
      </w:r>
      <w:r w:rsidRPr="005E13B9">
        <w:rPr>
          <w:sz w:val="26"/>
          <w:szCs w:val="26"/>
        </w:rPr>
        <w:t xml:space="preserve"> change</w:t>
      </w:r>
      <w:r w:rsidR="00F45B53" w:rsidRPr="005E13B9">
        <w:rPr>
          <w:rFonts w:hint="eastAsia"/>
          <w:sz w:val="26"/>
          <w:szCs w:val="26"/>
        </w:rPr>
        <w:t>s</w:t>
      </w:r>
      <w:r w:rsidRPr="005E13B9">
        <w:rPr>
          <w:sz w:val="26"/>
          <w:szCs w:val="26"/>
        </w:rPr>
        <w:t xml:space="preserve">. Third, </w:t>
      </w:r>
      <w:r w:rsidR="00F45B53" w:rsidRPr="005E13B9">
        <w:rPr>
          <w:sz w:val="26"/>
          <w:szCs w:val="26"/>
        </w:rPr>
        <w:t>to our best understanding,</w:t>
      </w:r>
      <w:r w:rsidR="00F45B53" w:rsidRPr="005E13B9">
        <w:rPr>
          <w:rFonts w:hint="eastAsia"/>
          <w:sz w:val="26"/>
          <w:szCs w:val="26"/>
        </w:rPr>
        <w:t xml:space="preserve"> </w:t>
      </w:r>
      <w:r w:rsidRPr="005E13B9">
        <w:rPr>
          <w:sz w:val="26"/>
          <w:szCs w:val="26"/>
        </w:rPr>
        <w:t xml:space="preserve">our findings seem rarely reported in the previous studies and are valuable for investors to make investment strategies. </w:t>
      </w:r>
      <w:r w:rsidR="00F07F80" w:rsidRPr="005E13B9">
        <w:rPr>
          <w:rFonts w:hint="eastAsia"/>
          <w:noProof/>
          <w:sz w:val="26"/>
          <w:szCs w:val="26"/>
        </w:rPr>
        <w:t>C</w:t>
      </w:r>
      <w:r w:rsidR="00F07F80" w:rsidRPr="005E13B9">
        <w:rPr>
          <w:noProof/>
          <w:sz w:val="26"/>
          <w:szCs w:val="26"/>
        </w:rPr>
        <w:t>onsult</w:t>
      </w:r>
      <w:r w:rsidR="00F07F80" w:rsidRPr="005E13B9">
        <w:rPr>
          <w:rFonts w:hint="eastAsia"/>
          <w:noProof/>
          <w:sz w:val="26"/>
          <w:szCs w:val="26"/>
        </w:rPr>
        <w:t>ing</w:t>
      </w:r>
      <w:r w:rsidR="00F07F80" w:rsidRPr="005E13B9">
        <w:rPr>
          <w:sz w:val="26"/>
          <w:szCs w:val="26"/>
        </w:rPr>
        <w:t xml:space="preserve"> the investment strategies</w:t>
      </w:r>
      <w:r w:rsidR="00F07F80" w:rsidRPr="005E13B9">
        <w:rPr>
          <w:rFonts w:hint="eastAsia"/>
          <w:sz w:val="26"/>
          <w:szCs w:val="26"/>
        </w:rPr>
        <w:t xml:space="preserve"> </w:t>
      </w:r>
      <w:r w:rsidR="00F07F80" w:rsidRPr="005E13B9">
        <w:rPr>
          <w:sz w:val="26"/>
          <w:szCs w:val="26"/>
        </w:rPr>
        <w:t>ma</w:t>
      </w:r>
      <w:r w:rsidR="00F07F80" w:rsidRPr="005E13B9">
        <w:rPr>
          <w:rFonts w:hint="eastAsia"/>
          <w:sz w:val="26"/>
          <w:szCs w:val="26"/>
        </w:rPr>
        <w:t>de</w:t>
      </w:r>
      <w:r w:rsidR="00F07F80" w:rsidRPr="005E13B9">
        <w:rPr>
          <w:sz w:val="26"/>
          <w:szCs w:val="26"/>
        </w:rPr>
        <w:t xml:space="preserve"> </w:t>
      </w:r>
      <w:r w:rsidR="00F07F80" w:rsidRPr="005E13B9">
        <w:rPr>
          <w:rFonts w:hint="eastAsia"/>
          <w:sz w:val="26"/>
          <w:szCs w:val="26"/>
        </w:rPr>
        <w:t>by</w:t>
      </w:r>
      <w:r w:rsidR="00F07F80" w:rsidRPr="005E13B9">
        <w:rPr>
          <w:sz w:val="26"/>
          <w:szCs w:val="26"/>
        </w:rPr>
        <w:t xml:space="preserve"> institutional investors</w:t>
      </w:r>
      <w:r w:rsidR="00F07F80" w:rsidRPr="005E13B9">
        <w:rPr>
          <w:rFonts w:hint="eastAsia"/>
          <w:sz w:val="26"/>
          <w:szCs w:val="26"/>
        </w:rPr>
        <w:t>,</w:t>
      </w:r>
      <w:r w:rsidR="00F07F80" w:rsidRPr="005E13B9">
        <w:rPr>
          <w:sz w:val="26"/>
          <w:szCs w:val="26"/>
        </w:rPr>
        <w:t xml:space="preserve"> </w:t>
      </w:r>
      <w:r w:rsidR="00F07F80" w:rsidRPr="005E13B9">
        <w:rPr>
          <w:rFonts w:hint="eastAsia"/>
          <w:sz w:val="26"/>
          <w:szCs w:val="26"/>
        </w:rPr>
        <w:t>i</w:t>
      </w:r>
      <w:r w:rsidRPr="005E13B9">
        <w:rPr>
          <w:sz w:val="26"/>
          <w:szCs w:val="26"/>
        </w:rPr>
        <w:t xml:space="preserve">ndividual investors might </w:t>
      </w:r>
      <w:r w:rsidR="00F07F80" w:rsidRPr="005E13B9">
        <w:rPr>
          <w:sz w:val="26"/>
          <w:szCs w:val="26"/>
        </w:rPr>
        <w:t>i</w:t>
      </w:r>
      <w:r w:rsidR="00F07F80" w:rsidRPr="005E13B9">
        <w:rPr>
          <w:rFonts w:hint="eastAsia"/>
          <w:sz w:val="26"/>
          <w:szCs w:val="26"/>
        </w:rPr>
        <w:t xml:space="preserve">mprove the probability of </w:t>
      </w:r>
      <w:r w:rsidR="001B02F7" w:rsidRPr="005E13B9">
        <w:rPr>
          <w:rFonts w:hint="eastAsia"/>
          <w:sz w:val="26"/>
          <w:szCs w:val="26"/>
        </w:rPr>
        <w:t>benefits obtained</w:t>
      </w:r>
      <w:r w:rsidR="00F07F80" w:rsidRPr="005E13B9">
        <w:rPr>
          <w:rFonts w:hint="eastAsia"/>
          <w:sz w:val="26"/>
          <w:szCs w:val="26"/>
        </w:rPr>
        <w:t xml:space="preserve"> f</w:t>
      </w:r>
      <w:r w:rsidR="001B02F7" w:rsidRPr="005E13B9">
        <w:rPr>
          <w:rFonts w:hint="eastAsia"/>
          <w:sz w:val="26"/>
          <w:szCs w:val="26"/>
        </w:rPr>
        <w:t>r</w:t>
      </w:r>
      <w:r w:rsidR="00F07F80" w:rsidRPr="005E13B9">
        <w:rPr>
          <w:rFonts w:hint="eastAsia"/>
          <w:sz w:val="26"/>
          <w:szCs w:val="26"/>
        </w:rPr>
        <w:t>o</w:t>
      </w:r>
      <w:r w:rsidR="001B02F7" w:rsidRPr="005E13B9">
        <w:rPr>
          <w:rFonts w:hint="eastAsia"/>
          <w:sz w:val="26"/>
          <w:szCs w:val="26"/>
        </w:rPr>
        <w:t>m</w:t>
      </w:r>
      <w:r w:rsidR="00F07F80" w:rsidRPr="005E13B9">
        <w:rPr>
          <w:rFonts w:hint="eastAsia"/>
          <w:sz w:val="26"/>
          <w:szCs w:val="26"/>
        </w:rPr>
        <w:t xml:space="preserve"> </w:t>
      </w:r>
      <w:r w:rsidR="000552E7" w:rsidRPr="005E13B9">
        <w:rPr>
          <w:sz w:val="26"/>
          <w:szCs w:val="26"/>
        </w:rPr>
        <w:t xml:space="preserve">the </w:t>
      </w:r>
      <w:r w:rsidR="00F07F80" w:rsidRPr="005E13B9">
        <w:rPr>
          <w:rFonts w:hint="eastAsia"/>
          <w:sz w:val="26"/>
          <w:szCs w:val="26"/>
        </w:rPr>
        <w:t>investment</w:t>
      </w:r>
      <w:r w:rsidRPr="005E13B9">
        <w:rPr>
          <w:sz w:val="26"/>
          <w:szCs w:val="26"/>
        </w:rPr>
        <w:t>.</w:t>
      </w:r>
    </w:p>
    <w:p w14:paraId="0983E80F" w14:textId="7DFECA1E" w:rsidR="00562D71" w:rsidRPr="005E13B9" w:rsidRDefault="0013600E" w:rsidP="001C65C7">
      <w:pPr>
        <w:overflowPunct w:val="0"/>
        <w:adjustRightInd w:val="0"/>
        <w:ind w:firstLineChars="200" w:firstLine="520"/>
        <w:jc w:val="both"/>
        <w:rPr>
          <w:rFonts w:eastAsia="標楷體"/>
          <w:bCs/>
          <w:sz w:val="26"/>
          <w:szCs w:val="26"/>
        </w:rPr>
      </w:pPr>
      <w:r w:rsidRPr="005E13B9">
        <w:rPr>
          <w:sz w:val="26"/>
          <w:szCs w:val="26"/>
        </w:rPr>
        <w:t xml:space="preserve">This study provides two valuable implications. First, individual investors should take </w:t>
      </w:r>
      <w:r w:rsidR="00A26524" w:rsidRPr="005E13B9">
        <w:rPr>
          <w:sz w:val="26"/>
          <w:szCs w:val="26"/>
        </w:rPr>
        <w:t xml:space="preserve">into account </w:t>
      </w:r>
      <w:r w:rsidRPr="005E13B9">
        <w:rPr>
          <w:sz w:val="26"/>
          <w:szCs w:val="26"/>
        </w:rPr>
        <w:t xml:space="preserve">the strategies made by institutional investors since, as the major participants in stock markets, institutional investors </w:t>
      </w:r>
      <w:r w:rsidR="001B02F7" w:rsidRPr="005E13B9">
        <w:rPr>
          <w:rFonts w:hint="eastAsia"/>
          <w:sz w:val="26"/>
          <w:szCs w:val="26"/>
        </w:rPr>
        <w:t>seem to</w:t>
      </w:r>
      <w:r w:rsidRPr="005E13B9">
        <w:rPr>
          <w:sz w:val="26"/>
          <w:szCs w:val="26"/>
        </w:rPr>
        <w:t xml:space="preserve"> be regarded as </w:t>
      </w:r>
      <w:r w:rsidR="00A26524" w:rsidRPr="005E13B9">
        <w:rPr>
          <w:rFonts w:hint="eastAsia"/>
          <w:sz w:val="26"/>
          <w:szCs w:val="26"/>
        </w:rPr>
        <w:t xml:space="preserve">the </w:t>
      </w:r>
      <w:r w:rsidRPr="005E13B9">
        <w:rPr>
          <w:sz w:val="26"/>
          <w:szCs w:val="26"/>
        </w:rPr>
        <w:t xml:space="preserve">informed traders. Thus, we argue that individual investors might follow the steps of institutional investors if firm names or </w:t>
      </w:r>
      <w:r w:rsidR="007474CA" w:rsidRPr="005E13B9">
        <w:rPr>
          <w:sz w:val="26"/>
          <w:szCs w:val="26"/>
        </w:rPr>
        <w:t>industry categories</w:t>
      </w:r>
      <w:r w:rsidRPr="005E13B9">
        <w:rPr>
          <w:sz w:val="26"/>
          <w:szCs w:val="26"/>
        </w:rPr>
        <w:t xml:space="preserve"> changed might not be regarded as positive signals by institutional investors. Second, we </w:t>
      </w:r>
      <w:r w:rsidR="001B02F7" w:rsidRPr="005E13B9">
        <w:rPr>
          <w:rFonts w:hint="eastAsia"/>
          <w:sz w:val="26"/>
          <w:szCs w:val="26"/>
        </w:rPr>
        <w:t>claim</w:t>
      </w:r>
      <w:r w:rsidRPr="005E13B9">
        <w:rPr>
          <w:sz w:val="26"/>
          <w:szCs w:val="26"/>
        </w:rPr>
        <w:t xml:space="preserve"> that the firm with superior performance rather than the </w:t>
      </w:r>
      <w:r w:rsidR="00572EF8" w:rsidRPr="005E13B9">
        <w:rPr>
          <w:sz w:val="26"/>
          <w:szCs w:val="26"/>
        </w:rPr>
        <w:t xml:space="preserve">corporate name </w:t>
      </w:r>
      <w:r w:rsidRPr="005E13B9">
        <w:rPr>
          <w:sz w:val="26"/>
          <w:szCs w:val="26"/>
        </w:rPr>
        <w:t xml:space="preserve">or industry </w:t>
      </w:r>
      <w:r w:rsidR="007474CA" w:rsidRPr="005E13B9">
        <w:rPr>
          <w:sz w:val="26"/>
          <w:szCs w:val="26"/>
        </w:rPr>
        <w:t>category</w:t>
      </w:r>
      <w:r w:rsidRPr="005E13B9">
        <w:rPr>
          <w:sz w:val="26"/>
          <w:szCs w:val="26"/>
        </w:rPr>
        <w:t xml:space="preserve"> changed would </w:t>
      </w:r>
      <w:r w:rsidRPr="005E13B9">
        <w:rPr>
          <w:noProof/>
          <w:sz w:val="26"/>
          <w:szCs w:val="26"/>
        </w:rPr>
        <w:t>appeal</w:t>
      </w:r>
      <w:r w:rsidRPr="005E13B9">
        <w:rPr>
          <w:sz w:val="26"/>
          <w:szCs w:val="26"/>
        </w:rPr>
        <w:t xml:space="preserve"> </w:t>
      </w:r>
      <w:r w:rsidR="001203B1" w:rsidRPr="005E13B9">
        <w:rPr>
          <w:sz w:val="26"/>
          <w:szCs w:val="26"/>
        </w:rPr>
        <w:t xml:space="preserve">to </w:t>
      </w:r>
      <w:r w:rsidRPr="005E13B9">
        <w:rPr>
          <w:sz w:val="26"/>
          <w:szCs w:val="26"/>
        </w:rPr>
        <w:t xml:space="preserve">institutional investors to increase their shareholding. As a result, enterprises </w:t>
      </w:r>
      <w:r w:rsidR="001B02F7" w:rsidRPr="005E13B9">
        <w:rPr>
          <w:rFonts w:eastAsia="標楷體"/>
          <w:bCs/>
          <w:sz w:val="26"/>
          <w:szCs w:val="26"/>
        </w:rPr>
        <w:t>indeed</w:t>
      </w:r>
      <w:r w:rsidR="001B02F7" w:rsidRPr="005E13B9">
        <w:rPr>
          <w:sz w:val="26"/>
          <w:szCs w:val="26"/>
        </w:rPr>
        <w:t xml:space="preserve"> </w:t>
      </w:r>
      <w:r w:rsidRPr="005E13B9">
        <w:rPr>
          <w:sz w:val="26"/>
          <w:szCs w:val="26"/>
        </w:rPr>
        <w:t>should make their effort</w:t>
      </w:r>
      <w:r w:rsidRPr="005E13B9">
        <w:rPr>
          <w:rFonts w:eastAsia="標楷體"/>
          <w:bCs/>
          <w:sz w:val="26"/>
          <w:szCs w:val="26"/>
        </w:rPr>
        <w:t>s to improve their firm performances.</w:t>
      </w:r>
    </w:p>
    <w:p w14:paraId="246A3828" w14:textId="77777777" w:rsidR="001B02F7" w:rsidRPr="005E13B9" w:rsidRDefault="001B02F7" w:rsidP="001C65C7">
      <w:pPr>
        <w:overflowPunct w:val="0"/>
        <w:adjustRightInd w:val="0"/>
        <w:snapToGrid w:val="0"/>
        <w:ind w:firstLine="420"/>
        <w:jc w:val="both"/>
        <w:rPr>
          <w:rFonts w:eastAsia="標楷體"/>
          <w:bCs/>
          <w:sz w:val="26"/>
          <w:szCs w:val="26"/>
        </w:rPr>
      </w:pPr>
    </w:p>
    <w:p w14:paraId="19F90C8F" w14:textId="77777777" w:rsidR="00562D71" w:rsidRPr="005E13B9" w:rsidRDefault="004664A6" w:rsidP="001C65C7">
      <w:pPr>
        <w:overflowPunct w:val="0"/>
        <w:adjustRightInd w:val="0"/>
        <w:snapToGrid w:val="0"/>
        <w:spacing w:beforeLines="50" w:before="180" w:afterLines="100" w:after="360"/>
        <w:jc w:val="center"/>
        <w:rPr>
          <w:rFonts w:eastAsia="標楷體"/>
          <w:b/>
          <w:sz w:val="32"/>
          <w:szCs w:val="32"/>
        </w:rPr>
      </w:pPr>
      <w:r w:rsidRPr="005E13B9">
        <w:rPr>
          <w:rFonts w:eastAsia="標楷體"/>
          <w:b/>
          <w:sz w:val="32"/>
          <w:szCs w:val="32"/>
        </w:rPr>
        <w:t>REFERENCES</w:t>
      </w:r>
    </w:p>
    <w:p w14:paraId="41BD7BC6" w14:textId="77777777" w:rsidR="00451B37" w:rsidRPr="005E13B9" w:rsidRDefault="00451B37" w:rsidP="001C65C7">
      <w:pPr>
        <w:overflowPunct w:val="0"/>
        <w:adjustRightInd w:val="0"/>
        <w:snapToGrid w:val="0"/>
        <w:spacing w:afterLines="20" w:after="72"/>
        <w:ind w:left="585" w:hangingChars="225" w:hanging="585"/>
        <w:jc w:val="both"/>
        <w:rPr>
          <w:sz w:val="26"/>
          <w:szCs w:val="26"/>
        </w:rPr>
      </w:pPr>
    </w:p>
    <w:p w14:paraId="1D423200" w14:textId="388B6C5D"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Abed, S., Al-Attar, A., &amp; Suwaidan, M. (2012). Corporate governance and earnings management: Jordanian evidence. </w:t>
      </w:r>
      <w:r w:rsidRPr="005E13B9">
        <w:rPr>
          <w:i/>
          <w:iCs/>
          <w:sz w:val="26"/>
          <w:szCs w:val="26"/>
        </w:rPr>
        <w:t>International Business Research,</w:t>
      </w:r>
      <w:r w:rsidRPr="005E13B9">
        <w:rPr>
          <w:sz w:val="26"/>
          <w:szCs w:val="26"/>
        </w:rPr>
        <w:t xml:space="preserve"> </w:t>
      </w:r>
      <w:r w:rsidRPr="005E13B9">
        <w:rPr>
          <w:i/>
          <w:sz w:val="26"/>
          <w:szCs w:val="26"/>
        </w:rPr>
        <w:t>5</w:t>
      </w:r>
      <w:r w:rsidRPr="005E13B9">
        <w:rPr>
          <w:sz w:val="26"/>
          <w:szCs w:val="26"/>
        </w:rPr>
        <w:t>(1), 216-225.</w:t>
      </w:r>
      <w:r w:rsidRPr="005E13B9">
        <w:rPr>
          <w:rFonts w:hint="eastAsia"/>
          <w:sz w:val="26"/>
          <w:szCs w:val="26"/>
        </w:rPr>
        <w:t xml:space="preserve"> </w:t>
      </w:r>
      <w:r w:rsidRPr="005E13B9">
        <w:rPr>
          <w:sz w:val="26"/>
          <w:szCs w:val="26"/>
        </w:rPr>
        <w:t>https://doi.org/10.5539/ibr.v5n1p216</w:t>
      </w:r>
    </w:p>
    <w:p w14:paraId="0F84E007" w14:textId="7855F226"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Aggarwal, R., Erel, I., Ferreira, M., &amp; Matos, P. (2011). Does governance travel around the world? Evidence from institutional investors. </w:t>
      </w:r>
      <w:r w:rsidRPr="005E13B9">
        <w:rPr>
          <w:i/>
          <w:iCs/>
          <w:sz w:val="26"/>
          <w:szCs w:val="26"/>
        </w:rPr>
        <w:t xml:space="preserve">Journal of Financial Economics, </w:t>
      </w:r>
      <w:r w:rsidRPr="005E13B9">
        <w:rPr>
          <w:i/>
          <w:sz w:val="26"/>
          <w:szCs w:val="26"/>
        </w:rPr>
        <w:t>100</w:t>
      </w:r>
      <w:r w:rsidRPr="005E13B9">
        <w:rPr>
          <w:sz w:val="26"/>
          <w:szCs w:val="26"/>
        </w:rPr>
        <w:t>(1), 154-181. https://doi.org/10.2139/ssrn.1361143</w:t>
      </w:r>
    </w:p>
    <w:p w14:paraId="77931E98" w14:textId="1989E62B"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Agnihotri, A., &amp; Bhattacharya, S. (2017). Corporate name change and the market valuation of firms: Evidence from an emerging market. </w:t>
      </w:r>
      <w:r w:rsidRPr="005E13B9">
        <w:rPr>
          <w:i/>
          <w:sz w:val="26"/>
          <w:szCs w:val="26"/>
        </w:rPr>
        <w:t>International Journal of the Economics of Business, 24</w:t>
      </w:r>
      <w:r w:rsidRPr="005E13B9">
        <w:rPr>
          <w:sz w:val="26"/>
          <w:szCs w:val="26"/>
        </w:rPr>
        <w:t>(1), 73-90.</w:t>
      </w:r>
      <w:r w:rsidRPr="005E13B9">
        <w:rPr>
          <w:sz w:val="26"/>
          <w:szCs w:val="26"/>
        </w:rPr>
        <w:br/>
        <w:t>https://doi.org/10.1080/13571516.2016.1253186</w:t>
      </w:r>
    </w:p>
    <w:p w14:paraId="620993F2" w14:textId="011141A1"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Ashforth, B. E., &amp; Gibbs, B. W. (1990). The double-edge of organizational legitimation. </w:t>
      </w:r>
      <w:r w:rsidRPr="005E13B9">
        <w:rPr>
          <w:i/>
          <w:sz w:val="26"/>
          <w:szCs w:val="26"/>
        </w:rPr>
        <w:t>Organization</w:t>
      </w:r>
      <w:r w:rsidRPr="005E13B9">
        <w:rPr>
          <w:i/>
          <w:iCs/>
          <w:sz w:val="26"/>
          <w:szCs w:val="26"/>
        </w:rPr>
        <w:t xml:space="preserve"> </w:t>
      </w:r>
      <w:r w:rsidRPr="005E13B9">
        <w:rPr>
          <w:rFonts w:hint="eastAsia"/>
          <w:i/>
          <w:iCs/>
          <w:sz w:val="26"/>
          <w:szCs w:val="26"/>
        </w:rPr>
        <w:t>S</w:t>
      </w:r>
      <w:r w:rsidRPr="005E13B9">
        <w:rPr>
          <w:i/>
          <w:iCs/>
          <w:sz w:val="26"/>
          <w:szCs w:val="26"/>
        </w:rPr>
        <w:t>cience</w:t>
      </w:r>
      <w:r w:rsidRPr="005E13B9">
        <w:rPr>
          <w:i/>
          <w:sz w:val="26"/>
          <w:szCs w:val="26"/>
        </w:rPr>
        <w:t>, 1</w:t>
      </w:r>
      <w:r w:rsidRPr="005E13B9">
        <w:rPr>
          <w:sz w:val="26"/>
          <w:szCs w:val="26"/>
        </w:rPr>
        <w:t>(2), 177-194. https://doi.org/10.1287/orsc.1.2.177</w:t>
      </w:r>
    </w:p>
    <w:p w14:paraId="247D85F4"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Bajo, E., Barbi, M., Bigelli, M., &amp; Hillier, D. (2013). The role of institutional investors in public-to-private transactions. </w:t>
      </w:r>
      <w:r w:rsidRPr="005E13B9">
        <w:rPr>
          <w:i/>
          <w:iCs/>
          <w:sz w:val="26"/>
          <w:szCs w:val="26"/>
        </w:rPr>
        <w:t>Journal of Banking &amp; Finance</w:t>
      </w:r>
      <w:r w:rsidRPr="005E13B9">
        <w:rPr>
          <w:i/>
          <w:sz w:val="26"/>
          <w:szCs w:val="26"/>
        </w:rPr>
        <w:t>, 37</w:t>
      </w:r>
      <w:r w:rsidRPr="005E13B9">
        <w:rPr>
          <w:sz w:val="26"/>
          <w:szCs w:val="26"/>
        </w:rPr>
        <w:t>(11), 4327-4336.</w:t>
      </w:r>
      <w:r w:rsidRPr="005E13B9">
        <w:rPr>
          <w:rFonts w:hint="eastAsia"/>
          <w:sz w:val="26"/>
          <w:szCs w:val="26"/>
        </w:rPr>
        <w:t xml:space="preserve"> </w:t>
      </w:r>
      <w:r w:rsidRPr="005E13B9">
        <w:rPr>
          <w:sz w:val="26"/>
          <w:szCs w:val="26"/>
        </w:rPr>
        <w:t>https://doi.org/10.2139/ssrn.2221420</w:t>
      </w:r>
    </w:p>
    <w:p w14:paraId="7E88AFB6" w14:textId="64BE5C84"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Barton, J., &amp; Simko, P. J. (2002). The balance sheet as an earnings management constraint. </w:t>
      </w:r>
      <w:r w:rsidRPr="005E13B9">
        <w:rPr>
          <w:i/>
          <w:iCs/>
          <w:sz w:val="26"/>
          <w:szCs w:val="26"/>
        </w:rPr>
        <w:t xml:space="preserve">The </w:t>
      </w:r>
      <w:r w:rsidRPr="005E13B9">
        <w:rPr>
          <w:sz w:val="26"/>
          <w:szCs w:val="26"/>
        </w:rPr>
        <w:t>Accounting</w:t>
      </w:r>
      <w:r w:rsidRPr="005E13B9">
        <w:rPr>
          <w:i/>
          <w:iCs/>
          <w:sz w:val="26"/>
          <w:szCs w:val="26"/>
        </w:rPr>
        <w:t xml:space="preserve"> Review</w:t>
      </w:r>
      <w:r w:rsidRPr="005E13B9">
        <w:rPr>
          <w:i/>
          <w:sz w:val="26"/>
          <w:szCs w:val="26"/>
        </w:rPr>
        <w:t>, 77</w:t>
      </w:r>
      <w:r w:rsidRPr="005E13B9">
        <w:rPr>
          <w:sz w:val="26"/>
          <w:szCs w:val="26"/>
        </w:rPr>
        <w:t xml:space="preserve">(s-1), 1-27. </w:t>
      </w:r>
      <w:r w:rsidRPr="005E13B9">
        <w:rPr>
          <w:sz w:val="26"/>
          <w:szCs w:val="26"/>
        </w:rPr>
        <w:br/>
        <w:t>https://doi.org/10.2139/ssrn.320641</w:t>
      </w:r>
    </w:p>
    <w:p w14:paraId="5CC9E3A8" w14:textId="04BF8999"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Bena, J., Ferreira, M. A., Matos, P., &amp; Pires, P. (2017). Are foreign investors locusts? The long-term effects of foreign institutional ownership. </w:t>
      </w:r>
      <w:r w:rsidRPr="005E13B9">
        <w:rPr>
          <w:i/>
          <w:iCs/>
          <w:sz w:val="26"/>
          <w:szCs w:val="26"/>
        </w:rPr>
        <w:t>Journal of Financial Economi</w:t>
      </w:r>
      <w:r w:rsidRPr="005E13B9">
        <w:rPr>
          <w:iCs/>
          <w:sz w:val="26"/>
          <w:szCs w:val="26"/>
        </w:rPr>
        <w:t>cs</w:t>
      </w:r>
      <w:r w:rsidRPr="005E13B9">
        <w:rPr>
          <w:i/>
          <w:iCs/>
          <w:sz w:val="26"/>
          <w:szCs w:val="26"/>
        </w:rPr>
        <w:t>, 126</w:t>
      </w:r>
      <w:r w:rsidRPr="005E13B9">
        <w:rPr>
          <w:iCs/>
          <w:sz w:val="26"/>
          <w:szCs w:val="26"/>
        </w:rPr>
        <w:t>(1), 122-146</w:t>
      </w:r>
      <w:r w:rsidRPr="005E13B9">
        <w:rPr>
          <w:sz w:val="26"/>
          <w:szCs w:val="26"/>
        </w:rPr>
        <w:t>. https://doi.org/10.1016/j.jfineco.2017.07.005</w:t>
      </w:r>
    </w:p>
    <w:p w14:paraId="482F9EB0"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Boddewyn, J. (1967). The names of US industrial corporations: A study in change. </w:t>
      </w:r>
      <w:r w:rsidRPr="005E13B9">
        <w:rPr>
          <w:i/>
          <w:iCs/>
          <w:sz w:val="26"/>
          <w:szCs w:val="26"/>
        </w:rPr>
        <w:t>Names</w:t>
      </w:r>
      <w:r w:rsidRPr="005E13B9">
        <w:rPr>
          <w:i/>
          <w:sz w:val="26"/>
          <w:szCs w:val="26"/>
        </w:rPr>
        <w:t>, 15</w:t>
      </w:r>
      <w:r w:rsidRPr="005E13B9">
        <w:rPr>
          <w:sz w:val="26"/>
          <w:szCs w:val="26"/>
        </w:rPr>
        <w:t>(1), 39-52.</w:t>
      </w:r>
      <w:r w:rsidRPr="005E13B9">
        <w:rPr>
          <w:rFonts w:hint="eastAsia"/>
          <w:sz w:val="26"/>
          <w:szCs w:val="26"/>
        </w:rPr>
        <w:t xml:space="preserve"> </w:t>
      </w:r>
      <w:r w:rsidRPr="005E13B9">
        <w:rPr>
          <w:sz w:val="26"/>
          <w:szCs w:val="26"/>
        </w:rPr>
        <w:t>https://doi.org/10.1179/nam.1967.15.1.39</w:t>
      </w:r>
    </w:p>
    <w:p w14:paraId="65E7AD09" w14:textId="366BBCA8"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Borokhovich, K. A., Brunarski, K. R., Crutchley, C. E., &amp; Simkins, B. J. (2004). Board composition and corporate use of interest rate derivatives. </w:t>
      </w:r>
      <w:r w:rsidRPr="005E13B9">
        <w:rPr>
          <w:i/>
          <w:iCs/>
          <w:sz w:val="26"/>
          <w:szCs w:val="26"/>
        </w:rPr>
        <w:t>Journal of Financial Research</w:t>
      </w:r>
      <w:r w:rsidRPr="005E13B9">
        <w:rPr>
          <w:i/>
          <w:sz w:val="26"/>
          <w:szCs w:val="26"/>
        </w:rPr>
        <w:t>, 27</w:t>
      </w:r>
      <w:r w:rsidRPr="005E13B9">
        <w:rPr>
          <w:sz w:val="26"/>
          <w:szCs w:val="26"/>
        </w:rPr>
        <w:t>(2), 199-216.</w:t>
      </w:r>
      <w:r w:rsidR="006C7AFA" w:rsidRPr="005E13B9">
        <w:rPr>
          <w:sz w:val="26"/>
          <w:szCs w:val="26"/>
        </w:rPr>
        <w:t xml:space="preserve"> </w:t>
      </w:r>
      <w:r w:rsidRPr="005E13B9">
        <w:rPr>
          <w:sz w:val="26"/>
          <w:szCs w:val="26"/>
        </w:rPr>
        <w:br/>
        <w:t>https://doi.org/10.1111/j.1475-6803.2004.t01-1-00079.x</w:t>
      </w:r>
    </w:p>
    <w:p w14:paraId="03E63014"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Bosch, J. C., &amp; Hirschey, M. (1989). The valuation effects of corporate name changes. </w:t>
      </w:r>
      <w:r w:rsidRPr="005E13B9">
        <w:rPr>
          <w:i/>
          <w:iCs/>
          <w:sz w:val="26"/>
          <w:szCs w:val="26"/>
        </w:rPr>
        <w:t>Financial Management</w:t>
      </w:r>
      <w:r w:rsidRPr="005E13B9">
        <w:rPr>
          <w:sz w:val="26"/>
          <w:szCs w:val="26"/>
        </w:rPr>
        <w:t xml:space="preserve">, </w:t>
      </w:r>
      <w:r w:rsidRPr="005E13B9">
        <w:rPr>
          <w:i/>
          <w:sz w:val="26"/>
          <w:szCs w:val="26"/>
        </w:rPr>
        <w:t>18</w:t>
      </w:r>
      <w:r w:rsidRPr="005E13B9">
        <w:rPr>
          <w:sz w:val="26"/>
          <w:szCs w:val="26"/>
        </w:rPr>
        <w:t>(4)</w:t>
      </w:r>
      <w:r w:rsidRPr="005E13B9">
        <w:rPr>
          <w:rFonts w:hint="eastAsia"/>
          <w:sz w:val="26"/>
          <w:szCs w:val="26"/>
        </w:rPr>
        <w:t xml:space="preserve">, </w:t>
      </w:r>
      <w:r w:rsidRPr="005E13B9">
        <w:rPr>
          <w:sz w:val="26"/>
          <w:szCs w:val="26"/>
        </w:rPr>
        <w:t>64-73.</w:t>
      </w:r>
      <w:r w:rsidRPr="005E13B9">
        <w:rPr>
          <w:rFonts w:hint="eastAsia"/>
          <w:sz w:val="26"/>
          <w:szCs w:val="26"/>
        </w:rPr>
        <w:t xml:space="preserve"> </w:t>
      </w:r>
      <w:r w:rsidRPr="005E13B9">
        <w:rPr>
          <w:sz w:val="26"/>
          <w:szCs w:val="26"/>
        </w:rPr>
        <w:t>https://doi.org/10.2307/3665798</w:t>
      </w:r>
    </w:p>
    <w:p w14:paraId="30CF21C5"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Brick, I. E., &amp; Chidambaran, N. K. (2010). Board meetings, committee structure, and firm value. </w:t>
      </w:r>
      <w:r w:rsidRPr="005E13B9">
        <w:rPr>
          <w:i/>
          <w:iCs/>
          <w:sz w:val="26"/>
          <w:szCs w:val="26"/>
        </w:rPr>
        <w:t>Journal of Corporate Finance</w:t>
      </w:r>
      <w:r w:rsidRPr="005E13B9">
        <w:rPr>
          <w:i/>
          <w:sz w:val="26"/>
          <w:szCs w:val="26"/>
        </w:rPr>
        <w:t>, 16</w:t>
      </w:r>
      <w:r w:rsidRPr="005E13B9">
        <w:rPr>
          <w:sz w:val="26"/>
          <w:szCs w:val="26"/>
        </w:rPr>
        <w:t>(4), 533-553.</w:t>
      </w:r>
      <w:r w:rsidRPr="005E13B9">
        <w:rPr>
          <w:sz w:val="26"/>
          <w:szCs w:val="26"/>
        </w:rPr>
        <w:br/>
        <w:t>https://doi.org/10.1016/j.jcorpfin.2010.06.003</w:t>
      </w:r>
    </w:p>
    <w:p w14:paraId="154F4661"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Bushee, B. J. (1998). The influence of institutional investors on myopic R&amp;D investment behavior. </w:t>
      </w:r>
      <w:r w:rsidRPr="005E13B9">
        <w:rPr>
          <w:i/>
          <w:iCs/>
          <w:sz w:val="26"/>
          <w:szCs w:val="26"/>
        </w:rPr>
        <w:t>The Accounting Review</w:t>
      </w:r>
      <w:r w:rsidRPr="005E13B9">
        <w:rPr>
          <w:i/>
          <w:sz w:val="26"/>
          <w:szCs w:val="26"/>
        </w:rPr>
        <w:t>, 73</w:t>
      </w:r>
      <w:r w:rsidRPr="005E13B9">
        <w:rPr>
          <w:sz w:val="26"/>
          <w:szCs w:val="26"/>
        </w:rPr>
        <w:t>(3), 305-333.</w:t>
      </w:r>
    </w:p>
    <w:p w14:paraId="1D4BB97A"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Carson, J. M., Cole, C. R., &amp; Fier, S. G. (2016). Name changes and future growth: </w:t>
      </w:r>
      <w:r w:rsidRPr="005E13B9">
        <w:rPr>
          <w:sz w:val="26"/>
          <w:szCs w:val="26"/>
        </w:rPr>
        <w:lastRenderedPageBreak/>
        <w:t>Evidence from the life insurance industry</w:t>
      </w:r>
      <w:r w:rsidRPr="005E13B9">
        <w:rPr>
          <w:i/>
          <w:sz w:val="26"/>
          <w:szCs w:val="26"/>
        </w:rPr>
        <w:t>. Journal of Insurance Issues</w:t>
      </w:r>
      <w:r w:rsidRPr="005E13B9">
        <w:rPr>
          <w:sz w:val="26"/>
          <w:szCs w:val="26"/>
        </w:rPr>
        <w:t>, 1-37.</w:t>
      </w:r>
    </w:p>
    <w:p w14:paraId="7D1746AC"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Chang, Y. Y., &amp; Young, M. (2016). Brand firm performance and tough economic times. </w:t>
      </w:r>
      <w:r w:rsidRPr="005E13B9">
        <w:rPr>
          <w:i/>
          <w:sz w:val="26"/>
          <w:szCs w:val="26"/>
        </w:rPr>
        <w:t>International Review of Finance, 16</w:t>
      </w:r>
      <w:r w:rsidRPr="005E13B9">
        <w:rPr>
          <w:sz w:val="26"/>
          <w:szCs w:val="26"/>
        </w:rPr>
        <w:t>(3), pp. 357-391.</w:t>
      </w:r>
      <w:r w:rsidRPr="005E13B9">
        <w:rPr>
          <w:sz w:val="26"/>
          <w:szCs w:val="26"/>
        </w:rPr>
        <w:br/>
        <w:t>https://doi.org/10.1111/irfi.12081</w:t>
      </w:r>
    </w:p>
    <w:p w14:paraId="00FF2E06" w14:textId="60CB70F9"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Chen, G., Luo, S., Tang, Y., &amp; Tong, J. Y. (2015). Passing probation: Earnings management by interim CEOs and its effect on their promotion prospects. </w:t>
      </w:r>
      <w:r w:rsidRPr="005E13B9">
        <w:rPr>
          <w:i/>
          <w:iCs/>
          <w:sz w:val="26"/>
          <w:szCs w:val="26"/>
        </w:rPr>
        <w:t>Academy of Management Journa</w:t>
      </w:r>
      <w:r w:rsidRPr="005E13B9">
        <w:rPr>
          <w:iCs/>
          <w:sz w:val="26"/>
          <w:szCs w:val="26"/>
        </w:rPr>
        <w:t>l,</w:t>
      </w:r>
      <w:r w:rsidRPr="005E13B9">
        <w:rPr>
          <w:sz w:val="26"/>
          <w:szCs w:val="26"/>
        </w:rPr>
        <w:t xml:space="preserve"> </w:t>
      </w:r>
      <w:r w:rsidRPr="005E13B9">
        <w:rPr>
          <w:i/>
          <w:sz w:val="26"/>
          <w:szCs w:val="26"/>
        </w:rPr>
        <w:t>58</w:t>
      </w:r>
      <w:r w:rsidRPr="005E13B9">
        <w:rPr>
          <w:sz w:val="26"/>
          <w:szCs w:val="26"/>
        </w:rPr>
        <w:t xml:space="preserve">(5), 1389-1418. </w:t>
      </w:r>
      <w:r w:rsidRPr="005E13B9" w:rsidDel="00DA4F2F">
        <w:rPr>
          <w:sz w:val="26"/>
          <w:szCs w:val="26"/>
        </w:rPr>
        <w:br/>
      </w:r>
      <w:r w:rsidRPr="005E13B9">
        <w:rPr>
          <w:sz w:val="26"/>
          <w:szCs w:val="26"/>
        </w:rPr>
        <w:t>https://doi.org/10.5465/amj.2013.0351</w:t>
      </w:r>
    </w:p>
    <w:p w14:paraId="58954145"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Chung, K. H., &amp; Zhang, H. (2011). Corporate governance and institutional ownership. </w:t>
      </w:r>
      <w:r w:rsidRPr="005E13B9">
        <w:rPr>
          <w:i/>
          <w:iCs/>
          <w:sz w:val="26"/>
          <w:szCs w:val="26"/>
        </w:rPr>
        <w:t>Journal of Financial and Quantitative Analysis</w:t>
      </w:r>
      <w:r w:rsidRPr="005E13B9">
        <w:rPr>
          <w:i/>
          <w:sz w:val="26"/>
          <w:szCs w:val="26"/>
        </w:rPr>
        <w:t>, 46</w:t>
      </w:r>
      <w:r w:rsidRPr="005E13B9">
        <w:rPr>
          <w:sz w:val="26"/>
          <w:szCs w:val="26"/>
        </w:rPr>
        <w:t>(1), 247-273.</w:t>
      </w:r>
    </w:p>
    <w:p w14:paraId="70F5CA88" w14:textId="1B75B5F9"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Cooper, M. J., Dimitrov, O., &amp; Rau, P. R. (2001). A rose.com by any other name. </w:t>
      </w:r>
      <w:r w:rsidRPr="005E13B9">
        <w:rPr>
          <w:i/>
          <w:iCs/>
          <w:sz w:val="26"/>
          <w:szCs w:val="26"/>
        </w:rPr>
        <w:t>The Journal of Finance</w:t>
      </w:r>
      <w:r w:rsidRPr="005E13B9">
        <w:rPr>
          <w:i/>
          <w:sz w:val="26"/>
          <w:szCs w:val="26"/>
        </w:rPr>
        <w:t>, 56</w:t>
      </w:r>
      <w:r w:rsidRPr="005E13B9">
        <w:rPr>
          <w:sz w:val="26"/>
          <w:szCs w:val="26"/>
        </w:rPr>
        <w:t>(6), 2371-2388.</w:t>
      </w:r>
    </w:p>
    <w:p w14:paraId="2067C03D"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Cooper, M. J., Khorana, A., Osobov, I., Patel, A., &amp; Rau, P. R. (2005). Managerial actions in response to a market downturn: Valuation effects of name changes in the dot. com decline. </w:t>
      </w:r>
      <w:r w:rsidRPr="005E13B9">
        <w:rPr>
          <w:i/>
          <w:iCs/>
          <w:sz w:val="26"/>
          <w:szCs w:val="26"/>
        </w:rPr>
        <w:t>Journal of Corporate Finance</w:t>
      </w:r>
      <w:r w:rsidRPr="005E13B9">
        <w:rPr>
          <w:i/>
          <w:sz w:val="26"/>
          <w:szCs w:val="26"/>
        </w:rPr>
        <w:t>, 11</w:t>
      </w:r>
      <w:r w:rsidRPr="005E13B9">
        <w:rPr>
          <w:sz w:val="26"/>
          <w:szCs w:val="26"/>
        </w:rPr>
        <w:t>(1), 319-335.</w:t>
      </w:r>
      <w:r w:rsidRPr="005E13B9">
        <w:rPr>
          <w:sz w:val="26"/>
          <w:szCs w:val="26"/>
        </w:rPr>
        <w:br/>
        <w:t>https://doi.org/10.2139/ssrn.375820</w:t>
      </w:r>
    </w:p>
    <w:p w14:paraId="4746AF50" w14:textId="77C6D305"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Dahlquist, M., &amp; Robertsson, G. (2001). Direct foreign ownership, institutional investors, and firm characteristics. </w:t>
      </w:r>
      <w:r w:rsidRPr="005E13B9">
        <w:rPr>
          <w:i/>
          <w:iCs/>
          <w:sz w:val="26"/>
          <w:szCs w:val="26"/>
        </w:rPr>
        <w:t>Journal of Financial Economics</w:t>
      </w:r>
      <w:r w:rsidRPr="005E13B9">
        <w:rPr>
          <w:i/>
          <w:sz w:val="26"/>
          <w:szCs w:val="26"/>
        </w:rPr>
        <w:t>, 59</w:t>
      </w:r>
      <w:r w:rsidRPr="005E13B9">
        <w:rPr>
          <w:sz w:val="26"/>
          <w:szCs w:val="26"/>
        </w:rPr>
        <w:t>(3), 413-440. https://doi.org/10.1016/s0304-405x(00)00092-1</w:t>
      </w:r>
    </w:p>
    <w:p w14:paraId="7DC07104"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Daly, A., &amp; Moloney, D. (2004). Managing corporate rebranding. </w:t>
      </w:r>
      <w:r w:rsidRPr="005E13B9">
        <w:rPr>
          <w:i/>
          <w:iCs/>
          <w:sz w:val="26"/>
          <w:szCs w:val="26"/>
        </w:rPr>
        <w:t>Irish Marketing Review</w:t>
      </w:r>
      <w:r w:rsidRPr="005E13B9">
        <w:rPr>
          <w:i/>
          <w:sz w:val="26"/>
          <w:szCs w:val="26"/>
        </w:rPr>
        <w:t>, 17</w:t>
      </w:r>
      <w:r w:rsidRPr="005E13B9">
        <w:rPr>
          <w:sz w:val="26"/>
          <w:szCs w:val="26"/>
        </w:rPr>
        <w:t>(1/2), 30-36.</w:t>
      </w:r>
    </w:p>
    <w:p w14:paraId="5ABCA84D" w14:textId="013A24FF"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Das, P. (2014). The role of corporate governance in foreign investments. </w:t>
      </w:r>
      <w:r w:rsidRPr="005E13B9">
        <w:rPr>
          <w:i/>
          <w:iCs/>
          <w:sz w:val="26"/>
          <w:szCs w:val="26"/>
        </w:rPr>
        <w:t>Applied Financial Economics</w:t>
      </w:r>
      <w:r w:rsidRPr="005E13B9">
        <w:rPr>
          <w:i/>
          <w:sz w:val="26"/>
          <w:szCs w:val="26"/>
        </w:rPr>
        <w:t>, 24</w:t>
      </w:r>
      <w:r w:rsidRPr="005E13B9">
        <w:rPr>
          <w:sz w:val="26"/>
          <w:szCs w:val="26"/>
        </w:rPr>
        <w:t xml:space="preserve">(3), 187-201. </w:t>
      </w:r>
      <w:r w:rsidRPr="005E13B9">
        <w:rPr>
          <w:sz w:val="26"/>
          <w:szCs w:val="26"/>
        </w:rPr>
        <w:br/>
        <w:t>https://doi.org/10.1080/09603107.2013.870650</w:t>
      </w:r>
    </w:p>
    <w:p w14:paraId="129189F0"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Davis, E. P. (2002). Institutional investors, corporate governance and the performance of the corporate sector. </w:t>
      </w:r>
      <w:r w:rsidRPr="005E13B9">
        <w:rPr>
          <w:i/>
          <w:iCs/>
          <w:sz w:val="26"/>
          <w:szCs w:val="26"/>
        </w:rPr>
        <w:t>Economic Systems</w:t>
      </w:r>
      <w:r w:rsidRPr="005E13B9">
        <w:rPr>
          <w:i/>
          <w:sz w:val="26"/>
          <w:szCs w:val="26"/>
        </w:rPr>
        <w:t>, 26</w:t>
      </w:r>
      <w:r w:rsidRPr="005E13B9">
        <w:rPr>
          <w:sz w:val="26"/>
          <w:szCs w:val="26"/>
        </w:rPr>
        <w:t>(3), 203-229.</w:t>
      </w:r>
      <w:r w:rsidRPr="005E13B9">
        <w:rPr>
          <w:sz w:val="26"/>
          <w:szCs w:val="26"/>
        </w:rPr>
        <w:br/>
        <w:t>https://doi.org/10.1016/s0939-3625(02)00044-4</w:t>
      </w:r>
    </w:p>
    <w:p w14:paraId="7465683E" w14:textId="06447E01"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Delattre, E. (2002). Business name changes: The French experience.</w:t>
      </w:r>
      <w:r w:rsidRPr="005E13B9">
        <w:rPr>
          <w:i/>
          <w:iCs/>
          <w:sz w:val="26"/>
          <w:szCs w:val="26"/>
        </w:rPr>
        <w:t xml:space="preserve"> Journal of Small Business Management</w:t>
      </w:r>
      <w:r w:rsidRPr="005E13B9">
        <w:rPr>
          <w:i/>
          <w:sz w:val="26"/>
          <w:szCs w:val="26"/>
        </w:rPr>
        <w:t>, 40</w:t>
      </w:r>
      <w:r w:rsidRPr="005E13B9">
        <w:rPr>
          <w:sz w:val="26"/>
          <w:szCs w:val="26"/>
        </w:rPr>
        <w:t>(4), 360-367. https://doi.org/10.1111/1540-627x.00063</w:t>
      </w:r>
    </w:p>
    <w:p w14:paraId="715D0B3B"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Feng, X., Zhou, M., &amp; Chan, K. C. (2014). Smart money or dumb money? A study on the selection ability of mutual fund investors in China. </w:t>
      </w:r>
      <w:r w:rsidRPr="005E13B9">
        <w:rPr>
          <w:i/>
          <w:iCs/>
          <w:sz w:val="26"/>
          <w:szCs w:val="26"/>
        </w:rPr>
        <w:t>The North American Journal of Economics and Finance</w:t>
      </w:r>
      <w:r w:rsidRPr="005E13B9">
        <w:rPr>
          <w:i/>
          <w:sz w:val="26"/>
          <w:szCs w:val="26"/>
        </w:rPr>
        <w:t>, 30</w:t>
      </w:r>
      <w:r w:rsidRPr="005E13B9">
        <w:rPr>
          <w:sz w:val="26"/>
          <w:szCs w:val="26"/>
        </w:rPr>
        <w:t>, 154-170.</w:t>
      </w:r>
      <w:r w:rsidRPr="005E13B9">
        <w:rPr>
          <w:sz w:val="26"/>
          <w:szCs w:val="26"/>
        </w:rPr>
        <w:br/>
        <w:t>https://doi.org/10.1016/j.najef.2014.09.004</w:t>
      </w:r>
    </w:p>
    <w:p w14:paraId="1984C841" w14:textId="085C6144"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Ferreira, M. A., &amp; Matos, P. (2008). The colors of investors’ money: The role of institutional investors around the world. </w:t>
      </w:r>
      <w:r w:rsidRPr="005E13B9">
        <w:rPr>
          <w:i/>
          <w:iCs/>
          <w:sz w:val="26"/>
          <w:szCs w:val="26"/>
        </w:rPr>
        <w:t>Journal of Financial Economics</w:t>
      </w:r>
      <w:r w:rsidRPr="005E13B9">
        <w:rPr>
          <w:i/>
          <w:sz w:val="26"/>
          <w:szCs w:val="26"/>
        </w:rPr>
        <w:t>, 88</w:t>
      </w:r>
      <w:r w:rsidRPr="005E13B9">
        <w:rPr>
          <w:sz w:val="26"/>
          <w:szCs w:val="26"/>
        </w:rPr>
        <w:t>(3), 499-533. https://doi.org/10.1016/j.jfineco.2007.07.003</w:t>
      </w:r>
    </w:p>
    <w:p w14:paraId="160315CC" w14:textId="1181A182"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lastRenderedPageBreak/>
        <w:t xml:space="preserve">Ferreira, M. A., Massa, M., &amp; Matos, P. (2009). Shareholders at the gate? Institutional investors and cross-border mergers and acquisitions. </w:t>
      </w:r>
      <w:r w:rsidRPr="005E13B9">
        <w:rPr>
          <w:i/>
          <w:iCs/>
          <w:sz w:val="26"/>
          <w:szCs w:val="26"/>
        </w:rPr>
        <w:t>The Review of Financial Studies</w:t>
      </w:r>
      <w:r w:rsidRPr="005E13B9">
        <w:rPr>
          <w:i/>
          <w:sz w:val="26"/>
          <w:szCs w:val="26"/>
        </w:rPr>
        <w:t>, 23</w:t>
      </w:r>
      <w:r w:rsidRPr="005E13B9">
        <w:rPr>
          <w:sz w:val="26"/>
          <w:szCs w:val="26"/>
        </w:rPr>
        <w:t>(2), 601-644. https://doi.org/10.1093/rfs/hhp070</w:t>
      </w:r>
    </w:p>
    <w:p w14:paraId="0F67DEB9" w14:textId="240164D1"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Filatotchev, I., Lien, Y. C., &amp; Piesse, J. (2005). Corporate governance and performance in publicly listed, family-controlled firms: Evidence from Taiwan. </w:t>
      </w:r>
      <w:r w:rsidRPr="005E13B9">
        <w:rPr>
          <w:i/>
          <w:sz w:val="26"/>
          <w:szCs w:val="26"/>
        </w:rPr>
        <w:t>Asia Pacific Journal of Management, 22</w:t>
      </w:r>
      <w:r w:rsidRPr="005E13B9">
        <w:rPr>
          <w:sz w:val="26"/>
          <w:szCs w:val="26"/>
        </w:rPr>
        <w:t>(3), 257-283. https://doi.org/10.1007/s10490-005-3569-2</w:t>
      </w:r>
    </w:p>
    <w:p w14:paraId="1ED807BF"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Foster, F. D., &amp; Warren, G. J. (2016). Interviews with institutional investors: The how and why of active investing. </w:t>
      </w:r>
      <w:r w:rsidRPr="005E13B9">
        <w:rPr>
          <w:i/>
          <w:sz w:val="26"/>
          <w:szCs w:val="26"/>
        </w:rPr>
        <w:t>Journal of Behavioral Finance, 17</w:t>
      </w:r>
      <w:r w:rsidRPr="005E13B9">
        <w:rPr>
          <w:sz w:val="26"/>
          <w:szCs w:val="26"/>
        </w:rPr>
        <w:t>(1), 60-84.</w:t>
      </w:r>
      <w:r w:rsidRPr="005E13B9">
        <w:rPr>
          <w:sz w:val="26"/>
          <w:szCs w:val="26"/>
        </w:rPr>
        <w:br/>
        <w:t>https://doi.org/10.1080/15427560.2015.1095754</w:t>
      </w:r>
    </w:p>
    <w:p w14:paraId="60ADE820" w14:textId="55C313C4"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Garg, A., &amp; Chawla, K. K. (2015). A study of trend analysis and relationship between foreign institutional investors (FIIs) &amp; domestic institutional investors (DIIs). </w:t>
      </w:r>
      <w:r w:rsidRPr="005E13B9">
        <w:rPr>
          <w:rStyle w:val="fontstyle01"/>
          <w:rFonts w:ascii="Times New Roman" w:hAnsi="Times New Roman"/>
          <w:i/>
          <w:color w:val="auto"/>
          <w:sz w:val="26"/>
          <w:szCs w:val="26"/>
        </w:rPr>
        <w:t>International Multi Track Conference on Sciences, Engineering &amp; Technical Innovations,</w:t>
      </w:r>
      <w:r w:rsidRPr="005E13B9">
        <w:rPr>
          <w:rStyle w:val="fontstyle01"/>
          <w:rFonts w:ascii="Times New Roman" w:hAnsi="Times New Roman"/>
          <w:color w:val="auto"/>
          <w:sz w:val="26"/>
          <w:szCs w:val="26"/>
        </w:rPr>
        <w:t xml:space="preserve"> 321-325. </w:t>
      </w:r>
      <w:r w:rsidRPr="005E13B9">
        <w:rPr>
          <w:sz w:val="26"/>
          <w:szCs w:val="26"/>
        </w:rPr>
        <w:t>https://doi.org/10.2139/ssrn.2623465</w:t>
      </w:r>
    </w:p>
    <w:p w14:paraId="0AAF073E"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Gillan, S., &amp; Starks, L. T. (2003). Corporate governance, corporate ownership, and the role of institutional investors: A global perspective. </w:t>
      </w:r>
      <w:r w:rsidRPr="005E13B9">
        <w:rPr>
          <w:i/>
          <w:sz w:val="26"/>
          <w:szCs w:val="26"/>
        </w:rPr>
        <w:t>Weinberg Center for Corporate Governance Working Paper No. 2003-01</w:t>
      </w:r>
      <w:r w:rsidRPr="005E13B9">
        <w:rPr>
          <w:sz w:val="26"/>
          <w:szCs w:val="26"/>
        </w:rPr>
        <w:t>.</w:t>
      </w:r>
      <w:r w:rsidRPr="005E13B9">
        <w:rPr>
          <w:sz w:val="26"/>
          <w:szCs w:val="26"/>
        </w:rPr>
        <w:br/>
        <w:t>https://doi.org/10.2139/ssrn.439500</w:t>
      </w:r>
    </w:p>
    <w:p w14:paraId="77B59369"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Glynn, M. A., &amp; Abzug, R. (2002). Institutionalizing identity: Symbolic isomorphism and organizational names. </w:t>
      </w:r>
      <w:r w:rsidRPr="005E13B9">
        <w:rPr>
          <w:i/>
          <w:iCs/>
          <w:sz w:val="26"/>
          <w:szCs w:val="26"/>
        </w:rPr>
        <w:t>Academy of Management Journal</w:t>
      </w:r>
      <w:r w:rsidRPr="005E13B9">
        <w:rPr>
          <w:i/>
          <w:sz w:val="26"/>
          <w:szCs w:val="26"/>
        </w:rPr>
        <w:t>, 45</w:t>
      </w:r>
      <w:r w:rsidRPr="005E13B9">
        <w:rPr>
          <w:sz w:val="26"/>
          <w:szCs w:val="26"/>
        </w:rPr>
        <w:t>(1), 267-280.</w:t>
      </w:r>
      <w:r w:rsidRPr="005E13B9">
        <w:rPr>
          <w:sz w:val="26"/>
          <w:szCs w:val="26"/>
        </w:rPr>
        <w:br/>
        <w:t>https://doi.org/10.5465/3069296</w:t>
      </w:r>
    </w:p>
    <w:p w14:paraId="0BE524B3"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Green, T. C., &amp; Jame, R. (2013). Company name fluency, investor recognition, and firm value. </w:t>
      </w:r>
      <w:r w:rsidRPr="005E13B9">
        <w:rPr>
          <w:i/>
          <w:sz w:val="26"/>
          <w:szCs w:val="26"/>
        </w:rPr>
        <w:t>Journal</w:t>
      </w:r>
      <w:r w:rsidRPr="005E13B9">
        <w:rPr>
          <w:i/>
          <w:iCs/>
          <w:sz w:val="26"/>
          <w:szCs w:val="26"/>
        </w:rPr>
        <w:t xml:space="preserve"> of Financial Economics</w:t>
      </w:r>
      <w:r w:rsidRPr="005E13B9">
        <w:rPr>
          <w:i/>
          <w:sz w:val="26"/>
          <w:szCs w:val="26"/>
        </w:rPr>
        <w:t>, 109</w:t>
      </w:r>
      <w:r w:rsidRPr="005E13B9">
        <w:rPr>
          <w:sz w:val="26"/>
          <w:szCs w:val="26"/>
        </w:rPr>
        <w:t>(3), 813-834.</w:t>
      </w:r>
      <w:r w:rsidRPr="005E13B9">
        <w:rPr>
          <w:sz w:val="26"/>
          <w:szCs w:val="26"/>
        </w:rPr>
        <w:br/>
        <w:t>https://doi.org/10.1016/j.jfineco.2013.04.007</w:t>
      </w:r>
    </w:p>
    <w:p w14:paraId="70BD9CC0" w14:textId="2A9A7AAA"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Grinblatt, M., &amp; Keloharju, M. (2000). The investment behavior and performance of various investor types: A study of Finland's unique data set. </w:t>
      </w:r>
      <w:r w:rsidRPr="005E13B9">
        <w:rPr>
          <w:i/>
          <w:iCs/>
          <w:sz w:val="26"/>
          <w:szCs w:val="26"/>
        </w:rPr>
        <w:t>Journal of Financial Economics</w:t>
      </w:r>
      <w:r w:rsidRPr="005E13B9">
        <w:rPr>
          <w:i/>
          <w:sz w:val="26"/>
          <w:szCs w:val="26"/>
        </w:rPr>
        <w:t>, 55</w:t>
      </w:r>
      <w:r w:rsidRPr="005E13B9">
        <w:rPr>
          <w:sz w:val="26"/>
          <w:szCs w:val="26"/>
        </w:rPr>
        <w:t>(1), 43-67.</w:t>
      </w:r>
      <w:r w:rsidRPr="005E13B9">
        <w:rPr>
          <w:rFonts w:hint="eastAsia"/>
          <w:sz w:val="26"/>
          <w:szCs w:val="26"/>
        </w:rPr>
        <w:t xml:space="preserve"> </w:t>
      </w:r>
      <w:r w:rsidRPr="005E13B9">
        <w:rPr>
          <w:sz w:val="26"/>
          <w:szCs w:val="26"/>
        </w:rPr>
        <w:t>https://doi.org/10.1016/s0304-405x(99)00044-6</w:t>
      </w:r>
    </w:p>
    <w:p w14:paraId="353354A8" w14:textId="21FC175F"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Guha, S. </w:t>
      </w:r>
      <w:r w:rsidR="006C7AFA" w:rsidRPr="005E13B9">
        <w:rPr>
          <w:sz w:val="26"/>
          <w:szCs w:val="26"/>
        </w:rPr>
        <w:t>(</w:t>
      </w:r>
      <w:r w:rsidRPr="005E13B9">
        <w:rPr>
          <w:sz w:val="26"/>
          <w:szCs w:val="26"/>
        </w:rPr>
        <w:t>2018</w:t>
      </w:r>
      <w:r w:rsidR="006C7AFA" w:rsidRPr="005E13B9">
        <w:rPr>
          <w:sz w:val="26"/>
          <w:szCs w:val="26"/>
        </w:rPr>
        <w:t>)</w:t>
      </w:r>
      <w:r w:rsidRPr="005E13B9">
        <w:rPr>
          <w:sz w:val="26"/>
          <w:szCs w:val="26"/>
        </w:rPr>
        <w:t>. Institutional investors and firm characteristics: New evidence from India</w:t>
      </w:r>
      <w:r w:rsidRPr="005E13B9">
        <w:rPr>
          <w:rFonts w:eastAsiaTheme="minorEastAsia"/>
          <w:kern w:val="0"/>
          <w:sz w:val="26"/>
          <w:szCs w:val="26"/>
        </w:rPr>
        <w:t>.”</w:t>
      </w:r>
      <w:r w:rsidRPr="005E13B9">
        <w:rPr>
          <w:sz w:val="26"/>
          <w:szCs w:val="26"/>
        </w:rPr>
        <w:t xml:space="preserve"> </w:t>
      </w:r>
      <w:r w:rsidRPr="005E13B9">
        <w:rPr>
          <w:i/>
          <w:iCs/>
          <w:sz w:val="26"/>
          <w:szCs w:val="26"/>
        </w:rPr>
        <w:t xml:space="preserve">Research in </w:t>
      </w:r>
      <w:r w:rsidRPr="005E13B9">
        <w:rPr>
          <w:i/>
          <w:sz w:val="26"/>
          <w:szCs w:val="26"/>
        </w:rPr>
        <w:t>International</w:t>
      </w:r>
      <w:r w:rsidRPr="005E13B9">
        <w:rPr>
          <w:i/>
          <w:iCs/>
          <w:sz w:val="26"/>
          <w:szCs w:val="26"/>
        </w:rPr>
        <w:t xml:space="preserve"> Business and Finance, 46</w:t>
      </w:r>
      <w:r w:rsidRPr="005E13B9">
        <w:rPr>
          <w:iCs/>
          <w:sz w:val="26"/>
          <w:szCs w:val="26"/>
        </w:rPr>
        <w:t>, 30-42.</w:t>
      </w:r>
      <w:r w:rsidRPr="005E13B9">
        <w:rPr>
          <w:iCs/>
          <w:sz w:val="26"/>
          <w:szCs w:val="26"/>
        </w:rPr>
        <w:br/>
      </w:r>
      <w:r w:rsidRPr="005E13B9">
        <w:rPr>
          <w:sz w:val="26"/>
          <w:szCs w:val="26"/>
        </w:rPr>
        <w:t>https://doi.org/10.1016/j.ribaf.2017.09.005</w:t>
      </w:r>
    </w:p>
    <w:p w14:paraId="0D4381E2"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Harford, J., Mansi, S. A., &amp; Maxwell, W. F. (2008). Corporate governance and firm cash holdings in the US.</w:t>
      </w:r>
      <w:r w:rsidRPr="005E13B9">
        <w:rPr>
          <w:i/>
          <w:iCs/>
          <w:sz w:val="26"/>
          <w:szCs w:val="26"/>
        </w:rPr>
        <w:t xml:space="preserve"> </w:t>
      </w:r>
      <w:r w:rsidRPr="005E13B9">
        <w:rPr>
          <w:i/>
          <w:iCs/>
          <w:kern w:val="0"/>
          <w:sz w:val="26"/>
          <w:szCs w:val="26"/>
        </w:rPr>
        <w:t xml:space="preserve">Journal of Financial Economics, </w:t>
      </w:r>
      <w:r w:rsidRPr="005E13B9">
        <w:rPr>
          <w:i/>
          <w:kern w:val="0"/>
          <w:sz w:val="26"/>
          <w:szCs w:val="26"/>
        </w:rPr>
        <w:t>87</w:t>
      </w:r>
      <w:r w:rsidRPr="005E13B9">
        <w:rPr>
          <w:kern w:val="0"/>
          <w:sz w:val="26"/>
          <w:szCs w:val="26"/>
        </w:rPr>
        <w:t>, 535–555.</w:t>
      </w:r>
      <w:r w:rsidRPr="005E13B9">
        <w:rPr>
          <w:kern w:val="0"/>
          <w:sz w:val="26"/>
          <w:szCs w:val="26"/>
        </w:rPr>
        <w:br/>
      </w:r>
      <w:r w:rsidRPr="005E13B9">
        <w:rPr>
          <w:sz w:val="26"/>
          <w:szCs w:val="26"/>
        </w:rPr>
        <w:t>https://doi.org/10.1016/j.jfineco.2007.04.002</w:t>
      </w:r>
    </w:p>
    <w:p w14:paraId="71DA6E33"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Horsky, D., &amp; Swyngedouw, P. (1987). Does it pay to change your company's name? A stock market perspective. </w:t>
      </w:r>
      <w:r w:rsidRPr="005E13B9">
        <w:rPr>
          <w:i/>
          <w:iCs/>
          <w:sz w:val="26"/>
          <w:szCs w:val="26"/>
        </w:rPr>
        <w:t>Marketing Science</w:t>
      </w:r>
      <w:r w:rsidRPr="005E13B9">
        <w:rPr>
          <w:i/>
          <w:sz w:val="26"/>
          <w:szCs w:val="26"/>
        </w:rPr>
        <w:t>, 6</w:t>
      </w:r>
      <w:r w:rsidRPr="005E13B9">
        <w:rPr>
          <w:sz w:val="26"/>
          <w:szCs w:val="26"/>
        </w:rPr>
        <w:t>(4), 320-335.</w:t>
      </w:r>
      <w:r w:rsidRPr="005E13B9">
        <w:rPr>
          <w:sz w:val="26"/>
          <w:szCs w:val="26"/>
        </w:rPr>
        <w:br/>
        <w:t>https://doi.org/10.1287/mksc.6.4.320</w:t>
      </w:r>
    </w:p>
    <w:p w14:paraId="63C29615" w14:textId="23C2BF3D"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lastRenderedPageBreak/>
        <w:t xml:space="preserve">Howe, J. S. (1982). A rose by any other name? A note on corporate name changes. </w:t>
      </w:r>
      <w:r w:rsidRPr="005E13B9">
        <w:rPr>
          <w:i/>
          <w:iCs/>
          <w:sz w:val="26"/>
          <w:szCs w:val="26"/>
        </w:rPr>
        <w:t>Financial Review</w:t>
      </w:r>
      <w:r w:rsidRPr="005E13B9">
        <w:rPr>
          <w:i/>
          <w:sz w:val="26"/>
          <w:szCs w:val="26"/>
        </w:rPr>
        <w:t>, 17</w:t>
      </w:r>
      <w:r w:rsidRPr="005E13B9">
        <w:rPr>
          <w:sz w:val="26"/>
          <w:szCs w:val="26"/>
        </w:rPr>
        <w:t xml:space="preserve">(4), 271-278. </w:t>
      </w:r>
      <w:r w:rsidRPr="005E13B9">
        <w:rPr>
          <w:sz w:val="26"/>
          <w:szCs w:val="26"/>
        </w:rPr>
        <w:br/>
        <w:t>https://doi.org/10.1111/j.1540-6288.1982.tb00510.x</w:t>
      </w:r>
    </w:p>
    <w:p w14:paraId="3B0491B3" w14:textId="2C6333B0"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Hsu, M. F., &amp; Wang, K. (2014). The level and stability of institutional ownership and firm performance: Evidence from Taiwan. </w:t>
      </w:r>
      <w:r w:rsidRPr="005E13B9">
        <w:rPr>
          <w:i/>
          <w:iCs/>
          <w:sz w:val="26"/>
          <w:szCs w:val="26"/>
        </w:rPr>
        <w:t>Emerging Markets Finance and Trade</w:t>
      </w:r>
      <w:r w:rsidRPr="005E13B9">
        <w:rPr>
          <w:sz w:val="26"/>
          <w:szCs w:val="26"/>
        </w:rPr>
        <w:t xml:space="preserve">, </w:t>
      </w:r>
      <w:r w:rsidRPr="005E13B9">
        <w:rPr>
          <w:i/>
          <w:sz w:val="26"/>
          <w:szCs w:val="26"/>
        </w:rPr>
        <w:t>50</w:t>
      </w:r>
      <w:r w:rsidRPr="005E13B9">
        <w:rPr>
          <w:sz w:val="26"/>
          <w:szCs w:val="26"/>
        </w:rPr>
        <w:t>(sup2), 159-173. https://doi.org/10.2753/ree1540-496x5002s211</w:t>
      </w:r>
    </w:p>
    <w:p w14:paraId="39565359" w14:textId="299D5F45"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Huang, R. D., &amp; Shiu, C. Y. (2009). Local effects of foreign ownership in an emerging financial market: Evidence from qualified foreign institutional investors in Taiwan. </w:t>
      </w:r>
      <w:r w:rsidRPr="005E13B9">
        <w:rPr>
          <w:i/>
          <w:iCs/>
          <w:sz w:val="26"/>
          <w:szCs w:val="26"/>
        </w:rPr>
        <w:t>Financial Management</w:t>
      </w:r>
      <w:r w:rsidRPr="005E13B9">
        <w:rPr>
          <w:i/>
          <w:sz w:val="26"/>
          <w:szCs w:val="26"/>
        </w:rPr>
        <w:t>, 38</w:t>
      </w:r>
      <w:r w:rsidRPr="005E13B9">
        <w:rPr>
          <w:sz w:val="26"/>
          <w:szCs w:val="26"/>
        </w:rPr>
        <w:t>(3), 567-602.</w:t>
      </w:r>
      <w:r w:rsidRPr="005E13B9">
        <w:rPr>
          <w:rFonts w:hint="eastAsia"/>
          <w:sz w:val="26"/>
          <w:szCs w:val="26"/>
        </w:rPr>
        <w:t xml:space="preserve"> </w:t>
      </w:r>
      <w:r w:rsidRPr="005E13B9">
        <w:rPr>
          <w:sz w:val="26"/>
          <w:szCs w:val="26"/>
        </w:rPr>
        <w:t>https://doi.org/10.1111/j.1755-053x.2009.01048.x</w:t>
      </w:r>
    </w:p>
    <w:p w14:paraId="3FC85692"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Itzkowitz, J., &amp; Itzkowitz, J. (2017). Name-based behavioral biases: Are expert investors immune? </w:t>
      </w:r>
      <w:r w:rsidRPr="005E13B9">
        <w:rPr>
          <w:i/>
          <w:sz w:val="26"/>
          <w:szCs w:val="26"/>
        </w:rPr>
        <w:t>Journal of Behavioral Finance, 18</w:t>
      </w:r>
      <w:r w:rsidRPr="005E13B9">
        <w:rPr>
          <w:sz w:val="26"/>
          <w:szCs w:val="26"/>
        </w:rPr>
        <w:t>(2), 180-188.</w:t>
      </w:r>
      <w:r w:rsidRPr="005E13B9">
        <w:rPr>
          <w:sz w:val="26"/>
          <w:szCs w:val="26"/>
        </w:rPr>
        <w:br/>
        <w:t>https://doi.org/10.1080/15427560.2017.1308940</w:t>
      </w:r>
    </w:p>
    <w:p w14:paraId="03AE05B2" w14:textId="6E271E3C" w:rsidR="00451B37" w:rsidRPr="005E13B9" w:rsidRDefault="00451B37" w:rsidP="006C7AFA">
      <w:pPr>
        <w:overflowPunct w:val="0"/>
        <w:ind w:left="520" w:hangingChars="200" w:hanging="520"/>
        <w:jc w:val="both"/>
        <w:rPr>
          <w:sz w:val="26"/>
          <w:szCs w:val="26"/>
        </w:rPr>
      </w:pPr>
      <w:r w:rsidRPr="005E13B9">
        <w:rPr>
          <w:sz w:val="26"/>
          <w:szCs w:val="26"/>
        </w:rPr>
        <w:t xml:space="preserve">Jacobides, M. G. (2005). Industry change through vertical disintegration: How and why markets emerged in mortgage banking. </w:t>
      </w:r>
      <w:r w:rsidRPr="005E13B9">
        <w:rPr>
          <w:i/>
          <w:iCs/>
          <w:sz w:val="26"/>
          <w:szCs w:val="26"/>
        </w:rPr>
        <w:t>Academy of Management Journal</w:t>
      </w:r>
      <w:r w:rsidRPr="005E13B9">
        <w:rPr>
          <w:i/>
          <w:sz w:val="26"/>
          <w:szCs w:val="26"/>
        </w:rPr>
        <w:t>, 48</w:t>
      </w:r>
      <w:r w:rsidRPr="005E13B9">
        <w:rPr>
          <w:sz w:val="26"/>
          <w:szCs w:val="26"/>
        </w:rPr>
        <w:t>(3), 465-498. https://doi.org/10.5465/amj.2005.17407912</w:t>
      </w:r>
    </w:p>
    <w:p w14:paraId="461D2B4C" w14:textId="7AA3A02A"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Josev, T., Chan, H., &amp; Faff, R. (2004). What’s in a name? Evidence on corporate name changes from the Australian capital market. </w:t>
      </w:r>
      <w:r w:rsidRPr="005E13B9">
        <w:rPr>
          <w:i/>
          <w:sz w:val="26"/>
          <w:szCs w:val="26"/>
        </w:rPr>
        <w:t>Pacific Accounting Review, 16</w:t>
      </w:r>
      <w:r w:rsidRPr="005E13B9">
        <w:rPr>
          <w:sz w:val="26"/>
          <w:szCs w:val="26"/>
        </w:rPr>
        <w:t>(1), 57-76. https://doi.org/10.1108/01140580410818469</w:t>
      </w:r>
    </w:p>
    <w:p w14:paraId="6812CDD6" w14:textId="713EBB8B"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Karbhari, Y., Muhamad Sori, Z., &amp; Mohamad, S. (2004). Shareholder wealth effects and corporate name change: Evidence from Malaysia. </w:t>
      </w:r>
      <w:r w:rsidRPr="005E13B9">
        <w:rPr>
          <w:i/>
          <w:iCs/>
          <w:sz w:val="26"/>
          <w:szCs w:val="26"/>
        </w:rPr>
        <w:t>Corporate Ownership &amp; Control</w:t>
      </w:r>
      <w:r w:rsidRPr="005E13B9">
        <w:rPr>
          <w:i/>
          <w:sz w:val="26"/>
          <w:szCs w:val="26"/>
        </w:rPr>
        <w:t>, 2</w:t>
      </w:r>
      <w:r w:rsidRPr="005E13B9">
        <w:rPr>
          <w:sz w:val="26"/>
          <w:szCs w:val="26"/>
        </w:rPr>
        <w:t>(1), 38-49. https://doi.org/10.22495/cocv2i1p3</w:t>
      </w:r>
    </w:p>
    <w:p w14:paraId="346F72AB"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Karpoff, J. M., &amp; Rankine, G. (1994). In search of a signaling effect: The wealth effects of corporate name changes. </w:t>
      </w:r>
      <w:r w:rsidRPr="005E13B9">
        <w:rPr>
          <w:i/>
          <w:sz w:val="26"/>
          <w:szCs w:val="26"/>
        </w:rPr>
        <w:t>Journal of Banking &amp; Finance, 18</w:t>
      </w:r>
      <w:r w:rsidRPr="005E13B9">
        <w:rPr>
          <w:sz w:val="26"/>
          <w:szCs w:val="26"/>
        </w:rPr>
        <w:t>(6), 1027-1045.</w:t>
      </w:r>
      <w:r w:rsidRPr="005E13B9">
        <w:rPr>
          <w:sz w:val="26"/>
          <w:szCs w:val="26"/>
        </w:rPr>
        <w:br/>
        <w:t>https://doi.org/10.1016/0378-4266(94)00058-1</w:t>
      </w:r>
    </w:p>
    <w:p w14:paraId="328EE17D"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Kashmiri, S., &amp; Mahajan, V. (2015). The name's the game: Does marketing impact the value of corporate name changes? </w:t>
      </w:r>
      <w:r w:rsidRPr="005E13B9">
        <w:rPr>
          <w:i/>
          <w:sz w:val="26"/>
          <w:szCs w:val="26"/>
        </w:rPr>
        <w:t>Journal of Business Research, 68</w:t>
      </w:r>
      <w:r w:rsidRPr="005E13B9">
        <w:rPr>
          <w:sz w:val="26"/>
          <w:szCs w:val="26"/>
        </w:rPr>
        <w:t>(2), 281-290.</w:t>
      </w:r>
      <w:r w:rsidRPr="005E13B9">
        <w:rPr>
          <w:sz w:val="26"/>
          <w:szCs w:val="26"/>
        </w:rPr>
        <w:br/>
        <w:t>https://doi.org/10.1016/j.jbusres.2014.07.007</w:t>
      </w:r>
    </w:p>
    <w:p w14:paraId="2E6D4A4F"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Kaur, M., &amp; Dhillon, S. S. (2010). Determinants of foreign institutional investors investment in India. </w:t>
      </w:r>
      <w:r w:rsidRPr="005E13B9">
        <w:rPr>
          <w:i/>
          <w:sz w:val="26"/>
          <w:szCs w:val="26"/>
        </w:rPr>
        <w:t>Eurasian Journal of Business and Economics, 3</w:t>
      </w:r>
      <w:r w:rsidRPr="005E13B9">
        <w:rPr>
          <w:sz w:val="26"/>
          <w:szCs w:val="26"/>
        </w:rPr>
        <w:t>(6), 57-70.</w:t>
      </w:r>
    </w:p>
    <w:p w14:paraId="31C880A2" w14:textId="360F2BC9"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Khurana, I. K., &amp; Moser, W. J. (201</w:t>
      </w:r>
      <w:r w:rsidR="00646FFD" w:rsidRPr="005E13B9">
        <w:rPr>
          <w:rFonts w:hint="eastAsia"/>
          <w:sz w:val="26"/>
          <w:szCs w:val="26"/>
        </w:rPr>
        <w:t>3</w:t>
      </w:r>
      <w:r w:rsidRPr="005E13B9">
        <w:rPr>
          <w:sz w:val="26"/>
          <w:szCs w:val="26"/>
        </w:rPr>
        <w:t xml:space="preserve">). Institutional shareholders' investment horizons and tax avoidance. </w:t>
      </w:r>
      <w:r w:rsidRPr="005E13B9">
        <w:rPr>
          <w:i/>
          <w:sz w:val="26"/>
          <w:szCs w:val="26"/>
        </w:rPr>
        <w:t>The Journal of the American Taxation Association, 35</w:t>
      </w:r>
      <w:r w:rsidRPr="005E13B9">
        <w:rPr>
          <w:sz w:val="26"/>
          <w:szCs w:val="26"/>
        </w:rPr>
        <w:t>(1), 111-134. https://doi.org/10.2308/atax-50315</w:t>
      </w:r>
    </w:p>
    <w:p w14:paraId="73FB88B6" w14:textId="0325988E"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Ko, K., Kim, K., &amp; Cho, S. H. (2007). Characteristics and performance of institutional and foreign investors in Japanese and Korean stock markets. </w:t>
      </w:r>
      <w:r w:rsidRPr="005E13B9">
        <w:rPr>
          <w:i/>
          <w:sz w:val="26"/>
          <w:szCs w:val="26"/>
        </w:rPr>
        <w:t>Journal of the Japanese and International Economies, 21</w:t>
      </w:r>
      <w:r w:rsidRPr="005E13B9">
        <w:rPr>
          <w:sz w:val="26"/>
          <w:szCs w:val="26"/>
        </w:rPr>
        <w:t>(2), 195-213.</w:t>
      </w:r>
      <w:r w:rsidRPr="005E13B9">
        <w:rPr>
          <w:sz w:val="26"/>
          <w:szCs w:val="26"/>
        </w:rPr>
        <w:br/>
      </w:r>
      <w:r w:rsidRPr="005E13B9">
        <w:rPr>
          <w:sz w:val="26"/>
          <w:szCs w:val="26"/>
        </w:rPr>
        <w:lastRenderedPageBreak/>
        <w:t>https://doi.org/10.1016/j.jjie.2005.11.002</w:t>
      </w:r>
    </w:p>
    <w:p w14:paraId="13B8A15C" w14:textId="7E32C8BD"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Kot, H. W. (2011). Corporate name changes: Price reactions and long-run performance. </w:t>
      </w:r>
      <w:r w:rsidRPr="005E13B9">
        <w:rPr>
          <w:i/>
          <w:sz w:val="26"/>
          <w:szCs w:val="26"/>
        </w:rPr>
        <w:t>Pacific-Basin Finance Journal, 19</w:t>
      </w:r>
      <w:r w:rsidRPr="005E13B9">
        <w:rPr>
          <w:sz w:val="26"/>
          <w:szCs w:val="26"/>
        </w:rPr>
        <w:t>(2), 230-244.</w:t>
      </w:r>
      <w:r w:rsidRPr="005E13B9">
        <w:rPr>
          <w:sz w:val="26"/>
          <w:szCs w:val="26"/>
        </w:rPr>
        <w:br/>
        <w:t>https://doi.org/10.1016/j.pacfin.2010.10.003</w:t>
      </w:r>
    </w:p>
    <w:p w14:paraId="2D1307FC" w14:textId="229CECDD"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Lai, H. C., &amp; Wang, K. M. (2014). Relationship between the trading behavior of three institutional investors and Taiwan Stock Index futures returns. </w:t>
      </w:r>
      <w:r w:rsidRPr="005E13B9">
        <w:rPr>
          <w:i/>
          <w:sz w:val="26"/>
          <w:szCs w:val="26"/>
        </w:rPr>
        <w:t>Economic Modelling, 41</w:t>
      </w:r>
      <w:r w:rsidRPr="005E13B9">
        <w:rPr>
          <w:sz w:val="26"/>
          <w:szCs w:val="26"/>
        </w:rPr>
        <w:t>, 156-165.</w:t>
      </w:r>
      <w:r w:rsidR="00646FFD" w:rsidRPr="005E13B9">
        <w:rPr>
          <w:rFonts w:hint="eastAsia"/>
          <w:sz w:val="26"/>
          <w:szCs w:val="26"/>
        </w:rPr>
        <w:t xml:space="preserve"> </w:t>
      </w:r>
      <w:r w:rsidR="00646FFD" w:rsidRPr="005E13B9">
        <w:rPr>
          <w:sz w:val="26"/>
          <w:szCs w:val="26"/>
        </w:rPr>
        <w:t>https://doi.org/10.1016/j.econmod.2014.05.007</w:t>
      </w:r>
    </w:p>
    <w:p w14:paraId="4E2625EA"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Lee, P. M. (2001). What's in a name. com?: The effects of ‘. com’name changes on stock prices and trading activity. </w:t>
      </w:r>
      <w:r w:rsidRPr="005E13B9">
        <w:rPr>
          <w:i/>
          <w:sz w:val="26"/>
          <w:szCs w:val="26"/>
        </w:rPr>
        <w:t>Strategic Management Journal, 22</w:t>
      </w:r>
      <w:r w:rsidRPr="005E13B9">
        <w:rPr>
          <w:sz w:val="26"/>
          <w:szCs w:val="26"/>
        </w:rPr>
        <w:t>(8), 793-804.</w:t>
      </w:r>
      <w:r w:rsidRPr="005E13B9">
        <w:rPr>
          <w:sz w:val="26"/>
          <w:szCs w:val="26"/>
        </w:rPr>
        <w:br/>
        <w:t>https://doi.org/10.1002/smj.177</w:t>
      </w:r>
    </w:p>
    <w:p w14:paraId="288953E8" w14:textId="77777777" w:rsidR="00451B37" w:rsidRPr="005E13B9" w:rsidRDefault="00451B37" w:rsidP="006C7AFA">
      <w:pPr>
        <w:overflowPunct w:val="0"/>
        <w:adjustRightInd w:val="0"/>
        <w:spacing w:afterLines="20" w:after="72"/>
        <w:ind w:left="585" w:hangingChars="225" w:hanging="585"/>
        <w:jc w:val="both"/>
        <w:rPr>
          <w:sz w:val="26"/>
          <w:szCs w:val="26"/>
          <w:shd w:val="clear" w:color="auto" w:fill="FFFFFF"/>
        </w:rPr>
      </w:pPr>
      <w:r w:rsidRPr="005E13B9">
        <w:rPr>
          <w:sz w:val="26"/>
          <w:szCs w:val="26"/>
          <w:shd w:val="clear" w:color="auto" w:fill="FFFFFF"/>
        </w:rPr>
        <w:t xml:space="preserve">Lemma, T. T., Negash, M., Mlilo, M., &amp; Lulseged, A. (2018). Institutional ownership, product market competition and earnings management: Some evidence from international data. </w:t>
      </w:r>
      <w:r w:rsidRPr="005E13B9">
        <w:rPr>
          <w:i/>
          <w:sz w:val="26"/>
          <w:szCs w:val="26"/>
          <w:shd w:val="clear" w:color="auto" w:fill="FFFFFF"/>
        </w:rPr>
        <w:t>Journal of Business Research, 90</w:t>
      </w:r>
      <w:r w:rsidRPr="005E13B9">
        <w:rPr>
          <w:sz w:val="26"/>
          <w:szCs w:val="26"/>
          <w:shd w:val="clear" w:color="auto" w:fill="FFFFFF"/>
        </w:rPr>
        <w:t>, 151-163.</w:t>
      </w:r>
      <w:r w:rsidRPr="005E13B9">
        <w:rPr>
          <w:sz w:val="26"/>
          <w:szCs w:val="26"/>
          <w:shd w:val="clear" w:color="auto" w:fill="FFFFFF"/>
        </w:rPr>
        <w:br/>
        <w:t>https://doi.org/10.1016/j.jbusres.2018.04.035</w:t>
      </w:r>
    </w:p>
    <w:p w14:paraId="3764B337" w14:textId="77777777" w:rsidR="00451B37" w:rsidRPr="005E13B9" w:rsidRDefault="00451B37" w:rsidP="006C7AFA">
      <w:pPr>
        <w:overflowPunct w:val="0"/>
        <w:adjustRightInd w:val="0"/>
        <w:spacing w:afterLines="20" w:after="72"/>
        <w:ind w:left="585" w:hangingChars="225" w:hanging="585"/>
        <w:jc w:val="both"/>
        <w:rPr>
          <w:sz w:val="26"/>
          <w:szCs w:val="26"/>
          <w:shd w:val="clear" w:color="auto" w:fill="FFFFFF"/>
        </w:rPr>
      </w:pPr>
      <w:r w:rsidRPr="005E13B9">
        <w:rPr>
          <w:sz w:val="26"/>
          <w:szCs w:val="26"/>
          <w:shd w:val="clear" w:color="auto" w:fill="FFFFFF"/>
        </w:rPr>
        <w:t>Li, T., &amp; Zaiats, N. (2018). Corporate governance and firm value at dual class firms. </w:t>
      </w:r>
      <w:r w:rsidRPr="005E13B9">
        <w:rPr>
          <w:i/>
          <w:iCs/>
          <w:sz w:val="26"/>
          <w:szCs w:val="26"/>
          <w:shd w:val="clear" w:color="auto" w:fill="FFFFFF"/>
        </w:rPr>
        <w:t>Review of Financial Economics,</w:t>
      </w:r>
      <w:r w:rsidRPr="005E13B9">
        <w:rPr>
          <w:sz w:val="26"/>
          <w:szCs w:val="26"/>
          <w:shd w:val="clear" w:color="auto" w:fill="FFFFFF"/>
        </w:rPr>
        <w:t> </w:t>
      </w:r>
      <w:r w:rsidRPr="005E13B9">
        <w:rPr>
          <w:i/>
          <w:iCs/>
          <w:sz w:val="26"/>
          <w:szCs w:val="26"/>
          <w:shd w:val="clear" w:color="auto" w:fill="FFFFFF"/>
        </w:rPr>
        <w:t>36</w:t>
      </w:r>
      <w:r w:rsidRPr="005E13B9">
        <w:rPr>
          <w:sz w:val="26"/>
          <w:szCs w:val="26"/>
          <w:shd w:val="clear" w:color="auto" w:fill="FFFFFF"/>
        </w:rPr>
        <w:t>(1), 47-71.</w:t>
      </w:r>
      <w:r w:rsidRPr="005E13B9">
        <w:rPr>
          <w:sz w:val="26"/>
          <w:szCs w:val="26"/>
          <w:shd w:val="clear" w:color="auto" w:fill="FFFFFF"/>
        </w:rPr>
        <w:br/>
        <w:t>https://doi.org/10.1016/j.rfe.2017.07.001</w:t>
      </w:r>
    </w:p>
    <w:p w14:paraId="2D3C06D8"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Lin, H. M., Yang, S. A., &amp; Chang, Y. (2016). The wealth effects of oil-related name changes on stock prices: Evidence from the US and Canadian stock markets. </w:t>
      </w:r>
      <w:r w:rsidRPr="005E13B9">
        <w:rPr>
          <w:i/>
          <w:sz w:val="26"/>
          <w:szCs w:val="26"/>
        </w:rPr>
        <w:t>Journal of International Financial Markets, Institutions and Money</w:t>
      </w:r>
      <w:r w:rsidRPr="005E13B9">
        <w:rPr>
          <w:sz w:val="26"/>
          <w:szCs w:val="26"/>
        </w:rPr>
        <w:t>, 40, 26-45.</w:t>
      </w:r>
      <w:r w:rsidRPr="005E13B9">
        <w:rPr>
          <w:sz w:val="26"/>
          <w:szCs w:val="26"/>
        </w:rPr>
        <w:br/>
        <w:t>https://doi.org/10.1016/j.intfin.2015.07.003</w:t>
      </w:r>
    </w:p>
    <w:p w14:paraId="72DF5958"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Liu, N., Bredin, D., Wang, L., &amp; Yi, Z. (2014). Domestic and foreign institutional investors’ behavior in China. </w:t>
      </w:r>
      <w:r w:rsidRPr="005E13B9">
        <w:rPr>
          <w:i/>
          <w:sz w:val="26"/>
          <w:szCs w:val="26"/>
        </w:rPr>
        <w:t>The European Journal of Finance, 20</w:t>
      </w:r>
      <w:r w:rsidRPr="005E13B9">
        <w:rPr>
          <w:sz w:val="26"/>
          <w:szCs w:val="26"/>
        </w:rPr>
        <w:t>(7-9), 728-751.</w:t>
      </w:r>
      <w:r w:rsidRPr="005E13B9">
        <w:rPr>
          <w:sz w:val="26"/>
          <w:szCs w:val="26"/>
        </w:rPr>
        <w:br/>
        <w:t>https://doi.org/10.1080/1351847x.2012.671778</w:t>
      </w:r>
    </w:p>
    <w:p w14:paraId="7D736CBE" w14:textId="7385FF62"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Luong, H., Moshirian, F., Nguyen, L., Tian, X., &amp; Zhang, B. (2017). How Do Foreign Institutional Investors Enhance Firm Innovation?. </w:t>
      </w:r>
      <w:r w:rsidRPr="005E13B9">
        <w:rPr>
          <w:i/>
          <w:sz w:val="26"/>
          <w:szCs w:val="26"/>
        </w:rPr>
        <w:t>Journal of Financial and Quantitative Analysis, 52</w:t>
      </w:r>
      <w:r w:rsidRPr="005E13B9">
        <w:rPr>
          <w:sz w:val="26"/>
          <w:szCs w:val="26"/>
        </w:rPr>
        <w:t>(4), 1449-1490.</w:t>
      </w:r>
      <w:r w:rsidRPr="005E13B9">
        <w:rPr>
          <w:sz w:val="26"/>
          <w:szCs w:val="26"/>
        </w:rPr>
        <w:br/>
        <w:t>https://doi.org/10.1017/s0022109017000497</w:t>
      </w:r>
    </w:p>
    <w:p w14:paraId="501FA4E4"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Mathuva, D. M., Muthuma, E. W., &amp; Kiweu, J. M. (2016). The impact of name change on the financial performance of savings and credit co-operatives in Kenya. </w:t>
      </w:r>
      <w:r w:rsidRPr="005E13B9">
        <w:rPr>
          <w:i/>
          <w:sz w:val="26"/>
          <w:szCs w:val="26"/>
        </w:rPr>
        <w:t>Management Research Review</w:t>
      </w:r>
      <w:r w:rsidRPr="005E13B9">
        <w:rPr>
          <w:sz w:val="26"/>
          <w:szCs w:val="26"/>
        </w:rPr>
        <w:t>, 39(10), 1265-1292.</w:t>
      </w:r>
      <w:r w:rsidRPr="005E13B9">
        <w:rPr>
          <w:sz w:val="26"/>
          <w:szCs w:val="26"/>
        </w:rPr>
        <w:br/>
        <w:t>https://doi.org/10.1108/mrr-04-2015-0097</w:t>
      </w:r>
    </w:p>
    <w:p w14:paraId="6905A002" w14:textId="25520D00"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Min, B. S., &amp; Verhoeven P. (2013). Outsider board activity, ownership structure and firm value: Evidence from Korea. </w:t>
      </w:r>
      <w:r w:rsidRPr="005E13B9">
        <w:rPr>
          <w:i/>
          <w:iCs/>
          <w:sz w:val="26"/>
          <w:szCs w:val="26"/>
        </w:rPr>
        <w:t>International Review of Finance,</w:t>
      </w:r>
      <w:r w:rsidRPr="005E13B9">
        <w:rPr>
          <w:sz w:val="26"/>
          <w:szCs w:val="26"/>
        </w:rPr>
        <w:t xml:space="preserve"> </w:t>
      </w:r>
      <w:r w:rsidRPr="005E13B9">
        <w:rPr>
          <w:i/>
          <w:iCs/>
          <w:sz w:val="26"/>
          <w:szCs w:val="26"/>
        </w:rPr>
        <w:t>13</w:t>
      </w:r>
      <w:r w:rsidRPr="005E13B9">
        <w:rPr>
          <w:sz w:val="26"/>
          <w:szCs w:val="26"/>
        </w:rPr>
        <w:t>(2), 187-214. https://doi.org/10.1111/irfi.12004</w:t>
      </w:r>
    </w:p>
    <w:p w14:paraId="17D85D1F" w14:textId="54491B80"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Morris, L. J., &amp; Reyes, M. G. (2011). Corporate name changes: The association between </w:t>
      </w:r>
      <w:r w:rsidRPr="005E13B9">
        <w:rPr>
          <w:sz w:val="26"/>
          <w:szCs w:val="26"/>
        </w:rPr>
        <w:lastRenderedPageBreak/>
        <w:t xml:space="preserve">functional name characteristics and stock performance. </w:t>
      </w:r>
      <w:r w:rsidRPr="005E13B9">
        <w:rPr>
          <w:i/>
          <w:sz w:val="26"/>
          <w:szCs w:val="26"/>
        </w:rPr>
        <w:t>Journal of Applied Business Research (JABR), 8</w:t>
      </w:r>
      <w:r w:rsidRPr="005E13B9">
        <w:rPr>
          <w:sz w:val="26"/>
          <w:szCs w:val="26"/>
        </w:rPr>
        <w:t>(1), 110-117.</w:t>
      </w:r>
      <w:r w:rsidRPr="005E13B9">
        <w:rPr>
          <w:rFonts w:hint="eastAsia"/>
          <w:sz w:val="26"/>
          <w:szCs w:val="26"/>
        </w:rPr>
        <w:t xml:space="preserve"> </w:t>
      </w:r>
      <w:r w:rsidRPr="005E13B9">
        <w:rPr>
          <w:sz w:val="26"/>
          <w:szCs w:val="26"/>
        </w:rPr>
        <w:t>https://doi.org/10.19030/jabr.v8i1.6190</w:t>
      </w:r>
    </w:p>
    <w:p w14:paraId="6279336B" w14:textId="44B0FEAB"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Morris, T., Storey, J., Wilkinson, A., &amp; Cressey, P. (2001). Industry change and union mergers in British retail finance. </w:t>
      </w:r>
      <w:r w:rsidRPr="005E13B9">
        <w:rPr>
          <w:i/>
          <w:sz w:val="26"/>
          <w:szCs w:val="26"/>
        </w:rPr>
        <w:t>British Journal of Industrial Relations, 39</w:t>
      </w:r>
      <w:r w:rsidRPr="005E13B9">
        <w:rPr>
          <w:sz w:val="26"/>
          <w:szCs w:val="26"/>
        </w:rPr>
        <w:t>(2), 237-256. https://doi.org/10.1111/1467-8543.00198</w:t>
      </w:r>
    </w:p>
    <w:p w14:paraId="5EB682CF"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Muzellec, L. (2006). What is in a name change? Re-joycing corporate names to create corporate brands. </w:t>
      </w:r>
      <w:r w:rsidRPr="005E13B9">
        <w:rPr>
          <w:i/>
          <w:sz w:val="26"/>
          <w:szCs w:val="26"/>
        </w:rPr>
        <w:t>Corporate Reputation Review, 8</w:t>
      </w:r>
      <w:r w:rsidRPr="005E13B9">
        <w:rPr>
          <w:sz w:val="26"/>
          <w:szCs w:val="26"/>
        </w:rPr>
        <w:t>(4), 305-316.</w:t>
      </w:r>
      <w:r w:rsidRPr="005E13B9">
        <w:rPr>
          <w:sz w:val="26"/>
          <w:szCs w:val="26"/>
        </w:rPr>
        <w:br/>
        <w:t>https://doi.org/10.1057/palgrave.crr.1540257</w:t>
      </w:r>
    </w:p>
    <w:p w14:paraId="1AC53178" w14:textId="2FB55928"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Muzellec, L., &amp; Lambkin, M. (2006). Corporate rebranding: </w:t>
      </w:r>
      <w:r w:rsidR="006C7AFA" w:rsidRPr="005E13B9">
        <w:rPr>
          <w:sz w:val="26"/>
          <w:szCs w:val="26"/>
        </w:rPr>
        <w:t>Destroying</w:t>
      </w:r>
      <w:r w:rsidRPr="005E13B9">
        <w:rPr>
          <w:sz w:val="26"/>
          <w:szCs w:val="26"/>
        </w:rPr>
        <w:t xml:space="preserve">, transferring or creating brand equity?. </w:t>
      </w:r>
      <w:r w:rsidRPr="005E13B9">
        <w:rPr>
          <w:i/>
          <w:sz w:val="26"/>
          <w:szCs w:val="26"/>
        </w:rPr>
        <w:t>European Journal of Marketing, 40</w:t>
      </w:r>
      <w:r w:rsidRPr="005E13B9">
        <w:rPr>
          <w:sz w:val="26"/>
          <w:szCs w:val="26"/>
        </w:rPr>
        <w:t>(7/8), 803-824.</w:t>
      </w:r>
      <w:r w:rsidRPr="005E13B9">
        <w:rPr>
          <w:sz w:val="26"/>
          <w:szCs w:val="26"/>
        </w:rPr>
        <w:br/>
        <w:t>https://doi.org/10.1108/03090560610670007</w:t>
      </w:r>
    </w:p>
    <w:p w14:paraId="1A077C26" w14:textId="70BC2F31"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lang w:val="fr-FR"/>
        </w:rPr>
        <w:t xml:space="preserve">Ni, Y., Liao, Y., &amp; Huang, P. (2017). </w:t>
      </w:r>
      <w:r w:rsidRPr="005E13B9">
        <w:rPr>
          <w:sz w:val="26"/>
          <w:szCs w:val="26"/>
        </w:rPr>
        <w:t xml:space="preserve">Foreign </w:t>
      </w:r>
      <w:r w:rsidR="006C7AFA" w:rsidRPr="005E13B9">
        <w:rPr>
          <w:sz w:val="26"/>
          <w:szCs w:val="26"/>
        </w:rPr>
        <w:t>institutional investors, shareholding change, and corporate governance</w:t>
      </w:r>
      <w:r w:rsidRPr="005E13B9">
        <w:rPr>
          <w:sz w:val="26"/>
          <w:szCs w:val="26"/>
        </w:rPr>
        <w:t xml:space="preserve">. </w:t>
      </w:r>
      <w:r w:rsidRPr="005E13B9">
        <w:rPr>
          <w:i/>
          <w:sz w:val="26"/>
          <w:szCs w:val="26"/>
        </w:rPr>
        <w:t>Emerging Markets Finance and Trade, 53</w:t>
      </w:r>
      <w:r w:rsidRPr="005E13B9">
        <w:rPr>
          <w:sz w:val="26"/>
          <w:szCs w:val="26"/>
        </w:rPr>
        <w:t>(4), 764-775.</w:t>
      </w:r>
      <w:r w:rsidRPr="005E13B9">
        <w:rPr>
          <w:rFonts w:hint="eastAsia"/>
          <w:sz w:val="26"/>
          <w:szCs w:val="26"/>
        </w:rPr>
        <w:t xml:space="preserve"> </w:t>
      </w:r>
      <w:r w:rsidRPr="005E13B9">
        <w:rPr>
          <w:sz w:val="26"/>
          <w:szCs w:val="26"/>
        </w:rPr>
        <w:t>https://doi.org/10.1080/1540496x.2015.1105634</w:t>
      </w:r>
    </w:p>
    <w:p w14:paraId="2C327015" w14:textId="08CCDDF4"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Olins, W. (1989). Corporate Identitiy. Boston: Harvard Business School Press.</w:t>
      </w:r>
    </w:p>
    <w:p w14:paraId="2602AAE6" w14:textId="3C7058B9" w:rsidR="00451B37" w:rsidRPr="005E13B9" w:rsidRDefault="00451B37" w:rsidP="006C7AFA">
      <w:pPr>
        <w:overflowPunct w:val="0"/>
        <w:adjustRightInd w:val="0"/>
        <w:spacing w:afterLines="20" w:after="72"/>
        <w:ind w:left="585" w:hangingChars="225" w:hanging="585"/>
        <w:jc w:val="both"/>
        <w:rPr>
          <w:sz w:val="26"/>
          <w:szCs w:val="26"/>
        </w:rPr>
      </w:pPr>
      <w:r w:rsidRPr="005E13B9">
        <w:rPr>
          <w:kern w:val="0"/>
          <w:sz w:val="26"/>
          <w:szCs w:val="26"/>
        </w:rPr>
        <w:t xml:space="preserve">Petersen, M. A. (2009). “Estimating standard errors in finance panel data sets: Comparing approaches”, </w:t>
      </w:r>
      <w:r w:rsidRPr="005E13B9">
        <w:rPr>
          <w:i/>
          <w:kern w:val="0"/>
          <w:sz w:val="26"/>
          <w:szCs w:val="26"/>
        </w:rPr>
        <w:t>The Review of Financial Studies</w:t>
      </w:r>
      <w:r w:rsidRPr="005E13B9">
        <w:rPr>
          <w:kern w:val="0"/>
          <w:sz w:val="26"/>
          <w:szCs w:val="26"/>
        </w:rPr>
        <w:t xml:space="preserve">, </w:t>
      </w:r>
      <w:r w:rsidRPr="005E13B9">
        <w:rPr>
          <w:i/>
          <w:kern w:val="0"/>
          <w:sz w:val="26"/>
          <w:szCs w:val="26"/>
        </w:rPr>
        <w:t>22</w:t>
      </w:r>
      <w:r w:rsidRPr="005E13B9">
        <w:rPr>
          <w:rFonts w:hint="eastAsia"/>
          <w:kern w:val="0"/>
          <w:sz w:val="26"/>
          <w:szCs w:val="26"/>
        </w:rPr>
        <w:t>(</w:t>
      </w:r>
      <w:r w:rsidRPr="005E13B9">
        <w:rPr>
          <w:kern w:val="0"/>
          <w:sz w:val="26"/>
          <w:szCs w:val="26"/>
        </w:rPr>
        <w:t>1</w:t>
      </w:r>
      <w:r w:rsidRPr="005E13B9">
        <w:rPr>
          <w:rFonts w:hint="eastAsia"/>
          <w:kern w:val="0"/>
          <w:sz w:val="26"/>
          <w:szCs w:val="26"/>
        </w:rPr>
        <w:t>)</w:t>
      </w:r>
      <w:r w:rsidRPr="005E13B9">
        <w:rPr>
          <w:kern w:val="0"/>
          <w:sz w:val="26"/>
          <w:szCs w:val="26"/>
        </w:rPr>
        <w:t>, 435-480.</w:t>
      </w:r>
      <w:r w:rsidRPr="005E13B9">
        <w:rPr>
          <w:kern w:val="0"/>
          <w:sz w:val="26"/>
          <w:szCs w:val="26"/>
        </w:rPr>
        <w:br/>
      </w:r>
      <w:r w:rsidRPr="005E13B9">
        <w:rPr>
          <w:sz w:val="26"/>
          <w:szCs w:val="26"/>
        </w:rPr>
        <w:t>https://doi.org/10.1093/rfs/hhn053</w:t>
      </w:r>
    </w:p>
    <w:p w14:paraId="4F630827" w14:textId="79C45DFE"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Rani, N., &amp; Asija, A. (2017). Signaling power of corporate name change: A case of Indian firms. </w:t>
      </w:r>
      <w:r w:rsidRPr="005E13B9">
        <w:rPr>
          <w:i/>
          <w:sz w:val="26"/>
          <w:szCs w:val="26"/>
        </w:rPr>
        <w:t xml:space="preserve">Global Journal of Flexible Systems Management, </w:t>
      </w:r>
      <w:r w:rsidRPr="005E13B9">
        <w:rPr>
          <w:rStyle w:val="articlecitationvolume"/>
          <w:i/>
          <w:sz w:val="26"/>
          <w:szCs w:val="26"/>
          <w:lang w:val="en-GB"/>
        </w:rPr>
        <w:t>18</w:t>
      </w:r>
      <w:r w:rsidRPr="005E13B9">
        <w:rPr>
          <w:rStyle w:val="articlecitationvolume"/>
          <w:sz w:val="26"/>
          <w:szCs w:val="26"/>
          <w:lang w:val="en-GB"/>
        </w:rPr>
        <w:t>(3)</w:t>
      </w:r>
      <w:r w:rsidRPr="005E13B9">
        <w:rPr>
          <w:sz w:val="26"/>
          <w:szCs w:val="26"/>
          <w:lang w:val="en-GB"/>
        </w:rPr>
        <w:t>,</w:t>
      </w:r>
      <w:r w:rsidRPr="005E13B9">
        <w:rPr>
          <w:rStyle w:val="articlecitationpages"/>
          <w:sz w:val="26"/>
          <w:szCs w:val="26"/>
          <w:lang w:val="en-GB"/>
        </w:rPr>
        <w:t xml:space="preserve"> 173</w:t>
      </w:r>
      <w:r w:rsidRPr="005E13B9">
        <w:rPr>
          <w:rStyle w:val="articlecitationpages"/>
          <w:rFonts w:hint="eastAsia"/>
          <w:sz w:val="26"/>
          <w:szCs w:val="26"/>
          <w:lang w:val="en-GB"/>
        </w:rPr>
        <w:t>-</w:t>
      </w:r>
      <w:r w:rsidRPr="005E13B9">
        <w:rPr>
          <w:rStyle w:val="articlecitationpages"/>
          <w:sz w:val="26"/>
          <w:szCs w:val="26"/>
          <w:lang w:val="en-GB"/>
        </w:rPr>
        <w:t>181</w:t>
      </w:r>
      <w:r w:rsidRPr="005E13B9">
        <w:rPr>
          <w:sz w:val="26"/>
          <w:szCs w:val="26"/>
        </w:rPr>
        <w:t>.</w:t>
      </w:r>
      <w:r w:rsidRPr="005E13B9">
        <w:rPr>
          <w:sz w:val="26"/>
          <w:szCs w:val="26"/>
        </w:rPr>
        <w:br/>
        <w:t>https://doi.org/10.1007/s40171-017-0155-7</w:t>
      </w:r>
    </w:p>
    <w:p w14:paraId="253CAEC4" w14:textId="4AF5CB29"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Schmeltz, L., &amp; Kjeldsen, A. K. (2016). Naming as strategic communication: Understanding corporate name change through an integrative framework encompassing branding, identity and institutional theory. </w:t>
      </w:r>
      <w:r w:rsidRPr="005E13B9">
        <w:rPr>
          <w:i/>
          <w:sz w:val="26"/>
          <w:szCs w:val="26"/>
        </w:rPr>
        <w:t>International Journal of Strategic Communication, 10</w:t>
      </w:r>
      <w:r w:rsidRPr="005E13B9">
        <w:rPr>
          <w:sz w:val="26"/>
          <w:szCs w:val="26"/>
        </w:rPr>
        <w:t>(4), 309-331.</w:t>
      </w:r>
      <w:r w:rsidRPr="005E13B9">
        <w:rPr>
          <w:sz w:val="26"/>
          <w:szCs w:val="26"/>
        </w:rPr>
        <w:br/>
        <w:t>https://doi.org/10.1080/1553118x.2016.1179194</w:t>
      </w:r>
    </w:p>
    <w:p w14:paraId="24094C94" w14:textId="627F4466"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Schuppli, M., &amp; Bohl, M. T. (2010). Do foreign institutional investors destabilize China’s A-share markets? </w:t>
      </w:r>
      <w:r w:rsidRPr="005E13B9">
        <w:rPr>
          <w:i/>
          <w:sz w:val="26"/>
          <w:szCs w:val="26"/>
        </w:rPr>
        <w:t>Journal of International Financial Markets, Institutions and Money, 20</w:t>
      </w:r>
      <w:r w:rsidRPr="005E13B9">
        <w:rPr>
          <w:sz w:val="26"/>
          <w:szCs w:val="26"/>
        </w:rPr>
        <w:t>(1), 36-50. https://doi.org/10.1016/j.intfin.2009.10.004</w:t>
      </w:r>
    </w:p>
    <w:p w14:paraId="13CB8629" w14:textId="694FE42E"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Stepanyan, G</w:t>
      </w:r>
      <w:r w:rsidR="006C7AFA" w:rsidRPr="005E13B9">
        <w:rPr>
          <w:sz w:val="26"/>
          <w:szCs w:val="26"/>
        </w:rPr>
        <w:t xml:space="preserve">. </w:t>
      </w:r>
      <w:r w:rsidRPr="005E13B9">
        <w:rPr>
          <w:sz w:val="26"/>
          <w:szCs w:val="26"/>
        </w:rPr>
        <w:t xml:space="preserve">G. </w:t>
      </w:r>
      <w:r w:rsidR="006C7AFA" w:rsidRPr="005E13B9">
        <w:rPr>
          <w:sz w:val="26"/>
          <w:szCs w:val="26"/>
        </w:rPr>
        <w:t xml:space="preserve">(2011). </w:t>
      </w:r>
      <w:r w:rsidRPr="005E13B9">
        <w:rPr>
          <w:sz w:val="26"/>
          <w:szCs w:val="26"/>
        </w:rPr>
        <w:t>Foreign Institutional Investors. Available at SSRN: https://ssrn.com/abstract=1799390.</w:t>
      </w:r>
    </w:p>
    <w:p w14:paraId="01E695CF" w14:textId="281982E0"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Tadelis, S. (1999). What's in a name? Reputation as a tradeable asset. </w:t>
      </w:r>
      <w:r w:rsidRPr="005E13B9">
        <w:rPr>
          <w:i/>
          <w:sz w:val="26"/>
          <w:szCs w:val="26"/>
        </w:rPr>
        <w:t>American Economic Review, 89</w:t>
      </w:r>
      <w:r w:rsidRPr="005E13B9">
        <w:rPr>
          <w:sz w:val="26"/>
          <w:szCs w:val="26"/>
        </w:rPr>
        <w:t>(3), 548-563. https://doi.org/10.1257/aer.89.3.548</w:t>
      </w:r>
    </w:p>
    <w:p w14:paraId="060DE18C"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Tadelis, S. (2003). Firm reputation with hidden information. </w:t>
      </w:r>
      <w:r w:rsidRPr="005E13B9">
        <w:rPr>
          <w:i/>
          <w:sz w:val="26"/>
          <w:szCs w:val="26"/>
        </w:rPr>
        <w:t>Economic Theory, 21</w:t>
      </w:r>
      <w:r w:rsidRPr="005E13B9">
        <w:rPr>
          <w:sz w:val="26"/>
          <w:szCs w:val="26"/>
        </w:rPr>
        <w:t>(2-3), 635-651.</w:t>
      </w:r>
    </w:p>
    <w:p w14:paraId="5D9265F1" w14:textId="0D7D17D8"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Tai, V. W., Lai, Y. H., &amp; Lin, L. (2014). Local institutional shareholders and corporate </w:t>
      </w:r>
      <w:r w:rsidRPr="005E13B9">
        <w:rPr>
          <w:sz w:val="26"/>
          <w:szCs w:val="26"/>
        </w:rPr>
        <w:lastRenderedPageBreak/>
        <w:t xml:space="preserve">hedging policies. </w:t>
      </w:r>
      <w:r w:rsidRPr="005E13B9">
        <w:rPr>
          <w:i/>
          <w:sz w:val="26"/>
          <w:szCs w:val="26"/>
        </w:rPr>
        <w:t>The North American Journal of Economics and Finance, 28</w:t>
      </w:r>
      <w:r w:rsidRPr="005E13B9">
        <w:rPr>
          <w:sz w:val="26"/>
          <w:szCs w:val="26"/>
        </w:rPr>
        <w:t>, 287-312. https://doi.org/10.1016/j.najef.2014.03.009</w:t>
      </w:r>
    </w:p>
    <w:p w14:paraId="545DB438" w14:textId="77777777" w:rsidR="00451B37" w:rsidRPr="005E13B9" w:rsidRDefault="00451B37" w:rsidP="006C7AFA">
      <w:pPr>
        <w:overflowPunct w:val="0"/>
        <w:adjustRightInd w:val="0"/>
        <w:spacing w:afterLines="20" w:after="72"/>
        <w:ind w:left="585" w:hangingChars="225" w:hanging="585"/>
        <w:jc w:val="both"/>
        <w:rPr>
          <w:sz w:val="26"/>
          <w:szCs w:val="26"/>
          <w:shd w:val="clear" w:color="auto" w:fill="FFFFFF"/>
        </w:rPr>
      </w:pPr>
      <w:r w:rsidRPr="005E13B9">
        <w:rPr>
          <w:sz w:val="26"/>
          <w:szCs w:val="26"/>
          <w:shd w:val="clear" w:color="auto" w:fill="FFFFFF"/>
        </w:rPr>
        <w:t>Upadhyay, A. D., Bhargava, R., Faircloth, S., &amp; Zeng, H. (2017). Inside directors, risk aversion and firm performance.  </w:t>
      </w:r>
      <w:r w:rsidRPr="005E13B9">
        <w:rPr>
          <w:i/>
          <w:iCs/>
          <w:sz w:val="26"/>
          <w:szCs w:val="26"/>
          <w:shd w:val="clear" w:color="auto" w:fill="FFFFFF"/>
        </w:rPr>
        <w:t>Review of Financial Economics,</w:t>
      </w:r>
      <w:r w:rsidRPr="005E13B9">
        <w:rPr>
          <w:sz w:val="26"/>
          <w:szCs w:val="26"/>
          <w:shd w:val="clear" w:color="auto" w:fill="FFFFFF"/>
        </w:rPr>
        <w:t> </w:t>
      </w:r>
      <w:r w:rsidRPr="005E13B9">
        <w:rPr>
          <w:i/>
          <w:iCs/>
          <w:sz w:val="26"/>
          <w:szCs w:val="26"/>
          <w:shd w:val="clear" w:color="auto" w:fill="FFFFFF"/>
        </w:rPr>
        <w:t>32</w:t>
      </w:r>
      <w:r w:rsidRPr="005E13B9">
        <w:rPr>
          <w:iCs/>
          <w:sz w:val="26"/>
          <w:szCs w:val="26"/>
          <w:shd w:val="clear" w:color="auto" w:fill="FFFFFF"/>
        </w:rPr>
        <w:t>,</w:t>
      </w:r>
      <w:r w:rsidRPr="005E13B9">
        <w:rPr>
          <w:sz w:val="26"/>
          <w:szCs w:val="26"/>
          <w:shd w:val="clear" w:color="auto" w:fill="FFFFFF"/>
        </w:rPr>
        <w:t xml:space="preserve"> 64-74.</w:t>
      </w:r>
      <w:r w:rsidRPr="005E13B9">
        <w:rPr>
          <w:sz w:val="26"/>
          <w:szCs w:val="26"/>
          <w:shd w:val="clear" w:color="auto" w:fill="FFFFFF"/>
        </w:rPr>
        <w:br/>
        <w:t>https://doi.org/</w:t>
      </w:r>
      <w:r w:rsidRPr="005E13B9">
        <w:rPr>
          <w:sz w:val="26"/>
          <w:szCs w:val="26"/>
        </w:rPr>
        <w:t>10</w:t>
      </w:r>
      <w:r w:rsidRPr="005E13B9">
        <w:rPr>
          <w:sz w:val="26"/>
          <w:szCs w:val="26"/>
          <w:shd w:val="clear" w:color="auto" w:fill="FFFFFF"/>
        </w:rPr>
        <w:t>.1016/j.rfe.2016.12.001</w:t>
      </w:r>
    </w:p>
    <w:p w14:paraId="29D7A58E" w14:textId="2468AE5D"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shd w:val="clear" w:color="auto" w:fill="FFFFFF"/>
        </w:rPr>
        <w:t>W</w:t>
      </w:r>
      <w:r w:rsidRPr="005E13B9">
        <w:rPr>
          <w:sz w:val="26"/>
          <w:szCs w:val="26"/>
        </w:rPr>
        <w:t xml:space="preserve">atson, A., Dada, O. L., Grünhagen, M., &amp; Wollan, M. L. (2016). When do franchisors select entrepreneurial franchisees? An organizational identity perspective. </w:t>
      </w:r>
      <w:r w:rsidRPr="005E13B9">
        <w:rPr>
          <w:i/>
          <w:sz w:val="26"/>
          <w:szCs w:val="26"/>
        </w:rPr>
        <w:t>Journal of Business Research,</w:t>
      </w:r>
      <w:r w:rsidRPr="005E13B9">
        <w:rPr>
          <w:sz w:val="26"/>
          <w:szCs w:val="26"/>
        </w:rPr>
        <w:t xml:space="preserve"> </w:t>
      </w:r>
      <w:r w:rsidRPr="005E13B9">
        <w:rPr>
          <w:i/>
          <w:sz w:val="26"/>
          <w:szCs w:val="26"/>
        </w:rPr>
        <w:t>69</w:t>
      </w:r>
      <w:r w:rsidRPr="005E13B9">
        <w:rPr>
          <w:sz w:val="26"/>
          <w:szCs w:val="26"/>
        </w:rPr>
        <w:t>(12), 5934-5945.</w:t>
      </w:r>
      <w:r w:rsidRPr="005E13B9">
        <w:rPr>
          <w:sz w:val="26"/>
          <w:szCs w:val="26"/>
        </w:rPr>
        <w:br/>
        <w:t>https://doi.org/10.1016/j.jbusres.2016.05.006</w:t>
      </w:r>
    </w:p>
    <w:p w14:paraId="50F710ED"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Wu, Y. (2010). What’s in a name? What leads a firm to change its name and what the new name foreshadows. </w:t>
      </w:r>
      <w:r w:rsidRPr="005E13B9">
        <w:rPr>
          <w:i/>
          <w:sz w:val="26"/>
          <w:szCs w:val="26"/>
        </w:rPr>
        <w:t>Journal of Banking and Finance, 34</w:t>
      </w:r>
      <w:r w:rsidRPr="005E13B9">
        <w:rPr>
          <w:sz w:val="26"/>
          <w:szCs w:val="26"/>
        </w:rPr>
        <w:t>(6), 1344-1359.</w:t>
      </w:r>
      <w:r w:rsidRPr="005E13B9">
        <w:rPr>
          <w:sz w:val="26"/>
          <w:szCs w:val="26"/>
        </w:rPr>
        <w:br/>
        <w:t>https://doi.org/10.1016/j.jbankfin.2009.11.029</w:t>
      </w:r>
    </w:p>
    <w:p w14:paraId="315133DB" w14:textId="77777777" w:rsidR="00451B37" w:rsidRPr="005E13B9"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Yoon, S. S., &amp; Park, M. K. (2015). The effect of name changes on the earnings management in Korea. </w:t>
      </w:r>
      <w:r w:rsidRPr="005E13B9">
        <w:rPr>
          <w:i/>
          <w:sz w:val="26"/>
          <w:szCs w:val="26"/>
        </w:rPr>
        <w:t>Academy of Accounting and Financial Studies Journal,</w:t>
      </w:r>
      <w:r w:rsidRPr="005E13B9">
        <w:rPr>
          <w:sz w:val="26"/>
          <w:szCs w:val="26"/>
        </w:rPr>
        <w:t xml:space="preserve"> 19(2), 191.</w:t>
      </w:r>
    </w:p>
    <w:p w14:paraId="133F37A5" w14:textId="52CC8EFA" w:rsidR="00451B37" w:rsidRPr="005E13B9" w:rsidDel="00E4610A" w:rsidRDefault="00451B37" w:rsidP="006C7AFA">
      <w:pPr>
        <w:overflowPunct w:val="0"/>
        <w:adjustRightInd w:val="0"/>
        <w:spacing w:afterLines="20" w:after="72"/>
        <w:ind w:left="585" w:hangingChars="225" w:hanging="585"/>
        <w:jc w:val="both"/>
        <w:rPr>
          <w:sz w:val="26"/>
          <w:szCs w:val="26"/>
        </w:rPr>
      </w:pPr>
      <w:r w:rsidRPr="005E13B9">
        <w:rPr>
          <w:sz w:val="26"/>
          <w:szCs w:val="26"/>
        </w:rPr>
        <w:t xml:space="preserve">Zou, </w:t>
      </w:r>
      <w:r w:rsidRPr="005E13B9" w:rsidDel="00E4610A">
        <w:rPr>
          <w:sz w:val="26"/>
          <w:szCs w:val="26"/>
        </w:rPr>
        <w:t>L</w:t>
      </w:r>
      <w:r w:rsidRPr="005E13B9">
        <w:rPr>
          <w:sz w:val="26"/>
          <w:szCs w:val="26"/>
        </w:rPr>
        <w:t>.,</w:t>
      </w:r>
      <w:r w:rsidR="006C7AFA" w:rsidRPr="005E13B9">
        <w:rPr>
          <w:sz w:val="26"/>
          <w:szCs w:val="26"/>
        </w:rPr>
        <w:t xml:space="preserve"> </w:t>
      </w:r>
      <w:r w:rsidRPr="005E13B9">
        <w:rPr>
          <w:sz w:val="26"/>
          <w:szCs w:val="26"/>
        </w:rPr>
        <w:t xml:space="preserve">Tang, </w:t>
      </w:r>
      <w:r w:rsidRPr="005E13B9" w:rsidDel="00E4610A">
        <w:rPr>
          <w:sz w:val="26"/>
          <w:szCs w:val="26"/>
        </w:rPr>
        <w:t>T</w:t>
      </w:r>
      <w:r w:rsidRPr="005E13B9">
        <w:rPr>
          <w:sz w:val="26"/>
          <w:szCs w:val="26"/>
        </w:rPr>
        <w:t xml:space="preserve">., &amp; Li, X. (2016). A tale of two styles: Do qualified foreign institutional investors have an edge over domestic funds managers in China? </w:t>
      </w:r>
      <w:r w:rsidR="006C7AFA" w:rsidRPr="005E13B9">
        <w:rPr>
          <w:i/>
          <w:sz w:val="26"/>
          <w:szCs w:val="26"/>
        </w:rPr>
        <w:t>SSRN Electronic Journal</w:t>
      </w:r>
      <w:r w:rsidR="006C7AFA" w:rsidRPr="005E13B9">
        <w:rPr>
          <w:sz w:val="26"/>
          <w:szCs w:val="26"/>
        </w:rPr>
        <w:t xml:space="preserve">, Jan. </w:t>
      </w:r>
      <w:hyperlink r:id="rId54" w:history="1">
        <w:r w:rsidRPr="005E13B9" w:rsidDel="00E4610A">
          <w:t>https://</w:t>
        </w:r>
        <w:r w:rsidR="006C7AFA" w:rsidRPr="005E13B9">
          <w:t xml:space="preserve"> 10.2139/ssrn.2724349</w:t>
        </w:r>
      </w:hyperlink>
      <w:r w:rsidRPr="005E13B9">
        <w:rPr>
          <w:sz w:val="26"/>
          <w:szCs w:val="26"/>
        </w:rPr>
        <w:t xml:space="preserve"> </w:t>
      </w:r>
    </w:p>
    <w:p w14:paraId="6ACE46E4" w14:textId="2FEAFF90" w:rsidR="00205DFA" w:rsidRPr="005E13B9" w:rsidRDefault="00205DFA" w:rsidP="00451B37">
      <w:pPr>
        <w:overflowPunct w:val="0"/>
        <w:adjustRightInd w:val="0"/>
        <w:snapToGrid w:val="0"/>
        <w:spacing w:afterLines="20" w:after="72"/>
        <w:ind w:left="585" w:hangingChars="225" w:hanging="585"/>
        <w:jc w:val="both"/>
        <w:rPr>
          <w:sz w:val="26"/>
          <w:szCs w:val="26"/>
        </w:rPr>
      </w:pPr>
    </w:p>
    <w:p w14:paraId="030189AF" w14:textId="40AB5768" w:rsidR="006B589A" w:rsidRPr="005E13B9" w:rsidRDefault="006B589A" w:rsidP="006B589A">
      <w:pPr>
        <w:autoSpaceDE w:val="0"/>
        <w:autoSpaceDN w:val="0"/>
        <w:adjustRightInd w:val="0"/>
        <w:jc w:val="both"/>
        <w:rPr>
          <w:rFonts w:eastAsia="標楷體"/>
        </w:rPr>
      </w:pPr>
      <w:r w:rsidRPr="005E13B9">
        <w:rPr>
          <w:b/>
        </w:rPr>
        <w:t>Dr. Paoyu Huang (Corresponding author)</w:t>
      </w:r>
      <w:r w:rsidRPr="005E13B9">
        <w:rPr>
          <w:rFonts w:hint="eastAsia"/>
        </w:rPr>
        <w:t xml:space="preserve"> </w:t>
      </w:r>
      <w:r w:rsidRPr="005E13B9">
        <w:rPr>
          <w:rFonts w:eastAsia="標楷體"/>
        </w:rPr>
        <w:t xml:space="preserve">is a Professor in Department of International Business, Soochow University, Taiwan. She received </w:t>
      </w:r>
      <w:r w:rsidR="00DE203E">
        <w:rPr>
          <w:rFonts w:eastAsia="標楷體" w:hint="eastAsia"/>
        </w:rPr>
        <w:t>the</w:t>
      </w:r>
      <w:r w:rsidRPr="005E13B9">
        <w:rPr>
          <w:rFonts w:eastAsia="標楷體"/>
        </w:rPr>
        <w:t xml:space="preserve"> Ph.D. degree in Department of Management Science</w:t>
      </w:r>
      <w:r w:rsidR="009E5023">
        <w:rPr>
          <w:rFonts w:eastAsia="標楷體"/>
        </w:rPr>
        <w:t>s</w:t>
      </w:r>
      <w:r w:rsidRPr="005E13B9">
        <w:rPr>
          <w:rFonts w:eastAsia="標楷體"/>
        </w:rPr>
        <w:t xml:space="preserve">, Tamkang University, Taiwan. </w:t>
      </w:r>
      <w:r w:rsidRPr="005E13B9">
        <w:rPr>
          <w:rFonts w:eastAsia="標楷體"/>
          <w:kern w:val="0"/>
        </w:rPr>
        <w:t xml:space="preserve">Her research interests lie in issues relating to </w:t>
      </w:r>
      <w:r w:rsidRPr="005E13B9">
        <w:rPr>
          <w:rFonts w:eastAsia="標楷體"/>
        </w:rPr>
        <w:t xml:space="preserve">corporate governance, capital market, microstructure, and technical analysis. </w:t>
      </w:r>
    </w:p>
    <w:p w14:paraId="6D0BA935" w14:textId="77777777" w:rsidR="006B589A" w:rsidRPr="005E13B9" w:rsidRDefault="006B589A" w:rsidP="006B589A">
      <w:pPr>
        <w:spacing w:line="360" w:lineRule="exact"/>
        <w:jc w:val="both"/>
      </w:pPr>
    </w:p>
    <w:p w14:paraId="73673DA8" w14:textId="1A7C4F3D" w:rsidR="006B589A" w:rsidRPr="005E13B9" w:rsidRDefault="006B589A" w:rsidP="006B589A">
      <w:pPr>
        <w:jc w:val="both"/>
        <w:rPr>
          <w:rFonts w:eastAsia="標楷體"/>
        </w:rPr>
      </w:pPr>
      <w:r w:rsidRPr="005E13B9">
        <w:rPr>
          <w:b/>
        </w:rPr>
        <w:t>Dr. Yensen Ni</w:t>
      </w:r>
      <w:r w:rsidRPr="005E13B9">
        <w:t xml:space="preserve"> </w:t>
      </w:r>
      <w:r w:rsidRPr="005E13B9">
        <w:rPr>
          <w:rFonts w:eastAsia="標楷體"/>
        </w:rPr>
        <w:t>is a Professor in Department of Management Science</w:t>
      </w:r>
      <w:r w:rsidR="009E5023">
        <w:rPr>
          <w:rFonts w:eastAsia="標楷體"/>
        </w:rPr>
        <w:t>s</w:t>
      </w:r>
      <w:r w:rsidRPr="005E13B9">
        <w:rPr>
          <w:rFonts w:eastAsia="標楷體"/>
        </w:rPr>
        <w:t xml:space="preserve">, Tamkang University, Taiwan. He received the Ph.D. degree in </w:t>
      </w:r>
      <w:r w:rsidRPr="005E13B9">
        <w:rPr>
          <w:rFonts w:eastAsia="標楷體" w:hint="eastAsia"/>
        </w:rPr>
        <w:t xml:space="preserve">Department of </w:t>
      </w:r>
      <w:r w:rsidRPr="005E13B9">
        <w:rPr>
          <w:rFonts w:eastAsia="標楷體"/>
        </w:rPr>
        <w:t>Economics</w:t>
      </w:r>
      <w:r w:rsidRPr="005E13B9">
        <w:rPr>
          <w:rFonts w:eastAsia="標楷體" w:hint="eastAsia"/>
        </w:rPr>
        <w:t xml:space="preserve">, </w:t>
      </w:r>
      <w:r w:rsidRPr="005E13B9">
        <w:rPr>
          <w:rFonts w:eastAsia="標楷體"/>
        </w:rPr>
        <w:t>University of Illinois at Chicago</w:t>
      </w:r>
      <w:r w:rsidRPr="005E13B9">
        <w:rPr>
          <w:rFonts w:eastAsia="標楷體" w:hint="eastAsia"/>
        </w:rPr>
        <w:t xml:space="preserve">. </w:t>
      </w:r>
      <w:r w:rsidRPr="005E13B9">
        <w:rPr>
          <w:rFonts w:eastAsia="標楷體"/>
        </w:rPr>
        <w:t xml:space="preserve">His research interests include corporate governance, capital market, and microstructure, and technical analysis. </w:t>
      </w:r>
    </w:p>
    <w:p w14:paraId="5AB53A0F" w14:textId="77777777" w:rsidR="006B589A" w:rsidRPr="005E13B9" w:rsidRDefault="006B589A" w:rsidP="006B589A">
      <w:pPr>
        <w:spacing w:line="360" w:lineRule="exact"/>
        <w:jc w:val="both"/>
      </w:pPr>
    </w:p>
    <w:p w14:paraId="75813E2B" w14:textId="6C24A806" w:rsidR="006B589A" w:rsidRPr="005E13B9" w:rsidRDefault="006B589A" w:rsidP="006B589A">
      <w:pPr>
        <w:spacing w:after="240" w:line="360" w:lineRule="exact"/>
        <w:jc w:val="both"/>
        <w:rPr>
          <w:sz w:val="26"/>
          <w:szCs w:val="26"/>
        </w:rPr>
      </w:pPr>
      <w:r w:rsidRPr="005E13B9">
        <w:rPr>
          <w:b/>
        </w:rPr>
        <w:t xml:space="preserve">Dr. Yirung Cheng </w:t>
      </w:r>
      <w:r w:rsidRPr="005E13B9">
        <w:rPr>
          <w:rFonts w:eastAsia="標楷體"/>
        </w:rPr>
        <w:t>is a Ph.D. of Department of Management Sciences at Tamkang University, his research interests include corporate governance, capital market</w:t>
      </w:r>
      <w:r w:rsidR="00DE203E">
        <w:rPr>
          <w:rFonts w:eastAsia="標楷體"/>
        </w:rPr>
        <w:t>,</w:t>
      </w:r>
      <w:r w:rsidRPr="005E13B9">
        <w:rPr>
          <w:rFonts w:eastAsia="標楷體"/>
        </w:rPr>
        <w:t xml:space="preserve"> and technical analysis.</w:t>
      </w:r>
    </w:p>
    <w:p w14:paraId="655B07C9" w14:textId="3D766B5C" w:rsidR="00424C50" w:rsidRPr="005E13B9" w:rsidRDefault="00424C50" w:rsidP="006B589A">
      <w:pPr>
        <w:spacing w:after="240" w:line="360" w:lineRule="exact"/>
        <w:jc w:val="both"/>
        <w:rPr>
          <w:sz w:val="26"/>
          <w:szCs w:val="26"/>
        </w:rPr>
      </w:pPr>
    </w:p>
    <w:sectPr w:rsidR="00424C50" w:rsidRPr="005E13B9" w:rsidSect="00D80D46">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440" w:left="1440" w:header="851" w:footer="992" w:gutter="0"/>
      <w:pgNumType w:start="175"/>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8ABC9" w14:textId="77777777" w:rsidR="008C46F5" w:rsidRDefault="008C46F5">
      <w:r>
        <w:separator/>
      </w:r>
    </w:p>
  </w:endnote>
  <w:endnote w:type="continuationSeparator" w:id="0">
    <w:p w14:paraId="053E3E85" w14:textId="77777777" w:rsidR="008C46F5" w:rsidRDefault="008C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U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5F51" w14:textId="77777777" w:rsidR="006B589A" w:rsidRDefault="006B589A" w:rsidP="00562D71">
    <w:pPr>
      <w:pStyle w:val="af"/>
      <w:ind w:firstLine="40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5297B" w14:textId="77777777" w:rsidR="006B589A" w:rsidRDefault="006B589A" w:rsidP="00562D71">
    <w:pPr>
      <w:pStyle w:val="af"/>
      <w:ind w:firstLine="40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2491" w14:textId="77777777" w:rsidR="006B589A" w:rsidRDefault="006B589A" w:rsidP="00562D71">
    <w:pPr>
      <w:pStyle w:val="af"/>
      <w:ind w:firstLine="40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75710" w14:textId="77777777" w:rsidR="008C46F5" w:rsidRDefault="008C46F5" w:rsidP="00562D71">
      <w:r>
        <w:separator/>
      </w:r>
    </w:p>
  </w:footnote>
  <w:footnote w:type="continuationSeparator" w:id="0">
    <w:p w14:paraId="3B69076D" w14:textId="77777777" w:rsidR="008C46F5" w:rsidRDefault="008C46F5" w:rsidP="00562D71">
      <w:r>
        <w:continuationSeparator/>
      </w:r>
    </w:p>
  </w:footnote>
  <w:footnote w:id="1">
    <w:p w14:paraId="289C82F9" w14:textId="69089627" w:rsidR="006B589A" w:rsidRPr="005E13B9" w:rsidRDefault="006B589A" w:rsidP="001C65C7">
      <w:pPr>
        <w:pStyle w:val="af7"/>
        <w:ind w:left="142" w:firstLineChars="200" w:firstLine="520"/>
        <w:jc w:val="both"/>
        <w:rPr>
          <w:sz w:val="26"/>
          <w:szCs w:val="26"/>
        </w:rPr>
      </w:pPr>
      <w:r w:rsidRPr="005E13B9">
        <w:rPr>
          <w:rStyle w:val="af9"/>
          <w:sz w:val="26"/>
          <w:szCs w:val="26"/>
        </w:rPr>
        <w:footnoteRef/>
      </w:r>
      <w:r w:rsidRPr="005E13B9">
        <w:rPr>
          <w:sz w:val="26"/>
          <w:szCs w:val="26"/>
        </w:rPr>
        <w:t xml:space="preserve"> We also concern whether the endogenous problem exists in our models since changing corporate name or industry category may affect institutional shareholdings and institutional shareholdings may affect changing corporate name or industry category. Thus, we use instrument variables which are estimated by both the two</w:t>
      </w:r>
      <w:r w:rsidRPr="005E13B9">
        <w:rPr>
          <w:rFonts w:ascii="MS Gothic" w:eastAsia="MS Gothic" w:hAnsi="MS Gothic" w:cs="MS Gothic"/>
          <w:sz w:val="26"/>
          <w:szCs w:val="26"/>
        </w:rPr>
        <w:t>‑</w:t>
      </w:r>
      <w:r w:rsidRPr="005E13B9">
        <w:rPr>
          <w:sz w:val="26"/>
          <w:szCs w:val="26"/>
        </w:rPr>
        <w:t xml:space="preserve">stage least squares and generalized method of moments approaches and find that the variables related to corporate name or industry category change would be regarded as exogenous variables in our model as revealed insignificant Hausman statistics. </w:t>
      </w:r>
    </w:p>
  </w:footnote>
  <w:footnote w:id="2">
    <w:p w14:paraId="17594654" w14:textId="77777777" w:rsidR="006B589A" w:rsidRPr="005E13B9" w:rsidRDefault="006B589A" w:rsidP="00E76E0C">
      <w:pPr>
        <w:pStyle w:val="af7"/>
        <w:jc w:val="both"/>
      </w:pPr>
      <w:r w:rsidRPr="005E13B9">
        <w:rPr>
          <w:rStyle w:val="af9"/>
        </w:rPr>
        <w:footnoteRef/>
      </w:r>
      <w:r w:rsidRPr="005E13B9">
        <w:t xml:space="preserve"> </w:t>
      </w:r>
      <w:r w:rsidRPr="005E13B9">
        <w:rPr>
          <w:rFonts w:hint="eastAsia"/>
        </w:rPr>
        <w:t>T</w:t>
      </w:r>
      <w:r w:rsidRPr="005E13B9">
        <w:t xml:space="preserve">he standard errors are adjusted by heteroscedasticity </w:t>
      </w:r>
      <w:r w:rsidRPr="005E13B9">
        <w:rPr>
          <w:rFonts w:hint="eastAsia"/>
        </w:rPr>
        <w:t xml:space="preserve">proposed by </w:t>
      </w:r>
      <w:r w:rsidRPr="005E13B9">
        <w:t>White, 1980</w:t>
      </w:r>
      <w:r w:rsidRPr="005E13B9">
        <w:rPr>
          <w:rFonts w:hint="eastAsia"/>
        </w:rPr>
        <w:t>.</w:t>
      </w:r>
    </w:p>
  </w:footnote>
  <w:footnote w:id="3">
    <w:p w14:paraId="56EBBD03" w14:textId="77777777" w:rsidR="006B589A" w:rsidRPr="005E13B9" w:rsidRDefault="006B589A" w:rsidP="00776C56">
      <w:pPr>
        <w:pStyle w:val="af7"/>
        <w:jc w:val="both"/>
      </w:pPr>
      <w:r w:rsidRPr="005E13B9">
        <w:rPr>
          <w:rStyle w:val="af9"/>
        </w:rPr>
        <w:footnoteRef/>
      </w:r>
      <w:r w:rsidRPr="005E13B9">
        <w:t xml:space="preserve"> The standard errors are adjusted by the two-way clusters existed in firm and year </w:t>
      </w:r>
      <w:r w:rsidRPr="005E13B9">
        <w:rPr>
          <w:rFonts w:hint="eastAsia"/>
        </w:rPr>
        <w:t xml:space="preserve">proposed by </w:t>
      </w:r>
      <w:r w:rsidRPr="005E13B9">
        <w:t>Petersen, 2009</w:t>
      </w:r>
      <w:r w:rsidRPr="005E13B9">
        <w:rPr>
          <w:rFonts w:hint="eastAsia"/>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075488"/>
      <w:docPartObj>
        <w:docPartGallery w:val="Page Numbers (Top of Page)"/>
        <w:docPartUnique/>
      </w:docPartObj>
    </w:sdtPr>
    <w:sdtEndPr/>
    <w:sdtContent>
      <w:p w14:paraId="28B0A21A" w14:textId="173E9847" w:rsidR="006B589A" w:rsidRDefault="006B589A">
        <w:pPr>
          <w:pStyle w:val="ad"/>
        </w:pPr>
        <w:r>
          <w:fldChar w:fldCharType="begin"/>
        </w:r>
        <w:r>
          <w:instrText>PAGE   \* MERGEFORMAT</w:instrText>
        </w:r>
        <w:r>
          <w:fldChar w:fldCharType="separate"/>
        </w:r>
        <w:r w:rsidR="00D80D46" w:rsidRPr="00D80D46">
          <w:rPr>
            <w:noProof/>
            <w:lang w:val="zh-TW"/>
          </w:rPr>
          <w:t>194</w:t>
        </w:r>
        <w:r>
          <w:fldChar w:fldCharType="end"/>
        </w:r>
      </w:p>
    </w:sdtContent>
  </w:sdt>
  <w:p w14:paraId="12E08949" w14:textId="77777777" w:rsidR="006B589A" w:rsidRDefault="006B589A" w:rsidP="00562D71">
    <w:pPr>
      <w:pStyle w:val="ad"/>
      <w:ind w:firstLine="4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229445"/>
      <w:docPartObj>
        <w:docPartGallery w:val="Page Numbers (Top of Page)"/>
        <w:docPartUnique/>
      </w:docPartObj>
    </w:sdtPr>
    <w:sdtEndPr/>
    <w:sdtContent>
      <w:p w14:paraId="71EE156E" w14:textId="4043DB0E" w:rsidR="006B589A" w:rsidRDefault="006B589A">
        <w:pPr>
          <w:pStyle w:val="ad"/>
          <w:jc w:val="right"/>
        </w:pPr>
        <w:r>
          <w:fldChar w:fldCharType="begin"/>
        </w:r>
        <w:r>
          <w:instrText>PAGE   \* MERGEFORMAT</w:instrText>
        </w:r>
        <w:r>
          <w:fldChar w:fldCharType="separate"/>
        </w:r>
        <w:r w:rsidR="00D80D46" w:rsidRPr="00D80D46">
          <w:rPr>
            <w:noProof/>
            <w:lang w:val="zh-TW"/>
          </w:rPr>
          <w:t>193</w:t>
        </w:r>
        <w:r>
          <w:fldChar w:fldCharType="end"/>
        </w:r>
      </w:p>
    </w:sdtContent>
  </w:sdt>
  <w:p w14:paraId="44B66170" w14:textId="77777777" w:rsidR="006B589A" w:rsidRDefault="006B589A" w:rsidP="00562D71">
    <w:pPr>
      <w:pStyle w:val="ad"/>
      <w:ind w:firstLine="4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0953" w14:textId="77777777" w:rsidR="006B589A" w:rsidRPr="009A6322" w:rsidRDefault="006B589A" w:rsidP="00834A34">
    <w:pPr>
      <w:pStyle w:val="ad"/>
      <w:tabs>
        <w:tab w:val="clear" w:pos="4153"/>
        <w:tab w:val="clear" w:pos="8306"/>
        <w:tab w:val="left" w:pos="2620"/>
      </w:tabs>
      <w:ind w:firstLine="400"/>
    </w:pPr>
    <w:r>
      <w:tab/>
    </w:r>
  </w:p>
  <w:tbl>
    <w:tblPr>
      <w:tblW w:w="3686" w:type="dxa"/>
      <w:tblInd w:w="5103" w:type="dxa"/>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6"/>
    </w:tblGrid>
    <w:tr w:rsidR="006B589A" w:rsidRPr="00834A34" w14:paraId="224DFA7B" w14:textId="77777777" w:rsidTr="000552E7">
      <w:trPr>
        <w:trHeight w:val="454"/>
      </w:trPr>
      <w:tc>
        <w:tcPr>
          <w:tcW w:w="3686" w:type="dxa"/>
          <w:vAlign w:val="bottom"/>
        </w:tcPr>
        <w:p w14:paraId="507CB042" w14:textId="77777777" w:rsidR="006B589A" w:rsidRPr="00834A34" w:rsidRDefault="006B589A" w:rsidP="00834A34">
          <w:pPr>
            <w:widowControl/>
            <w:snapToGrid w:val="0"/>
            <w:rPr>
              <w:rFonts w:eastAsia="Cambria"/>
              <w:kern w:val="0"/>
              <w:sz w:val="22"/>
              <w:szCs w:val="22"/>
              <w:lang w:eastAsia="en-US"/>
            </w:rPr>
          </w:pPr>
          <w:r w:rsidRPr="00834A34">
            <w:rPr>
              <w:rFonts w:eastAsia="Cambria"/>
              <w:kern w:val="0"/>
              <w:sz w:val="22"/>
              <w:szCs w:val="22"/>
              <w:lang w:eastAsia="en-US"/>
            </w:rPr>
            <w:t>Contemporary Management Research</w:t>
          </w:r>
        </w:p>
        <w:p w14:paraId="5A82BE99" w14:textId="224270B7" w:rsidR="006B589A" w:rsidRPr="00834A34" w:rsidRDefault="006B589A" w:rsidP="00834A34">
          <w:pPr>
            <w:widowControl/>
            <w:snapToGrid w:val="0"/>
            <w:rPr>
              <w:rFonts w:eastAsia="Cambria"/>
              <w:color w:val="0D0D0D"/>
              <w:kern w:val="0"/>
              <w:sz w:val="20"/>
              <w:szCs w:val="20"/>
              <w:lang w:eastAsia="en-US"/>
            </w:rPr>
          </w:pPr>
          <w:r w:rsidRPr="00834A34">
            <w:rPr>
              <w:rFonts w:eastAsia="Cambria"/>
              <w:color w:val="0D0D0D"/>
              <w:kern w:val="0"/>
              <w:sz w:val="20"/>
              <w:szCs w:val="20"/>
              <w:lang w:eastAsia="en-US"/>
            </w:rPr>
            <w:t>Pages</w:t>
          </w:r>
          <w:r w:rsidRPr="00834A34">
            <w:rPr>
              <w:rFonts w:eastAsia="Cambria"/>
              <w:kern w:val="0"/>
              <w:sz w:val="20"/>
              <w:szCs w:val="20"/>
              <w:lang w:eastAsia="en-US"/>
            </w:rPr>
            <w:t xml:space="preserve"> 17</w:t>
          </w:r>
          <w:r>
            <w:rPr>
              <w:rFonts w:eastAsia="Cambria"/>
              <w:kern w:val="0"/>
              <w:sz w:val="20"/>
              <w:szCs w:val="20"/>
              <w:lang w:eastAsia="en-US"/>
            </w:rPr>
            <w:t>5</w:t>
          </w:r>
          <w:r w:rsidRPr="00834A34">
            <w:rPr>
              <w:rFonts w:eastAsia="Cambria"/>
              <w:kern w:val="0"/>
              <w:sz w:val="20"/>
              <w:szCs w:val="20"/>
              <w:lang w:eastAsia="en-US"/>
            </w:rPr>
            <w:t>-</w:t>
          </w:r>
          <w:r>
            <w:rPr>
              <w:rFonts w:eastAsia="Cambria"/>
              <w:kern w:val="0"/>
              <w:sz w:val="20"/>
              <w:szCs w:val="20"/>
              <w:lang w:eastAsia="en-US"/>
            </w:rPr>
            <w:t>203</w:t>
          </w:r>
          <w:r w:rsidRPr="00834A34">
            <w:rPr>
              <w:rFonts w:eastAsia="Cambria"/>
              <w:kern w:val="0"/>
              <w:sz w:val="20"/>
              <w:szCs w:val="20"/>
              <w:lang w:eastAsia="en-US"/>
            </w:rPr>
            <w:t>, V</w:t>
          </w:r>
          <w:r w:rsidRPr="00834A34">
            <w:rPr>
              <w:rFonts w:eastAsia="Cambria"/>
              <w:color w:val="0D0D0D"/>
              <w:kern w:val="0"/>
              <w:sz w:val="20"/>
              <w:szCs w:val="20"/>
              <w:lang w:eastAsia="en-US"/>
            </w:rPr>
            <w:t xml:space="preserve">ol. </w:t>
          </w:r>
          <w:r w:rsidRPr="00834A34">
            <w:rPr>
              <w:rFonts w:hint="eastAsia"/>
              <w:color w:val="0D0D0D"/>
              <w:kern w:val="0"/>
              <w:sz w:val="20"/>
              <w:szCs w:val="20"/>
            </w:rPr>
            <w:t>15</w:t>
          </w:r>
          <w:r w:rsidRPr="00834A34">
            <w:rPr>
              <w:color w:val="0D0D0D"/>
              <w:kern w:val="0"/>
              <w:sz w:val="20"/>
              <w:szCs w:val="20"/>
            </w:rPr>
            <w:t xml:space="preserve">, </w:t>
          </w:r>
          <w:r w:rsidRPr="00834A34">
            <w:rPr>
              <w:rFonts w:eastAsia="Cambria"/>
              <w:color w:val="0D0D0D"/>
              <w:kern w:val="0"/>
              <w:sz w:val="20"/>
              <w:szCs w:val="20"/>
              <w:lang w:eastAsia="en-US"/>
            </w:rPr>
            <w:t xml:space="preserve">No. </w:t>
          </w:r>
          <w:r w:rsidRPr="00834A34">
            <w:rPr>
              <w:rFonts w:hint="eastAsia"/>
              <w:color w:val="0D0D0D"/>
              <w:kern w:val="0"/>
              <w:sz w:val="20"/>
              <w:szCs w:val="20"/>
            </w:rPr>
            <w:t>3</w:t>
          </w:r>
          <w:r w:rsidRPr="00834A34">
            <w:rPr>
              <w:rFonts w:eastAsia="Microsoft JhengHei UI"/>
              <w:color w:val="0D0D0D"/>
              <w:kern w:val="0"/>
              <w:sz w:val="20"/>
              <w:szCs w:val="20"/>
            </w:rPr>
            <w:t>, 2019</w:t>
          </w:r>
        </w:p>
        <w:p w14:paraId="64D6DFA0" w14:textId="67D3EDE6" w:rsidR="006B589A" w:rsidRPr="00834A34" w:rsidRDefault="006B589A" w:rsidP="005B4A94">
          <w:pPr>
            <w:widowControl/>
            <w:snapToGrid w:val="0"/>
            <w:rPr>
              <w:rFonts w:ascii="Times" w:eastAsia="Cambria" w:hAnsi="Times"/>
              <w:kern w:val="0"/>
              <w:sz w:val="20"/>
              <w:szCs w:val="20"/>
              <w:lang w:eastAsia="en-US"/>
            </w:rPr>
          </w:pPr>
          <w:r w:rsidRPr="00834A34">
            <w:rPr>
              <w:rFonts w:eastAsia="Cambria"/>
              <w:kern w:val="0"/>
              <w:sz w:val="20"/>
              <w:szCs w:val="20"/>
              <w:lang w:eastAsia="en-US"/>
            </w:rPr>
            <w:t>doi:10.7903/cmr.1</w:t>
          </w:r>
          <w:r>
            <w:rPr>
              <w:rFonts w:eastAsia="Cambria"/>
              <w:kern w:val="0"/>
              <w:sz w:val="20"/>
              <w:szCs w:val="20"/>
              <w:lang w:eastAsia="en-US"/>
            </w:rPr>
            <w:t>8885</w:t>
          </w:r>
        </w:p>
      </w:tc>
    </w:tr>
  </w:tbl>
  <w:p w14:paraId="181DDBDD" w14:textId="7CB61008" w:rsidR="006B589A" w:rsidRPr="009A6322" w:rsidRDefault="006B589A" w:rsidP="005B4A94">
    <w:pPr>
      <w:pStyle w:val="ad"/>
      <w:tabs>
        <w:tab w:val="clear" w:pos="4153"/>
        <w:tab w:val="clear" w:pos="8306"/>
        <w:tab w:val="left" w:pos="2620"/>
      </w:tabs>
      <w:ind w:firstLine="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AF2"/>
    <w:multiLevelType w:val="multilevel"/>
    <w:tmpl w:val="1C68463E"/>
    <w:lvl w:ilvl="0">
      <w:start w:val="1"/>
      <w:numFmt w:val="decimal"/>
      <w:lvlText w:val="%1"/>
      <w:lvlJc w:val="left"/>
      <w:pPr>
        <w:ind w:left="480" w:hanging="480"/>
      </w:pPr>
      <w:rPr>
        <w:rFonts w:hint="eastAsia"/>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3272639"/>
    <w:multiLevelType w:val="hybridMultilevel"/>
    <w:tmpl w:val="F2E4CE04"/>
    <w:lvl w:ilvl="0" w:tplc="A810E024">
      <w:start w:val="3"/>
      <w:numFmt w:val="decimal"/>
      <w:lvlText w:val="%1."/>
      <w:lvlJc w:val="left"/>
      <w:pPr>
        <w:ind w:left="360" w:hanging="360"/>
      </w:pPr>
      <w:rPr>
        <w:rFonts w:hint="default"/>
      </w:rPr>
    </w:lvl>
    <w:lvl w:ilvl="1" w:tplc="50089FD6" w:tentative="1">
      <w:start w:val="1"/>
      <w:numFmt w:val="ideographTraditional"/>
      <w:lvlText w:val="%2、"/>
      <w:lvlJc w:val="left"/>
      <w:pPr>
        <w:ind w:left="960" w:hanging="480"/>
      </w:pPr>
    </w:lvl>
    <w:lvl w:ilvl="2" w:tplc="4A74D8FE" w:tentative="1">
      <w:start w:val="1"/>
      <w:numFmt w:val="lowerRoman"/>
      <w:lvlText w:val="%3."/>
      <w:lvlJc w:val="right"/>
      <w:pPr>
        <w:ind w:left="1440" w:hanging="480"/>
      </w:pPr>
    </w:lvl>
    <w:lvl w:ilvl="3" w:tplc="224C1998" w:tentative="1">
      <w:start w:val="1"/>
      <w:numFmt w:val="decimal"/>
      <w:lvlText w:val="%4."/>
      <w:lvlJc w:val="left"/>
      <w:pPr>
        <w:ind w:left="1920" w:hanging="480"/>
      </w:pPr>
    </w:lvl>
    <w:lvl w:ilvl="4" w:tplc="57CA38EA" w:tentative="1">
      <w:start w:val="1"/>
      <w:numFmt w:val="ideographTraditional"/>
      <w:lvlText w:val="%5、"/>
      <w:lvlJc w:val="left"/>
      <w:pPr>
        <w:ind w:left="2400" w:hanging="480"/>
      </w:pPr>
    </w:lvl>
    <w:lvl w:ilvl="5" w:tplc="D1F6741E" w:tentative="1">
      <w:start w:val="1"/>
      <w:numFmt w:val="lowerRoman"/>
      <w:lvlText w:val="%6."/>
      <w:lvlJc w:val="right"/>
      <w:pPr>
        <w:ind w:left="2880" w:hanging="480"/>
      </w:pPr>
    </w:lvl>
    <w:lvl w:ilvl="6" w:tplc="098A6B60" w:tentative="1">
      <w:start w:val="1"/>
      <w:numFmt w:val="decimal"/>
      <w:lvlText w:val="%7."/>
      <w:lvlJc w:val="left"/>
      <w:pPr>
        <w:ind w:left="3360" w:hanging="480"/>
      </w:pPr>
    </w:lvl>
    <w:lvl w:ilvl="7" w:tplc="E2B0F7D6" w:tentative="1">
      <w:start w:val="1"/>
      <w:numFmt w:val="ideographTraditional"/>
      <w:lvlText w:val="%8、"/>
      <w:lvlJc w:val="left"/>
      <w:pPr>
        <w:ind w:left="3840" w:hanging="480"/>
      </w:pPr>
    </w:lvl>
    <w:lvl w:ilvl="8" w:tplc="62F02B5C" w:tentative="1">
      <w:start w:val="1"/>
      <w:numFmt w:val="lowerRoman"/>
      <w:lvlText w:val="%9."/>
      <w:lvlJc w:val="right"/>
      <w:pPr>
        <w:ind w:left="4320" w:hanging="480"/>
      </w:pPr>
    </w:lvl>
  </w:abstractNum>
  <w:abstractNum w:abstractNumId="2" w15:restartNumberingAfterBreak="0">
    <w:nsid w:val="09AC2D07"/>
    <w:multiLevelType w:val="multilevel"/>
    <w:tmpl w:val="16460084"/>
    <w:lvl w:ilvl="0">
      <w:start w:val="1"/>
      <w:numFmt w:val="decimal"/>
      <w:lvlText w:val="%1"/>
      <w:lvlJc w:val="left"/>
      <w:pPr>
        <w:ind w:left="850" w:hanging="425"/>
      </w:pPr>
      <w:rPr>
        <w:rFonts w:hint="eastAsia"/>
      </w:rPr>
    </w:lvl>
    <w:lvl w:ilvl="1">
      <w:start w:val="1"/>
      <w:numFmt w:val="bullet"/>
      <w:lvlText w:val=""/>
      <w:lvlJc w:val="left"/>
      <w:pPr>
        <w:ind w:left="1417" w:hanging="567"/>
      </w:pPr>
      <w:rPr>
        <w:rFonts w:ascii="Wingdings" w:hAnsi="Wingdings" w:hint="default"/>
      </w:rPr>
    </w:lvl>
    <w:lvl w:ilvl="2">
      <w:start w:val="1"/>
      <w:numFmt w:val="decimal"/>
      <w:lvlText w:val="%1.%2.%3"/>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 w15:restartNumberingAfterBreak="0">
    <w:nsid w:val="0E5B7C2F"/>
    <w:multiLevelType w:val="hybridMultilevel"/>
    <w:tmpl w:val="489E2BF0"/>
    <w:lvl w:ilvl="0" w:tplc="EB2A42E0">
      <w:start w:val="1"/>
      <w:numFmt w:val="taiwaneseCountingThousand"/>
      <w:lvlText w:val="%1、"/>
      <w:lvlJc w:val="left"/>
      <w:pPr>
        <w:ind w:left="480" w:hanging="480"/>
      </w:pPr>
      <w:rPr>
        <w:rFonts w:cs="Times New Roman" w:hint="default"/>
      </w:rPr>
    </w:lvl>
    <w:lvl w:ilvl="1" w:tplc="F0CA14C8">
      <w:start w:val="1"/>
      <w:numFmt w:val="ideographTraditional"/>
      <w:lvlText w:val="%2、"/>
      <w:lvlJc w:val="left"/>
      <w:pPr>
        <w:ind w:left="960" w:hanging="480"/>
      </w:pPr>
      <w:rPr>
        <w:rFonts w:cs="Times New Roman"/>
      </w:rPr>
    </w:lvl>
    <w:lvl w:ilvl="2" w:tplc="8EDE7B6E" w:tentative="1">
      <w:start w:val="1"/>
      <w:numFmt w:val="lowerRoman"/>
      <w:lvlText w:val="%3."/>
      <w:lvlJc w:val="right"/>
      <w:pPr>
        <w:ind w:left="1440" w:hanging="480"/>
      </w:pPr>
      <w:rPr>
        <w:rFonts w:cs="Times New Roman"/>
      </w:rPr>
    </w:lvl>
    <w:lvl w:ilvl="3" w:tplc="8DB27D04" w:tentative="1">
      <w:start w:val="1"/>
      <w:numFmt w:val="decimal"/>
      <w:lvlText w:val="%4."/>
      <w:lvlJc w:val="left"/>
      <w:pPr>
        <w:ind w:left="1920" w:hanging="480"/>
      </w:pPr>
      <w:rPr>
        <w:rFonts w:cs="Times New Roman"/>
      </w:rPr>
    </w:lvl>
    <w:lvl w:ilvl="4" w:tplc="8A2A138A" w:tentative="1">
      <w:start w:val="1"/>
      <w:numFmt w:val="ideographTraditional"/>
      <w:lvlText w:val="%5、"/>
      <w:lvlJc w:val="left"/>
      <w:pPr>
        <w:ind w:left="2400" w:hanging="480"/>
      </w:pPr>
      <w:rPr>
        <w:rFonts w:cs="Times New Roman"/>
      </w:rPr>
    </w:lvl>
    <w:lvl w:ilvl="5" w:tplc="E57C4F0A" w:tentative="1">
      <w:start w:val="1"/>
      <w:numFmt w:val="lowerRoman"/>
      <w:lvlText w:val="%6."/>
      <w:lvlJc w:val="right"/>
      <w:pPr>
        <w:ind w:left="2880" w:hanging="480"/>
      </w:pPr>
      <w:rPr>
        <w:rFonts w:cs="Times New Roman"/>
      </w:rPr>
    </w:lvl>
    <w:lvl w:ilvl="6" w:tplc="C140455C" w:tentative="1">
      <w:start w:val="1"/>
      <w:numFmt w:val="decimal"/>
      <w:lvlText w:val="%7."/>
      <w:lvlJc w:val="left"/>
      <w:pPr>
        <w:ind w:left="3360" w:hanging="480"/>
      </w:pPr>
      <w:rPr>
        <w:rFonts w:cs="Times New Roman"/>
      </w:rPr>
    </w:lvl>
    <w:lvl w:ilvl="7" w:tplc="39D87E6A" w:tentative="1">
      <w:start w:val="1"/>
      <w:numFmt w:val="ideographTraditional"/>
      <w:lvlText w:val="%8、"/>
      <w:lvlJc w:val="left"/>
      <w:pPr>
        <w:ind w:left="3840" w:hanging="480"/>
      </w:pPr>
      <w:rPr>
        <w:rFonts w:cs="Times New Roman"/>
      </w:rPr>
    </w:lvl>
    <w:lvl w:ilvl="8" w:tplc="227E8B12" w:tentative="1">
      <w:start w:val="1"/>
      <w:numFmt w:val="lowerRoman"/>
      <w:lvlText w:val="%9."/>
      <w:lvlJc w:val="right"/>
      <w:pPr>
        <w:ind w:left="4320" w:hanging="480"/>
      </w:pPr>
      <w:rPr>
        <w:rFonts w:cs="Times New Roman"/>
      </w:rPr>
    </w:lvl>
  </w:abstractNum>
  <w:abstractNum w:abstractNumId="4" w15:restartNumberingAfterBreak="0">
    <w:nsid w:val="159C42C8"/>
    <w:multiLevelType w:val="hybridMultilevel"/>
    <w:tmpl w:val="EB525E14"/>
    <w:lvl w:ilvl="0" w:tplc="D67CD2CA">
      <w:start w:val="4"/>
      <w:numFmt w:val="taiwaneseCountingThousand"/>
      <w:lvlText w:val="%1、"/>
      <w:lvlJc w:val="left"/>
      <w:pPr>
        <w:ind w:left="480" w:hanging="480"/>
      </w:pPr>
      <w:rPr>
        <w:rFonts w:ascii="標楷體" w:eastAsia="標楷體" w:cs="Times New Roman" w:hint="default"/>
      </w:rPr>
    </w:lvl>
    <w:lvl w:ilvl="1" w:tplc="1FD8F24E">
      <w:start w:val="1"/>
      <w:numFmt w:val="ideographTraditional"/>
      <w:lvlText w:val="%2、"/>
      <w:lvlJc w:val="left"/>
      <w:pPr>
        <w:ind w:left="960" w:hanging="480"/>
      </w:pPr>
      <w:rPr>
        <w:rFonts w:cs="Times New Roman"/>
      </w:rPr>
    </w:lvl>
    <w:lvl w:ilvl="2" w:tplc="4EFC78B2" w:tentative="1">
      <w:start w:val="1"/>
      <w:numFmt w:val="lowerRoman"/>
      <w:lvlText w:val="%3."/>
      <w:lvlJc w:val="right"/>
      <w:pPr>
        <w:ind w:left="1440" w:hanging="480"/>
      </w:pPr>
      <w:rPr>
        <w:rFonts w:cs="Times New Roman"/>
      </w:rPr>
    </w:lvl>
    <w:lvl w:ilvl="3" w:tplc="DC00ABE2" w:tentative="1">
      <w:start w:val="1"/>
      <w:numFmt w:val="decimal"/>
      <w:lvlText w:val="%4."/>
      <w:lvlJc w:val="left"/>
      <w:pPr>
        <w:ind w:left="1920" w:hanging="480"/>
      </w:pPr>
      <w:rPr>
        <w:rFonts w:cs="Times New Roman"/>
      </w:rPr>
    </w:lvl>
    <w:lvl w:ilvl="4" w:tplc="8B7821C8" w:tentative="1">
      <w:start w:val="1"/>
      <w:numFmt w:val="ideographTraditional"/>
      <w:lvlText w:val="%5、"/>
      <w:lvlJc w:val="left"/>
      <w:pPr>
        <w:ind w:left="2400" w:hanging="480"/>
      </w:pPr>
      <w:rPr>
        <w:rFonts w:cs="Times New Roman"/>
      </w:rPr>
    </w:lvl>
    <w:lvl w:ilvl="5" w:tplc="671E75F0" w:tentative="1">
      <w:start w:val="1"/>
      <w:numFmt w:val="lowerRoman"/>
      <w:lvlText w:val="%6."/>
      <w:lvlJc w:val="right"/>
      <w:pPr>
        <w:ind w:left="2880" w:hanging="480"/>
      </w:pPr>
      <w:rPr>
        <w:rFonts w:cs="Times New Roman"/>
      </w:rPr>
    </w:lvl>
    <w:lvl w:ilvl="6" w:tplc="13563B20" w:tentative="1">
      <w:start w:val="1"/>
      <w:numFmt w:val="decimal"/>
      <w:lvlText w:val="%7."/>
      <w:lvlJc w:val="left"/>
      <w:pPr>
        <w:ind w:left="3360" w:hanging="480"/>
      </w:pPr>
      <w:rPr>
        <w:rFonts w:cs="Times New Roman"/>
      </w:rPr>
    </w:lvl>
    <w:lvl w:ilvl="7" w:tplc="AB9284CC" w:tentative="1">
      <w:start w:val="1"/>
      <w:numFmt w:val="ideographTraditional"/>
      <w:lvlText w:val="%8、"/>
      <w:lvlJc w:val="left"/>
      <w:pPr>
        <w:ind w:left="3840" w:hanging="480"/>
      </w:pPr>
      <w:rPr>
        <w:rFonts w:cs="Times New Roman"/>
      </w:rPr>
    </w:lvl>
    <w:lvl w:ilvl="8" w:tplc="0100C2A0" w:tentative="1">
      <w:start w:val="1"/>
      <w:numFmt w:val="lowerRoman"/>
      <w:lvlText w:val="%9."/>
      <w:lvlJc w:val="right"/>
      <w:pPr>
        <w:ind w:left="4320" w:hanging="480"/>
      </w:pPr>
      <w:rPr>
        <w:rFonts w:cs="Times New Roman"/>
      </w:rPr>
    </w:lvl>
  </w:abstractNum>
  <w:abstractNum w:abstractNumId="5" w15:restartNumberingAfterBreak="0">
    <w:nsid w:val="19E8053A"/>
    <w:multiLevelType w:val="hybridMultilevel"/>
    <w:tmpl w:val="AC0E35C4"/>
    <w:lvl w:ilvl="0" w:tplc="580C542A">
      <w:start w:val="1"/>
      <w:numFmt w:val="decimal"/>
      <w:lvlText w:val="(%1)"/>
      <w:lvlJc w:val="left"/>
      <w:pPr>
        <w:tabs>
          <w:tab w:val="num" w:pos="360"/>
        </w:tabs>
        <w:ind w:left="360" w:hanging="360"/>
      </w:pPr>
      <w:rPr>
        <w:rFonts w:cs="Times New Roman" w:hint="default"/>
      </w:rPr>
    </w:lvl>
    <w:lvl w:ilvl="1" w:tplc="23B2AED8" w:tentative="1">
      <w:start w:val="1"/>
      <w:numFmt w:val="ideographTraditional"/>
      <w:lvlText w:val="%2、"/>
      <w:lvlJc w:val="left"/>
      <w:pPr>
        <w:tabs>
          <w:tab w:val="num" w:pos="960"/>
        </w:tabs>
        <w:ind w:left="960" w:hanging="480"/>
      </w:pPr>
      <w:rPr>
        <w:rFonts w:cs="Times New Roman"/>
      </w:rPr>
    </w:lvl>
    <w:lvl w:ilvl="2" w:tplc="23AA7EB2" w:tentative="1">
      <w:start w:val="1"/>
      <w:numFmt w:val="lowerRoman"/>
      <w:lvlText w:val="%3."/>
      <w:lvlJc w:val="right"/>
      <w:pPr>
        <w:tabs>
          <w:tab w:val="num" w:pos="1440"/>
        </w:tabs>
        <w:ind w:left="1440" w:hanging="480"/>
      </w:pPr>
      <w:rPr>
        <w:rFonts w:cs="Times New Roman"/>
      </w:rPr>
    </w:lvl>
    <w:lvl w:ilvl="3" w:tplc="001EEF62" w:tentative="1">
      <w:start w:val="1"/>
      <w:numFmt w:val="decimal"/>
      <w:lvlText w:val="%4."/>
      <w:lvlJc w:val="left"/>
      <w:pPr>
        <w:tabs>
          <w:tab w:val="num" w:pos="1920"/>
        </w:tabs>
        <w:ind w:left="1920" w:hanging="480"/>
      </w:pPr>
      <w:rPr>
        <w:rFonts w:cs="Times New Roman"/>
      </w:rPr>
    </w:lvl>
    <w:lvl w:ilvl="4" w:tplc="14709432" w:tentative="1">
      <w:start w:val="1"/>
      <w:numFmt w:val="ideographTraditional"/>
      <w:lvlText w:val="%5、"/>
      <w:lvlJc w:val="left"/>
      <w:pPr>
        <w:tabs>
          <w:tab w:val="num" w:pos="2400"/>
        </w:tabs>
        <w:ind w:left="2400" w:hanging="480"/>
      </w:pPr>
      <w:rPr>
        <w:rFonts w:cs="Times New Roman"/>
      </w:rPr>
    </w:lvl>
    <w:lvl w:ilvl="5" w:tplc="D42C3F56" w:tentative="1">
      <w:start w:val="1"/>
      <w:numFmt w:val="lowerRoman"/>
      <w:lvlText w:val="%6."/>
      <w:lvlJc w:val="right"/>
      <w:pPr>
        <w:tabs>
          <w:tab w:val="num" w:pos="2880"/>
        </w:tabs>
        <w:ind w:left="2880" w:hanging="480"/>
      </w:pPr>
      <w:rPr>
        <w:rFonts w:cs="Times New Roman"/>
      </w:rPr>
    </w:lvl>
    <w:lvl w:ilvl="6" w:tplc="430482F4" w:tentative="1">
      <w:start w:val="1"/>
      <w:numFmt w:val="decimal"/>
      <w:lvlText w:val="%7."/>
      <w:lvlJc w:val="left"/>
      <w:pPr>
        <w:tabs>
          <w:tab w:val="num" w:pos="3360"/>
        </w:tabs>
        <w:ind w:left="3360" w:hanging="480"/>
      </w:pPr>
      <w:rPr>
        <w:rFonts w:cs="Times New Roman"/>
      </w:rPr>
    </w:lvl>
    <w:lvl w:ilvl="7" w:tplc="64E6628E" w:tentative="1">
      <w:start w:val="1"/>
      <w:numFmt w:val="ideographTraditional"/>
      <w:lvlText w:val="%8、"/>
      <w:lvlJc w:val="left"/>
      <w:pPr>
        <w:tabs>
          <w:tab w:val="num" w:pos="3840"/>
        </w:tabs>
        <w:ind w:left="3840" w:hanging="480"/>
      </w:pPr>
      <w:rPr>
        <w:rFonts w:cs="Times New Roman"/>
      </w:rPr>
    </w:lvl>
    <w:lvl w:ilvl="8" w:tplc="6816AC9E" w:tentative="1">
      <w:start w:val="1"/>
      <w:numFmt w:val="lowerRoman"/>
      <w:lvlText w:val="%9."/>
      <w:lvlJc w:val="right"/>
      <w:pPr>
        <w:tabs>
          <w:tab w:val="num" w:pos="4320"/>
        </w:tabs>
        <w:ind w:left="4320" w:hanging="480"/>
      </w:pPr>
      <w:rPr>
        <w:rFonts w:cs="Times New Roman"/>
      </w:rPr>
    </w:lvl>
  </w:abstractNum>
  <w:abstractNum w:abstractNumId="6" w15:restartNumberingAfterBreak="0">
    <w:nsid w:val="1C9A67B4"/>
    <w:multiLevelType w:val="hybridMultilevel"/>
    <w:tmpl w:val="FB74387C"/>
    <w:lvl w:ilvl="0" w:tplc="FB1E6D50">
      <w:start w:val="1"/>
      <w:numFmt w:val="decimal"/>
      <w:lvlText w:val="%1."/>
      <w:lvlJc w:val="left"/>
      <w:pPr>
        <w:ind w:left="360" w:hanging="360"/>
      </w:pPr>
      <w:rPr>
        <w:rFonts w:eastAsia="標楷體" w:hint="default"/>
        <w:b w:val="0"/>
        <w:color w:val="auto"/>
        <w:sz w:val="24"/>
      </w:rPr>
    </w:lvl>
    <w:lvl w:ilvl="1" w:tplc="185ABBC4" w:tentative="1">
      <w:start w:val="1"/>
      <w:numFmt w:val="ideographTraditional"/>
      <w:lvlText w:val="%2、"/>
      <w:lvlJc w:val="left"/>
      <w:pPr>
        <w:ind w:left="960" w:hanging="480"/>
      </w:pPr>
    </w:lvl>
    <w:lvl w:ilvl="2" w:tplc="01BC0856" w:tentative="1">
      <w:start w:val="1"/>
      <w:numFmt w:val="lowerRoman"/>
      <w:lvlText w:val="%3."/>
      <w:lvlJc w:val="right"/>
      <w:pPr>
        <w:ind w:left="1440" w:hanging="480"/>
      </w:pPr>
    </w:lvl>
    <w:lvl w:ilvl="3" w:tplc="30B28EA0" w:tentative="1">
      <w:start w:val="1"/>
      <w:numFmt w:val="decimal"/>
      <w:lvlText w:val="%4."/>
      <w:lvlJc w:val="left"/>
      <w:pPr>
        <w:ind w:left="1920" w:hanging="480"/>
      </w:pPr>
    </w:lvl>
    <w:lvl w:ilvl="4" w:tplc="2A3A73F0" w:tentative="1">
      <w:start w:val="1"/>
      <w:numFmt w:val="ideographTraditional"/>
      <w:lvlText w:val="%5、"/>
      <w:lvlJc w:val="left"/>
      <w:pPr>
        <w:ind w:left="2400" w:hanging="480"/>
      </w:pPr>
    </w:lvl>
    <w:lvl w:ilvl="5" w:tplc="54744664" w:tentative="1">
      <w:start w:val="1"/>
      <w:numFmt w:val="lowerRoman"/>
      <w:lvlText w:val="%6."/>
      <w:lvlJc w:val="right"/>
      <w:pPr>
        <w:ind w:left="2880" w:hanging="480"/>
      </w:pPr>
    </w:lvl>
    <w:lvl w:ilvl="6" w:tplc="BE38DF92" w:tentative="1">
      <w:start w:val="1"/>
      <w:numFmt w:val="decimal"/>
      <w:lvlText w:val="%7."/>
      <w:lvlJc w:val="left"/>
      <w:pPr>
        <w:ind w:left="3360" w:hanging="480"/>
      </w:pPr>
    </w:lvl>
    <w:lvl w:ilvl="7" w:tplc="9E4AFD9E" w:tentative="1">
      <w:start w:val="1"/>
      <w:numFmt w:val="ideographTraditional"/>
      <w:lvlText w:val="%8、"/>
      <w:lvlJc w:val="left"/>
      <w:pPr>
        <w:ind w:left="3840" w:hanging="480"/>
      </w:pPr>
    </w:lvl>
    <w:lvl w:ilvl="8" w:tplc="2A5A46C0" w:tentative="1">
      <w:start w:val="1"/>
      <w:numFmt w:val="lowerRoman"/>
      <w:lvlText w:val="%9."/>
      <w:lvlJc w:val="right"/>
      <w:pPr>
        <w:ind w:left="4320" w:hanging="480"/>
      </w:pPr>
    </w:lvl>
  </w:abstractNum>
  <w:abstractNum w:abstractNumId="7" w15:restartNumberingAfterBreak="0">
    <w:nsid w:val="1ED635AD"/>
    <w:multiLevelType w:val="hybridMultilevel"/>
    <w:tmpl w:val="51A0E134"/>
    <w:lvl w:ilvl="0" w:tplc="C264EC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DC2227"/>
    <w:multiLevelType w:val="hybridMultilevel"/>
    <w:tmpl w:val="430EF8C6"/>
    <w:lvl w:ilvl="0" w:tplc="4EE07452">
      <w:start w:val="1"/>
      <w:numFmt w:val="taiwaneseCountingThousand"/>
      <w:lvlText w:val="%1、"/>
      <w:lvlJc w:val="left"/>
      <w:pPr>
        <w:ind w:left="510" w:hanging="510"/>
      </w:pPr>
      <w:rPr>
        <w:rFonts w:cs="Times New Roman" w:hint="default"/>
      </w:rPr>
    </w:lvl>
    <w:lvl w:ilvl="1" w:tplc="0CCAF180" w:tentative="1">
      <w:start w:val="1"/>
      <w:numFmt w:val="ideographTraditional"/>
      <w:lvlText w:val="%2、"/>
      <w:lvlJc w:val="left"/>
      <w:pPr>
        <w:ind w:left="960" w:hanging="480"/>
      </w:pPr>
      <w:rPr>
        <w:rFonts w:cs="Times New Roman"/>
      </w:rPr>
    </w:lvl>
    <w:lvl w:ilvl="2" w:tplc="3B848AA4" w:tentative="1">
      <w:start w:val="1"/>
      <w:numFmt w:val="lowerRoman"/>
      <w:lvlText w:val="%3."/>
      <w:lvlJc w:val="right"/>
      <w:pPr>
        <w:ind w:left="1440" w:hanging="480"/>
      </w:pPr>
      <w:rPr>
        <w:rFonts w:cs="Times New Roman"/>
      </w:rPr>
    </w:lvl>
    <w:lvl w:ilvl="3" w:tplc="33128F4A" w:tentative="1">
      <w:start w:val="1"/>
      <w:numFmt w:val="decimal"/>
      <w:lvlText w:val="%4."/>
      <w:lvlJc w:val="left"/>
      <w:pPr>
        <w:ind w:left="1920" w:hanging="480"/>
      </w:pPr>
      <w:rPr>
        <w:rFonts w:cs="Times New Roman"/>
      </w:rPr>
    </w:lvl>
    <w:lvl w:ilvl="4" w:tplc="96B89F86" w:tentative="1">
      <w:start w:val="1"/>
      <w:numFmt w:val="ideographTraditional"/>
      <w:lvlText w:val="%5、"/>
      <w:lvlJc w:val="left"/>
      <w:pPr>
        <w:ind w:left="2400" w:hanging="480"/>
      </w:pPr>
      <w:rPr>
        <w:rFonts w:cs="Times New Roman"/>
      </w:rPr>
    </w:lvl>
    <w:lvl w:ilvl="5" w:tplc="46F2474A" w:tentative="1">
      <w:start w:val="1"/>
      <w:numFmt w:val="lowerRoman"/>
      <w:lvlText w:val="%6."/>
      <w:lvlJc w:val="right"/>
      <w:pPr>
        <w:ind w:left="2880" w:hanging="480"/>
      </w:pPr>
      <w:rPr>
        <w:rFonts w:cs="Times New Roman"/>
      </w:rPr>
    </w:lvl>
    <w:lvl w:ilvl="6" w:tplc="76DEA2D0" w:tentative="1">
      <w:start w:val="1"/>
      <w:numFmt w:val="decimal"/>
      <w:lvlText w:val="%7."/>
      <w:lvlJc w:val="left"/>
      <w:pPr>
        <w:ind w:left="3360" w:hanging="480"/>
      </w:pPr>
      <w:rPr>
        <w:rFonts w:cs="Times New Roman"/>
      </w:rPr>
    </w:lvl>
    <w:lvl w:ilvl="7" w:tplc="A3E2C49E" w:tentative="1">
      <w:start w:val="1"/>
      <w:numFmt w:val="ideographTraditional"/>
      <w:lvlText w:val="%8、"/>
      <w:lvlJc w:val="left"/>
      <w:pPr>
        <w:ind w:left="3840" w:hanging="480"/>
      </w:pPr>
      <w:rPr>
        <w:rFonts w:cs="Times New Roman"/>
      </w:rPr>
    </w:lvl>
    <w:lvl w:ilvl="8" w:tplc="88F6BDFE" w:tentative="1">
      <w:start w:val="1"/>
      <w:numFmt w:val="lowerRoman"/>
      <w:lvlText w:val="%9."/>
      <w:lvlJc w:val="right"/>
      <w:pPr>
        <w:ind w:left="4320" w:hanging="480"/>
      </w:pPr>
      <w:rPr>
        <w:rFonts w:cs="Times New Roman"/>
      </w:rPr>
    </w:lvl>
  </w:abstractNum>
  <w:abstractNum w:abstractNumId="9" w15:restartNumberingAfterBreak="0">
    <w:nsid w:val="22472F5F"/>
    <w:multiLevelType w:val="hybridMultilevel"/>
    <w:tmpl w:val="B4A8456E"/>
    <w:lvl w:ilvl="0" w:tplc="E646AB18">
      <w:start w:val="1"/>
      <w:numFmt w:val="upperRoman"/>
      <w:lvlText w:val="%1."/>
      <w:lvlJc w:val="left"/>
      <w:pPr>
        <w:ind w:left="2160" w:hanging="720"/>
      </w:pPr>
      <w:rPr>
        <w:rFonts w:cs="Times New Roman" w:hint="default"/>
      </w:rPr>
    </w:lvl>
    <w:lvl w:ilvl="1" w:tplc="64DA84D4" w:tentative="1">
      <w:start w:val="1"/>
      <w:numFmt w:val="ideographTraditional"/>
      <w:lvlText w:val="%2、"/>
      <w:lvlJc w:val="left"/>
      <w:pPr>
        <w:ind w:left="2400" w:hanging="480"/>
      </w:pPr>
      <w:rPr>
        <w:rFonts w:cs="Times New Roman"/>
      </w:rPr>
    </w:lvl>
    <w:lvl w:ilvl="2" w:tplc="2D30E3C2" w:tentative="1">
      <w:start w:val="1"/>
      <w:numFmt w:val="lowerRoman"/>
      <w:lvlText w:val="%3."/>
      <w:lvlJc w:val="right"/>
      <w:pPr>
        <w:ind w:left="2880" w:hanging="480"/>
      </w:pPr>
      <w:rPr>
        <w:rFonts w:cs="Times New Roman"/>
      </w:rPr>
    </w:lvl>
    <w:lvl w:ilvl="3" w:tplc="48BA59BA" w:tentative="1">
      <w:start w:val="1"/>
      <w:numFmt w:val="decimal"/>
      <w:lvlText w:val="%4."/>
      <w:lvlJc w:val="left"/>
      <w:pPr>
        <w:ind w:left="3360" w:hanging="480"/>
      </w:pPr>
      <w:rPr>
        <w:rFonts w:cs="Times New Roman"/>
      </w:rPr>
    </w:lvl>
    <w:lvl w:ilvl="4" w:tplc="AE80FD64" w:tentative="1">
      <w:start w:val="1"/>
      <w:numFmt w:val="ideographTraditional"/>
      <w:lvlText w:val="%5、"/>
      <w:lvlJc w:val="left"/>
      <w:pPr>
        <w:ind w:left="3840" w:hanging="480"/>
      </w:pPr>
      <w:rPr>
        <w:rFonts w:cs="Times New Roman"/>
      </w:rPr>
    </w:lvl>
    <w:lvl w:ilvl="5" w:tplc="75804F26" w:tentative="1">
      <w:start w:val="1"/>
      <w:numFmt w:val="lowerRoman"/>
      <w:lvlText w:val="%6."/>
      <w:lvlJc w:val="right"/>
      <w:pPr>
        <w:ind w:left="4320" w:hanging="480"/>
      </w:pPr>
      <w:rPr>
        <w:rFonts w:cs="Times New Roman"/>
      </w:rPr>
    </w:lvl>
    <w:lvl w:ilvl="6" w:tplc="DD2464C2" w:tentative="1">
      <w:start w:val="1"/>
      <w:numFmt w:val="decimal"/>
      <w:lvlText w:val="%7."/>
      <w:lvlJc w:val="left"/>
      <w:pPr>
        <w:ind w:left="4800" w:hanging="480"/>
      </w:pPr>
      <w:rPr>
        <w:rFonts w:cs="Times New Roman"/>
      </w:rPr>
    </w:lvl>
    <w:lvl w:ilvl="7" w:tplc="F1807986" w:tentative="1">
      <w:start w:val="1"/>
      <w:numFmt w:val="ideographTraditional"/>
      <w:lvlText w:val="%8、"/>
      <w:lvlJc w:val="left"/>
      <w:pPr>
        <w:ind w:left="5280" w:hanging="480"/>
      </w:pPr>
      <w:rPr>
        <w:rFonts w:cs="Times New Roman"/>
      </w:rPr>
    </w:lvl>
    <w:lvl w:ilvl="8" w:tplc="8B6E646E" w:tentative="1">
      <w:start w:val="1"/>
      <w:numFmt w:val="lowerRoman"/>
      <w:lvlText w:val="%9."/>
      <w:lvlJc w:val="right"/>
      <w:pPr>
        <w:ind w:left="5760" w:hanging="480"/>
      </w:pPr>
      <w:rPr>
        <w:rFonts w:cs="Times New Roman"/>
      </w:rPr>
    </w:lvl>
  </w:abstractNum>
  <w:abstractNum w:abstractNumId="10" w15:restartNumberingAfterBreak="0">
    <w:nsid w:val="22B953A1"/>
    <w:multiLevelType w:val="hybridMultilevel"/>
    <w:tmpl w:val="39FCFC2E"/>
    <w:lvl w:ilvl="0" w:tplc="26944D7C">
      <w:start w:val="1"/>
      <w:numFmt w:val="decimal"/>
      <w:lvlText w:val="%1."/>
      <w:lvlJc w:val="left"/>
      <w:pPr>
        <w:ind w:left="480" w:hanging="480"/>
      </w:pPr>
      <w:rPr>
        <w:rFonts w:hint="eastAsia"/>
      </w:rPr>
    </w:lvl>
    <w:lvl w:ilvl="1" w:tplc="01CC5B7E" w:tentative="1">
      <w:start w:val="1"/>
      <w:numFmt w:val="ideographTraditional"/>
      <w:lvlText w:val="%2、"/>
      <w:lvlJc w:val="left"/>
      <w:pPr>
        <w:ind w:left="960" w:hanging="480"/>
      </w:pPr>
    </w:lvl>
    <w:lvl w:ilvl="2" w:tplc="520AD062" w:tentative="1">
      <w:start w:val="1"/>
      <w:numFmt w:val="lowerRoman"/>
      <w:lvlText w:val="%3."/>
      <w:lvlJc w:val="right"/>
      <w:pPr>
        <w:ind w:left="1440" w:hanging="480"/>
      </w:pPr>
    </w:lvl>
    <w:lvl w:ilvl="3" w:tplc="E66C5836" w:tentative="1">
      <w:start w:val="1"/>
      <w:numFmt w:val="decimal"/>
      <w:lvlText w:val="%4."/>
      <w:lvlJc w:val="left"/>
      <w:pPr>
        <w:ind w:left="1920" w:hanging="480"/>
      </w:pPr>
    </w:lvl>
    <w:lvl w:ilvl="4" w:tplc="A54A7A50" w:tentative="1">
      <w:start w:val="1"/>
      <w:numFmt w:val="ideographTraditional"/>
      <w:lvlText w:val="%5、"/>
      <w:lvlJc w:val="left"/>
      <w:pPr>
        <w:ind w:left="2400" w:hanging="480"/>
      </w:pPr>
    </w:lvl>
    <w:lvl w:ilvl="5" w:tplc="B768B7C8" w:tentative="1">
      <w:start w:val="1"/>
      <w:numFmt w:val="lowerRoman"/>
      <w:lvlText w:val="%6."/>
      <w:lvlJc w:val="right"/>
      <w:pPr>
        <w:ind w:left="2880" w:hanging="480"/>
      </w:pPr>
    </w:lvl>
    <w:lvl w:ilvl="6" w:tplc="18C8173E" w:tentative="1">
      <w:start w:val="1"/>
      <w:numFmt w:val="decimal"/>
      <w:lvlText w:val="%7."/>
      <w:lvlJc w:val="left"/>
      <w:pPr>
        <w:ind w:left="3360" w:hanging="480"/>
      </w:pPr>
    </w:lvl>
    <w:lvl w:ilvl="7" w:tplc="FA841DFE" w:tentative="1">
      <w:start w:val="1"/>
      <w:numFmt w:val="ideographTraditional"/>
      <w:lvlText w:val="%8、"/>
      <w:lvlJc w:val="left"/>
      <w:pPr>
        <w:ind w:left="3840" w:hanging="480"/>
      </w:pPr>
    </w:lvl>
    <w:lvl w:ilvl="8" w:tplc="1DF0EB50" w:tentative="1">
      <w:start w:val="1"/>
      <w:numFmt w:val="lowerRoman"/>
      <w:lvlText w:val="%9."/>
      <w:lvlJc w:val="right"/>
      <w:pPr>
        <w:ind w:left="4320" w:hanging="480"/>
      </w:pPr>
    </w:lvl>
  </w:abstractNum>
  <w:abstractNum w:abstractNumId="11" w15:restartNumberingAfterBreak="0">
    <w:nsid w:val="276A3517"/>
    <w:multiLevelType w:val="hybridMultilevel"/>
    <w:tmpl w:val="D10E97D4"/>
    <w:lvl w:ilvl="0" w:tplc="CC58C2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7814155"/>
    <w:multiLevelType w:val="multilevel"/>
    <w:tmpl w:val="70E0C872"/>
    <w:lvl w:ilvl="0">
      <w:start w:val="1"/>
      <w:numFmt w:val="decimal"/>
      <w:lvlText w:val="%1."/>
      <w:lvlJc w:val="left"/>
      <w:pPr>
        <w:ind w:left="480" w:hanging="48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288B1DEC"/>
    <w:multiLevelType w:val="hybridMultilevel"/>
    <w:tmpl w:val="F8569318"/>
    <w:lvl w:ilvl="0" w:tplc="D4AA2A1A">
      <w:start w:val="1"/>
      <w:numFmt w:val="upperRoman"/>
      <w:lvlText w:val="%1."/>
      <w:lvlJc w:val="left"/>
      <w:pPr>
        <w:ind w:left="1440" w:hanging="720"/>
      </w:pPr>
      <w:rPr>
        <w:rFonts w:cs="Times New Roman" w:hint="default"/>
      </w:rPr>
    </w:lvl>
    <w:lvl w:ilvl="1" w:tplc="A7AE37E6" w:tentative="1">
      <w:start w:val="1"/>
      <w:numFmt w:val="ideographTraditional"/>
      <w:lvlText w:val="%2、"/>
      <w:lvlJc w:val="left"/>
      <w:pPr>
        <w:ind w:left="1680" w:hanging="480"/>
      </w:pPr>
      <w:rPr>
        <w:rFonts w:cs="Times New Roman"/>
      </w:rPr>
    </w:lvl>
    <w:lvl w:ilvl="2" w:tplc="FECA4508" w:tentative="1">
      <w:start w:val="1"/>
      <w:numFmt w:val="lowerRoman"/>
      <w:lvlText w:val="%3."/>
      <w:lvlJc w:val="right"/>
      <w:pPr>
        <w:ind w:left="2160" w:hanging="480"/>
      </w:pPr>
      <w:rPr>
        <w:rFonts w:cs="Times New Roman"/>
      </w:rPr>
    </w:lvl>
    <w:lvl w:ilvl="3" w:tplc="916C6AB4" w:tentative="1">
      <w:start w:val="1"/>
      <w:numFmt w:val="decimal"/>
      <w:lvlText w:val="%4."/>
      <w:lvlJc w:val="left"/>
      <w:pPr>
        <w:ind w:left="2640" w:hanging="480"/>
      </w:pPr>
      <w:rPr>
        <w:rFonts w:cs="Times New Roman"/>
      </w:rPr>
    </w:lvl>
    <w:lvl w:ilvl="4" w:tplc="168680F0" w:tentative="1">
      <w:start w:val="1"/>
      <w:numFmt w:val="ideographTraditional"/>
      <w:lvlText w:val="%5、"/>
      <w:lvlJc w:val="left"/>
      <w:pPr>
        <w:ind w:left="3120" w:hanging="480"/>
      </w:pPr>
      <w:rPr>
        <w:rFonts w:cs="Times New Roman"/>
      </w:rPr>
    </w:lvl>
    <w:lvl w:ilvl="5" w:tplc="FC28213E" w:tentative="1">
      <w:start w:val="1"/>
      <w:numFmt w:val="lowerRoman"/>
      <w:lvlText w:val="%6."/>
      <w:lvlJc w:val="right"/>
      <w:pPr>
        <w:ind w:left="3600" w:hanging="480"/>
      </w:pPr>
      <w:rPr>
        <w:rFonts w:cs="Times New Roman"/>
      </w:rPr>
    </w:lvl>
    <w:lvl w:ilvl="6" w:tplc="A546D94A" w:tentative="1">
      <w:start w:val="1"/>
      <w:numFmt w:val="decimal"/>
      <w:lvlText w:val="%7."/>
      <w:lvlJc w:val="left"/>
      <w:pPr>
        <w:ind w:left="4080" w:hanging="480"/>
      </w:pPr>
      <w:rPr>
        <w:rFonts w:cs="Times New Roman"/>
      </w:rPr>
    </w:lvl>
    <w:lvl w:ilvl="7" w:tplc="A836BB20" w:tentative="1">
      <w:start w:val="1"/>
      <w:numFmt w:val="ideographTraditional"/>
      <w:lvlText w:val="%8、"/>
      <w:lvlJc w:val="left"/>
      <w:pPr>
        <w:ind w:left="4560" w:hanging="480"/>
      </w:pPr>
      <w:rPr>
        <w:rFonts w:cs="Times New Roman"/>
      </w:rPr>
    </w:lvl>
    <w:lvl w:ilvl="8" w:tplc="644ACE8C" w:tentative="1">
      <w:start w:val="1"/>
      <w:numFmt w:val="lowerRoman"/>
      <w:lvlText w:val="%9."/>
      <w:lvlJc w:val="right"/>
      <w:pPr>
        <w:ind w:left="5040" w:hanging="480"/>
      </w:pPr>
      <w:rPr>
        <w:rFonts w:cs="Times New Roman"/>
      </w:rPr>
    </w:lvl>
  </w:abstractNum>
  <w:abstractNum w:abstractNumId="14" w15:restartNumberingAfterBreak="0">
    <w:nsid w:val="2C0A4789"/>
    <w:multiLevelType w:val="hybridMultilevel"/>
    <w:tmpl w:val="0C9C165C"/>
    <w:lvl w:ilvl="0" w:tplc="A816E4E4">
      <w:start w:val="1"/>
      <w:numFmt w:val="decimal"/>
      <w:lvlText w:val="%1."/>
      <w:lvlJc w:val="left"/>
      <w:pPr>
        <w:ind w:left="480" w:hanging="480"/>
      </w:pPr>
      <w:rPr>
        <w:rFonts w:hint="eastAsia"/>
      </w:rPr>
    </w:lvl>
    <w:lvl w:ilvl="1" w:tplc="9DA66B52" w:tentative="1">
      <w:start w:val="1"/>
      <w:numFmt w:val="ideographTraditional"/>
      <w:lvlText w:val="%2、"/>
      <w:lvlJc w:val="left"/>
      <w:pPr>
        <w:ind w:left="960" w:hanging="480"/>
      </w:pPr>
    </w:lvl>
    <w:lvl w:ilvl="2" w:tplc="883AAA30" w:tentative="1">
      <w:start w:val="1"/>
      <w:numFmt w:val="lowerRoman"/>
      <w:lvlText w:val="%3."/>
      <w:lvlJc w:val="right"/>
      <w:pPr>
        <w:ind w:left="1440" w:hanging="480"/>
      </w:pPr>
    </w:lvl>
    <w:lvl w:ilvl="3" w:tplc="725A6042" w:tentative="1">
      <w:start w:val="1"/>
      <w:numFmt w:val="decimal"/>
      <w:lvlText w:val="%4."/>
      <w:lvlJc w:val="left"/>
      <w:pPr>
        <w:ind w:left="1920" w:hanging="480"/>
      </w:pPr>
    </w:lvl>
    <w:lvl w:ilvl="4" w:tplc="55AAE3F0" w:tentative="1">
      <w:start w:val="1"/>
      <w:numFmt w:val="ideographTraditional"/>
      <w:lvlText w:val="%5、"/>
      <w:lvlJc w:val="left"/>
      <w:pPr>
        <w:ind w:left="2400" w:hanging="480"/>
      </w:pPr>
    </w:lvl>
    <w:lvl w:ilvl="5" w:tplc="F2FA257E" w:tentative="1">
      <w:start w:val="1"/>
      <w:numFmt w:val="lowerRoman"/>
      <w:lvlText w:val="%6."/>
      <w:lvlJc w:val="right"/>
      <w:pPr>
        <w:ind w:left="2880" w:hanging="480"/>
      </w:pPr>
    </w:lvl>
    <w:lvl w:ilvl="6" w:tplc="D9DEA456" w:tentative="1">
      <w:start w:val="1"/>
      <w:numFmt w:val="decimal"/>
      <w:lvlText w:val="%7."/>
      <w:lvlJc w:val="left"/>
      <w:pPr>
        <w:ind w:left="3360" w:hanging="480"/>
      </w:pPr>
    </w:lvl>
    <w:lvl w:ilvl="7" w:tplc="EBFCA3A0" w:tentative="1">
      <w:start w:val="1"/>
      <w:numFmt w:val="ideographTraditional"/>
      <w:lvlText w:val="%8、"/>
      <w:lvlJc w:val="left"/>
      <w:pPr>
        <w:ind w:left="3840" w:hanging="480"/>
      </w:pPr>
    </w:lvl>
    <w:lvl w:ilvl="8" w:tplc="BF1E6EF6" w:tentative="1">
      <w:start w:val="1"/>
      <w:numFmt w:val="lowerRoman"/>
      <w:lvlText w:val="%9."/>
      <w:lvlJc w:val="right"/>
      <w:pPr>
        <w:ind w:left="4320" w:hanging="480"/>
      </w:pPr>
    </w:lvl>
  </w:abstractNum>
  <w:abstractNum w:abstractNumId="15" w15:restartNumberingAfterBreak="0">
    <w:nsid w:val="3F4B6AD8"/>
    <w:multiLevelType w:val="hybridMultilevel"/>
    <w:tmpl w:val="49B4E94A"/>
    <w:lvl w:ilvl="0" w:tplc="66B6DF92">
      <w:start w:val="1"/>
      <w:numFmt w:val="decimal"/>
      <w:lvlText w:val="%1."/>
      <w:lvlJc w:val="left"/>
      <w:pPr>
        <w:ind w:left="480" w:hanging="480"/>
      </w:pPr>
      <w:rPr>
        <w:rFonts w:hint="eastAsia"/>
      </w:rPr>
    </w:lvl>
    <w:lvl w:ilvl="1" w:tplc="99643106" w:tentative="1">
      <w:start w:val="1"/>
      <w:numFmt w:val="ideographTraditional"/>
      <w:lvlText w:val="%2、"/>
      <w:lvlJc w:val="left"/>
      <w:pPr>
        <w:ind w:left="960" w:hanging="480"/>
      </w:pPr>
    </w:lvl>
    <w:lvl w:ilvl="2" w:tplc="0DCCCD0E" w:tentative="1">
      <w:start w:val="1"/>
      <w:numFmt w:val="lowerRoman"/>
      <w:lvlText w:val="%3."/>
      <w:lvlJc w:val="right"/>
      <w:pPr>
        <w:ind w:left="1440" w:hanging="480"/>
      </w:pPr>
    </w:lvl>
    <w:lvl w:ilvl="3" w:tplc="1356239E" w:tentative="1">
      <w:start w:val="1"/>
      <w:numFmt w:val="decimal"/>
      <w:lvlText w:val="%4."/>
      <w:lvlJc w:val="left"/>
      <w:pPr>
        <w:ind w:left="1920" w:hanging="480"/>
      </w:pPr>
    </w:lvl>
    <w:lvl w:ilvl="4" w:tplc="C82CC03A" w:tentative="1">
      <w:start w:val="1"/>
      <w:numFmt w:val="ideographTraditional"/>
      <w:lvlText w:val="%5、"/>
      <w:lvlJc w:val="left"/>
      <w:pPr>
        <w:ind w:left="2400" w:hanging="480"/>
      </w:pPr>
    </w:lvl>
    <w:lvl w:ilvl="5" w:tplc="25DAA430" w:tentative="1">
      <w:start w:val="1"/>
      <w:numFmt w:val="lowerRoman"/>
      <w:lvlText w:val="%6."/>
      <w:lvlJc w:val="right"/>
      <w:pPr>
        <w:ind w:left="2880" w:hanging="480"/>
      </w:pPr>
    </w:lvl>
    <w:lvl w:ilvl="6" w:tplc="65864FD6" w:tentative="1">
      <w:start w:val="1"/>
      <w:numFmt w:val="decimal"/>
      <w:lvlText w:val="%7."/>
      <w:lvlJc w:val="left"/>
      <w:pPr>
        <w:ind w:left="3360" w:hanging="480"/>
      </w:pPr>
    </w:lvl>
    <w:lvl w:ilvl="7" w:tplc="5A503078" w:tentative="1">
      <w:start w:val="1"/>
      <w:numFmt w:val="ideographTraditional"/>
      <w:lvlText w:val="%8、"/>
      <w:lvlJc w:val="left"/>
      <w:pPr>
        <w:ind w:left="3840" w:hanging="480"/>
      </w:pPr>
    </w:lvl>
    <w:lvl w:ilvl="8" w:tplc="BEEC005E" w:tentative="1">
      <w:start w:val="1"/>
      <w:numFmt w:val="lowerRoman"/>
      <w:lvlText w:val="%9."/>
      <w:lvlJc w:val="right"/>
      <w:pPr>
        <w:ind w:left="4320" w:hanging="480"/>
      </w:pPr>
    </w:lvl>
  </w:abstractNum>
  <w:abstractNum w:abstractNumId="16" w15:restartNumberingAfterBreak="0">
    <w:nsid w:val="44C6227E"/>
    <w:multiLevelType w:val="hybridMultilevel"/>
    <w:tmpl w:val="4BDED5D2"/>
    <w:lvl w:ilvl="0" w:tplc="E850C238">
      <w:start w:val="1"/>
      <w:numFmt w:val="taiwaneseCountingThousand"/>
      <w:lvlText w:val="%1、"/>
      <w:lvlJc w:val="left"/>
      <w:pPr>
        <w:ind w:left="510" w:hanging="510"/>
      </w:pPr>
      <w:rPr>
        <w:rFonts w:cs="Times New Roman" w:hint="default"/>
      </w:rPr>
    </w:lvl>
    <w:lvl w:ilvl="1" w:tplc="79483BA2" w:tentative="1">
      <w:start w:val="1"/>
      <w:numFmt w:val="ideographTraditional"/>
      <w:lvlText w:val="%2、"/>
      <w:lvlJc w:val="left"/>
      <w:pPr>
        <w:ind w:left="960" w:hanging="480"/>
      </w:pPr>
      <w:rPr>
        <w:rFonts w:cs="Times New Roman"/>
      </w:rPr>
    </w:lvl>
    <w:lvl w:ilvl="2" w:tplc="1A9C292E" w:tentative="1">
      <w:start w:val="1"/>
      <w:numFmt w:val="lowerRoman"/>
      <w:lvlText w:val="%3."/>
      <w:lvlJc w:val="right"/>
      <w:pPr>
        <w:ind w:left="1440" w:hanging="480"/>
      </w:pPr>
      <w:rPr>
        <w:rFonts w:cs="Times New Roman"/>
      </w:rPr>
    </w:lvl>
    <w:lvl w:ilvl="3" w:tplc="4BBE2F6C" w:tentative="1">
      <w:start w:val="1"/>
      <w:numFmt w:val="decimal"/>
      <w:lvlText w:val="%4."/>
      <w:lvlJc w:val="left"/>
      <w:pPr>
        <w:ind w:left="1920" w:hanging="480"/>
      </w:pPr>
      <w:rPr>
        <w:rFonts w:cs="Times New Roman"/>
      </w:rPr>
    </w:lvl>
    <w:lvl w:ilvl="4" w:tplc="ADAEA258" w:tentative="1">
      <w:start w:val="1"/>
      <w:numFmt w:val="ideographTraditional"/>
      <w:lvlText w:val="%5、"/>
      <w:lvlJc w:val="left"/>
      <w:pPr>
        <w:ind w:left="2400" w:hanging="480"/>
      </w:pPr>
      <w:rPr>
        <w:rFonts w:cs="Times New Roman"/>
      </w:rPr>
    </w:lvl>
    <w:lvl w:ilvl="5" w:tplc="8416DD62" w:tentative="1">
      <w:start w:val="1"/>
      <w:numFmt w:val="lowerRoman"/>
      <w:lvlText w:val="%6."/>
      <w:lvlJc w:val="right"/>
      <w:pPr>
        <w:ind w:left="2880" w:hanging="480"/>
      </w:pPr>
      <w:rPr>
        <w:rFonts w:cs="Times New Roman"/>
      </w:rPr>
    </w:lvl>
    <w:lvl w:ilvl="6" w:tplc="B6CC22FE" w:tentative="1">
      <w:start w:val="1"/>
      <w:numFmt w:val="decimal"/>
      <w:lvlText w:val="%7."/>
      <w:lvlJc w:val="left"/>
      <w:pPr>
        <w:ind w:left="3360" w:hanging="480"/>
      </w:pPr>
      <w:rPr>
        <w:rFonts w:cs="Times New Roman"/>
      </w:rPr>
    </w:lvl>
    <w:lvl w:ilvl="7" w:tplc="AC722EE8" w:tentative="1">
      <w:start w:val="1"/>
      <w:numFmt w:val="ideographTraditional"/>
      <w:lvlText w:val="%8、"/>
      <w:lvlJc w:val="left"/>
      <w:pPr>
        <w:ind w:left="3840" w:hanging="480"/>
      </w:pPr>
      <w:rPr>
        <w:rFonts w:cs="Times New Roman"/>
      </w:rPr>
    </w:lvl>
    <w:lvl w:ilvl="8" w:tplc="D6AE4E9A" w:tentative="1">
      <w:start w:val="1"/>
      <w:numFmt w:val="lowerRoman"/>
      <w:lvlText w:val="%9."/>
      <w:lvlJc w:val="right"/>
      <w:pPr>
        <w:ind w:left="4320" w:hanging="480"/>
      </w:pPr>
      <w:rPr>
        <w:rFonts w:cs="Times New Roman"/>
      </w:rPr>
    </w:lvl>
  </w:abstractNum>
  <w:abstractNum w:abstractNumId="17" w15:restartNumberingAfterBreak="0">
    <w:nsid w:val="4A513D4B"/>
    <w:multiLevelType w:val="hybridMultilevel"/>
    <w:tmpl w:val="7494BB44"/>
    <w:lvl w:ilvl="0" w:tplc="B30677F0">
      <w:start w:val="1"/>
      <w:numFmt w:val="decimal"/>
      <w:lvlText w:val="%1."/>
      <w:lvlJc w:val="left"/>
      <w:pPr>
        <w:ind w:left="360" w:hanging="360"/>
      </w:pPr>
      <w:rPr>
        <w:rFonts w:eastAsia="標楷體" w:hint="default"/>
        <w:b w:val="0"/>
        <w:color w:val="auto"/>
        <w:sz w:val="24"/>
      </w:rPr>
    </w:lvl>
    <w:lvl w:ilvl="1" w:tplc="C42EB16C" w:tentative="1">
      <w:start w:val="1"/>
      <w:numFmt w:val="ideographTraditional"/>
      <w:lvlText w:val="%2、"/>
      <w:lvlJc w:val="left"/>
      <w:pPr>
        <w:ind w:left="960" w:hanging="480"/>
      </w:pPr>
    </w:lvl>
    <w:lvl w:ilvl="2" w:tplc="FE189CA8" w:tentative="1">
      <w:start w:val="1"/>
      <w:numFmt w:val="lowerRoman"/>
      <w:lvlText w:val="%3."/>
      <w:lvlJc w:val="right"/>
      <w:pPr>
        <w:ind w:left="1440" w:hanging="480"/>
      </w:pPr>
    </w:lvl>
    <w:lvl w:ilvl="3" w:tplc="6206026E" w:tentative="1">
      <w:start w:val="1"/>
      <w:numFmt w:val="decimal"/>
      <w:lvlText w:val="%4."/>
      <w:lvlJc w:val="left"/>
      <w:pPr>
        <w:ind w:left="1920" w:hanging="480"/>
      </w:pPr>
    </w:lvl>
    <w:lvl w:ilvl="4" w:tplc="861C4642" w:tentative="1">
      <w:start w:val="1"/>
      <w:numFmt w:val="ideographTraditional"/>
      <w:lvlText w:val="%5、"/>
      <w:lvlJc w:val="left"/>
      <w:pPr>
        <w:ind w:left="2400" w:hanging="480"/>
      </w:pPr>
    </w:lvl>
    <w:lvl w:ilvl="5" w:tplc="D9C62104" w:tentative="1">
      <w:start w:val="1"/>
      <w:numFmt w:val="lowerRoman"/>
      <w:lvlText w:val="%6."/>
      <w:lvlJc w:val="right"/>
      <w:pPr>
        <w:ind w:left="2880" w:hanging="480"/>
      </w:pPr>
    </w:lvl>
    <w:lvl w:ilvl="6" w:tplc="2286D106" w:tentative="1">
      <w:start w:val="1"/>
      <w:numFmt w:val="decimal"/>
      <w:lvlText w:val="%7."/>
      <w:lvlJc w:val="left"/>
      <w:pPr>
        <w:ind w:left="3360" w:hanging="480"/>
      </w:pPr>
    </w:lvl>
    <w:lvl w:ilvl="7" w:tplc="5728F032" w:tentative="1">
      <w:start w:val="1"/>
      <w:numFmt w:val="ideographTraditional"/>
      <w:lvlText w:val="%8、"/>
      <w:lvlJc w:val="left"/>
      <w:pPr>
        <w:ind w:left="3840" w:hanging="480"/>
      </w:pPr>
    </w:lvl>
    <w:lvl w:ilvl="8" w:tplc="3D2E59FE" w:tentative="1">
      <w:start w:val="1"/>
      <w:numFmt w:val="lowerRoman"/>
      <w:lvlText w:val="%9."/>
      <w:lvlJc w:val="right"/>
      <w:pPr>
        <w:ind w:left="4320" w:hanging="480"/>
      </w:pPr>
    </w:lvl>
  </w:abstractNum>
  <w:abstractNum w:abstractNumId="18" w15:restartNumberingAfterBreak="0">
    <w:nsid w:val="4C1639CB"/>
    <w:multiLevelType w:val="hybridMultilevel"/>
    <w:tmpl w:val="EB38661C"/>
    <w:lvl w:ilvl="0" w:tplc="7F069D3E">
      <w:start w:val="1"/>
      <w:numFmt w:val="decimal"/>
      <w:lvlText w:val="%1."/>
      <w:lvlJc w:val="left"/>
      <w:pPr>
        <w:ind w:left="560" w:hanging="5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3F9514F"/>
    <w:multiLevelType w:val="multilevel"/>
    <w:tmpl w:val="1C68463E"/>
    <w:lvl w:ilvl="0">
      <w:start w:val="1"/>
      <w:numFmt w:val="decimal"/>
      <w:lvlText w:val="%1"/>
      <w:lvlJc w:val="left"/>
      <w:pPr>
        <w:ind w:left="480" w:hanging="480"/>
      </w:pPr>
      <w:rPr>
        <w:rFonts w:hint="eastAsia"/>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57F34006"/>
    <w:multiLevelType w:val="hybridMultilevel"/>
    <w:tmpl w:val="1DEAEB6E"/>
    <w:lvl w:ilvl="0" w:tplc="21B8ED6E">
      <w:start w:val="1"/>
      <w:numFmt w:val="ideographLegalTraditional"/>
      <w:lvlText w:val="%1、"/>
      <w:lvlJc w:val="left"/>
      <w:pPr>
        <w:ind w:left="720" w:hanging="720"/>
      </w:pPr>
      <w:rPr>
        <w:rFonts w:cs="Times New Roman" w:hint="default"/>
      </w:rPr>
    </w:lvl>
    <w:lvl w:ilvl="1" w:tplc="433CCC6C" w:tentative="1">
      <w:start w:val="1"/>
      <w:numFmt w:val="ideographTraditional"/>
      <w:lvlText w:val="%2、"/>
      <w:lvlJc w:val="left"/>
      <w:pPr>
        <w:ind w:left="960" w:hanging="480"/>
      </w:pPr>
      <w:rPr>
        <w:rFonts w:cs="Times New Roman"/>
      </w:rPr>
    </w:lvl>
    <w:lvl w:ilvl="2" w:tplc="D7F4542A" w:tentative="1">
      <w:start w:val="1"/>
      <w:numFmt w:val="lowerRoman"/>
      <w:lvlText w:val="%3."/>
      <w:lvlJc w:val="right"/>
      <w:pPr>
        <w:ind w:left="1440" w:hanging="480"/>
      </w:pPr>
      <w:rPr>
        <w:rFonts w:cs="Times New Roman"/>
      </w:rPr>
    </w:lvl>
    <w:lvl w:ilvl="3" w:tplc="696005C4" w:tentative="1">
      <w:start w:val="1"/>
      <w:numFmt w:val="decimal"/>
      <w:lvlText w:val="%4."/>
      <w:lvlJc w:val="left"/>
      <w:pPr>
        <w:ind w:left="1920" w:hanging="480"/>
      </w:pPr>
      <w:rPr>
        <w:rFonts w:cs="Times New Roman"/>
      </w:rPr>
    </w:lvl>
    <w:lvl w:ilvl="4" w:tplc="A420C998" w:tentative="1">
      <w:start w:val="1"/>
      <w:numFmt w:val="ideographTraditional"/>
      <w:lvlText w:val="%5、"/>
      <w:lvlJc w:val="left"/>
      <w:pPr>
        <w:ind w:left="2400" w:hanging="480"/>
      </w:pPr>
      <w:rPr>
        <w:rFonts w:cs="Times New Roman"/>
      </w:rPr>
    </w:lvl>
    <w:lvl w:ilvl="5" w:tplc="6D583B76" w:tentative="1">
      <w:start w:val="1"/>
      <w:numFmt w:val="lowerRoman"/>
      <w:lvlText w:val="%6."/>
      <w:lvlJc w:val="right"/>
      <w:pPr>
        <w:ind w:left="2880" w:hanging="480"/>
      </w:pPr>
      <w:rPr>
        <w:rFonts w:cs="Times New Roman"/>
      </w:rPr>
    </w:lvl>
    <w:lvl w:ilvl="6" w:tplc="9E56DEEE" w:tentative="1">
      <w:start w:val="1"/>
      <w:numFmt w:val="decimal"/>
      <w:lvlText w:val="%7."/>
      <w:lvlJc w:val="left"/>
      <w:pPr>
        <w:ind w:left="3360" w:hanging="480"/>
      </w:pPr>
      <w:rPr>
        <w:rFonts w:cs="Times New Roman"/>
      </w:rPr>
    </w:lvl>
    <w:lvl w:ilvl="7" w:tplc="006697A8" w:tentative="1">
      <w:start w:val="1"/>
      <w:numFmt w:val="ideographTraditional"/>
      <w:lvlText w:val="%8、"/>
      <w:lvlJc w:val="left"/>
      <w:pPr>
        <w:ind w:left="3840" w:hanging="480"/>
      </w:pPr>
      <w:rPr>
        <w:rFonts w:cs="Times New Roman"/>
      </w:rPr>
    </w:lvl>
    <w:lvl w:ilvl="8" w:tplc="7AB63052" w:tentative="1">
      <w:start w:val="1"/>
      <w:numFmt w:val="lowerRoman"/>
      <w:lvlText w:val="%9."/>
      <w:lvlJc w:val="right"/>
      <w:pPr>
        <w:ind w:left="4320" w:hanging="480"/>
      </w:pPr>
      <w:rPr>
        <w:rFonts w:cs="Times New Roman"/>
      </w:rPr>
    </w:lvl>
  </w:abstractNum>
  <w:abstractNum w:abstractNumId="21" w15:restartNumberingAfterBreak="0">
    <w:nsid w:val="58190A9B"/>
    <w:multiLevelType w:val="multilevel"/>
    <w:tmpl w:val="35FA3E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6B646C"/>
    <w:multiLevelType w:val="multilevel"/>
    <w:tmpl w:val="F3D866AC"/>
    <w:lvl w:ilvl="0">
      <w:start w:val="1"/>
      <w:numFmt w:val="decimal"/>
      <w:lvlText w:val="%1"/>
      <w:lvlJc w:val="left"/>
      <w:pPr>
        <w:ind w:left="480" w:hanging="480"/>
      </w:pPr>
      <w:rPr>
        <w:rFonts w:ascii="Times New Roman" w:hAnsi="Times New Roman" w:cs="Times New Roman" w:hint="default"/>
        <w:b/>
        <w:sz w:val="32"/>
        <w:szCs w:val="3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3B67FA0"/>
    <w:multiLevelType w:val="hybridMultilevel"/>
    <w:tmpl w:val="63AC2AC2"/>
    <w:lvl w:ilvl="0" w:tplc="56D22FD4">
      <w:start w:val="2"/>
      <w:numFmt w:val="decimal"/>
      <w:lvlText w:val="%1."/>
      <w:lvlJc w:val="left"/>
      <w:pPr>
        <w:ind w:left="360" w:hanging="360"/>
      </w:pPr>
      <w:rPr>
        <w:rFonts w:eastAsia="標楷體" w:hint="default"/>
        <w:b/>
        <w:color w:val="auto"/>
        <w:sz w:val="32"/>
        <w:szCs w:val="32"/>
      </w:rPr>
    </w:lvl>
    <w:lvl w:ilvl="1" w:tplc="34A89056" w:tentative="1">
      <w:start w:val="1"/>
      <w:numFmt w:val="ideographTraditional"/>
      <w:lvlText w:val="%2、"/>
      <w:lvlJc w:val="left"/>
      <w:pPr>
        <w:ind w:left="960" w:hanging="480"/>
      </w:pPr>
    </w:lvl>
    <w:lvl w:ilvl="2" w:tplc="C9B4B0B2" w:tentative="1">
      <w:start w:val="1"/>
      <w:numFmt w:val="lowerRoman"/>
      <w:lvlText w:val="%3."/>
      <w:lvlJc w:val="right"/>
      <w:pPr>
        <w:ind w:left="1440" w:hanging="480"/>
      </w:pPr>
    </w:lvl>
    <w:lvl w:ilvl="3" w:tplc="0DA61594" w:tentative="1">
      <w:start w:val="1"/>
      <w:numFmt w:val="decimal"/>
      <w:lvlText w:val="%4."/>
      <w:lvlJc w:val="left"/>
      <w:pPr>
        <w:ind w:left="1920" w:hanging="480"/>
      </w:pPr>
    </w:lvl>
    <w:lvl w:ilvl="4" w:tplc="1E62EA4C" w:tentative="1">
      <w:start w:val="1"/>
      <w:numFmt w:val="ideographTraditional"/>
      <w:lvlText w:val="%5、"/>
      <w:lvlJc w:val="left"/>
      <w:pPr>
        <w:ind w:left="2400" w:hanging="480"/>
      </w:pPr>
    </w:lvl>
    <w:lvl w:ilvl="5" w:tplc="1E0AD028" w:tentative="1">
      <w:start w:val="1"/>
      <w:numFmt w:val="lowerRoman"/>
      <w:lvlText w:val="%6."/>
      <w:lvlJc w:val="right"/>
      <w:pPr>
        <w:ind w:left="2880" w:hanging="480"/>
      </w:pPr>
    </w:lvl>
    <w:lvl w:ilvl="6" w:tplc="11B6B896" w:tentative="1">
      <w:start w:val="1"/>
      <w:numFmt w:val="decimal"/>
      <w:lvlText w:val="%7."/>
      <w:lvlJc w:val="left"/>
      <w:pPr>
        <w:ind w:left="3360" w:hanging="480"/>
      </w:pPr>
    </w:lvl>
    <w:lvl w:ilvl="7" w:tplc="D32E2D62" w:tentative="1">
      <w:start w:val="1"/>
      <w:numFmt w:val="ideographTraditional"/>
      <w:lvlText w:val="%8、"/>
      <w:lvlJc w:val="left"/>
      <w:pPr>
        <w:ind w:left="3840" w:hanging="480"/>
      </w:pPr>
    </w:lvl>
    <w:lvl w:ilvl="8" w:tplc="512A4BCC" w:tentative="1">
      <w:start w:val="1"/>
      <w:numFmt w:val="lowerRoman"/>
      <w:lvlText w:val="%9."/>
      <w:lvlJc w:val="right"/>
      <w:pPr>
        <w:ind w:left="4320" w:hanging="480"/>
      </w:pPr>
    </w:lvl>
  </w:abstractNum>
  <w:abstractNum w:abstractNumId="24" w15:restartNumberingAfterBreak="0">
    <w:nsid w:val="691055F4"/>
    <w:multiLevelType w:val="hybridMultilevel"/>
    <w:tmpl w:val="23FE3AD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C425EE"/>
    <w:multiLevelType w:val="hybridMultilevel"/>
    <w:tmpl w:val="62945556"/>
    <w:lvl w:ilvl="0" w:tplc="62467CE2">
      <w:start w:val="1"/>
      <w:numFmt w:val="taiwaneseCountingThousand"/>
      <w:lvlText w:val="%1、"/>
      <w:lvlJc w:val="left"/>
      <w:pPr>
        <w:ind w:left="510" w:hanging="510"/>
      </w:pPr>
      <w:rPr>
        <w:rFonts w:cs="Times New Roman" w:hint="default"/>
      </w:rPr>
    </w:lvl>
    <w:lvl w:ilvl="1" w:tplc="55EA59BE" w:tentative="1">
      <w:start w:val="1"/>
      <w:numFmt w:val="ideographTraditional"/>
      <w:lvlText w:val="%2、"/>
      <w:lvlJc w:val="left"/>
      <w:pPr>
        <w:ind w:left="960" w:hanging="480"/>
      </w:pPr>
      <w:rPr>
        <w:rFonts w:cs="Times New Roman"/>
      </w:rPr>
    </w:lvl>
    <w:lvl w:ilvl="2" w:tplc="231432D0" w:tentative="1">
      <w:start w:val="1"/>
      <w:numFmt w:val="lowerRoman"/>
      <w:lvlText w:val="%3."/>
      <w:lvlJc w:val="right"/>
      <w:pPr>
        <w:ind w:left="1440" w:hanging="480"/>
      </w:pPr>
      <w:rPr>
        <w:rFonts w:cs="Times New Roman"/>
      </w:rPr>
    </w:lvl>
    <w:lvl w:ilvl="3" w:tplc="B2C2608E" w:tentative="1">
      <w:start w:val="1"/>
      <w:numFmt w:val="decimal"/>
      <w:lvlText w:val="%4."/>
      <w:lvlJc w:val="left"/>
      <w:pPr>
        <w:ind w:left="1920" w:hanging="480"/>
      </w:pPr>
      <w:rPr>
        <w:rFonts w:cs="Times New Roman"/>
      </w:rPr>
    </w:lvl>
    <w:lvl w:ilvl="4" w:tplc="A172156C" w:tentative="1">
      <w:start w:val="1"/>
      <w:numFmt w:val="ideographTraditional"/>
      <w:lvlText w:val="%5、"/>
      <w:lvlJc w:val="left"/>
      <w:pPr>
        <w:ind w:left="2400" w:hanging="480"/>
      </w:pPr>
      <w:rPr>
        <w:rFonts w:cs="Times New Roman"/>
      </w:rPr>
    </w:lvl>
    <w:lvl w:ilvl="5" w:tplc="3C10C474" w:tentative="1">
      <w:start w:val="1"/>
      <w:numFmt w:val="lowerRoman"/>
      <w:lvlText w:val="%6."/>
      <w:lvlJc w:val="right"/>
      <w:pPr>
        <w:ind w:left="2880" w:hanging="480"/>
      </w:pPr>
      <w:rPr>
        <w:rFonts w:cs="Times New Roman"/>
      </w:rPr>
    </w:lvl>
    <w:lvl w:ilvl="6" w:tplc="17E88EA0" w:tentative="1">
      <w:start w:val="1"/>
      <w:numFmt w:val="decimal"/>
      <w:lvlText w:val="%7."/>
      <w:lvlJc w:val="left"/>
      <w:pPr>
        <w:ind w:left="3360" w:hanging="480"/>
      </w:pPr>
      <w:rPr>
        <w:rFonts w:cs="Times New Roman"/>
      </w:rPr>
    </w:lvl>
    <w:lvl w:ilvl="7" w:tplc="0DFE2FC2" w:tentative="1">
      <w:start w:val="1"/>
      <w:numFmt w:val="ideographTraditional"/>
      <w:lvlText w:val="%8、"/>
      <w:lvlJc w:val="left"/>
      <w:pPr>
        <w:ind w:left="3840" w:hanging="480"/>
      </w:pPr>
      <w:rPr>
        <w:rFonts w:cs="Times New Roman"/>
      </w:rPr>
    </w:lvl>
    <w:lvl w:ilvl="8" w:tplc="B44A130C" w:tentative="1">
      <w:start w:val="1"/>
      <w:numFmt w:val="lowerRoman"/>
      <w:lvlText w:val="%9."/>
      <w:lvlJc w:val="right"/>
      <w:pPr>
        <w:ind w:left="4320" w:hanging="480"/>
      </w:pPr>
      <w:rPr>
        <w:rFonts w:cs="Times New Roman"/>
      </w:rPr>
    </w:lvl>
  </w:abstractNum>
  <w:abstractNum w:abstractNumId="26" w15:restartNumberingAfterBreak="0">
    <w:nsid w:val="6D1F1174"/>
    <w:multiLevelType w:val="hybridMultilevel"/>
    <w:tmpl w:val="0966DBB2"/>
    <w:lvl w:ilvl="0" w:tplc="A58A1768">
      <w:start w:val="1"/>
      <w:numFmt w:val="decimal"/>
      <w:lvlText w:val="%1."/>
      <w:lvlJc w:val="left"/>
      <w:pPr>
        <w:ind w:left="360" w:hanging="360"/>
      </w:pPr>
      <w:rPr>
        <w:rFonts w:eastAsia="標楷體" w:hint="default"/>
        <w:b w:val="0"/>
        <w:color w:val="auto"/>
        <w:sz w:val="24"/>
      </w:rPr>
    </w:lvl>
    <w:lvl w:ilvl="1" w:tplc="3E222D66" w:tentative="1">
      <w:start w:val="1"/>
      <w:numFmt w:val="ideographTraditional"/>
      <w:lvlText w:val="%2、"/>
      <w:lvlJc w:val="left"/>
      <w:pPr>
        <w:ind w:left="960" w:hanging="480"/>
      </w:pPr>
    </w:lvl>
    <w:lvl w:ilvl="2" w:tplc="1F1CD63A" w:tentative="1">
      <w:start w:val="1"/>
      <w:numFmt w:val="lowerRoman"/>
      <w:lvlText w:val="%3."/>
      <w:lvlJc w:val="right"/>
      <w:pPr>
        <w:ind w:left="1440" w:hanging="480"/>
      </w:pPr>
    </w:lvl>
    <w:lvl w:ilvl="3" w:tplc="2DE2A7E6" w:tentative="1">
      <w:start w:val="1"/>
      <w:numFmt w:val="decimal"/>
      <w:lvlText w:val="%4."/>
      <w:lvlJc w:val="left"/>
      <w:pPr>
        <w:ind w:left="1920" w:hanging="480"/>
      </w:pPr>
    </w:lvl>
    <w:lvl w:ilvl="4" w:tplc="C9D6A622" w:tentative="1">
      <w:start w:val="1"/>
      <w:numFmt w:val="ideographTraditional"/>
      <w:lvlText w:val="%5、"/>
      <w:lvlJc w:val="left"/>
      <w:pPr>
        <w:ind w:left="2400" w:hanging="480"/>
      </w:pPr>
    </w:lvl>
    <w:lvl w:ilvl="5" w:tplc="FB324960" w:tentative="1">
      <w:start w:val="1"/>
      <w:numFmt w:val="lowerRoman"/>
      <w:lvlText w:val="%6."/>
      <w:lvlJc w:val="right"/>
      <w:pPr>
        <w:ind w:left="2880" w:hanging="480"/>
      </w:pPr>
    </w:lvl>
    <w:lvl w:ilvl="6" w:tplc="6E30AE14" w:tentative="1">
      <w:start w:val="1"/>
      <w:numFmt w:val="decimal"/>
      <w:lvlText w:val="%7."/>
      <w:lvlJc w:val="left"/>
      <w:pPr>
        <w:ind w:left="3360" w:hanging="480"/>
      </w:pPr>
    </w:lvl>
    <w:lvl w:ilvl="7" w:tplc="DEFAE0F2" w:tentative="1">
      <w:start w:val="1"/>
      <w:numFmt w:val="ideographTraditional"/>
      <w:lvlText w:val="%8、"/>
      <w:lvlJc w:val="left"/>
      <w:pPr>
        <w:ind w:left="3840" w:hanging="480"/>
      </w:pPr>
    </w:lvl>
    <w:lvl w:ilvl="8" w:tplc="4496C24E" w:tentative="1">
      <w:start w:val="1"/>
      <w:numFmt w:val="lowerRoman"/>
      <w:lvlText w:val="%9."/>
      <w:lvlJc w:val="right"/>
      <w:pPr>
        <w:ind w:left="4320" w:hanging="480"/>
      </w:pPr>
    </w:lvl>
  </w:abstractNum>
  <w:abstractNum w:abstractNumId="27" w15:restartNumberingAfterBreak="0">
    <w:nsid w:val="6D5F378A"/>
    <w:multiLevelType w:val="multilevel"/>
    <w:tmpl w:val="DA00EB4E"/>
    <w:lvl w:ilvl="0">
      <w:start w:val="1"/>
      <w:numFmt w:val="decimal"/>
      <w:lvlText w:val="%1."/>
      <w:lvlJc w:val="left"/>
      <w:pPr>
        <w:ind w:left="2520" w:hanging="360"/>
      </w:pPr>
      <w:rPr>
        <w:rFonts w:cs="Times New Roman" w:hint="default"/>
      </w:rPr>
    </w:lvl>
    <w:lvl w:ilvl="1">
      <w:start w:val="1"/>
      <w:numFmt w:val="decimal"/>
      <w:isLgl/>
      <w:lvlText w:val="%1.%2."/>
      <w:lvlJc w:val="left"/>
      <w:pPr>
        <w:ind w:left="2520" w:hanging="36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3960" w:hanging="1800"/>
      </w:pPr>
      <w:rPr>
        <w:rFonts w:cs="Times New Roman" w:hint="default"/>
      </w:rPr>
    </w:lvl>
  </w:abstractNum>
  <w:abstractNum w:abstractNumId="28" w15:restartNumberingAfterBreak="0">
    <w:nsid w:val="71B27998"/>
    <w:multiLevelType w:val="hybridMultilevel"/>
    <w:tmpl w:val="050E5D2E"/>
    <w:lvl w:ilvl="0" w:tplc="F57415DA">
      <w:start w:val="1"/>
      <w:numFmt w:val="decimal"/>
      <w:lvlText w:val="%1."/>
      <w:lvlJc w:val="left"/>
      <w:pPr>
        <w:ind w:left="480" w:hanging="480"/>
      </w:pPr>
      <w:rPr>
        <w:rFonts w:hint="eastAsia"/>
      </w:rPr>
    </w:lvl>
    <w:lvl w:ilvl="1" w:tplc="9D3EC3A6" w:tentative="1">
      <w:start w:val="1"/>
      <w:numFmt w:val="ideographTraditional"/>
      <w:lvlText w:val="%2、"/>
      <w:lvlJc w:val="left"/>
      <w:pPr>
        <w:ind w:left="960" w:hanging="480"/>
      </w:pPr>
    </w:lvl>
    <w:lvl w:ilvl="2" w:tplc="2E98CAA6" w:tentative="1">
      <w:start w:val="1"/>
      <w:numFmt w:val="lowerRoman"/>
      <w:lvlText w:val="%3."/>
      <w:lvlJc w:val="right"/>
      <w:pPr>
        <w:ind w:left="1440" w:hanging="480"/>
      </w:pPr>
    </w:lvl>
    <w:lvl w:ilvl="3" w:tplc="F5AED80E" w:tentative="1">
      <w:start w:val="1"/>
      <w:numFmt w:val="decimal"/>
      <w:lvlText w:val="%4."/>
      <w:lvlJc w:val="left"/>
      <w:pPr>
        <w:ind w:left="1920" w:hanging="480"/>
      </w:pPr>
    </w:lvl>
    <w:lvl w:ilvl="4" w:tplc="1AC2EA82" w:tentative="1">
      <w:start w:val="1"/>
      <w:numFmt w:val="ideographTraditional"/>
      <w:lvlText w:val="%5、"/>
      <w:lvlJc w:val="left"/>
      <w:pPr>
        <w:ind w:left="2400" w:hanging="480"/>
      </w:pPr>
    </w:lvl>
    <w:lvl w:ilvl="5" w:tplc="180E366A" w:tentative="1">
      <w:start w:val="1"/>
      <w:numFmt w:val="lowerRoman"/>
      <w:lvlText w:val="%6."/>
      <w:lvlJc w:val="right"/>
      <w:pPr>
        <w:ind w:left="2880" w:hanging="480"/>
      </w:pPr>
    </w:lvl>
    <w:lvl w:ilvl="6" w:tplc="1032CD96" w:tentative="1">
      <w:start w:val="1"/>
      <w:numFmt w:val="decimal"/>
      <w:lvlText w:val="%7."/>
      <w:lvlJc w:val="left"/>
      <w:pPr>
        <w:ind w:left="3360" w:hanging="480"/>
      </w:pPr>
    </w:lvl>
    <w:lvl w:ilvl="7" w:tplc="A458512C" w:tentative="1">
      <w:start w:val="1"/>
      <w:numFmt w:val="ideographTraditional"/>
      <w:lvlText w:val="%8、"/>
      <w:lvlJc w:val="left"/>
      <w:pPr>
        <w:ind w:left="3840" w:hanging="480"/>
      </w:pPr>
    </w:lvl>
    <w:lvl w:ilvl="8" w:tplc="96605EE4" w:tentative="1">
      <w:start w:val="1"/>
      <w:numFmt w:val="lowerRoman"/>
      <w:lvlText w:val="%9."/>
      <w:lvlJc w:val="right"/>
      <w:pPr>
        <w:ind w:left="4320" w:hanging="480"/>
      </w:pPr>
    </w:lvl>
  </w:abstractNum>
  <w:abstractNum w:abstractNumId="29" w15:restartNumberingAfterBreak="0">
    <w:nsid w:val="78E54BE0"/>
    <w:multiLevelType w:val="hybridMultilevel"/>
    <w:tmpl w:val="51AA50A2"/>
    <w:lvl w:ilvl="0" w:tplc="E3EA11F0">
      <w:start w:val="2"/>
      <w:numFmt w:val="decimal"/>
      <w:lvlText w:val="%1."/>
      <w:lvlJc w:val="left"/>
      <w:pPr>
        <w:ind w:left="360" w:hanging="360"/>
      </w:pPr>
      <w:rPr>
        <w:rFonts w:hint="default"/>
      </w:rPr>
    </w:lvl>
    <w:lvl w:ilvl="1" w:tplc="70A027A4" w:tentative="1">
      <w:start w:val="1"/>
      <w:numFmt w:val="ideographTraditional"/>
      <w:lvlText w:val="%2、"/>
      <w:lvlJc w:val="left"/>
      <w:pPr>
        <w:ind w:left="960" w:hanging="480"/>
      </w:pPr>
    </w:lvl>
    <w:lvl w:ilvl="2" w:tplc="25720E6C" w:tentative="1">
      <w:start w:val="1"/>
      <w:numFmt w:val="lowerRoman"/>
      <w:lvlText w:val="%3."/>
      <w:lvlJc w:val="right"/>
      <w:pPr>
        <w:ind w:left="1440" w:hanging="480"/>
      </w:pPr>
    </w:lvl>
    <w:lvl w:ilvl="3" w:tplc="83967E9E" w:tentative="1">
      <w:start w:val="1"/>
      <w:numFmt w:val="decimal"/>
      <w:lvlText w:val="%4."/>
      <w:lvlJc w:val="left"/>
      <w:pPr>
        <w:ind w:left="1920" w:hanging="480"/>
      </w:pPr>
    </w:lvl>
    <w:lvl w:ilvl="4" w:tplc="1A94E9BC" w:tentative="1">
      <w:start w:val="1"/>
      <w:numFmt w:val="ideographTraditional"/>
      <w:lvlText w:val="%5、"/>
      <w:lvlJc w:val="left"/>
      <w:pPr>
        <w:ind w:left="2400" w:hanging="480"/>
      </w:pPr>
    </w:lvl>
    <w:lvl w:ilvl="5" w:tplc="82E28808" w:tentative="1">
      <w:start w:val="1"/>
      <w:numFmt w:val="lowerRoman"/>
      <w:lvlText w:val="%6."/>
      <w:lvlJc w:val="right"/>
      <w:pPr>
        <w:ind w:left="2880" w:hanging="480"/>
      </w:pPr>
    </w:lvl>
    <w:lvl w:ilvl="6" w:tplc="42901070" w:tentative="1">
      <w:start w:val="1"/>
      <w:numFmt w:val="decimal"/>
      <w:lvlText w:val="%7."/>
      <w:lvlJc w:val="left"/>
      <w:pPr>
        <w:ind w:left="3360" w:hanging="480"/>
      </w:pPr>
    </w:lvl>
    <w:lvl w:ilvl="7" w:tplc="16925566" w:tentative="1">
      <w:start w:val="1"/>
      <w:numFmt w:val="ideographTraditional"/>
      <w:lvlText w:val="%8、"/>
      <w:lvlJc w:val="left"/>
      <w:pPr>
        <w:ind w:left="3840" w:hanging="480"/>
      </w:pPr>
    </w:lvl>
    <w:lvl w:ilvl="8" w:tplc="A1280530" w:tentative="1">
      <w:start w:val="1"/>
      <w:numFmt w:val="lowerRoman"/>
      <w:lvlText w:val="%9."/>
      <w:lvlJc w:val="right"/>
      <w:pPr>
        <w:ind w:left="4320" w:hanging="480"/>
      </w:pPr>
    </w:lvl>
  </w:abstractNum>
  <w:abstractNum w:abstractNumId="30" w15:restartNumberingAfterBreak="0">
    <w:nsid w:val="7A8645F5"/>
    <w:multiLevelType w:val="hybridMultilevel"/>
    <w:tmpl w:val="F8DA61D6"/>
    <w:lvl w:ilvl="0" w:tplc="B9F0D578">
      <w:start w:val="1"/>
      <w:numFmt w:val="decimal"/>
      <w:lvlText w:val="%1."/>
      <w:lvlJc w:val="left"/>
      <w:pPr>
        <w:ind w:left="480" w:hanging="480"/>
      </w:pPr>
      <w:rPr>
        <w:rFonts w:hint="eastAsia"/>
      </w:rPr>
    </w:lvl>
    <w:lvl w:ilvl="1" w:tplc="E1422D1E" w:tentative="1">
      <w:start w:val="1"/>
      <w:numFmt w:val="ideographTraditional"/>
      <w:lvlText w:val="%2、"/>
      <w:lvlJc w:val="left"/>
      <w:pPr>
        <w:ind w:left="960" w:hanging="480"/>
      </w:pPr>
    </w:lvl>
    <w:lvl w:ilvl="2" w:tplc="4CC825FA" w:tentative="1">
      <w:start w:val="1"/>
      <w:numFmt w:val="lowerRoman"/>
      <w:lvlText w:val="%3."/>
      <w:lvlJc w:val="right"/>
      <w:pPr>
        <w:ind w:left="1440" w:hanging="480"/>
      </w:pPr>
    </w:lvl>
    <w:lvl w:ilvl="3" w:tplc="67C0CEDA" w:tentative="1">
      <w:start w:val="1"/>
      <w:numFmt w:val="decimal"/>
      <w:lvlText w:val="%4."/>
      <w:lvlJc w:val="left"/>
      <w:pPr>
        <w:ind w:left="1920" w:hanging="480"/>
      </w:pPr>
    </w:lvl>
    <w:lvl w:ilvl="4" w:tplc="F9D87FCC" w:tentative="1">
      <w:start w:val="1"/>
      <w:numFmt w:val="ideographTraditional"/>
      <w:lvlText w:val="%5、"/>
      <w:lvlJc w:val="left"/>
      <w:pPr>
        <w:ind w:left="2400" w:hanging="480"/>
      </w:pPr>
    </w:lvl>
    <w:lvl w:ilvl="5" w:tplc="322E9D5A" w:tentative="1">
      <w:start w:val="1"/>
      <w:numFmt w:val="lowerRoman"/>
      <w:lvlText w:val="%6."/>
      <w:lvlJc w:val="right"/>
      <w:pPr>
        <w:ind w:left="2880" w:hanging="480"/>
      </w:pPr>
    </w:lvl>
    <w:lvl w:ilvl="6" w:tplc="29785546" w:tentative="1">
      <w:start w:val="1"/>
      <w:numFmt w:val="decimal"/>
      <w:lvlText w:val="%7."/>
      <w:lvlJc w:val="left"/>
      <w:pPr>
        <w:ind w:left="3360" w:hanging="480"/>
      </w:pPr>
    </w:lvl>
    <w:lvl w:ilvl="7" w:tplc="EF44AAE4" w:tentative="1">
      <w:start w:val="1"/>
      <w:numFmt w:val="ideographTraditional"/>
      <w:lvlText w:val="%8、"/>
      <w:lvlJc w:val="left"/>
      <w:pPr>
        <w:ind w:left="3840" w:hanging="480"/>
      </w:pPr>
    </w:lvl>
    <w:lvl w:ilvl="8" w:tplc="9E6292EE" w:tentative="1">
      <w:start w:val="1"/>
      <w:numFmt w:val="lowerRoman"/>
      <w:lvlText w:val="%9."/>
      <w:lvlJc w:val="right"/>
      <w:pPr>
        <w:ind w:left="4320" w:hanging="480"/>
      </w:pPr>
    </w:lvl>
  </w:abstractNum>
  <w:abstractNum w:abstractNumId="31" w15:restartNumberingAfterBreak="0">
    <w:nsid w:val="7AD34666"/>
    <w:multiLevelType w:val="hybridMultilevel"/>
    <w:tmpl w:val="F2CC1526"/>
    <w:lvl w:ilvl="0" w:tplc="729AFB34">
      <w:start w:val="1"/>
      <w:numFmt w:val="decimal"/>
      <w:lvlText w:val="%1."/>
      <w:lvlJc w:val="left"/>
      <w:pPr>
        <w:ind w:left="360" w:hanging="360"/>
      </w:pPr>
      <w:rPr>
        <w:rFonts w:hint="eastAsia"/>
      </w:rPr>
    </w:lvl>
    <w:lvl w:ilvl="1" w:tplc="85CED490" w:tentative="1">
      <w:start w:val="1"/>
      <w:numFmt w:val="ideographTraditional"/>
      <w:lvlText w:val="%2、"/>
      <w:lvlJc w:val="left"/>
      <w:pPr>
        <w:ind w:left="960" w:hanging="480"/>
      </w:pPr>
    </w:lvl>
    <w:lvl w:ilvl="2" w:tplc="1E5ABCEC" w:tentative="1">
      <w:start w:val="1"/>
      <w:numFmt w:val="lowerRoman"/>
      <w:lvlText w:val="%3."/>
      <w:lvlJc w:val="right"/>
      <w:pPr>
        <w:ind w:left="1440" w:hanging="480"/>
      </w:pPr>
    </w:lvl>
    <w:lvl w:ilvl="3" w:tplc="1C86AFF4" w:tentative="1">
      <w:start w:val="1"/>
      <w:numFmt w:val="decimal"/>
      <w:lvlText w:val="%4."/>
      <w:lvlJc w:val="left"/>
      <w:pPr>
        <w:ind w:left="1920" w:hanging="480"/>
      </w:pPr>
    </w:lvl>
    <w:lvl w:ilvl="4" w:tplc="A0520E78" w:tentative="1">
      <w:start w:val="1"/>
      <w:numFmt w:val="ideographTraditional"/>
      <w:lvlText w:val="%5、"/>
      <w:lvlJc w:val="left"/>
      <w:pPr>
        <w:ind w:left="2400" w:hanging="480"/>
      </w:pPr>
    </w:lvl>
    <w:lvl w:ilvl="5" w:tplc="6334585E" w:tentative="1">
      <w:start w:val="1"/>
      <w:numFmt w:val="lowerRoman"/>
      <w:lvlText w:val="%6."/>
      <w:lvlJc w:val="right"/>
      <w:pPr>
        <w:ind w:left="2880" w:hanging="480"/>
      </w:pPr>
    </w:lvl>
    <w:lvl w:ilvl="6" w:tplc="84B6BF94" w:tentative="1">
      <w:start w:val="1"/>
      <w:numFmt w:val="decimal"/>
      <w:lvlText w:val="%7."/>
      <w:lvlJc w:val="left"/>
      <w:pPr>
        <w:ind w:left="3360" w:hanging="480"/>
      </w:pPr>
    </w:lvl>
    <w:lvl w:ilvl="7" w:tplc="14C07594" w:tentative="1">
      <w:start w:val="1"/>
      <w:numFmt w:val="ideographTraditional"/>
      <w:lvlText w:val="%8、"/>
      <w:lvlJc w:val="left"/>
      <w:pPr>
        <w:ind w:left="3840" w:hanging="480"/>
      </w:pPr>
    </w:lvl>
    <w:lvl w:ilvl="8" w:tplc="37DE8EC0" w:tentative="1">
      <w:start w:val="1"/>
      <w:numFmt w:val="lowerRoman"/>
      <w:lvlText w:val="%9."/>
      <w:lvlJc w:val="right"/>
      <w:pPr>
        <w:ind w:left="4320" w:hanging="480"/>
      </w:pPr>
    </w:lvl>
  </w:abstractNum>
  <w:abstractNum w:abstractNumId="32" w15:restartNumberingAfterBreak="0">
    <w:nsid w:val="7C081EC5"/>
    <w:multiLevelType w:val="hybridMultilevel"/>
    <w:tmpl w:val="D248AC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6A4B07"/>
    <w:multiLevelType w:val="hybridMultilevel"/>
    <w:tmpl w:val="1E5E6068"/>
    <w:lvl w:ilvl="0" w:tplc="FB6CE74E">
      <w:start w:val="1"/>
      <w:numFmt w:val="decimal"/>
      <w:lvlText w:val="%1."/>
      <w:lvlJc w:val="left"/>
      <w:pPr>
        <w:ind w:left="360" w:hanging="360"/>
      </w:pPr>
      <w:rPr>
        <w:rFonts w:hint="default"/>
      </w:rPr>
    </w:lvl>
    <w:lvl w:ilvl="1" w:tplc="29609FAE" w:tentative="1">
      <w:start w:val="1"/>
      <w:numFmt w:val="ideographTraditional"/>
      <w:lvlText w:val="%2、"/>
      <w:lvlJc w:val="left"/>
      <w:pPr>
        <w:ind w:left="960" w:hanging="480"/>
      </w:pPr>
    </w:lvl>
    <w:lvl w:ilvl="2" w:tplc="5CFCCD88" w:tentative="1">
      <w:start w:val="1"/>
      <w:numFmt w:val="lowerRoman"/>
      <w:lvlText w:val="%3."/>
      <w:lvlJc w:val="right"/>
      <w:pPr>
        <w:ind w:left="1440" w:hanging="480"/>
      </w:pPr>
    </w:lvl>
    <w:lvl w:ilvl="3" w:tplc="988A7B96" w:tentative="1">
      <w:start w:val="1"/>
      <w:numFmt w:val="decimal"/>
      <w:lvlText w:val="%4."/>
      <w:lvlJc w:val="left"/>
      <w:pPr>
        <w:ind w:left="1920" w:hanging="480"/>
      </w:pPr>
    </w:lvl>
    <w:lvl w:ilvl="4" w:tplc="C44413A8" w:tentative="1">
      <w:start w:val="1"/>
      <w:numFmt w:val="ideographTraditional"/>
      <w:lvlText w:val="%5、"/>
      <w:lvlJc w:val="left"/>
      <w:pPr>
        <w:ind w:left="2400" w:hanging="480"/>
      </w:pPr>
    </w:lvl>
    <w:lvl w:ilvl="5" w:tplc="647C8698" w:tentative="1">
      <w:start w:val="1"/>
      <w:numFmt w:val="lowerRoman"/>
      <w:lvlText w:val="%6."/>
      <w:lvlJc w:val="right"/>
      <w:pPr>
        <w:ind w:left="2880" w:hanging="480"/>
      </w:pPr>
    </w:lvl>
    <w:lvl w:ilvl="6" w:tplc="EEB67414" w:tentative="1">
      <w:start w:val="1"/>
      <w:numFmt w:val="decimal"/>
      <w:lvlText w:val="%7."/>
      <w:lvlJc w:val="left"/>
      <w:pPr>
        <w:ind w:left="3360" w:hanging="480"/>
      </w:pPr>
    </w:lvl>
    <w:lvl w:ilvl="7" w:tplc="C34E0912" w:tentative="1">
      <w:start w:val="1"/>
      <w:numFmt w:val="ideographTraditional"/>
      <w:lvlText w:val="%8、"/>
      <w:lvlJc w:val="left"/>
      <w:pPr>
        <w:ind w:left="3840" w:hanging="480"/>
      </w:pPr>
    </w:lvl>
    <w:lvl w:ilvl="8" w:tplc="3A4CC5FA" w:tentative="1">
      <w:start w:val="1"/>
      <w:numFmt w:val="lowerRoman"/>
      <w:lvlText w:val="%9."/>
      <w:lvlJc w:val="right"/>
      <w:pPr>
        <w:ind w:left="4320" w:hanging="480"/>
      </w:pPr>
    </w:lvl>
  </w:abstractNum>
  <w:num w:numId="1">
    <w:abstractNumId w:val="20"/>
  </w:num>
  <w:num w:numId="2">
    <w:abstractNumId w:val="16"/>
  </w:num>
  <w:num w:numId="3">
    <w:abstractNumId w:val="8"/>
  </w:num>
  <w:num w:numId="4">
    <w:abstractNumId w:val="25"/>
  </w:num>
  <w:num w:numId="5">
    <w:abstractNumId w:val="3"/>
  </w:num>
  <w:num w:numId="6">
    <w:abstractNumId w:val="4"/>
  </w:num>
  <w:num w:numId="7">
    <w:abstractNumId w:val="13"/>
  </w:num>
  <w:num w:numId="8">
    <w:abstractNumId w:val="9"/>
  </w:num>
  <w:num w:numId="9">
    <w:abstractNumId w:val="27"/>
  </w:num>
  <w:num w:numId="10">
    <w:abstractNumId w:val="5"/>
  </w:num>
  <w:num w:numId="11">
    <w:abstractNumId w:val="33"/>
  </w:num>
  <w:num w:numId="12">
    <w:abstractNumId w:val="1"/>
  </w:num>
  <w:num w:numId="13">
    <w:abstractNumId w:val="6"/>
  </w:num>
  <w:num w:numId="14">
    <w:abstractNumId w:val="15"/>
  </w:num>
  <w:num w:numId="15">
    <w:abstractNumId w:val="28"/>
  </w:num>
  <w:num w:numId="16">
    <w:abstractNumId w:val="14"/>
  </w:num>
  <w:num w:numId="17">
    <w:abstractNumId w:val="26"/>
  </w:num>
  <w:num w:numId="18">
    <w:abstractNumId w:val="29"/>
  </w:num>
  <w:num w:numId="19">
    <w:abstractNumId w:val="31"/>
  </w:num>
  <w:num w:numId="20">
    <w:abstractNumId w:val="10"/>
  </w:num>
  <w:num w:numId="21">
    <w:abstractNumId w:val="17"/>
  </w:num>
  <w:num w:numId="22">
    <w:abstractNumId w:val="30"/>
  </w:num>
  <w:num w:numId="23">
    <w:abstractNumId w:val="23"/>
  </w:num>
  <w:num w:numId="24">
    <w:abstractNumId w:val="24"/>
  </w:num>
  <w:num w:numId="25">
    <w:abstractNumId w:val="18"/>
  </w:num>
  <w:num w:numId="26">
    <w:abstractNumId w:val="12"/>
  </w:num>
  <w:num w:numId="27">
    <w:abstractNumId w:val="21"/>
  </w:num>
  <w:num w:numId="28">
    <w:abstractNumId w:val="32"/>
  </w:num>
  <w:num w:numId="29">
    <w:abstractNumId w:val="22"/>
  </w:num>
  <w:num w:numId="30">
    <w:abstractNumId w:val="11"/>
  </w:num>
  <w:num w:numId="31">
    <w:abstractNumId w:val="0"/>
  </w:num>
  <w:num w:numId="32">
    <w:abstractNumId w:val="19"/>
  </w:num>
  <w:num w:numId="33">
    <w:abstractNumId w:val="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activeWritingStyle w:appName="MSWord" w:lang="en-GB" w:vendorID="64" w:dllVersion="131078" w:nlCheck="1" w:checkStyle="0"/>
  <w:defaultTabStop w:val="480"/>
  <w:evenAndOddHeader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1NLcwMTYzNDEzMTVU0lEKTi0uzszPAykwNK0FALFwS+stAAAA"/>
  </w:docVars>
  <w:rsids>
    <w:rsidRoot w:val="00BF1082"/>
    <w:rsid w:val="00000508"/>
    <w:rsid w:val="00001174"/>
    <w:rsid w:val="00005145"/>
    <w:rsid w:val="00010DDA"/>
    <w:rsid w:val="00011867"/>
    <w:rsid w:val="000138D5"/>
    <w:rsid w:val="0001520D"/>
    <w:rsid w:val="00025A9F"/>
    <w:rsid w:val="000343BE"/>
    <w:rsid w:val="000356E8"/>
    <w:rsid w:val="00036628"/>
    <w:rsid w:val="0003688D"/>
    <w:rsid w:val="00036A66"/>
    <w:rsid w:val="00041B53"/>
    <w:rsid w:val="00042A61"/>
    <w:rsid w:val="000448A9"/>
    <w:rsid w:val="00047552"/>
    <w:rsid w:val="000504B3"/>
    <w:rsid w:val="00051746"/>
    <w:rsid w:val="000552E7"/>
    <w:rsid w:val="0005640F"/>
    <w:rsid w:val="000658AE"/>
    <w:rsid w:val="000678D0"/>
    <w:rsid w:val="00070542"/>
    <w:rsid w:val="00070AA9"/>
    <w:rsid w:val="0007169D"/>
    <w:rsid w:val="00073B9D"/>
    <w:rsid w:val="0008465A"/>
    <w:rsid w:val="000853B3"/>
    <w:rsid w:val="000919C2"/>
    <w:rsid w:val="00097883"/>
    <w:rsid w:val="000A0C28"/>
    <w:rsid w:val="000A141B"/>
    <w:rsid w:val="000B19A3"/>
    <w:rsid w:val="000B2E93"/>
    <w:rsid w:val="000B355B"/>
    <w:rsid w:val="000C02F4"/>
    <w:rsid w:val="000C085B"/>
    <w:rsid w:val="000D0A76"/>
    <w:rsid w:val="000D1029"/>
    <w:rsid w:val="000D1AFF"/>
    <w:rsid w:val="000D346B"/>
    <w:rsid w:val="000D3EBF"/>
    <w:rsid w:val="000D4E0C"/>
    <w:rsid w:val="000D5BD9"/>
    <w:rsid w:val="000D6BC3"/>
    <w:rsid w:val="000E1F21"/>
    <w:rsid w:val="000E40D5"/>
    <w:rsid w:val="000E4AF6"/>
    <w:rsid w:val="000E5C2B"/>
    <w:rsid w:val="000F032E"/>
    <w:rsid w:val="000F0634"/>
    <w:rsid w:val="000F07FD"/>
    <w:rsid w:val="000F5A04"/>
    <w:rsid w:val="000F7181"/>
    <w:rsid w:val="001001B9"/>
    <w:rsid w:val="00111280"/>
    <w:rsid w:val="00111529"/>
    <w:rsid w:val="00117AE6"/>
    <w:rsid w:val="001203B1"/>
    <w:rsid w:val="00123DAE"/>
    <w:rsid w:val="00125232"/>
    <w:rsid w:val="00125F1D"/>
    <w:rsid w:val="001266C1"/>
    <w:rsid w:val="00126BC3"/>
    <w:rsid w:val="00132E90"/>
    <w:rsid w:val="0013600E"/>
    <w:rsid w:val="00137A2E"/>
    <w:rsid w:val="00140010"/>
    <w:rsid w:val="0014488C"/>
    <w:rsid w:val="0014595D"/>
    <w:rsid w:val="00151895"/>
    <w:rsid w:val="00153870"/>
    <w:rsid w:val="00156DD5"/>
    <w:rsid w:val="0015725A"/>
    <w:rsid w:val="00160A4C"/>
    <w:rsid w:val="00162102"/>
    <w:rsid w:val="0016293C"/>
    <w:rsid w:val="00173CA8"/>
    <w:rsid w:val="0017445C"/>
    <w:rsid w:val="00175D88"/>
    <w:rsid w:val="001760EA"/>
    <w:rsid w:val="00176CF4"/>
    <w:rsid w:val="0018531E"/>
    <w:rsid w:val="0018696A"/>
    <w:rsid w:val="001872D7"/>
    <w:rsid w:val="001954D3"/>
    <w:rsid w:val="001A071A"/>
    <w:rsid w:val="001A0FBE"/>
    <w:rsid w:val="001A6D74"/>
    <w:rsid w:val="001B0020"/>
    <w:rsid w:val="001B02F7"/>
    <w:rsid w:val="001B291F"/>
    <w:rsid w:val="001B2B14"/>
    <w:rsid w:val="001B5A28"/>
    <w:rsid w:val="001B6885"/>
    <w:rsid w:val="001C1142"/>
    <w:rsid w:val="001C1803"/>
    <w:rsid w:val="001C4C81"/>
    <w:rsid w:val="001C572B"/>
    <w:rsid w:val="001C60B0"/>
    <w:rsid w:val="001C65C7"/>
    <w:rsid w:val="001C7172"/>
    <w:rsid w:val="001C7666"/>
    <w:rsid w:val="001D0FCA"/>
    <w:rsid w:val="001D533E"/>
    <w:rsid w:val="001D75C8"/>
    <w:rsid w:val="001E001C"/>
    <w:rsid w:val="001E4D30"/>
    <w:rsid w:val="001E7489"/>
    <w:rsid w:val="001F04B2"/>
    <w:rsid w:val="001F6AC3"/>
    <w:rsid w:val="001F6F2C"/>
    <w:rsid w:val="0020183B"/>
    <w:rsid w:val="00202450"/>
    <w:rsid w:val="002035AD"/>
    <w:rsid w:val="0020437E"/>
    <w:rsid w:val="00205DFA"/>
    <w:rsid w:val="00211A25"/>
    <w:rsid w:val="002226FC"/>
    <w:rsid w:val="00224633"/>
    <w:rsid w:val="002246B9"/>
    <w:rsid w:val="00233588"/>
    <w:rsid w:val="00237557"/>
    <w:rsid w:val="00241254"/>
    <w:rsid w:val="002432F8"/>
    <w:rsid w:val="0024356D"/>
    <w:rsid w:val="00244B95"/>
    <w:rsid w:val="002510B0"/>
    <w:rsid w:val="00253C52"/>
    <w:rsid w:val="00264446"/>
    <w:rsid w:val="00264820"/>
    <w:rsid w:val="00267FEB"/>
    <w:rsid w:val="002816ED"/>
    <w:rsid w:val="002817AE"/>
    <w:rsid w:val="002824B9"/>
    <w:rsid w:val="00283A71"/>
    <w:rsid w:val="0029190F"/>
    <w:rsid w:val="00291951"/>
    <w:rsid w:val="0029216D"/>
    <w:rsid w:val="002965A2"/>
    <w:rsid w:val="002967F0"/>
    <w:rsid w:val="00296E1D"/>
    <w:rsid w:val="00297E35"/>
    <w:rsid w:val="002A1434"/>
    <w:rsid w:val="002A620E"/>
    <w:rsid w:val="002B332C"/>
    <w:rsid w:val="002B41AA"/>
    <w:rsid w:val="002B4D01"/>
    <w:rsid w:val="002B50B6"/>
    <w:rsid w:val="002B7FD6"/>
    <w:rsid w:val="002C02AB"/>
    <w:rsid w:val="002C2F40"/>
    <w:rsid w:val="002C618F"/>
    <w:rsid w:val="002D0170"/>
    <w:rsid w:val="002D6D11"/>
    <w:rsid w:val="002D7D46"/>
    <w:rsid w:val="002D7DB5"/>
    <w:rsid w:val="002E6E5F"/>
    <w:rsid w:val="002E70C6"/>
    <w:rsid w:val="002E744F"/>
    <w:rsid w:val="002F1420"/>
    <w:rsid w:val="002F1FA4"/>
    <w:rsid w:val="002F60BB"/>
    <w:rsid w:val="002F6C6D"/>
    <w:rsid w:val="00304A3A"/>
    <w:rsid w:val="00305E65"/>
    <w:rsid w:val="0030771F"/>
    <w:rsid w:val="0032003A"/>
    <w:rsid w:val="00320BE2"/>
    <w:rsid w:val="00322582"/>
    <w:rsid w:val="00326078"/>
    <w:rsid w:val="00327589"/>
    <w:rsid w:val="00330EE8"/>
    <w:rsid w:val="00334EB3"/>
    <w:rsid w:val="003415A4"/>
    <w:rsid w:val="00342AA0"/>
    <w:rsid w:val="00344240"/>
    <w:rsid w:val="00350C95"/>
    <w:rsid w:val="00352020"/>
    <w:rsid w:val="00355B1B"/>
    <w:rsid w:val="00361C19"/>
    <w:rsid w:val="003627E3"/>
    <w:rsid w:val="003629B6"/>
    <w:rsid w:val="0036358D"/>
    <w:rsid w:val="00365863"/>
    <w:rsid w:val="00365AF2"/>
    <w:rsid w:val="00372DFC"/>
    <w:rsid w:val="00375192"/>
    <w:rsid w:val="00375D2B"/>
    <w:rsid w:val="00382D83"/>
    <w:rsid w:val="003865AC"/>
    <w:rsid w:val="00390A05"/>
    <w:rsid w:val="00391C01"/>
    <w:rsid w:val="003922E4"/>
    <w:rsid w:val="00392656"/>
    <w:rsid w:val="003957B7"/>
    <w:rsid w:val="003A2386"/>
    <w:rsid w:val="003B140B"/>
    <w:rsid w:val="003B65CF"/>
    <w:rsid w:val="003C2B7F"/>
    <w:rsid w:val="003C40AB"/>
    <w:rsid w:val="003C43B7"/>
    <w:rsid w:val="003C4BB6"/>
    <w:rsid w:val="003C56EF"/>
    <w:rsid w:val="003C6189"/>
    <w:rsid w:val="003C7AFC"/>
    <w:rsid w:val="003D72B6"/>
    <w:rsid w:val="003D74C1"/>
    <w:rsid w:val="003E10A7"/>
    <w:rsid w:val="003E3077"/>
    <w:rsid w:val="003E6997"/>
    <w:rsid w:val="003F0A1A"/>
    <w:rsid w:val="003F32C1"/>
    <w:rsid w:val="003F3314"/>
    <w:rsid w:val="003F7215"/>
    <w:rsid w:val="00401DA0"/>
    <w:rsid w:val="004037C5"/>
    <w:rsid w:val="00406CC3"/>
    <w:rsid w:val="004070C7"/>
    <w:rsid w:val="00407D6A"/>
    <w:rsid w:val="00412F44"/>
    <w:rsid w:val="004137AA"/>
    <w:rsid w:val="00416B2F"/>
    <w:rsid w:val="00424C50"/>
    <w:rsid w:val="00424DB4"/>
    <w:rsid w:val="00425BF7"/>
    <w:rsid w:val="0043663A"/>
    <w:rsid w:val="00440BEA"/>
    <w:rsid w:val="00447A7E"/>
    <w:rsid w:val="0045050A"/>
    <w:rsid w:val="00451ABB"/>
    <w:rsid w:val="00451B37"/>
    <w:rsid w:val="00452121"/>
    <w:rsid w:val="00453D72"/>
    <w:rsid w:val="004641AA"/>
    <w:rsid w:val="004664A6"/>
    <w:rsid w:val="004713E2"/>
    <w:rsid w:val="00474D07"/>
    <w:rsid w:val="004754D9"/>
    <w:rsid w:val="004759DE"/>
    <w:rsid w:val="00475EFE"/>
    <w:rsid w:val="00477A64"/>
    <w:rsid w:val="00483FA9"/>
    <w:rsid w:val="00486402"/>
    <w:rsid w:val="00495CA4"/>
    <w:rsid w:val="004A2098"/>
    <w:rsid w:val="004A4485"/>
    <w:rsid w:val="004A63A4"/>
    <w:rsid w:val="004A6FD8"/>
    <w:rsid w:val="004B1BD6"/>
    <w:rsid w:val="004B1C4F"/>
    <w:rsid w:val="004B40B4"/>
    <w:rsid w:val="004C17FD"/>
    <w:rsid w:val="004C1C08"/>
    <w:rsid w:val="004C31AF"/>
    <w:rsid w:val="004D3922"/>
    <w:rsid w:val="004D616C"/>
    <w:rsid w:val="004D62D0"/>
    <w:rsid w:val="004D78A7"/>
    <w:rsid w:val="004D7A03"/>
    <w:rsid w:val="004E2968"/>
    <w:rsid w:val="004E4312"/>
    <w:rsid w:val="004E76AB"/>
    <w:rsid w:val="004F0C94"/>
    <w:rsid w:val="004F17B4"/>
    <w:rsid w:val="004F189F"/>
    <w:rsid w:val="004F5776"/>
    <w:rsid w:val="004F6BA5"/>
    <w:rsid w:val="00501F52"/>
    <w:rsid w:val="0050251A"/>
    <w:rsid w:val="00502C23"/>
    <w:rsid w:val="00506C8F"/>
    <w:rsid w:val="005074E2"/>
    <w:rsid w:val="00513030"/>
    <w:rsid w:val="00530B8E"/>
    <w:rsid w:val="005326FF"/>
    <w:rsid w:val="00532BD2"/>
    <w:rsid w:val="0053371A"/>
    <w:rsid w:val="00533E1B"/>
    <w:rsid w:val="00536463"/>
    <w:rsid w:val="0054188E"/>
    <w:rsid w:val="00543593"/>
    <w:rsid w:val="00544656"/>
    <w:rsid w:val="00544EB9"/>
    <w:rsid w:val="00550A31"/>
    <w:rsid w:val="00553EC3"/>
    <w:rsid w:val="00560A99"/>
    <w:rsid w:val="00562D71"/>
    <w:rsid w:val="00570288"/>
    <w:rsid w:val="005715B5"/>
    <w:rsid w:val="00572EF8"/>
    <w:rsid w:val="005731DF"/>
    <w:rsid w:val="00573C82"/>
    <w:rsid w:val="00587640"/>
    <w:rsid w:val="00590412"/>
    <w:rsid w:val="005A0CCD"/>
    <w:rsid w:val="005B1D79"/>
    <w:rsid w:val="005B222F"/>
    <w:rsid w:val="005B4A94"/>
    <w:rsid w:val="005C071F"/>
    <w:rsid w:val="005C1229"/>
    <w:rsid w:val="005C441D"/>
    <w:rsid w:val="005C6DD7"/>
    <w:rsid w:val="005D3E18"/>
    <w:rsid w:val="005D5069"/>
    <w:rsid w:val="005D5482"/>
    <w:rsid w:val="005E08BC"/>
    <w:rsid w:val="005E13B9"/>
    <w:rsid w:val="005E5232"/>
    <w:rsid w:val="005F1155"/>
    <w:rsid w:val="005F4A91"/>
    <w:rsid w:val="005F5E5E"/>
    <w:rsid w:val="005F6755"/>
    <w:rsid w:val="00600B76"/>
    <w:rsid w:val="00605490"/>
    <w:rsid w:val="00607171"/>
    <w:rsid w:val="00614F22"/>
    <w:rsid w:val="006178C6"/>
    <w:rsid w:val="006208E3"/>
    <w:rsid w:val="006238CD"/>
    <w:rsid w:val="00624029"/>
    <w:rsid w:val="00624F80"/>
    <w:rsid w:val="00627E40"/>
    <w:rsid w:val="00636546"/>
    <w:rsid w:val="0063681A"/>
    <w:rsid w:val="0063733B"/>
    <w:rsid w:val="0063782D"/>
    <w:rsid w:val="00640721"/>
    <w:rsid w:val="006445EE"/>
    <w:rsid w:val="0064536D"/>
    <w:rsid w:val="00646FFD"/>
    <w:rsid w:val="00652D83"/>
    <w:rsid w:val="00655397"/>
    <w:rsid w:val="0065681F"/>
    <w:rsid w:val="0065797E"/>
    <w:rsid w:val="00662FDC"/>
    <w:rsid w:val="00663E7C"/>
    <w:rsid w:val="00664747"/>
    <w:rsid w:val="006658A5"/>
    <w:rsid w:val="006708FE"/>
    <w:rsid w:val="00670FA8"/>
    <w:rsid w:val="00674072"/>
    <w:rsid w:val="006744CC"/>
    <w:rsid w:val="006770B8"/>
    <w:rsid w:val="00681A38"/>
    <w:rsid w:val="00683188"/>
    <w:rsid w:val="00683D78"/>
    <w:rsid w:val="0068785F"/>
    <w:rsid w:val="00690EBD"/>
    <w:rsid w:val="0069420A"/>
    <w:rsid w:val="006956F8"/>
    <w:rsid w:val="00697A78"/>
    <w:rsid w:val="006A0345"/>
    <w:rsid w:val="006A682C"/>
    <w:rsid w:val="006A6BF4"/>
    <w:rsid w:val="006A7C06"/>
    <w:rsid w:val="006B0F8A"/>
    <w:rsid w:val="006B1672"/>
    <w:rsid w:val="006B2FC9"/>
    <w:rsid w:val="006B3BF2"/>
    <w:rsid w:val="006B589A"/>
    <w:rsid w:val="006B6AB4"/>
    <w:rsid w:val="006B6C58"/>
    <w:rsid w:val="006B7E68"/>
    <w:rsid w:val="006C0B32"/>
    <w:rsid w:val="006C12BE"/>
    <w:rsid w:val="006C25ED"/>
    <w:rsid w:val="006C49BF"/>
    <w:rsid w:val="006C6A86"/>
    <w:rsid w:val="006C7919"/>
    <w:rsid w:val="006C7AFA"/>
    <w:rsid w:val="006D339A"/>
    <w:rsid w:val="006D37AE"/>
    <w:rsid w:val="006E2578"/>
    <w:rsid w:val="006E4DF1"/>
    <w:rsid w:val="006F021D"/>
    <w:rsid w:val="006F06B4"/>
    <w:rsid w:val="006F104F"/>
    <w:rsid w:val="006F1140"/>
    <w:rsid w:val="006F12A3"/>
    <w:rsid w:val="006F2A28"/>
    <w:rsid w:val="006F6627"/>
    <w:rsid w:val="00701FCA"/>
    <w:rsid w:val="007033EA"/>
    <w:rsid w:val="00711897"/>
    <w:rsid w:val="00712FC7"/>
    <w:rsid w:val="007134F7"/>
    <w:rsid w:val="00721C62"/>
    <w:rsid w:val="00722119"/>
    <w:rsid w:val="00730F45"/>
    <w:rsid w:val="00733083"/>
    <w:rsid w:val="007361B8"/>
    <w:rsid w:val="007366C7"/>
    <w:rsid w:val="00742780"/>
    <w:rsid w:val="007433A6"/>
    <w:rsid w:val="0074733A"/>
    <w:rsid w:val="007474CA"/>
    <w:rsid w:val="007476A7"/>
    <w:rsid w:val="00751D0E"/>
    <w:rsid w:val="007527F0"/>
    <w:rsid w:val="00752ED5"/>
    <w:rsid w:val="00757951"/>
    <w:rsid w:val="00757BB4"/>
    <w:rsid w:val="00761D4B"/>
    <w:rsid w:val="00767F5B"/>
    <w:rsid w:val="00771F14"/>
    <w:rsid w:val="00774A10"/>
    <w:rsid w:val="00776C56"/>
    <w:rsid w:val="007838E6"/>
    <w:rsid w:val="007851EA"/>
    <w:rsid w:val="00786D57"/>
    <w:rsid w:val="007875FC"/>
    <w:rsid w:val="00792627"/>
    <w:rsid w:val="0079503A"/>
    <w:rsid w:val="0079587A"/>
    <w:rsid w:val="00795A74"/>
    <w:rsid w:val="007A1EA7"/>
    <w:rsid w:val="007A497B"/>
    <w:rsid w:val="007A4F32"/>
    <w:rsid w:val="007A778B"/>
    <w:rsid w:val="007B31A0"/>
    <w:rsid w:val="007B6350"/>
    <w:rsid w:val="007C2DF8"/>
    <w:rsid w:val="007C5608"/>
    <w:rsid w:val="007C6883"/>
    <w:rsid w:val="007D3FAF"/>
    <w:rsid w:val="007D46F1"/>
    <w:rsid w:val="007E0DA5"/>
    <w:rsid w:val="007E1815"/>
    <w:rsid w:val="007E6DC9"/>
    <w:rsid w:val="007E7DB7"/>
    <w:rsid w:val="007F36A8"/>
    <w:rsid w:val="007F5F53"/>
    <w:rsid w:val="007F7701"/>
    <w:rsid w:val="00803E14"/>
    <w:rsid w:val="0080710F"/>
    <w:rsid w:val="00810A47"/>
    <w:rsid w:val="00811442"/>
    <w:rsid w:val="008126E4"/>
    <w:rsid w:val="00814323"/>
    <w:rsid w:val="008238B2"/>
    <w:rsid w:val="008242D3"/>
    <w:rsid w:val="008246D8"/>
    <w:rsid w:val="00824B20"/>
    <w:rsid w:val="008258B9"/>
    <w:rsid w:val="0082626C"/>
    <w:rsid w:val="00826479"/>
    <w:rsid w:val="00832A31"/>
    <w:rsid w:val="00833A33"/>
    <w:rsid w:val="00834A34"/>
    <w:rsid w:val="008436B2"/>
    <w:rsid w:val="00854751"/>
    <w:rsid w:val="008607E2"/>
    <w:rsid w:val="00863DAB"/>
    <w:rsid w:val="00863E25"/>
    <w:rsid w:val="00867BDA"/>
    <w:rsid w:val="008707CC"/>
    <w:rsid w:val="00875AC9"/>
    <w:rsid w:val="00877528"/>
    <w:rsid w:val="00885EDC"/>
    <w:rsid w:val="00887464"/>
    <w:rsid w:val="00891A63"/>
    <w:rsid w:val="008946D2"/>
    <w:rsid w:val="00895E3E"/>
    <w:rsid w:val="00897DC1"/>
    <w:rsid w:val="008B04D3"/>
    <w:rsid w:val="008B605C"/>
    <w:rsid w:val="008C1ED6"/>
    <w:rsid w:val="008C46F5"/>
    <w:rsid w:val="008C5128"/>
    <w:rsid w:val="008D063F"/>
    <w:rsid w:val="008D253B"/>
    <w:rsid w:val="008D255E"/>
    <w:rsid w:val="008D341D"/>
    <w:rsid w:val="008D57BA"/>
    <w:rsid w:val="008D67C2"/>
    <w:rsid w:val="008D6FA6"/>
    <w:rsid w:val="008D71CE"/>
    <w:rsid w:val="008D7F01"/>
    <w:rsid w:val="008E21D3"/>
    <w:rsid w:val="008E3EA8"/>
    <w:rsid w:val="008E4182"/>
    <w:rsid w:val="008F0772"/>
    <w:rsid w:val="008F4414"/>
    <w:rsid w:val="008F6B61"/>
    <w:rsid w:val="00902459"/>
    <w:rsid w:val="009025A6"/>
    <w:rsid w:val="0090558A"/>
    <w:rsid w:val="00917032"/>
    <w:rsid w:val="00922AA3"/>
    <w:rsid w:val="00923E9B"/>
    <w:rsid w:val="00925EF8"/>
    <w:rsid w:val="0093645C"/>
    <w:rsid w:val="00944832"/>
    <w:rsid w:val="00944899"/>
    <w:rsid w:val="00951406"/>
    <w:rsid w:val="00955F8A"/>
    <w:rsid w:val="00956D62"/>
    <w:rsid w:val="0096186D"/>
    <w:rsid w:val="0096288E"/>
    <w:rsid w:val="00970057"/>
    <w:rsid w:val="00970BC3"/>
    <w:rsid w:val="00971D1C"/>
    <w:rsid w:val="009720DA"/>
    <w:rsid w:val="00976778"/>
    <w:rsid w:val="00977094"/>
    <w:rsid w:val="00980138"/>
    <w:rsid w:val="009918D6"/>
    <w:rsid w:val="00991C5F"/>
    <w:rsid w:val="00991FA4"/>
    <w:rsid w:val="00992F5D"/>
    <w:rsid w:val="009A6322"/>
    <w:rsid w:val="009B2BFD"/>
    <w:rsid w:val="009B49A0"/>
    <w:rsid w:val="009B6579"/>
    <w:rsid w:val="009B7204"/>
    <w:rsid w:val="009C0470"/>
    <w:rsid w:val="009C2237"/>
    <w:rsid w:val="009C5619"/>
    <w:rsid w:val="009C5668"/>
    <w:rsid w:val="009E3F89"/>
    <w:rsid w:val="009E4739"/>
    <w:rsid w:val="009E5023"/>
    <w:rsid w:val="009F2017"/>
    <w:rsid w:val="009F7070"/>
    <w:rsid w:val="009F74D9"/>
    <w:rsid w:val="00A017BB"/>
    <w:rsid w:val="00A0376F"/>
    <w:rsid w:val="00A0381A"/>
    <w:rsid w:val="00A068A4"/>
    <w:rsid w:val="00A11402"/>
    <w:rsid w:val="00A2086B"/>
    <w:rsid w:val="00A23DA1"/>
    <w:rsid w:val="00A25BA3"/>
    <w:rsid w:val="00A26524"/>
    <w:rsid w:val="00A27124"/>
    <w:rsid w:val="00A36237"/>
    <w:rsid w:val="00A36D75"/>
    <w:rsid w:val="00A36E11"/>
    <w:rsid w:val="00A42FD7"/>
    <w:rsid w:val="00A46660"/>
    <w:rsid w:val="00A46B9B"/>
    <w:rsid w:val="00A5015E"/>
    <w:rsid w:val="00A5419C"/>
    <w:rsid w:val="00A55689"/>
    <w:rsid w:val="00A576A9"/>
    <w:rsid w:val="00A620DB"/>
    <w:rsid w:val="00A723F7"/>
    <w:rsid w:val="00A759C4"/>
    <w:rsid w:val="00A7774E"/>
    <w:rsid w:val="00A8052E"/>
    <w:rsid w:val="00A80F6F"/>
    <w:rsid w:val="00A82E0C"/>
    <w:rsid w:val="00A83CB4"/>
    <w:rsid w:val="00A87650"/>
    <w:rsid w:val="00A911F8"/>
    <w:rsid w:val="00A967B4"/>
    <w:rsid w:val="00A96D34"/>
    <w:rsid w:val="00AA345F"/>
    <w:rsid w:val="00AA6F8C"/>
    <w:rsid w:val="00AB5FDA"/>
    <w:rsid w:val="00AB65B6"/>
    <w:rsid w:val="00AB6F4F"/>
    <w:rsid w:val="00AB70A7"/>
    <w:rsid w:val="00AC2F6B"/>
    <w:rsid w:val="00AD3E8E"/>
    <w:rsid w:val="00AD6833"/>
    <w:rsid w:val="00AD7EC6"/>
    <w:rsid w:val="00AE12A9"/>
    <w:rsid w:val="00AF0A43"/>
    <w:rsid w:val="00AF42E2"/>
    <w:rsid w:val="00AF61FB"/>
    <w:rsid w:val="00B0304A"/>
    <w:rsid w:val="00B14807"/>
    <w:rsid w:val="00B152FC"/>
    <w:rsid w:val="00B15C11"/>
    <w:rsid w:val="00B23424"/>
    <w:rsid w:val="00B25182"/>
    <w:rsid w:val="00B301AA"/>
    <w:rsid w:val="00B3266D"/>
    <w:rsid w:val="00B32A9B"/>
    <w:rsid w:val="00B34159"/>
    <w:rsid w:val="00B34BB7"/>
    <w:rsid w:val="00B4006E"/>
    <w:rsid w:val="00B4192B"/>
    <w:rsid w:val="00B42571"/>
    <w:rsid w:val="00B43617"/>
    <w:rsid w:val="00B43A55"/>
    <w:rsid w:val="00B43D65"/>
    <w:rsid w:val="00B46846"/>
    <w:rsid w:val="00B52E67"/>
    <w:rsid w:val="00B56ACD"/>
    <w:rsid w:val="00B63BCE"/>
    <w:rsid w:val="00B654A2"/>
    <w:rsid w:val="00B70EAB"/>
    <w:rsid w:val="00B76938"/>
    <w:rsid w:val="00B77556"/>
    <w:rsid w:val="00B80BAF"/>
    <w:rsid w:val="00B81A54"/>
    <w:rsid w:val="00B826AF"/>
    <w:rsid w:val="00B837D8"/>
    <w:rsid w:val="00B86C76"/>
    <w:rsid w:val="00B92E21"/>
    <w:rsid w:val="00B95B92"/>
    <w:rsid w:val="00BA194D"/>
    <w:rsid w:val="00BA3043"/>
    <w:rsid w:val="00BA3809"/>
    <w:rsid w:val="00BA523F"/>
    <w:rsid w:val="00BA57B5"/>
    <w:rsid w:val="00BA647C"/>
    <w:rsid w:val="00BB599F"/>
    <w:rsid w:val="00BC054F"/>
    <w:rsid w:val="00BC2084"/>
    <w:rsid w:val="00BC21F6"/>
    <w:rsid w:val="00BC24C9"/>
    <w:rsid w:val="00BC5C73"/>
    <w:rsid w:val="00BD0506"/>
    <w:rsid w:val="00BD051A"/>
    <w:rsid w:val="00BE3309"/>
    <w:rsid w:val="00BF1082"/>
    <w:rsid w:val="00BF4B4F"/>
    <w:rsid w:val="00BF526C"/>
    <w:rsid w:val="00BF7B12"/>
    <w:rsid w:val="00C00EDE"/>
    <w:rsid w:val="00C026D3"/>
    <w:rsid w:val="00C04DF4"/>
    <w:rsid w:val="00C13D87"/>
    <w:rsid w:val="00C16499"/>
    <w:rsid w:val="00C20583"/>
    <w:rsid w:val="00C22C3C"/>
    <w:rsid w:val="00C24DB0"/>
    <w:rsid w:val="00C30505"/>
    <w:rsid w:val="00C30F27"/>
    <w:rsid w:val="00C3399C"/>
    <w:rsid w:val="00C36AD0"/>
    <w:rsid w:val="00C37272"/>
    <w:rsid w:val="00C42DE8"/>
    <w:rsid w:val="00C4321E"/>
    <w:rsid w:val="00C46560"/>
    <w:rsid w:val="00C54797"/>
    <w:rsid w:val="00C620BB"/>
    <w:rsid w:val="00C632D2"/>
    <w:rsid w:val="00C63586"/>
    <w:rsid w:val="00C76AEA"/>
    <w:rsid w:val="00C81232"/>
    <w:rsid w:val="00C83EF9"/>
    <w:rsid w:val="00C85469"/>
    <w:rsid w:val="00C92728"/>
    <w:rsid w:val="00C941CB"/>
    <w:rsid w:val="00C95B0C"/>
    <w:rsid w:val="00CB3D2D"/>
    <w:rsid w:val="00CB3EE6"/>
    <w:rsid w:val="00CB54C6"/>
    <w:rsid w:val="00CB5A37"/>
    <w:rsid w:val="00CB5ECA"/>
    <w:rsid w:val="00CC1908"/>
    <w:rsid w:val="00CC462F"/>
    <w:rsid w:val="00CD4E09"/>
    <w:rsid w:val="00CF49E1"/>
    <w:rsid w:val="00CF5479"/>
    <w:rsid w:val="00D000E4"/>
    <w:rsid w:val="00D001BC"/>
    <w:rsid w:val="00D03061"/>
    <w:rsid w:val="00D06318"/>
    <w:rsid w:val="00D12A38"/>
    <w:rsid w:val="00D15DA2"/>
    <w:rsid w:val="00D16B70"/>
    <w:rsid w:val="00D20798"/>
    <w:rsid w:val="00D21E6D"/>
    <w:rsid w:val="00D24B03"/>
    <w:rsid w:val="00D30B9D"/>
    <w:rsid w:val="00D3347D"/>
    <w:rsid w:val="00D33C9A"/>
    <w:rsid w:val="00D45870"/>
    <w:rsid w:val="00D46A96"/>
    <w:rsid w:val="00D5747C"/>
    <w:rsid w:val="00D60135"/>
    <w:rsid w:val="00D6487C"/>
    <w:rsid w:val="00D6659B"/>
    <w:rsid w:val="00D7076A"/>
    <w:rsid w:val="00D71BDB"/>
    <w:rsid w:val="00D7261F"/>
    <w:rsid w:val="00D767CF"/>
    <w:rsid w:val="00D77C69"/>
    <w:rsid w:val="00D80D46"/>
    <w:rsid w:val="00D83CE4"/>
    <w:rsid w:val="00D84C78"/>
    <w:rsid w:val="00D93803"/>
    <w:rsid w:val="00DA03D7"/>
    <w:rsid w:val="00DA4789"/>
    <w:rsid w:val="00DA4F2F"/>
    <w:rsid w:val="00DA6A20"/>
    <w:rsid w:val="00DA7BFD"/>
    <w:rsid w:val="00DB6242"/>
    <w:rsid w:val="00DB7757"/>
    <w:rsid w:val="00DC1C06"/>
    <w:rsid w:val="00DC2EFD"/>
    <w:rsid w:val="00DC2F75"/>
    <w:rsid w:val="00DC6C21"/>
    <w:rsid w:val="00DC7A9C"/>
    <w:rsid w:val="00DD2CCF"/>
    <w:rsid w:val="00DD31B3"/>
    <w:rsid w:val="00DE203E"/>
    <w:rsid w:val="00DE2DDE"/>
    <w:rsid w:val="00DF53D4"/>
    <w:rsid w:val="00E03176"/>
    <w:rsid w:val="00E10A2F"/>
    <w:rsid w:val="00E155A8"/>
    <w:rsid w:val="00E164CE"/>
    <w:rsid w:val="00E22ED3"/>
    <w:rsid w:val="00E240C6"/>
    <w:rsid w:val="00E243E9"/>
    <w:rsid w:val="00E30AB9"/>
    <w:rsid w:val="00E329E6"/>
    <w:rsid w:val="00E33C57"/>
    <w:rsid w:val="00E40C60"/>
    <w:rsid w:val="00E43311"/>
    <w:rsid w:val="00E45466"/>
    <w:rsid w:val="00E45A3A"/>
    <w:rsid w:val="00E4610A"/>
    <w:rsid w:val="00E47253"/>
    <w:rsid w:val="00E57B9B"/>
    <w:rsid w:val="00E75D18"/>
    <w:rsid w:val="00E7652A"/>
    <w:rsid w:val="00E76E0C"/>
    <w:rsid w:val="00E813CB"/>
    <w:rsid w:val="00E8251B"/>
    <w:rsid w:val="00E86114"/>
    <w:rsid w:val="00E91B03"/>
    <w:rsid w:val="00E95B48"/>
    <w:rsid w:val="00EA1FBF"/>
    <w:rsid w:val="00EA3625"/>
    <w:rsid w:val="00EA647E"/>
    <w:rsid w:val="00EA7632"/>
    <w:rsid w:val="00EB167A"/>
    <w:rsid w:val="00EB6232"/>
    <w:rsid w:val="00EB7954"/>
    <w:rsid w:val="00EC1047"/>
    <w:rsid w:val="00EC38DD"/>
    <w:rsid w:val="00EC5B45"/>
    <w:rsid w:val="00EC6B86"/>
    <w:rsid w:val="00EC722B"/>
    <w:rsid w:val="00ED3038"/>
    <w:rsid w:val="00ED3AAA"/>
    <w:rsid w:val="00ED6447"/>
    <w:rsid w:val="00EE20C7"/>
    <w:rsid w:val="00EE3C33"/>
    <w:rsid w:val="00EE6532"/>
    <w:rsid w:val="00EE7CC9"/>
    <w:rsid w:val="00EF2D05"/>
    <w:rsid w:val="00EF3D02"/>
    <w:rsid w:val="00EF3F38"/>
    <w:rsid w:val="00EF47F9"/>
    <w:rsid w:val="00EF627A"/>
    <w:rsid w:val="00EF7221"/>
    <w:rsid w:val="00F0083C"/>
    <w:rsid w:val="00F02DAB"/>
    <w:rsid w:val="00F05F94"/>
    <w:rsid w:val="00F07F80"/>
    <w:rsid w:val="00F12ACD"/>
    <w:rsid w:val="00F16743"/>
    <w:rsid w:val="00F17803"/>
    <w:rsid w:val="00F17C12"/>
    <w:rsid w:val="00F210B7"/>
    <w:rsid w:val="00F257CF"/>
    <w:rsid w:val="00F310A6"/>
    <w:rsid w:val="00F373DA"/>
    <w:rsid w:val="00F43B54"/>
    <w:rsid w:val="00F43DAF"/>
    <w:rsid w:val="00F45B53"/>
    <w:rsid w:val="00F5419D"/>
    <w:rsid w:val="00F54DD6"/>
    <w:rsid w:val="00F61C74"/>
    <w:rsid w:val="00F6219A"/>
    <w:rsid w:val="00F645F5"/>
    <w:rsid w:val="00F668F3"/>
    <w:rsid w:val="00F72C13"/>
    <w:rsid w:val="00F76001"/>
    <w:rsid w:val="00F81214"/>
    <w:rsid w:val="00F818E7"/>
    <w:rsid w:val="00F82A7B"/>
    <w:rsid w:val="00F85C79"/>
    <w:rsid w:val="00F972BC"/>
    <w:rsid w:val="00F977BA"/>
    <w:rsid w:val="00FA1F96"/>
    <w:rsid w:val="00FA41EF"/>
    <w:rsid w:val="00FA5C09"/>
    <w:rsid w:val="00FB0D63"/>
    <w:rsid w:val="00FB17BE"/>
    <w:rsid w:val="00FB5351"/>
    <w:rsid w:val="00FB69BC"/>
    <w:rsid w:val="00FB6EFB"/>
    <w:rsid w:val="00FB73CD"/>
    <w:rsid w:val="00FB7A87"/>
    <w:rsid w:val="00FC0961"/>
    <w:rsid w:val="00FC19DA"/>
    <w:rsid w:val="00FC20E1"/>
    <w:rsid w:val="00FC5C6D"/>
    <w:rsid w:val="00FC6142"/>
    <w:rsid w:val="00FC6BF0"/>
    <w:rsid w:val="00FC6C7C"/>
    <w:rsid w:val="00FC6FFC"/>
    <w:rsid w:val="00FD0A65"/>
    <w:rsid w:val="00FD0C56"/>
    <w:rsid w:val="00FD2B76"/>
    <w:rsid w:val="00FD359C"/>
    <w:rsid w:val="00FD4F5B"/>
    <w:rsid w:val="00FD669F"/>
    <w:rsid w:val="00FE33CF"/>
    <w:rsid w:val="00FE3E84"/>
    <w:rsid w:val="00FE49AD"/>
    <w:rsid w:val="00FE669F"/>
    <w:rsid w:val="00FE6949"/>
    <w:rsid w:val="00FF2CC7"/>
    <w:rsid w:val="00FF5690"/>
    <w:rsid w:val="00FF635B"/>
    <w:rsid w:val="00FF72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1B55E2"/>
  <w15:docId w15:val="{EED2610C-00FD-40DF-AB3B-79DE166A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397"/>
    <w:pPr>
      <w:widowControl w:val="0"/>
    </w:pPr>
    <w:rPr>
      <w:rFonts w:ascii="Times New Roman" w:hAnsi="Times New Roman"/>
      <w:szCs w:val="24"/>
    </w:rPr>
  </w:style>
  <w:style w:type="paragraph" w:styleId="1">
    <w:name w:val="heading 1"/>
    <w:basedOn w:val="a"/>
    <w:next w:val="a"/>
    <w:link w:val="10"/>
    <w:uiPriority w:val="99"/>
    <w:qFormat/>
    <w:locked/>
    <w:rsid w:val="0098666F"/>
    <w:pPr>
      <w:keepNext/>
      <w:spacing w:before="180" w:after="180" w:line="720" w:lineRule="auto"/>
      <w:outlineLvl w:val="0"/>
    </w:pPr>
    <w:rPr>
      <w:rFonts w:ascii="Cambria" w:hAnsi="Cambria"/>
      <w:b/>
      <w:bCs/>
      <w:kern w:val="52"/>
      <w:sz w:val="52"/>
      <w:szCs w:val="52"/>
    </w:rPr>
  </w:style>
  <w:style w:type="paragraph" w:styleId="2">
    <w:name w:val="heading 2"/>
    <w:basedOn w:val="a"/>
    <w:next w:val="a"/>
    <w:link w:val="20"/>
    <w:semiHidden/>
    <w:unhideWhenUsed/>
    <w:qFormat/>
    <w:locked/>
    <w:rsid w:val="00646FFD"/>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98666F"/>
    <w:rPr>
      <w:rFonts w:ascii="Cambria" w:hAnsi="Cambria" w:cs="Times New Roman"/>
      <w:b/>
      <w:bCs/>
      <w:kern w:val="52"/>
      <w:sz w:val="52"/>
      <w:szCs w:val="52"/>
    </w:rPr>
  </w:style>
  <w:style w:type="paragraph" w:styleId="a3">
    <w:name w:val="List Paragraph"/>
    <w:basedOn w:val="a"/>
    <w:uiPriority w:val="34"/>
    <w:qFormat/>
    <w:rsid w:val="00AE225C"/>
    <w:pPr>
      <w:ind w:leftChars="200" w:left="480"/>
    </w:pPr>
    <w:rPr>
      <w:rFonts w:ascii="Calibri" w:hAnsi="Calibri"/>
      <w:szCs w:val="22"/>
    </w:rPr>
  </w:style>
  <w:style w:type="character" w:styleId="a4">
    <w:name w:val="annotation reference"/>
    <w:basedOn w:val="a0"/>
    <w:uiPriority w:val="99"/>
    <w:semiHidden/>
    <w:rsid w:val="00366A06"/>
    <w:rPr>
      <w:rFonts w:cs="Times New Roman"/>
      <w:sz w:val="18"/>
      <w:szCs w:val="18"/>
    </w:rPr>
  </w:style>
  <w:style w:type="paragraph" w:styleId="a5">
    <w:name w:val="annotation text"/>
    <w:basedOn w:val="a"/>
    <w:link w:val="a6"/>
    <w:uiPriority w:val="99"/>
    <w:semiHidden/>
    <w:rsid w:val="00366A06"/>
  </w:style>
  <w:style w:type="character" w:customStyle="1" w:styleId="a6">
    <w:name w:val="註解文字 字元"/>
    <w:basedOn w:val="a0"/>
    <w:link w:val="a5"/>
    <w:uiPriority w:val="99"/>
    <w:semiHidden/>
    <w:locked/>
    <w:rsid w:val="00366A06"/>
    <w:rPr>
      <w:rFonts w:ascii="Times New Roman" w:eastAsia="新細明體" w:hAnsi="Times New Roman" w:cs="Times New Roman"/>
      <w:sz w:val="24"/>
      <w:szCs w:val="24"/>
    </w:rPr>
  </w:style>
  <w:style w:type="paragraph" w:styleId="a7">
    <w:name w:val="annotation subject"/>
    <w:basedOn w:val="a5"/>
    <w:next w:val="a5"/>
    <w:link w:val="a8"/>
    <w:uiPriority w:val="99"/>
    <w:semiHidden/>
    <w:rsid w:val="00366A06"/>
    <w:rPr>
      <w:b/>
      <w:bCs/>
    </w:rPr>
  </w:style>
  <w:style w:type="character" w:customStyle="1" w:styleId="a8">
    <w:name w:val="註解主旨 字元"/>
    <w:basedOn w:val="a6"/>
    <w:link w:val="a7"/>
    <w:uiPriority w:val="99"/>
    <w:semiHidden/>
    <w:locked/>
    <w:rsid w:val="00366A06"/>
    <w:rPr>
      <w:rFonts w:ascii="Times New Roman" w:eastAsia="新細明體" w:hAnsi="Times New Roman" w:cs="Times New Roman"/>
      <w:b/>
      <w:bCs/>
      <w:sz w:val="24"/>
      <w:szCs w:val="24"/>
    </w:rPr>
  </w:style>
  <w:style w:type="paragraph" w:styleId="a9">
    <w:name w:val="Balloon Text"/>
    <w:basedOn w:val="a"/>
    <w:link w:val="aa"/>
    <w:uiPriority w:val="99"/>
    <w:semiHidden/>
    <w:rsid w:val="00366A06"/>
    <w:rPr>
      <w:rFonts w:ascii="Cambria" w:hAnsi="Cambria"/>
      <w:sz w:val="18"/>
      <w:szCs w:val="18"/>
    </w:rPr>
  </w:style>
  <w:style w:type="character" w:customStyle="1" w:styleId="aa">
    <w:name w:val="註解方塊文字 字元"/>
    <w:basedOn w:val="a0"/>
    <w:link w:val="a9"/>
    <w:uiPriority w:val="99"/>
    <w:semiHidden/>
    <w:locked/>
    <w:rsid w:val="00366A06"/>
    <w:rPr>
      <w:rFonts w:ascii="Cambria" w:eastAsia="新細明體" w:hAnsi="Cambria" w:cs="Times New Roman"/>
      <w:sz w:val="18"/>
      <w:szCs w:val="18"/>
    </w:rPr>
  </w:style>
  <w:style w:type="table" w:styleId="ab">
    <w:name w:val="Table Grid"/>
    <w:basedOn w:val="a1"/>
    <w:uiPriority w:val="99"/>
    <w:rsid w:val="00366A06"/>
    <w:pPr>
      <w:widowControl w:val="0"/>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99"/>
    <w:qFormat/>
    <w:rsid w:val="00366A06"/>
    <w:pPr>
      <w:widowControl w:val="0"/>
    </w:pPr>
  </w:style>
  <w:style w:type="paragraph" w:styleId="ad">
    <w:name w:val="header"/>
    <w:basedOn w:val="a"/>
    <w:link w:val="ae"/>
    <w:uiPriority w:val="99"/>
    <w:rsid w:val="00BA7A9B"/>
    <w:pPr>
      <w:tabs>
        <w:tab w:val="center" w:pos="4153"/>
        <w:tab w:val="right" w:pos="8306"/>
      </w:tabs>
      <w:snapToGrid w:val="0"/>
    </w:pPr>
    <w:rPr>
      <w:sz w:val="20"/>
      <w:szCs w:val="20"/>
    </w:rPr>
  </w:style>
  <w:style w:type="character" w:customStyle="1" w:styleId="ae">
    <w:name w:val="頁首 字元"/>
    <w:basedOn w:val="a0"/>
    <w:link w:val="ad"/>
    <w:uiPriority w:val="99"/>
    <w:locked/>
    <w:rsid w:val="00BA7A9B"/>
    <w:rPr>
      <w:rFonts w:ascii="Times New Roman" w:eastAsia="新細明體" w:hAnsi="Times New Roman" w:cs="Times New Roman"/>
      <w:sz w:val="20"/>
      <w:szCs w:val="20"/>
    </w:rPr>
  </w:style>
  <w:style w:type="paragraph" w:styleId="af">
    <w:name w:val="footer"/>
    <w:basedOn w:val="a"/>
    <w:link w:val="af0"/>
    <w:uiPriority w:val="99"/>
    <w:rsid w:val="00BA7A9B"/>
    <w:pPr>
      <w:tabs>
        <w:tab w:val="center" w:pos="4153"/>
        <w:tab w:val="right" w:pos="8306"/>
      </w:tabs>
      <w:snapToGrid w:val="0"/>
    </w:pPr>
    <w:rPr>
      <w:sz w:val="20"/>
      <w:szCs w:val="20"/>
    </w:rPr>
  </w:style>
  <w:style w:type="character" w:customStyle="1" w:styleId="af0">
    <w:name w:val="頁尾 字元"/>
    <w:basedOn w:val="a0"/>
    <w:link w:val="af"/>
    <w:uiPriority w:val="99"/>
    <w:locked/>
    <w:rsid w:val="00BA7A9B"/>
    <w:rPr>
      <w:rFonts w:ascii="Times New Roman" w:eastAsia="新細明體" w:hAnsi="Times New Roman" w:cs="Times New Roman"/>
      <w:sz w:val="20"/>
      <w:szCs w:val="20"/>
    </w:rPr>
  </w:style>
  <w:style w:type="character" w:styleId="af1">
    <w:name w:val="Hyperlink"/>
    <w:basedOn w:val="a0"/>
    <w:uiPriority w:val="99"/>
    <w:rsid w:val="00BA7A9B"/>
    <w:rPr>
      <w:rFonts w:cs="Times New Roman"/>
      <w:color w:val="0000FF"/>
      <w:u w:val="single"/>
    </w:rPr>
  </w:style>
  <w:style w:type="character" w:styleId="af2">
    <w:name w:val="Strong"/>
    <w:basedOn w:val="a0"/>
    <w:qFormat/>
    <w:rsid w:val="00BA7A9B"/>
    <w:rPr>
      <w:rFonts w:cs="Times New Roman"/>
      <w:b/>
    </w:rPr>
  </w:style>
  <w:style w:type="character" w:customStyle="1" w:styleId="shorttext">
    <w:name w:val="short_text"/>
    <w:basedOn w:val="a0"/>
    <w:uiPriority w:val="99"/>
    <w:rsid w:val="003B1301"/>
    <w:rPr>
      <w:rFonts w:cs="Times New Roman"/>
    </w:rPr>
  </w:style>
  <w:style w:type="paragraph" w:customStyle="1" w:styleId="Default">
    <w:name w:val="Default"/>
    <w:uiPriority w:val="99"/>
    <w:rsid w:val="007F1EB7"/>
    <w:pPr>
      <w:widowControl w:val="0"/>
      <w:autoSpaceDE w:val="0"/>
      <w:autoSpaceDN w:val="0"/>
      <w:adjustRightInd w:val="0"/>
    </w:pPr>
    <w:rPr>
      <w:rFonts w:ascii="Times New Roman" w:hAnsi="Times New Roman"/>
      <w:color w:val="000000"/>
      <w:kern w:val="0"/>
      <w:szCs w:val="24"/>
    </w:rPr>
  </w:style>
  <w:style w:type="character" w:styleId="af3">
    <w:name w:val="page number"/>
    <w:basedOn w:val="a0"/>
    <w:uiPriority w:val="99"/>
    <w:rsid w:val="00FB3E58"/>
    <w:rPr>
      <w:rFonts w:cs="Times New Roman"/>
    </w:rPr>
  </w:style>
  <w:style w:type="paragraph" w:customStyle="1" w:styleId="af4">
    <w:name w:val="論文內文"/>
    <w:basedOn w:val="a"/>
    <w:link w:val="af5"/>
    <w:uiPriority w:val="99"/>
    <w:rsid w:val="002906C0"/>
    <w:pPr>
      <w:spacing w:line="480" w:lineRule="auto"/>
      <w:ind w:firstLine="480"/>
      <w:jc w:val="both"/>
    </w:pPr>
    <w:rPr>
      <w:rFonts w:ascii="標楷體" w:eastAsia="標楷體" w:hAnsi="標楷體"/>
      <w:kern w:val="0"/>
      <w:szCs w:val="20"/>
      <w:lang w:val="en-CA"/>
    </w:rPr>
  </w:style>
  <w:style w:type="character" w:customStyle="1" w:styleId="af5">
    <w:name w:val="論文內文 字元"/>
    <w:link w:val="af4"/>
    <w:uiPriority w:val="99"/>
    <w:locked/>
    <w:rsid w:val="002906C0"/>
    <w:rPr>
      <w:rFonts w:ascii="標楷體" w:eastAsia="標楷體" w:hAnsi="標楷體"/>
      <w:kern w:val="0"/>
      <w:sz w:val="24"/>
      <w:lang w:val="en-CA"/>
    </w:rPr>
  </w:style>
  <w:style w:type="character" w:styleId="af6">
    <w:name w:val="Emphasis"/>
    <w:basedOn w:val="a0"/>
    <w:uiPriority w:val="99"/>
    <w:qFormat/>
    <w:locked/>
    <w:rsid w:val="00D61281"/>
    <w:rPr>
      <w:rFonts w:cs="Times New Roman"/>
      <w:i/>
    </w:rPr>
  </w:style>
  <w:style w:type="paragraph" w:styleId="af7">
    <w:name w:val="footnote text"/>
    <w:basedOn w:val="a"/>
    <w:link w:val="af8"/>
    <w:rsid w:val="006F2A28"/>
    <w:pPr>
      <w:snapToGrid w:val="0"/>
    </w:pPr>
    <w:rPr>
      <w:sz w:val="20"/>
      <w:szCs w:val="20"/>
    </w:rPr>
  </w:style>
  <w:style w:type="character" w:customStyle="1" w:styleId="af8">
    <w:name w:val="註腳文字 字元"/>
    <w:basedOn w:val="a0"/>
    <w:link w:val="af7"/>
    <w:locked/>
    <w:rsid w:val="006F2A28"/>
    <w:rPr>
      <w:rFonts w:ascii="Times New Roman" w:hAnsi="Times New Roman" w:cs="Times New Roman"/>
      <w:sz w:val="20"/>
      <w:szCs w:val="20"/>
    </w:rPr>
  </w:style>
  <w:style w:type="character" w:styleId="af9">
    <w:name w:val="footnote reference"/>
    <w:basedOn w:val="a0"/>
    <w:rsid w:val="006F2A28"/>
    <w:rPr>
      <w:rFonts w:cs="Times New Roman"/>
      <w:vertAlign w:val="superscript"/>
    </w:rPr>
  </w:style>
  <w:style w:type="character" w:customStyle="1" w:styleId="fontstyle01">
    <w:name w:val="fontstyle01"/>
    <w:basedOn w:val="a0"/>
    <w:uiPriority w:val="99"/>
    <w:rsid w:val="00330374"/>
    <w:rPr>
      <w:rFonts w:ascii="Times-Roman" w:hAnsi="Times-Roman" w:cs="Times New Roman"/>
      <w:color w:val="000000"/>
      <w:sz w:val="22"/>
      <w:szCs w:val="22"/>
    </w:rPr>
  </w:style>
  <w:style w:type="character" w:customStyle="1" w:styleId="articlecitationvolume">
    <w:name w:val="articlecitation_volume"/>
    <w:basedOn w:val="a0"/>
    <w:uiPriority w:val="99"/>
    <w:rsid w:val="00664AE2"/>
    <w:rPr>
      <w:rFonts w:cs="Times New Roman"/>
    </w:rPr>
  </w:style>
  <w:style w:type="character" w:customStyle="1" w:styleId="articlecitationpages">
    <w:name w:val="articlecitation_pages"/>
    <w:basedOn w:val="a0"/>
    <w:uiPriority w:val="99"/>
    <w:rsid w:val="00664AE2"/>
    <w:rPr>
      <w:rFonts w:cs="Times New Roman"/>
    </w:rPr>
  </w:style>
  <w:style w:type="character" w:customStyle="1" w:styleId="gt-baf-word-clickable">
    <w:name w:val="gt-baf-word-clickable"/>
    <w:basedOn w:val="a0"/>
    <w:rsid w:val="00297E35"/>
  </w:style>
  <w:style w:type="character" w:customStyle="1" w:styleId="apple-style-span">
    <w:name w:val="apple-style-span"/>
    <w:basedOn w:val="a0"/>
    <w:rsid w:val="007C5608"/>
  </w:style>
  <w:style w:type="character" w:customStyle="1" w:styleId="referencetext1">
    <w:name w:val="referencetext1"/>
    <w:basedOn w:val="a0"/>
    <w:rsid w:val="007C5608"/>
  </w:style>
  <w:style w:type="paragraph" w:customStyle="1" w:styleId="4-10">
    <w:name w:val="表4-10"/>
    <w:basedOn w:val="a"/>
    <w:link w:val="4-100"/>
    <w:qFormat/>
    <w:rsid w:val="001D75C8"/>
    <w:pPr>
      <w:spacing w:line="360" w:lineRule="auto"/>
      <w:jc w:val="center"/>
    </w:pPr>
    <w:rPr>
      <w:rFonts w:eastAsia="標楷體" w:hAnsi="標楷體"/>
      <w:szCs w:val="22"/>
    </w:rPr>
  </w:style>
  <w:style w:type="character" w:customStyle="1" w:styleId="4-100">
    <w:name w:val="表4-10 字元"/>
    <w:link w:val="4-10"/>
    <w:rsid w:val="001D75C8"/>
    <w:rPr>
      <w:rFonts w:ascii="Times New Roman" w:eastAsia="標楷體" w:hAnsi="標楷體"/>
    </w:rPr>
  </w:style>
  <w:style w:type="numbering" w:customStyle="1" w:styleId="11">
    <w:name w:val="無清單1"/>
    <w:next w:val="a2"/>
    <w:uiPriority w:val="99"/>
    <w:semiHidden/>
    <w:unhideWhenUsed/>
    <w:rsid w:val="001C4C81"/>
  </w:style>
  <w:style w:type="character" w:styleId="afa">
    <w:name w:val="FollowedHyperlink"/>
    <w:basedOn w:val="a0"/>
    <w:uiPriority w:val="99"/>
    <w:semiHidden/>
    <w:unhideWhenUsed/>
    <w:rsid w:val="00E4610A"/>
    <w:rPr>
      <w:color w:val="800080" w:themeColor="followedHyperlink"/>
      <w:u w:val="single"/>
    </w:rPr>
  </w:style>
  <w:style w:type="paragraph" w:styleId="afb">
    <w:name w:val="Revision"/>
    <w:hidden/>
    <w:uiPriority w:val="99"/>
    <w:semiHidden/>
    <w:rsid w:val="00FD0A65"/>
    <w:rPr>
      <w:rFonts w:ascii="Times New Roman" w:hAnsi="Times New Roman"/>
      <w:szCs w:val="24"/>
    </w:rPr>
  </w:style>
  <w:style w:type="character" w:customStyle="1" w:styleId="20">
    <w:name w:val="標題 2 字元"/>
    <w:basedOn w:val="a0"/>
    <w:link w:val="2"/>
    <w:semiHidden/>
    <w:rsid w:val="00646FFD"/>
    <w:rPr>
      <w:rFonts w:asciiTheme="majorHAnsi" w:eastAsiaTheme="majorEastAsia" w:hAnsiTheme="majorHAnsi" w:cstheme="majorBidi"/>
      <w:b/>
      <w:bCs/>
      <w:sz w:val="48"/>
      <w:szCs w:val="48"/>
    </w:rPr>
  </w:style>
  <w:style w:type="character" w:styleId="afc">
    <w:name w:val="line number"/>
    <w:basedOn w:val="a0"/>
    <w:uiPriority w:val="99"/>
    <w:semiHidden/>
    <w:unhideWhenUsed/>
    <w:rsid w:val="000C0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795013">
      <w:bodyDiv w:val="1"/>
      <w:marLeft w:val="0"/>
      <w:marRight w:val="0"/>
      <w:marTop w:val="0"/>
      <w:marBottom w:val="0"/>
      <w:divBdr>
        <w:top w:val="none" w:sz="0" w:space="0" w:color="auto"/>
        <w:left w:val="none" w:sz="0" w:space="0" w:color="auto"/>
        <w:bottom w:val="none" w:sz="0" w:space="0" w:color="auto"/>
        <w:right w:val="none" w:sz="0" w:space="0" w:color="auto"/>
      </w:divBdr>
      <w:divsChild>
        <w:div w:id="447704034">
          <w:marLeft w:val="0"/>
          <w:marRight w:val="0"/>
          <w:marTop w:val="0"/>
          <w:marBottom w:val="0"/>
          <w:divBdr>
            <w:top w:val="none" w:sz="0" w:space="0" w:color="auto"/>
            <w:left w:val="none" w:sz="0" w:space="0" w:color="auto"/>
            <w:bottom w:val="none" w:sz="0" w:space="0" w:color="auto"/>
            <w:right w:val="none" w:sz="0" w:space="0" w:color="auto"/>
          </w:divBdr>
          <w:divsChild>
            <w:div w:id="2003389256">
              <w:marLeft w:val="0"/>
              <w:marRight w:val="0"/>
              <w:marTop w:val="100"/>
              <w:marBottom w:val="100"/>
              <w:divBdr>
                <w:top w:val="none" w:sz="0" w:space="0" w:color="auto"/>
                <w:left w:val="none" w:sz="0" w:space="0" w:color="auto"/>
                <w:bottom w:val="none" w:sz="0" w:space="0" w:color="auto"/>
                <w:right w:val="none" w:sz="0" w:space="0" w:color="auto"/>
              </w:divBdr>
              <w:divsChild>
                <w:div w:id="1659458259">
                  <w:marLeft w:val="0"/>
                  <w:marRight w:val="0"/>
                  <w:marTop w:val="0"/>
                  <w:marBottom w:val="0"/>
                  <w:divBdr>
                    <w:top w:val="none" w:sz="0" w:space="0" w:color="auto"/>
                    <w:left w:val="none" w:sz="0" w:space="0" w:color="auto"/>
                    <w:bottom w:val="none" w:sz="0" w:space="0" w:color="auto"/>
                    <w:right w:val="none" w:sz="0" w:space="0" w:color="auto"/>
                  </w:divBdr>
                  <w:divsChild>
                    <w:div w:id="2062702699">
                      <w:marLeft w:val="0"/>
                      <w:marRight w:val="0"/>
                      <w:marTop w:val="0"/>
                      <w:marBottom w:val="0"/>
                      <w:divBdr>
                        <w:top w:val="none" w:sz="0" w:space="0" w:color="auto"/>
                        <w:left w:val="none" w:sz="0" w:space="0" w:color="auto"/>
                        <w:bottom w:val="none" w:sz="0" w:space="0" w:color="auto"/>
                        <w:right w:val="none" w:sz="0" w:space="0" w:color="auto"/>
                      </w:divBdr>
                      <w:divsChild>
                        <w:div w:id="326639318">
                          <w:marLeft w:val="0"/>
                          <w:marRight w:val="0"/>
                          <w:marTop w:val="100"/>
                          <w:marBottom w:val="100"/>
                          <w:divBdr>
                            <w:top w:val="none" w:sz="0" w:space="0" w:color="auto"/>
                            <w:left w:val="none" w:sz="0" w:space="0" w:color="auto"/>
                            <w:bottom w:val="none" w:sz="0" w:space="0" w:color="auto"/>
                            <w:right w:val="none" w:sz="0" w:space="0" w:color="auto"/>
                          </w:divBdr>
                          <w:divsChild>
                            <w:div w:id="537400253">
                              <w:marLeft w:val="0"/>
                              <w:marRight w:val="0"/>
                              <w:marTop w:val="0"/>
                              <w:marBottom w:val="0"/>
                              <w:divBdr>
                                <w:top w:val="none" w:sz="0" w:space="0" w:color="auto"/>
                                <w:left w:val="none" w:sz="0" w:space="0" w:color="auto"/>
                                <w:bottom w:val="none" w:sz="0" w:space="0" w:color="auto"/>
                                <w:right w:val="none" w:sz="0" w:space="0" w:color="auto"/>
                              </w:divBdr>
                            </w:div>
                            <w:div w:id="349338799">
                              <w:marLeft w:val="0"/>
                              <w:marRight w:val="0"/>
                              <w:marTop w:val="0"/>
                              <w:marBottom w:val="0"/>
                              <w:divBdr>
                                <w:top w:val="none" w:sz="0" w:space="0" w:color="auto"/>
                                <w:left w:val="none" w:sz="0" w:space="0" w:color="auto"/>
                                <w:bottom w:val="none" w:sz="0" w:space="0" w:color="auto"/>
                                <w:right w:val="none" w:sz="0" w:space="0" w:color="auto"/>
                              </w:divBdr>
                              <w:divsChild>
                                <w:div w:id="1468743102">
                                  <w:marLeft w:val="0"/>
                                  <w:marRight w:val="0"/>
                                  <w:marTop w:val="0"/>
                                  <w:marBottom w:val="120"/>
                                  <w:divBdr>
                                    <w:top w:val="none" w:sz="0" w:space="0" w:color="auto"/>
                                    <w:left w:val="none" w:sz="0" w:space="0" w:color="auto"/>
                                    <w:bottom w:val="none" w:sz="0" w:space="0" w:color="auto"/>
                                    <w:right w:val="none" w:sz="0" w:space="0" w:color="auto"/>
                                  </w:divBdr>
                                  <w:divsChild>
                                    <w:div w:id="1362172942">
                                      <w:marLeft w:val="0"/>
                                      <w:marRight w:val="0"/>
                                      <w:marTop w:val="0"/>
                                      <w:marBottom w:val="0"/>
                                      <w:divBdr>
                                        <w:top w:val="none" w:sz="0" w:space="0" w:color="auto"/>
                                        <w:left w:val="none" w:sz="0" w:space="0" w:color="auto"/>
                                        <w:bottom w:val="none" w:sz="0" w:space="0" w:color="auto"/>
                                        <w:right w:val="none" w:sz="0" w:space="0" w:color="auto"/>
                                      </w:divBdr>
                                    </w:div>
                                  </w:divsChild>
                                </w:div>
                                <w:div w:id="1520729100">
                                  <w:marLeft w:val="0"/>
                                  <w:marRight w:val="0"/>
                                  <w:marTop w:val="0"/>
                                  <w:marBottom w:val="120"/>
                                  <w:divBdr>
                                    <w:top w:val="none" w:sz="0" w:space="0" w:color="auto"/>
                                    <w:left w:val="none" w:sz="0" w:space="0" w:color="auto"/>
                                    <w:bottom w:val="none" w:sz="0" w:space="0" w:color="auto"/>
                                    <w:right w:val="none" w:sz="0" w:space="0" w:color="auto"/>
                                  </w:divBdr>
                                  <w:divsChild>
                                    <w:div w:id="10241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22716">
                              <w:marLeft w:val="0"/>
                              <w:marRight w:val="0"/>
                              <w:marTop w:val="0"/>
                              <w:marBottom w:val="480"/>
                              <w:divBdr>
                                <w:top w:val="none" w:sz="0" w:space="0" w:color="auto"/>
                                <w:left w:val="none" w:sz="0" w:space="0" w:color="auto"/>
                                <w:bottom w:val="single" w:sz="12" w:space="24" w:color="EBEBEB"/>
                                <w:right w:val="none" w:sz="0" w:space="0" w:color="auto"/>
                              </w:divBdr>
                              <w:divsChild>
                                <w:div w:id="1780176012">
                                  <w:marLeft w:val="0"/>
                                  <w:marRight w:val="0"/>
                                  <w:marTop w:val="0"/>
                                  <w:marBottom w:val="0"/>
                                  <w:divBdr>
                                    <w:top w:val="none" w:sz="0" w:space="0" w:color="auto"/>
                                    <w:left w:val="none" w:sz="0" w:space="0" w:color="auto"/>
                                    <w:bottom w:val="none" w:sz="0" w:space="0" w:color="auto"/>
                                    <w:right w:val="none" w:sz="0" w:space="0" w:color="auto"/>
                                  </w:divBdr>
                                  <w:divsChild>
                                    <w:div w:id="264962567">
                                      <w:marLeft w:val="0"/>
                                      <w:marRight w:val="0"/>
                                      <w:marTop w:val="0"/>
                                      <w:marBottom w:val="0"/>
                                      <w:divBdr>
                                        <w:top w:val="none" w:sz="0" w:space="0" w:color="auto"/>
                                        <w:left w:val="none" w:sz="0" w:space="0" w:color="auto"/>
                                        <w:bottom w:val="none" w:sz="0" w:space="0" w:color="auto"/>
                                        <w:right w:val="none" w:sz="0" w:space="0" w:color="auto"/>
                                      </w:divBdr>
                                    </w:div>
                                    <w:div w:id="1174220838">
                                      <w:marLeft w:val="0"/>
                                      <w:marRight w:val="0"/>
                                      <w:marTop w:val="0"/>
                                      <w:marBottom w:val="0"/>
                                      <w:divBdr>
                                        <w:top w:val="none" w:sz="0" w:space="0" w:color="auto"/>
                                        <w:left w:val="none" w:sz="0" w:space="0" w:color="auto"/>
                                        <w:bottom w:val="none" w:sz="0" w:space="0" w:color="auto"/>
                                        <w:right w:val="none" w:sz="0" w:space="0" w:color="auto"/>
                                      </w:divBdr>
                                    </w:div>
                                    <w:div w:id="1129468529">
                                      <w:marLeft w:val="0"/>
                                      <w:marRight w:val="0"/>
                                      <w:marTop w:val="0"/>
                                      <w:marBottom w:val="0"/>
                                      <w:divBdr>
                                        <w:top w:val="none" w:sz="0" w:space="0" w:color="auto"/>
                                        <w:left w:val="none" w:sz="0" w:space="0" w:color="auto"/>
                                        <w:bottom w:val="none" w:sz="0" w:space="0" w:color="auto"/>
                                        <w:right w:val="none" w:sz="0" w:space="0" w:color="auto"/>
                                      </w:divBdr>
                                    </w:div>
                                  </w:divsChild>
                                </w:div>
                                <w:div w:id="1393502260">
                                  <w:marLeft w:val="0"/>
                                  <w:marRight w:val="0"/>
                                  <w:marTop w:val="0"/>
                                  <w:marBottom w:val="0"/>
                                  <w:divBdr>
                                    <w:top w:val="none" w:sz="0" w:space="0" w:color="auto"/>
                                    <w:left w:val="none" w:sz="0" w:space="0" w:color="auto"/>
                                    <w:bottom w:val="none" w:sz="0" w:space="0" w:color="auto"/>
                                    <w:right w:val="none" w:sz="0" w:space="0" w:color="auto"/>
                                  </w:divBdr>
                                  <w:divsChild>
                                    <w:div w:id="670058934">
                                      <w:marLeft w:val="0"/>
                                      <w:marRight w:val="0"/>
                                      <w:marTop w:val="0"/>
                                      <w:marBottom w:val="0"/>
                                      <w:divBdr>
                                        <w:top w:val="none" w:sz="0" w:space="0" w:color="auto"/>
                                        <w:left w:val="none" w:sz="0" w:space="0" w:color="auto"/>
                                        <w:bottom w:val="none" w:sz="0" w:space="0" w:color="auto"/>
                                        <w:right w:val="none" w:sz="0" w:space="0" w:color="auto"/>
                                      </w:divBdr>
                                    </w:div>
                                    <w:div w:id="17156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9233">
                              <w:marLeft w:val="0"/>
                              <w:marRight w:val="0"/>
                              <w:marTop w:val="300"/>
                              <w:marBottom w:val="300"/>
                              <w:divBdr>
                                <w:top w:val="none" w:sz="0" w:space="0" w:color="auto"/>
                                <w:left w:val="none" w:sz="0" w:space="0" w:color="auto"/>
                                <w:bottom w:val="none" w:sz="0" w:space="0" w:color="auto"/>
                                <w:right w:val="none" w:sz="0" w:space="0" w:color="auto"/>
                              </w:divBdr>
                            </w:div>
                            <w:div w:id="966471984">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1629622883">
                      <w:marLeft w:val="0"/>
                      <w:marRight w:val="0"/>
                      <w:marTop w:val="0"/>
                      <w:marBottom w:val="0"/>
                      <w:divBdr>
                        <w:top w:val="none" w:sz="0" w:space="0" w:color="auto"/>
                        <w:left w:val="none" w:sz="0" w:space="0" w:color="auto"/>
                        <w:bottom w:val="none" w:sz="0" w:space="0" w:color="auto"/>
                        <w:right w:val="none" w:sz="0" w:space="0" w:color="auto"/>
                      </w:divBdr>
                      <w:divsChild>
                        <w:div w:id="9333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8.bin"/><Relationship Id="rId21" Type="http://schemas.openxmlformats.org/officeDocument/2006/relationships/oleObject" Target="embeddings/oleObject6.bin"/><Relationship Id="rId34" Type="http://schemas.openxmlformats.org/officeDocument/2006/relationships/oleObject" Target="embeddings/oleObject14.bin"/><Relationship Id="rId42" Type="http://schemas.openxmlformats.org/officeDocument/2006/relationships/oleObject" Target="embeddings/oleObject21.bin"/><Relationship Id="rId47" Type="http://schemas.openxmlformats.org/officeDocument/2006/relationships/oleObject" Target="embeddings/oleObject24.bin"/><Relationship Id="rId50" Type="http://schemas.openxmlformats.org/officeDocument/2006/relationships/oleObject" Target="embeddings/oleObject26.bin"/><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1.wmf"/><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oleObject" Target="embeddings/oleObject23.bin"/><Relationship Id="rId53" Type="http://schemas.openxmlformats.org/officeDocument/2006/relationships/oleObject" Target="embeddings/oleObject29.bin"/><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image" Target="media/image12.wmf"/><Relationship Id="rId43" Type="http://schemas.openxmlformats.org/officeDocument/2006/relationships/oleObject" Target="embeddings/oleObject22.bin"/><Relationship Id="rId48" Type="http://schemas.openxmlformats.org/officeDocument/2006/relationships/image" Target="media/image15.wmf"/><Relationship Id="rId56" Type="http://schemas.openxmlformats.org/officeDocument/2006/relationships/header" Target="header2.xml"/><Relationship Id="rId8" Type="http://schemas.openxmlformats.org/officeDocument/2006/relationships/hyperlink" Target="mailto:hpy@scu.edu.tw" TargetMode="External"/><Relationship Id="rId51" Type="http://schemas.openxmlformats.org/officeDocument/2006/relationships/oleObject" Target="embeddings/oleObject27.bin"/><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image" Target="media/image14.wmf"/><Relationship Id="rId59" Type="http://schemas.openxmlformats.org/officeDocument/2006/relationships/header" Target="header3.xml"/><Relationship Id="rId20" Type="http://schemas.openxmlformats.org/officeDocument/2006/relationships/image" Target="media/image6.wmf"/><Relationship Id="rId41" Type="http://schemas.openxmlformats.org/officeDocument/2006/relationships/oleObject" Target="embeddings/oleObject20.bin"/><Relationship Id="rId54" Type="http://schemas.openxmlformats.org/officeDocument/2006/relationships/hyperlink" Target="https://ssrn.com/abstract=272434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5.bin"/><Relationship Id="rId57" Type="http://schemas.openxmlformats.org/officeDocument/2006/relationships/footer" Target="footer1.xml"/><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image" Target="media/image13.wmf"/><Relationship Id="rId52" Type="http://schemas.openxmlformats.org/officeDocument/2006/relationships/oleObject" Target="embeddings/oleObject28.bin"/><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ebmail.scu.edu.tw/cgi-bin/genMail?adr=yirung@scsb.com.tw&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4592D-0181-4F08-912F-DB8C5CCAB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10526</Words>
  <Characters>63074</Characters>
  <Application>Microsoft Office Word</Application>
  <DocSecurity>0</DocSecurity>
  <Lines>525</Lines>
  <Paragraphs>146</Paragraphs>
  <ScaleCrop>false</ScaleCrop>
  <Company>USER</Company>
  <LinksUpToDate>false</LinksUpToDate>
  <CharactersWithSpaces>73454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Various Intellectual Capitals on Firm Value</dc:title>
  <dc:creator>PAMELA</dc:creator>
  <cp:lastModifiedBy>anny yang</cp:lastModifiedBy>
  <cp:revision>13</cp:revision>
  <cp:lastPrinted>2020-01-02T15:54:00Z</cp:lastPrinted>
  <dcterms:created xsi:type="dcterms:W3CDTF">2020-01-02T08:38:00Z</dcterms:created>
  <dcterms:modified xsi:type="dcterms:W3CDTF">2020-01-11T04:59:00Z</dcterms:modified>
</cp:coreProperties>
</file>