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53DDE85" w14:textId="1039ABC4" w:rsidR="005E54AD" w:rsidRPr="00EC4F95" w:rsidRDefault="0049415C" w:rsidP="00FC706F">
      <w:pPr>
        <w:widowControl w:val="0"/>
        <w:spacing w:beforeLines="150" w:before="360" w:line="520" w:lineRule="exact"/>
        <w:contextualSpacing/>
        <w:jc w:val="center"/>
        <w:outlineLvl w:val="0"/>
        <w:rPr>
          <w:b/>
          <w:sz w:val="32"/>
          <w:szCs w:val="32"/>
        </w:rPr>
      </w:pPr>
      <w:r>
        <w:rPr>
          <w:b/>
          <w:sz w:val="32"/>
          <w:szCs w:val="32"/>
        </w:rPr>
        <w:t>T</w:t>
      </w:r>
      <w:r w:rsidR="009074BF" w:rsidRPr="00EC4F95">
        <w:rPr>
          <w:b/>
          <w:sz w:val="32"/>
          <w:szCs w:val="32"/>
        </w:rPr>
        <w:t>he Financial Impact of High-Performance Work Practices</w:t>
      </w:r>
      <w:r>
        <w:rPr>
          <w:b/>
          <w:sz w:val="32"/>
          <w:szCs w:val="32"/>
        </w:rPr>
        <w:t>: The Moderating Effects of Labor Market Flexibility and Labor Market Efficiency</w:t>
      </w:r>
    </w:p>
    <w:p w14:paraId="418E8562" w14:textId="77777777" w:rsidR="003E2902" w:rsidRDefault="003E2902" w:rsidP="00FC706F">
      <w:pPr>
        <w:widowControl w:val="0"/>
        <w:spacing w:beforeLines="150" w:before="360" w:line="520" w:lineRule="exact"/>
        <w:contextualSpacing/>
        <w:jc w:val="center"/>
        <w:outlineLvl w:val="0"/>
        <w:rPr>
          <w:rFonts w:eastAsia="新細明體"/>
          <w:kern w:val="2"/>
          <w:sz w:val="28"/>
          <w:szCs w:val="22"/>
          <w:lang w:eastAsia="zh-TW"/>
        </w:rPr>
      </w:pPr>
    </w:p>
    <w:p w14:paraId="139FDE1D" w14:textId="77777777" w:rsidR="003E2902" w:rsidRPr="00FC706F" w:rsidRDefault="003E2902" w:rsidP="00FC706F">
      <w:pPr>
        <w:contextualSpacing/>
        <w:jc w:val="center"/>
        <w:rPr>
          <w:rFonts w:eastAsia="新細明體"/>
          <w:kern w:val="2"/>
          <w:sz w:val="26"/>
          <w:szCs w:val="26"/>
          <w:lang w:val="en-GB" w:eastAsia="zh-TW"/>
        </w:rPr>
      </w:pPr>
      <w:r w:rsidRPr="00FC706F">
        <w:rPr>
          <w:rFonts w:eastAsia="新細明體"/>
          <w:kern w:val="2"/>
          <w:sz w:val="26"/>
          <w:szCs w:val="26"/>
          <w:lang w:val="en-GB" w:eastAsia="zh-TW"/>
        </w:rPr>
        <w:t>Clyde Eiríkur Hull</w:t>
      </w:r>
    </w:p>
    <w:p w14:paraId="7718CC62" w14:textId="77777777" w:rsidR="003E2902" w:rsidRPr="00FC706F" w:rsidRDefault="003E2902" w:rsidP="00FC706F">
      <w:pPr>
        <w:contextualSpacing/>
        <w:jc w:val="center"/>
        <w:rPr>
          <w:rFonts w:eastAsia="新細明體"/>
          <w:kern w:val="2"/>
          <w:sz w:val="26"/>
          <w:szCs w:val="26"/>
          <w:lang w:val="en-GB" w:eastAsia="zh-TW"/>
        </w:rPr>
      </w:pPr>
      <w:r w:rsidRPr="00FC706F">
        <w:rPr>
          <w:rFonts w:eastAsia="新細明體"/>
          <w:kern w:val="2"/>
          <w:sz w:val="26"/>
          <w:szCs w:val="26"/>
          <w:lang w:val="en-GB" w:eastAsia="zh-TW"/>
        </w:rPr>
        <w:t>Saunders College of Business, Rochester Institute of Technology</w:t>
      </w:r>
    </w:p>
    <w:p w14:paraId="0D65C13E" w14:textId="77777777" w:rsidR="003E2902" w:rsidRPr="00FC706F" w:rsidRDefault="003E2902" w:rsidP="00FC706F">
      <w:pPr>
        <w:contextualSpacing/>
        <w:jc w:val="center"/>
        <w:rPr>
          <w:rFonts w:eastAsia="新細明體"/>
          <w:kern w:val="2"/>
          <w:sz w:val="26"/>
          <w:szCs w:val="26"/>
          <w:lang w:val="en-GB" w:eastAsia="zh-TW"/>
        </w:rPr>
      </w:pPr>
      <w:r w:rsidRPr="00FC706F">
        <w:rPr>
          <w:rFonts w:eastAsia="新細明體"/>
          <w:kern w:val="2"/>
          <w:sz w:val="26"/>
          <w:szCs w:val="26"/>
          <w:lang w:val="en-GB" w:eastAsia="zh-TW"/>
        </w:rPr>
        <w:t>E-Mail: chull@saunders.rit.edu</w:t>
      </w:r>
    </w:p>
    <w:p w14:paraId="13B321E5" w14:textId="77777777" w:rsidR="003E2902" w:rsidRPr="00FC706F" w:rsidRDefault="003E2902" w:rsidP="00FC706F">
      <w:pPr>
        <w:contextualSpacing/>
        <w:jc w:val="center"/>
        <w:rPr>
          <w:rFonts w:eastAsia="新細明體"/>
          <w:kern w:val="2"/>
          <w:sz w:val="26"/>
          <w:szCs w:val="26"/>
          <w:lang w:val="en-GB" w:eastAsia="zh-TW"/>
        </w:rPr>
      </w:pPr>
    </w:p>
    <w:p w14:paraId="5A2814C6" w14:textId="77777777" w:rsidR="003E2902" w:rsidRPr="00FC706F" w:rsidRDefault="003E2902" w:rsidP="00FC706F">
      <w:pPr>
        <w:contextualSpacing/>
        <w:jc w:val="center"/>
        <w:rPr>
          <w:rFonts w:eastAsia="新細明體"/>
          <w:kern w:val="2"/>
          <w:sz w:val="26"/>
          <w:szCs w:val="26"/>
          <w:lang w:val="en-GB" w:eastAsia="zh-TW"/>
        </w:rPr>
      </w:pPr>
      <w:r w:rsidRPr="00FC706F">
        <w:rPr>
          <w:rFonts w:eastAsia="新細明體"/>
          <w:kern w:val="2"/>
          <w:sz w:val="26"/>
          <w:szCs w:val="26"/>
          <w:lang w:val="en-GB" w:eastAsia="zh-TW"/>
        </w:rPr>
        <w:t>Sandra Rothenberg</w:t>
      </w:r>
    </w:p>
    <w:p w14:paraId="4EB1CDD0" w14:textId="77777777" w:rsidR="003E2902" w:rsidRPr="00FC706F" w:rsidRDefault="003E2902" w:rsidP="00FC706F">
      <w:pPr>
        <w:contextualSpacing/>
        <w:jc w:val="center"/>
        <w:rPr>
          <w:rFonts w:eastAsia="新細明體"/>
          <w:kern w:val="2"/>
          <w:sz w:val="26"/>
          <w:szCs w:val="26"/>
          <w:lang w:val="en-GB" w:eastAsia="zh-TW"/>
        </w:rPr>
      </w:pPr>
      <w:r w:rsidRPr="00FC706F">
        <w:rPr>
          <w:rFonts w:eastAsia="新細明體"/>
          <w:kern w:val="2"/>
          <w:sz w:val="26"/>
          <w:szCs w:val="26"/>
          <w:lang w:val="en-GB" w:eastAsia="zh-TW"/>
        </w:rPr>
        <w:t>Saunders College of Business, Rochester Institute of Technology</w:t>
      </w:r>
    </w:p>
    <w:p w14:paraId="16319542" w14:textId="77777777" w:rsidR="003E2902" w:rsidRPr="00FC706F" w:rsidRDefault="003E2902" w:rsidP="00FC706F">
      <w:pPr>
        <w:contextualSpacing/>
        <w:jc w:val="center"/>
        <w:rPr>
          <w:rFonts w:eastAsia="新細明體"/>
          <w:kern w:val="2"/>
          <w:sz w:val="26"/>
          <w:szCs w:val="26"/>
          <w:lang w:val="en-GB" w:eastAsia="zh-TW"/>
        </w:rPr>
      </w:pPr>
      <w:r w:rsidRPr="00FC706F">
        <w:rPr>
          <w:rFonts w:eastAsia="新細明體"/>
          <w:kern w:val="2"/>
          <w:sz w:val="26"/>
          <w:szCs w:val="26"/>
          <w:lang w:val="en-GB" w:eastAsia="zh-TW"/>
        </w:rPr>
        <w:t>E-Mail: srothenberg@saunders.rit.edu</w:t>
      </w:r>
    </w:p>
    <w:p w14:paraId="0737BFA6" w14:textId="77777777" w:rsidR="003E2902" w:rsidRPr="00FC706F" w:rsidRDefault="003E2902" w:rsidP="00FC706F">
      <w:pPr>
        <w:contextualSpacing/>
        <w:jc w:val="center"/>
        <w:rPr>
          <w:rFonts w:eastAsia="新細明體"/>
          <w:kern w:val="2"/>
          <w:sz w:val="26"/>
          <w:szCs w:val="26"/>
          <w:lang w:val="en-GB" w:eastAsia="zh-TW"/>
        </w:rPr>
      </w:pPr>
    </w:p>
    <w:p w14:paraId="00BFFF67" w14:textId="77777777" w:rsidR="003E2902" w:rsidRPr="00FC706F" w:rsidRDefault="003E2902" w:rsidP="00FC706F">
      <w:pPr>
        <w:contextualSpacing/>
        <w:jc w:val="center"/>
        <w:rPr>
          <w:rFonts w:eastAsia="新細明體"/>
          <w:kern w:val="2"/>
          <w:sz w:val="26"/>
          <w:szCs w:val="26"/>
          <w:lang w:val="en-GB" w:eastAsia="zh-TW"/>
        </w:rPr>
      </w:pPr>
      <w:r w:rsidRPr="00FC706F">
        <w:rPr>
          <w:rFonts w:eastAsia="新細明體"/>
          <w:kern w:val="2"/>
          <w:sz w:val="26"/>
          <w:szCs w:val="26"/>
          <w:lang w:val="en-GB" w:eastAsia="zh-TW"/>
        </w:rPr>
        <w:t>Sebastian Vogt</w:t>
      </w:r>
    </w:p>
    <w:p w14:paraId="60B5B974" w14:textId="77777777" w:rsidR="003E2902" w:rsidRPr="00FC706F" w:rsidRDefault="003E2902" w:rsidP="00FC706F">
      <w:pPr>
        <w:contextualSpacing/>
        <w:jc w:val="center"/>
        <w:rPr>
          <w:rFonts w:eastAsia="新細明體"/>
          <w:kern w:val="2"/>
          <w:sz w:val="26"/>
          <w:szCs w:val="26"/>
          <w:lang w:val="en-GB" w:eastAsia="zh-TW"/>
        </w:rPr>
      </w:pPr>
      <w:r w:rsidRPr="00FC706F">
        <w:rPr>
          <w:rFonts w:eastAsia="新細明體"/>
          <w:kern w:val="2"/>
          <w:sz w:val="26"/>
          <w:szCs w:val="26"/>
          <w:lang w:val="en-GB" w:eastAsia="zh-TW"/>
        </w:rPr>
        <w:t>Deloitte Switzerland</w:t>
      </w:r>
    </w:p>
    <w:p w14:paraId="36988955" w14:textId="3830BFC1" w:rsidR="003E2902" w:rsidRDefault="003E2902" w:rsidP="00FC706F">
      <w:pPr>
        <w:contextualSpacing/>
        <w:jc w:val="center"/>
        <w:rPr>
          <w:rFonts w:eastAsia="新細明體"/>
          <w:kern w:val="2"/>
          <w:sz w:val="26"/>
          <w:szCs w:val="26"/>
          <w:lang w:val="en-GB" w:eastAsia="zh-TW"/>
        </w:rPr>
      </w:pPr>
      <w:r w:rsidRPr="00FC706F">
        <w:rPr>
          <w:rFonts w:eastAsia="新細明體"/>
          <w:kern w:val="2"/>
          <w:sz w:val="26"/>
          <w:szCs w:val="26"/>
          <w:lang w:val="en-GB" w:eastAsia="zh-TW"/>
        </w:rPr>
        <w:t xml:space="preserve">E-Mail: </w:t>
      </w:r>
      <w:r w:rsidR="001C63A8" w:rsidRPr="001C63A8">
        <w:rPr>
          <w:rFonts w:eastAsia="新細明體"/>
          <w:kern w:val="2"/>
          <w:sz w:val="26"/>
          <w:szCs w:val="26"/>
          <w:lang w:val="en-GB" w:eastAsia="zh-TW"/>
        </w:rPr>
        <w:t>Vogt-Sebastian@outlook.de</w:t>
      </w:r>
    </w:p>
    <w:p w14:paraId="04904ABC" w14:textId="670D8D48" w:rsidR="00FC706F" w:rsidRDefault="00FC706F" w:rsidP="00FC706F">
      <w:pPr>
        <w:contextualSpacing/>
        <w:jc w:val="center"/>
        <w:rPr>
          <w:rFonts w:eastAsia="新細明體"/>
          <w:kern w:val="2"/>
          <w:sz w:val="26"/>
          <w:szCs w:val="26"/>
          <w:lang w:val="en-GB" w:eastAsia="zh-TW"/>
        </w:rPr>
      </w:pPr>
    </w:p>
    <w:p w14:paraId="0DF1FF2A" w14:textId="77777777" w:rsidR="00FC706F" w:rsidRPr="00FC706F" w:rsidRDefault="00FC706F" w:rsidP="00FC706F">
      <w:pPr>
        <w:contextualSpacing/>
        <w:jc w:val="center"/>
        <w:rPr>
          <w:rFonts w:eastAsia="新細明體"/>
          <w:kern w:val="2"/>
          <w:sz w:val="26"/>
          <w:szCs w:val="26"/>
          <w:lang w:val="en-GB" w:eastAsia="zh-TW"/>
        </w:rPr>
      </w:pPr>
    </w:p>
    <w:p w14:paraId="724FCBA0" w14:textId="77777777" w:rsidR="00C060B5" w:rsidRPr="00EC4F95" w:rsidRDefault="009074BF" w:rsidP="00FC706F">
      <w:pPr>
        <w:widowControl w:val="0"/>
        <w:contextualSpacing/>
        <w:jc w:val="center"/>
        <w:outlineLvl w:val="0"/>
        <w:rPr>
          <w:b/>
          <w:i/>
          <w:sz w:val="26"/>
          <w:szCs w:val="26"/>
        </w:rPr>
      </w:pPr>
      <w:r w:rsidRPr="00FC706F">
        <w:rPr>
          <w:rFonts w:eastAsiaTheme="minorEastAsia"/>
          <w:b/>
          <w:kern w:val="2"/>
          <w:sz w:val="26"/>
          <w:szCs w:val="26"/>
          <w:lang w:val="en-GB" w:eastAsia="zh-TW"/>
        </w:rPr>
        <w:t>ABSTRACT</w:t>
      </w:r>
    </w:p>
    <w:p w14:paraId="7A43A3AB" w14:textId="2DE12BF9" w:rsidR="00C060B5" w:rsidRPr="000D31F3" w:rsidRDefault="0049415C" w:rsidP="00FC706F">
      <w:pPr>
        <w:widowControl w:val="0"/>
        <w:overflowPunct w:val="0"/>
        <w:spacing w:line="360" w:lineRule="exact"/>
        <w:ind w:firstLineChars="200" w:firstLine="520"/>
        <w:contextualSpacing/>
        <w:jc w:val="both"/>
        <w:outlineLvl w:val="0"/>
        <w:rPr>
          <w:sz w:val="26"/>
          <w:szCs w:val="26"/>
        </w:rPr>
      </w:pPr>
      <w:r w:rsidRPr="000D31F3">
        <w:rPr>
          <w:sz w:val="26"/>
          <w:szCs w:val="26"/>
        </w:rPr>
        <w:t>High-performance work practices (HPWP) have been found to increase financial performance. Institutional theory suggests that this effect may be moderated by labor market institutions</w:t>
      </w:r>
      <w:r w:rsidR="00BB4ADC">
        <w:rPr>
          <w:sz w:val="26"/>
          <w:szCs w:val="26"/>
        </w:rPr>
        <w:t>,</w:t>
      </w:r>
      <w:r w:rsidRPr="000D31F3">
        <w:rPr>
          <w:sz w:val="26"/>
          <w:szCs w:val="26"/>
        </w:rPr>
        <w:t xml:space="preserve"> such as labor market flexibility and labor market ef</w:t>
      </w:r>
      <w:r w:rsidR="00AA2D26" w:rsidRPr="000D31F3">
        <w:rPr>
          <w:sz w:val="26"/>
          <w:szCs w:val="26"/>
        </w:rPr>
        <w:t>ficiency.</w:t>
      </w:r>
      <w:r w:rsidR="005F6125">
        <w:rPr>
          <w:sz w:val="26"/>
          <w:szCs w:val="26"/>
        </w:rPr>
        <w:t xml:space="preserve"> </w:t>
      </w:r>
      <w:r w:rsidR="00BB4ADC">
        <w:rPr>
          <w:sz w:val="26"/>
          <w:szCs w:val="26"/>
        </w:rPr>
        <w:t>We explore this relationship using a</w:t>
      </w:r>
      <w:r w:rsidR="005B32C1" w:rsidRPr="000D31F3">
        <w:rPr>
          <w:sz w:val="26"/>
          <w:szCs w:val="26"/>
        </w:rPr>
        <w:t xml:space="preserve"> combined data set </w:t>
      </w:r>
      <w:r w:rsidR="00BB4ADC">
        <w:rPr>
          <w:sz w:val="26"/>
          <w:szCs w:val="26"/>
        </w:rPr>
        <w:t>comprised of</w:t>
      </w:r>
      <w:r w:rsidR="000D31F3">
        <w:rPr>
          <w:sz w:val="26"/>
          <w:szCs w:val="26"/>
        </w:rPr>
        <w:t xml:space="preserve"> data</w:t>
      </w:r>
      <w:r w:rsidR="00DB1E45">
        <w:rPr>
          <w:sz w:val="26"/>
          <w:szCs w:val="26"/>
        </w:rPr>
        <w:t xml:space="preserve"> </w:t>
      </w:r>
      <w:r w:rsidR="00DB1E45" w:rsidRPr="000D31F3">
        <w:rPr>
          <w:sz w:val="26"/>
          <w:szCs w:val="26"/>
        </w:rPr>
        <w:t>on HPWP</w:t>
      </w:r>
      <w:r w:rsidR="000D31F3">
        <w:rPr>
          <w:sz w:val="26"/>
          <w:szCs w:val="26"/>
        </w:rPr>
        <w:t xml:space="preserve"> from</w:t>
      </w:r>
      <w:r w:rsidR="005B32C1" w:rsidRPr="000D31F3">
        <w:rPr>
          <w:sz w:val="26"/>
          <w:szCs w:val="26"/>
        </w:rPr>
        <w:t xml:space="preserve"> ASSET4, </w:t>
      </w:r>
      <w:r w:rsidR="00DB1E45">
        <w:rPr>
          <w:sz w:val="26"/>
          <w:szCs w:val="26"/>
        </w:rPr>
        <w:t>financial and other</w:t>
      </w:r>
      <w:r w:rsidR="00DB1E45" w:rsidRPr="000D31F3">
        <w:rPr>
          <w:sz w:val="26"/>
          <w:szCs w:val="26"/>
        </w:rPr>
        <w:t xml:space="preserve"> </w:t>
      </w:r>
      <w:r w:rsidR="00DB1E45">
        <w:rPr>
          <w:sz w:val="26"/>
          <w:szCs w:val="26"/>
        </w:rPr>
        <w:t>company-level data from</w:t>
      </w:r>
      <w:r w:rsidR="00DB1E45" w:rsidRPr="000D31F3">
        <w:rPr>
          <w:sz w:val="26"/>
          <w:szCs w:val="26"/>
        </w:rPr>
        <w:t xml:space="preserve"> </w:t>
      </w:r>
      <w:r w:rsidR="005B32C1" w:rsidRPr="000D31F3">
        <w:rPr>
          <w:sz w:val="26"/>
          <w:szCs w:val="26"/>
        </w:rPr>
        <w:t xml:space="preserve">the Worldscope Database, and </w:t>
      </w:r>
      <w:r w:rsidR="00DB1E45">
        <w:rPr>
          <w:sz w:val="26"/>
          <w:szCs w:val="26"/>
        </w:rPr>
        <w:t xml:space="preserve">national </w:t>
      </w:r>
      <w:r w:rsidR="00DB1E45" w:rsidRPr="000D31F3">
        <w:rPr>
          <w:sz w:val="26"/>
          <w:szCs w:val="26"/>
        </w:rPr>
        <w:t xml:space="preserve">institutional </w:t>
      </w:r>
      <w:r w:rsidR="00DB1E45">
        <w:rPr>
          <w:sz w:val="26"/>
          <w:szCs w:val="26"/>
        </w:rPr>
        <w:t>context</w:t>
      </w:r>
      <w:r w:rsidR="00DB1E45" w:rsidRPr="000D31F3">
        <w:rPr>
          <w:sz w:val="26"/>
          <w:szCs w:val="26"/>
        </w:rPr>
        <w:t xml:space="preserve"> </w:t>
      </w:r>
      <w:r w:rsidR="00DB1E45">
        <w:rPr>
          <w:sz w:val="26"/>
          <w:szCs w:val="26"/>
        </w:rPr>
        <w:t xml:space="preserve">data from </w:t>
      </w:r>
      <w:r w:rsidR="005B32C1" w:rsidRPr="000D31F3">
        <w:rPr>
          <w:sz w:val="26"/>
          <w:szCs w:val="26"/>
        </w:rPr>
        <w:t xml:space="preserve">the </w:t>
      </w:r>
      <w:r w:rsidR="00DB1E45">
        <w:rPr>
          <w:sz w:val="26"/>
          <w:szCs w:val="26"/>
        </w:rPr>
        <w:t xml:space="preserve">World Economic Forum’s </w:t>
      </w:r>
      <w:r w:rsidR="005B32C1" w:rsidRPr="000D31F3">
        <w:rPr>
          <w:sz w:val="26"/>
          <w:szCs w:val="26"/>
        </w:rPr>
        <w:t>Global Competitiveness Report</w:t>
      </w:r>
      <w:r w:rsidR="000D31F3" w:rsidRPr="000D31F3">
        <w:rPr>
          <w:sz w:val="26"/>
          <w:szCs w:val="26"/>
        </w:rPr>
        <w:t xml:space="preserve">. </w:t>
      </w:r>
      <w:r w:rsidR="00BB4ADC">
        <w:rPr>
          <w:sz w:val="26"/>
          <w:szCs w:val="26"/>
        </w:rPr>
        <w:t>With an international</w:t>
      </w:r>
      <w:r w:rsidR="00BB4ADC" w:rsidRPr="00BB4ADC">
        <w:rPr>
          <w:sz w:val="26"/>
          <w:szCs w:val="26"/>
        </w:rPr>
        <w:t xml:space="preserve"> </w:t>
      </w:r>
      <w:r w:rsidR="00BB4ADC" w:rsidRPr="000D31F3">
        <w:rPr>
          <w:sz w:val="26"/>
          <w:szCs w:val="26"/>
        </w:rPr>
        <w:t>sample of roughly 20,000 archival firm-year observations across a seven-year period</w:t>
      </w:r>
      <w:r w:rsidR="00FC706F">
        <w:rPr>
          <w:sz w:val="26"/>
          <w:szCs w:val="26"/>
        </w:rPr>
        <w:t>,</w:t>
      </w:r>
      <w:r w:rsidR="00BB4ADC" w:rsidRPr="000D31F3">
        <w:rPr>
          <w:sz w:val="26"/>
          <w:szCs w:val="26"/>
        </w:rPr>
        <w:t xml:space="preserve"> </w:t>
      </w:r>
      <w:r w:rsidR="00BB4ADC">
        <w:rPr>
          <w:sz w:val="26"/>
          <w:szCs w:val="26"/>
        </w:rPr>
        <w:t>we use</w:t>
      </w:r>
      <w:r w:rsidR="000D31F3" w:rsidRPr="00EA6450">
        <w:rPr>
          <w:sz w:val="26"/>
          <w:szCs w:val="26"/>
        </w:rPr>
        <w:t xml:space="preserve"> pooled OLS regression models with robust standard errors, clustered at the firm level. </w:t>
      </w:r>
      <w:r w:rsidR="00DB1E45">
        <w:rPr>
          <w:sz w:val="26"/>
          <w:szCs w:val="26"/>
        </w:rPr>
        <w:t xml:space="preserve">We </w:t>
      </w:r>
      <w:r w:rsidR="009074BF" w:rsidRPr="000D31F3">
        <w:rPr>
          <w:sz w:val="26"/>
          <w:szCs w:val="26"/>
        </w:rPr>
        <w:t xml:space="preserve">find support for </w:t>
      </w:r>
      <w:r w:rsidR="0027398B" w:rsidRPr="000D31F3">
        <w:rPr>
          <w:sz w:val="26"/>
          <w:szCs w:val="26"/>
        </w:rPr>
        <w:t xml:space="preserve">all predicted relationships except for </w:t>
      </w:r>
      <w:r w:rsidR="009074BF" w:rsidRPr="000D31F3">
        <w:rPr>
          <w:sz w:val="26"/>
          <w:szCs w:val="26"/>
        </w:rPr>
        <w:t xml:space="preserve">a direct relationship between </w:t>
      </w:r>
      <w:r w:rsidR="007915E3" w:rsidRPr="000D31F3">
        <w:rPr>
          <w:sz w:val="26"/>
          <w:szCs w:val="26"/>
        </w:rPr>
        <w:t xml:space="preserve">labor market </w:t>
      </w:r>
      <w:r w:rsidR="009074BF" w:rsidRPr="000D31F3">
        <w:rPr>
          <w:sz w:val="26"/>
          <w:szCs w:val="26"/>
        </w:rPr>
        <w:t>flexibility and performance</w:t>
      </w:r>
      <w:r w:rsidR="00216B58" w:rsidRPr="000D31F3">
        <w:rPr>
          <w:sz w:val="26"/>
          <w:szCs w:val="26"/>
        </w:rPr>
        <w:t>:</w:t>
      </w:r>
      <w:r w:rsidR="005F6125">
        <w:rPr>
          <w:sz w:val="26"/>
          <w:szCs w:val="26"/>
        </w:rPr>
        <w:t xml:space="preserve"> </w:t>
      </w:r>
      <w:r w:rsidR="007915E3" w:rsidRPr="000D31F3">
        <w:rPr>
          <w:sz w:val="26"/>
          <w:szCs w:val="26"/>
        </w:rPr>
        <w:t xml:space="preserve">Strong formal institutional pressure </w:t>
      </w:r>
      <w:r w:rsidR="005F2DEA" w:rsidRPr="000D31F3">
        <w:rPr>
          <w:sz w:val="26"/>
          <w:szCs w:val="26"/>
        </w:rPr>
        <w:t>(</w:t>
      </w:r>
      <w:r w:rsidR="007915E3" w:rsidRPr="000D31F3">
        <w:rPr>
          <w:sz w:val="26"/>
          <w:szCs w:val="26"/>
        </w:rPr>
        <w:t>low labor market flexibility</w:t>
      </w:r>
      <w:r w:rsidR="005F2DEA" w:rsidRPr="000D31F3">
        <w:rPr>
          <w:sz w:val="26"/>
          <w:szCs w:val="26"/>
        </w:rPr>
        <w:t>)</w:t>
      </w:r>
      <w:r w:rsidR="007915E3" w:rsidRPr="000D31F3">
        <w:rPr>
          <w:sz w:val="26"/>
          <w:szCs w:val="26"/>
        </w:rPr>
        <w:t xml:space="preserve"> increases the positive financial impact of HPWP. Strong informal institutional pressure </w:t>
      </w:r>
      <w:r w:rsidR="005F2DEA" w:rsidRPr="000D31F3">
        <w:rPr>
          <w:sz w:val="26"/>
          <w:szCs w:val="26"/>
        </w:rPr>
        <w:t>(</w:t>
      </w:r>
      <w:r w:rsidR="007915E3" w:rsidRPr="000D31F3">
        <w:rPr>
          <w:sz w:val="26"/>
          <w:szCs w:val="26"/>
        </w:rPr>
        <w:t xml:space="preserve">high </w:t>
      </w:r>
      <w:r w:rsidR="00D778D2" w:rsidRPr="000D31F3">
        <w:rPr>
          <w:sz w:val="26"/>
          <w:szCs w:val="26"/>
        </w:rPr>
        <w:t>labor market efficiency</w:t>
      </w:r>
      <w:r w:rsidR="005F2DEA" w:rsidRPr="000D31F3">
        <w:rPr>
          <w:sz w:val="26"/>
          <w:szCs w:val="26"/>
        </w:rPr>
        <w:t>)</w:t>
      </w:r>
      <w:r w:rsidR="007915E3" w:rsidRPr="000D31F3">
        <w:rPr>
          <w:sz w:val="26"/>
          <w:szCs w:val="26"/>
        </w:rPr>
        <w:t xml:space="preserve"> affects the financial performance of businesses directly and positively, and also indirectly by increasing the positive effect of HPWP on financial performance.</w:t>
      </w:r>
      <w:r w:rsidR="005F6125">
        <w:rPr>
          <w:sz w:val="26"/>
          <w:szCs w:val="26"/>
        </w:rPr>
        <w:t xml:space="preserve"> </w:t>
      </w:r>
      <w:r w:rsidR="001D233F" w:rsidRPr="000D31F3">
        <w:rPr>
          <w:sz w:val="26"/>
          <w:szCs w:val="26"/>
        </w:rPr>
        <w:t>We conclude that companies seeking the most financially-rewarding approach to human resource management (HRM) should</w:t>
      </w:r>
      <w:r w:rsidR="00542BA1" w:rsidRPr="000D31F3">
        <w:rPr>
          <w:sz w:val="26"/>
          <w:szCs w:val="26"/>
        </w:rPr>
        <w:t xml:space="preserve"> </w:t>
      </w:r>
      <w:r w:rsidR="001D233F" w:rsidRPr="000D31F3">
        <w:rPr>
          <w:sz w:val="26"/>
          <w:szCs w:val="26"/>
        </w:rPr>
        <w:t xml:space="preserve">engage in HPWP, encourage the local population to </w:t>
      </w:r>
      <w:r w:rsidR="001D233F" w:rsidRPr="000D31F3">
        <w:rPr>
          <w:sz w:val="26"/>
          <w:szCs w:val="26"/>
        </w:rPr>
        <w:lastRenderedPageBreak/>
        <w:t>expect and value such practices</w:t>
      </w:r>
      <w:r w:rsidR="001D0DD1" w:rsidRPr="000D31F3">
        <w:rPr>
          <w:sz w:val="26"/>
          <w:szCs w:val="26"/>
        </w:rPr>
        <w:t xml:space="preserve"> (e.g., </w:t>
      </w:r>
      <w:r w:rsidR="00542BA1" w:rsidRPr="000D31F3">
        <w:rPr>
          <w:sz w:val="26"/>
          <w:szCs w:val="26"/>
        </w:rPr>
        <w:t xml:space="preserve">by </w:t>
      </w:r>
      <w:r w:rsidR="00786B9C" w:rsidRPr="000D31F3">
        <w:rPr>
          <w:sz w:val="26"/>
          <w:szCs w:val="26"/>
        </w:rPr>
        <w:t>promoting</w:t>
      </w:r>
      <w:r w:rsidR="001D0DD1" w:rsidRPr="000D31F3">
        <w:rPr>
          <w:sz w:val="26"/>
          <w:szCs w:val="26"/>
        </w:rPr>
        <w:t xml:space="preserve"> women’s right</w:t>
      </w:r>
      <w:r w:rsidR="00AF3028">
        <w:rPr>
          <w:sz w:val="26"/>
          <w:szCs w:val="26"/>
        </w:rPr>
        <w:t>s</w:t>
      </w:r>
      <w:r w:rsidR="001D0DD1" w:rsidRPr="000D31F3">
        <w:rPr>
          <w:sz w:val="26"/>
          <w:szCs w:val="26"/>
        </w:rPr>
        <w:t>)</w:t>
      </w:r>
      <w:r w:rsidR="001D233F" w:rsidRPr="000D31F3">
        <w:rPr>
          <w:sz w:val="26"/>
          <w:szCs w:val="26"/>
        </w:rPr>
        <w:t xml:space="preserve">, and, counterintuitively, encourage </w:t>
      </w:r>
      <w:r w:rsidR="001D233F" w:rsidRPr="000D31F3">
        <w:rPr>
          <w:i/>
          <w:iCs/>
          <w:sz w:val="26"/>
          <w:szCs w:val="26"/>
        </w:rPr>
        <w:t>more</w:t>
      </w:r>
      <w:r w:rsidR="001D233F" w:rsidRPr="000D31F3">
        <w:rPr>
          <w:sz w:val="26"/>
          <w:szCs w:val="26"/>
        </w:rPr>
        <w:t xml:space="preserve"> government regulation of business around HRM practices.</w:t>
      </w:r>
      <w:r w:rsidR="005F6125">
        <w:rPr>
          <w:sz w:val="26"/>
          <w:szCs w:val="26"/>
        </w:rPr>
        <w:t xml:space="preserve"> </w:t>
      </w:r>
    </w:p>
    <w:p w14:paraId="0FEAE2B7" w14:textId="77777777" w:rsidR="00EA6450" w:rsidRPr="001D0DD1" w:rsidRDefault="00EA6450" w:rsidP="00FC706F">
      <w:pPr>
        <w:pStyle w:val="10"/>
        <w:spacing w:line="360" w:lineRule="exact"/>
        <w:rPr>
          <w:rFonts w:ascii="Times New Roman" w:hAnsi="Times New Roman" w:cs="Times New Roman"/>
          <w:b/>
          <w:sz w:val="26"/>
          <w:szCs w:val="26"/>
        </w:rPr>
      </w:pPr>
    </w:p>
    <w:p w14:paraId="4108493E" w14:textId="786DDBF3" w:rsidR="00716E73" w:rsidRPr="001D0DD1" w:rsidRDefault="009074BF" w:rsidP="00FC706F">
      <w:pPr>
        <w:pStyle w:val="10"/>
        <w:spacing w:line="360" w:lineRule="exact"/>
        <w:ind w:left="1301" w:hangingChars="500" w:hanging="1301"/>
        <w:jc w:val="both"/>
        <w:rPr>
          <w:rFonts w:ascii="Times New Roman" w:hAnsi="Times New Roman" w:cs="Times New Roman"/>
          <w:sz w:val="26"/>
          <w:szCs w:val="26"/>
        </w:rPr>
      </w:pPr>
      <w:r w:rsidRPr="001D0DD1">
        <w:rPr>
          <w:rFonts w:ascii="Times New Roman" w:hAnsi="Times New Roman" w:cs="Times New Roman"/>
          <w:b/>
          <w:sz w:val="26"/>
          <w:szCs w:val="26"/>
        </w:rPr>
        <w:t>Keywords</w:t>
      </w:r>
      <w:r w:rsidR="00EA6450" w:rsidRPr="001D0DD1">
        <w:rPr>
          <w:rFonts w:ascii="Times New Roman" w:hAnsi="Times New Roman" w:cs="Times New Roman"/>
          <w:b/>
          <w:sz w:val="26"/>
          <w:szCs w:val="26"/>
        </w:rPr>
        <w:t xml:space="preserve">: </w:t>
      </w:r>
      <w:r w:rsidR="007F51B9" w:rsidRPr="001D0DD1">
        <w:rPr>
          <w:rFonts w:ascii="Times New Roman" w:hAnsi="Times New Roman" w:cs="Times New Roman"/>
          <w:sz w:val="26"/>
          <w:szCs w:val="26"/>
        </w:rPr>
        <w:t>High-performance work practices</w:t>
      </w:r>
      <w:r w:rsidR="00A5570D">
        <w:rPr>
          <w:rFonts w:ascii="Times New Roman" w:hAnsi="Times New Roman" w:cs="Times New Roman" w:hint="eastAsia"/>
          <w:sz w:val="26"/>
          <w:szCs w:val="26"/>
          <w:lang w:eastAsia="zh-TW"/>
        </w:rPr>
        <w:t>,</w:t>
      </w:r>
      <w:r w:rsidR="007F51B9" w:rsidRPr="001D0DD1">
        <w:rPr>
          <w:rFonts w:ascii="Times New Roman" w:hAnsi="Times New Roman" w:cs="Times New Roman"/>
          <w:sz w:val="26"/>
          <w:szCs w:val="26"/>
        </w:rPr>
        <w:t xml:space="preserve"> </w:t>
      </w:r>
      <w:r w:rsidR="00A5570D" w:rsidRPr="001D0DD1">
        <w:rPr>
          <w:rFonts w:ascii="Times New Roman" w:hAnsi="Times New Roman" w:cs="Times New Roman"/>
          <w:sz w:val="26"/>
          <w:szCs w:val="26"/>
        </w:rPr>
        <w:t>H</w:t>
      </w:r>
      <w:r w:rsidR="007F51B9" w:rsidRPr="001D0DD1">
        <w:rPr>
          <w:rFonts w:ascii="Times New Roman" w:hAnsi="Times New Roman" w:cs="Times New Roman"/>
          <w:sz w:val="26"/>
          <w:szCs w:val="26"/>
        </w:rPr>
        <w:t>igh-performance work systems</w:t>
      </w:r>
      <w:r w:rsidR="00A5570D">
        <w:rPr>
          <w:rFonts w:ascii="Times New Roman" w:hAnsi="Times New Roman" w:cs="Times New Roman"/>
          <w:sz w:val="26"/>
          <w:szCs w:val="26"/>
        </w:rPr>
        <w:t>,</w:t>
      </w:r>
      <w:r w:rsidR="007F51B9" w:rsidRPr="001D0DD1">
        <w:rPr>
          <w:rFonts w:ascii="Times New Roman" w:hAnsi="Times New Roman" w:cs="Times New Roman"/>
          <w:sz w:val="26"/>
          <w:szCs w:val="26"/>
        </w:rPr>
        <w:t xml:space="preserve"> </w:t>
      </w:r>
      <w:r w:rsidR="00FC706F" w:rsidRPr="001D0DD1">
        <w:rPr>
          <w:rFonts w:ascii="Times New Roman" w:hAnsi="Times New Roman" w:cs="Times New Roman"/>
          <w:sz w:val="26"/>
          <w:szCs w:val="26"/>
        </w:rPr>
        <w:t xml:space="preserve">Institutional </w:t>
      </w:r>
      <w:r w:rsidR="007F51B9" w:rsidRPr="001D0DD1">
        <w:rPr>
          <w:rFonts w:ascii="Times New Roman" w:hAnsi="Times New Roman" w:cs="Times New Roman"/>
          <w:sz w:val="26"/>
          <w:szCs w:val="26"/>
        </w:rPr>
        <w:t>theory</w:t>
      </w:r>
      <w:r w:rsidR="00A5570D">
        <w:rPr>
          <w:rFonts w:ascii="Times New Roman" w:hAnsi="Times New Roman" w:cs="Times New Roman"/>
          <w:sz w:val="26"/>
          <w:szCs w:val="26"/>
        </w:rPr>
        <w:t>,</w:t>
      </w:r>
      <w:r w:rsidR="007F51B9" w:rsidRPr="001D0DD1">
        <w:rPr>
          <w:rFonts w:ascii="Times New Roman" w:hAnsi="Times New Roman" w:cs="Times New Roman"/>
          <w:sz w:val="26"/>
          <w:szCs w:val="26"/>
        </w:rPr>
        <w:t xml:space="preserve"> </w:t>
      </w:r>
      <w:r w:rsidR="00A5570D" w:rsidRPr="001D0DD1">
        <w:rPr>
          <w:rFonts w:ascii="Times New Roman" w:hAnsi="Times New Roman" w:cs="Times New Roman"/>
          <w:sz w:val="26"/>
          <w:szCs w:val="26"/>
        </w:rPr>
        <w:t>L</w:t>
      </w:r>
      <w:r w:rsidR="007F51B9" w:rsidRPr="001D0DD1">
        <w:rPr>
          <w:rFonts w:ascii="Times New Roman" w:hAnsi="Times New Roman" w:cs="Times New Roman"/>
          <w:sz w:val="26"/>
          <w:szCs w:val="26"/>
        </w:rPr>
        <w:t>abor market</w:t>
      </w:r>
      <w:r w:rsidR="00A5570D">
        <w:rPr>
          <w:rFonts w:ascii="Times New Roman" w:hAnsi="Times New Roman" w:cs="Times New Roman"/>
          <w:sz w:val="26"/>
          <w:szCs w:val="26"/>
        </w:rPr>
        <w:t>,</w:t>
      </w:r>
      <w:r w:rsidR="007F51B9" w:rsidRPr="001D0DD1">
        <w:rPr>
          <w:rFonts w:ascii="Times New Roman" w:hAnsi="Times New Roman" w:cs="Times New Roman"/>
          <w:sz w:val="26"/>
          <w:szCs w:val="26"/>
        </w:rPr>
        <w:t xml:space="preserve"> </w:t>
      </w:r>
      <w:r w:rsidR="00A5570D" w:rsidRPr="001D0DD1">
        <w:rPr>
          <w:rFonts w:ascii="Times New Roman" w:hAnsi="Times New Roman" w:cs="Times New Roman"/>
          <w:sz w:val="26"/>
          <w:szCs w:val="26"/>
        </w:rPr>
        <w:t>P</w:t>
      </w:r>
      <w:r w:rsidR="007F51B9" w:rsidRPr="001D0DD1">
        <w:rPr>
          <w:rFonts w:ascii="Times New Roman" w:hAnsi="Times New Roman" w:cs="Times New Roman"/>
          <w:sz w:val="26"/>
          <w:szCs w:val="26"/>
        </w:rPr>
        <w:t>erformance</w:t>
      </w:r>
      <w:r w:rsidR="00464CBA">
        <w:rPr>
          <w:rFonts w:ascii="Times New Roman" w:hAnsi="Times New Roman" w:cs="Times New Roman" w:hint="eastAsia"/>
          <w:sz w:val="26"/>
          <w:szCs w:val="26"/>
          <w:lang w:eastAsia="zh-TW"/>
        </w:rPr>
        <w:t xml:space="preserve">, </w:t>
      </w:r>
      <w:r w:rsidR="00464CBA">
        <w:rPr>
          <w:rFonts w:ascii="Times New Roman" w:hAnsi="Times New Roman" w:cs="Times New Roman"/>
          <w:sz w:val="26"/>
          <w:szCs w:val="26"/>
        </w:rPr>
        <w:t>International</w:t>
      </w:r>
    </w:p>
    <w:p w14:paraId="75EEA34A" w14:textId="77777777" w:rsidR="00EA6450" w:rsidRPr="001D0DD1" w:rsidRDefault="00EA6450" w:rsidP="00FC706F">
      <w:pPr>
        <w:pStyle w:val="10"/>
        <w:spacing w:line="240" w:lineRule="auto"/>
        <w:jc w:val="both"/>
        <w:rPr>
          <w:rFonts w:ascii="Times New Roman" w:hAnsi="Times New Roman" w:cs="Times New Roman"/>
          <w:b/>
          <w:sz w:val="26"/>
          <w:szCs w:val="26"/>
        </w:rPr>
      </w:pPr>
    </w:p>
    <w:p w14:paraId="5EFB50EE" w14:textId="77777777" w:rsidR="005E54AD" w:rsidRPr="001D0DD1" w:rsidRDefault="009074BF" w:rsidP="00752EF1">
      <w:pPr>
        <w:pStyle w:val="3"/>
        <w:spacing w:before="0" w:after="0" w:line="360" w:lineRule="exact"/>
        <w:jc w:val="center"/>
        <w:rPr>
          <w:b/>
          <w:i w:val="0"/>
          <w:sz w:val="26"/>
          <w:szCs w:val="26"/>
        </w:rPr>
      </w:pPr>
      <w:r w:rsidRPr="001D0DD1">
        <w:rPr>
          <w:b/>
          <w:i w:val="0"/>
          <w:sz w:val="26"/>
          <w:szCs w:val="26"/>
        </w:rPr>
        <w:t>INTRODUCTION</w:t>
      </w:r>
    </w:p>
    <w:p w14:paraId="6A5CAED3" w14:textId="10CA6F03" w:rsidR="00A3435E" w:rsidRDefault="009074BF" w:rsidP="00752EF1">
      <w:pPr>
        <w:spacing w:line="360" w:lineRule="exact"/>
        <w:ind w:firstLineChars="200" w:firstLine="520"/>
        <w:jc w:val="both"/>
        <w:rPr>
          <w:sz w:val="26"/>
          <w:szCs w:val="26"/>
        </w:rPr>
      </w:pPr>
      <w:r w:rsidRPr="008A7332">
        <w:rPr>
          <w:iCs/>
          <w:sz w:val="26"/>
          <w:szCs w:val="26"/>
        </w:rPr>
        <w:t>H</w:t>
      </w:r>
      <w:r w:rsidR="004C23C2" w:rsidRPr="008A7332">
        <w:rPr>
          <w:iCs/>
          <w:sz w:val="26"/>
          <w:szCs w:val="26"/>
        </w:rPr>
        <w:t>igh-performance work practices</w:t>
      </w:r>
      <w:r w:rsidR="004C23C2" w:rsidRPr="001D0DD1">
        <w:rPr>
          <w:sz w:val="26"/>
          <w:szCs w:val="26"/>
        </w:rPr>
        <w:t xml:space="preserve"> (HPWP) </w:t>
      </w:r>
      <w:r w:rsidR="00BB4ADC">
        <w:rPr>
          <w:sz w:val="26"/>
          <w:szCs w:val="26"/>
        </w:rPr>
        <w:t xml:space="preserve">are </w:t>
      </w:r>
      <w:r w:rsidR="004C23C2" w:rsidRPr="001D0DD1">
        <w:rPr>
          <w:sz w:val="26"/>
          <w:szCs w:val="26"/>
        </w:rPr>
        <w:t>practices that engage and train employees strategically and hire and reward them based on</w:t>
      </w:r>
      <w:r w:rsidR="004C23C2" w:rsidRPr="00EA6450">
        <w:rPr>
          <w:sz w:val="26"/>
          <w:szCs w:val="26"/>
        </w:rPr>
        <w:t xml:space="preserve"> merit rather than their sex, connection</w:t>
      </w:r>
      <w:r w:rsidR="00BD03F3">
        <w:rPr>
          <w:sz w:val="26"/>
          <w:szCs w:val="26"/>
        </w:rPr>
        <w:t>s, etc. (Sun et al., 2007). Past research has shown that HPWP positively contribute</w:t>
      </w:r>
      <w:r w:rsidR="00752EF1">
        <w:rPr>
          <w:sz w:val="26"/>
          <w:szCs w:val="26"/>
        </w:rPr>
        <w:t>s</w:t>
      </w:r>
      <w:r w:rsidR="00BD03F3">
        <w:rPr>
          <w:sz w:val="26"/>
          <w:szCs w:val="26"/>
        </w:rPr>
        <w:t xml:space="preserve"> </w:t>
      </w:r>
      <w:r w:rsidR="00752EF1">
        <w:rPr>
          <w:sz w:val="26"/>
          <w:szCs w:val="26"/>
        </w:rPr>
        <w:t xml:space="preserve">to </w:t>
      </w:r>
      <w:r w:rsidR="00BD03F3">
        <w:rPr>
          <w:sz w:val="26"/>
          <w:szCs w:val="26"/>
        </w:rPr>
        <w:t xml:space="preserve">various aspects of social and financial performance </w:t>
      </w:r>
      <w:r>
        <w:rPr>
          <w:sz w:val="26"/>
          <w:szCs w:val="26"/>
        </w:rPr>
        <w:t>(</w:t>
      </w:r>
      <w:r w:rsidRPr="00EA6450">
        <w:rPr>
          <w:sz w:val="26"/>
          <w:szCs w:val="26"/>
        </w:rPr>
        <w:t>Combs et al., 2006</w:t>
      </w:r>
      <w:r w:rsidR="00BD03F3">
        <w:rPr>
          <w:sz w:val="26"/>
          <w:szCs w:val="26"/>
        </w:rPr>
        <w:t>; Rothenberg et al., 2017</w:t>
      </w:r>
      <w:r w:rsidR="00752EF1" w:rsidRPr="00EA6450">
        <w:rPr>
          <w:sz w:val="26"/>
          <w:szCs w:val="26"/>
        </w:rPr>
        <w:t>; Storey et al., 2019</w:t>
      </w:r>
      <w:r w:rsidR="00BD03F3">
        <w:rPr>
          <w:sz w:val="26"/>
          <w:szCs w:val="26"/>
        </w:rPr>
        <w:t>; Tang et al., 2012</w:t>
      </w:r>
      <w:r w:rsidR="00752EF1" w:rsidRPr="00EA6450">
        <w:rPr>
          <w:sz w:val="26"/>
          <w:szCs w:val="26"/>
        </w:rPr>
        <w:t>; Zhang et al., 2014</w:t>
      </w:r>
      <w:r w:rsidR="00BD03F3">
        <w:rPr>
          <w:sz w:val="26"/>
          <w:szCs w:val="26"/>
        </w:rPr>
        <w:t>). This impact, at least for financial performance, is</w:t>
      </w:r>
      <w:r w:rsidR="000A2FCA">
        <w:rPr>
          <w:sz w:val="26"/>
          <w:szCs w:val="26"/>
        </w:rPr>
        <w:t xml:space="preserve"> significant and positive without regard for context (</w:t>
      </w:r>
      <w:r w:rsidR="000A2FCA" w:rsidRPr="00EA6450">
        <w:rPr>
          <w:sz w:val="26"/>
          <w:szCs w:val="26"/>
        </w:rPr>
        <w:t>Combs et al., 2006; Storey et al., 2019; Zhang et al., 2014</w:t>
      </w:r>
      <w:r w:rsidR="000A2FCA">
        <w:rPr>
          <w:sz w:val="26"/>
          <w:szCs w:val="26"/>
        </w:rPr>
        <w:t>).</w:t>
      </w:r>
      <w:r w:rsidR="00A3435E">
        <w:rPr>
          <w:sz w:val="26"/>
          <w:szCs w:val="26"/>
        </w:rPr>
        <w:t xml:space="preserve"> There is much less research, however, </w:t>
      </w:r>
      <w:r w:rsidR="00E57A01">
        <w:rPr>
          <w:sz w:val="26"/>
          <w:szCs w:val="26"/>
        </w:rPr>
        <w:t xml:space="preserve">on </w:t>
      </w:r>
      <w:r w:rsidR="00A3435E">
        <w:rPr>
          <w:sz w:val="26"/>
          <w:szCs w:val="26"/>
        </w:rPr>
        <w:t xml:space="preserve">the </w:t>
      </w:r>
      <w:r w:rsidR="00E57A01">
        <w:rPr>
          <w:sz w:val="26"/>
          <w:szCs w:val="26"/>
        </w:rPr>
        <w:t xml:space="preserve">external </w:t>
      </w:r>
      <w:r w:rsidR="00A3435E">
        <w:rPr>
          <w:sz w:val="26"/>
          <w:szCs w:val="26"/>
        </w:rPr>
        <w:t xml:space="preserve">factors that impact this relationship. </w:t>
      </w:r>
      <w:r w:rsidR="00A3435E" w:rsidRPr="00EA6450">
        <w:rPr>
          <w:sz w:val="26"/>
          <w:szCs w:val="26"/>
        </w:rPr>
        <w:t>Theory and empirical evidence suggest that, given different nations with different institutional structures, financial performance will be affected differently by antecedents such as HPWP (Chacar, et al</w:t>
      </w:r>
      <w:r w:rsidR="00752EF1">
        <w:rPr>
          <w:rFonts w:asciiTheme="minorEastAsia" w:eastAsiaTheme="minorEastAsia" w:hAnsiTheme="minorEastAsia" w:hint="eastAsia"/>
          <w:sz w:val="26"/>
          <w:szCs w:val="26"/>
          <w:lang w:eastAsia="zh-TW"/>
        </w:rPr>
        <w:t>.</w:t>
      </w:r>
      <w:r w:rsidR="00A3435E" w:rsidRPr="00EA6450">
        <w:rPr>
          <w:sz w:val="26"/>
          <w:szCs w:val="26"/>
        </w:rPr>
        <w:t>, 2010; Huselid, 1995; Paauwe, 2009; Paauwe &amp; Boon, 2018; Witt &amp; Jackson, 2016). Many studies, directly and indirectly, support the notion that national differences, for example, impact the effectiveness of HRM practices (Caligiuri, 2014; Fey et al., 2009). The emphasis here is typically on informal institutions, but formal institutional pressures, including government policies that focus on employer-labor relations, are also likely to impact how a company’s approach to HRM affects performance (</w:t>
      </w:r>
      <w:r w:rsidR="00A3435E" w:rsidRPr="00EA6450">
        <w:rPr>
          <w:rStyle w:val="af8"/>
          <w:rFonts w:eastAsia="Arial"/>
          <w:sz w:val="26"/>
          <w:szCs w:val="26"/>
        </w:rPr>
        <w:t>Bauer et al.</w:t>
      </w:r>
      <w:r w:rsidR="00A3435E" w:rsidRPr="00EA6450">
        <w:rPr>
          <w:sz w:val="26"/>
          <w:szCs w:val="26"/>
        </w:rPr>
        <w:t>, 2018).</w:t>
      </w:r>
    </w:p>
    <w:p w14:paraId="00ABB1DE" w14:textId="35715E15" w:rsidR="001C23C1" w:rsidRDefault="00037565" w:rsidP="00752EF1">
      <w:pPr>
        <w:spacing w:line="360" w:lineRule="exact"/>
        <w:ind w:firstLineChars="200" w:firstLine="520"/>
        <w:jc w:val="both"/>
        <w:rPr>
          <w:sz w:val="26"/>
          <w:szCs w:val="26"/>
        </w:rPr>
      </w:pPr>
      <w:r>
        <w:rPr>
          <w:sz w:val="26"/>
          <w:szCs w:val="26"/>
        </w:rPr>
        <w:t xml:space="preserve">According to </w:t>
      </w:r>
      <w:r w:rsidRPr="00335FFD">
        <w:rPr>
          <w:sz w:val="26"/>
          <w:szCs w:val="26"/>
        </w:rPr>
        <w:t>institutional theory</w:t>
      </w:r>
      <w:r>
        <w:rPr>
          <w:sz w:val="26"/>
          <w:szCs w:val="26"/>
        </w:rPr>
        <w:t xml:space="preserve">, </w:t>
      </w:r>
      <w:r w:rsidR="001C23C1" w:rsidRPr="00127E1D">
        <w:rPr>
          <w:i/>
          <w:iCs/>
          <w:sz w:val="26"/>
          <w:szCs w:val="26"/>
        </w:rPr>
        <w:t>informal</w:t>
      </w:r>
      <w:r w:rsidR="00127E1D" w:rsidRPr="00127E1D">
        <w:rPr>
          <w:sz w:val="26"/>
          <w:szCs w:val="26"/>
        </w:rPr>
        <w:t xml:space="preserve"> </w:t>
      </w:r>
      <w:r w:rsidR="00127E1D" w:rsidRPr="00127E1D">
        <w:rPr>
          <w:i/>
          <w:iCs/>
          <w:sz w:val="26"/>
          <w:szCs w:val="26"/>
        </w:rPr>
        <w:t>institutional pressures</w:t>
      </w:r>
      <w:r w:rsidR="001C23C1" w:rsidRPr="00EA6450">
        <w:rPr>
          <w:sz w:val="26"/>
          <w:szCs w:val="26"/>
        </w:rPr>
        <w:t xml:space="preserve"> </w:t>
      </w:r>
      <w:r w:rsidR="001C23C1">
        <w:rPr>
          <w:sz w:val="26"/>
          <w:szCs w:val="26"/>
        </w:rPr>
        <w:t xml:space="preserve">(i.e., cultural norms and expectations) </w:t>
      </w:r>
      <w:r w:rsidR="001C23C1" w:rsidRPr="00EA6450">
        <w:rPr>
          <w:sz w:val="26"/>
          <w:szCs w:val="26"/>
        </w:rPr>
        <w:t xml:space="preserve">and </w:t>
      </w:r>
      <w:r w:rsidR="001C23C1" w:rsidRPr="00127E1D">
        <w:rPr>
          <w:i/>
          <w:iCs/>
          <w:sz w:val="26"/>
          <w:szCs w:val="26"/>
        </w:rPr>
        <w:t xml:space="preserve">formal </w:t>
      </w:r>
      <w:r w:rsidR="00127E1D" w:rsidRPr="00127E1D">
        <w:rPr>
          <w:i/>
          <w:iCs/>
          <w:sz w:val="26"/>
          <w:szCs w:val="26"/>
        </w:rPr>
        <w:t>institutional pressures</w:t>
      </w:r>
      <w:r w:rsidR="00127E1D">
        <w:rPr>
          <w:sz w:val="26"/>
          <w:szCs w:val="26"/>
        </w:rPr>
        <w:t xml:space="preserve"> </w:t>
      </w:r>
      <w:r w:rsidR="001C23C1">
        <w:rPr>
          <w:sz w:val="26"/>
          <w:szCs w:val="26"/>
        </w:rPr>
        <w:t xml:space="preserve">(i.e., legal and regulatory requirements) </w:t>
      </w:r>
      <w:r>
        <w:rPr>
          <w:sz w:val="26"/>
          <w:szCs w:val="26"/>
        </w:rPr>
        <w:t>in different countries affect the results of various choices and actions (</w:t>
      </w:r>
      <w:r w:rsidRPr="00EA6450">
        <w:rPr>
          <w:sz w:val="26"/>
          <w:szCs w:val="26"/>
        </w:rPr>
        <w:t xml:space="preserve">Caligiuri, 2014; Minbaeva </w:t>
      </w:r>
      <w:r w:rsidRPr="00752EF1">
        <w:rPr>
          <w:sz w:val="26"/>
          <w:szCs w:val="26"/>
        </w:rPr>
        <w:t>et al.,</w:t>
      </w:r>
      <w:r w:rsidRPr="00EA6450">
        <w:rPr>
          <w:sz w:val="26"/>
          <w:szCs w:val="26"/>
        </w:rPr>
        <w:t xml:space="preserve"> 2014; </w:t>
      </w:r>
      <w:r w:rsidR="00E66C3B">
        <w:rPr>
          <w:sz w:val="26"/>
          <w:szCs w:val="26"/>
        </w:rPr>
        <w:t xml:space="preserve">Scott, 1995; </w:t>
      </w:r>
      <w:r w:rsidRPr="00EA6450">
        <w:rPr>
          <w:sz w:val="26"/>
          <w:szCs w:val="26"/>
        </w:rPr>
        <w:t>Weng &amp; Peng, 2018</w:t>
      </w:r>
      <w:r>
        <w:rPr>
          <w:sz w:val="26"/>
          <w:szCs w:val="26"/>
        </w:rPr>
        <w:t xml:space="preserve">). Thus, </w:t>
      </w:r>
      <w:r w:rsidR="00E66C3B">
        <w:rPr>
          <w:sz w:val="26"/>
          <w:szCs w:val="26"/>
        </w:rPr>
        <w:t>we should expect the relationship between HPWP and financial performance to be stronger in some countries than in others.</w:t>
      </w:r>
      <w:r w:rsidR="000A2FCA">
        <w:rPr>
          <w:sz w:val="26"/>
          <w:szCs w:val="26"/>
        </w:rPr>
        <w:t xml:space="preserve"> Some formal and informal </w:t>
      </w:r>
      <w:r w:rsidR="00E57A01">
        <w:rPr>
          <w:sz w:val="26"/>
          <w:szCs w:val="26"/>
        </w:rPr>
        <w:t xml:space="preserve">structures </w:t>
      </w:r>
      <w:r w:rsidR="000A2FCA">
        <w:rPr>
          <w:sz w:val="26"/>
          <w:szCs w:val="26"/>
        </w:rPr>
        <w:t>in one country might magnify the benefits of HPWP, while others might diminish them.</w:t>
      </w:r>
      <w:r w:rsidR="005F6125">
        <w:rPr>
          <w:sz w:val="26"/>
          <w:szCs w:val="26"/>
        </w:rPr>
        <w:t xml:space="preserve"> </w:t>
      </w:r>
    </w:p>
    <w:p w14:paraId="55D343A0" w14:textId="6EB95820" w:rsidR="00E57A01" w:rsidRDefault="001C23C1" w:rsidP="00752EF1">
      <w:pPr>
        <w:spacing w:line="360" w:lineRule="exact"/>
        <w:ind w:firstLineChars="200" w:firstLine="520"/>
        <w:jc w:val="both"/>
        <w:rPr>
          <w:sz w:val="26"/>
          <w:szCs w:val="26"/>
        </w:rPr>
      </w:pPr>
      <w:r w:rsidRPr="00EA6450">
        <w:rPr>
          <w:sz w:val="26"/>
          <w:szCs w:val="26"/>
        </w:rPr>
        <w:t>I</w:t>
      </w:r>
      <w:r>
        <w:rPr>
          <w:sz w:val="26"/>
          <w:szCs w:val="26"/>
        </w:rPr>
        <w:t>n the context of labor-related practices</w:t>
      </w:r>
      <w:r w:rsidR="00E57A01">
        <w:rPr>
          <w:sz w:val="26"/>
          <w:szCs w:val="26"/>
        </w:rPr>
        <w:t xml:space="preserve">, </w:t>
      </w:r>
      <w:r>
        <w:rPr>
          <w:sz w:val="26"/>
          <w:szCs w:val="26"/>
        </w:rPr>
        <w:t>i</w:t>
      </w:r>
      <w:r w:rsidRPr="00EA6450">
        <w:rPr>
          <w:sz w:val="26"/>
          <w:szCs w:val="26"/>
        </w:rPr>
        <w:t>nstitutional theory suggests that labor-related institutional factors will impact the relationship</w:t>
      </w:r>
      <w:r>
        <w:rPr>
          <w:sz w:val="26"/>
          <w:szCs w:val="26"/>
        </w:rPr>
        <w:t xml:space="preserve"> between company actions, such as engaging in HPWP, and financial performance </w:t>
      </w:r>
      <w:r w:rsidRPr="00EA6450">
        <w:rPr>
          <w:sz w:val="26"/>
          <w:szCs w:val="26"/>
        </w:rPr>
        <w:t xml:space="preserve">(Caligiuri, 2014; Minbaeva </w:t>
      </w:r>
      <w:r w:rsidRPr="00EA6450">
        <w:rPr>
          <w:i/>
          <w:sz w:val="26"/>
          <w:szCs w:val="26"/>
        </w:rPr>
        <w:t>et al.</w:t>
      </w:r>
      <w:r w:rsidRPr="00EA6450">
        <w:rPr>
          <w:sz w:val="26"/>
          <w:szCs w:val="26"/>
        </w:rPr>
        <w:t>, 2014; Weng &amp; Peng, 2018).</w:t>
      </w:r>
      <w:r w:rsidR="005F6125">
        <w:rPr>
          <w:sz w:val="26"/>
          <w:szCs w:val="26"/>
        </w:rPr>
        <w:t xml:space="preserve"> </w:t>
      </w:r>
      <w:r w:rsidR="00851827">
        <w:rPr>
          <w:sz w:val="26"/>
          <w:szCs w:val="26"/>
        </w:rPr>
        <w:t>Most work in this area</w:t>
      </w:r>
      <w:r w:rsidR="00696574" w:rsidRPr="00EA6450">
        <w:rPr>
          <w:sz w:val="26"/>
          <w:szCs w:val="26"/>
        </w:rPr>
        <w:t xml:space="preserve"> largely considers the impact of institutional pressures on choice of activity, rather than </w:t>
      </w:r>
      <w:r w:rsidR="00E57A01">
        <w:rPr>
          <w:sz w:val="26"/>
          <w:szCs w:val="26"/>
        </w:rPr>
        <w:t xml:space="preserve">on </w:t>
      </w:r>
      <w:r w:rsidR="00696574" w:rsidRPr="00EA6450">
        <w:rPr>
          <w:sz w:val="26"/>
          <w:szCs w:val="26"/>
        </w:rPr>
        <w:t xml:space="preserve">the effects of a choice such as that to engage </w:t>
      </w:r>
      <w:r w:rsidR="00696574" w:rsidRPr="00EA6450">
        <w:rPr>
          <w:sz w:val="26"/>
          <w:szCs w:val="26"/>
        </w:rPr>
        <w:lastRenderedPageBreak/>
        <w:t xml:space="preserve">in HPWP. </w:t>
      </w:r>
      <w:r w:rsidR="00851827">
        <w:rPr>
          <w:sz w:val="26"/>
          <w:szCs w:val="26"/>
        </w:rPr>
        <w:t>O</w:t>
      </w:r>
      <w:r w:rsidR="00851827" w:rsidRPr="00EA6450">
        <w:rPr>
          <w:sz w:val="26"/>
          <w:szCs w:val="26"/>
        </w:rPr>
        <w:t xml:space="preserve">ur study responds to recent calls for additional research on the impact of labor-related institutional factors on financial performance and on the HRM-financial performance relationship (Caligiuri, 2014; Minbaeva </w:t>
      </w:r>
      <w:r w:rsidR="00851827" w:rsidRPr="00EA6450">
        <w:rPr>
          <w:i/>
          <w:sz w:val="26"/>
          <w:szCs w:val="26"/>
        </w:rPr>
        <w:t>et al.</w:t>
      </w:r>
      <w:r w:rsidR="00851827" w:rsidRPr="00EA6450">
        <w:rPr>
          <w:sz w:val="26"/>
          <w:szCs w:val="26"/>
        </w:rPr>
        <w:t>, 2014; Weng &amp; Peng, 2018).</w:t>
      </w:r>
      <w:r w:rsidR="005F6125">
        <w:rPr>
          <w:sz w:val="26"/>
          <w:szCs w:val="26"/>
        </w:rPr>
        <w:t xml:space="preserve"> </w:t>
      </w:r>
    </w:p>
    <w:p w14:paraId="24D630E3" w14:textId="6B3CDC11" w:rsidR="00851827" w:rsidRDefault="00E57A01" w:rsidP="00752EF1">
      <w:pPr>
        <w:spacing w:line="360" w:lineRule="exact"/>
        <w:ind w:firstLineChars="200" w:firstLine="520"/>
        <w:jc w:val="both"/>
        <w:rPr>
          <w:sz w:val="26"/>
          <w:szCs w:val="26"/>
        </w:rPr>
      </w:pPr>
      <w:r>
        <w:rPr>
          <w:sz w:val="26"/>
          <w:szCs w:val="26"/>
        </w:rPr>
        <w:t>Little is known about</w:t>
      </w:r>
      <w:r w:rsidR="00696574" w:rsidRPr="00EA6450">
        <w:rPr>
          <w:sz w:val="26"/>
          <w:szCs w:val="26"/>
        </w:rPr>
        <w:t xml:space="preserve"> institutional factors’ impact on </w:t>
      </w:r>
      <w:r w:rsidR="00696574" w:rsidRPr="00EA6450">
        <w:rPr>
          <w:i/>
          <w:sz w:val="26"/>
          <w:szCs w:val="26"/>
        </w:rPr>
        <w:t>how much</w:t>
      </w:r>
      <w:r w:rsidR="00696574" w:rsidRPr="00EA6450">
        <w:rPr>
          <w:sz w:val="26"/>
          <w:szCs w:val="26"/>
        </w:rPr>
        <w:t xml:space="preserve"> firms benefit financially from high</w:t>
      </w:r>
      <w:r w:rsidR="00752EF1">
        <w:rPr>
          <w:sz w:val="26"/>
          <w:szCs w:val="26"/>
        </w:rPr>
        <w:t>-</w:t>
      </w:r>
      <w:r w:rsidR="00696574" w:rsidRPr="00EA6450">
        <w:rPr>
          <w:sz w:val="26"/>
          <w:szCs w:val="26"/>
        </w:rPr>
        <w:t xml:space="preserve">performance work practices (HPWP) such as job security, training or talent management, appraisal and rewards systems, and </w:t>
      </w:r>
      <w:r>
        <w:rPr>
          <w:sz w:val="26"/>
          <w:szCs w:val="26"/>
        </w:rPr>
        <w:t xml:space="preserve">beneficial </w:t>
      </w:r>
      <w:r w:rsidR="00696574" w:rsidRPr="00EA6450">
        <w:rPr>
          <w:sz w:val="26"/>
          <w:szCs w:val="26"/>
        </w:rPr>
        <w:t>employee relations (Caligiuri, 2014</w:t>
      </w:r>
      <w:r w:rsidR="00752EF1" w:rsidRPr="00EA6450">
        <w:rPr>
          <w:sz w:val="26"/>
          <w:szCs w:val="26"/>
        </w:rPr>
        <w:t>; Maamari &amp; Alameh, 2016</w:t>
      </w:r>
      <w:r w:rsidR="00696574" w:rsidRPr="00EA6450">
        <w:rPr>
          <w:sz w:val="26"/>
          <w:szCs w:val="26"/>
        </w:rPr>
        <w:t xml:space="preserve">; Minbaeva </w:t>
      </w:r>
      <w:r w:rsidR="00696574" w:rsidRPr="00EA6450">
        <w:rPr>
          <w:i/>
          <w:sz w:val="26"/>
          <w:szCs w:val="26"/>
        </w:rPr>
        <w:t>et al.</w:t>
      </w:r>
      <w:r w:rsidR="00696574" w:rsidRPr="00EA6450">
        <w:rPr>
          <w:sz w:val="26"/>
          <w:szCs w:val="26"/>
        </w:rPr>
        <w:t>, 2014; Sun</w:t>
      </w:r>
      <w:r w:rsidR="00696574">
        <w:rPr>
          <w:sz w:val="26"/>
          <w:szCs w:val="26"/>
        </w:rPr>
        <w:t xml:space="preserve"> </w:t>
      </w:r>
      <w:r w:rsidR="00696574" w:rsidRPr="00EA6450">
        <w:rPr>
          <w:sz w:val="26"/>
          <w:szCs w:val="26"/>
        </w:rPr>
        <w:t>et al., 2007).</w:t>
      </w:r>
      <w:r>
        <w:rPr>
          <w:sz w:val="26"/>
          <w:szCs w:val="26"/>
        </w:rPr>
        <w:t xml:space="preserve"> To fill this gap in the literature</w:t>
      </w:r>
      <w:r w:rsidR="00851827">
        <w:rPr>
          <w:sz w:val="26"/>
          <w:szCs w:val="26"/>
        </w:rPr>
        <w:t>, we look at the differential impact of two types of institutional pressure - formal and informal</w:t>
      </w:r>
      <w:r w:rsidR="00851827" w:rsidRPr="00EA6450">
        <w:rPr>
          <w:sz w:val="26"/>
          <w:szCs w:val="26"/>
        </w:rPr>
        <w:t xml:space="preserve"> (c.f., Mallon &amp; Fainshmidt, 2017</w:t>
      </w:r>
      <w:r>
        <w:rPr>
          <w:sz w:val="26"/>
          <w:szCs w:val="26"/>
        </w:rPr>
        <w:t xml:space="preserve">; </w:t>
      </w:r>
      <w:r w:rsidRPr="00EA6450">
        <w:rPr>
          <w:sz w:val="26"/>
          <w:szCs w:val="26"/>
        </w:rPr>
        <w:t>Williamson, 2009</w:t>
      </w:r>
      <w:r w:rsidR="00851827">
        <w:rPr>
          <w:sz w:val="26"/>
          <w:szCs w:val="26"/>
        </w:rPr>
        <w:t xml:space="preserve">). </w:t>
      </w:r>
    </w:p>
    <w:p w14:paraId="481E38A6" w14:textId="62E85A3E" w:rsidR="00762AFB" w:rsidRDefault="00762AFB" w:rsidP="00752EF1">
      <w:pPr>
        <w:spacing w:line="360" w:lineRule="exact"/>
        <w:ind w:firstLineChars="200" w:firstLine="520"/>
        <w:jc w:val="both"/>
        <w:rPr>
          <w:sz w:val="26"/>
          <w:szCs w:val="26"/>
        </w:rPr>
      </w:pPr>
      <w:r>
        <w:rPr>
          <w:sz w:val="26"/>
          <w:szCs w:val="26"/>
        </w:rPr>
        <w:t xml:space="preserve">Thus, this paper makes contributions on a number of fronts. </w:t>
      </w:r>
      <w:r w:rsidR="00E57A01">
        <w:rPr>
          <w:sz w:val="26"/>
          <w:szCs w:val="26"/>
        </w:rPr>
        <w:t>I</w:t>
      </w:r>
      <w:r>
        <w:rPr>
          <w:sz w:val="26"/>
          <w:szCs w:val="26"/>
        </w:rPr>
        <w:t xml:space="preserve">t </w:t>
      </w:r>
      <w:r w:rsidR="004C27D1">
        <w:rPr>
          <w:sz w:val="26"/>
          <w:szCs w:val="26"/>
        </w:rPr>
        <w:t xml:space="preserve">answers the call for research on the impacts of institutional pressures on the </w:t>
      </w:r>
      <w:r w:rsidR="00FA5E28">
        <w:rPr>
          <w:sz w:val="26"/>
          <w:szCs w:val="26"/>
        </w:rPr>
        <w:t>HPWP</w:t>
      </w:r>
      <w:r w:rsidR="004C27D1">
        <w:rPr>
          <w:sz w:val="26"/>
          <w:szCs w:val="26"/>
        </w:rPr>
        <w:t xml:space="preserve">-performance relation. </w:t>
      </w:r>
      <w:r w:rsidR="00E57A01">
        <w:rPr>
          <w:sz w:val="26"/>
          <w:szCs w:val="26"/>
        </w:rPr>
        <w:t>I</w:t>
      </w:r>
      <w:r w:rsidR="004C27D1">
        <w:rPr>
          <w:sz w:val="26"/>
          <w:szCs w:val="26"/>
        </w:rPr>
        <w:t xml:space="preserve">t </w:t>
      </w:r>
      <w:r>
        <w:rPr>
          <w:sz w:val="26"/>
          <w:szCs w:val="26"/>
        </w:rPr>
        <w:t>tak</w:t>
      </w:r>
      <w:r w:rsidR="00E57A01">
        <w:rPr>
          <w:sz w:val="26"/>
          <w:szCs w:val="26"/>
        </w:rPr>
        <w:t>es</w:t>
      </w:r>
      <w:r>
        <w:rPr>
          <w:sz w:val="26"/>
          <w:szCs w:val="26"/>
        </w:rPr>
        <w:t xml:space="preserve"> a </w:t>
      </w:r>
      <w:r w:rsidR="004C27D1">
        <w:rPr>
          <w:sz w:val="26"/>
          <w:szCs w:val="26"/>
        </w:rPr>
        <w:t>more detailed look at this relationship by separating form and informal institutional pressures</w:t>
      </w:r>
      <w:r>
        <w:rPr>
          <w:sz w:val="26"/>
          <w:szCs w:val="26"/>
        </w:rPr>
        <w:t xml:space="preserve">. </w:t>
      </w:r>
      <w:r w:rsidR="00E57A01">
        <w:rPr>
          <w:sz w:val="26"/>
          <w:szCs w:val="26"/>
        </w:rPr>
        <w:t xml:space="preserve">In so doing, it </w:t>
      </w:r>
      <w:r>
        <w:rPr>
          <w:sz w:val="26"/>
          <w:szCs w:val="26"/>
        </w:rPr>
        <w:t xml:space="preserve">moves the discussion beyond </w:t>
      </w:r>
      <w:r w:rsidR="00E57A01">
        <w:rPr>
          <w:i/>
          <w:sz w:val="26"/>
          <w:szCs w:val="26"/>
        </w:rPr>
        <w:t>whether</w:t>
      </w:r>
      <w:r w:rsidR="00E57A01">
        <w:rPr>
          <w:sz w:val="26"/>
          <w:szCs w:val="26"/>
        </w:rPr>
        <w:t xml:space="preserve"> </w:t>
      </w:r>
      <w:r>
        <w:rPr>
          <w:sz w:val="26"/>
          <w:szCs w:val="26"/>
        </w:rPr>
        <w:t>there is a positive relationship</w:t>
      </w:r>
      <w:r w:rsidR="00E57A01">
        <w:rPr>
          <w:sz w:val="26"/>
          <w:szCs w:val="26"/>
        </w:rPr>
        <w:t>,</w:t>
      </w:r>
      <w:r>
        <w:rPr>
          <w:sz w:val="26"/>
          <w:szCs w:val="26"/>
        </w:rPr>
        <w:t xml:space="preserve"> to the institutional </w:t>
      </w:r>
      <w:r w:rsidRPr="00335FFD">
        <w:rPr>
          <w:i/>
          <w:sz w:val="26"/>
          <w:szCs w:val="26"/>
        </w:rPr>
        <w:t>conditions under which</w:t>
      </w:r>
      <w:r>
        <w:rPr>
          <w:sz w:val="26"/>
          <w:szCs w:val="26"/>
        </w:rPr>
        <w:t xml:space="preserve"> the benefits of </w:t>
      </w:r>
      <w:r w:rsidR="00FA5E28">
        <w:rPr>
          <w:sz w:val="26"/>
          <w:szCs w:val="26"/>
        </w:rPr>
        <w:t>HPWP</w:t>
      </w:r>
      <w:r>
        <w:rPr>
          <w:sz w:val="26"/>
          <w:szCs w:val="26"/>
        </w:rPr>
        <w:t xml:space="preserve"> can be maximized. This paper also adds to the </w:t>
      </w:r>
      <w:r w:rsidR="00E57A01">
        <w:rPr>
          <w:sz w:val="26"/>
          <w:szCs w:val="26"/>
        </w:rPr>
        <w:t xml:space="preserve">emerging institutional theory </w:t>
      </w:r>
      <w:r>
        <w:rPr>
          <w:sz w:val="26"/>
          <w:szCs w:val="26"/>
        </w:rPr>
        <w:t xml:space="preserve">literature </w:t>
      </w:r>
      <w:r w:rsidR="004C27D1">
        <w:rPr>
          <w:sz w:val="26"/>
          <w:szCs w:val="26"/>
        </w:rPr>
        <w:t>that considers</w:t>
      </w:r>
      <w:r>
        <w:rPr>
          <w:sz w:val="26"/>
          <w:szCs w:val="26"/>
        </w:rPr>
        <w:t xml:space="preserve"> the differential impacts of formal and informal institutional pressures on firm performance</w:t>
      </w:r>
      <w:r w:rsidR="00E57A01">
        <w:rPr>
          <w:sz w:val="26"/>
          <w:szCs w:val="26"/>
        </w:rPr>
        <w:t xml:space="preserve"> (e.g., </w:t>
      </w:r>
      <w:r w:rsidR="00E57A01" w:rsidRPr="00EA6450">
        <w:rPr>
          <w:sz w:val="26"/>
          <w:szCs w:val="26"/>
        </w:rPr>
        <w:t>Mallon &amp; Fainshmidt, 2017</w:t>
      </w:r>
      <w:r w:rsidR="00E57A01">
        <w:rPr>
          <w:sz w:val="26"/>
          <w:szCs w:val="26"/>
        </w:rPr>
        <w:t>)</w:t>
      </w:r>
      <w:r>
        <w:rPr>
          <w:sz w:val="26"/>
          <w:szCs w:val="26"/>
        </w:rPr>
        <w:t>.</w:t>
      </w:r>
      <w:r w:rsidR="004C27D1">
        <w:rPr>
          <w:sz w:val="26"/>
          <w:szCs w:val="26"/>
        </w:rPr>
        <w:t xml:space="preserve"> </w:t>
      </w:r>
    </w:p>
    <w:p w14:paraId="4A701D62" w14:textId="77777777" w:rsidR="00EA6450" w:rsidRPr="00EA6450" w:rsidRDefault="00EA6450" w:rsidP="00752EF1">
      <w:pPr>
        <w:spacing w:line="360" w:lineRule="exact"/>
        <w:ind w:firstLineChars="200" w:firstLine="520"/>
        <w:jc w:val="both"/>
        <w:rPr>
          <w:sz w:val="26"/>
          <w:szCs w:val="26"/>
        </w:rPr>
      </w:pPr>
    </w:p>
    <w:p w14:paraId="4A2413B7" w14:textId="5CBBDADF" w:rsidR="00E354B7" w:rsidRDefault="009074BF" w:rsidP="00752EF1">
      <w:pPr>
        <w:pStyle w:val="3"/>
        <w:spacing w:before="0" w:after="0" w:line="360" w:lineRule="exact"/>
        <w:ind w:firstLineChars="200" w:firstLine="521"/>
        <w:jc w:val="center"/>
        <w:rPr>
          <w:b/>
          <w:i w:val="0"/>
          <w:sz w:val="26"/>
          <w:szCs w:val="26"/>
        </w:rPr>
      </w:pPr>
      <w:r w:rsidRPr="00EA6450">
        <w:rPr>
          <w:b/>
          <w:i w:val="0"/>
          <w:sz w:val="26"/>
          <w:szCs w:val="26"/>
        </w:rPr>
        <w:t>LITERATURE REVIEW AND HYPOTHESIS DEVELOPMENT</w:t>
      </w:r>
    </w:p>
    <w:p w14:paraId="65152886" w14:textId="77777777" w:rsidR="00E354B7" w:rsidRPr="00EA6450" w:rsidRDefault="009074BF" w:rsidP="00752EF1">
      <w:pPr>
        <w:pStyle w:val="3"/>
        <w:spacing w:before="0" w:after="0" w:line="360" w:lineRule="exact"/>
        <w:rPr>
          <w:b/>
          <w:bCs/>
          <w:i w:val="0"/>
          <w:iCs/>
          <w:sz w:val="26"/>
          <w:szCs w:val="26"/>
        </w:rPr>
      </w:pPr>
      <w:r w:rsidRPr="00EA6450">
        <w:rPr>
          <w:b/>
          <w:bCs/>
          <w:i w:val="0"/>
          <w:iCs/>
          <w:sz w:val="26"/>
          <w:szCs w:val="26"/>
        </w:rPr>
        <w:t>High-Performance Work Practices</w:t>
      </w:r>
    </w:p>
    <w:p w14:paraId="77C07CBC" w14:textId="54D0A364" w:rsidR="000C3343" w:rsidRPr="00340B99" w:rsidRDefault="00873AC1" w:rsidP="00752EF1">
      <w:pPr>
        <w:spacing w:line="360" w:lineRule="exact"/>
        <w:ind w:firstLineChars="200" w:firstLine="520"/>
        <w:jc w:val="both"/>
        <w:rPr>
          <w:sz w:val="26"/>
          <w:szCs w:val="26"/>
        </w:rPr>
      </w:pPr>
      <w:r w:rsidRPr="00340B99">
        <w:rPr>
          <w:sz w:val="26"/>
          <w:szCs w:val="26"/>
        </w:rPr>
        <w:t>Figure 1 outlines our</w:t>
      </w:r>
      <w:r w:rsidR="006135F7" w:rsidRPr="00340B99">
        <w:rPr>
          <w:sz w:val="26"/>
          <w:szCs w:val="26"/>
        </w:rPr>
        <w:t xml:space="preserve"> hypothesis, as detailed below. </w:t>
      </w:r>
      <w:r w:rsidR="009074BF" w:rsidRPr="00340B99">
        <w:rPr>
          <w:sz w:val="26"/>
          <w:szCs w:val="26"/>
        </w:rPr>
        <w:t>HPWP can enhance and support other firm capabilities by increasing employees’ ability, loyalty and motivation to help the company achieve its ends (Costa</w:t>
      </w:r>
      <w:r w:rsidR="005F4D08" w:rsidRPr="00340B99">
        <w:rPr>
          <w:sz w:val="26"/>
          <w:szCs w:val="26"/>
        </w:rPr>
        <w:t xml:space="preserve"> et al.</w:t>
      </w:r>
      <w:r w:rsidR="009074BF" w:rsidRPr="00340B99">
        <w:rPr>
          <w:sz w:val="26"/>
          <w:szCs w:val="26"/>
        </w:rPr>
        <w:t xml:space="preserve">, 2015; </w:t>
      </w:r>
      <w:r w:rsidR="00610112" w:rsidRPr="00340B99">
        <w:rPr>
          <w:sz w:val="26"/>
          <w:szCs w:val="26"/>
        </w:rPr>
        <w:t xml:space="preserve">Maamari &amp; Alameh, 2016; </w:t>
      </w:r>
      <w:r w:rsidR="009074BF" w:rsidRPr="00340B99">
        <w:rPr>
          <w:sz w:val="26"/>
          <w:szCs w:val="26"/>
        </w:rPr>
        <w:t>Rothenberg et al</w:t>
      </w:r>
      <w:r w:rsidR="009074BF" w:rsidRPr="00340B99">
        <w:rPr>
          <w:i/>
          <w:sz w:val="26"/>
          <w:szCs w:val="26"/>
        </w:rPr>
        <w:t>.</w:t>
      </w:r>
      <w:r w:rsidR="009074BF" w:rsidRPr="00340B99">
        <w:rPr>
          <w:sz w:val="26"/>
          <w:szCs w:val="26"/>
        </w:rPr>
        <w:t xml:space="preserve">, </w:t>
      </w:r>
      <w:r w:rsidR="005428B7" w:rsidRPr="00340B99">
        <w:rPr>
          <w:sz w:val="26"/>
          <w:szCs w:val="26"/>
        </w:rPr>
        <w:t>2017</w:t>
      </w:r>
      <w:r w:rsidR="009074BF" w:rsidRPr="00340B99">
        <w:rPr>
          <w:sz w:val="26"/>
          <w:szCs w:val="26"/>
        </w:rPr>
        <w:t xml:space="preserve">). </w:t>
      </w:r>
      <w:r w:rsidR="00C060B5" w:rsidRPr="00340B99">
        <w:rPr>
          <w:sz w:val="26"/>
          <w:szCs w:val="26"/>
        </w:rPr>
        <w:t>The resource-based view (RBV)</w:t>
      </w:r>
      <w:r w:rsidR="00820BE2" w:rsidRPr="00340B99">
        <w:rPr>
          <w:sz w:val="26"/>
          <w:szCs w:val="26"/>
        </w:rPr>
        <w:t xml:space="preserve"> </w:t>
      </w:r>
      <w:r w:rsidR="00340B99" w:rsidRPr="00340B99">
        <w:rPr>
          <w:sz w:val="26"/>
          <w:szCs w:val="26"/>
        </w:rPr>
        <w:t>is the dominant theory used to support the value of HP</w:t>
      </w:r>
      <w:r w:rsidR="00DB1E45">
        <w:rPr>
          <w:sz w:val="26"/>
          <w:szCs w:val="26"/>
        </w:rPr>
        <w:t>W</w:t>
      </w:r>
      <w:r w:rsidR="00340B99" w:rsidRPr="00340B99">
        <w:rPr>
          <w:sz w:val="26"/>
          <w:szCs w:val="26"/>
        </w:rPr>
        <w:t>P (Paauwe &amp; Boselie, 2006). RBV</w:t>
      </w:r>
      <w:r w:rsidR="00C060B5" w:rsidRPr="00340B99">
        <w:rPr>
          <w:sz w:val="26"/>
          <w:szCs w:val="26"/>
        </w:rPr>
        <w:t xml:space="preserve"> suggests that </w:t>
      </w:r>
      <w:r w:rsidR="000963BE" w:rsidRPr="00340B99">
        <w:rPr>
          <w:sz w:val="26"/>
          <w:szCs w:val="26"/>
        </w:rPr>
        <w:t>c</w:t>
      </w:r>
      <w:r w:rsidR="00C060B5" w:rsidRPr="00340B99">
        <w:rPr>
          <w:sz w:val="26"/>
          <w:szCs w:val="26"/>
        </w:rPr>
        <w:t xml:space="preserve">ombinations or bundles of complementary capabilities are particularly effective at driving competitive advantage (Barney, </w:t>
      </w:r>
      <w:r w:rsidR="00DE00F1" w:rsidRPr="00340B99">
        <w:rPr>
          <w:sz w:val="26"/>
          <w:szCs w:val="26"/>
        </w:rPr>
        <w:t xml:space="preserve">1986, </w:t>
      </w:r>
      <w:r w:rsidR="00151253" w:rsidRPr="00340B99">
        <w:rPr>
          <w:sz w:val="26"/>
          <w:szCs w:val="26"/>
        </w:rPr>
        <w:t>199</w:t>
      </w:r>
      <w:r w:rsidR="00DE00F1" w:rsidRPr="00340B99">
        <w:rPr>
          <w:sz w:val="26"/>
          <w:szCs w:val="26"/>
        </w:rPr>
        <w:t>1, 2001</w:t>
      </w:r>
      <w:r w:rsidR="005C665F" w:rsidRPr="00340B99">
        <w:rPr>
          <w:sz w:val="26"/>
          <w:szCs w:val="26"/>
        </w:rPr>
        <w:t>)</w:t>
      </w:r>
      <w:r w:rsidR="00820A8D" w:rsidRPr="00340B99">
        <w:rPr>
          <w:sz w:val="26"/>
          <w:szCs w:val="26"/>
        </w:rPr>
        <w:t xml:space="preserve"> and that stakeholders, such as employees, are an important factor in this process (Barney, 2018)</w:t>
      </w:r>
      <w:r w:rsidR="005C665F" w:rsidRPr="00340B99">
        <w:rPr>
          <w:sz w:val="26"/>
          <w:szCs w:val="26"/>
        </w:rPr>
        <w:t>. In this case, the bundle is what we call</w:t>
      </w:r>
      <w:r w:rsidR="002C7A53" w:rsidRPr="00340B99">
        <w:rPr>
          <w:sz w:val="26"/>
          <w:szCs w:val="26"/>
        </w:rPr>
        <w:t xml:space="preserve"> </w:t>
      </w:r>
      <w:r w:rsidR="00264322" w:rsidRPr="00340B99">
        <w:rPr>
          <w:i/>
          <w:sz w:val="26"/>
          <w:szCs w:val="26"/>
        </w:rPr>
        <w:t>high-performance work practices</w:t>
      </w:r>
      <w:r w:rsidR="00264322" w:rsidRPr="00340B99">
        <w:rPr>
          <w:sz w:val="26"/>
          <w:szCs w:val="26"/>
        </w:rPr>
        <w:t xml:space="preserve"> </w:t>
      </w:r>
      <w:r w:rsidR="002C7A53" w:rsidRPr="00340B99">
        <w:rPr>
          <w:sz w:val="26"/>
          <w:szCs w:val="26"/>
        </w:rPr>
        <w:t>(HPWP)</w:t>
      </w:r>
      <w:r w:rsidR="005C665F" w:rsidRPr="00340B99">
        <w:rPr>
          <w:sz w:val="26"/>
          <w:szCs w:val="26"/>
        </w:rPr>
        <w:t xml:space="preserve">, </w:t>
      </w:r>
      <w:r w:rsidR="00264322" w:rsidRPr="00340B99">
        <w:rPr>
          <w:sz w:val="26"/>
          <w:szCs w:val="26"/>
        </w:rPr>
        <w:t xml:space="preserve">a </w:t>
      </w:r>
      <w:r w:rsidR="005F2416" w:rsidRPr="00340B99">
        <w:rPr>
          <w:sz w:val="26"/>
          <w:szCs w:val="26"/>
        </w:rPr>
        <w:t>bundle of</w:t>
      </w:r>
      <w:r w:rsidR="005C665F" w:rsidRPr="00340B99">
        <w:rPr>
          <w:sz w:val="26"/>
          <w:szCs w:val="26"/>
        </w:rPr>
        <w:t xml:space="preserve"> diverse but complementary capabilities</w:t>
      </w:r>
      <w:r w:rsidR="005F2416" w:rsidRPr="00340B99">
        <w:rPr>
          <w:sz w:val="26"/>
          <w:szCs w:val="26"/>
        </w:rPr>
        <w:t>, such</w:t>
      </w:r>
      <w:r w:rsidR="005C665F" w:rsidRPr="00340B99">
        <w:rPr>
          <w:sz w:val="26"/>
          <w:szCs w:val="26"/>
        </w:rPr>
        <w:t xml:space="preserve"> as </w:t>
      </w:r>
      <w:r w:rsidR="00C65DDC" w:rsidRPr="00340B99">
        <w:rPr>
          <w:sz w:val="26"/>
          <w:szCs w:val="26"/>
        </w:rPr>
        <w:t>worker participation, effective reward systems, and employee training</w:t>
      </w:r>
      <w:r w:rsidR="00610112" w:rsidRPr="00340B99">
        <w:rPr>
          <w:sz w:val="26"/>
          <w:szCs w:val="26"/>
        </w:rPr>
        <w:t xml:space="preserve"> and talent management</w:t>
      </w:r>
      <w:r w:rsidR="00C65DDC" w:rsidRPr="00340B99">
        <w:rPr>
          <w:sz w:val="26"/>
          <w:szCs w:val="26"/>
        </w:rPr>
        <w:t xml:space="preserve"> (</w:t>
      </w:r>
      <w:r w:rsidR="00610112" w:rsidRPr="00340B99">
        <w:rPr>
          <w:sz w:val="26"/>
          <w:szCs w:val="26"/>
        </w:rPr>
        <w:t xml:space="preserve">Maamari &amp; Alameh, 2016; </w:t>
      </w:r>
      <w:r w:rsidR="00DE00F1" w:rsidRPr="00340B99">
        <w:rPr>
          <w:sz w:val="26"/>
          <w:szCs w:val="26"/>
        </w:rPr>
        <w:t xml:space="preserve">Rothenberg et al., 2017; </w:t>
      </w:r>
      <w:r w:rsidR="00C65DDC" w:rsidRPr="00340B99">
        <w:rPr>
          <w:sz w:val="26"/>
          <w:szCs w:val="26"/>
        </w:rPr>
        <w:t>Sun</w:t>
      </w:r>
      <w:r w:rsidR="003C42BB" w:rsidRPr="00340B99">
        <w:rPr>
          <w:sz w:val="26"/>
          <w:szCs w:val="26"/>
        </w:rPr>
        <w:t xml:space="preserve"> et al.</w:t>
      </w:r>
      <w:r w:rsidR="00C65DDC" w:rsidRPr="00340B99">
        <w:rPr>
          <w:sz w:val="26"/>
          <w:szCs w:val="26"/>
        </w:rPr>
        <w:t>, 2007)</w:t>
      </w:r>
      <w:r w:rsidR="00752EF1">
        <w:rPr>
          <w:sz w:val="26"/>
          <w:szCs w:val="26"/>
        </w:rPr>
        <w:t xml:space="preserve">. </w:t>
      </w:r>
      <w:r w:rsidR="00C060B5" w:rsidRPr="00340B99">
        <w:rPr>
          <w:sz w:val="26"/>
          <w:szCs w:val="26"/>
        </w:rPr>
        <w:t>HPWP</w:t>
      </w:r>
      <w:r w:rsidR="002C7A53" w:rsidRPr="00340B99">
        <w:rPr>
          <w:sz w:val="26"/>
          <w:szCs w:val="26"/>
        </w:rPr>
        <w:t xml:space="preserve"> </w:t>
      </w:r>
      <w:r w:rsidR="00C060B5" w:rsidRPr="00340B99">
        <w:rPr>
          <w:sz w:val="26"/>
          <w:szCs w:val="26"/>
        </w:rPr>
        <w:t>create</w:t>
      </w:r>
      <w:r w:rsidR="00752EF1">
        <w:rPr>
          <w:sz w:val="26"/>
          <w:szCs w:val="26"/>
        </w:rPr>
        <w:t>s</w:t>
      </w:r>
      <w:r w:rsidR="00C060B5" w:rsidRPr="00340B99">
        <w:rPr>
          <w:sz w:val="26"/>
          <w:szCs w:val="26"/>
        </w:rPr>
        <w:t xml:space="preserve"> and strengthen</w:t>
      </w:r>
      <w:r w:rsidR="00752EF1">
        <w:rPr>
          <w:sz w:val="26"/>
          <w:szCs w:val="26"/>
        </w:rPr>
        <w:t>s</w:t>
      </w:r>
      <w:r w:rsidR="00C060B5" w:rsidRPr="00340B99">
        <w:rPr>
          <w:sz w:val="26"/>
          <w:szCs w:val="26"/>
        </w:rPr>
        <w:t xml:space="preserve"> the other capabilities of the firm (Combs et al</w:t>
      </w:r>
      <w:r w:rsidR="00C060B5" w:rsidRPr="00340B99">
        <w:rPr>
          <w:i/>
          <w:sz w:val="26"/>
          <w:szCs w:val="26"/>
        </w:rPr>
        <w:t>.</w:t>
      </w:r>
      <w:r w:rsidR="00C060B5" w:rsidRPr="00340B99">
        <w:rPr>
          <w:sz w:val="26"/>
          <w:szCs w:val="26"/>
        </w:rPr>
        <w:t xml:space="preserve">, 2006; </w:t>
      </w:r>
      <w:r w:rsidR="007810A9" w:rsidRPr="00340B99">
        <w:rPr>
          <w:sz w:val="26"/>
          <w:szCs w:val="26"/>
        </w:rPr>
        <w:t>Paauwe, 2009; Paauwe &amp; Boon, 2018</w:t>
      </w:r>
      <w:r w:rsidR="00C060B5" w:rsidRPr="00340B99">
        <w:rPr>
          <w:sz w:val="26"/>
          <w:szCs w:val="26"/>
        </w:rPr>
        <w:t>).</w:t>
      </w:r>
    </w:p>
    <w:p w14:paraId="38DD0DDD" w14:textId="59712318" w:rsidR="004944E5" w:rsidRPr="00340B99" w:rsidRDefault="004944E5" w:rsidP="00752EF1">
      <w:pPr>
        <w:spacing w:line="360" w:lineRule="exact"/>
        <w:ind w:firstLineChars="200" w:firstLine="520"/>
        <w:jc w:val="both"/>
        <w:rPr>
          <w:sz w:val="26"/>
          <w:szCs w:val="26"/>
        </w:rPr>
      </w:pPr>
      <w:r w:rsidRPr="00340B99">
        <w:rPr>
          <w:sz w:val="26"/>
          <w:szCs w:val="26"/>
        </w:rPr>
        <w:t xml:space="preserve">Effective human resource management is the most logical capability to use to develop the human capital resources of a firm and use them to build core competencies essential to the firm’s strategy (Paauwe, 2009; Paauwe &amp; Boon, 2018; Storey, 2019). Developing </w:t>
      </w:r>
      <w:r w:rsidRPr="00340B99">
        <w:rPr>
          <w:sz w:val="26"/>
          <w:szCs w:val="26"/>
        </w:rPr>
        <w:lastRenderedPageBreak/>
        <w:t>human resources can increase a firm's ability to adapt to external change by facilitating the accumulation of organizational knowledge and increasing creativity and risk</w:t>
      </w:r>
      <w:r>
        <w:rPr>
          <w:sz w:val="26"/>
          <w:szCs w:val="26"/>
        </w:rPr>
        <w:t>-</w:t>
      </w:r>
      <w:r w:rsidRPr="00340B99">
        <w:rPr>
          <w:sz w:val="26"/>
          <w:szCs w:val="26"/>
        </w:rPr>
        <w:t xml:space="preserve">taking (Williams &amp; Lee, 2016), which lead to increased financial and social performance (Combs </w:t>
      </w:r>
      <w:r w:rsidRPr="00340B99">
        <w:rPr>
          <w:i/>
          <w:sz w:val="26"/>
          <w:szCs w:val="26"/>
        </w:rPr>
        <w:t>et al.</w:t>
      </w:r>
      <w:r w:rsidRPr="00340B99">
        <w:rPr>
          <w:sz w:val="26"/>
          <w:szCs w:val="26"/>
        </w:rPr>
        <w:t>, 2006; Rothenberg et al., 2017).</w:t>
      </w:r>
      <w:r w:rsidR="005F6125">
        <w:rPr>
          <w:sz w:val="26"/>
          <w:szCs w:val="26"/>
        </w:rPr>
        <w:t xml:space="preserve"> </w:t>
      </w:r>
      <w:r w:rsidRPr="00340B99">
        <w:rPr>
          <w:sz w:val="26"/>
          <w:szCs w:val="26"/>
        </w:rPr>
        <w:t>Thus, HPWP create</w:t>
      </w:r>
      <w:r w:rsidR="00752EF1">
        <w:rPr>
          <w:sz w:val="26"/>
          <w:szCs w:val="26"/>
        </w:rPr>
        <w:t>s</w:t>
      </w:r>
      <w:r w:rsidRPr="00340B99">
        <w:rPr>
          <w:sz w:val="26"/>
          <w:szCs w:val="26"/>
        </w:rPr>
        <w:t xml:space="preserve"> and enable</w:t>
      </w:r>
      <w:r w:rsidR="0018383B">
        <w:rPr>
          <w:sz w:val="26"/>
          <w:szCs w:val="26"/>
        </w:rPr>
        <w:t>s</w:t>
      </w:r>
      <w:r w:rsidRPr="00340B99">
        <w:rPr>
          <w:sz w:val="26"/>
          <w:szCs w:val="26"/>
        </w:rPr>
        <w:t xml:space="preserve"> other capabilities, </w:t>
      </w:r>
      <w:r w:rsidR="00712656" w:rsidRPr="00873AC1">
        <w:rPr>
          <w:rFonts w:eastAsiaTheme="minorEastAsia"/>
          <w:noProof/>
          <w:color w:val="000000"/>
          <w:lang w:eastAsia="zh-TW"/>
        </w:rPr>
        <mc:AlternateContent>
          <mc:Choice Requires="wpg">
            <w:drawing>
              <wp:anchor distT="0" distB="0" distL="114300" distR="114300" simplePos="0" relativeHeight="251661312" behindDoc="0" locked="0" layoutInCell="1" allowOverlap="0" wp14:anchorId="0A478302" wp14:editId="18B79C2B">
                <wp:simplePos x="0" y="0"/>
                <wp:positionH relativeFrom="column">
                  <wp:posOffset>233874</wp:posOffset>
                </wp:positionH>
                <wp:positionV relativeFrom="paragraph">
                  <wp:posOffset>1335014</wp:posOffset>
                </wp:positionV>
                <wp:extent cx="5461000" cy="2159635"/>
                <wp:effectExtent l="0" t="0" r="25400" b="12065"/>
                <wp:wrapTopAndBottom/>
                <wp:docPr id="37" name="Group 34"/>
                <wp:cNvGraphicFramePr/>
                <a:graphic xmlns:a="http://schemas.openxmlformats.org/drawingml/2006/main">
                  <a:graphicData uri="http://schemas.microsoft.com/office/word/2010/wordprocessingGroup">
                    <wpg:wgp>
                      <wpg:cNvGrpSpPr/>
                      <wpg:grpSpPr>
                        <a:xfrm>
                          <a:off x="0" y="0"/>
                          <a:ext cx="5461000" cy="2159635"/>
                          <a:chOff x="0" y="0"/>
                          <a:chExt cx="7275793" cy="3385631"/>
                        </a:xfrm>
                      </wpg:grpSpPr>
                      <wps:wsp>
                        <wps:cNvPr id="38" name="Flowchart: Process 2"/>
                        <wps:cNvSpPr/>
                        <wps:spPr>
                          <a:xfrm>
                            <a:off x="5579808" y="929491"/>
                            <a:ext cx="1695985" cy="110604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AC0BD0" w14:textId="77777777" w:rsidR="00704C22" w:rsidRPr="00873AC1" w:rsidRDefault="00704C22" w:rsidP="0001468C">
                              <w:pPr>
                                <w:pStyle w:val="Web"/>
                                <w:spacing w:before="0" w:beforeAutospacing="0" w:after="0" w:afterAutospacing="0"/>
                                <w:jc w:val="center"/>
                                <w:rPr>
                                  <w:sz w:val="22"/>
                                  <w:szCs w:val="22"/>
                                </w:rPr>
                              </w:pPr>
                              <w:r w:rsidRPr="00873AC1">
                                <w:rPr>
                                  <w:rFonts w:asciiTheme="minorHAnsi" w:hAnsi="Calibri" w:cstheme="minorBidi"/>
                                  <w:color w:val="FFFFFF" w:themeColor="light1"/>
                                  <w:kern w:val="24"/>
                                  <w:sz w:val="22"/>
                                  <w:szCs w:val="22"/>
                                </w:rPr>
                                <w:t>Firm Performance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Flowchart: Process 3"/>
                        <wps:cNvSpPr/>
                        <wps:spPr>
                          <a:xfrm>
                            <a:off x="0" y="1178739"/>
                            <a:ext cx="1013017" cy="654278"/>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39B306" w14:textId="2C5F6F57" w:rsidR="00704C22" w:rsidRPr="00873AC1" w:rsidRDefault="00704C22" w:rsidP="0001468C">
                              <w:pPr>
                                <w:pStyle w:val="Web"/>
                                <w:spacing w:before="0" w:beforeAutospacing="0" w:after="0" w:afterAutospacing="0"/>
                                <w:jc w:val="center"/>
                                <w:rPr>
                                  <w:sz w:val="22"/>
                                  <w:szCs w:val="22"/>
                                </w:rPr>
                              </w:pPr>
                              <w:r>
                                <w:rPr>
                                  <w:rFonts w:asciiTheme="minorHAnsi" w:hAnsi="Calibri" w:cstheme="minorBidi"/>
                                  <w:color w:val="FFFFFF" w:themeColor="light1"/>
                                  <w:kern w:val="24"/>
                                  <w:sz w:val="22"/>
                                  <w:szCs w:val="22"/>
                                </w:rPr>
                                <w:t>HPWP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ounded Rectangle 40"/>
                        <wps:cNvSpPr/>
                        <wps:spPr>
                          <a:xfrm>
                            <a:off x="2196673" y="0"/>
                            <a:ext cx="1695984" cy="7191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D38C99" w14:textId="77777777" w:rsidR="00704C22" w:rsidRPr="00873AC1" w:rsidRDefault="00704C22" w:rsidP="0001468C">
                              <w:pPr>
                                <w:pStyle w:val="Web"/>
                                <w:spacing w:before="0" w:beforeAutospacing="0" w:after="0" w:afterAutospacing="0"/>
                                <w:jc w:val="center"/>
                                <w:rPr>
                                  <w:sz w:val="22"/>
                                  <w:szCs w:val="22"/>
                                </w:rPr>
                              </w:pPr>
                              <w:r w:rsidRPr="00873AC1">
                                <w:rPr>
                                  <w:rFonts w:asciiTheme="minorHAnsi" w:hAnsi="Calibri" w:cstheme="minorBidi"/>
                                  <w:color w:val="FFFFFF" w:themeColor="light1"/>
                                  <w:kern w:val="24"/>
                                  <w:sz w:val="22"/>
                                  <w:szCs w:val="22"/>
                                </w:rPr>
                                <w:t>Labor Market Flexibility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Rounded Rectangle 41"/>
                        <wps:cNvSpPr/>
                        <wps:spPr>
                          <a:xfrm>
                            <a:off x="2196673" y="2565187"/>
                            <a:ext cx="1695984" cy="82044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D07B45" w14:textId="77777777" w:rsidR="00704C22" w:rsidRPr="00873AC1" w:rsidRDefault="00704C22" w:rsidP="0001468C">
                              <w:pPr>
                                <w:pStyle w:val="Web"/>
                                <w:spacing w:before="0" w:beforeAutospacing="0" w:after="0" w:afterAutospacing="0"/>
                                <w:jc w:val="center"/>
                                <w:rPr>
                                  <w:sz w:val="22"/>
                                  <w:szCs w:val="22"/>
                                </w:rPr>
                              </w:pPr>
                              <w:r w:rsidRPr="00873AC1">
                                <w:rPr>
                                  <w:rFonts w:asciiTheme="minorHAnsi" w:hAnsi="Calibri" w:cstheme="minorBidi"/>
                                  <w:color w:val="FFFFFF" w:themeColor="light1"/>
                                  <w:kern w:val="24"/>
                                  <w:sz w:val="22"/>
                                  <w:szCs w:val="22"/>
                                </w:rPr>
                                <w:t>Labor Market Efficiency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wps:spPr>
                          <a:xfrm>
                            <a:off x="1013017" y="1505878"/>
                            <a:ext cx="4566792" cy="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3" name="Straight Arrow Connector 43"/>
                        <wps:cNvCnPr/>
                        <wps:spPr>
                          <a:xfrm>
                            <a:off x="3044665" y="719185"/>
                            <a:ext cx="1" cy="78669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4" name="Straight Arrow Connector 44"/>
                        <wps:cNvCnPr/>
                        <wps:spPr>
                          <a:xfrm flipV="1">
                            <a:off x="3044665" y="1505878"/>
                            <a:ext cx="0" cy="105930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5" name="Straight Arrow Connector 45"/>
                        <wps:cNvCnPr/>
                        <wps:spPr>
                          <a:xfrm>
                            <a:off x="3892657" y="359593"/>
                            <a:ext cx="1687152" cy="56989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6" name="Straight Arrow Connector 46"/>
                        <wps:cNvCnPr/>
                        <wps:spPr>
                          <a:xfrm flipV="1">
                            <a:off x="3892657" y="2035532"/>
                            <a:ext cx="1687152" cy="105930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7" name="TextBox 27"/>
                        <wps:cNvSpPr txBox="1"/>
                        <wps:spPr>
                          <a:xfrm>
                            <a:off x="3106244" y="2035264"/>
                            <a:ext cx="701675" cy="370205"/>
                          </a:xfrm>
                          <a:prstGeom prst="rect">
                            <a:avLst/>
                          </a:prstGeom>
                          <a:noFill/>
                        </wps:spPr>
                        <wps:txbx>
                          <w:txbxContent>
                            <w:p w14:paraId="56F9A770" w14:textId="77777777" w:rsidR="00704C22" w:rsidRPr="00873AC1" w:rsidRDefault="00704C22" w:rsidP="0001468C">
                              <w:pPr>
                                <w:pStyle w:val="Web"/>
                                <w:spacing w:before="0" w:beforeAutospacing="0" w:after="0" w:afterAutospacing="0"/>
                                <w:rPr>
                                  <w:sz w:val="22"/>
                                  <w:szCs w:val="22"/>
                                </w:rPr>
                              </w:pPr>
                              <w:r>
                                <w:rPr>
                                  <w:rFonts w:asciiTheme="minorHAnsi" w:hAnsi="Calibri" w:cstheme="minorBidi"/>
                                  <w:color w:val="000000" w:themeColor="text1"/>
                                  <w:kern w:val="24"/>
                                  <w:sz w:val="22"/>
                                  <w:szCs w:val="22"/>
                                </w:rPr>
                                <w:t>+ (H5</w:t>
                              </w:r>
                              <w:r w:rsidRPr="00873AC1">
                                <w:rPr>
                                  <w:rFonts w:asciiTheme="minorHAnsi" w:hAnsi="Calibri" w:cstheme="minorBidi"/>
                                  <w:color w:val="000000" w:themeColor="text1"/>
                                  <w:kern w:val="24"/>
                                  <w:sz w:val="22"/>
                                  <w:szCs w:val="22"/>
                                </w:rPr>
                                <w:t>)</w:t>
                              </w:r>
                            </w:p>
                          </w:txbxContent>
                        </wps:txbx>
                        <wps:bodyPr wrap="square" rtlCol="0">
                          <a:noAutofit/>
                        </wps:bodyPr>
                      </wps:wsp>
                      <wps:wsp>
                        <wps:cNvPr id="48" name="TextBox 28"/>
                        <wps:cNvSpPr txBox="1"/>
                        <wps:spPr>
                          <a:xfrm>
                            <a:off x="1354813" y="1034976"/>
                            <a:ext cx="745490" cy="370205"/>
                          </a:xfrm>
                          <a:prstGeom prst="rect">
                            <a:avLst/>
                          </a:prstGeom>
                          <a:noFill/>
                        </wps:spPr>
                        <wps:txbx>
                          <w:txbxContent>
                            <w:p w14:paraId="0E62842B" w14:textId="77777777" w:rsidR="00704C22" w:rsidRPr="00873AC1" w:rsidRDefault="00704C22" w:rsidP="0001468C">
                              <w:pPr>
                                <w:pStyle w:val="Web"/>
                                <w:spacing w:before="0" w:beforeAutospacing="0" w:after="0" w:afterAutospacing="0"/>
                                <w:rPr>
                                  <w:sz w:val="22"/>
                                  <w:szCs w:val="22"/>
                                </w:rPr>
                              </w:pPr>
                              <w:r w:rsidRPr="00873AC1">
                                <w:rPr>
                                  <w:rFonts w:asciiTheme="minorHAnsi" w:hAnsi="Calibri" w:cstheme="minorBidi"/>
                                  <w:color w:val="000000" w:themeColor="text1"/>
                                  <w:kern w:val="24"/>
                                  <w:sz w:val="22"/>
                                  <w:szCs w:val="22"/>
                                </w:rPr>
                                <w:t>+ (H1)</w:t>
                              </w:r>
                            </w:p>
                          </w:txbxContent>
                        </wps:txbx>
                        <wps:bodyPr wrap="square" rtlCol="0">
                          <a:noAutofit/>
                        </wps:bodyPr>
                      </wps:wsp>
                      <wps:wsp>
                        <wps:cNvPr id="49" name="TextBox 29"/>
                        <wps:cNvSpPr txBox="1"/>
                        <wps:spPr>
                          <a:xfrm>
                            <a:off x="4489599" y="166613"/>
                            <a:ext cx="745490" cy="370205"/>
                          </a:xfrm>
                          <a:prstGeom prst="rect">
                            <a:avLst/>
                          </a:prstGeom>
                          <a:noFill/>
                        </wps:spPr>
                        <wps:txbx>
                          <w:txbxContent>
                            <w:p w14:paraId="4995F9AB" w14:textId="77777777" w:rsidR="00704C22" w:rsidRPr="00873AC1" w:rsidRDefault="00704C22" w:rsidP="0001468C">
                              <w:pPr>
                                <w:pStyle w:val="Web"/>
                                <w:spacing w:before="0" w:beforeAutospacing="0" w:after="0" w:afterAutospacing="0"/>
                                <w:rPr>
                                  <w:sz w:val="22"/>
                                  <w:szCs w:val="22"/>
                                </w:rPr>
                              </w:pPr>
                              <w:r w:rsidRPr="00873AC1">
                                <w:rPr>
                                  <w:rFonts w:asciiTheme="minorHAnsi" w:hAnsi="Calibri" w:cstheme="minorBidi"/>
                                  <w:color w:val="000000" w:themeColor="text1"/>
                                  <w:kern w:val="24"/>
                                  <w:sz w:val="22"/>
                                  <w:szCs w:val="22"/>
                                </w:rPr>
                                <w:t>+ (H2)</w:t>
                              </w:r>
                            </w:p>
                          </w:txbxContent>
                        </wps:txbx>
                        <wps:bodyPr wrap="square" rtlCol="0">
                          <a:noAutofit/>
                        </wps:bodyPr>
                      </wps:wsp>
                      <wps:wsp>
                        <wps:cNvPr id="50" name="TextBox 30"/>
                        <wps:cNvSpPr txBox="1"/>
                        <wps:spPr>
                          <a:xfrm>
                            <a:off x="4489598" y="2782085"/>
                            <a:ext cx="745490" cy="370205"/>
                          </a:xfrm>
                          <a:prstGeom prst="rect">
                            <a:avLst/>
                          </a:prstGeom>
                          <a:noFill/>
                        </wps:spPr>
                        <wps:txbx>
                          <w:txbxContent>
                            <w:p w14:paraId="77C501DC" w14:textId="77777777" w:rsidR="00704C22" w:rsidRPr="00873AC1" w:rsidRDefault="00704C22" w:rsidP="0001468C">
                              <w:pPr>
                                <w:pStyle w:val="Web"/>
                                <w:spacing w:before="0" w:beforeAutospacing="0" w:after="0" w:afterAutospacing="0"/>
                                <w:rPr>
                                  <w:sz w:val="22"/>
                                  <w:szCs w:val="22"/>
                                </w:rPr>
                              </w:pPr>
                              <w:r w:rsidRPr="00873AC1">
                                <w:rPr>
                                  <w:rFonts w:asciiTheme="minorHAnsi" w:hAnsi="Calibri" w:cstheme="minorBidi"/>
                                  <w:color w:val="000000" w:themeColor="text1"/>
                                  <w:kern w:val="24"/>
                                  <w:sz w:val="22"/>
                                  <w:szCs w:val="22"/>
                                </w:rPr>
                                <w:t>+ (H4)</w:t>
                              </w:r>
                            </w:p>
                          </w:txbxContent>
                        </wps:txbx>
                        <wps:bodyPr wrap="square" rtlCol="0">
                          <a:noAutofit/>
                        </wps:bodyPr>
                      </wps:wsp>
                      <wps:wsp>
                        <wps:cNvPr id="51" name="TextBox 31"/>
                        <wps:cNvSpPr txBox="1"/>
                        <wps:spPr>
                          <a:xfrm>
                            <a:off x="3138221" y="913901"/>
                            <a:ext cx="745490" cy="370205"/>
                          </a:xfrm>
                          <a:prstGeom prst="rect">
                            <a:avLst/>
                          </a:prstGeom>
                          <a:noFill/>
                        </wps:spPr>
                        <wps:txbx>
                          <w:txbxContent>
                            <w:p w14:paraId="06AC4DA3" w14:textId="77777777" w:rsidR="00704C22" w:rsidRPr="00873AC1" w:rsidRDefault="00704C22" w:rsidP="0001468C">
                              <w:pPr>
                                <w:pStyle w:val="Web"/>
                                <w:spacing w:before="0" w:beforeAutospacing="0" w:after="0" w:afterAutospacing="0"/>
                                <w:rPr>
                                  <w:sz w:val="22"/>
                                  <w:szCs w:val="22"/>
                                </w:rPr>
                              </w:pPr>
                              <w:r>
                                <w:rPr>
                                  <w:rFonts w:asciiTheme="minorHAnsi" w:hAnsi="Calibri" w:cstheme="minorBidi"/>
                                  <w:color w:val="000000" w:themeColor="text1"/>
                                  <w:kern w:val="24"/>
                                  <w:sz w:val="22"/>
                                  <w:szCs w:val="22"/>
                                </w:rPr>
                                <w:t>- (H3</w:t>
                              </w:r>
                              <w:r w:rsidRPr="00873AC1">
                                <w:rPr>
                                  <w:rFonts w:asciiTheme="minorHAnsi" w:hAnsi="Calibri" w:cstheme="minorBidi"/>
                                  <w:color w:val="000000" w:themeColor="text1"/>
                                  <w:kern w:val="24"/>
                                  <w:sz w:val="22"/>
                                  <w:szCs w:val="22"/>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A478302" id="Group 34" o:spid="_x0000_s1026" style="position:absolute;left:0;text-align:left;margin-left:18.4pt;margin-top:105.1pt;width:430pt;height:170.05pt;z-index:251661312;mso-width-relative:margin;mso-height-relative:margin" coordsize="72757,3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" o:allowoverlap="f">
                <v:shapetype id="_x0000_t109" coordsize="21600,21600" o:spt="109" path="m,l,21600r21600,l21600,xe">
                  <v:stroke joinstyle="miter"/>
                  <v:path gradientshapeok="t" o:connecttype="rect"/>
                </v:shapetype>
                <v:shape id="Flowchart: Process 2" o:spid="_x0000_s1027" type="#_x0000_t109" style="position:absolute;left:55798;top:9294;width:16959;height:1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" fillcolor="#5b9bd5 [3204]" strokecolor="#1f4d78 [1604]" strokeweight="1pt">
                  <v:textbox>
                    <w:txbxContent>
                      <w:p w14:paraId="50AC0BD0" w14:textId="77777777" w:rsidR="00704C22" w:rsidRPr="00873AC1" w:rsidRDefault="00704C22" w:rsidP="0001468C">
                        <w:pPr>
                          <w:pStyle w:val="Web"/>
                          <w:spacing w:before="0" w:beforeAutospacing="0" w:after="0" w:afterAutospacing="0"/>
                          <w:jc w:val="center"/>
                          <w:rPr>
                            <w:sz w:val="22"/>
                            <w:szCs w:val="22"/>
                          </w:rPr>
                        </w:pPr>
                        <w:r w:rsidRPr="00873AC1">
                          <w:rPr>
                            <w:rFonts w:asciiTheme="minorHAnsi" w:hAnsi="Calibri" w:cstheme="minorBidi"/>
                            <w:color w:val="FFFFFF" w:themeColor="light1"/>
                            <w:kern w:val="24"/>
                            <w:sz w:val="22"/>
                            <w:szCs w:val="22"/>
                          </w:rPr>
                          <w:t>Firm Performance</w:t>
                        </w:r>
                      </w:p>
                    </w:txbxContent>
                  </v:textbox>
                </v:shape>
                <v:shape id="Flowchart: Process 3" o:spid="_x0000_s1028" type="#_x0000_t109" style="position:absolute;top:11787;width:10130;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" fillcolor="#5b9bd5 [3204]" strokecolor="#1f4d78 [1604]" strokeweight="1pt">
                  <v:textbox>
                    <w:txbxContent>
                      <w:p w14:paraId="1339B306" w14:textId="2C5F6F57" w:rsidR="00704C22" w:rsidRPr="00873AC1" w:rsidRDefault="00704C22" w:rsidP="0001468C">
                        <w:pPr>
                          <w:pStyle w:val="Web"/>
                          <w:spacing w:before="0" w:beforeAutospacing="0" w:after="0" w:afterAutospacing="0"/>
                          <w:jc w:val="center"/>
                          <w:rPr>
                            <w:sz w:val="22"/>
                            <w:szCs w:val="22"/>
                          </w:rPr>
                        </w:pPr>
                        <w:r>
                          <w:rPr>
                            <w:rFonts w:asciiTheme="minorHAnsi" w:hAnsi="Calibri" w:cstheme="minorBidi"/>
                            <w:color w:val="FFFFFF" w:themeColor="light1"/>
                            <w:kern w:val="24"/>
                            <w:sz w:val="22"/>
                            <w:szCs w:val="22"/>
                          </w:rPr>
                          <w:t>HPWP</w:t>
                        </w:r>
                      </w:p>
                    </w:txbxContent>
                  </v:textbox>
                </v:shape>
                <v:roundrect id="Rounded Rectangle 40" o:spid="_x0000_s1029" style="position:absolute;left:21966;width:16960;height:7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" fillcolor="#5b9bd5 [3204]" strokecolor="#1f4d78 [1604]" strokeweight="1pt">
                  <v:stroke joinstyle="miter"/>
                  <v:textbox>
                    <w:txbxContent>
                      <w:p w14:paraId="33D38C99" w14:textId="77777777" w:rsidR="00704C22" w:rsidRPr="00873AC1" w:rsidRDefault="00704C22" w:rsidP="0001468C">
                        <w:pPr>
                          <w:pStyle w:val="Web"/>
                          <w:spacing w:before="0" w:beforeAutospacing="0" w:after="0" w:afterAutospacing="0"/>
                          <w:jc w:val="center"/>
                          <w:rPr>
                            <w:sz w:val="22"/>
                            <w:szCs w:val="22"/>
                          </w:rPr>
                        </w:pPr>
                        <w:r w:rsidRPr="00873AC1">
                          <w:rPr>
                            <w:rFonts w:asciiTheme="minorHAnsi" w:hAnsi="Calibri" w:cstheme="minorBidi"/>
                            <w:color w:val="FFFFFF" w:themeColor="light1"/>
                            <w:kern w:val="24"/>
                            <w:sz w:val="22"/>
                            <w:szCs w:val="22"/>
                          </w:rPr>
                          <w:t>Labor Market Flexibility</w:t>
                        </w:r>
                      </w:p>
                    </w:txbxContent>
                  </v:textbox>
                </v:roundrect>
                <v:roundrect id="Rounded Rectangle 41" o:spid="_x0000_s1030" style="position:absolute;left:21966;top:25651;width:16960;height:82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" fillcolor="#5b9bd5 [3204]" strokecolor="#1f4d78 [1604]" strokeweight="1pt">
                  <v:stroke joinstyle="miter"/>
                  <v:textbox>
                    <w:txbxContent>
                      <w:p w14:paraId="19D07B45" w14:textId="77777777" w:rsidR="00704C22" w:rsidRPr="00873AC1" w:rsidRDefault="00704C22" w:rsidP="0001468C">
                        <w:pPr>
                          <w:pStyle w:val="Web"/>
                          <w:spacing w:before="0" w:beforeAutospacing="0" w:after="0" w:afterAutospacing="0"/>
                          <w:jc w:val="center"/>
                          <w:rPr>
                            <w:sz w:val="22"/>
                            <w:szCs w:val="22"/>
                          </w:rPr>
                        </w:pPr>
                        <w:r w:rsidRPr="00873AC1">
                          <w:rPr>
                            <w:rFonts w:asciiTheme="minorHAnsi" w:hAnsi="Calibri" w:cstheme="minorBidi"/>
                            <w:color w:val="FFFFFF" w:themeColor="light1"/>
                            <w:kern w:val="24"/>
                            <w:sz w:val="22"/>
                            <w:szCs w:val="22"/>
                          </w:rPr>
                          <w:t>Labor Market Efficiency</w:t>
                        </w:r>
                      </w:p>
                    </w:txbxContent>
                  </v:textbox>
                </v:roundrect>
                <v:shapetype id="_x0000_t32" coordsize="21600,21600" o:spt="32" o:oned="t" path="m,l21600,21600e" filled="f">
                  <v:path arrowok="t" fillok="f" o:connecttype="none"/>
                  <o:lock v:ext="edit" shapetype="t"/>
                </v:shapetype>
                <v:shape id="Straight Arrow Connector 42" o:spid="_x0000_s1031" type="#_x0000_t32" style="position:absolute;left:10130;top:15058;width:456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" strokecolor="black [3200]" strokeweight="1.5pt">
                  <v:stroke endarrow="block" joinstyle="miter"/>
                </v:shape>
                <v:shape id="Straight Arrow Connector 43" o:spid="_x0000_s1032" type="#_x0000_t32" style="position:absolute;left:30446;top:7191;width:0;height:7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" strokecolor="black [3200]" strokeweight="1.5pt">
                  <v:stroke endarrow="block" joinstyle="miter"/>
                </v:shape>
                <v:shape id="Straight Arrow Connector 44" o:spid="_x0000_s1033" type="#_x0000_t32" style="position:absolute;left:30446;top:15058;width:0;height:10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" strokecolor="black [3200]" strokeweight="1.5pt">
                  <v:stroke endarrow="block" joinstyle="miter"/>
                </v:shape>
                <v:shape id="Straight Arrow Connector 45" o:spid="_x0000_s1034" type="#_x0000_t32" style="position:absolute;left:38926;top:3595;width:16872;height:5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" strokecolor="black [3200]" strokeweight="1.5pt">
                  <v:stroke endarrow="block" joinstyle="miter"/>
                </v:shape>
                <v:shape id="Straight Arrow Connector 46" o:spid="_x0000_s1035" type="#_x0000_t32" style="position:absolute;left:38926;top:20355;width:16872;height:10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" strokecolor="black [3200]" strokeweight="1.5pt">
                  <v:stroke endarrow="block" joinstyle="miter"/>
                </v:shape>
                <v:shapetype id="_x0000_t202" coordsize="21600,21600" o:spt="202" path="m,l,21600r21600,l21600,xe">
                  <v:stroke joinstyle="miter"/>
                  <v:path gradientshapeok="t" o:connecttype="rect"/>
                </v:shapetype>
                <v:shape id="TextBox 27" o:spid="_x0000_s1036" type="#_x0000_t202" style="position:absolute;left:31062;top:20352;width:7017;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56F9A770" w14:textId="77777777" w:rsidR="00704C22" w:rsidRPr="00873AC1" w:rsidRDefault="00704C22" w:rsidP="0001468C">
                        <w:pPr>
                          <w:pStyle w:val="Web"/>
                          <w:spacing w:before="0" w:beforeAutospacing="0" w:after="0" w:afterAutospacing="0"/>
                          <w:rPr>
                            <w:sz w:val="22"/>
                            <w:szCs w:val="22"/>
                          </w:rPr>
                        </w:pPr>
                        <w:r>
                          <w:rPr>
                            <w:rFonts w:asciiTheme="minorHAnsi" w:hAnsi="Calibri" w:cstheme="minorBidi"/>
                            <w:color w:val="000000" w:themeColor="text1"/>
                            <w:kern w:val="24"/>
                            <w:sz w:val="22"/>
                            <w:szCs w:val="22"/>
                          </w:rPr>
                          <w:t>+ (H5</w:t>
                        </w:r>
                        <w:r w:rsidRPr="00873AC1">
                          <w:rPr>
                            <w:rFonts w:asciiTheme="minorHAnsi" w:hAnsi="Calibri" w:cstheme="minorBidi"/>
                            <w:color w:val="000000" w:themeColor="text1"/>
                            <w:kern w:val="24"/>
                            <w:sz w:val="22"/>
                            <w:szCs w:val="22"/>
                          </w:rPr>
                          <w:t>)</w:t>
                        </w:r>
                      </w:p>
                    </w:txbxContent>
                  </v:textbox>
                </v:shape>
                <v:shape id="TextBox 28" o:spid="_x0000_s1037" type="#_x0000_t202" style="position:absolute;left:13548;top:10349;width:7455;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0E62842B" w14:textId="77777777" w:rsidR="00704C22" w:rsidRPr="00873AC1" w:rsidRDefault="00704C22" w:rsidP="0001468C">
                        <w:pPr>
                          <w:pStyle w:val="Web"/>
                          <w:spacing w:before="0" w:beforeAutospacing="0" w:after="0" w:afterAutospacing="0"/>
                          <w:rPr>
                            <w:sz w:val="22"/>
                            <w:szCs w:val="22"/>
                          </w:rPr>
                        </w:pPr>
                        <w:r w:rsidRPr="00873AC1">
                          <w:rPr>
                            <w:rFonts w:asciiTheme="minorHAnsi" w:hAnsi="Calibri" w:cstheme="minorBidi"/>
                            <w:color w:val="000000" w:themeColor="text1"/>
                            <w:kern w:val="24"/>
                            <w:sz w:val="22"/>
                            <w:szCs w:val="22"/>
                          </w:rPr>
                          <w:t>+ (H1)</w:t>
                        </w:r>
                      </w:p>
                    </w:txbxContent>
                  </v:textbox>
                </v:shape>
                <v:shape id="TextBox 29" o:spid="_x0000_s1038" type="#_x0000_t202" style="position:absolute;left:44895;top:1666;width:7455;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4995F9AB" w14:textId="77777777" w:rsidR="00704C22" w:rsidRPr="00873AC1" w:rsidRDefault="00704C22" w:rsidP="0001468C">
                        <w:pPr>
                          <w:pStyle w:val="Web"/>
                          <w:spacing w:before="0" w:beforeAutospacing="0" w:after="0" w:afterAutospacing="0"/>
                          <w:rPr>
                            <w:sz w:val="22"/>
                            <w:szCs w:val="22"/>
                          </w:rPr>
                        </w:pPr>
                        <w:r w:rsidRPr="00873AC1">
                          <w:rPr>
                            <w:rFonts w:asciiTheme="minorHAnsi" w:hAnsi="Calibri" w:cstheme="minorBidi"/>
                            <w:color w:val="000000" w:themeColor="text1"/>
                            <w:kern w:val="24"/>
                            <w:sz w:val="22"/>
                            <w:szCs w:val="22"/>
                          </w:rPr>
                          <w:t>+ (H2)</w:t>
                        </w:r>
                      </w:p>
                    </w:txbxContent>
                  </v:textbox>
                </v:shape>
                <v:shape id="TextBox 30" o:spid="_x0000_s1039" type="#_x0000_t202" style="position:absolute;left:44895;top:27820;width:7455;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77C501DC" w14:textId="77777777" w:rsidR="00704C22" w:rsidRPr="00873AC1" w:rsidRDefault="00704C22" w:rsidP="0001468C">
                        <w:pPr>
                          <w:pStyle w:val="Web"/>
                          <w:spacing w:before="0" w:beforeAutospacing="0" w:after="0" w:afterAutospacing="0"/>
                          <w:rPr>
                            <w:sz w:val="22"/>
                            <w:szCs w:val="22"/>
                          </w:rPr>
                        </w:pPr>
                        <w:r w:rsidRPr="00873AC1">
                          <w:rPr>
                            <w:rFonts w:asciiTheme="minorHAnsi" w:hAnsi="Calibri" w:cstheme="minorBidi"/>
                            <w:color w:val="000000" w:themeColor="text1"/>
                            <w:kern w:val="24"/>
                            <w:sz w:val="22"/>
                            <w:szCs w:val="22"/>
                          </w:rPr>
                          <w:t>+ (H4)</w:t>
                        </w:r>
                      </w:p>
                    </w:txbxContent>
                  </v:textbox>
                </v:shape>
                <v:shape id="TextBox 31" o:spid="_x0000_s1040" type="#_x0000_t202" style="position:absolute;left:31382;top:9139;width:7455;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06AC4DA3" w14:textId="77777777" w:rsidR="00704C22" w:rsidRPr="00873AC1" w:rsidRDefault="00704C22" w:rsidP="0001468C">
                        <w:pPr>
                          <w:pStyle w:val="Web"/>
                          <w:spacing w:before="0" w:beforeAutospacing="0" w:after="0" w:afterAutospacing="0"/>
                          <w:rPr>
                            <w:sz w:val="22"/>
                            <w:szCs w:val="22"/>
                          </w:rPr>
                        </w:pPr>
                        <w:r>
                          <w:rPr>
                            <w:rFonts w:asciiTheme="minorHAnsi" w:hAnsi="Calibri" w:cstheme="minorBidi"/>
                            <w:color w:val="000000" w:themeColor="text1"/>
                            <w:kern w:val="24"/>
                            <w:sz w:val="22"/>
                            <w:szCs w:val="22"/>
                          </w:rPr>
                          <w:t>- (H3</w:t>
                        </w:r>
                        <w:r w:rsidRPr="00873AC1">
                          <w:rPr>
                            <w:rFonts w:asciiTheme="minorHAnsi" w:hAnsi="Calibri" w:cstheme="minorBidi"/>
                            <w:color w:val="000000" w:themeColor="text1"/>
                            <w:kern w:val="24"/>
                            <w:sz w:val="22"/>
                            <w:szCs w:val="22"/>
                          </w:rPr>
                          <w:t>)</w:t>
                        </w:r>
                      </w:p>
                    </w:txbxContent>
                  </v:textbox>
                </v:shape>
                <w10:wrap type="topAndBottom"/>
              </v:group>
            </w:pict>
          </mc:Fallback>
        </mc:AlternateContent>
      </w:r>
      <w:r w:rsidRPr="00340B99">
        <w:rPr>
          <w:sz w:val="26"/>
          <w:szCs w:val="26"/>
        </w:rPr>
        <w:t xml:space="preserve">and so create core competencies that contribute to financial performance. </w:t>
      </w:r>
    </w:p>
    <w:p w14:paraId="2E7E3341" w14:textId="6DB5259E" w:rsidR="0001468C" w:rsidRDefault="0001468C" w:rsidP="00752EF1">
      <w:pPr>
        <w:spacing w:line="360" w:lineRule="exact"/>
        <w:ind w:firstLineChars="200" w:firstLine="520"/>
        <w:jc w:val="both"/>
        <w:rPr>
          <w:sz w:val="26"/>
          <w:szCs w:val="26"/>
        </w:rPr>
      </w:pPr>
    </w:p>
    <w:p w14:paraId="3A81214D" w14:textId="1447EE78" w:rsidR="0001468C" w:rsidRPr="0001468C" w:rsidRDefault="0001468C" w:rsidP="00752EF1">
      <w:pPr>
        <w:spacing w:line="360" w:lineRule="exact"/>
        <w:ind w:firstLineChars="200" w:firstLine="521"/>
        <w:jc w:val="center"/>
        <w:rPr>
          <w:b/>
          <w:bCs/>
          <w:sz w:val="26"/>
          <w:szCs w:val="26"/>
        </w:rPr>
      </w:pPr>
      <w:r w:rsidRPr="0001468C">
        <w:rPr>
          <w:rFonts w:eastAsiaTheme="minorEastAsia"/>
          <w:b/>
          <w:bCs/>
          <w:color w:val="000000"/>
          <w:sz w:val="26"/>
          <w:szCs w:val="26"/>
        </w:rPr>
        <w:t>Figure 1</w:t>
      </w:r>
      <w:r w:rsidR="00481A16">
        <w:rPr>
          <w:rFonts w:eastAsiaTheme="minorEastAsia"/>
          <w:b/>
          <w:bCs/>
          <w:color w:val="000000"/>
          <w:sz w:val="26"/>
          <w:szCs w:val="26"/>
        </w:rPr>
        <w:t>.</w:t>
      </w:r>
      <w:r w:rsidRPr="0001468C">
        <w:rPr>
          <w:rFonts w:eastAsiaTheme="minorEastAsia"/>
          <w:b/>
          <w:bCs/>
          <w:color w:val="000000"/>
          <w:sz w:val="26"/>
          <w:szCs w:val="26"/>
        </w:rPr>
        <w:t xml:space="preserve">  Diagram Showing Hypothesized Relationships</w:t>
      </w:r>
    </w:p>
    <w:p w14:paraId="06E754E7" w14:textId="16C6E974" w:rsidR="0001468C" w:rsidRDefault="0001468C" w:rsidP="0025390A">
      <w:pPr>
        <w:spacing w:line="360" w:lineRule="exact"/>
        <w:ind w:firstLineChars="200" w:firstLine="520"/>
        <w:jc w:val="center"/>
        <w:rPr>
          <w:sz w:val="26"/>
          <w:szCs w:val="26"/>
        </w:rPr>
      </w:pPr>
    </w:p>
    <w:p w14:paraId="570231DD" w14:textId="0FCB6A8E" w:rsidR="00151253" w:rsidRPr="00340B99" w:rsidRDefault="00E57A01" w:rsidP="00752EF1">
      <w:pPr>
        <w:spacing w:line="360" w:lineRule="exact"/>
        <w:ind w:firstLineChars="200" w:firstLine="520"/>
        <w:jc w:val="both"/>
        <w:rPr>
          <w:sz w:val="26"/>
          <w:szCs w:val="26"/>
        </w:rPr>
      </w:pPr>
      <w:r w:rsidRPr="00340B99">
        <w:rPr>
          <w:sz w:val="26"/>
          <w:szCs w:val="26"/>
        </w:rPr>
        <w:t>P</w:t>
      </w:r>
      <w:r w:rsidR="009074BF" w:rsidRPr="00340B99">
        <w:rPr>
          <w:sz w:val="26"/>
          <w:szCs w:val="26"/>
        </w:rPr>
        <w:t xml:space="preserve">ractices that engage the workforce lead to a more successful organization (Schneider et al., 2018). Another way HPWP can impact firm performance is by differentiating the firm to </w:t>
      </w:r>
      <w:r w:rsidR="00B63234" w:rsidRPr="00340B99">
        <w:rPr>
          <w:sz w:val="26"/>
          <w:szCs w:val="26"/>
        </w:rPr>
        <w:t>internal and external stakeholders</w:t>
      </w:r>
      <w:r w:rsidR="009074BF" w:rsidRPr="00340B99">
        <w:rPr>
          <w:sz w:val="26"/>
          <w:szCs w:val="26"/>
        </w:rPr>
        <w:t xml:space="preserve"> (Schneider et al., 2018)</w:t>
      </w:r>
      <w:r w:rsidR="00B63234" w:rsidRPr="00340B99">
        <w:rPr>
          <w:sz w:val="26"/>
          <w:szCs w:val="26"/>
        </w:rPr>
        <w:t xml:space="preserve">. Externally, </w:t>
      </w:r>
      <w:r w:rsidR="000362B4" w:rsidRPr="00340B99">
        <w:rPr>
          <w:sz w:val="26"/>
          <w:szCs w:val="26"/>
        </w:rPr>
        <w:t>they</w:t>
      </w:r>
      <w:r w:rsidR="00B63234" w:rsidRPr="00340B99">
        <w:rPr>
          <w:sz w:val="26"/>
          <w:szCs w:val="26"/>
        </w:rPr>
        <w:t xml:space="preserve"> can</w:t>
      </w:r>
      <w:r w:rsidR="009074BF" w:rsidRPr="00340B99">
        <w:rPr>
          <w:sz w:val="26"/>
          <w:szCs w:val="26"/>
        </w:rPr>
        <w:t xml:space="preserve"> send a credible signal to stakeholders that the firm is socially responsible</w:t>
      </w:r>
      <w:r w:rsidR="00F777E1" w:rsidRPr="00340B99">
        <w:rPr>
          <w:sz w:val="26"/>
          <w:szCs w:val="26"/>
        </w:rPr>
        <w:t>, which can then result in increased customer loyalty</w:t>
      </w:r>
      <w:r w:rsidR="00425866" w:rsidRPr="00340B99">
        <w:rPr>
          <w:sz w:val="26"/>
          <w:szCs w:val="26"/>
        </w:rPr>
        <w:t xml:space="preserve">, </w:t>
      </w:r>
      <w:r w:rsidR="00F777E1" w:rsidRPr="00340B99">
        <w:rPr>
          <w:sz w:val="26"/>
          <w:szCs w:val="26"/>
        </w:rPr>
        <w:t>increased ability to recruit</w:t>
      </w:r>
      <w:r w:rsidR="00C321F9" w:rsidRPr="00340B99">
        <w:rPr>
          <w:sz w:val="26"/>
          <w:szCs w:val="26"/>
        </w:rPr>
        <w:t xml:space="preserve"> and retain</w:t>
      </w:r>
      <w:r w:rsidR="00F777E1" w:rsidRPr="00340B99">
        <w:rPr>
          <w:sz w:val="26"/>
          <w:szCs w:val="26"/>
        </w:rPr>
        <w:t xml:space="preserve"> higher quality employees</w:t>
      </w:r>
      <w:r w:rsidR="00425866" w:rsidRPr="00340B99">
        <w:rPr>
          <w:sz w:val="26"/>
          <w:szCs w:val="26"/>
        </w:rPr>
        <w:t>, and improved financial performance</w:t>
      </w:r>
      <w:r w:rsidR="009074BF" w:rsidRPr="00340B99">
        <w:rPr>
          <w:sz w:val="26"/>
          <w:szCs w:val="26"/>
        </w:rPr>
        <w:t xml:space="preserve"> (</w:t>
      </w:r>
      <w:r w:rsidR="00C321F9" w:rsidRPr="00340B99">
        <w:rPr>
          <w:sz w:val="26"/>
          <w:szCs w:val="26"/>
        </w:rPr>
        <w:t xml:space="preserve">Guerci et al., </w:t>
      </w:r>
      <w:r w:rsidR="00727373">
        <w:rPr>
          <w:sz w:val="26"/>
          <w:szCs w:val="26"/>
        </w:rPr>
        <w:t>2019</w:t>
      </w:r>
      <w:r w:rsidR="00C321F9" w:rsidRPr="00340B99">
        <w:rPr>
          <w:sz w:val="26"/>
          <w:szCs w:val="26"/>
        </w:rPr>
        <w:t xml:space="preserve">; </w:t>
      </w:r>
      <w:r w:rsidR="009074BF" w:rsidRPr="00340B99">
        <w:rPr>
          <w:sz w:val="26"/>
          <w:szCs w:val="26"/>
        </w:rPr>
        <w:t>Schneider et al., 2018; Tang et al., 2012</w:t>
      </w:r>
      <w:r w:rsidR="00425866" w:rsidRPr="00340B99">
        <w:rPr>
          <w:sz w:val="26"/>
          <w:szCs w:val="26"/>
        </w:rPr>
        <w:t xml:space="preserve">; Yang et al., </w:t>
      </w:r>
      <w:r w:rsidR="009720AE">
        <w:rPr>
          <w:sz w:val="26"/>
          <w:szCs w:val="26"/>
        </w:rPr>
        <w:t>2019</w:t>
      </w:r>
      <w:r w:rsidR="009074BF" w:rsidRPr="00340B99">
        <w:rPr>
          <w:color w:val="222222"/>
          <w:sz w:val="26"/>
          <w:szCs w:val="26"/>
          <w:shd w:val="clear" w:color="auto" w:fill="FFFFFF"/>
        </w:rPr>
        <w:t xml:space="preserve">). </w:t>
      </w:r>
      <w:r w:rsidR="00B63234" w:rsidRPr="00340B99">
        <w:rPr>
          <w:color w:val="222222"/>
          <w:sz w:val="26"/>
          <w:szCs w:val="26"/>
          <w:shd w:val="clear" w:color="auto" w:fill="FFFFFF"/>
        </w:rPr>
        <w:t xml:space="preserve">Internally, </w:t>
      </w:r>
      <w:r w:rsidR="00B63234" w:rsidRPr="00340B99">
        <w:rPr>
          <w:sz w:val="26"/>
          <w:szCs w:val="26"/>
        </w:rPr>
        <w:t xml:space="preserve">employee perceptions of a firm’s commitment to its employees lead to increased organizational identification and harder work on behalf of the organization’s goals (Cole et al., 2010; </w:t>
      </w:r>
      <w:r w:rsidR="00EE457B" w:rsidRPr="00340B99">
        <w:rPr>
          <w:sz w:val="26"/>
          <w:szCs w:val="26"/>
        </w:rPr>
        <w:t>El Akremi</w:t>
      </w:r>
      <w:r w:rsidR="00B63234" w:rsidRPr="00340B99">
        <w:rPr>
          <w:sz w:val="26"/>
          <w:szCs w:val="26"/>
        </w:rPr>
        <w:t xml:space="preserve"> et al.,</w:t>
      </w:r>
      <w:r w:rsidR="00DC052A" w:rsidRPr="00340B99">
        <w:rPr>
          <w:sz w:val="26"/>
          <w:szCs w:val="26"/>
        </w:rPr>
        <w:t xml:space="preserve"> </w:t>
      </w:r>
      <w:r w:rsidR="00B63234" w:rsidRPr="00340B99">
        <w:rPr>
          <w:sz w:val="26"/>
          <w:szCs w:val="26"/>
        </w:rPr>
        <w:t>20</w:t>
      </w:r>
      <w:r w:rsidR="00EE457B" w:rsidRPr="00340B99">
        <w:rPr>
          <w:sz w:val="26"/>
          <w:szCs w:val="26"/>
        </w:rPr>
        <w:t>18</w:t>
      </w:r>
      <w:r w:rsidR="009074BF" w:rsidRPr="00340B99">
        <w:rPr>
          <w:sz w:val="26"/>
          <w:szCs w:val="26"/>
        </w:rPr>
        <w:t>; Schneider et al., 2018</w:t>
      </w:r>
      <w:r w:rsidR="00B63234" w:rsidRPr="00340B99">
        <w:rPr>
          <w:sz w:val="26"/>
          <w:szCs w:val="26"/>
        </w:rPr>
        <w:t>).</w:t>
      </w:r>
      <w:r w:rsidR="005F6125">
        <w:rPr>
          <w:sz w:val="26"/>
          <w:szCs w:val="26"/>
        </w:rPr>
        <w:t xml:space="preserve"> </w:t>
      </w:r>
    </w:p>
    <w:p w14:paraId="0A3FCB0C" w14:textId="1B0729C1" w:rsidR="00C060B5" w:rsidRPr="00EA6450" w:rsidRDefault="009074BF" w:rsidP="00752EF1">
      <w:pPr>
        <w:spacing w:line="360" w:lineRule="exact"/>
        <w:ind w:firstLineChars="200" w:firstLine="520"/>
        <w:jc w:val="both"/>
        <w:rPr>
          <w:sz w:val="26"/>
          <w:szCs w:val="26"/>
        </w:rPr>
      </w:pPr>
      <w:r w:rsidRPr="00340B99">
        <w:rPr>
          <w:sz w:val="26"/>
          <w:szCs w:val="26"/>
        </w:rPr>
        <w:t xml:space="preserve">While there is </w:t>
      </w:r>
      <w:r w:rsidR="005F4D08" w:rsidRPr="00340B99">
        <w:rPr>
          <w:sz w:val="26"/>
          <w:szCs w:val="26"/>
        </w:rPr>
        <w:t>disagreement</w:t>
      </w:r>
      <w:r w:rsidRPr="00340B99">
        <w:rPr>
          <w:sz w:val="26"/>
          <w:szCs w:val="26"/>
        </w:rPr>
        <w:t xml:space="preserve"> regarding the specific practices to be included in the configuration of HPWP</w:t>
      </w:r>
      <w:r w:rsidR="00834ACB" w:rsidRPr="00340B99">
        <w:rPr>
          <w:sz w:val="26"/>
          <w:szCs w:val="26"/>
        </w:rPr>
        <w:t xml:space="preserve"> (Obeidat</w:t>
      </w:r>
      <w:r w:rsidR="005F4D08" w:rsidRPr="00340B99">
        <w:rPr>
          <w:sz w:val="26"/>
          <w:szCs w:val="26"/>
        </w:rPr>
        <w:t xml:space="preserve"> et al.</w:t>
      </w:r>
      <w:r w:rsidR="00834ACB" w:rsidRPr="00340B99">
        <w:rPr>
          <w:sz w:val="26"/>
          <w:szCs w:val="26"/>
        </w:rPr>
        <w:t>, 2016)</w:t>
      </w:r>
      <w:r w:rsidRPr="00340B99">
        <w:rPr>
          <w:sz w:val="26"/>
          <w:szCs w:val="26"/>
        </w:rPr>
        <w:t>, there are three main areas of HPWP: (1) people-flow and skills, such as job security and training, (2) appraisal and rewards, and (3) employment relations, such as worker participation and job design (</w:t>
      </w:r>
      <w:r w:rsidR="00FA0843" w:rsidRPr="00340B99">
        <w:rPr>
          <w:sz w:val="26"/>
          <w:szCs w:val="26"/>
        </w:rPr>
        <w:t>Sun</w:t>
      </w:r>
      <w:r w:rsidR="003C42BB" w:rsidRPr="00340B99">
        <w:rPr>
          <w:sz w:val="26"/>
          <w:szCs w:val="26"/>
        </w:rPr>
        <w:t xml:space="preserve"> et al.</w:t>
      </w:r>
      <w:r w:rsidRPr="00340B99">
        <w:rPr>
          <w:sz w:val="26"/>
          <w:szCs w:val="26"/>
        </w:rPr>
        <w:t>, 2007). These three areas of the HRM system support one another to create a high-performance work system</w:t>
      </w:r>
      <w:r w:rsidR="005428B7" w:rsidRPr="00340B99">
        <w:rPr>
          <w:sz w:val="26"/>
          <w:szCs w:val="26"/>
        </w:rPr>
        <w:t xml:space="preserve"> – meaning that a complete “bundle” of practices</w:t>
      </w:r>
      <w:r w:rsidR="008A3B24" w:rsidRPr="00340B99">
        <w:rPr>
          <w:sz w:val="26"/>
          <w:szCs w:val="26"/>
        </w:rPr>
        <w:t xml:space="preserve"> covering these three areas (Obeidat et al., 2016) – is needed to reap the full benefit (Asmawi &amp; Chew, 2016; Combs et al., </w:t>
      </w:r>
      <w:r w:rsidR="008A3B24" w:rsidRPr="00340B99">
        <w:rPr>
          <w:sz w:val="26"/>
          <w:szCs w:val="26"/>
        </w:rPr>
        <w:lastRenderedPageBreak/>
        <w:t>2006)</w:t>
      </w:r>
      <w:r w:rsidRPr="00340B99">
        <w:rPr>
          <w:sz w:val="26"/>
          <w:szCs w:val="26"/>
        </w:rPr>
        <w:t>. HPWP help companies identify and train the right employees</w:t>
      </w:r>
      <w:r w:rsidR="00724F8B" w:rsidRPr="00340B99">
        <w:rPr>
          <w:sz w:val="26"/>
          <w:szCs w:val="26"/>
        </w:rPr>
        <w:t xml:space="preserve"> (enabling greater diversity through a stronger focus on ability)</w:t>
      </w:r>
      <w:r w:rsidRPr="00340B99">
        <w:rPr>
          <w:sz w:val="26"/>
          <w:szCs w:val="26"/>
        </w:rPr>
        <w:t xml:space="preserve">, retain good employees, and assure continued investment in and </w:t>
      </w:r>
      <w:r w:rsidR="00151253" w:rsidRPr="00340B99">
        <w:rPr>
          <w:sz w:val="26"/>
          <w:szCs w:val="26"/>
        </w:rPr>
        <w:t>engagement</w:t>
      </w:r>
      <w:r w:rsidRPr="00340B99">
        <w:rPr>
          <w:sz w:val="26"/>
          <w:szCs w:val="26"/>
        </w:rPr>
        <w:t xml:space="preserve"> of employees (</w:t>
      </w:r>
      <w:r w:rsidR="00151253" w:rsidRPr="00340B99">
        <w:rPr>
          <w:sz w:val="26"/>
          <w:szCs w:val="26"/>
        </w:rPr>
        <w:t>Schneider et al., 2018; Sun et al., 2007</w:t>
      </w:r>
      <w:r w:rsidRPr="00340B99">
        <w:rPr>
          <w:sz w:val="26"/>
          <w:szCs w:val="26"/>
        </w:rPr>
        <w:t>). The bundling of the knowledge, skills, and</w:t>
      </w:r>
      <w:r w:rsidRPr="00EA6450">
        <w:rPr>
          <w:sz w:val="26"/>
          <w:szCs w:val="26"/>
        </w:rPr>
        <w:t xml:space="preserve"> abilities of individual employees with HPWP creates valuable, rare, costly to imitate and non-substitutable human capital, a core competency that leads to increased performance (Combs et al</w:t>
      </w:r>
      <w:r w:rsidRPr="00EA6450">
        <w:rPr>
          <w:i/>
          <w:sz w:val="26"/>
          <w:szCs w:val="26"/>
        </w:rPr>
        <w:t>.</w:t>
      </w:r>
      <w:r w:rsidRPr="00EA6450">
        <w:rPr>
          <w:sz w:val="26"/>
          <w:szCs w:val="26"/>
        </w:rPr>
        <w:t xml:space="preserve">, 2006; </w:t>
      </w:r>
      <w:r w:rsidR="00834ACB" w:rsidRPr="00EA6450">
        <w:rPr>
          <w:sz w:val="26"/>
          <w:szCs w:val="26"/>
        </w:rPr>
        <w:t>Obeidat et al., 2016</w:t>
      </w:r>
      <w:r w:rsidR="00151253" w:rsidRPr="00EA6450">
        <w:rPr>
          <w:sz w:val="26"/>
          <w:szCs w:val="26"/>
        </w:rPr>
        <w:t>; Schneider et al., 2018</w:t>
      </w:r>
      <w:r w:rsidRPr="00EA6450">
        <w:rPr>
          <w:sz w:val="26"/>
          <w:szCs w:val="26"/>
        </w:rPr>
        <w:t>). Thus,</w:t>
      </w:r>
    </w:p>
    <w:p w14:paraId="4C5D4414" w14:textId="77777777" w:rsidR="005F4D08" w:rsidRPr="00EA6450" w:rsidRDefault="005F4D08" w:rsidP="00752EF1">
      <w:pPr>
        <w:spacing w:line="360" w:lineRule="exact"/>
        <w:ind w:firstLineChars="200" w:firstLine="520"/>
        <w:jc w:val="both"/>
        <w:rPr>
          <w:sz w:val="26"/>
          <w:szCs w:val="26"/>
        </w:rPr>
      </w:pPr>
    </w:p>
    <w:p w14:paraId="3109A05D" w14:textId="3F92AEE4" w:rsidR="00C060B5" w:rsidRPr="00EA6450" w:rsidRDefault="009074BF" w:rsidP="0018383B">
      <w:pPr>
        <w:pStyle w:val="10"/>
        <w:spacing w:line="360" w:lineRule="exact"/>
        <w:ind w:left="1562" w:hangingChars="600" w:hanging="1562"/>
        <w:jc w:val="both"/>
        <w:rPr>
          <w:rFonts w:ascii="Times New Roman" w:eastAsia="Times New Roman" w:hAnsi="Times New Roman" w:cs="Times New Roman"/>
          <w:i/>
          <w:iCs/>
          <w:sz w:val="26"/>
          <w:szCs w:val="26"/>
        </w:rPr>
      </w:pPr>
      <w:r w:rsidRPr="0018383B">
        <w:rPr>
          <w:rFonts w:ascii="Times New Roman" w:eastAsia="Times New Roman" w:hAnsi="Times New Roman" w:cs="Times New Roman"/>
          <w:b/>
          <w:i/>
          <w:iCs/>
          <w:sz w:val="26"/>
          <w:szCs w:val="26"/>
        </w:rPr>
        <w:t>Hypothesis 1:</w:t>
      </w:r>
      <w:r w:rsidRPr="00EA6450">
        <w:rPr>
          <w:rFonts w:ascii="Times New Roman" w:eastAsia="Times New Roman" w:hAnsi="Times New Roman" w:cs="Times New Roman"/>
          <w:i/>
          <w:iCs/>
          <w:sz w:val="26"/>
          <w:szCs w:val="26"/>
        </w:rPr>
        <w:t xml:space="preserve"> High-performance work practices are positively associated with firm performance.</w:t>
      </w:r>
    </w:p>
    <w:p w14:paraId="5959D53E" w14:textId="77777777" w:rsidR="00EA6450" w:rsidRDefault="00EA6450" w:rsidP="00752EF1">
      <w:pPr>
        <w:pStyle w:val="2"/>
        <w:spacing w:before="0" w:after="0" w:line="360" w:lineRule="exact"/>
        <w:ind w:firstLineChars="200" w:firstLine="520"/>
        <w:jc w:val="both"/>
        <w:rPr>
          <w:sz w:val="26"/>
          <w:szCs w:val="26"/>
        </w:rPr>
      </w:pPr>
    </w:p>
    <w:p w14:paraId="665693F9" w14:textId="77777777" w:rsidR="00C060B5" w:rsidRPr="00EA6450" w:rsidRDefault="009074BF" w:rsidP="00752EF1">
      <w:pPr>
        <w:pStyle w:val="2"/>
        <w:spacing w:before="0" w:after="0" w:line="360" w:lineRule="exact"/>
        <w:jc w:val="both"/>
        <w:rPr>
          <w:b/>
          <w:bCs/>
          <w:i w:val="0"/>
          <w:iCs/>
          <w:sz w:val="26"/>
          <w:szCs w:val="26"/>
        </w:rPr>
      </w:pPr>
      <w:r w:rsidRPr="00EA6450">
        <w:rPr>
          <w:b/>
          <w:bCs/>
          <w:i w:val="0"/>
          <w:iCs/>
          <w:sz w:val="26"/>
          <w:szCs w:val="26"/>
        </w:rPr>
        <w:t>Institutional Differences</w:t>
      </w:r>
    </w:p>
    <w:p w14:paraId="2277993E" w14:textId="78B52EE0" w:rsidR="00C060B5" w:rsidRPr="00340B99" w:rsidRDefault="009074BF" w:rsidP="00752EF1">
      <w:pPr>
        <w:spacing w:line="360" w:lineRule="exact"/>
        <w:ind w:firstLineChars="200" w:firstLine="520"/>
        <w:jc w:val="both"/>
        <w:rPr>
          <w:sz w:val="26"/>
          <w:szCs w:val="26"/>
          <w:lang w:val="en-GB"/>
        </w:rPr>
      </w:pPr>
      <w:r w:rsidRPr="00EA6450">
        <w:rPr>
          <w:sz w:val="26"/>
          <w:szCs w:val="26"/>
        </w:rPr>
        <w:t>Institutional context plays an important role in evaluating strategic options and choosing a firm’s direction (</w:t>
      </w:r>
      <w:r w:rsidR="006256E0" w:rsidRPr="00EA6450">
        <w:rPr>
          <w:sz w:val="26"/>
          <w:szCs w:val="26"/>
        </w:rPr>
        <w:t>Bauer</w:t>
      </w:r>
      <w:r w:rsidR="00FE4DC6" w:rsidRPr="00EA6450">
        <w:rPr>
          <w:sz w:val="26"/>
          <w:szCs w:val="26"/>
        </w:rPr>
        <w:t xml:space="preserve"> et al.</w:t>
      </w:r>
      <w:r w:rsidR="006256E0" w:rsidRPr="00EA6450">
        <w:rPr>
          <w:sz w:val="26"/>
          <w:szCs w:val="26"/>
        </w:rPr>
        <w:t>, 2018;</w:t>
      </w:r>
      <w:r w:rsidR="005F2416" w:rsidRPr="00EA6450">
        <w:rPr>
          <w:sz w:val="26"/>
          <w:szCs w:val="26"/>
        </w:rPr>
        <w:t xml:space="preserve"> </w:t>
      </w:r>
      <w:r w:rsidR="006256E0" w:rsidRPr="00EA6450">
        <w:rPr>
          <w:sz w:val="26"/>
          <w:szCs w:val="26"/>
        </w:rPr>
        <w:t xml:space="preserve">Weng &amp; Peng, </w:t>
      </w:r>
      <w:r w:rsidR="00877B6C" w:rsidRPr="00EA6450">
        <w:rPr>
          <w:sz w:val="26"/>
          <w:szCs w:val="26"/>
        </w:rPr>
        <w:t>2018</w:t>
      </w:r>
      <w:r w:rsidR="005F2416" w:rsidRPr="00EA6450">
        <w:rPr>
          <w:sz w:val="26"/>
          <w:szCs w:val="26"/>
        </w:rPr>
        <w:t>; Witt &amp; Jackson, 2016; Wood &amp; Brewster, 2016</w:t>
      </w:r>
      <w:r w:rsidRPr="00EA6450">
        <w:rPr>
          <w:sz w:val="26"/>
          <w:szCs w:val="26"/>
        </w:rPr>
        <w:t xml:space="preserve">). </w:t>
      </w:r>
      <w:r w:rsidR="00E57A01">
        <w:rPr>
          <w:sz w:val="26"/>
          <w:szCs w:val="26"/>
        </w:rPr>
        <w:t>Institutional theory</w:t>
      </w:r>
      <w:r w:rsidRPr="00EA6450">
        <w:rPr>
          <w:sz w:val="26"/>
          <w:szCs w:val="26"/>
          <w:lang w:val="en-GB"/>
        </w:rPr>
        <w:t xml:space="preserve"> focuses on how institutional pressures affect organizational behavior (</w:t>
      </w:r>
      <w:r w:rsidRPr="00EA6450">
        <w:rPr>
          <w:color w:val="333333"/>
          <w:spacing w:val="4"/>
          <w:sz w:val="26"/>
          <w:szCs w:val="26"/>
          <w:shd w:val="clear" w:color="auto" w:fill="FCFCFC"/>
        </w:rPr>
        <w:t>Ioannou &amp; Serafeim,</w:t>
      </w:r>
      <w:r w:rsidR="00044E39">
        <w:rPr>
          <w:color w:val="333333"/>
          <w:spacing w:val="4"/>
          <w:sz w:val="26"/>
          <w:szCs w:val="26"/>
          <w:shd w:val="clear" w:color="auto" w:fill="FCFCFC"/>
        </w:rPr>
        <w:t xml:space="preserve"> </w:t>
      </w:r>
      <w:r w:rsidRPr="00EA6450">
        <w:rPr>
          <w:color w:val="333333"/>
          <w:spacing w:val="4"/>
          <w:sz w:val="26"/>
          <w:szCs w:val="26"/>
          <w:shd w:val="clear" w:color="auto" w:fill="FCFCFC"/>
        </w:rPr>
        <w:t xml:space="preserve">2012; </w:t>
      </w:r>
      <w:r w:rsidR="00961BA7" w:rsidRPr="00EA6450">
        <w:rPr>
          <w:sz w:val="26"/>
          <w:szCs w:val="26"/>
        </w:rPr>
        <w:t xml:space="preserve">Mallon &amp; Fainshmidt, 2017; </w:t>
      </w:r>
      <w:r w:rsidRPr="00EA6450">
        <w:rPr>
          <w:sz w:val="26"/>
          <w:szCs w:val="26"/>
          <w:lang w:val="en-GB"/>
        </w:rPr>
        <w:t>Peng, 2014).</w:t>
      </w:r>
      <w:r w:rsidRPr="00EA6450">
        <w:rPr>
          <w:sz w:val="26"/>
          <w:szCs w:val="26"/>
        </w:rPr>
        <w:t xml:space="preserve"> This </w:t>
      </w:r>
      <w:r w:rsidR="00972A41" w:rsidRPr="00EA6450">
        <w:rPr>
          <w:sz w:val="26"/>
          <w:szCs w:val="26"/>
        </w:rPr>
        <w:t>perspective suggests</w:t>
      </w:r>
      <w:r w:rsidRPr="00EA6450">
        <w:rPr>
          <w:sz w:val="26"/>
          <w:szCs w:val="26"/>
        </w:rPr>
        <w:t xml:space="preserve"> that</w:t>
      </w:r>
      <w:r w:rsidRPr="00EA6450">
        <w:rPr>
          <w:sz w:val="26"/>
          <w:szCs w:val="26"/>
          <w:lang w:val="en-GB"/>
        </w:rPr>
        <w:t xml:space="preserve"> </w:t>
      </w:r>
      <w:r w:rsidRPr="00EA6450">
        <w:rPr>
          <w:sz w:val="26"/>
          <w:szCs w:val="26"/>
        </w:rPr>
        <w:t xml:space="preserve">institutional differences between different nations can have a major impact on how firms behave given the same specific circumstances </w:t>
      </w:r>
      <w:r w:rsidR="00D67276" w:rsidRPr="00EA6450">
        <w:rPr>
          <w:sz w:val="26"/>
          <w:szCs w:val="26"/>
        </w:rPr>
        <w:t xml:space="preserve">and </w:t>
      </w:r>
      <w:r w:rsidR="00D67276" w:rsidRPr="00340B99">
        <w:rPr>
          <w:sz w:val="26"/>
          <w:szCs w:val="26"/>
        </w:rPr>
        <w:t>capabilities</w:t>
      </w:r>
      <w:r w:rsidR="00340B99" w:rsidRPr="00340B99">
        <w:rPr>
          <w:sz w:val="26"/>
          <w:szCs w:val="26"/>
        </w:rPr>
        <w:t>, as well as the ability of a firm to extract value from a given behavior</w:t>
      </w:r>
      <w:r w:rsidR="00D67276" w:rsidRPr="00340B99">
        <w:rPr>
          <w:sz w:val="26"/>
          <w:szCs w:val="26"/>
        </w:rPr>
        <w:t xml:space="preserve"> </w:t>
      </w:r>
      <w:r w:rsidRPr="00340B99">
        <w:rPr>
          <w:sz w:val="26"/>
          <w:szCs w:val="26"/>
        </w:rPr>
        <w:t>(</w:t>
      </w:r>
      <w:r w:rsidR="00C70130" w:rsidRPr="00340B99">
        <w:rPr>
          <w:sz w:val="26"/>
          <w:szCs w:val="26"/>
        </w:rPr>
        <w:t>Chacar et al</w:t>
      </w:r>
      <w:r w:rsidR="008A3B24" w:rsidRPr="00340B99">
        <w:rPr>
          <w:sz w:val="26"/>
          <w:szCs w:val="26"/>
        </w:rPr>
        <w:t>.</w:t>
      </w:r>
      <w:r w:rsidR="00C70130" w:rsidRPr="00340B99">
        <w:rPr>
          <w:sz w:val="26"/>
          <w:szCs w:val="26"/>
        </w:rPr>
        <w:t xml:space="preserve">, 2010; </w:t>
      </w:r>
      <w:r w:rsidR="00F23E54" w:rsidRPr="00340B99">
        <w:rPr>
          <w:sz w:val="26"/>
          <w:szCs w:val="26"/>
        </w:rPr>
        <w:t xml:space="preserve">Tang &amp; Hull, 2012; </w:t>
      </w:r>
      <w:r w:rsidR="006256E0" w:rsidRPr="00340B99">
        <w:rPr>
          <w:sz w:val="26"/>
          <w:szCs w:val="26"/>
        </w:rPr>
        <w:t xml:space="preserve">Weng &amp; Peng, </w:t>
      </w:r>
      <w:r w:rsidR="00877B6C" w:rsidRPr="00340B99">
        <w:rPr>
          <w:sz w:val="26"/>
          <w:szCs w:val="26"/>
        </w:rPr>
        <w:t>2018</w:t>
      </w:r>
      <w:r w:rsidR="005F2416" w:rsidRPr="00340B99">
        <w:rPr>
          <w:sz w:val="26"/>
          <w:szCs w:val="26"/>
        </w:rPr>
        <w:t>; Witt &amp; Jackson, 2016; Wood &amp; Brewster, 2016</w:t>
      </w:r>
      <w:r w:rsidRPr="00340B99">
        <w:rPr>
          <w:sz w:val="26"/>
          <w:szCs w:val="26"/>
        </w:rPr>
        <w:t xml:space="preserve">). </w:t>
      </w:r>
      <w:r w:rsidRPr="00340B99">
        <w:rPr>
          <w:sz w:val="26"/>
          <w:szCs w:val="26"/>
          <w:lang w:val="en-GB"/>
        </w:rPr>
        <w:t xml:space="preserve">Thus, understanding the interactions among organizations and national institutions is essential to understanding any sort of strategic </w:t>
      </w:r>
      <w:r w:rsidR="005B12E0" w:rsidRPr="00340B99">
        <w:rPr>
          <w:sz w:val="26"/>
          <w:szCs w:val="26"/>
          <w:lang w:val="en-GB"/>
        </w:rPr>
        <w:t>behavior</w:t>
      </w:r>
      <w:r w:rsidRPr="00340B99">
        <w:rPr>
          <w:sz w:val="26"/>
          <w:szCs w:val="26"/>
          <w:lang w:val="en-GB"/>
        </w:rPr>
        <w:t xml:space="preserve">, including the sort of strategic </w:t>
      </w:r>
      <w:r w:rsidR="00C3794B" w:rsidRPr="00340B99">
        <w:rPr>
          <w:sz w:val="26"/>
          <w:szCs w:val="26"/>
          <w:lang w:val="en-GB"/>
        </w:rPr>
        <w:t>behavior</w:t>
      </w:r>
      <w:r w:rsidRPr="00340B99">
        <w:rPr>
          <w:sz w:val="26"/>
          <w:szCs w:val="26"/>
          <w:lang w:val="en-GB"/>
        </w:rPr>
        <w:t xml:space="preserve"> that involves HRM (</w:t>
      </w:r>
      <w:r w:rsidR="006256E0" w:rsidRPr="00340B99">
        <w:rPr>
          <w:sz w:val="26"/>
          <w:szCs w:val="26"/>
          <w:lang w:val="en-GB"/>
        </w:rPr>
        <w:t xml:space="preserve">Bauer et al., 2018; </w:t>
      </w:r>
      <w:r w:rsidRPr="00340B99">
        <w:rPr>
          <w:sz w:val="26"/>
          <w:szCs w:val="26"/>
          <w:lang w:val="en-GB"/>
        </w:rPr>
        <w:t xml:space="preserve">Peng, 2003, </w:t>
      </w:r>
      <w:r w:rsidR="00063B46" w:rsidRPr="00340B99">
        <w:rPr>
          <w:sz w:val="26"/>
          <w:szCs w:val="26"/>
          <w:lang w:val="en-GB"/>
        </w:rPr>
        <w:t>2014</w:t>
      </w:r>
      <w:r w:rsidR="00340B99">
        <w:rPr>
          <w:sz w:val="26"/>
          <w:szCs w:val="26"/>
          <w:lang w:val="en-GB"/>
        </w:rPr>
        <w:t xml:space="preserve">; </w:t>
      </w:r>
      <w:r w:rsidR="00340B99" w:rsidRPr="00340B99">
        <w:rPr>
          <w:sz w:val="26"/>
          <w:szCs w:val="26"/>
        </w:rPr>
        <w:t>Paauwe &amp; Boselie, 2006</w:t>
      </w:r>
      <w:r w:rsidRPr="00340B99">
        <w:rPr>
          <w:sz w:val="26"/>
          <w:szCs w:val="26"/>
          <w:lang w:val="en-GB"/>
        </w:rPr>
        <w:t>).</w:t>
      </w:r>
      <w:r w:rsidR="005F6125">
        <w:rPr>
          <w:sz w:val="26"/>
          <w:szCs w:val="26"/>
          <w:lang w:val="en-GB"/>
        </w:rPr>
        <w:t xml:space="preserve"> </w:t>
      </w:r>
    </w:p>
    <w:p w14:paraId="613E9492" w14:textId="14A64246" w:rsidR="005B12E0" w:rsidRPr="00EA6450" w:rsidRDefault="009074BF" w:rsidP="00752EF1">
      <w:pPr>
        <w:spacing w:line="360" w:lineRule="exact"/>
        <w:ind w:firstLineChars="200" w:firstLine="520"/>
        <w:jc w:val="both"/>
        <w:rPr>
          <w:sz w:val="26"/>
          <w:szCs w:val="26"/>
        </w:rPr>
      </w:pPr>
      <w:r w:rsidRPr="00EA6450">
        <w:rPr>
          <w:sz w:val="26"/>
          <w:szCs w:val="26"/>
          <w:lang w:val="en-GB"/>
        </w:rPr>
        <w:t>Past research has found that i</w:t>
      </w:r>
      <w:r w:rsidR="00C060B5" w:rsidRPr="00EA6450">
        <w:rPr>
          <w:sz w:val="26"/>
          <w:szCs w:val="26"/>
          <w:lang w:val="en-GB"/>
        </w:rPr>
        <w:t>nstitutional factors affect multinational enterprises’ HRM practices in different nations (</w:t>
      </w:r>
      <w:r w:rsidR="007810A9" w:rsidRPr="00EA6450">
        <w:rPr>
          <w:sz w:val="26"/>
          <w:szCs w:val="26"/>
        </w:rPr>
        <w:t>Bauer</w:t>
      </w:r>
      <w:r w:rsidR="003C42BB" w:rsidRPr="00EA6450">
        <w:rPr>
          <w:sz w:val="26"/>
          <w:szCs w:val="26"/>
        </w:rPr>
        <w:t xml:space="preserve"> et al.</w:t>
      </w:r>
      <w:r w:rsidR="007810A9" w:rsidRPr="00EA6450">
        <w:rPr>
          <w:sz w:val="26"/>
          <w:szCs w:val="26"/>
        </w:rPr>
        <w:t xml:space="preserve">, 2018; </w:t>
      </w:r>
      <w:r w:rsidR="00972A41" w:rsidRPr="00EA6450">
        <w:rPr>
          <w:sz w:val="26"/>
          <w:szCs w:val="26"/>
        </w:rPr>
        <w:t>Williamson, 2009</w:t>
      </w:r>
      <w:r w:rsidR="00C060B5" w:rsidRPr="00EA6450">
        <w:rPr>
          <w:sz w:val="26"/>
          <w:szCs w:val="26"/>
        </w:rPr>
        <w:t xml:space="preserve">). </w:t>
      </w:r>
      <w:r w:rsidR="002C7A53" w:rsidRPr="00EA6450">
        <w:rPr>
          <w:sz w:val="26"/>
          <w:szCs w:val="26"/>
        </w:rPr>
        <w:t xml:space="preserve">While institutional context can influence behavior, it can also </w:t>
      </w:r>
      <w:r w:rsidRPr="00EA6450">
        <w:rPr>
          <w:sz w:val="26"/>
          <w:szCs w:val="26"/>
        </w:rPr>
        <w:t>influence</w:t>
      </w:r>
      <w:r w:rsidR="002C7A53" w:rsidRPr="00EA6450">
        <w:rPr>
          <w:sz w:val="26"/>
          <w:szCs w:val="26"/>
        </w:rPr>
        <w:t xml:space="preserve"> the degree to which behavior contributes to financial performance (</w:t>
      </w:r>
      <w:r w:rsidR="007810A9" w:rsidRPr="00EA6450">
        <w:rPr>
          <w:sz w:val="26"/>
          <w:szCs w:val="26"/>
        </w:rPr>
        <w:t xml:space="preserve">Bauer et al., 2018; </w:t>
      </w:r>
      <w:r w:rsidR="002C7A53" w:rsidRPr="00EA6450">
        <w:rPr>
          <w:sz w:val="26"/>
          <w:szCs w:val="26"/>
        </w:rPr>
        <w:t>Caligiuri, 2014; Minbaeva et al., 2014; Paauwe, 2009</w:t>
      </w:r>
      <w:r w:rsidR="00151253" w:rsidRPr="00EA6450">
        <w:rPr>
          <w:sz w:val="26"/>
          <w:szCs w:val="26"/>
        </w:rPr>
        <w:t>, Paauwe &amp; Boon, 2018</w:t>
      </w:r>
      <w:r w:rsidR="002C7A53" w:rsidRPr="00EA6450">
        <w:rPr>
          <w:sz w:val="26"/>
          <w:szCs w:val="26"/>
          <w:highlight w:val="white"/>
        </w:rPr>
        <w:t>).</w:t>
      </w:r>
      <w:r w:rsidR="005F6125">
        <w:rPr>
          <w:sz w:val="26"/>
          <w:szCs w:val="26"/>
        </w:rPr>
        <w:t xml:space="preserve"> </w:t>
      </w:r>
      <w:r w:rsidR="00C060B5" w:rsidRPr="00EA6450">
        <w:rPr>
          <w:sz w:val="26"/>
          <w:szCs w:val="26"/>
        </w:rPr>
        <w:t xml:space="preserve">In particular, </w:t>
      </w:r>
      <w:r w:rsidR="002012A6" w:rsidRPr="00EA6450">
        <w:rPr>
          <w:sz w:val="26"/>
          <w:szCs w:val="26"/>
        </w:rPr>
        <w:t>informal and formal</w:t>
      </w:r>
      <w:r w:rsidR="00D67276" w:rsidRPr="00EA6450">
        <w:rPr>
          <w:sz w:val="26"/>
          <w:szCs w:val="26"/>
        </w:rPr>
        <w:t xml:space="preserve"> </w:t>
      </w:r>
      <w:r w:rsidR="00C060B5" w:rsidRPr="00EA6450">
        <w:rPr>
          <w:sz w:val="26"/>
          <w:szCs w:val="26"/>
        </w:rPr>
        <w:t xml:space="preserve">institutional differences in </w:t>
      </w:r>
      <w:r w:rsidR="002C7A53" w:rsidRPr="00EA6450">
        <w:rPr>
          <w:sz w:val="26"/>
          <w:szCs w:val="26"/>
        </w:rPr>
        <w:t>labor markets</w:t>
      </w:r>
      <w:r w:rsidRPr="00EA6450">
        <w:rPr>
          <w:sz w:val="26"/>
          <w:szCs w:val="26"/>
        </w:rPr>
        <w:t xml:space="preserve"> and practices</w:t>
      </w:r>
      <w:r w:rsidR="002C7A53" w:rsidRPr="00EA6450">
        <w:rPr>
          <w:sz w:val="26"/>
          <w:szCs w:val="26"/>
        </w:rPr>
        <w:t xml:space="preserve"> </w:t>
      </w:r>
      <w:r w:rsidR="00C060B5" w:rsidRPr="00EA6450">
        <w:rPr>
          <w:sz w:val="26"/>
          <w:szCs w:val="26"/>
        </w:rPr>
        <w:t>will be critical both to what a company is allowed to d</w:t>
      </w:r>
      <w:r w:rsidR="002C7A53" w:rsidRPr="00EA6450">
        <w:rPr>
          <w:sz w:val="26"/>
          <w:szCs w:val="26"/>
        </w:rPr>
        <w:t xml:space="preserve">o and </w:t>
      </w:r>
      <w:r w:rsidR="00C060B5" w:rsidRPr="00EA6450">
        <w:rPr>
          <w:sz w:val="26"/>
          <w:szCs w:val="26"/>
        </w:rPr>
        <w:t>how it will be perceived for what it does</w:t>
      </w:r>
      <w:r w:rsidR="002C7A53" w:rsidRPr="00EA6450">
        <w:rPr>
          <w:sz w:val="26"/>
          <w:szCs w:val="26"/>
        </w:rPr>
        <w:t>, thus impacting two major mechanisms by which HRM impacts performance</w:t>
      </w:r>
      <w:r w:rsidR="00C060B5" w:rsidRPr="00EA6450">
        <w:rPr>
          <w:sz w:val="26"/>
          <w:szCs w:val="26"/>
        </w:rPr>
        <w:t xml:space="preserve"> (</w:t>
      </w:r>
      <w:r w:rsidR="006256E0" w:rsidRPr="00EA6450">
        <w:rPr>
          <w:sz w:val="26"/>
          <w:szCs w:val="26"/>
        </w:rPr>
        <w:t>Bauer</w:t>
      </w:r>
      <w:r w:rsidR="003C42BB" w:rsidRPr="00EA6450">
        <w:rPr>
          <w:sz w:val="26"/>
          <w:szCs w:val="26"/>
        </w:rPr>
        <w:t xml:space="preserve"> et al.</w:t>
      </w:r>
      <w:r w:rsidR="006256E0" w:rsidRPr="00EA6450">
        <w:rPr>
          <w:sz w:val="26"/>
          <w:szCs w:val="26"/>
        </w:rPr>
        <w:t xml:space="preserve">, 2018; </w:t>
      </w:r>
      <w:r w:rsidR="003615FD" w:rsidRPr="00EA6450">
        <w:rPr>
          <w:sz w:val="26"/>
          <w:szCs w:val="26"/>
        </w:rPr>
        <w:t>Sondermann, 2018</w:t>
      </w:r>
      <w:r w:rsidR="006256E0" w:rsidRPr="00EA6450">
        <w:rPr>
          <w:sz w:val="26"/>
          <w:szCs w:val="26"/>
        </w:rPr>
        <w:t xml:space="preserve">; Weng &amp; Peng, </w:t>
      </w:r>
      <w:r w:rsidR="00877B6C" w:rsidRPr="00EA6450">
        <w:rPr>
          <w:sz w:val="26"/>
          <w:szCs w:val="26"/>
        </w:rPr>
        <w:t>2018</w:t>
      </w:r>
      <w:r w:rsidR="00C060B5" w:rsidRPr="00EA6450">
        <w:rPr>
          <w:sz w:val="26"/>
          <w:szCs w:val="26"/>
        </w:rPr>
        <w:t>).</w:t>
      </w:r>
      <w:r w:rsidR="005F6125">
        <w:rPr>
          <w:sz w:val="26"/>
          <w:szCs w:val="26"/>
        </w:rPr>
        <w:t xml:space="preserve"> </w:t>
      </w:r>
    </w:p>
    <w:p w14:paraId="38D695F5" w14:textId="0302DA7F" w:rsidR="00DB1E45" w:rsidRDefault="00DB1E45" w:rsidP="00752EF1">
      <w:pPr>
        <w:spacing w:line="360" w:lineRule="exact"/>
        <w:ind w:firstLineChars="200" w:firstLine="520"/>
        <w:jc w:val="both"/>
        <w:rPr>
          <w:sz w:val="26"/>
          <w:szCs w:val="26"/>
        </w:rPr>
      </w:pPr>
      <w:r w:rsidRPr="00340B99">
        <w:rPr>
          <w:sz w:val="26"/>
          <w:szCs w:val="26"/>
        </w:rPr>
        <w:t xml:space="preserve">It is important to note that there is considerable disagreement as to how </w:t>
      </w:r>
      <w:r w:rsidR="000A4488">
        <w:rPr>
          <w:sz w:val="26"/>
          <w:szCs w:val="26"/>
        </w:rPr>
        <w:t xml:space="preserve">to </w:t>
      </w:r>
      <w:r w:rsidRPr="00340B99">
        <w:rPr>
          <w:sz w:val="26"/>
          <w:szCs w:val="26"/>
        </w:rPr>
        <w:t>measure formal and informal institutional pressures (Wood &amp; Brewster, 2016). As one example, nations can be categorized as liberal or coordinated</w:t>
      </w:r>
      <w:r w:rsidRPr="00EA6450">
        <w:rPr>
          <w:sz w:val="26"/>
          <w:szCs w:val="26"/>
        </w:rPr>
        <w:t xml:space="preserve"> market economies according to </w:t>
      </w:r>
      <w:r w:rsidRPr="00EA6450">
        <w:rPr>
          <w:sz w:val="26"/>
          <w:szCs w:val="26"/>
        </w:rPr>
        <w:lastRenderedPageBreak/>
        <w:t>whether they practice civil or common law (Witt &amp; Jackson, 2016)</w:t>
      </w:r>
      <w:r>
        <w:rPr>
          <w:sz w:val="26"/>
          <w:szCs w:val="26"/>
        </w:rPr>
        <w:t>.</w:t>
      </w:r>
      <w:r w:rsidR="000A4488">
        <w:rPr>
          <w:sz w:val="26"/>
          <w:szCs w:val="26"/>
        </w:rPr>
        <w:t xml:space="preserve"> </w:t>
      </w:r>
      <w:r>
        <w:rPr>
          <w:sz w:val="26"/>
          <w:szCs w:val="26"/>
        </w:rPr>
        <w:t>Wood &amp; Brewster (</w:t>
      </w:r>
      <w:r w:rsidRPr="00EA6450">
        <w:rPr>
          <w:sz w:val="26"/>
          <w:szCs w:val="26"/>
        </w:rPr>
        <w:t>2016</w:t>
      </w:r>
      <w:r>
        <w:rPr>
          <w:sz w:val="26"/>
          <w:szCs w:val="26"/>
        </w:rPr>
        <w:t>), on the other hand, provide</w:t>
      </w:r>
      <w:r w:rsidRPr="00EA6450">
        <w:rPr>
          <w:sz w:val="26"/>
          <w:szCs w:val="26"/>
        </w:rPr>
        <w:t xml:space="preserve"> an excellent discussion of why thi</w:t>
      </w:r>
      <w:r>
        <w:rPr>
          <w:sz w:val="26"/>
          <w:szCs w:val="26"/>
        </w:rPr>
        <w:t>s is not an appropriate method</w:t>
      </w:r>
      <w:r w:rsidRPr="00EA6450">
        <w:rPr>
          <w:sz w:val="26"/>
          <w:szCs w:val="26"/>
        </w:rPr>
        <w:t xml:space="preserve">. </w:t>
      </w:r>
      <w:r>
        <w:rPr>
          <w:sz w:val="26"/>
          <w:szCs w:val="26"/>
        </w:rPr>
        <w:t>Given this disagreement, one approach to measuring institutional pressures is to focus</w:t>
      </w:r>
      <w:r w:rsidRPr="00EA6450">
        <w:rPr>
          <w:sz w:val="26"/>
          <w:szCs w:val="26"/>
        </w:rPr>
        <w:t xml:space="preserve"> on relevant institutional pressures specific to the nation</w:t>
      </w:r>
      <w:r>
        <w:rPr>
          <w:sz w:val="26"/>
          <w:szCs w:val="26"/>
        </w:rPr>
        <w:t>,</w:t>
      </w:r>
      <w:r w:rsidRPr="00EA6450">
        <w:rPr>
          <w:sz w:val="26"/>
          <w:szCs w:val="26"/>
        </w:rPr>
        <w:t xml:space="preserve"> rather than on national traits believed to affect these institutions (Wood &amp; Brewster, 2016).</w:t>
      </w:r>
      <w:r w:rsidR="005F6125">
        <w:rPr>
          <w:sz w:val="26"/>
          <w:szCs w:val="26"/>
        </w:rPr>
        <w:t xml:space="preserve"> </w:t>
      </w:r>
    </w:p>
    <w:p w14:paraId="1B43A795" w14:textId="690B15F5" w:rsidR="00C060B5" w:rsidRPr="00EA6450" w:rsidRDefault="00DB1E45" w:rsidP="00752EF1">
      <w:pPr>
        <w:spacing w:line="360" w:lineRule="exact"/>
        <w:ind w:firstLineChars="200" w:firstLine="520"/>
        <w:jc w:val="both"/>
        <w:rPr>
          <w:sz w:val="26"/>
          <w:szCs w:val="26"/>
        </w:rPr>
      </w:pPr>
      <w:r w:rsidRPr="00EA6450">
        <w:rPr>
          <w:sz w:val="26"/>
          <w:szCs w:val="26"/>
        </w:rPr>
        <w:t>We follow this logic</w:t>
      </w:r>
      <w:r>
        <w:rPr>
          <w:sz w:val="26"/>
          <w:szCs w:val="26"/>
        </w:rPr>
        <w:t xml:space="preserve"> in considering</w:t>
      </w:r>
      <w:r w:rsidR="00B6046B" w:rsidRPr="00EA6450">
        <w:rPr>
          <w:sz w:val="26"/>
          <w:szCs w:val="26"/>
        </w:rPr>
        <w:t xml:space="preserve"> both </w:t>
      </w:r>
      <w:r w:rsidR="002012A6" w:rsidRPr="00EA6450">
        <w:rPr>
          <w:sz w:val="26"/>
          <w:szCs w:val="26"/>
        </w:rPr>
        <w:t>informal and formal</w:t>
      </w:r>
      <w:r w:rsidR="00B6046B" w:rsidRPr="00EA6450">
        <w:rPr>
          <w:sz w:val="26"/>
          <w:szCs w:val="26"/>
        </w:rPr>
        <w:t xml:space="preserve"> aspects of the institutional environment</w:t>
      </w:r>
      <w:r w:rsidR="009074BF" w:rsidRPr="00EA6450">
        <w:rPr>
          <w:sz w:val="26"/>
          <w:szCs w:val="26"/>
        </w:rPr>
        <w:t xml:space="preserve"> (</w:t>
      </w:r>
      <w:r w:rsidR="00961BA7" w:rsidRPr="00EA6450">
        <w:rPr>
          <w:sz w:val="26"/>
          <w:szCs w:val="26"/>
        </w:rPr>
        <w:t xml:space="preserve">Mallon &amp; Fainshmidt, 2017; </w:t>
      </w:r>
      <w:r w:rsidR="009074BF" w:rsidRPr="00EA6450">
        <w:rPr>
          <w:sz w:val="26"/>
          <w:szCs w:val="26"/>
        </w:rPr>
        <w:t>Williamson, 2009)</w:t>
      </w:r>
      <w:r w:rsidR="00B6046B" w:rsidRPr="00EA6450">
        <w:rPr>
          <w:sz w:val="26"/>
          <w:szCs w:val="26"/>
        </w:rPr>
        <w:t xml:space="preserve">. Formal aspects of the </w:t>
      </w:r>
      <w:r w:rsidR="003F45C5" w:rsidRPr="00EA6450">
        <w:rPr>
          <w:sz w:val="26"/>
          <w:szCs w:val="26"/>
        </w:rPr>
        <w:t>institutional</w:t>
      </w:r>
      <w:r w:rsidR="000C3343" w:rsidRPr="00EA6450">
        <w:rPr>
          <w:sz w:val="26"/>
          <w:szCs w:val="26"/>
        </w:rPr>
        <w:t xml:space="preserve"> environment are </w:t>
      </w:r>
      <w:r w:rsidR="00B6046B" w:rsidRPr="00EA6450">
        <w:rPr>
          <w:sz w:val="26"/>
          <w:szCs w:val="26"/>
        </w:rPr>
        <w:t>codified in rules, policies, and laws. Informal aspects are also constraints on behavior, but ones that are embedded in the customs, norms, and traditions of the country in question.</w:t>
      </w:r>
      <w:r w:rsidR="00972A41" w:rsidRPr="00EA6450">
        <w:rPr>
          <w:sz w:val="26"/>
          <w:szCs w:val="26"/>
        </w:rPr>
        <w:t xml:space="preserve"> Thus, in the context of labor markets, laws and regulatory policies regarding labor would be formal institutions, and </w:t>
      </w:r>
      <w:r w:rsidR="00772C21" w:rsidRPr="00EA6450">
        <w:rPr>
          <w:sz w:val="26"/>
          <w:szCs w:val="26"/>
        </w:rPr>
        <w:t xml:space="preserve">less </w:t>
      </w:r>
      <w:r w:rsidR="00D52D66" w:rsidRPr="00EA6450">
        <w:rPr>
          <w:sz w:val="26"/>
          <w:szCs w:val="26"/>
        </w:rPr>
        <w:t>codified</w:t>
      </w:r>
      <w:r w:rsidR="00772C21" w:rsidRPr="00EA6450">
        <w:rPr>
          <w:sz w:val="26"/>
          <w:szCs w:val="26"/>
        </w:rPr>
        <w:t xml:space="preserve"> customs, norms and traditions would provide informal institutional pressure</w:t>
      </w:r>
      <w:r w:rsidR="008A3B24" w:rsidRPr="00EA6450">
        <w:rPr>
          <w:sz w:val="26"/>
          <w:szCs w:val="26"/>
        </w:rPr>
        <w:t xml:space="preserve"> (Williamson, 2009)</w:t>
      </w:r>
      <w:r w:rsidR="00772C21" w:rsidRPr="00EA6450">
        <w:rPr>
          <w:sz w:val="26"/>
          <w:szCs w:val="26"/>
        </w:rPr>
        <w:t>.</w:t>
      </w:r>
      <w:r w:rsidR="00B6046B" w:rsidRPr="00EA6450">
        <w:rPr>
          <w:sz w:val="26"/>
          <w:szCs w:val="26"/>
        </w:rPr>
        <w:t xml:space="preserve"> </w:t>
      </w:r>
      <w:r w:rsidR="009074BF" w:rsidRPr="00EA6450">
        <w:rPr>
          <w:i/>
          <w:sz w:val="26"/>
          <w:szCs w:val="26"/>
        </w:rPr>
        <w:t>Labor market flexibility</w:t>
      </w:r>
      <w:r w:rsidR="009074BF" w:rsidRPr="00EA6450">
        <w:rPr>
          <w:sz w:val="26"/>
          <w:szCs w:val="26"/>
        </w:rPr>
        <w:t xml:space="preserve"> is a measure of how much latitude companies have in a particular country’s labor market. </w:t>
      </w:r>
      <w:r w:rsidR="00B6046B" w:rsidRPr="00EA6450">
        <w:rPr>
          <w:sz w:val="26"/>
          <w:szCs w:val="26"/>
        </w:rPr>
        <w:t xml:space="preserve">This is a formal </w:t>
      </w:r>
      <w:r w:rsidR="00536C31" w:rsidRPr="00EA6450">
        <w:rPr>
          <w:sz w:val="26"/>
          <w:szCs w:val="26"/>
        </w:rPr>
        <w:t>institutional</w:t>
      </w:r>
      <w:r w:rsidR="00B6046B" w:rsidRPr="00EA6450">
        <w:rPr>
          <w:sz w:val="26"/>
          <w:szCs w:val="26"/>
        </w:rPr>
        <w:t xml:space="preserve"> </w:t>
      </w:r>
      <w:r w:rsidR="00536C31" w:rsidRPr="00EA6450">
        <w:rPr>
          <w:sz w:val="26"/>
          <w:szCs w:val="26"/>
        </w:rPr>
        <w:t>pressure because it is codified in law.</w:t>
      </w:r>
      <w:r w:rsidR="009074BF" w:rsidRPr="00EA6450">
        <w:rPr>
          <w:sz w:val="26"/>
          <w:szCs w:val="26"/>
        </w:rPr>
        <w:t xml:space="preserve"> </w:t>
      </w:r>
      <w:r w:rsidR="00D778D2" w:rsidRPr="00EA6450">
        <w:rPr>
          <w:i/>
          <w:sz w:val="26"/>
          <w:szCs w:val="26"/>
        </w:rPr>
        <w:t>Labor market efficiency</w:t>
      </w:r>
      <w:r w:rsidR="00D778D2" w:rsidRPr="00EA6450">
        <w:rPr>
          <w:sz w:val="26"/>
          <w:szCs w:val="26"/>
        </w:rPr>
        <w:t xml:space="preserve"> </w:t>
      </w:r>
      <w:r w:rsidR="009074BF" w:rsidRPr="00EA6450">
        <w:rPr>
          <w:sz w:val="26"/>
          <w:szCs w:val="26"/>
        </w:rPr>
        <w:t>is a measure of the extent to which firms within a country provide employees with merit-based incentives or r</w:t>
      </w:r>
      <w:r w:rsidR="009556DF">
        <w:rPr>
          <w:sz w:val="26"/>
          <w:szCs w:val="26"/>
        </w:rPr>
        <w:t xml:space="preserve">ewards for their productivity. </w:t>
      </w:r>
      <w:r w:rsidR="00536C31" w:rsidRPr="00EA6450">
        <w:rPr>
          <w:sz w:val="26"/>
          <w:szCs w:val="26"/>
        </w:rPr>
        <w:t xml:space="preserve">It is reflective of the informal institutional environment since it </w:t>
      </w:r>
      <w:r w:rsidR="00D67276" w:rsidRPr="00EA6450">
        <w:rPr>
          <w:sz w:val="26"/>
          <w:szCs w:val="26"/>
        </w:rPr>
        <w:t xml:space="preserve">measures </w:t>
      </w:r>
      <w:r w:rsidR="00536C31" w:rsidRPr="00EA6450">
        <w:rPr>
          <w:sz w:val="26"/>
          <w:szCs w:val="26"/>
        </w:rPr>
        <w:t>the degree to which firms in a country undertake</w:t>
      </w:r>
      <w:r w:rsidR="00DA05D2" w:rsidRPr="00EA6450">
        <w:rPr>
          <w:sz w:val="26"/>
          <w:szCs w:val="26"/>
        </w:rPr>
        <w:t>, and are expected to undertake,</w:t>
      </w:r>
      <w:r w:rsidR="00536C31" w:rsidRPr="00EA6450">
        <w:rPr>
          <w:sz w:val="26"/>
          <w:szCs w:val="26"/>
        </w:rPr>
        <w:t xml:space="preserve"> efforts to promote meritocracy by providing employees with strong incentives or rewards for their productivity. </w:t>
      </w:r>
      <w:r w:rsidR="006256E0" w:rsidRPr="00EA6450">
        <w:rPr>
          <w:sz w:val="26"/>
          <w:szCs w:val="26"/>
        </w:rPr>
        <w:t>Examining the effects of both as moderating variables in a single study is an effective and recommended practice (c.f., Bauer</w:t>
      </w:r>
      <w:r w:rsidR="003C42BB" w:rsidRPr="00EA6450">
        <w:rPr>
          <w:sz w:val="26"/>
          <w:szCs w:val="26"/>
        </w:rPr>
        <w:t xml:space="preserve"> et al.</w:t>
      </w:r>
      <w:r w:rsidR="006256E0" w:rsidRPr="00EA6450">
        <w:rPr>
          <w:sz w:val="26"/>
          <w:szCs w:val="26"/>
        </w:rPr>
        <w:t xml:space="preserve">, 2018). </w:t>
      </w:r>
      <w:r w:rsidR="009074BF" w:rsidRPr="00EA6450">
        <w:rPr>
          <w:sz w:val="26"/>
          <w:szCs w:val="26"/>
        </w:rPr>
        <w:t>Both concepts are explained in greater detail below.</w:t>
      </w:r>
    </w:p>
    <w:p w14:paraId="0D80AEDD" w14:textId="77777777" w:rsidR="00EA6450" w:rsidRDefault="00EA6450" w:rsidP="00752EF1">
      <w:pPr>
        <w:spacing w:line="360" w:lineRule="exact"/>
        <w:ind w:firstLineChars="200" w:firstLine="520"/>
        <w:jc w:val="both"/>
        <w:rPr>
          <w:i/>
          <w:sz w:val="26"/>
          <w:szCs w:val="26"/>
        </w:rPr>
      </w:pPr>
    </w:p>
    <w:p w14:paraId="1CC0FC73" w14:textId="77777777" w:rsidR="00E354B7" w:rsidRPr="004D5715" w:rsidRDefault="009074BF" w:rsidP="00752EF1">
      <w:pPr>
        <w:pStyle w:val="2"/>
        <w:spacing w:before="0" w:after="0" w:line="360" w:lineRule="exact"/>
        <w:jc w:val="both"/>
        <w:rPr>
          <w:b/>
          <w:bCs/>
          <w:i w:val="0"/>
          <w:iCs/>
          <w:sz w:val="26"/>
          <w:szCs w:val="26"/>
        </w:rPr>
      </w:pPr>
      <w:r w:rsidRPr="004D5715">
        <w:rPr>
          <w:b/>
          <w:bCs/>
          <w:i w:val="0"/>
          <w:iCs/>
          <w:sz w:val="26"/>
          <w:szCs w:val="26"/>
        </w:rPr>
        <w:t xml:space="preserve">Labor </w:t>
      </w:r>
      <w:r w:rsidR="00D67276" w:rsidRPr="004D5715">
        <w:rPr>
          <w:b/>
          <w:bCs/>
          <w:i w:val="0"/>
          <w:iCs/>
          <w:sz w:val="26"/>
          <w:szCs w:val="26"/>
        </w:rPr>
        <w:t>market flexibility</w:t>
      </w:r>
    </w:p>
    <w:p w14:paraId="32A1890B" w14:textId="5C69B08D" w:rsidR="00C060B5" w:rsidRPr="00EA6450" w:rsidRDefault="009074BF" w:rsidP="00752EF1">
      <w:pPr>
        <w:spacing w:line="360" w:lineRule="exact"/>
        <w:ind w:firstLineChars="200" w:firstLine="520"/>
        <w:jc w:val="both"/>
        <w:rPr>
          <w:sz w:val="26"/>
          <w:szCs w:val="26"/>
        </w:rPr>
      </w:pPr>
      <w:r w:rsidRPr="00EA6450">
        <w:rPr>
          <w:sz w:val="26"/>
          <w:szCs w:val="26"/>
        </w:rPr>
        <w:t xml:space="preserve">The term “labor market flexibility” is linked to labor market regulations and </w:t>
      </w:r>
      <w:r w:rsidR="00D67276" w:rsidRPr="00EA6450">
        <w:rPr>
          <w:sz w:val="26"/>
          <w:szCs w:val="26"/>
        </w:rPr>
        <w:t>formal</w:t>
      </w:r>
      <w:r w:rsidRPr="00EA6450">
        <w:rPr>
          <w:sz w:val="26"/>
          <w:szCs w:val="26"/>
        </w:rPr>
        <w:t xml:space="preserve"> institutional arrangements that, by a complex web of incentives and disincentives, govern relationships between employees and firms (</w:t>
      </w:r>
      <w:r w:rsidR="00E0092C" w:rsidRPr="00EA6450">
        <w:rPr>
          <w:sz w:val="26"/>
          <w:szCs w:val="26"/>
        </w:rPr>
        <w:t xml:space="preserve">Bauer et al., 2018; </w:t>
      </w:r>
      <w:r w:rsidR="003615FD" w:rsidRPr="00EA6450">
        <w:rPr>
          <w:sz w:val="26"/>
          <w:szCs w:val="26"/>
        </w:rPr>
        <w:t>Sondermann, 2018</w:t>
      </w:r>
      <w:r w:rsidRPr="00EA6450">
        <w:rPr>
          <w:sz w:val="26"/>
          <w:szCs w:val="26"/>
        </w:rPr>
        <w:t xml:space="preserve">). These rules and regulations govern, for example, unfair dismissals, compulsory severance packages, restrictions on corporate downsizing, minimum notice periods, and terms of work (e.g., the number of working hours). Countries with a high level of labor market flexibility have fewer labor regulations, and thus give firms more freedom in hiring and firing practices, wage determination, and establishment of work hours. Tax structures in these countries </w:t>
      </w:r>
      <w:r w:rsidR="00494CCB" w:rsidRPr="00EA6450">
        <w:rPr>
          <w:sz w:val="26"/>
          <w:szCs w:val="26"/>
        </w:rPr>
        <w:t>do not</w:t>
      </w:r>
      <w:r w:rsidRPr="00EA6450">
        <w:rPr>
          <w:sz w:val="26"/>
          <w:szCs w:val="26"/>
        </w:rPr>
        <w:t xml:space="preserve"> reduce incentives to work</w:t>
      </w:r>
      <w:r w:rsidR="00F06F33" w:rsidRPr="00EA6450">
        <w:rPr>
          <w:sz w:val="26"/>
          <w:szCs w:val="26"/>
        </w:rPr>
        <w:t>, giving employees a stronger financial incentive to stay on the job</w:t>
      </w:r>
      <w:r w:rsidRPr="00EA6450">
        <w:rPr>
          <w:sz w:val="26"/>
          <w:szCs w:val="26"/>
        </w:rPr>
        <w:t xml:space="preserve">. On the other hand, a labor market with low flexibility has strong regulations regarding hiring and firing, making it expensive to fire people, a strong degree of labor coordination in the bargaining process, and a taxation system that reduces </w:t>
      </w:r>
      <w:r w:rsidRPr="00EA6450">
        <w:rPr>
          <w:sz w:val="26"/>
          <w:szCs w:val="26"/>
        </w:rPr>
        <w:lastRenderedPageBreak/>
        <w:t>incentives to work. Companies in labor markets with high flexibility can choose to use HPWP, or not.</w:t>
      </w:r>
      <w:r w:rsidR="005F6125">
        <w:rPr>
          <w:sz w:val="26"/>
          <w:szCs w:val="26"/>
        </w:rPr>
        <w:t xml:space="preserve"> </w:t>
      </w:r>
      <w:r w:rsidRPr="00EA6450">
        <w:rPr>
          <w:sz w:val="26"/>
          <w:szCs w:val="26"/>
        </w:rPr>
        <w:t xml:space="preserve">Should they choose to use HPWP, they have considerable freedom as to exactly how. Companies in labor markets with low flexibility may be </w:t>
      </w:r>
      <w:r w:rsidR="00494CCB" w:rsidRPr="00EA6450">
        <w:rPr>
          <w:sz w:val="26"/>
          <w:szCs w:val="26"/>
        </w:rPr>
        <w:t>required</w:t>
      </w:r>
      <w:r w:rsidRPr="00EA6450">
        <w:rPr>
          <w:sz w:val="26"/>
          <w:szCs w:val="26"/>
        </w:rPr>
        <w:t xml:space="preserve"> to use </w:t>
      </w:r>
      <w:r w:rsidR="00494CCB" w:rsidRPr="00EA6450">
        <w:rPr>
          <w:sz w:val="26"/>
          <w:szCs w:val="26"/>
        </w:rPr>
        <w:t>specific</w:t>
      </w:r>
      <w:r w:rsidRPr="00EA6450">
        <w:rPr>
          <w:sz w:val="26"/>
          <w:szCs w:val="26"/>
        </w:rPr>
        <w:t xml:space="preserve"> HPWP, with little latitude as to specifics.</w:t>
      </w:r>
      <w:r w:rsidR="00F06F33" w:rsidRPr="00EA6450">
        <w:rPr>
          <w:sz w:val="26"/>
          <w:szCs w:val="26"/>
        </w:rPr>
        <w:t xml:space="preserve"> It seems reasonable to expect that, in general, greater latitude to choose their own course </w:t>
      </w:r>
      <w:r w:rsidR="00494CCB" w:rsidRPr="00EA6450">
        <w:rPr>
          <w:sz w:val="26"/>
          <w:szCs w:val="26"/>
        </w:rPr>
        <w:t>will result in lower costs and higher financial performance</w:t>
      </w:r>
      <w:r w:rsidR="00141679" w:rsidRPr="00EA6450">
        <w:rPr>
          <w:sz w:val="26"/>
          <w:szCs w:val="26"/>
        </w:rPr>
        <w:t>, and that this greater freedom might apply in the specific context of labor markets</w:t>
      </w:r>
      <w:r w:rsidR="00F06F33" w:rsidRPr="00EA6450">
        <w:rPr>
          <w:sz w:val="26"/>
          <w:szCs w:val="26"/>
        </w:rPr>
        <w:t>.</w:t>
      </w:r>
    </w:p>
    <w:p w14:paraId="7A13267C" w14:textId="4E38F09A" w:rsidR="00C060B5" w:rsidRPr="00EA6450" w:rsidRDefault="009074BF" w:rsidP="00752EF1">
      <w:pPr>
        <w:spacing w:line="360" w:lineRule="exact"/>
        <w:ind w:firstLineChars="200" w:firstLine="520"/>
        <w:jc w:val="both"/>
        <w:rPr>
          <w:sz w:val="26"/>
          <w:szCs w:val="26"/>
        </w:rPr>
      </w:pPr>
      <w:r w:rsidRPr="00EA6450">
        <w:rPr>
          <w:sz w:val="26"/>
          <w:szCs w:val="26"/>
        </w:rPr>
        <w:t>In countries with more flexible labor markets, firms can more easily reallocate their labor than can firms in countries with more rigid labor markets</w:t>
      </w:r>
      <w:r w:rsidR="00C70130" w:rsidRPr="00EA6450">
        <w:rPr>
          <w:sz w:val="26"/>
          <w:szCs w:val="26"/>
        </w:rPr>
        <w:t xml:space="preserve"> (</w:t>
      </w:r>
      <w:r w:rsidR="00E0092C" w:rsidRPr="00EA6450">
        <w:rPr>
          <w:sz w:val="26"/>
          <w:szCs w:val="26"/>
        </w:rPr>
        <w:t xml:space="preserve">Bauer et al., 2018; </w:t>
      </w:r>
      <w:r w:rsidR="00C70130" w:rsidRPr="00EA6450">
        <w:rPr>
          <w:sz w:val="26"/>
          <w:szCs w:val="26"/>
        </w:rPr>
        <w:t>Chacar et al., 201</w:t>
      </w:r>
      <w:r w:rsidR="00927A81" w:rsidRPr="00EA6450">
        <w:rPr>
          <w:sz w:val="26"/>
          <w:szCs w:val="26"/>
        </w:rPr>
        <w:t>0</w:t>
      </w:r>
      <w:r w:rsidR="00A56DC7" w:rsidRPr="00EA6450">
        <w:rPr>
          <w:sz w:val="26"/>
          <w:szCs w:val="26"/>
        </w:rPr>
        <w:t>)</w:t>
      </w:r>
      <w:r w:rsidRPr="00EA6450">
        <w:rPr>
          <w:sz w:val="26"/>
          <w:szCs w:val="26"/>
        </w:rPr>
        <w:t>. In nations with low flexibility, companies are monitored more closely to ensure they do the right thing, which often involves a comprehensive set of labor market regulations that are typically put in place to protect the labor force from arbitrary, unfair or discriminatory actions on the part of employers</w:t>
      </w:r>
      <w:r w:rsidR="003615FD" w:rsidRPr="00EA6450">
        <w:rPr>
          <w:sz w:val="26"/>
          <w:szCs w:val="26"/>
        </w:rPr>
        <w:t xml:space="preserve"> (Bauer et al., 2018; Sondermann, 2018)</w:t>
      </w:r>
      <w:r w:rsidRPr="00EA6450">
        <w:rPr>
          <w:sz w:val="26"/>
          <w:szCs w:val="26"/>
        </w:rPr>
        <w:t>. But</w:t>
      </w:r>
      <w:r w:rsidR="000C3343" w:rsidRPr="00EA6450">
        <w:rPr>
          <w:sz w:val="26"/>
          <w:szCs w:val="26"/>
        </w:rPr>
        <w:t>,</w:t>
      </w:r>
      <w:r w:rsidRPr="00EA6450">
        <w:rPr>
          <w:sz w:val="26"/>
          <w:szCs w:val="26"/>
        </w:rPr>
        <w:t xml:space="preserve"> being monitored and controlled </w:t>
      </w:r>
      <w:r w:rsidR="0055796B">
        <w:rPr>
          <w:sz w:val="26"/>
          <w:szCs w:val="26"/>
        </w:rPr>
        <w:t>means</w:t>
      </w:r>
      <w:r w:rsidRPr="00EA6450">
        <w:rPr>
          <w:sz w:val="26"/>
          <w:szCs w:val="26"/>
        </w:rPr>
        <w:t xml:space="preserve"> that the company may not be able to pursue its goals as efficiently</w:t>
      </w:r>
      <w:r w:rsidR="003615FD" w:rsidRPr="00EA6450">
        <w:rPr>
          <w:sz w:val="26"/>
          <w:szCs w:val="26"/>
        </w:rPr>
        <w:t xml:space="preserve"> or as desired</w:t>
      </w:r>
      <w:r w:rsidRPr="00EA6450">
        <w:rPr>
          <w:sz w:val="26"/>
          <w:szCs w:val="26"/>
        </w:rPr>
        <w:t xml:space="preserve"> (</w:t>
      </w:r>
      <w:r w:rsidR="003615FD" w:rsidRPr="00EA6450">
        <w:rPr>
          <w:sz w:val="26"/>
          <w:szCs w:val="26"/>
        </w:rPr>
        <w:t>Graafland, 2019; Sondermann, 2018</w:t>
      </w:r>
      <w:r w:rsidR="00877B6C" w:rsidRPr="00EA6450">
        <w:rPr>
          <w:sz w:val="26"/>
          <w:szCs w:val="26"/>
        </w:rPr>
        <w:t>; Weng &amp; Peng, 2018</w:t>
      </w:r>
      <w:r w:rsidRPr="00EA6450">
        <w:rPr>
          <w:sz w:val="26"/>
          <w:szCs w:val="26"/>
        </w:rPr>
        <w:t>). Hence, being monitored and controlled may raise the effective cost of employing workers or of adjusting levels of employment over time (</w:t>
      </w:r>
      <w:r w:rsidR="003615FD" w:rsidRPr="00EA6450">
        <w:rPr>
          <w:sz w:val="26"/>
          <w:szCs w:val="26"/>
        </w:rPr>
        <w:t>Sondermann, 2018</w:t>
      </w:r>
      <w:r w:rsidR="00877B6C" w:rsidRPr="00EA6450">
        <w:rPr>
          <w:sz w:val="26"/>
          <w:szCs w:val="26"/>
        </w:rPr>
        <w:t>; Weng &amp; Peng, 2018</w:t>
      </w:r>
      <w:r w:rsidRPr="00EA6450">
        <w:rPr>
          <w:sz w:val="26"/>
          <w:szCs w:val="26"/>
        </w:rPr>
        <w:t xml:space="preserve">). </w:t>
      </w:r>
      <w:r w:rsidR="004F072D" w:rsidRPr="00EA6450">
        <w:rPr>
          <w:sz w:val="26"/>
          <w:szCs w:val="26"/>
        </w:rPr>
        <w:t>This is consistent with the general concept of free-market enterprise that companies will perform best when unconstrained.</w:t>
      </w:r>
      <w:r w:rsidR="005F6125">
        <w:rPr>
          <w:sz w:val="26"/>
          <w:szCs w:val="26"/>
        </w:rPr>
        <w:t xml:space="preserve"> </w:t>
      </w:r>
      <w:r w:rsidRPr="00EA6450">
        <w:rPr>
          <w:sz w:val="26"/>
          <w:szCs w:val="26"/>
        </w:rPr>
        <w:t>Thus:</w:t>
      </w:r>
    </w:p>
    <w:p w14:paraId="4BB86BCA" w14:textId="77777777" w:rsidR="00C060B5" w:rsidRPr="00EA6450" w:rsidRDefault="00C060B5" w:rsidP="00752EF1">
      <w:pPr>
        <w:spacing w:line="360" w:lineRule="exact"/>
        <w:ind w:firstLineChars="200" w:firstLine="520"/>
        <w:jc w:val="both"/>
        <w:rPr>
          <w:sz w:val="26"/>
          <w:szCs w:val="26"/>
        </w:rPr>
      </w:pPr>
    </w:p>
    <w:p w14:paraId="7D0C1140" w14:textId="442519DC" w:rsidR="00644F12" w:rsidRPr="00EA6450" w:rsidRDefault="009074BF" w:rsidP="00484AC1">
      <w:pPr>
        <w:pStyle w:val="10"/>
        <w:spacing w:line="360" w:lineRule="exact"/>
        <w:ind w:left="1562" w:hangingChars="600" w:hanging="1562"/>
        <w:jc w:val="both"/>
        <w:rPr>
          <w:i/>
          <w:iCs/>
          <w:sz w:val="26"/>
          <w:szCs w:val="26"/>
        </w:rPr>
      </w:pPr>
      <w:r w:rsidRPr="00484AC1">
        <w:rPr>
          <w:rFonts w:ascii="Times New Roman" w:eastAsia="Times New Roman" w:hAnsi="Times New Roman" w:cs="Times New Roman"/>
          <w:b/>
          <w:i/>
          <w:iCs/>
          <w:sz w:val="26"/>
          <w:szCs w:val="26"/>
        </w:rPr>
        <w:t xml:space="preserve">Hypothesis 2: </w:t>
      </w:r>
      <w:r w:rsidRPr="00484AC1">
        <w:rPr>
          <w:rFonts w:ascii="Times New Roman" w:eastAsia="Times New Roman" w:hAnsi="Times New Roman" w:cs="Times New Roman"/>
          <w:i/>
          <w:iCs/>
          <w:sz w:val="26"/>
          <w:szCs w:val="26"/>
        </w:rPr>
        <w:t>Labor market flexibility is positively associated with firm performance.</w:t>
      </w:r>
    </w:p>
    <w:p w14:paraId="52FEC187" w14:textId="77777777" w:rsidR="00E354B7" w:rsidRPr="00EA6450" w:rsidRDefault="00E354B7" w:rsidP="00752EF1">
      <w:pPr>
        <w:spacing w:line="360" w:lineRule="exact"/>
        <w:ind w:firstLineChars="200" w:firstLine="520"/>
        <w:jc w:val="both"/>
        <w:rPr>
          <w:sz w:val="26"/>
          <w:szCs w:val="26"/>
        </w:rPr>
      </w:pPr>
    </w:p>
    <w:p w14:paraId="12534CDC" w14:textId="77777777" w:rsidR="00E354B7" w:rsidRPr="004D5715" w:rsidRDefault="009074BF" w:rsidP="00752EF1">
      <w:pPr>
        <w:pStyle w:val="2"/>
        <w:spacing w:before="0" w:after="0" w:line="360" w:lineRule="exact"/>
        <w:jc w:val="both"/>
        <w:rPr>
          <w:b/>
          <w:bCs/>
          <w:i w:val="0"/>
          <w:iCs/>
          <w:sz w:val="26"/>
          <w:szCs w:val="26"/>
        </w:rPr>
      </w:pPr>
      <w:r w:rsidRPr="004D5715">
        <w:rPr>
          <w:b/>
          <w:bCs/>
          <w:i w:val="0"/>
          <w:iCs/>
          <w:sz w:val="26"/>
          <w:szCs w:val="26"/>
        </w:rPr>
        <w:t xml:space="preserve">Labor </w:t>
      </w:r>
      <w:r w:rsidR="00133CDB" w:rsidRPr="004D5715">
        <w:rPr>
          <w:b/>
          <w:bCs/>
          <w:i w:val="0"/>
          <w:iCs/>
          <w:sz w:val="26"/>
          <w:szCs w:val="26"/>
        </w:rPr>
        <w:t xml:space="preserve">market flexibility </w:t>
      </w:r>
      <w:r w:rsidR="005E54AD" w:rsidRPr="004D5715">
        <w:rPr>
          <w:b/>
          <w:bCs/>
          <w:i w:val="0"/>
          <w:iCs/>
          <w:sz w:val="26"/>
          <w:szCs w:val="26"/>
        </w:rPr>
        <w:t xml:space="preserve">and </w:t>
      </w:r>
      <w:r w:rsidRPr="004D5715">
        <w:rPr>
          <w:b/>
          <w:bCs/>
          <w:i w:val="0"/>
          <w:iCs/>
          <w:sz w:val="26"/>
          <w:szCs w:val="26"/>
        </w:rPr>
        <w:t xml:space="preserve">HPWP </w:t>
      </w:r>
    </w:p>
    <w:p w14:paraId="20B84E38" w14:textId="0070013D" w:rsidR="006009C4" w:rsidRPr="00EA6450" w:rsidRDefault="009074BF" w:rsidP="00752EF1">
      <w:pPr>
        <w:spacing w:line="360" w:lineRule="exact"/>
        <w:ind w:firstLineChars="200" w:firstLine="520"/>
        <w:jc w:val="both"/>
        <w:rPr>
          <w:sz w:val="26"/>
          <w:szCs w:val="26"/>
        </w:rPr>
      </w:pPr>
      <w:r w:rsidRPr="00EA6450">
        <w:rPr>
          <w:sz w:val="26"/>
          <w:szCs w:val="26"/>
        </w:rPr>
        <w:t xml:space="preserve">There are a number of reasons why one might expect that labor market flexibility would enhance the positive impact of HPWP on performance. </w:t>
      </w:r>
      <w:r w:rsidR="00D476DC" w:rsidRPr="00EA6450">
        <w:rPr>
          <w:sz w:val="26"/>
          <w:szCs w:val="26"/>
        </w:rPr>
        <w:t>S</w:t>
      </w:r>
      <w:r w:rsidR="00A56DC7" w:rsidRPr="00EA6450">
        <w:rPr>
          <w:sz w:val="26"/>
          <w:szCs w:val="26"/>
        </w:rPr>
        <w:t>ome have argued that when operating in contexts with institutional voids</w:t>
      </w:r>
      <w:r w:rsidR="00332F16" w:rsidRPr="00EA6450">
        <w:rPr>
          <w:sz w:val="26"/>
          <w:szCs w:val="26"/>
        </w:rPr>
        <w:t xml:space="preserve"> </w:t>
      </w:r>
      <w:r w:rsidR="00A56DC7" w:rsidRPr="00EA6450">
        <w:rPr>
          <w:sz w:val="26"/>
          <w:szCs w:val="26"/>
        </w:rPr>
        <w:t>corporate social responsibilit</w:t>
      </w:r>
      <w:r w:rsidR="00D476DC" w:rsidRPr="00EA6450">
        <w:rPr>
          <w:sz w:val="26"/>
          <w:szCs w:val="26"/>
        </w:rPr>
        <w:t>y (CSR) (including</w:t>
      </w:r>
      <w:r w:rsidR="00A56DC7" w:rsidRPr="00EA6450">
        <w:rPr>
          <w:sz w:val="26"/>
          <w:szCs w:val="26"/>
        </w:rPr>
        <w:t xml:space="preserve"> labor practices</w:t>
      </w:r>
      <w:r w:rsidR="00D476DC" w:rsidRPr="00EA6450">
        <w:rPr>
          <w:sz w:val="26"/>
          <w:szCs w:val="26"/>
        </w:rPr>
        <w:t>)</w:t>
      </w:r>
      <w:r w:rsidR="00A56DC7" w:rsidRPr="00EA6450">
        <w:rPr>
          <w:sz w:val="26"/>
          <w:szCs w:val="26"/>
        </w:rPr>
        <w:t xml:space="preserve">, </w:t>
      </w:r>
      <w:r w:rsidR="009205DD" w:rsidRPr="00EA6450">
        <w:rPr>
          <w:sz w:val="26"/>
          <w:szCs w:val="26"/>
        </w:rPr>
        <w:t>can help performance by reducing transaction costs and improving access to resources (</w:t>
      </w:r>
      <w:r w:rsidR="009A0756" w:rsidRPr="00EA6450">
        <w:rPr>
          <w:sz w:val="26"/>
          <w:szCs w:val="26"/>
        </w:rPr>
        <w:t>Ghoul et al., 2017).</w:t>
      </w:r>
      <w:r w:rsidR="00D51249" w:rsidRPr="00EA6450">
        <w:rPr>
          <w:sz w:val="26"/>
          <w:szCs w:val="26"/>
        </w:rPr>
        <w:t xml:space="preserve"> </w:t>
      </w:r>
      <w:r w:rsidR="00D67276" w:rsidRPr="00EA6450">
        <w:rPr>
          <w:sz w:val="26"/>
          <w:szCs w:val="26"/>
        </w:rPr>
        <w:t xml:space="preserve">Others </w:t>
      </w:r>
      <w:r w:rsidR="00D51249" w:rsidRPr="00EA6450">
        <w:rPr>
          <w:sz w:val="26"/>
          <w:szCs w:val="26"/>
        </w:rPr>
        <w:t xml:space="preserve">have also </w:t>
      </w:r>
      <w:r w:rsidR="00D67276" w:rsidRPr="00EA6450">
        <w:rPr>
          <w:sz w:val="26"/>
          <w:szCs w:val="26"/>
        </w:rPr>
        <w:t xml:space="preserve">suggested </w:t>
      </w:r>
      <w:r w:rsidR="00D51249" w:rsidRPr="00EA6450">
        <w:rPr>
          <w:sz w:val="26"/>
          <w:szCs w:val="26"/>
        </w:rPr>
        <w:t>that in context</w:t>
      </w:r>
      <w:r w:rsidR="00D67276" w:rsidRPr="00EA6450">
        <w:rPr>
          <w:sz w:val="26"/>
          <w:szCs w:val="26"/>
        </w:rPr>
        <w:t>s</w:t>
      </w:r>
      <w:r w:rsidR="00D51249" w:rsidRPr="00EA6450">
        <w:rPr>
          <w:sz w:val="26"/>
          <w:szCs w:val="26"/>
        </w:rPr>
        <w:t xml:space="preserve"> with weak formal institutions </w:t>
      </w:r>
      <w:r w:rsidR="00317639" w:rsidRPr="00EA6450">
        <w:rPr>
          <w:sz w:val="26"/>
          <w:szCs w:val="26"/>
        </w:rPr>
        <w:t>the economic benefits of corporate reputation</w:t>
      </w:r>
      <w:r w:rsidR="00D51249" w:rsidRPr="00EA6450">
        <w:rPr>
          <w:sz w:val="26"/>
          <w:szCs w:val="26"/>
        </w:rPr>
        <w:t xml:space="preserve"> might also be higher</w:t>
      </w:r>
      <w:r w:rsidR="00BA7F78" w:rsidRPr="00EA6450">
        <w:rPr>
          <w:sz w:val="26"/>
          <w:szCs w:val="26"/>
        </w:rPr>
        <w:t xml:space="preserve">; </w:t>
      </w:r>
      <w:r w:rsidR="00960E27" w:rsidRPr="00EA6450">
        <w:rPr>
          <w:sz w:val="26"/>
          <w:szCs w:val="26"/>
        </w:rPr>
        <w:t>this argument</w:t>
      </w:r>
      <w:r w:rsidR="00BA7F78" w:rsidRPr="00EA6450">
        <w:rPr>
          <w:sz w:val="26"/>
          <w:szCs w:val="26"/>
        </w:rPr>
        <w:t xml:space="preserve">, however, </w:t>
      </w:r>
      <w:r w:rsidR="00960E27" w:rsidRPr="00EA6450">
        <w:rPr>
          <w:sz w:val="26"/>
          <w:szCs w:val="26"/>
        </w:rPr>
        <w:t>has recently been challenged theoretically</w:t>
      </w:r>
      <w:r w:rsidR="00BA7F78" w:rsidRPr="00EA6450">
        <w:rPr>
          <w:sz w:val="26"/>
          <w:szCs w:val="26"/>
        </w:rPr>
        <w:t xml:space="preserve"> </w:t>
      </w:r>
      <w:r w:rsidR="00960E27" w:rsidRPr="00EA6450">
        <w:rPr>
          <w:sz w:val="26"/>
          <w:szCs w:val="26"/>
        </w:rPr>
        <w:t>and</w:t>
      </w:r>
      <w:r w:rsidR="00BA7F78" w:rsidRPr="00EA6450">
        <w:rPr>
          <w:sz w:val="26"/>
          <w:szCs w:val="26"/>
        </w:rPr>
        <w:t xml:space="preserve"> the</w:t>
      </w:r>
      <w:r w:rsidR="00D67276" w:rsidRPr="00EA6450">
        <w:rPr>
          <w:sz w:val="26"/>
          <w:szCs w:val="26"/>
        </w:rPr>
        <w:t xml:space="preserve"> </w:t>
      </w:r>
      <w:r w:rsidR="00D51249" w:rsidRPr="00EA6450">
        <w:rPr>
          <w:sz w:val="26"/>
          <w:szCs w:val="26"/>
        </w:rPr>
        <w:t xml:space="preserve">empirical support varies across different aspects of </w:t>
      </w:r>
      <w:r w:rsidR="002E199D" w:rsidRPr="00EA6450">
        <w:rPr>
          <w:sz w:val="26"/>
          <w:szCs w:val="26"/>
        </w:rPr>
        <w:t xml:space="preserve">these </w:t>
      </w:r>
      <w:r w:rsidR="00D51249" w:rsidRPr="00EA6450">
        <w:rPr>
          <w:sz w:val="26"/>
          <w:szCs w:val="26"/>
        </w:rPr>
        <w:t>formal institutional pressures (</w:t>
      </w:r>
      <w:r w:rsidR="00960E27" w:rsidRPr="00EA6450">
        <w:rPr>
          <w:sz w:val="26"/>
          <w:szCs w:val="26"/>
        </w:rPr>
        <w:t>Luxmore</w:t>
      </w:r>
      <w:r w:rsidR="003C42BB" w:rsidRPr="00EA6450">
        <w:rPr>
          <w:sz w:val="26"/>
          <w:szCs w:val="26"/>
        </w:rPr>
        <w:t xml:space="preserve"> et al.</w:t>
      </w:r>
      <w:r w:rsidR="00960E27" w:rsidRPr="00EA6450">
        <w:rPr>
          <w:sz w:val="26"/>
          <w:szCs w:val="26"/>
        </w:rPr>
        <w:t xml:space="preserve">, 2018; </w:t>
      </w:r>
      <w:r w:rsidR="00D51249" w:rsidRPr="00EA6450">
        <w:rPr>
          <w:color w:val="333333"/>
          <w:spacing w:val="4"/>
          <w:sz w:val="26"/>
          <w:szCs w:val="26"/>
          <w:shd w:val="clear" w:color="auto" w:fill="FCFCFC"/>
        </w:rPr>
        <w:t>Swoboda</w:t>
      </w:r>
      <w:r w:rsidR="003C42BB" w:rsidRPr="00EA6450">
        <w:rPr>
          <w:color w:val="333333"/>
          <w:spacing w:val="4"/>
          <w:sz w:val="26"/>
          <w:szCs w:val="26"/>
          <w:shd w:val="clear" w:color="auto" w:fill="FCFCFC"/>
        </w:rPr>
        <w:t xml:space="preserve"> et al.</w:t>
      </w:r>
      <w:r w:rsidR="00D51249" w:rsidRPr="00EA6450">
        <w:rPr>
          <w:color w:val="333333"/>
          <w:spacing w:val="4"/>
          <w:sz w:val="26"/>
          <w:szCs w:val="26"/>
          <w:shd w:val="clear" w:color="auto" w:fill="FCFCFC"/>
        </w:rPr>
        <w:t>, 2016).</w:t>
      </w:r>
    </w:p>
    <w:p w14:paraId="599D79F5" w14:textId="0BCEEAFB" w:rsidR="00151253" w:rsidRPr="00EA6450" w:rsidRDefault="009074BF" w:rsidP="00752EF1">
      <w:pPr>
        <w:spacing w:line="360" w:lineRule="exact"/>
        <w:ind w:firstLineChars="200" w:firstLine="520"/>
        <w:jc w:val="both"/>
        <w:rPr>
          <w:sz w:val="26"/>
          <w:szCs w:val="26"/>
        </w:rPr>
      </w:pPr>
      <w:r w:rsidRPr="00EA6450">
        <w:rPr>
          <w:sz w:val="26"/>
          <w:szCs w:val="26"/>
        </w:rPr>
        <w:t>O</w:t>
      </w:r>
      <w:r w:rsidR="002E199D" w:rsidRPr="00EA6450">
        <w:rPr>
          <w:sz w:val="26"/>
          <w:szCs w:val="26"/>
        </w:rPr>
        <w:t xml:space="preserve">f critical importance in the area of </w:t>
      </w:r>
      <w:r w:rsidR="00993A5C" w:rsidRPr="00EA6450">
        <w:rPr>
          <w:sz w:val="26"/>
          <w:szCs w:val="26"/>
        </w:rPr>
        <w:t>HPWP</w:t>
      </w:r>
      <w:r w:rsidR="00332F16" w:rsidRPr="00EA6450">
        <w:rPr>
          <w:sz w:val="26"/>
          <w:szCs w:val="26"/>
        </w:rPr>
        <w:t xml:space="preserve"> in particular</w:t>
      </w:r>
      <w:r w:rsidR="002E199D" w:rsidRPr="00EA6450">
        <w:rPr>
          <w:sz w:val="26"/>
          <w:szCs w:val="26"/>
        </w:rPr>
        <w:t>, however, is that high-performance practices fit together as a bundle or system (Asmawi &amp; Chew, 2016; Combs</w:t>
      </w:r>
      <w:r w:rsidR="003C42BB" w:rsidRPr="00EA6450">
        <w:rPr>
          <w:sz w:val="26"/>
          <w:szCs w:val="26"/>
        </w:rPr>
        <w:t xml:space="preserve"> et al.</w:t>
      </w:r>
      <w:r w:rsidR="002E199D" w:rsidRPr="00EA6450">
        <w:rPr>
          <w:sz w:val="26"/>
          <w:szCs w:val="26"/>
        </w:rPr>
        <w:t>, 2006) and, in combination, have the effect that they do.</w:t>
      </w:r>
      <w:r w:rsidR="005F6125">
        <w:rPr>
          <w:sz w:val="26"/>
          <w:szCs w:val="26"/>
        </w:rPr>
        <w:t xml:space="preserve"> </w:t>
      </w:r>
      <w:r w:rsidR="00292582" w:rsidRPr="00EA6450">
        <w:rPr>
          <w:sz w:val="26"/>
          <w:szCs w:val="26"/>
        </w:rPr>
        <w:t xml:space="preserve">Past research has shown that institutional context can </w:t>
      </w:r>
      <w:r w:rsidR="00D476DC" w:rsidRPr="00EA6450">
        <w:rPr>
          <w:sz w:val="26"/>
          <w:szCs w:val="26"/>
        </w:rPr>
        <w:t>affect</w:t>
      </w:r>
      <w:r w:rsidR="00292582" w:rsidRPr="00EA6450">
        <w:rPr>
          <w:sz w:val="26"/>
          <w:szCs w:val="26"/>
        </w:rPr>
        <w:t xml:space="preserve"> the variety of </w:t>
      </w:r>
      <w:r w:rsidR="00993A5C" w:rsidRPr="00EA6450">
        <w:rPr>
          <w:sz w:val="26"/>
          <w:szCs w:val="26"/>
        </w:rPr>
        <w:t>HPWP</w:t>
      </w:r>
      <w:r w:rsidR="00292582" w:rsidRPr="00EA6450">
        <w:rPr>
          <w:sz w:val="26"/>
          <w:szCs w:val="26"/>
        </w:rPr>
        <w:t xml:space="preserve"> adopted by firms in a particular </w:t>
      </w:r>
      <w:r w:rsidR="00292582" w:rsidRPr="00EA6450">
        <w:rPr>
          <w:sz w:val="26"/>
          <w:szCs w:val="26"/>
        </w:rPr>
        <w:lastRenderedPageBreak/>
        <w:t>country. Gilman &amp; Raby (</w:t>
      </w:r>
      <w:r w:rsidR="005826B4" w:rsidRPr="00EA6450">
        <w:rPr>
          <w:sz w:val="26"/>
          <w:szCs w:val="26"/>
        </w:rPr>
        <w:t>2013</w:t>
      </w:r>
      <w:r w:rsidR="00292582" w:rsidRPr="00EA6450">
        <w:rPr>
          <w:sz w:val="26"/>
          <w:szCs w:val="26"/>
        </w:rPr>
        <w:t xml:space="preserve">), for example, found that </w:t>
      </w:r>
      <w:r w:rsidR="00D453AE" w:rsidRPr="00EA6450">
        <w:rPr>
          <w:sz w:val="26"/>
          <w:szCs w:val="26"/>
        </w:rPr>
        <w:t>a wider variety of HPWP bundles were adopted in small and medium-sized companies in the United Kingdom (UK), as compared to France, and point in part to the lower levels of labor regulation in the UK to explain this difference.</w:t>
      </w:r>
      <w:r w:rsidR="005F6125">
        <w:rPr>
          <w:sz w:val="26"/>
          <w:szCs w:val="26"/>
        </w:rPr>
        <w:t xml:space="preserve"> </w:t>
      </w:r>
      <w:r w:rsidR="002E199D" w:rsidRPr="00EA6450">
        <w:rPr>
          <w:sz w:val="26"/>
          <w:szCs w:val="26"/>
        </w:rPr>
        <w:t>In areas of low labor market flexibility, it is likely that formal institutional pressures help increase the likelihood that firms adopt “bundles” of work systems, while low levels of formal institutional pressure cause firms to adopt a more ad</w:t>
      </w:r>
      <w:r w:rsidR="00DD40F1" w:rsidRPr="00EA6450">
        <w:rPr>
          <w:sz w:val="26"/>
          <w:szCs w:val="26"/>
        </w:rPr>
        <w:t>-</w:t>
      </w:r>
      <w:r w:rsidR="002E199D" w:rsidRPr="00EA6450">
        <w:rPr>
          <w:sz w:val="26"/>
          <w:szCs w:val="26"/>
        </w:rPr>
        <w:t xml:space="preserve">hoc adoption </w:t>
      </w:r>
      <w:r w:rsidR="00993A5C" w:rsidRPr="00EA6450">
        <w:rPr>
          <w:sz w:val="26"/>
          <w:szCs w:val="26"/>
        </w:rPr>
        <w:t xml:space="preserve">of </w:t>
      </w:r>
      <w:r w:rsidR="002E199D" w:rsidRPr="00EA6450">
        <w:rPr>
          <w:sz w:val="26"/>
          <w:szCs w:val="26"/>
        </w:rPr>
        <w:t>HPWP.</w:t>
      </w:r>
      <w:r w:rsidR="005F6125">
        <w:rPr>
          <w:sz w:val="26"/>
          <w:szCs w:val="26"/>
        </w:rPr>
        <w:t xml:space="preserve"> </w:t>
      </w:r>
      <w:r w:rsidR="004813D8" w:rsidRPr="00EA6450">
        <w:rPr>
          <w:sz w:val="26"/>
          <w:szCs w:val="26"/>
        </w:rPr>
        <w:t xml:space="preserve">Additionally, with a more comprehensive set of HPWP mandated by law, it may free up managers' finite attention so that they can focus on other issues where their decisions have more potential benefits and less potential risk for their firms (c.f., Simon, 2013; Williamson, 2009). </w:t>
      </w:r>
      <w:r w:rsidR="00C060B5" w:rsidRPr="00EA6450">
        <w:rPr>
          <w:sz w:val="26"/>
          <w:szCs w:val="26"/>
        </w:rPr>
        <w:t>Thus</w:t>
      </w:r>
      <w:r w:rsidR="002E199D" w:rsidRPr="00EA6450">
        <w:rPr>
          <w:sz w:val="26"/>
          <w:szCs w:val="26"/>
        </w:rPr>
        <w:t>,</w:t>
      </w:r>
      <w:r w:rsidR="00C060B5" w:rsidRPr="00EA6450">
        <w:rPr>
          <w:sz w:val="26"/>
          <w:szCs w:val="26"/>
        </w:rPr>
        <w:t xml:space="preserve"> we can expect HPWP to have a stronger positive impact on firm performance when labor market flexibility is low.</w:t>
      </w:r>
    </w:p>
    <w:p w14:paraId="095C8E04" w14:textId="77777777" w:rsidR="003C42BB" w:rsidRPr="00EA6450" w:rsidRDefault="003C42BB" w:rsidP="00752EF1">
      <w:pPr>
        <w:spacing w:line="360" w:lineRule="exact"/>
        <w:ind w:firstLineChars="200" w:firstLine="520"/>
        <w:jc w:val="both"/>
        <w:rPr>
          <w:sz w:val="26"/>
          <w:szCs w:val="26"/>
        </w:rPr>
      </w:pPr>
    </w:p>
    <w:p w14:paraId="3EC0D30B" w14:textId="205A8DD2" w:rsidR="00C060B5" w:rsidRPr="00484AC1" w:rsidRDefault="009074BF" w:rsidP="00484AC1">
      <w:pPr>
        <w:pStyle w:val="10"/>
        <w:spacing w:line="360" w:lineRule="exact"/>
        <w:ind w:left="1431" w:hangingChars="550" w:hanging="1431"/>
        <w:jc w:val="both"/>
        <w:rPr>
          <w:rFonts w:ascii="Times New Roman" w:eastAsia="Times New Roman" w:hAnsi="Times New Roman" w:cs="Times New Roman"/>
          <w:i/>
          <w:iCs/>
          <w:sz w:val="26"/>
          <w:szCs w:val="26"/>
        </w:rPr>
      </w:pPr>
      <w:r w:rsidRPr="00484AC1">
        <w:rPr>
          <w:rFonts w:ascii="Times New Roman" w:eastAsia="Times New Roman" w:hAnsi="Times New Roman" w:cs="Times New Roman"/>
          <w:b/>
          <w:i/>
          <w:iCs/>
          <w:sz w:val="26"/>
          <w:szCs w:val="26"/>
        </w:rPr>
        <w:t xml:space="preserve">Hypothesis 3: </w:t>
      </w:r>
      <w:r w:rsidRPr="00484AC1">
        <w:rPr>
          <w:rFonts w:ascii="Times New Roman" w:eastAsia="Times New Roman" w:hAnsi="Times New Roman" w:cs="Times New Roman"/>
          <w:i/>
          <w:iCs/>
          <w:sz w:val="26"/>
          <w:szCs w:val="26"/>
        </w:rPr>
        <w:t>HPWP is more positively associated with firm performance in settings of low labor market flexibility than in settings of high labor market flexibility.</w:t>
      </w:r>
    </w:p>
    <w:p w14:paraId="2612BEEC" w14:textId="77777777" w:rsidR="00C060B5" w:rsidRPr="00EA6450" w:rsidRDefault="009074BF" w:rsidP="00752EF1">
      <w:pPr>
        <w:spacing w:line="360" w:lineRule="exact"/>
        <w:ind w:firstLineChars="200" w:firstLine="520"/>
        <w:jc w:val="both"/>
        <w:rPr>
          <w:sz w:val="26"/>
          <w:szCs w:val="26"/>
        </w:rPr>
      </w:pPr>
      <w:r w:rsidRPr="00EA6450">
        <w:rPr>
          <w:sz w:val="26"/>
          <w:szCs w:val="26"/>
        </w:rPr>
        <w:t xml:space="preserve"> </w:t>
      </w:r>
    </w:p>
    <w:p w14:paraId="38332F43" w14:textId="77777777" w:rsidR="00E354B7" w:rsidRPr="004D5715" w:rsidRDefault="009074BF" w:rsidP="00752EF1">
      <w:pPr>
        <w:pStyle w:val="2"/>
        <w:spacing w:before="0" w:after="0" w:line="360" w:lineRule="exact"/>
        <w:jc w:val="both"/>
        <w:rPr>
          <w:b/>
          <w:bCs/>
          <w:i w:val="0"/>
          <w:iCs/>
          <w:sz w:val="26"/>
          <w:szCs w:val="26"/>
        </w:rPr>
      </w:pPr>
      <w:r w:rsidRPr="004D5715">
        <w:rPr>
          <w:b/>
          <w:bCs/>
          <w:i w:val="0"/>
          <w:iCs/>
          <w:sz w:val="26"/>
          <w:szCs w:val="26"/>
        </w:rPr>
        <w:t>Labor market efficienc</w:t>
      </w:r>
      <w:r w:rsidR="00EA6450" w:rsidRPr="004D5715">
        <w:rPr>
          <w:b/>
          <w:bCs/>
          <w:i w:val="0"/>
          <w:iCs/>
          <w:sz w:val="26"/>
          <w:szCs w:val="26"/>
        </w:rPr>
        <w:t>y</w:t>
      </w:r>
      <w:r w:rsidR="005C5222" w:rsidRPr="004D5715">
        <w:rPr>
          <w:b/>
          <w:bCs/>
          <w:i w:val="0"/>
          <w:iCs/>
          <w:sz w:val="26"/>
          <w:szCs w:val="26"/>
        </w:rPr>
        <w:t xml:space="preserve"> </w:t>
      </w:r>
    </w:p>
    <w:p w14:paraId="1EA8FAC7" w14:textId="7363BAA0" w:rsidR="00C060B5" w:rsidRPr="00EA6450" w:rsidRDefault="009074BF" w:rsidP="00752EF1">
      <w:pPr>
        <w:spacing w:line="360" w:lineRule="exact"/>
        <w:ind w:firstLineChars="200" w:firstLine="520"/>
        <w:jc w:val="both"/>
        <w:rPr>
          <w:i/>
          <w:sz w:val="26"/>
          <w:szCs w:val="26"/>
        </w:rPr>
      </w:pPr>
      <w:r w:rsidRPr="00EA6450">
        <w:rPr>
          <w:sz w:val="26"/>
          <w:szCs w:val="26"/>
        </w:rPr>
        <w:t>Arguably, firms have a high degree of latitude to implement various bundles</w:t>
      </w:r>
      <w:r w:rsidR="0012537C" w:rsidRPr="00EA6450">
        <w:rPr>
          <w:sz w:val="26"/>
          <w:szCs w:val="26"/>
        </w:rPr>
        <w:t xml:space="preserve"> </w:t>
      </w:r>
      <w:r w:rsidRPr="00EA6450">
        <w:rPr>
          <w:sz w:val="26"/>
          <w:szCs w:val="26"/>
        </w:rPr>
        <w:t xml:space="preserve">of HPWPs relating to selection, development, involvement, rewards and relations </w:t>
      </w:r>
      <w:r w:rsidR="00D476DC" w:rsidRPr="00EA6450">
        <w:rPr>
          <w:sz w:val="26"/>
          <w:szCs w:val="26"/>
        </w:rPr>
        <w:t>that</w:t>
      </w:r>
      <w:r w:rsidRPr="00EA6450">
        <w:rPr>
          <w:sz w:val="26"/>
          <w:szCs w:val="26"/>
        </w:rPr>
        <w:t xml:space="preserve"> may impact employee motivation and performance without in any way falling foul of what is formally institutionally mandated. </w:t>
      </w:r>
      <w:r w:rsidR="00D67276" w:rsidRPr="00EA6450">
        <w:rPr>
          <w:sz w:val="26"/>
          <w:szCs w:val="26"/>
        </w:rPr>
        <w:t>This does not mean that they are free of institutional pressure</w:t>
      </w:r>
      <w:r w:rsidR="00AA0E71" w:rsidRPr="00EA6450">
        <w:rPr>
          <w:sz w:val="26"/>
          <w:szCs w:val="26"/>
        </w:rPr>
        <w:t xml:space="preserve"> in these matters</w:t>
      </w:r>
      <w:r w:rsidR="00D67276" w:rsidRPr="00EA6450">
        <w:rPr>
          <w:sz w:val="26"/>
          <w:szCs w:val="26"/>
        </w:rPr>
        <w:t xml:space="preserve">. </w:t>
      </w:r>
      <w:r w:rsidR="009D00FE" w:rsidRPr="00EA6450">
        <w:rPr>
          <w:sz w:val="26"/>
          <w:szCs w:val="26"/>
        </w:rPr>
        <w:t>Customer groups or competitors, for example, may be able to push a company to adopt more socially responsible practices (Helmig</w:t>
      </w:r>
      <w:r w:rsidR="003C42BB" w:rsidRPr="00EA6450">
        <w:rPr>
          <w:sz w:val="26"/>
          <w:szCs w:val="26"/>
        </w:rPr>
        <w:t xml:space="preserve"> et al.</w:t>
      </w:r>
      <w:r w:rsidR="00484AC1">
        <w:rPr>
          <w:sz w:val="26"/>
          <w:szCs w:val="26"/>
        </w:rPr>
        <w:t xml:space="preserve">, 2016). </w:t>
      </w:r>
      <w:r w:rsidRPr="00EA6450">
        <w:rPr>
          <w:sz w:val="26"/>
          <w:szCs w:val="26"/>
        </w:rPr>
        <w:t xml:space="preserve">While formal laws, rules, and regulations are covered by labor market flexibility, </w:t>
      </w:r>
      <w:r w:rsidR="00D778D2" w:rsidRPr="00EA6450">
        <w:rPr>
          <w:sz w:val="26"/>
          <w:szCs w:val="26"/>
        </w:rPr>
        <w:t>labor market efficiency</w:t>
      </w:r>
      <w:r w:rsidRPr="00EA6450">
        <w:rPr>
          <w:sz w:val="26"/>
          <w:szCs w:val="26"/>
        </w:rPr>
        <w:t xml:space="preserve"> </w:t>
      </w:r>
      <w:r w:rsidR="00D67276" w:rsidRPr="00EA6450">
        <w:rPr>
          <w:sz w:val="26"/>
          <w:szCs w:val="26"/>
        </w:rPr>
        <w:t xml:space="preserve">captures </w:t>
      </w:r>
      <w:r w:rsidRPr="00EA6450">
        <w:rPr>
          <w:sz w:val="26"/>
          <w:szCs w:val="26"/>
        </w:rPr>
        <w:t>the informal institutional pressures that may further limit the HRM options for a firm</w:t>
      </w:r>
      <w:r w:rsidR="00151253" w:rsidRPr="00EA6450">
        <w:rPr>
          <w:sz w:val="26"/>
          <w:szCs w:val="26"/>
        </w:rPr>
        <w:t xml:space="preserve"> (Bauer et al., 2018; Mohaghar et al., 2018)</w:t>
      </w:r>
      <w:r w:rsidRPr="00EA6450">
        <w:rPr>
          <w:sz w:val="26"/>
          <w:szCs w:val="26"/>
        </w:rPr>
        <w:t xml:space="preserve">. </w:t>
      </w:r>
      <w:r w:rsidR="00D778D2" w:rsidRPr="00EA6450">
        <w:rPr>
          <w:sz w:val="26"/>
          <w:szCs w:val="26"/>
        </w:rPr>
        <w:t>Labor market efficiency</w:t>
      </w:r>
      <w:r w:rsidRPr="00EA6450">
        <w:rPr>
          <w:sz w:val="26"/>
          <w:szCs w:val="26"/>
        </w:rPr>
        <w:t xml:space="preserve"> describes the degree to which firms in a country undertake</w:t>
      </w:r>
      <w:r w:rsidR="00D67276" w:rsidRPr="00EA6450">
        <w:rPr>
          <w:sz w:val="26"/>
          <w:szCs w:val="26"/>
        </w:rPr>
        <w:t xml:space="preserve"> – and are expected to undertake </w:t>
      </w:r>
      <w:r w:rsidR="005C5222" w:rsidRPr="00EA6450">
        <w:rPr>
          <w:sz w:val="26"/>
          <w:szCs w:val="26"/>
        </w:rPr>
        <w:t>- efforts</w:t>
      </w:r>
      <w:r w:rsidRPr="00EA6450">
        <w:rPr>
          <w:sz w:val="26"/>
          <w:szCs w:val="26"/>
        </w:rPr>
        <w:t xml:space="preserve"> to promote meritocracy by providing employees with strong incentives or rewards for their productivity.</w:t>
      </w:r>
      <w:r w:rsidR="00536C31" w:rsidRPr="00EA6450">
        <w:rPr>
          <w:sz w:val="26"/>
          <w:szCs w:val="26"/>
        </w:rPr>
        <w:t xml:space="preserve"> </w:t>
      </w:r>
      <w:r w:rsidRPr="00EA6450">
        <w:rPr>
          <w:sz w:val="26"/>
          <w:szCs w:val="26"/>
        </w:rPr>
        <w:t xml:space="preserve">Countries with highly </w:t>
      </w:r>
      <w:r w:rsidR="00D778D2" w:rsidRPr="00EA6450">
        <w:rPr>
          <w:sz w:val="26"/>
          <w:szCs w:val="26"/>
        </w:rPr>
        <w:t>labor market efficiency</w:t>
      </w:r>
      <w:r w:rsidRPr="00EA6450">
        <w:rPr>
          <w:sz w:val="26"/>
          <w:szCs w:val="26"/>
        </w:rPr>
        <w:t xml:space="preserve"> provide an </w:t>
      </w:r>
      <w:r w:rsidR="00D67276" w:rsidRPr="00EA6450">
        <w:rPr>
          <w:sz w:val="26"/>
          <w:szCs w:val="26"/>
        </w:rPr>
        <w:t xml:space="preserve">informal institutional context in which </w:t>
      </w:r>
      <w:r w:rsidRPr="00EA6450">
        <w:rPr>
          <w:sz w:val="26"/>
          <w:szCs w:val="26"/>
        </w:rPr>
        <w:t>pay is strongly related to employees´ productivity, where merit and qualification play an important role in the assignment of professional management positions, and where a higher proportion of women participate in the labor force</w:t>
      </w:r>
      <w:r w:rsidR="00151253" w:rsidRPr="00EA6450">
        <w:rPr>
          <w:sz w:val="26"/>
          <w:szCs w:val="26"/>
        </w:rPr>
        <w:t xml:space="preserve"> (Bauer et al., 2018; Mohaghar et al., 2018)</w:t>
      </w:r>
      <w:r w:rsidRPr="00EA6450">
        <w:rPr>
          <w:sz w:val="26"/>
          <w:szCs w:val="26"/>
        </w:rPr>
        <w:t xml:space="preserve">. These countries provide many opportunities for talented people. In contrast, countries with a low level of </w:t>
      </w:r>
      <w:r w:rsidR="00D778D2" w:rsidRPr="00EA6450">
        <w:rPr>
          <w:sz w:val="26"/>
          <w:szCs w:val="26"/>
        </w:rPr>
        <w:t>labor market efficiency</w:t>
      </w:r>
      <w:r w:rsidRPr="00EA6450">
        <w:rPr>
          <w:sz w:val="26"/>
          <w:szCs w:val="26"/>
        </w:rPr>
        <w:t xml:space="preserve"> do not have strong incentive-based compensation systems and have a relatively smaller percentage of women in the labor force. Professional management positions are often assigned</w:t>
      </w:r>
      <w:r w:rsidR="004813D8" w:rsidRPr="00EA6450">
        <w:rPr>
          <w:sz w:val="26"/>
          <w:szCs w:val="26"/>
        </w:rPr>
        <w:t xml:space="preserve"> </w:t>
      </w:r>
      <w:r w:rsidR="00D476DC" w:rsidRPr="00EA6450">
        <w:rPr>
          <w:sz w:val="26"/>
          <w:szCs w:val="26"/>
        </w:rPr>
        <w:t xml:space="preserve">based on </w:t>
      </w:r>
      <w:r w:rsidRPr="00EA6450">
        <w:rPr>
          <w:sz w:val="26"/>
          <w:szCs w:val="26"/>
        </w:rPr>
        <w:t>family ties instead of qualification</w:t>
      </w:r>
      <w:r w:rsidR="00484AC1">
        <w:rPr>
          <w:sz w:val="26"/>
          <w:szCs w:val="26"/>
        </w:rPr>
        <w:t>s</w:t>
      </w:r>
      <w:r w:rsidRPr="00EA6450">
        <w:rPr>
          <w:sz w:val="26"/>
          <w:szCs w:val="26"/>
        </w:rPr>
        <w:t xml:space="preserve"> and merit. These countries </w:t>
      </w:r>
      <w:r w:rsidRPr="00EA6450">
        <w:rPr>
          <w:sz w:val="26"/>
          <w:szCs w:val="26"/>
        </w:rPr>
        <w:lastRenderedPageBreak/>
        <w:t>may suffer a brain drain of talented people to other countries and a higher proportion of incompetence among those who remain. Thus</w:t>
      </w:r>
      <w:r w:rsidR="00D476DC" w:rsidRPr="00EA6450">
        <w:rPr>
          <w:sz w:val="26"/>
          <w:szCs w:val="26"/>
        </w:rPr>
        <w:t>,</w:t>
      </w:r>
      <w:r w:rsidRPr="00EA6450">
        <w:rPr>
          <w:sz w:val="26"/>
          <w:szCs w:val="26"/>
        </w:rPr>
        <w:t xml:space="preserve"> an institutional setting that allows the </w:t>
      </w:r>
      <w:r w:rsidR="00D778D2" w:rsidRPr="00EA6450">
        <w:rPr>
          <w:sz w:val="26"/>
          <w:szCs w:val="26"/>
        </w:rPr>
        <w:t>labor market efficiency</w:t>
      </w:r>
      <w:r w:rsidRPr="00EA6450">
        <w:rPr>
          <w:sz w:val="26"/>
          <w:szCs w:val="26"/>
        </w:rPr>
        <w:t xml:space="preserve"> should bolster financial performance. We predict:</w:t>
      </w:r>
    </w:p>
    <w:p w14:paraId="53A96B2D" w14:textId="77777777" w:rsidR="00C060B5" w:rsidRPr="00484AC1" w:rsidRDefault="009074BF" w:rsidP="00484AC1">
      <w:pPr>
        <w:pStyle w:val="10"/>
        <w:spacing w:line="360" w:lineRule="exact"/>
        <w:ind w:left="1431" w:hangingChars="550" w:hanging="1431"/>
        <w:jc w:val="both"/>
        <w:rPr>
          <w:rFonts w:ascii="Times New Roman" w:eastAsia="Times New Roman" w:hAnsi="Times New Roman" w:cs="Times New Roman"/>
          <w:b/>
          <w:i/>
          <w:iCs/>
          <w:sz w:val="26"/>
          <w:szCs w:val="26"/>
        </w:rPr>
      </w:pPr>
      <w:r w:rsidRPr="00484AC1">
        <w:rPr>
          <w:rFonts w:ascii="Times New Roman" w:eastAsia="Times New Roman" w:hAnsi="Times New Roman" w:cs="Times New Roman"/>
          <w:b/>
          <w:i/>
          <w:iCs/>
          <w:sz w:val="26"/>
          <w:szCs w:val="26"/>
        </w:rPr>
        <w:t xml:space="preserve"> </w:t>
      </w:r>
    </w:p>
    <w:p w14:paraId="258170BF" w14:textId="37861D28" w:rsidR="00E354B7" w:rsidRPr="00484AC1" w:rsidRDefault="009074BF" w:rsidP="00484AC1">
      <w:pPr>
        <w:pStyle w:val="10"/>
        <w:spacing w:line="360" w:lineRule="exact"/>
        <w:ind w:left="1431" w:hangingChars="550" w:hanging="1431"/>
        <w:jc w:val="both"/>
        <w:rPr>
          <w:i/>
          <w:iCs/>
          <w:sz w:val="26"/>
          <w:szCs w:val="26"/>
        </w:rPr>
      </w:pPr>
      <w:r w:rsidRPr="00484AC1">
        <w:rPr>
          <w:rFonts w:ascii="Times New Roman" w:eastAsia="Times New Roman" w:hAnsi="Times New Roman" w:cs="Times New Roman"/>
          <w:b/>
          <w:i/>
          <w:iCs/>
          <w:sz w:val="26"/>
          <w:szCs w:val="26"/>
        </w:rPr>
        <w:t xml:space="preserve">Hypothesis 4: </w:t>
      </w:r>
      <w:r w:rsidR="00D778D2" w:rsidRPr="00484AC1">
        <w:rPr>
          <w:rFonts w:ascii="Times New Roman" w:eastAsia="Times New Roman" w:hAnsi="Times New Roman" w:cs="Times New Roman"/>
          <w:i/>
          <w:iCs/>
          <w:sz w:val="26"/>
          <w:szCs w:val="26"/>
        </w:rPr>
        <w:t>Labor market efficiency</w:t>
      </w:r>
      <w:r w:rsidRPr="00484AC1">
        <w:rPr>
          <w:rFonts w:ascii="Times New Roman" w:eastAsia="Times New Roman" w:hAnsi="Times New Roman" w:cs="Times New Roman"/>
          <w:i/>
          <w:iCs/>
          <w:sz w:val="26"/>
          <w:szCs w:val="26"/>
        </w:rPr>
        <w:t xml:space="preserve"> is positively associated with firm</w:t>
      </w:r>
      <w:r w:rsidRPr="00484AC1">
        <w:rPr>
          <w:rFonts w:ascii="Times New Roman" w:hAnsi="Times New Roman" w:cs="Times New Roman"/>
          <w:i/>
          <w:iCs/>
          <w:sz w:val="26"/>
          <w:szCs w:val="26"/>
        </w:rPr>
        <w:t xml:space="preserve"> performance.</w:t>
      </w:r>
    </w:p>
    <w:p w14:paraId="71CF093B" w14:textId="77777777" w:rsidR="00C060B5" w:rsidRPr="00EA6450" w:rsidRDefault="009074BF" w:rsidP="00752EF1">
      <w:pPr>
        <w:spacing w:line="360" w:lineRule="exact"/>
        <w:ind w:firstLineChars="200" w:firstLine="520"/>
        <w:jc w:val="both"/>
        <w:rPr>
          <w:sz w:val="26"/>
          <w:szCs w:val="26"/>
        </w:rPr>
      </w:pPr>
      <w:r w:rsidRPr="00EA6450">
        <w:rPr>
          <w:sz w:val="26"/>
          <w:szCs w:val="26"/>
        </w:rPr>
        <w:t xml:space="preserve"> </w:t>
      </w:r>
    </w:p>
    <w:p w14:paraId="2EA1FEF7" w14:textId="77777777" w:rsidR="00E354B7" w:rsidRPr="004D5715" w:rsidRDefault="009074BF" w:rsidP="00484AC1">
      <w:pPr>
        <w:pStyle w:val="2"/>
        <w:spacing w:before="0" w:after="0" w:line="360" w:lineRule="exact"/>
        <w:jc w:val="both"/>
        <w:rPr>
          <w:b/>
          <w:bCs/>
          <w:i w:val="0"/>
          <w:iCs/>
          <w:sz w:val="26"/>
          <w:szCs w:val="26"/>
        </w:rPr>
      </w:pPr>
      <w:r w:rsidRPr="004D5715">
        <w:rPr>
          <w:b/>
          <w:bCs/>
          <w:i w:val="0"/>
          <w:iCs/>
          <w:sz w:val="26"/>
          <w:szCs w:val="26"/>
        </w:rPr>
        <w:t>Labor market efficiency</w:t>
      </w:r>
      <w:r w:rsidR="005C5222" w:rsidRPr="004D5715">
        <w:rPr>
          <w:b/>
          <w:bCs/>
          <w:i w:val="0"/>
          <w:iCs/>
          <w:sz w:val="26"/>
          <w:szCs w:val="26"/>
        </w:rPr>
        <w:t xml:space="preserve"> </w:t>
      </w:r>
      <w:r w:rsidR="005A7E76" w:rsidRPr="004D5715">
        <w:rPr>
          <w:b/>
          <w:bCs/>
          <w:i w:val="0"/>
          <w:iCs/>
          <w:sz w:val="26"/>
          <w:szCs w:val="26"/>
        </w:rPr>
        <w:t>a</w:t>
      </w:r>
      <w:r w:rsidR="005C5222" w:rsidRPr="004D5715">
        <w:rPr>
          <w:b/>
          <w:bCs/>
          <w:i w:val="0"/>
          <w:iCs/>
          <w:sz w:val="26"/>
          <w:szCs w:val="26"/>
        </w:rPr>
        <w:t xml:space="preserve">nd </w:t>
      </w:r>
      <w:r w:rsidR="00D67276" w:rsidRPr="004D5715">
        <w:rPr>
          <w:b/>
          <w:bCs/>
          <w:i w:val="0"/>
          <w:iCs/>
          <w:sz w:val="26"/>
          <w:szCs w:val="26"/>
        </w:rPr>
        <w:t>HPWP</w:t>
      </w:r>
      <w:r w:rsidR="005C5222" w:rsidRPr="004D5715">
        <w:rPr>
          <w:b/>
          <w:bCs/>
          <w:i w:val="0"/>
          <w:iCs/>
          <w:sz w:val="26"/>
          <w:szCs w:val="26"/>
        </w:rPr>
        <w:t xml:space="preserve"> </w:t>
      </w:r>
    </w:p>
    <w:p w14:paraId="17BF1E2D" w14:textId="5BC15ABC" w:rsidR="00C060B5" w:rsidRPr="00EA6450" w:rsidRDefault="009074BF" w:rsidP="00752EF1">
      <w:pPr>
        <w:spacing w:line="360" w:lineRule="exact"/>
        <w:ind w:firstLineChars="200" w:firstLine="520"/>
        <w:jc w:val="both"/>
        <w:rPr>
          <w:sz w:val="26"/>
          <w:szCs w:val="26"/>
        </w:rPr>
      </w:pPr>
      <w:r w:rsidRPr="00EA6450">
        <w:rPr>
          <w:sz w:val="26"/>
          <w:szCs w:val="26"/>
        </w:rPr>
        <w:t>HPWP includes a variety of practices, such as training and development, focusing on employee health safety and employment quality, taking advantage of opportunities for increased diversity, and protecting human rights</w:t>
      </w:r>
      <w:r w:rsidR="00151253" w:rsidRPr="00EA6450">
        <w:rPr>
          <w:sz w:val="26"/>
          <w:szCs w:val="26"/>
        </w:rPr>
        <w:t xml:space="preserve"> (</w:t>
      </w:r>
      <w:r w:rsidR="00484AC1" w:rsidRPr="00EA6450">
        <w:rPr>
          <w:sz w:val="26"/>
          <w:szCs w:val="26"/>
        </w:rPr>
        <w:t>Sun et al., 2007;</w:t>
      </w:r>
      <w:r w:rsidR="00484AC1">
        <w:rPr>
          <w:sz w:val="26"/>
          <w:szCs w:val="26"/>
        </w:rPr>
        <w:t xml:space="preserve"> </w:t>
      </w:r>
      <w:r w:rsidR="00151253" w:rsidRPr="00EA6450">
        <w:rPr>
          <w:sz w:val="26"/>
          <w:szCs w:val="26"/>
        </w:rPr>
        <w:t>Schneider et al., 2018)</w:t>
      </w:r>
      <w:r w:rsidRPr="00EA6450">
        <w:rPr>
          <w:sz w:val="26"/>
          <w:szCs w:val="26"/>
        </w:rPr>
        <w:t>.</w:t>
      </w:r>
      <w:r w:rsidR="005F6125">
        <w:rPr>
          <w:sz w:val="26"/>
          <w:szCs w:val="26"/>
        </w:rPr>
        <w:t xml:space="preserve"> </w:t>
      </w:r>
      <w:r w:rsidRPr="00EA6450">
        <w:rPr>
          <w:sz w:val="26"/>
          <w:szCs w:val="26"/>
        </w:rPr>
        <w:t xml:space="preserve">These practices overlap with, and would be enhanced by </w:t>
      </w:r>
      <w:r w:rsidR="00D67276" w:rsidRPr="00EA6450">
        <w:rPr>
          <w:sz w:val="26"/>
          <w:szCs w:val="26"/>
        </w:rPr>
        <w:t xml:space="preserve">the informal institutional pressures included in </w:t>
      </w:r>
      <w:r w:rsidR="00D778D2" w:rsidRPr="00EA6450">
        <w:rPr>
          <w:sz w:val="26"/>
          <w:szCs w:val="26"/>
        </w:rPr>
        <w:t>labor market efficiency</w:t>
      </w:r>
      <w:r w:rsidR="00D67276" w:rsidRPr="00EA6450">
        <w:rPr>
          <w:sz w:val="26"/>
          <w:szCs w:val="26"/>
        </w:rPr>
        <w:t xml:space="preserve">, such as </w:t>
      </w:r>
      <w:r w:rsidRPr="00EA6450">
        <w:rPr>
          <w:sz w:val="26"/>
          <w:szCs w:val="26"/>
        </w:rPr>
        <w:t>policies and practices that allow for recruiting the best available talent without sexist, racist, or other bias, and then training and encouraging those employees to be capable and motivated to do the best job possible.</w:t>
      </w:r>
      <w:r w:rsidR="005F6125">
        <w:rPr>
          <w:sz w:val="26"/>
          <w:szCs w:val="26"/>
        </w:rPr>
        <w:t xml:space="preserve"> </w:t>
      </w:r>
      <w:r w:rsidR="00EF1D14" w:rsidRPr="00EA6450">
        <w:rPr>
          <w:sz w:val="26"/>
          <w:szCs w:val="26"/>
        </w:rPr>
        <w:t xml:space="preserve">Additionally, </w:t>
      </w:r>
      <w:r w:rsidR="003E56A6" w:rsidRPr="00EA6450">
        <w:rPr>
          <w:sz w:val="26"/>
          <w:szCs w:val="26"/>
        </w:rPr>
        <w:t xml:space="preserve">the </w:t>
      </w:r>
      <w:r w:rsidR="00EF1D14" w:rsidRPr="00EA6450">
        <w:rPr>
          <w:sz w:val="26"/>
          <w:szCs w:val="26"/>
        </w:rPr>
        <w:t>informal institutional context can impact the degree to which corporate s</w:t>
      </w:r>
      <w:r w:rsidR="002E199D" w:rsidRPr="00EA6450">
        <w:rPr>
          <w:sz w:val="26"/>
          <w:szCs w:val="26"/>
        </w:rPr>
        <w:t>ocial responsibility is valued</w:t>
      </w:r>
      <w:r w:rsidR="00927A81" w:rsidRPr="00EA6450">
        <w:rPr>
          <w:sz w:val="26"/>
          <w:szCs w:val="26"/>
        </w:rPr>
        <w:t xml:space="preserve"> (Sondermann, 2018)</w:t>
      </w:r>
      <w:r w:rsidR="002E199D" w:rsidRPr="00EA6450">
        <w:rPr>
          <w:sz w:val="26"/>
          <w:szCs w:val="26"/>
        </w:rPr>
        <w:t xml:space="preserve">. </w:t>
      </w:r>
      <w:r w:rsidR="007208F1">
        <w:rPr>
          <w:sz w:val="26"/>
          <w:szCs w:val="26"/>
        </w:rPr>
        <w:t>It</w:t>
      </w:r>
      <w:r w:rsidR="007208F1" w:rsidRPr="00EA6450">
        <w:rPr>
          <w:sz w:val="26"/>
          <w:szCs w:val="26"/>
        </w:rPr>
        <w:t xml:space="preserve"> is not unreasonable to expect that </w:t>
      </w:r>
      <w:r w:rsidR="007208F1">
        <w:rPr>
          <w:sz w:val="26"/>
          <w:szCs w:val="26"/>
        </w:rPr>
        <w:t>HPWP</w:t>
      </w:r>
      <w:r w:rsidR="007208F1" w:rsidRPr="00EA6450">
        <w:rPr>
          <w:sz w:val="26"/>
          <w:szCs w:val="26"/>
        </w:rPr>
        <w:t xml:space="preserve"> will be rewarded more</w:t>
      </w:r>
      <w:r w:rsidR="007208F1">
        <w:rPr>
          <w:sz w:val="26"/>
          <w:szCs w:val="26"/>
        </w:rPr>
        <w:t xml:space="preserve"> in a culture that values </w:t>
      </w:r>
      <w:r w:rsidR="0014596C" w:rsidRPr="00EA6450">
        <w:rPr>
          <w:sz w:val="26"/>
          <w:szCs w:val="26"/>
        </w:rPr>
        <w:t xml:space="preserve">HPWP </w:t>
      </w:r>
      <w:r w:rsidR="007208F1">
        <w:rPr>
          <w:sz w:val="26"/>
          <w:szCs w:val="26"/>
        </w:rPr>
        <w:t>than in one that does not</w:t>
      </w:r>
      <w:r w:rsidR="0014596C" w:rsidRPr="00EA6450">
        <w:rPr>
          <w:sz w:val="26"/>
          <w:szCs w:val="26"/>
        </w:rPr>
        <w:t>.</w:t>
      </w:r>
      <w:r w:rsidR="005F6125">
        <w:rPr>
          <w:sz w:val="26"/>
          <w:szCs w:val="26"/>
        </w:rPr>
        <w:t xml:space="preserve"> </w:t>
      </w:r>
      <w:r w:rsidRPr="00EA6450">
        <w:rPr>
          <w:sz w:val="26"/>
          <w:szCs w:val="26"/>
        </w:rPr>
        <w:t>Thus</w:t>
      </w:r>
      <w:r w:rsidR="00166357" w:rsidRPr="00EA6450">
        <w:rPr>
          <w:sz w:val="26"/>
          <w:szCs w:val="26"/>
        </w:rPr>
        <w:t>,</w:t>
      </w:r>
      <w:r w:rsidR="00D476DC" w:rsidRPr="00EA6450">
        <w:rPr>
          <w:sz w:val="26"/>
          <w:szCs w:val="26"/>
        </w:rPr>
        <w:t xml:space="preserve"> </w:t>
      </w:r>
      <w:r w:rsidR="00D67276" w:rsidRPr="00EA6450">
        <w:rPr>
          <w:sz w:val="26"/>
          <w:szCs w:val="26"/>
        </w:rPr>
        <w:t>we predict that</w:t>
      </w:r>
      <w:r w:rsidRPr="00EA6450">
        <w:rPr>
          <w:sz w:val="26"/>
          <w:szCs w:val="26"/>
        </w:rPr>
        <w:t xml:space="preserve"> HPWP will be most profitable under conditions of high levels of </w:t>
      </w:r>
      <w:r w:rsidR="00D778D2" w:rsidRPr="00EA6450">
        <w:rPr>
          <w:sz w:val="26"/>
          <w:szCs w:val="26"/>
        </w:rPr>
        <w:t>labor market efficiency</w:t>
      </w:r>
      <w:r w:rsidRPr="00EA6450">
        <w:rPr>
          <w:sz w:val="26"/>
          <w:szCs w:val="26"/>
        </w:rPr>
        <w:t>.</w:t>
      </w:r>
    </w:p>
    <w:p w14:paraId="19F57306" w14:textId="77777777" w:rsidR="00C060B5" w:rsidRPr="00EA6450" w:rsidRDefault="00C060B5" w:rsidP="00752EF1">
      <w:pPr>
        <w:spacing w:line="360" w:lineRule="exact"/>
        <w:ind w:firstLineChars="200" w:firstLine="520"/>
        <w:jc w:val="both"/>
        <w:rPr>
          <w:sz w:val="26"/>
          <w:szCs w:val="26"/>
        </w:rPr>
      </w:pPr>
    </w:p>
    <w:p w14:paraId="784A7C60" w14:textId="5FE210E6" w:rsidR="00C060B5" w:rsidRPr="00484AC1" w:rsidRDefault="009074BF" w:rsidP="00484AC1">
      <w:pPr>
        <w:pStyle w:val="10"/>
        <w:spacing w:line="360" w:lineRule="exact"/>
        <w:ind w:left="1562" w:hangingChars="600" w:hanging="1562"/>
        <w:jc w:val="both"/>
        <w:rPr>
          <w:rFonts w:ascii="Times New Roman" w:eastAsia="Times New Roman" w:hAnsi="Times New Roman" w:cs="Times New Roman"/>
          <w:i/>
          <w:iCs/>
          <w:sz w:val="26"/>
          <w:szCs w:val="26"/>
        </w:rPr>
      </w:pPr>
      <w:r w:rsidRPr="00484AC1">
        <w:rPr>
          <w:rFonts w:ascii="Times New Roman" w:eastAsia="Times New Roman" w:hAnsi="Times New Roman" w:cs="Times New Roman"/>
          <w:b/>
          <w:i/>
          <w:iCs/>
          <w:sz w:val="26"/>
          <w:szCs w:val="26"/>
        </w:rPr>
        <w:t xml:space="preserve">Hypothesis 5: </w:t>
      </w:r>
      <w:r w:rsidRPr="00484AC1">
        <w:rPr>
          <w:rFonts w:ascii="Times New Roman" w:eastAsia="Times New Roman" w:hAnsi="Times New Roman" w:cs="Times New Roman"/>
          <w:i/>
          <w:iCs/>
          <w:sz w:val="26"/>
          <w:szCs w:val="26"/>
        </w:rPr>
        <w:t>HPWP is more positively associated with firm performance in settings of</w:t>
      </w:r>
      <w:r w:rsidR="00484AC1">
        <w:rPr>
          <w:rFonts w:ascii="Times New Roman" w:eastAsia="Times New Roman" w:hAnsi="Times New Roman" w:cs="Times New Roman"/>
          <w:i/>
          <w:iCs/>
          <w:sz w:val="26"/>
          <w:szCs w:val="26"/>
        </w:rPr>
        <w:t xml:space="preserve"> </w:t>
      </w:r>
      <w:r w:rsidRPr="00484AC1">
        <w:rPr>
          <w:rFonts w:ascii="Times New Roman" w:eastAsia="Times New Roman" w:hAnsi="Times New Roman" w:cs="Times New Roman"/>
          <w:i/>
          <w:iCs/>
          <w:sz w:val="26"/>
          <w:szCs w:val="26"/>
        </w:rPr>
        <w:t xml:space="preserve">high levels of </w:t>
      </w:r>
      <w:r w:rsidR="00D778D2" w:rsidRPr="00484AC1">
        <w:rPr>
          <w:rFonts w:ascii="Times New Roman" w:eastAsia="Times New Roman" w:hAnsi="Times New Roman" w:cs="Times New Roman"/>
          <w:i/>
          <w:iCs/>
          <w:sz w:val="26"/>
          <w:szCs w:val="26"/>
        </w:rPr>
        <w:t>labor market efficiency</w:t>
      </w:r>
      <w:r w:rsidRPr="00484AC1">
        <w:rPr>
          <w:rFonts w:ascii="Times New Roman" w:eastAsia="Times New Roman" w:hAnsi="Times New Roman" w:cs="Times New Roman"/>
          <w:i/>
          <w:iCs/>
          <w:sz w:val="26"/>
          <w:szCs w:val="26"/>
        </w:rPr>
        <w:t>.</w:t>
      </w:r>
    </w:p>
    <w:p w14:paraId="5C926EDA" w14:textId="77777777" w:rsidR="00B17DED" w:rsidRPr="00B17DED" w:rsidRDefault="00B17DED" w:rsidP="00752EF1">
      <w:pPr>
        <w:pStyle w:val="10"/>
        <w:spacing w:line="360" w:lineRule="exact"/>
        <w:ind w:firstLineChars="200" w:firstLine="520"/>
        <w:rPr>
          <w:rFonts w:ascii="Times New Roman" w:hAnsi="Times New Roman" w:cs="Times New Roman"/>
          <w:sz w:val="26"/>
          <w:szCs w:val="26"/>
        </w:rPr>
      </w:pPr>
    </w:p>
    <w:p w14:paraId="78B38453" w14:textId="77777777" w:rsidR="00C060B5" w:rsidRPr="004D5715" w:rsidRDefault="009074BF" w:rsidP="00484AC1">
      <w:pPr>
        <w:pStyle w:val="3"/>
        <w:spacing w:before="0" w:after="0" w:line="360" w:lineRule="exact"/>
        <w:jc w:val="center"/>
        <w:rPr>
          <w:b/>
          <w:i w:val="0"/>
          <w:sz w:val="26"/>
          <w:szCs w:val="26"/>
        </w:rPr>
      </w:pPr>
      <w:r w:rsidRPr="004D5715">
        <w:rPr>
          <w:b/>
          <w:i w:val="0"/>
          <w:sz w:val="26"/>
          <w:szCs w:val="26"/>
        </w:rPr>
        <w:t>METHODOLOGY</w:t>
      </w:r>
    </w:p>
    <w:p w14:paraId="19E849E8" w14:textId="77777777" w:rsidR="00E354B7" w:rsidRPr="00EA6450" w:rsidRDefault="009074BF" w:rsidP="00752EF1">
      <w:pPr>
        <w:pStyle w:val="2"/>
        <w:spacing w:before="0" w:after="0" w:line="360" w:lineRule="exact"/>
        <w:rPr>
          <w:b/>
          <w:bCs/>
          <w:i w:val="0"/>
          <w:iCs/>
          <w:sz w:val="26"/>
          <w:szCs w:val="26"/>
        </w:rPr>
      </w:pPr>
      <w:r w:rsidRPr="00EA6450">
        <w:rPr>
          <w:b/>
          <w:bCs/>
          <w:i w:val="0"/>
          <w:iCs/>
          <w:sz w:val="26"/>
          <w:szCs w:val="26"/>
        </w:rPr>
        <w:t xml:space="preserve">Sample Selection and Data Collection </w:t>
      </w:r>
    </w:p>
    <w:p w14:paraId="7F681687" w14:textId="5C659C80" w:rsidR="00ED60CD" w:rsidRDefault="009074BF" w:rsidP="00752EF1">
      <w:pPr>
        <w:spacing w:line="360" w:lineRule="exact"/>
        <w:ind w:firstLineChars="200" w:firstLine="520"/>
        <w:jc w:val="both"/>
        <w:rPr>
          <w:sz w:val="26"/>
          <w:szCs w:val="26"/>
        </w:rPr>
      </w:pPr>
      <w:r w:rsidRPr="00EA6450">
        <w:rPr>
          <w:sz w:val="26"/>
          <w:szCs w:val="26"/>
        </w:rPr>
        <w:t>Our data include all firms for which complete data could be found in the several databases we used, yielding roughly 20,000 firm-year observations across a seven-year period</w:t>
      </w:r>
      <w:r w:rsidR="00BD0B93" w:rsidRPr="00EA6450">
        <w:rPr>
          <w:sz w:val="26"/>
          <w:szCs w:val="26"/>
        </w:rPr>
        <w:t xml:space="preserve"> from 2007 to 2013</w:t>
      </w:r>
      <w:r w:rsidRPr="00EA6450">
        <w:rPr>
          <w:sz w:val="26"/>
          <w:szCs w:val="26"/>
        </w:rPr>
        <w:t>.</w:t>
      </w:r>
      <w:r w:rsidR="005F6125">
        <w:rPr>
          <w:sz w:val="26"/>
          <w:szCs w:val="26"/>
        </w:rPr>
        <w:t xml:space="preserve"> </w:t>
      </w:r>
      <w:r w:rsidR="00912AD3">
        <w:rPr>
          <w:sz w:val="26"/>
          <w:szCs w:val="26"/>
        </w:rPr>
        <w:t xml:space="preserve">As shown in Table </w:t>
      </w:r>
      <w:r w:rsidR="00ED60CD">
        <w:rPr>
          <w:sz w:val="26"/>
          <w:szCs w:val="26"/>
        </w:rPr>
        <w:t>1</w:t>
      </w:r>
      <w:r w:rsidR="00912AD3">
        <w:rPr>
          <w:sz w:val="26"/>
          <w:szCs w:val="26"/>
        </w:rPr>
        <w:t xml:space="preserve">, we used several data sets in this analysis. </w:t>
      </w:r>
      <w:r w:rsidRPr="00EA6450">
        <w:rPr>
          <w:sz w:val="26"/>
          <w:szCs w:val="26"/>
        </w:rPr>
        <w:t xml:space="preserve">Our primary data source is ASSET4 from Thomson Reuters Environmental Social and Governance (ESG) Research Data, which is one of the major ESG rating agencies. </w:t>
      </w:r>
    </w:p>
    <w:p w14:paraId="7E3B23F4" w14:textId="22AC0F51" w:rsidR="00481725" w:rsidRDefault="00481725" w:rsidP="00752EF1">
      <w:pPr>
        <w:spacing w:line="360" w:lineRule="exact"/>
        <w:ind w:firstLineChars="200" w:firstLine="520"/>
        <w:jc w:val="both"/>
        <w:rPr>
          <w:sz w:val="26"/>
          <w:szCs w:val="26"/>
        </w:rPr>
      </w:pPr>
    </w:p>
    <w:p w14:paraId="48FEC3E1" w14:textId="77777777" w:rsidR="00F5202D" w:rsidRDefault="00F5202D">
      <w:pPr>
        <w:rPr>
          <w:rFonts w:eastAsiaTheme="minorEastAsia"/>
          <w:b/>
          <w:bCs/>
          <w:color w:val="000000"/>
          <w:sz w:val="26"/>
          <w:szCs w:val="26"/>
        </w:rPr>
      </w:pPr>
      <w:r>
        <w:rPr>
          <w:rFonts w:eastAsiaTheme="minorEastAsia"/>
          <w:b/>
          <w:bCs/>
          <w:color w:val="000000"/>
          <w:sz w:val="26"/>
          <w:szCs w:val="26"/>
        </w:rPr>
        <w:br w:type="page"/>
      </w:r>
    </w:p>
    <w:p w14:paraId="34971C21" w14:textId="492F329E" w:rsidR="0001468C" w:rsidRDefault="0001468C" w:rsidP="00752EF1">
      <w:pPr>
        <w:spacing w:line="360" w:lineRule="exact"/>
        <w:ind w:firstLineChars="200" w:firstLine="521"/>
        <w:jc w:val="center"/>
        <w:rPr>
          <w:sz w:val="26"/>
          <w:szCs w:val="26"/>
        </w:rPr>
      </w:pPr>
      <w:r w:rsidRPr="0001468C">
        <w:rPr>
          <w:rFonts w:eastAsiaTheme="minorEastAsia"/>
          <w:b/>
          <w:bCs/>
          <w:color w:val="000000"/>
          <w:sz w:val="26"/>
          <w:szCs w:val="26"/>
        </w:rPr>
        <w:lastRenderedPageBreak/>
        <w:t>Table 1</w:t>
      </w:r>
      <w:r w:rsidR="0025693C">
        <w:rPr>
          <w:rFonts w:eastAsiaTheme="minorEastAsia"/>
          <w:b/>
          <w:bCs/>
          <w:color w:val="000000"/>
          <w:sz w:val="26"/>
          <w:szCs w:val="26"/>
        </w:rPr>
        <w:t>.</w:t>
      </w:r>
      <w:r w:rsidRPr="0001468C">
        <w:rPr>
          <w:rFonts w:eastAsiaTheme="minorEastAsia"/>
          <w:b/>
          <w:bCs/>
          <w:color w:val="000000"/>
          <w:sz w:val="26"/>
          <w:szCs w:val="26"/>
        </w:rPr>
        <w:t xml:space="preserve">  Databases Used for Each Variable in the Analysis</w:t>
      </w:r>
    </w:p>
    <w:tbl>
      <w:tblPr>
        <w:tblStyle w:val="af0"/>
        <w:tblW w:w="5000" w:type="pct"/>
        <w:tblLook w:val="04A0" w:firstRow="1" w:lastRow="0" w:firstColumn="1" w:lastColumn="0" w:noHBand="0" w:noVBand="1"/>
      </w:tblPr>
      <w:tblGrid>
        <w:gridCol w:w="1837"/>
        <w:gridCol w:w="1643"/>
        <w:gridCol w:w="1888"/>
        <w:gridCol w:w="3982"/>
      </w:tblGrid>
      <w:tr w:rsidR="0001468C" w:rsidRPr="0001468C" w14:paraId="545FD768" w14:textId="77777777" w:rsidTr="00484AC1">
        <w:tc>
          <w:tcPr>
            <w:tcW w:w="988" w:type="pct"/>
            <w:vAlign w:val="center"/>
          </w:tcPr>
          <w:p w14:paraId="39BF0D9C" w14:textId="77777777" w:rsidR="0001468C" w:rsidRPr="0001468C" w:rsidRDefault="0001468C" w:rsidP="00484AC1">
            <w:pPr>
              <w:jc w:val="center"/>
            </w:pPr>
            <w:r w:rsidRPr="0001468C">
              <w:t>Dataset</w:t>
            </w:r>
          </w:p>
        </w:tc>
        <w:tc>
          <w:tcPr>
            <w:tcW w:w="862" w:type="pct"/>
            <w:vAlign w:val="center"/>
          </w:tcPr>
          <w:p w14:paraId="7179F468" w14:textId="77777777" w:rsidR="0001468C" w:rsidRPr="0001468C" w:rsidRDefault="0001468C" w:rsidP="00484AC1">
            <w:pPr>
              <w:jc w:val="center"/>
            </w:pPr>
            <w:r w:rsidRPr="0001468C">
              <w:t>Publisher</w:t>
            </w:r>
          </w:p>
        </w:tc>
        <w:tc>
          <w:tcPr>
            <w:tcW w:w="1015" w:type="pct"/>
            <w:vAlign w:val="center"/>
          </w:tcPr>
          <w:p w14:paraId="6EA238B5" w14:textId="77777777" w:rsidR="0001468C" w:rsidRPr="0001468C" w:rsidRDefault="0001468C" w:rsidP="00484AC1">
            <w:pPr>
              <w:jc w:val="center"/>
            </w:pPr>
            <w:r w:rsidRPr="0001468C">
              <w:t>Data Level</w:t>
            </w:r>
          </w:p>
        </w:tc>
        <w:tc>
          <w:tcPr>
            <w:tcW w:w="2135" w:type="pct"/>
            <w:vAlign w:val="center"/>
          </w:tcPr>
          <w:p w14:paraId="60666C91" w14:textId="25041075" w:rsidR="0001468C" w:rsidRPr="0001468C" w:rsidRDefault="0001468C" w:rsidP="00484AC1">
            <w:pPr>
              <w:jc w:val="center"/>
            </w:pPr>
            <w:r w:rsidRPr="0001468C">
              <w:t>Variables</w:t>
            </w:r>
          </w:p>
        </w:tc>
      </w:tr>
      <w:tr w:rsidR="0001468C" w:rsidRPr="0001468C" w14:paraId="07EF647F" w14:textId="77777777" w:rsidTr="00484AC1">
        <w:tc>
          <w:tcPr>
            <w:tcW w:w="988" w:type="pct"/>
          </w:tcPr>
          <w:p w14:paraId="7BD79DB9" w14:textId="3AB11772" w:rsidR="0001468C" w:rsidRPr="0001468C" w:rsidRDefault="0001468C" w:rsidP="0025390A">
            <w:r w:rsidRPr="0001468C">
              <w:t>ASSET4</w:t>
            </w:r>
          </w:p>
        </w:tc>
        <w:tc>
          <w:tcPr>
            <w:tcW w:w="862" w:type="pct"/>
          </w:tcPr>
          <w:p w14:paraId="19CAC675" w14:textId="77777777" w:rsidR="0001468C" w:rsidRPr="0001468C" w:rsidRDefault="0001468C" w:rsidP="0025390A">
            <w:r w:rsidRPr="0001468C">
              <w:t>Thomson Reuters Environmental Social and Governance (ESG) Research Data</w:t>
            </w:r>
          </w:p>
        </w:tc>
        <w:tc>
          <w:tcPr>
            <w:tcW w:w="1015" w:type="pct"/>
          </w:tcPr>
          <w:p w14:paraId="132C40E9" w14:textId="77777777" w:rsidR="0001468C" w:rsidRPr="0001468C" w:rsidRDefault="0001468C" w:rsidP="0025390A">
            <w:r w:rsidRPr="0001468C">
              <w:t>Company level social performance data</w:t>
            </w:r>
          </w:p>
        </w:tc>
        <w:tc>
          <w:tcPr>
            <w:tcW w:w="2135" w:type="pct"/>
          </w:tcPr>
          <w:p w14:paraId="23C2EC49" w14:textId="6345776E" w:rsidR="0001468C" w:rsidRPr="0001468C" w:rsidRDefault="0001468C" w:rsidP="00484AC1">
            <w:pPr>
              <w:numPr>
                <w:ilvl w:val="0"/>
                <w:numId w:val="4"/>
              </w:numPr>
              <w:ind w:left="357" w:hanging="357"/>
            </w:pPr>
            <w:r w:rsidRPr="0001468C">
              <w:t xml:space="preserve">HPWP score (using </w:t>
            </w:r>
            <w:r w:rsidR="00484AC1">
              <w:t xml:space="preserve">a </w:t>
            </w:r>
            <w:r w:rsidRPr="0001468C">
              <w:t>weighted average of training and development, health and safety, employment quality, diversity and opportunity, and human rights)</w:t>
            </w:r>
          </w:p>
        </w:tc>
      </w:tr>
      <w:tr w:rsidR="0001468C" w:rsidRPr="0001468C" w14:paraId="6AFEF29A" w14:textId="77777777" w:rsidTr="00484AC1">
        <w:tc>
          <w:tcPr>
            <w:tcW w:w="988" w:type="pct"/>
          </w:tcPr>
          <w:p w14:paraId="05EF038E" w14:textId="77777777" w:rsidR="0001468C" w:rsidRPr="0001468C" w:rsidRDefault="0001468C" w:rsidP="0025390A">
            <w:r w:rsidRPr="0001468C">
              <w:t>Global Competitiveness Report (GCR)</w:t>
            </w:r>
          </w:p>
        </w:tc>
        <w:tc>
          <w:tcPr>
            <w:tcW w:w="862" w:type="pct"/>
          </w:tcPr>
          <w:p w14:paraId="3D680087" w14:textId="77777777" w:rsidR="0001468C" w:rsidRPr="0001468C" w:rsidRDefault="0001468C" w:rsidP="0025390A">
            <w:pPr>
              <w:rPr>
                <w:b/>
              </w:rPr>
            </w:pPr>
            <w:r w:rsidRPr="0001468C">
              <w:t>World Bank and the World Economic Forum (WEF)</w:t>
            </w:r>
          </w:p>
        </w:tc>
        <w:tc>
          <w:tcPr>
            <w:tcW w:w="1015" w:type="pct"/>
          </w:tcPr>
          <w:p w14:paraId="59E91FBF" w14:textId="77777777" w:rsidR="0001468C" w:rsidRPr="0001468C" w:rsidRDefault="0001468C" w:rsidP="0025390A">
            <w:r w:rsidRPr="0001468C">
              <w:t>Executive Opinions on Institutional Level Issues (see Appendix 1 for more details)</w:t>
            </w:r>
          </w:p>
        </w:tc>
        <w:tc>
          <w:tcPr>
            <w:tcW w:w="2135" w:type="pct"/>
          </w:tcPr>
          <w:p w14:paraId="5F73C105" w14:textId="77777777" w:rsidR="0001468C" w:rsidRPr="0001468C" w:rsidRDefault="0001468C" w:rsidP="00484AC1">
            <w:pPr>
              <w:numPr>
                <w:ilvl w:val="0"/>
                <w:numId w:val="4"/>
              </w:numPr>
              <w:ind w:left="357" w:hanging="357"/>
            </w:pPr>
            <w:r w:rsidRPr="0001468C">
              <w:t>Nation level labor market efficiency</w:t>
            </w:r>
          </w:p>
          <w:p w14:paraId="76C0C676" w14:textId="77777777" w:rsidR="0001468C" w:rsidRPr="0001468C" w:rsidRDefault="0001468C" w:rsidP="00484AC1">
            <w:pPr>
              <w:numPr>
                <w:ilvl w:val="0"/>
                <w:numId w:val="4"/>
              </w:numPr>
              <w:ind w:left="357" w:hanging="357"/>
            </w:pPr>
            <w:r w:rsidRPr="0001468C">
              <w:t>Nation level labor market flexibility</w:t>
            </w:r>
          </w:p>
          <w:p w14:paraId="5C8AA16A" w14:textId="77777777" w:rsidR="0001468C" w:rsidRPr="0001468C" w:rsidRDefault="0001468C" w:rsidP="00484AC1">
            <w:pPr>
              <w:numPr>
                <w:ilvl w:val="0"/>
                <w:numId w:val="4"/>
              </w:numPr>
              <w:ind w:left="357" w:hanging="357"/>
            </w:pPr>
            <w:r w:rsidRPr="0001468C">
              <w:t>Nation specific education (Quantity of Education, Quality of Education, and On-the-Job Training)</w:t>
            </w:r>
          </w:p>
          <w:p w14:paraId="4D5F45C9" w14:textId="77777777" w:rsidR="0001468C" w:rsidRPr="0001468C" w:rsidRDefault="0001468C" w:rsidP="00484AC1">
            <w:pPr>
              <w:numPr>
                <w:ilvl w:val="0"/>
                <w:numId w:val="4"/>
              </w:numPr>
              <w:ind w:left="357" w:hanging="357"/>
            </w:pPr>
            <w:r w:rsidRPr="0001468C">
              <w:t>GDP</w:t>
            </w:r>
          </w:p>
          <w:p w14:paraId="5B050789" w14:textId="77777777" w:rsidR="0001468C" w:rsidRPr="0001468C" w:rsidRDefault="0001468C" w:rsidP="00484AC1">
            <w:pPr>
              <w:numPr>
                <w:ilvl w:val="0"/>
                <w:numId w:val="4"/>
              </w:numPr>
              <w:ind w:left="357" w:hanging="357"/>
            </w:pPr>
            <w:r w:rsidRPr="0001468C">
              <w:t>Growth in GDP</w:t>
            </w:r>
          </w:p>
        </w:tc>
      </w:tr>
      <w:tr w:rsidR="0001468C" w:rsidRPr="0001468C" w14:paraId="09D993A1" w14:textId="77777777" w:rsidTr="00484AC1">
        <w:tc>
          <w:tcPr>
            <w:tcW w:w="988" w:type="pct"/>
          </w:tcPr>
          <w:p w14:paraId="51ADE3FF" w14:textId="77777777" w:rsidR="0001468C" w:rsidRPr="0001468C" w:rsidRDefault="0001468C" w:rsidP="0025390A">
            <w:r w:rsidRPr="0001468C">
              <w:t>Worldscope database</w:t>
            </w:r>
          </w:p>
        </w:tc>
        <w:tc>
          <w:tcPr>
            <w:tcW w:w="862" w:type="pct"/>
          </w:tcPr>
          <w:p w14:paraId="171096C4" w14:textId="77777777" w:rsidR="0001468C" w:rsidRPr="0001468C" w:rsidRDefault="0001468C" w:rsidP="0025390A">
            <w:pPr>
              <w:ind w:firstLine="720"/>
            </w:pPr>
          </w:p>
        </w:tc>
        <w:tc>
          <w:tcPr>
            <w:tcW w:w="1015" w:type="pct"/>
          </w:tcPr>
          <w:p w14:paraId="72748A9B" w14:textId="77777777" w:rsidR="0001468C" w:rsidRPr="0001468C" w:rsidRDefault="0001468C" w:rsidP="0025390A">
            <w:r w:rsidRPr="0001468C">
              <w:t>Company level performance data</w:t>
            </w:r>
          </w:p>
        </w:tc>
        <w:tc>
          <w:tcPr>
            <w:tcW w:w="2135" w:type="pct"/>
          </w:tcPr>
          <w:p w14:paraId="7BF65F5B" w14:textId="77777777" w:rsidR="0001468C" w:rsidRPr="0001468C" w:rsidRDefault="0001468C" w:rsidP="00484AC1">
            <w:pPr>
              <w:numPr>
                <w:ilvl w:val="0"/>
                <w:numId w:val="4"/>
              </w:numPr>
              <w:ind w:left="357" w:hanging="357"/>
            </w:pPr>
            <w:r w:rsidRPr="0001468C">
              <w:t>Industry (on the two-digit SIC code level)</w:t>
            </w:r>
          </w:p>
          <w:p w14:paraId="35B51A6C" w14:textId="77777777" w:rsidR="0001468C" w:rsidRPr="0001468C" w:rsidRDefault="0001468C" w:rsidP="00484AC1">
            <w:pPr>
              <w:numPr>
                <w:ilvl w:val="0"/>
                <w:numId w:val="4"/>
              </w:numPr>
              <w:ind w:left="357" w:hanging="357"/>
            </w:pPr>
            <w:r w:rsidRPr="0001468C">
              <w:t>ROA (net income divided by total assets)</w:t>
            </w:r>
          </w:p>
          <w:p w14:paraId="7FC37E84" w14:textId="77777777" w:rsidR="0001468C" w:rsidRPr="0001468C" w:rsidRDefault="0001468C" w:rsidP="00484AC1">
            <w:pPr>
              <w:numPr>
                <w:ilvl w:val="0"/>
                <w:numId w:val="4"/>
              </w:numPr>
              <w:ind w:left="357" w:hanging="357"/>
            </w:pPr>
            <w:r w:rsidRPr="0001468C">
              <w:t>Firm risk (leverage)</w:t>
            </w:r>
          </w:p>
        </w:tc>
      </w:tr>
    </w:tbl>
    <w:p w14:paraId="15344FED" w14:textId="77777777" w:rsidR="0001468C" w:rsidRDefault="0001468C" w:rsidP="0025390A">
      <w:pPr>
        <w:ind w:firstLine="720"/>
        <w:rPr>
          <w:sz w:val="26"/>
          <w:szCs w:val="26"/>
        </w:rPr>
      </w:pPr>
    </w:p>
    <w:p w14:paraId="317185BC" w14:textId="6B803B94" w:rsidR="00ED60CD" w:rsidRDefault="00ED60CD" w:rsidP="00F830F9">
      <w:pPr>
        <w:spacing w:line="360" w:lineRule="exact"/>
        <w:ind w:firstLineChars="200" w:firstLine="520"/>
        <w:jc w:val="both"/>
        <w:rPr>
          <w:sz w:val="26"/>
          <w:szCs w:val="26"/>
        </w:rPr>
      </w:pPr>
      <w:r w:rsidRPr="00EA6450">
        <w:rPr>
          <w:sz w:val="26"/>
          <w:szCs w:val="26"/>
        </w:rPr>
        <w:t>There are a number of benefits to using the ASSET4 database. First,</w:t>
      </w:r>
      <w:r>
        <w:rPr>
          <w:sz w:val="26"/>
          <w:szCs w:val="26"/>
        </w:rPr>
        <w:t xml:space="preserve"> since</w:t>
      </w:r>
      <w:r w:rsidRPr="00EA6450">
        <w:rPr>
          <w:sz w:val="26"/>
          <w:szCs w:val="26"/>
        </w:rPr>
        <w:t xml:space="preserve"> </w:t>
      </w:r>
      <w:r>
        <w:rPr>
          <w:sz w:val="26"/>
          <w:szCs w:val="26"/>
        </w:rPr>
        <w:t>m</w:t>
      </w:r>
      <w:r w:rsidR="00907CBB">
        <w:rPr>
          <w:sz w:val="26"/>
          <w:szCs w:val="26"/>
        </w:rPr>
        <w:t>any CSR studies use the MCSI KLD data, which we have referenced elsewhere in this study (MCSI, 2019)</w:t>
      </w:r>
      <w:r>
        <w:rPr>
          <w:sz w:val="26"/>
          <w:szCs w:val="26"/>
        </w:rPr>
        <w:t xml:space="preserve">, </w:t>
      </w:r>
      <w:r w:rsidR="00907CBB">
        <w:rPr>
          <w:sz w:val="26"/>
          <w:szCs w:val="26"/>
        </w:rPr>
        <w:t xml:space="preserve">we felt it appropriate to examine HPWP using a different data set in the present study. Thomson Reuters also offers </w:t>
      </w:r>
      <w:r w:rsidR="00484AC1">
        <w:rPr>
          <w:sz w:val="26"/>
          <w:szCs w:val="26"/>
        </w:rPr>
        <w:t xml:space="preserve">a </w:t>
      </w:r>
      <w:r w:rsidR="00907CBB">
        <w:rPr>
          <w:sz w:val="26"/>
          <w:szCs w:val="26"/>
        </w:rPr>
        <w:t xml:space="preserve">strong advantage, from an institutional theory perspective, of more geographically diversified data. </w:t>
      </w:r>
      <w:r w:rsidR="009074BF" w:rsidRPr="00EA6450">
        <w:rPr>
          <w:sz w:val="26"/>
          <w:szCs w:val="26"/>
        </w:rPr>
        <w:t>Thomson Reuters ASSET4 is a leading provider of objective, comparable, and systematic ESG information covering more than 4,000 firms worldwide</w:t>
      </w:r>
      <w:r w:rsidR="00907CBB">
        <w:rPr>
          <w:sz w:val="26"/>
          <w:szCs w:val="26"/>
        </w:rPr>
        <w:t>, including firms on all major continents</w:t>
      </w:r>
      <w:r w:rsidR="009074BF" w:rsidRPr="00EA6450">
        <w:rPr>
          <w:sz w:val="26"/>
          <w:szCs w:val="26"/>
        </w:rPr>
        <w:t>.</w:t>
      </w:r>
      <w:r w:rsidR="00484AC1">
        <w:rPr>
          <w:sz w:val="26"/>
          <w:szCs w:val="26"/>
        </w:rPr>
        <w:t xml:space="preserve"> </w:t>
      </w:r>
      <w:r w:rsidR="00127E1D" w:rsidRPr="00EA6450">
        <w:rPr>
          <w:sz w:val="26"/>
          <w:szCs w:val="26"/>
        </w:rPr>
        <w:t>The sample covers over 50 countries, with the majority of the firms from North America (approximately 34%), Europe (approximately 29%), and Northeast Asia (approximately 16%)</w:t>
      </w:r>
      <w:r w:rsidR="00127E1D">
        <w:rPr>
          <w:sz w:val="26"/>
          <w:szCs w:val="26"/>
        </w:rPr>
        <w:t>. The remaining 21% are distributed across the rest of Asia, Africa, and South America</w:t>
      </w:r>
      <w:r w:rsidR="00127E1D" w:rsidRPr="00EA6450">
        <w:rPr>
          <w:sz w:val="26"/>
          <w:szCs w:val="26"/>
        </w:rPr>
        <w:t>.</w:t>
      </w:r>
      <w:r w:rsidR="00127E1D">
        <w:rPr>
          <w:sz w:val="26"/>
          <w:szCs w:val="26"/>
        </w:rPr>
        <w:t xml:space="preserve"> </w:t>
      </w:r>
      <w:r w:rsidR="009074BF" w:rsidRPr="00EA6450">
        <w:rPr>
          <w:sz w:val="26"/>
          <w:szCs w:val="26"/>
        </w:rPr>
        <w:t xml:space="preserve">Thomson Reuters ASSET4 covers the </w:t>
      </w:r>
      <w:r w:rsidR="00484AC1">
        <w:rPr>
          <w:sz w:val="26"/>
          <w:szCs w:val="26"/>
        </w:rPr>
        <w:t>leading</w:t>
      </w:r>
      <w:r w:rsidR="00484AC1" w:rsidRPr="00EA6450">
        <w:rPr>
          <w:sz w:val="26"/>
          <w:szCs w:val="26"/>
        </w:rPr>
        <w:t xml:space="preserve"> </w:t>
      </w:r>
      <w:r w:rsidR="009074BF" w:rsidRPr="00EA6450">
        <w:rPr>
          <w:sz w:val="26"/>
          <w:szCs w:val="26"/>
        </w:rPr>
        <w:t>indices worldwide, including MSCI WORLD, MSCI Europe, STOXX 600, NASDAQ 100, RUSSELL 1000, S&amp;P 500, FTSE 100, ASX 300, and MSCI Emerging Market.</w:t>
      </w:r>
      <w:r w:rsidR="00A50693" w:rsidRPr="00EA6450">
        <w:rPr>
          <w:sz w:val="26"/>
          <w:szCs w:val="26"/>
        </w:rPr>
        <w:t xml:space="preserve"> In 2018, Thomson Reuters sold this database, along with assorted other assets, to Refinitv.</w:t>
      </w:r>
      <w:r w:rsidRPr="00ED60CD">
        <w:rPr>
          <w:sz w:val="26"/>
          <w:szCs w:val="26"/>
        </w:rPr>
        <w:t xml:space="preserve"> </w:t>
      </w:r>
    </w:p>
    <w:p w14:paraId="6B2440E1" w14:textId="7039E289" w:rsidR="00C060B5" w:rsidRPr="00EA6450" w:rsidRDefault="00484AC1" w:rsidP="00F830F9">
      <w:pPr>
        <w:spacing w:line="360" w:lineRule="exact"/>
        <w:ind w:firstLineChars="200" w:firstLine="520"/>
        <w:jc w:val="both"/>
        <w:rPr>
          <w:sz w:val="26"/>
          <w:szCs w:val="26"/>
        </w:rPr>
      </w:pPr>
      <w:r>
        <w:rPr>
          <w:sz w:val="26"/>
          <w:szCs w:val="26"/>
        </w:rPr>
        <w:t xml:space="preserve">The </w:t>
      </w:r>
      <w:r w:rsidR="00ED60CD">
        <w:rPr>
          <w:sz w:val="26"/>
          <w:szCs w:val="26"/>
        </w:rPr>
        <w:t>second benefit of ASSET4</w:t>
      </w:r>
      <w:r w:rsidR="00ED60CD" w:rsidRPr="00EA6450">
        <w:rPr>
          <w:sz w:val="26"/>
          <w:szCs w:val="26"/>
        </w:rPr>
        <w:t xml:space="preserve">, since all firms across different stock indices are listed, there is less risk of a sample selection bias on firms actively marketing their social or </w:t>
      </w:r>
      <w:r w:rsidR="00ED60CD" w:rsidRPr="00EA6450">
        <w:rPr>
          <w:sz w:val="26"/>
          <w:szCs w:val="26"/>
        </w:rPr>
        <w:lastRenderedPageBreak/>
        <w:t xml:space="preserve">environmental initiatives. This selection bias might appear in databases that focus on firms demonstrating </w:t>
      </w:r>
      <w:r>
        <w:rPr>
          <w:sz w:val="26"/>
          <w:szCs w:val="26"/>
        </w:rPr>
        <w:t>healthy</w:t>
      </w:r>
      <w:r w:rsidRPr="00EA6450">
        <w:rPr>
          <w:sz w:val="26"/>
          <w:szCs w:val="26"/>
        </w:rPr>
        <w:t xml:space="preserve"> </w:t>
      </w:r>
      <w:r w:rsidR="00ED60CD" w:rsidRPr="00EA6450">
        <w:rPr>
          <w:sz w:val="26"/>
          <w:szCs w:val="26"/>
        </w:rPr>
        <w:t>social practices, including HRM, such as Dow Jones Sustainability Index or FTSE4good Index. Third, ASSET4 data are collected using a prescribed catalog of criteria that is identical for all firms inside the database, which allows for better comparisons.</w:t>
      </w:r>
    </w:p>
    <w:p w14:paraId="68D9F1CB" w14:textId="62CDEB14" w:rsidR="00C060B5" w:rsidRPr="00EA6450" w:rsidRDefault="009074BF" w:rsidP="00F830F9">
      <w:pPr>
        <w:spacing w:line="360" w:lineRule="exact"/>
        <w:ind w:firstLineChars="200" w:firstLine="520"/>
        <w:jc w:val="both"/>
        <w:rPr>
          <w:sz w:val="26"/>
          <w:szCs w:val="26"/>
        </w:rPr>
      </w:pPr>
      <w:r w:rsidRPr="00EA6450">
        <w:rPr>
          <w:sz w:val="26"/>
          <w:szCs w:val="26"/>
        </w:rPr>
        <w:t xml:space="preserve">The ESG rating is based on primary data from publicly available sources, including </w:t>
      </w:r>
      <w:r w:rsidR="009A36AF" w:rsidRPr="00EA6450">
        <w:rPr>
          <w:sz w:val="26"/>
          <w:szCs w:val="26"/>
        </w:rPr>
        <w:t>corporate social responsibility (CSR)</w:t>
      </w:r>
      <w:r w:rsidRPr="00EA6450">
        <w:rPr>
          <w:sz w:val="26"/>
          <w:szCs w:val="26"/>
        </w:rPr>
        <w:t xml:space="preserve"> and annual reports, NGO websites, and stock exchange filings. Data have to go through multiple-step verification and a quality control process (including data entry checks, historical comparisons, and automated quality rules) to ensure an objective, comparable, and transparent database. </w:t>
      </w:r>
      <w:r w:rsidR="005A7E76" w:rsidRPr="00EA6450">
        <w:rPr>
          <w:sz w:val="26"/>
          <w:szCs w:val="26"/>
        </w:rPr>
        <w:t>For each rating, m</w:t>
      </w:r>
      <w:r w:rsidRPr="00EA6450">
        <w:rPr>
          <w:sz w:val="26"/>
          <w:szCs w:val="26"/>
        </w:rPr>
        <w:t>ore than 750 data points are aggregated into an equally weighted framework of 250 key performance indicators, which are further grouped into 18 categories within four pillars: social performance, environmental performance, corporate governance performance, and economic performance (Thomson Reuters, 201</w:t>
      </w:r>
      <w:r w:rsidR="005A7E76" w:rsidRPr="00EA6450">
        <w:rPr>
          <w:sz w:val="26"/>
          <w:szCs w:val="26"/>
        </w:rPr>
        <w:t>6</w:t>
      </w:r>
      <w:r w:rsidRPr="00EA6450">
        <w:rPr>
          <w:sz w:val="26"/>
          <w:szCs w:val="26"/>
        </w:rPr>
        <w:t>). At each level, indicators, categories, pillars,</w:t>
      </w:r>
      <w:r w:rsidR="005F45F3" w:rsidRPr="00EA6450">
        <w:rPr>
          <w:sz w:val="26"/>
          <w:szCs w:val="26"/>
        </w:rPr>
        <w:t xml:space="preserve"> and the overall </w:t>
      </w:r>
      <w:r w:rsidRPr="00EA6450">
        <w:rPr>
          <w:sz w:val="26"/>
          <w:szCs w:val="26"/>
        </w:rPr>
        <w:t xml:space="preserve">score are calculated by equally weighting and z-scoring all underlying data points and comparing them with the rest of the firms in the ASSET4 universe. </w:t>
      </w:r>
      <w:r w:rsidR="00A50693" w:rsidRPr="00EA6450">
        <w:rPr>
          <w:sz w:val="26"/>
          <w:szCs w:val="26"/>
        </w:rPr>
        <w:t>Further description of the dataset as curated by Refinitiv is available online (Refinitv, 2019).</w:t>
      </w:r>
      <w:r w:rsidR="005F6125">
        <w:rPr>
          <w:sz w:val="26"/>
          <w:szCs w:val="26"/>
        </w:rPr>
        <w:t xml:space="preserve"> </w:t>
      </w:r>
    </w:p>
    <w:p w14:paraId="0C1DF4E8" w14:textId="7DB8C77D" w:rsidR="00C060B5" w:rsidRPr="00EA6450" w:rsidRDefault="009074BF" w:rsidP="00F830F9">
      <w:pPr>
        <w:spacing w:line="360" w:lineRule="exact"/>
        <w:ind w:firstLineChars="200" w:firstLine="520"/>
        <w:jc w:val="both"/>
        <w:rPr>
          <w:sz w:val="26"/>
          <w:szCs w:val="26"/>
        </w:rPr>
      </w:pPr>
      <w:r w:rsidRPr="00EA6450">
        <w:rPr>
          <w:sz w:val="26"/>
          <w:szCs w:val="26"/>
        </w:rPr>
        <w:t>The institutional data derive from two data sources, including the World Bank and the World Economic Forum (WEF). Since 2006, the WEF has released an annual Global Competitiveness Report (GCR) for more than 130 economies worldwide that provides a relatively stable and comparable set of measures for a large number of countries. While there are data prior to the 2006-2007 edition of the GCR, they are not available for this analysis due to changes in the methodology. The WEF based its competitiveness analysis on the Global Competitiveness Index, a highly comprehensive measure for national competitiveness, which captures the microeconomic and macroeconomic foundations of national competitiveness (</w:t>
      </w:r>
      <w:r w:rsidR="00711DFF">
        <w:rPr>
          <w:sz w:val="26"/>
          <w:szCs w:val="26"/>
        </w:rPr>
        <w:t>World Economic Forum</w:t>
      </w:r>
      <w:r w:rsidRPr="00EA6450">
        <w:rPr>
          <w:sz w:val="26"/>
          <w:szCs w:val="26"/>
        </w:rPr>
        <w:t>, 2015). The different aspects of competitiveness are grouped into 12 pillars that are determinants of national productivity and competitiveness, one of which is labor market efficiency (</w:t>
      </w:r>
      <w:r w:rsidR="00711DFF">
        <w:rPr>
          <w:sz w:val="26"/>
          <w:szCs w:val="26"/>
        </w:rPr>
        <w:t>World Economic Forum</w:t>
      </w:r>
      <w:r w:rsidRPr="00EA6450">
        <w:rPr>
          <w:sz w:val="26"/>
          <w:szCs w:val="26"/>
        </w:rPr>
        <w:t xml:space="preserve">, 2015). To measure the different areas of competitiveness, the GCR uses statistical data from internationally recognized agencies such as the International Monetary Fund (IMF); the United Nations Educational, Scientific, and Cultural Organization (UNESCO); and the World Health Organization (WHO). The GCR uses data from the annual WEF Executive Opinion Survey. This survey captures the opinions of business leaders worldwide on a broad range of topics for which international data are scarce, are not available for the global </w:t>
      </w:r>
      <w:r w:rsidRPr="00EA6450">
        <w:rPr>
          <w:sz w:val="26"/>
          <w:szCs w:val="26"/>
        </w:rPr>
        <w:lastRenderedPageBreak/>
        <w:t>set of economies</w:t>
      </w:r>
      <w:r w:rsidR="00C060B5" w:rsidRPr="00EA6450">
        <w:rPr>
          <w:sz w:val="26"/>
          <w:szCs w:val="26"/>
        </w:rPr>
        <w:t>,</w:t>
      </w:r>
      <w:r w:rsidRPr="00EA6450">
        <w:rPr>
          <w:sz w:val="26"/>
          <w:szCs w:val="26"/>
        </w:rPr>
        <w:t xml:space="preserve"> or require more qualitative assessment. This survey is reviewed and audited regularly by the Gallup Institute.</w:t>
      </w:r>
    </w:p>
    <w:p w14:paraId="74491AEE" w14:textId="61C09864" w:rsidR="00C060B5" w:rsidRPr="00EA6450" w:rsidRDefault="009074BF" w:rsidP="00F830F9">
      <w:pPr>
        <w:spacing w:line="360" w:lineRule="exact"/>
        <w:ind w:firstLineChars="200" w:firstLine="520"/>
        <w:jc w:val="both"/>
        <w:rPr>
          <w:sz w:val="26"/>
          <w:szCs w:val="26"/>
        </w:rPr>
      </w:pPr>
      <w:r w:rsidRPr="00EA6450">
        <w:rPr>
          <w:sz w:val="26"/>
          <w:szCs w:val="26"/>
        </w:rPr>
        <w:t>We draw our firm-specific financial data from the Worldscope database, which contains accounting, financial, and market data from publicly traded firms worldwide. Integrating ASSET4 data with Worldscope and the GCR data, our final sample is an unbalanced panel dataset that includes 20</w:t>
      </w:r>
      <w:r w:rsidR="00484AC1">
        <w:rPr>
          <w:sz w:val="26"/>
          <w:szCs w:val="26"/>
        </w:rPr>
        <w:t>,</w:t>
      </w:r>
      <w:r w:rsidRPr="00EA6450">
        <w:rPr>
          <w:sz w:val="26"/>
          <w:szCs w:val="26"/>
        </w:rPr>
        <w:t xml:space="preserve">161 firm-year observations covering a period from 2007-2013. </w:t>
      </w:r>
    </w:p>
    <w:p w14:paraId="339B1492" w14:textId="77777777" w:rsidR="00EA6450" w:rsidRDefault="00EA6450" w:rsidP="0025390A">
      <w:pPr>
        <w:pStyle w:val="10"/>
        <w:spacing w:line="360" w:lineRule="exact"/>
        <w:ind w:firstLineChars="200" w:firstLine="521"/>
        <w:rPr>
          <w:rFonts w:ascii="Times New Roman" w:eastAsia="Times New Roman" w:hAnsi="Times New Roman" w:cs="Times New Roman"/>
          <w:b/>
          <w:bCs/>
          <w:iCs/>
          <w:sz w:val="26"/>
          <w:szCs w:val="26"/>
        </w:rPr>
      </w:pPr>
    </w:p>
    <w:p w14:paraId="5F710578" w14:textId="77777777" w:rsidR="00E354B7" w:rsidRPr="004D5715" w:rsidRDefault="009074BF" w:rsidP="00F830F9">
      <w:pPr>
        <w:pStyle w:val="2"/>
        <w:spacing w:before="0" w:after="0" w:line="360" w:lineRule="exact"/>
        <w:rPr>
          <w:b/>
          <w:bCs/>
          <w:i w:val="0"/>
          <w:iCs/>
          <w:sz w:val="26"/>
          <w:szCs w:val="26"/>
        </w:rPr>
      </w:pPr>
      <w:r w:rsidRPr="004D5715">
        <w:rPr>
          <w:b/>
          <w:bCs/>
          <w:i w:val="0"/>
          <w:iCs/>
          <w:sz w:val="26"/>
          <w:szCs w:val="26"/>
        </w:rPr>
        <w:t>Measures</w:t>
      </w:r>
    </w:p>
    <w:p w14:paraId="0DEBC408" w14:textId="4F3CE89A" w:rsidR="00E354B7" w:rsidRPr="00EA6450" w:rsidRDefault="009074BF" w:rsidP="00F830F9">
      <w:pPr>
        <w:spacing w:line="360" w:lineRule="exact"/>
        <w:ind w:firstLineChars="200" w:firstLine="520"/>
        <w:jc w:val="both"/>
        <w:rPr>
          <w:i/>
          <w:sz w:val="26"/>
          <w:szCs w:val="26"/>
        </w:rPr>
      </w:pPr>
      <w:r w:rsidRPr="00EA6450">
        <w:rPr>
          <w:i/>
          <w:sz w:val="26"/>
          <w:szCs w:val="26"/>
        </w:rPr>
        <w:t xml:space="preserve">Dependent </w:t>
      </w:r>
      <w:r w:rsidR="00133CDB" w:rsidRPr="00EA6450">
        <w:rPr>
          <w:i/>
          <w:sz w:val="26"/>
          <w:szCs w:val="26"/>
        </w:rPr>
        <w:t>variable</w:t>
      </w:r>
      <w:r w:rsidR="00EA6450">
        <w:rPr>
          <w:i/>
          <w:sz w:val="26"/>
          <w:szCs w:val="26"/>
        </w:rPr>
        <w:t xml:space="preserve">.  </w:t>
      </w:r>
      <w:r w:rsidRPr="00EA6450">
        <w:rPr>
          <w:sz w:val="26"/>
          <w:szCs w:val="26"/>
        </w:rPr>
        <w:t>We followed prior studies (</w:t>
      </w:r>
      <w:r w:rsidR="00503BF6" w:rsidRPr="00EA6450">
        <w:rPr>
          <w:rStyle w:val="af8"/>
          <w:rFonts w:eastAsia="Arial"/>
          <w:sz w:val="26"/>
          <w:szCs w:val="26"/>
        </w:rPr>
        <w:t xml:space="preserve">Duque-Grisales &amp; Aguilera-Caracuel, </w:t>
      </w:r>
      <w:r w:rsidR="00484AC1">
        <w:rPr>
          <w:rStyle w:val="af8"/>
          <w:rFonts w:eastAsia="Arial"/>
          <w:sz w:val="26"/>
          <w:szCs w:val="26"/>
        </w:rPr>
        <w:t>2019</w:t>
      </w:r>
      <w:r w:rsidRPr="00EA6450">
        <w:rPr>
          <w:sz w:val="26"/>
          <w:szCs w:val="26"/>
        </w:rPr>
        <w:t xml:space="preserve">; </w:t>
      </w:r>
      <w:r w:rsidR="00503BF6" w:rsidRPr="00EA6450">
        <w:rPr>
          <w:sz w:val="26"/>
          <w:szCs w:val="26"/>
        </w:rPr>
        <w:t xml:space="preserve">Graafland, 2019; </w:t>
      </w:r>
      <w:r w:rsidRPr="00EA6450">
        <w:rPr>
          <w:sz w:val="26"/>
          <w:szCs w:val="26"/>
        </w:rPr>
        <w:t>Hull and Rothenberg, 2008) and used return on assets (ROA) as a measure of firm performance. Accounting-based measures reflect a firm's internal efficiency as they reflect the profitability of a firm with respect to the total set of assets under its control (Hull and Rothenberg, 2008). ROA is defined as net income divided by total assets and is derived from Worldscope.</w:t>
      </w:r>
    </w:p>
    <w:p w14:paraId="28CC2EEA" w14:textId="093A7B16" w:rsidR="00C060B5" w:rsidRPr="00EA6450" w:rsidRDefault="009074BF" w:rsidP="00F830F9">
      <w:pPr>
        <w:spacing w:line="360" w:lineRule="exact"/>
        <w:ind w:firstLineChars="200" w:firstLine="520"/>
        <w:jc w:val="both"/>
        <w:rPr>
          <w:i/>
          <w:sz w:val="26"/>
          <w:szCs w:val="26"/>
        </w:rPr>
      </w:pPr>
      <w:r w:rsidRPr="00EA6450">
        <w:rPr>
          <w:i/>
          <w:sz w:val="26"/>
          <w:szCs w:val="26"/>
        </w:rPr>
        <w:t xml:space="preserve">Independent </w:t>
      </w:r>
      <w:r w:rsidR="00133CDB" w:rsidRPr="00EA6450">
        <w:rPr>
          <w:i/>
          <w:sz w:val="26"/>
          <w:szCs w:val="26"/>
        </w:rPr>
        <w:t>variables</w:t>
      </w:r>
      <w:r w:rsidR="00EA6450">
        <w:rPr>
          <w:i/>
          <w:sz w:val="26"/>
          <w:szCs w:val="26"/>
        </w:rPr>
        <w:t xml:space="preserve">.  </w:t>
      </w:r>
      <w:r w:rsidRPr="00EA6450">
        <w:rPr>
          <w:sz w:val="26"/>
          <w:szCs w:val="26"/>
        </w:rPr>
        <w:t>To measure a firm's engagement in HPWP, we identified five scores/variables from Thomson Reuters ASSET4 (Thomson Reuters, 2016). Our HPWP score is calculated by the equally-weighted average of these scores and ranges between 0 to 1, where a higher value indicates a stronger engagement in HPWP. The scores we used are training and development, health and safety, employment quality, diversity and opportunity, and human rights. These include activities and policies to generate a family-friendly environment; create equal opportunities regardless of gender, age, or ethnicity; avoid layoffs and maintain relations with trade unions; increase the physical and mental health and well-being of all employees</w:t>
      </w:r>
      <w:r w:rsidR="00484AC1">
        <w:rPr>
          <w:sz w:val="26"/>
          <w:szCs w:val="26"/>
        </w:rPr>
        <w:t>, to</w:t>
      </w:r>
      <w:r w:rsidRPr="00EA6450">
        <w:rPr>
          <w:sz w:val="26"/>
          <w:szCs w:val="26"/>
        </w:rPr>
        <w:t xml:space="preserve"> develop employee skills and competencies; and avoid child or forced labor. Further description of the Thomson Reuters ASSET4 dataset is available online (Thomson Reuters, 2016).</w:t>
      </w:r>
    </w:p>
    <w:p w14:paraId="3C308FD7" w14:textId="77777777" w:rsidR="00C060B5" w:rsidRPr="00EA6450" w:rsidRDefault="009074BF" w:rsidP="00F830F9">
      <w:pPr>
        <w:spacing w:line="360" w:lineRule="exact"/>
        <w:ind w:firstLineChars="200" w:firstLine="520"/>
        <w:jc w:val="both"/>
        <w:rPr>
          <w:sz w:val="26"/>
          <w:szCs w:val="26"/>
        </w:rPr>
      </w:pPr>
      <w:r w:rsidRPr="00EA6450">
        <w:rPr>
          <w:sz w:val="26"/>
          <w:szCs w:val="26"/>
        </w:rPr>
        <w:t xml:space="preserve">We derived our variables for labor market flexibility and </w:t>
      </w:r>
      <w:r w:rsidR="00D778D2" w:rsidRPr="00EA6450">
        <w:rPr>
          <w:sz w:val="26"/>
          <w:szCs w:val="26"/>
        </w:rPr>
        <w:t>efficiency</w:t>
      </w:r>
      <w:r w:rsidRPr="00EA6450">
        <w:rPr>
          <w:sz w:val="26"/>
          <w:szCs w:val="26"/>
        </w:rPr>
        <w:t xml:space="preserve"> from the seventh pillar of the annual GCR, details of which can be found in Appendix A. Labor market flexibility captures labor market characteristics in terms of labor-employer relations, flexibility of wage determination, hiring and firing practices, redundancy costs, and national taxation system incentives to work. </w:t>
      </w:r>
      <w:r w:rsidR="00D778D2" w:rsidRPr="00EA6450">
        <w:rPr>
          <w:sz w:val="26"/>
          <w:szCs w:val="26"/>
        </w:rPr>
        <w:t>Labor market efficiency</w:t>
      </w:r>
      <w:r w:rsidRPr="00EA6450">
        <w:rPr>
          <w:sz w:val="26"/>
          <w:szCs w:val="26"/>
        </w:rPr>
        <w:t xml:space="preserve"> measures characteristics such as the strength of the relationship between the salary and employees’ productivity, reliance on professional management, and the ratio of women to men in the labor force. Both scores range between </w:t>
      </w:r>
      <w:r w:rsidR="00151253" w:rsidRPr="00EA6450">
        <w:rPr>
          <w:sz w:val="26"/>
          <w:szCs w:val="26"/>
        </w:rPr>
        <w:t>one</w:t>
      </w:r>
      <w:r w:rsidRPr="00EA6450">
        <w:rPr>
          <w:sz w:val="26"/>
          <w:szCs w:val="26"/>
        </w:rPr>
        <w:t xml:space="preserve"> and </w:t>
      </w:r>
      <w:r w:rsidR="00151253" w:rsidRPr="00EA6450">
        <w:rPr>
          <w:sz w:val="26"/>
          <w:szCs w:val="26"/>
        </w:rPr>
        <w:t>seven</w:t>
      </w:r>
      <w:r w:rsidRPr="00EA6450">
        <w:rPr>
          <w:sz w:val="26"/>
          <w:szCs w:val="26"/>
        </w:rPr>
        <w:t>.</w:t>
      </w:r>
    </w:p>
    <w:p w14:paraId="2E0AF3DD" w14:textId="21FFE271" w:rsidR="00C060B5" w:rsidRDefault="009074BF" w:rsidP="00F830F9">
      <w:pPr>
        <w:spacing w:line="360" w:lineRule="exact"/>
        <w:ind w:firstLineChars="200" w:firstLine="520"/>
        <w:jc w:val="both"/>
        <w:rPr>
          <w:sz w:val="26"/>
          <w:szCs w:val="26"/>
        </w:rPr>
      </w:pPr>
      <w:r w:rsidRPr="00EA6450">
        <w:rPr>
          <w:i/>
          <w:sz w:val="26"/>
          <w:szCs w:val="26"/>
        </w:rPr>
        <w:t xml:space="preserve">Control Variables.  </w:t>
      </w:r>
      <w:r w:rsidRPr="00EA6450">
        <w:rPr>
          <w:sz w:val="26"/>
          <w:szCs w:val="26"/>
        </w:rPr>
        <w:t xml:space="preserve">To overcome model misspecifications, we control for firm-, industry-, and nation-specific characteristics that explain firm-level performance by </w:t>
      </w:r>
      <w:r w:rsidRPr="00EA6450">
        <w:rPr>
          <w:sz w:val="26"/>
          <w:szCs w:val="26"/>
        </w:rPr>
        <w:lastRenderedPageBreak/>
        <w:t xml:space="preserve">including additional control variables. In order to normalize its distribution, firm size is </w:t>
      </w:r>
      <w:r w:rsidR="0012537C" w:rsidRPr="00EA6450">
        <w:rPr>
          <w:sz w:val="26"/>
          <w:szCs w:val="26"/>
        </w:rPr>
        <w:t>measured by</w:t>
      </w:r>
      <w:r w:rsidRPr="00EA6450">
        <w:rPr>
          <w:sz w:val="26"/>
          <w:szCs w:val="26"/>
        </w:rPr>
        <w:t xml:space="preserve"> the natural logarithm of the total number of employees. </w:t>
      </w:r>
      <w:r w:rsidR="00BD65DD" w:rsidRPr="00EA6450">
        <w:rPr>
          <w:sz w:val="26"/>
          <w:szCs w:val="26"/>
        </w:rPr>
        <w:t>W</w:t>
      </w:r>
      <w:r w:rsidRPr="00EA6450">
        <w:rPr>
          <w:sz w:val="26"/>
          <w:szCs w:val="26"/>
        </w:rPr>
        <w:t xml:space="preserve">e control for firm risk by using </w:t>
      </w:r>
      <w:r w:rsidR="00503BF6" w:rsidRPr="00EA6450">
        <w:rPr>
          <w:sz w:val="26"/>
          <w:szCs w:val="26"/>
        </w:rPr>
        <w:t>l</w:t>
      </w:r>
      <w:r w:rsidRPr="00EA6450">
        <w:rPr>
          <w:sz w:val="26"/>
          <w:szCs w:val="26"/>
        </w:rPr>
        <w:t>everage, total debt divided by total assets (</w:t>
      </w:r>
      <w:r w:rsidR="00503BF6" w:rsidRPr="00EA6450">
        <w:rPr>
          <w:sz w:val="26"/>
          <w:szCs w:val="26"/>
        </w:rPr>
        <w:t>Graafland, 2019; Hull &amp; Rothenberg, 2008</w:t>
      </w:r>
      <w:r w:rsidRPr="00EA6450">
        <w:rPr>
          <w:sz w:val="26"/>
          <w:szCs w:val="26"/>
        </w:rPr>
        <w:t>). A high level of leverage can limit opportunities to explore new businesses, thereby negatively impacting firm performance. Since the level of education of employees could impact the link between HRM and firm performance, as well as the link between labor market conditions and firm performance, we select</w:t>
      </w:r>
      <w:r w:rsidR="00503BF6" w:rsidRPr="00EA6450">
        <w:rPr>
          <w:sz w:val="26"/>
          <w:szCs w:val="26"/>
        </w:rPr>
        <w:t>ed</w:t>
      </w:r>
      <w:r w:rsidRPr="00EA6450">
        <w:rPr>
          <w:sz w:val="26"/>
          <w:szCs w:val="26"/>
        </w:rPr>
        <w:t xml:space="preserve"> three variables from the GCR to control for the nation-specific level of education and training of employees</w:t>
      </w:r>
      <w:r w:rsidR="00503BF6" w:rsidRPr="00EA6450">
        <w:rPr>
          <w:sz w:val="26"/>
          <w:szCs w:val="26"/>
        </w:rPr>
        <w:t xml:space="preserve">: </w:t>
      </w:r>
      <w:r w:rsidRPr="00EA6450">
        <w:rPr>
          <w:sz w:val="26"/>
          <w:szCs w:val="26"/>
        </w:rPr>
        <w:t xml:space="preserve">Quantity of Education, Quality of Education, and On-the-Job Training from the fifth pillar of the GCR. We also control for </w:t>
      </w:r>
      <w:r w:rsidR="00BD65DD" w:rsidRPr="00EA6450">
        <w:rPr>
          <w:sz w:val="26"/>
          <w:szCs w:val="26"/>
        </w:rPr>
        <w:t xml:space="preserve">GDP, growth in GDP, </w:t>
      </w:r>
      <w:r w:rsidRPr="00EA6450">
        <w:rPr>
          <w:sz w:val="26"/>
          <w:szCs w:val="26"/>
        </w:rPr>
        <w:t>industry (on the two-digit SIC code level)</w:t>
      </w:r>
      <w:r w:rsidR="00BD65DD" w:rsidRPr="00EA6450">
        <w:rPr>
          <w:sz w:val="26"/>
          <w:szCs w:val="26"/>
        </w:rPr>
        <w:t>,</w:t>
      </w:r>
      <w:r w:rsidRPr="00EA6450">
        <w:rPr>
          <w:sz w:val="26"/>
          <w:szCs w:val="26"/>
        </w:rPr>
        <w:t xml:space="preserve"> and year fixed effects in our models.</w:t>
      </w:r>
      <w:r w:rsidR="005F6125">
        <w:rPr>
          <w:sz w:val="26"/>
          <w:szCs w:val="26"/>
        </w:rPr>
        <w:t xml:space="preserve"> </w:t>
      </w:r>
    </w:p>
    <w:p w14:paraId="3C92B978" w14:textId="77777777" w:rsidR="00F830F9" w:rsidRDefault="00F830F9" w:rsidP="00F830F9">
      <w:pPr>
        <w:pStyle w:val="3"/>
        <w:spacing w:before="0" w:after="0" w:line="360" w:lineRule="exact"/>
        <w:jc w:val="left"/>
        <w:rPr>
          <w:b/>
          <w:i w:val="0"/>
          <w:sz w:val="26"/>
          <w:szCs w:val="26"/>
        </w:rPr>
      </w:pPr>
    </w:p>
    <w:p w14:paraId="753A2712" w14:textId="66C55D21" w:rsidR="00B17DED" w:rsidRDefault="00B17DED" w:rsidP="00F830F9">
      <w:pPr>
        <w:pStyle w:val="3"/>
        <w:spacing w:before="0" w:after="0" w:line="360" w:lineRule="exact"/>
        <w:jc w:val="left"/>
        <w:rPr>
          <w:b/>
          <w:i w:val="0"/>
          <w:sz w:val="26"/>
          <w:szCs w:val="26"/>
        </w:rPr>
      </w:pPr>
      <w:r>
        <w:rPr>
          <w:b/>
          <w:i w:val="0"/>
          <w:sz w:val="26"/>
          <w:szCs w:val="26"/>
        </w:rPr>
        <w:t>Empirical Model Specification</w:t>
      </w:r>
    </w:p>
    <w:p w14:paraId="52F9C9CF" w14:textId="5C0CD0F5" w:rsidR="00B17DED" w:rsidRDefault="00484AC1" w:rsidP="00F830F9">
      <w:pPr>
        <w:pStyle w:val="10"/>
        <w:spacing w:line="360" w:lineRule="exact"/>
        <w:ind w:firstLineChars="200" w:firstLine="520"/>
        <w:jc w:val="both"/>
        <w:rPr>
          <w:rFonts w:ascii="Times New Roman" w:hAnsi="Times New Roman" w:cs="Times New Roman"/>
          <w:sz w:val="26"/>
          <w:szCs w:val="26"/>
        </w:rPr>
      </w:pPr>
      <w:r>
        <w:rPr>
          <w:rFonts w:ascii="Times New Roman" w:hAnsi="Times New Roman" w:cs="Times New Roman"/>
          <w:sz w:val="26"/>
          <w:szCs w:val="26"/>
        </w:rPr>
        <w:t>Several considerations guided the development of our empirical model specification</w:t>
      </w:r>
      <w:r w:rsidR="00B17DED">
        <w:rPr>
          <w:rFonts w:ascii="Times New Roman" w:hAnsi="Times New Roman" w:cs="Times New Roman"/>
          <w:sz w:val="26"/>
          <w:szCs w:val="26"/>
        </w:rPr>
        <w:t>. First, given that it was not possible to conduct our study using a controlled experiment, it was important to address such potential econometric issues as endogeneity and reverse causality. For this reason, we lagged all explanatory variables in the model by one year to reduce the likelihood of reverse causality or endogeneity confounding our results, and we included a dummy variable for Year in the model.</w:t>
      </w:r>
      <w:r w:rsidR="005F6125">
        <w:rPr>
          <w:rFonts w:ascii="Times New Roman" w:hAnsi="Times New Roman" w:cs="Times New Roman"/>
          <w:sz w:val="26"/>
          <w:szCs w:val="26"/>
        </w:rPr>
        <w:t xml:space="preserve"> </w:t>
      </w:r>
      <w:r w:rsidR="00B17DED">
        <w:rPr>
          <w:rFonts w:ascii="Times New Roman" w:hAnsi="Times New Roman" w:cs="Times New Roman"/>
          <w:sz w:val="26"/>
          <w:szCs w:val="26"/>
        </w:rPr>
        <w:t>Second, as is traditional in management research, we developed one model based on only the direct effects (Hypotheses 1, 2</w:t>
      </w:r>
      <w:r w:rsidR="00637EE5">
        <w:rPr>
          <w:rFonts w:ascii="Times New Roman" w:hAnsi="Times New Roman" w:cs="Times New Roman"/>
          <w:sz w:val="26"/>
          <w:szCs w:val="26"/>
        </w:rPr>
        <w:t>,</w:t>
      </w:r>
      <w:r w:rsidR="00B17DED">
        <w:rPr>
          <w:rFonts w:ascii="Times New Roman" w:hAnsi="Times New Roman" w:cs="Times New Roman"/>
          <w:sz w:val="26"/>
          <w:szCs w:val="26"/>
        </w:rPr>
        <w:t xml:space="preserve"> and 4) and a second model that also included indirect</w:t>
      </w:r>
      <w:r w:rsidR="004C54B5">
        <w:rPr>
          <w:rFonts w:ascii="Times New Roman" w:hAnsi="Times New Roman" w:cs="Times New Roman"/>
          <w:sz w:val="26"/>
          <w:szCs w:val="26"/>
        </w:rPr>
        <w:t xml:space="preserve"> effects (Hypotheses 3 and 5). </w:t>
      </w:r>
      <w:r w:rsidR="00B17DED">
        <w:rPr>
          <w:rFonts w:ascii="Times New Roman" w:hAnsi="Times New Roman" w:cs="Times New Roman"/>
          <w:sz w:val="26"/>
          <w:szCs w:val="26"/>
        </w:rPr>
        <w:t>Third, as discussed in the Measures section immediately above, we identified seven continuous control variables to be included in the model and two (including Year) categories of dummy variables.</w:t>
      </w:r>
      <w:r w:rsidR="005F6125">
        <w:rPr>
          <w:rFonts w:ascii="Times New Roman" w:hAnsi="Times New Roman" w:cs="Times New Roman"/>
          <w:sz w:val="26"/>
          <w:szCs w:val="26"/>
        </w:rPr>
        <w:t xml:space="preserve"> </w:t>
      </w:r>
      <w:r w:rsidR="00B17DED">
        <w:rPr>
          <w:rFonts w:ascii="Times New Roman" w:hAnsi="Times New Roman" w:cs="Times New Roman"/>
          <w:sz w:val="26"/>
          <w:szCs w:val="26"/>
        </w:rPr>
        <w:t>Our empirical model specification is thus:</w:t>
      </w:r>
    </w:p>
    <w:p w14:paraId="53BFF62C" w14:textId="77777777" w:rsidR="00B17DED" w:rsidRDefault="00B17DED" w:rsidP="0025390A">
      <w:pPr>
        <w:pStyle w:val="10"/>
        <w:spacing w:line="360" w:lineRule="exact"/>
        <w:ind w:firstLineChars="200" w:firstLine="520"/>
        <w:rPr>
          <w:rFonts w:ascii="Times New Roman" w:hAnsi="Times New Roman" w:cs="Times New Roman"/>
          <w:sz w:val="26"/>
          <w:szCs w:val="26"/>
        </w:rPr>
      </w:pPr>
    </w:p>
    <w:p w14:paraId="0653C603" w14:textId="77777777" w:rsidR="00B17DED" w:rsidRPr="00B17DED" w:rsidRDefault="00B17DED" w:rsidP="00F830F9">
      <w:pPr>
        <w:pStyle w:val="10"/>
        <w:spacing w:line="360" w:lineRule="exact"/>
        <w:rPr>
          <w:rFonts w:ascii="Times New Roman" w:hAnsi="Times New Roman" w:cs="Times New Roman"/>
          <w:i/>
          <w:iCs/>
          <w:sz w:val="26"/>
          <w:szCs w:val="26"/>
        </w:rPr>
      </w:pPr>
      <w:r w:rsidRPr="00B17DED">
        <w:rPr>
          <w:rFonts w:ascii="Times New Roman" w:hAnsi="Times New Roman" w:cs="Times New Roman"/>
          <w:i/>
          <w:iCs/>
          <w:sz w:val="26"/>
          <w:szCs w:val="26"/>
        </w:rPr>
        <w:t>Direct effects only</w:t>
      </w:r>
    </w:p>
    <w:p w14:paraId="56E01444" w14:textId="77777777" w:rsidR="0058232E" w:rsidRDefault="0058232E" w:rsidP="004C54B5">
      <w:pPr>
        <w:pStyle w:val="10"/>
        <w:spacing w:line="360" w:lineRule="exact"/>
        <w:ind w:left="910" w:hangingChars="350" w:hanging="910"/>
        <w:jc w:val="both"/>
        <w:rPr>
          <w:rFonts w:ascii="Times New Roman" w:hAnsi="Times New Roman" w:cs="Times New Roman"/>
          <w:sz w:val="26"/>
          <w:szCs w:val="26"/>
        </w:rPr>
      </w:pPr>
      <w:r>
        <w:rPr>
          <w:rFonts w:ascii="Times New Roman" w:hAnsi="Times New Roman" w:cs="Times New Roman"/>
          <w:sz w:val="26"/>
          <w:szCs w:val="26"/>
        </w:rPr>
        <w:t>ROA</w:t>
      </w:r>
      <w:r>
        <w:rPr>
          <w:rFonts w:ascii="Times New Roman" w:hAnsi="Times New Roman" w:cs="Times New Roman"/>
          <w:sz w:val="26"/>
          <w:szCs w:val="26"/>
          <w:vertAlign w:val="subscript"/>
        </w:rPr>
        <w:t>it</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0</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sidRPr="00B17DED">
        <w:rPr>
          <w:rFonts w:ascii="Times New Roman" w:hAnsi="Times New Roman" w:cs="Times New Roman"/>
          <w:sz w:val="26"/>
          <w:szCs w:val="26"/>
          <w:vertAlign w:val="subscript"/>
        </w:rPr>
        <w:t>1</w:t>
      </w:r>
      <w:r>
        <w:rPr>
          <w:rFonts w:ascii="Times New Roman" w:hAnsi="Times New Roman" w:cs="Times New Roman"/>
          <w:sz w:val="26"/>
          <w:szCs w:val="26"/>
        </w:rPr>
        <w:t xml:space="preserve"> HPWP</w:t>
      </w:r>
      <w:r>
        <w:rPr>
          <w:rFonts w:ascii="Times New Roman" w:hAnsi="Times New Roman" w:cs="Times New Roman"/>
          <w:sz w:val="26"/>
          <w:szCs w:val="26"/>
          <w:vertAlign w:val="subscript"/>
        </w:rPr>
        <w:t>it-1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2</w:t>
      </w:r>
      <w:r>
        <w:rPr>
          <w:rFonts w:ascii="Times New Roman" w:hAnsi="Times New Roman" w:cs="Times New Roman"/>
          <w:sz w:val="26"/>
          <w:szCs w:val="26"/>
        </w:rPr>
        <w:t xml:space="preserve"> Labor market flexibility</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 xml:space="preserve">4 </w:t>
      </w:r>
      <w:r>
        <w:rPr>
          <w:rFonts w:ascii="Times New Roman" w:hAnsi="Times New Roman" w:cs="Times New Roman"/>
          <w:sz w:val="26"/>
          <w:szCs w:val="26"/>
        </w:rPr>
        <w:t>Labor market efficiency</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 xml:space="preserve">6 </w:t>
      </w:r>
      <w:r>
        <w:rPr>
          <w:rFonts w:ascii="Times New Roman" w:hAnsi="Times New Roman" w:cs="Times New Roman"/>
          <w:sz w:val="26"/>
          <w:szCs w:val="26"/>
        </w:rPr>
        <w:t>Quantity of education</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 xml:space="preserve">7 </w:t>
      </w:r>
      <w:r>
        <w:rPr>
          <w:rFonts w:ascii="Times New Roman" w:hAnsi="Times New Roman" w:cs="Times New Roman"/>
          <w:sz w:val="26"/>
          <w:szCs w:val="26"/>
        </w:rPr>
        <w:t>Quality of education</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 xml:space="preserve">8 </w:t>
      </w:r>
      <w:r>
        <w:rPr>
          <w:rFonts w:ascii="Times New Roman" w:hAnsi="Times New Roman" w:cs="Times New Roman"/>
          <w:sz w:val="26"/>
          <w:szCs w:val="26"/>
        </w:rPr>
        <w:t>On-the-job training</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 xml:space="preserve">9 </w:t>
      </w:r>
      <w:r>
        <w:rPr>
          <w:rFonts w:ascii="Times New Roman" w:hAnsi="Times New Roman" w:cs="Times New Roman"/>
          <w:sz w:val="26"/>
          <w:szCs w:val="26"/>
        </w:rPr>
        <w:t>log(Size</w:t>
      </w:r>
      <w:r w:rsidRPr="00B17DED">
        <w:rPr>
          <w:rFonts w:ascii="Times New Roman" w:hAnsi="Times New Roman" w:cs="Times New Roman"/>
          <w:sz w:val="26"/>
          <w:szCs w:val="26"/>
          <w:vertAlign w:val="subscript"/>
        </w:rPr>
        <w:t xml:space="preserve"> </w:t>
      </w:r>
      <w:r>
        <w:rPr>
          <w:rFonts w:ascii="Times New Roman" w:hAnsi="Times New Roman" w:cs="Times New Roman"/>
          <w:sz w:val="26"/>
          <w:szCs w:val="26"/>
          <w:vertAlign w:val="subscript"/>
        </w:rPr>
        <w:t>i</w:t>
      </w:r>
      <w:r w:rsidRPr="00B17DED">
        <w:rPr>
          <w:rFonts w:ascii="Times New Roman" w:hAnsi="Times New Roman" w:cs="Times New Roman"/>
          <w:sz w:val="26"/>
          <w:szCs w:val="26"/>
          <w:vertAlign w:val="subscript"/>
        </w:rPr>
        <w:t>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 xml:space="preserve">10 </w:t>
      </w:r>
      <w:r>
        <w:rPr>
          <w:rFonts w:ascii="Times New Roman" w:hAnsi="Times New Roman" w:cs="Times New Roman"/>
          <w:sz w:val="26"/>
          <w:szCs w:val="26"/>
        </w:rPr>
        <w:t>Leverage</w:t>
      </w:r>
      <w:r w:rsidRPr="00B17DED">
        <w:rPr>
          <w:rFonts w:ascii="Times New Roman" w:hAnsi="Times New Roman" w:cs="Times New Roman"/>
          <w:sz w:val="26"/>
          <w:szCs w:val="26"/>
          <w:vertAlign w:val="subscript"/>
        </w:rPr>
        <w:t xml:space="preserve"> </w:t>
      </w:r>
      <w:r>
        <w:rPr>
          <w:rFonts w:ascii="Times New Roman" w:hAnsi="Times New Roman" w:cs="Times New Roman"/>
          <w:sz w:val="26"/>
          <w:szCs w:val="26"/>
          <w:vertAlign w:val="subscript"/>
        </w:rPr>
        <w:t>i</w:t>
      </w:r>
      <w:r w:rsidRPr="00B17DED">
        <w:rPr>
          <w:rFonts w:ascii="Times New Roman" w:hAnsi="Times New Roman" w:cs="Times New Roman"/>
          <w:sz w:val="26"/>
          <w:szCs w:val="26"/>
          <w:vertAlign w:val="subscript"/>
        </w:rPr>
        <w:t>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sidRPr="00B17DED">
        <w:rPr>
          <w:rFonts w:ascii="Times New Roman" w:hAnsi="Times New Roman" w:cs="Times New Roman"/>
          <w:sz w:val="26"/>
          <w:szCs w:val="26"/>
          <w:vertAlign w:val="subscript"/>
        </w:rPr>
        <w:t>1</w:t>
      </w:r>
      <w:r>
        <w:rPr>
          <w:rFonts w:ascii="Times New Roman" w:hAnsi="Times New Roman" w:cs="Times New Roman"/>
          <w:sz w:val="26"/>
          <w:szCs w:val="26"/>
          <w:vertAlign w:val="subscript"/>
        </w:rPr>
        <w:t xml:space="preserve">1 </w:t>
      </w:r>
      <w:r>
        <w:rPr>
          <w:rFonts w:ascii="Times New Roman" w:hAnsi="Times New Roman" w:cs="Times New Roman"/>
          <w:sz w:val="26"/>
          <w:szCs w:val="26"/>
        </w:rPr>
        <w:t>GDP</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sidRPr="00B17DED">
        <w:rPr>
          <w:rFonts w:ascii="Times New Roman" w:hAnsi="Times New Roman" w:cs="Times New Roman"/>
          <w:sz w:val="26"/>
          <w:szCs w:val="26"/>
          <w:vertAlign w:val="subscript"/>
        </w:rPr>
        <w:t>1</w:t>
      </w:r>
      <w:r>
        <w:rPr>
          <w:rFonts w:ascii="Times New Roman" w:hAnsi="Times New Roman" w:cs="Times New Roman"/>
          <w:sz w:val="26"/>
          <w:szCs w:val="26"/>
          <w:vertAlign w:val="subscript"/>
        </w:rPr>
        <w:t xml:space="preserve">2 </w:t>
      </w:r>
      <w:r>
        <w:rPr>
          <w:rFonts w:ascii="Times New Roman" w:hAnsi="Times New Roman" w:cs="Times New Roman"/>
          <w:sz w:val="26"/>
          <w:szCs w:val="26"/>
        </w:rPr>
        <w:t>GDP annual growth</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sidRPr="00B17DED">
        <w:rPr>
          <w:rFonts w:ascii="Times New Roman" w:hAnsi="Times New Roman" w:cs="Times New Roman"/>
          <w:sz w:val="26"/>
          <w:szCs w:val="26"/>
          <w:vertAlign w:val="subscript"/>
        </w:rPr>
        <w:t>1</w:t>
      </w:r>
      <w:r>
        <w:rPr>
          <w:rFonts w:ascii="Times New Roman" w:hAnsi="Times New Roman" w:cs="Times New Roman"/>
          <w:sz w:val="26"/>
          <w:szCs w:val="26"/>
          <w:vertAlign w:val="subscript"/>
        </w:rPr>
        <w:t xml:space="preserve">3 </w:t>
      </w:r>
      <w:r>
        <w:rPr>
          <w:rFonts w:ascii="Times New Roman" w:hAnsi="Times New Roman" w:cs="Times New Roman"/>
          <w:sz w:val="26"/>
          <w:szCs w:val="26"/>
        </w:rPr>
        <w:t>Industry</w:t>
      </w:r>
      <w:r w:rsidRPr="00B17DED">
        <w:rPr>
          <w:rFonts w:ascii="Times New Roman" w:hAnsi="Times New Roman" w:cs="Times New Roman"/>
          <w:sz w:val="26"/>
          <w:szCs w:val="26"/>
          <w:vertAlign w:val="subscript"/>
        </w:rPr>
        <w:t>i</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sidRPr="00B17DED">
        <w:rPr>
          <w:rFonts w:ascii="Times New Roman" w:hAnsi="Times New Roman" w:cs="Times New Roman"/>
          <w:sz w:val="26"/>
          <w:szCs w:val="26"/>
          <w:vertAlign w:val="subscript"/>
        </w:rPr>
        <w:t>1</w:t>
      </w:r>
      <w:r>
        <w:rPr>
          <w:rFonts w:ascii="Times New Roman" w:hAnsi="Times New Roman" w:cs="Times New Roman"/>
          <w:sz w:val="26"/>
          <w:szCs w:val="26"/>
          <w:vertAlign w:val="subscript"/>
        </w:rPr>
        <w:t xml:space="preserve">4 </w:t>
      </w:r>
      <w:r>
        <w:rPr>
          <w:rFonts w:ascii="Times New Roman" w:hAnsi="Times New Roman" w:cs="Times New Roman"/>
          <w:sz w:val="26"/>
          <w:szCs w:val="26"/>
        </w:rPr>
        <w:t>Year</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p>
    <w:p w14:paraId="6D7650DD" w14:textId="77777777" w:rsidR="0058232E" w:rsidRDefault="0058232E" w:rsidP="0025390A">
      <w:pPr>
        <w:pStyle w:val="10"/>
        <w:spacing w:line="360" w:lineRule="exact"/>
        <w:ind w:firstLineChars="200" w:firstLine="520"/>
        <w:rPr>
          <w:rFonts w:ascii="Times New Roman" w:hAnsi="Times New Roman" w:cs="Times New Roman"/>
          <w:sz w:val="26"/>
          <w:szCs w:val="26"/>
        </w:rPr>
      </w:pPr>
    </w:p>
    <w:p w14:paraId="6F091828" w14:textId="77777777" w:rsidR="0058232E" w:rsidRPr="00B17DED" w:rsidRDefault="0058232E" w:rsidP="00F830F9">
      <w:pPr>
        <w:pStyle w:val="10"/>
        <w:spacing w:line="360" w:lineRule="exact"/>
        <w:rPr>
          <w:rFonts w:ascii="Times New Roman" w:hAnsi="Times New Roman" w:cs="Times New Roman"/>
          <w:i/>
          <w:iCs/>
          <w:sz w:val="26"/>
          <w:szCs w:val="26"/>
        </w:rPr>
      </w:pPr>
      <w:r>
        <w:rPr>
          <w:rFonts w:ascii="Times New Roman" w:hAnsi="Times New Roman" w:cs="Times New Roman"/>
          <w:i/>
          <w:iCs/>
          <w:sz w:val="26"/>
          <w:szCs w:val="26"/>
        </w:rPr>
        <w:t>All</w:t>
      </w:r>
      <w:r w:rsidRPr="00B17DED">
        <w:rPr>
          <w:rFonts w:ascii="Times New Roman" w:hAnsi="Times New Roman" w:cs="Times New Roman"/>
          <w:i/>
          <w:iCs/>
          <w:sz w:val="26"/>
          <w:szCs w:val="26"/>
        </w:rPr>
        <w:t xml:space="preserve"> effects </w:t>
      </w:r>
      <w:r>
        <w:rPr>
          <w:rFonts w:ascii="Times New Roman" w:hAnsi="Times New Roman" w:cs="Times New Roman"/>
          <w:i/>
          <w:iCs/>
          <w:sz w:val="26"/>
          <w:szCs w:val="26"/>
        </w:rPr>
        <w:t>included</w:t>
      </w:r>
    </w:p>
    <w:p w14:paraId="4AF0A9B2" w14:textId="77777777" w:rsidR="0058232E" w:rsidRDefault="0058232E" w:rsidP="004C54B5">
      <w:pPr>
        <w:pStyle w:val="10"/>
        <w:spacing w:line="360" w:lineRule="exact"/>
        <w:ind w:left="910" w:hangingChars="350" w:hanging="910"/>
        <w:jc w:val="both"/>
        <w:rPr>
          <w:rFonts w:ascii="Times New Roman" w:hAnsi="Times New Roman" w:cs="Times New Roman"/>
          <w:sz w:val="26"/>
          <w:szCs w:val="26"/>
        </w:rPr>
      </w:pPr>
      <w:r>
        <w:rPr>
          <w:rFonts w:ascii="Times New Roman" w:hAnsi="Times New Roman" w:cs="Times New Roman"/>
          <w:sz w:val="26"/>
          <w:szCs w:val="26"/>
        </w:rPr>
        <w:t>ROA</w:t>
      </w:r>
      <w:r>
        <w:rPr>
          <w:rFonts w:ascii="Times New Roman" w:hAnsi="Times New Roman" w:cs="Times New Roman"/>
          <w:sz w:val="26"/>
          <w:szCs w:val="26"/>
          <w:vertAlign w:val="subscript"/>
        </w:rPr>
        <w:t>it</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0</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sidRPr="00B17DED">
        <w:rPr>
          <w:rFonts w:ascii="Times New Roman" w:hAnsi="Times New Roman" w:cs="Times New Roman"/>
          <w:sz w:val="26"/>
          <w:szCs w:val="26"/>
          <w:vertAlign w:val="subscript"/>
        </w:rPr>
        <w:t>1</w:t>
      </w:r>
      <w:r>
        <w:rPr>
          <w:rFonts w:ascii="Times New Roman" w:hAnsi="Times New Roman" w:cs="Times New Roman"/>
          <w:sz w:val="26"/>
          <w:szCs w:val="26"/>
        </w:rPr>
        <w:t xml:space="preserve"> HPWP</w:t>
      </w:r>
      <w:r>
        <w:rPr>
          <w:rFonts w:ascii="Times New Roman" w:hAnsi="Times New Roman" w:cs="Times New Roman"/>
          <w:sz w:val="26"/>
          <w:szCs w:val="26"/>
          <w:vertAlign w:val="subscript"/>
        </w:rPr>
        <w:t>it-1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2</w:t>
      </w:r>
      <w:r>
        <w:rPr>
          <w:rFonts w:ascii="Times New Roman" w:hAnsi="Times New Roman" w:cs="Times New Roman"/>
          <w:sz w:val="26"/>
          <w:szCs w:val="26"/>
        </w:rPr>
        <w:t xml:space="preserve"> Labor market flexibility</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3</w:t>
      </w:r>
      <w:r>
        <w:rPr>
          <w:rFonts w:ascii="Times New Roman" w:hAnsi="Times New Roman" w:cs="Times New Roman"/>
          <w:sz w:val="26"/>
          <w:szCs w:val="26"/>
        </w:rPr>
        <w:t xml:space="preserve"> HPWP</w:t>
      </w:r>
      <w:r w:rsidRPr="0058232E">
        <w:rPr>
          <w:rFonts w:ascii="Times New Roman" w:hAnsi="Times New Roman" w:cs="Times New Roman"/>
          <w:sz w:val="26"/>
          <w:szCs w:val="26"/>
          <w:vertAlign w:val="subscript"/>
        </w:rPr>
        <w:t>it-1</w:t>
      </w:r>
      <w:r>
        <w:rPr>
          <w:rFonts w:ascii="Times New Roman" w:hAnsi="Times New Roman" w:cs="Times New Roman"/>
          <w:sz w:val="26"/>
          <w:szCs w:val="26"/>
        </w:rPr>
        <w:t xml:space="preserve"> * Labor market flexibility</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 xml:space="preserve">4 </w:t>
      </w:r>
      <w:r>
        <w:rPr>
          <w:rFonts w:ascii="Times New Roman" w:hAnsi="Times New Roman" w:cs="Times New Roman"/>
          <w:sz w:val="26"/>
          <w:szCs w:val="26"/>
        </w:rPr>
        <w:t>Labor market efficiency</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 xml:space="preserve">5 </w:t>
      </w:r>
      <w:r>
        <w:rPr>
          <w:rFonts w:ascii="Times New Roman" w:hAnsi="Times New Roman" w:cs="Times New Roman"/>
          <w:sz w:val="26"/>
          <w:szCs w:val="26"/>
        </w:rPr>
        <w:t>HPWP</w:t>
      </w:r>
      <w:r w:rsidRPr="0058232E">
        <w:rPr>
          <w:rFonts w:ascii="Times New Roman" w:hAnsi="Times New Roman" w:cs="Times New Roman"/>
          <w:sz w:val="26"/>
          <w:szCs w:val="26"/>
          <w:vertAlign w:val="subscript"/>
        </w:rPr>
        <w:t>it-1</w:t>
      </w:r>
      <w:r>
        <w:rPr>
          <w:rFonts w:ascii="Times New Roman" w:hAnsi="Times New Roman" w:cs="Times New Roman"/>
          <w:sz w:val="26"/>
          <w:szCs w:val="26"/>
        </w:rPr>
        <w:t xml:space="preserve"> * Labor market efficiency</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 xml:space="preserve">-1 </w:t>
      </w:r>
      <w:r>
        <w:rPr>
          <w:rFonts w:ascii="Times New Roman" w:hAnsi="Times New Roman" w:cs="Times New Roman"/>
          <w:sz w:val="26"/>
          <w:szCs w:val="26"/>
        </w:rPr>
        <w:t xml:space="preserve">+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 xml:space="preserve">6 </w:t>
      </w:r>
      <w:r>
        <w:rPr>
          <w:rFonts w:ascii="Times New Roman" w:hAnsi="Times New Roman" w:cs="Times New Roman"/>
          <w:sz w:val="26"/>
          <w:szCs w:val="26"/>
        </w:rPr>
        <w:t>Quantity of education</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 xml:space="preserve">7 </w:t>
      </w:r>
      <w:r>
        <w:rPr>
          <w:rFonts w:ascii="Times New Roman" w:hAnsi="Times New Roman" w:cs="Times New Roman"/>
          <w:sz w:val="26"/>
          <w:szCs w:val="26"/>
        </w:rPr>
        <w:t>Quality of education</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 xml:space="preserve">8 </w:t>
      </w:r>
      <w:r>
        <w:rPr>
          <w:rFonts w:ascii="Times New Roman" w:hAnsi="Times New Roman" w:cs="Times New Roman"/>
          <w:sz w:val="26"/>
          <w:szCs w:val="26"/>
        </w:rPr>
        <w:t>On-the-</w:t>
      </w:r>
      <w:r>
        <w:rPr>
          <w:rFonts w:ascii="Times New Roman" w:hAnsi="Times New Roman" w:cs="Times New Roman"/>
          <w:sz w:val="26"/>
          <w:szCs w:val="26"/>
        </w:rPr>
        <w:lastRenderedPageBreak/>
        <w:t>job training</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 xml:space="preserve">9 </w:t>
      </w:r>
      <w:r>
        <w:rPr>
          <w:rFonts w:ascii="Times New Roman" w:hAnsi="Times New Roman" w:cs="Times New Roman"/>
          <w:sz w:val="26"/>
          <w:szCs w:val="26"/>
        </w:rPr>
        <w:t>log(Size</w:t>
      </w:r>
      <w:r w:rsidRPr="00B17DED">
        <w:rPr>
          <w:rFonts w:ascii="Times New Roman" w:hAnsi="Times New Roman" w:cs="Times New Roman"/>
          <w:sz w:val="26"/>
          <w:szCs w:val="26"/>
          <w:vertAlign w:val="subscript"/>
        </w:rPr>
        <w:t xml:space="preserve"> </w:t>
      </w:r>
      <w:r>
        <w:rPr>
          <w:rFonts w:ascii="Times New Roman" w:hAnsi="Times New Roman" w:cs="Times New Roman"/>
          <w:sz w:val="26"/>
          <w:szCs w:val="26"/>
          <w:vertAlign w:val="subscript"/>
        </w:rPr>
        <w:t>i</w:t>
      </w:r>
      <w:r w:rsidRPr="00B17DED">
        <w:rPr>
          <w:rFonts w:ascii="Times New Roman" w:hAnsi="Times New Roman" w:cs="Times New Roman"/>
          <w:sz w:val="26"/>
          <w:szCs w:val="26"/>
          <w:vertAlign w:val="subscript"/>
        </w:rPr>
        <w:t>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Pr>
          <w:rFonts w:ascii="Times New Roman" w:hAnsi="Times New Roman" w:cs="Times New Roman"/>
          <w:sz w:val="26"/>
          <w:szCs w:val="26"/>
          <w:vertAlign w:val="subscript"/>
        </w:rPr>
        <w:t xml:space="preserve">10 </w:t>
      </w:r>
      <w:r>
        <w:rPr>
          <w:rFonts w:ascii="Times New Roman" w:hAnsi="Times New Roman" w:cs="Times New Roman"/>
          <w:sz w:val="26"/>
          <w:szCs w:val="26"/>
        </w:rPr>
        <w:t>Leverage</w:t>
      </w:r>
      <w:r w:rsidRPr="00B17DED">
        <w:rPr>
          <w:rFonts w:ascii="Times New Roman" w:hAnsi="Times New Roman" w:cs="Times New Roman"/>
          <w:sz w:val="26"/>
          <w:szCs w:val="26"/>
          <w:vertAlign w:val="subscript"/>
        </w:rPr>
        <w:t xml:space="preserve"> </w:t>
      </w:r>
      <w:r>
        <w:rPr>
          <w:rFonts w:ascii="Times New Roman" w:hAnsi="Times New Roman" w:cs="Times New Roman"/>
          <w:sz w:val="26"/>
          <w:szCs w:val="26"/>
          <w:vertAlign w:val="subscript"/>
        </w:rPr>
        <w:t>i</w:t>
      </w:r>
      <w:r w:rsidRPr="00B17DED">
        <w:rPr>
          <w:rFonts w:ascii="Times New Roman" w:hAnsi="Times New Roman" w:cs="Times New Roman"/>
          <w:sz w:val="26"/>
          <w:szCs w:val="26"/>
          <w:vertAlign w:val="subscript"/>
        </w:rPr>
        <w:t>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sidRPr="00B17DED">
        <w:rPr>
          <w:rFonts w:ascii="Times New Roman" w:hAnsi="Times New Roman" w:cs="Times New Roman"/>
          <w:sz w:val="26"/>
          <w:szCs w:val="26"/>
          <w:vertAlign w:val="subscript"/>
        </w:rPr>
        <w:t>1</w:t>
      </w:r>
      <w:r>
        <w:rPr>
          <w:rFonts w:ascii="Times New Roman" w:hAnsi="Times New Roman" w:cs="Times New Roman"/>
          <w:sz w:val="26"/>
          <w:szCs w:val="26"/>
          <w:vertAlign w:val="subscript"/>
        </w:rPr>
        <w:t xml:space="preserve">1 </w:t>
      </w:r>
      <w:r>
        <w:rPr>
          <w:rFonts w:ascii="Times New Roman" w:hAnsi="Times New Roman" w:cs="Times New Roman"/>
          <w:sz w:val="26"/>
          <w:szCs w:val="26"/>
        </w:rPr>
        <w:t>GDP</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sidRPr="00B17DED">
        <w:rPr>
          <w:rFonts w:ascii="Times New Roman" w:hAnsi="Times New Roman" w:cs="Times New Roman"/>
          <w:sz w:val="26"/>
          <w:szCs w:val="26"/>
          <w:vertAlign w:val="subscript"/>
        </w:rPr>
        <w:t>1</w:t>
      </w:r>
      <w:r>
        <w:rPr>
          <w:rFonts w:ascii="Times New Roman" w:hAnsi="Times New Roman" w:cs="Times New Roman"/>
          <w:sz w:val="26"/>
          <w:szCs w:val="26"/>
          <w:vertAlign w:val="subscript"/>
        </w:rPr>
        <w:t xml:space="preserve">2 </w:t>
      </w:r>
      <w:r>
        <w:rPr>
          <w:rFonts w:ascii="Times New Roman" w:hAnsi="Times New Roman" w:cs="Times New Roman"/>
          <w:sz w:val="26"/>
          <w:szCs w:val="26"/>
        </w:rPr>
        <w:t>GDP annual growth</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sidRPr="00B17DED">
        <w:rPr>
          <w:rFonts w:ascii="Times New Roman" w:hAnsi="Times New Roman" w:cs="Times New Roman"/>
          <w:sz w:val="26"/>
          <w:szCs w:val="26"/>
          <w:vertAlign w:val="subscript"/>
        </w:rPr>
        <w:t>1</w:t>
      </w:r>
      <w:r>
        <w:rPr>
          <w:rFonts w:ascii="Times New Roman" w:hAnsi="Times New Roman" w:cs="Times New Roman"/>
          <w:sz w:val="26"/>
          <w:szCs w:val="26"/>
          <w:vertAlign w:val="subscript"/>
        </w:rPr>
        <w:t xml:space="preserve">3 </w:t>
      </w:r>
      <w:r>
        <w:rPr>
          <w:rFonts w:ascii="Times New Roman" w:hAnsi="Times New Roman" w:cs="Times New Roman"/>
          <w:sz w:val="26"/>
          <w:szCs w:val="26"/>
        </w:rPr>
        <w:t>Industry</w:t>
      </w:r>
      <w:r w:rsidRPr="00B17DED">
        <w:rPr>
          <w:rFonts w:ascii="Times New Roman" w:hAnsi="Times New Roman" w:cs="Times New Roman"/>
          <w:sz w:val="26"/>
          <w:szCs w:val="26"/>
          <w:vertAlign w:val="subscript"/>
        </w:rPr>
        <w:t>i</w:t>
      </w:r>
      <w:r>
        <w:rPr>
          <w:rFonts w:ascii="Times New Roman" w:hAnsi="Times New Roman" w:cs="Times New Roman"/>
          <w:sz w:val="26"/>
          <w:szCs w:val="26"/>
        </w:rPr>
        <w:t xml:space="preserve"> + </w:t>
      </w:r>
      <w:r w:rsidRPr="00B17DED">
        <w:rPr>
          <w:rFonts w:ascii="Times New Roman" w:hAnsi="Times New Roman" w:cs="Times New Roman"/>
          <w:i/>
          <w:iCs/>
          <w:sz w:val="26"/>
          <w:szCs w:val="26"/>
        </w:rPr>
        <w:sym w:font="Symbol" w:char="F062"/>
      </w:r>
      <w:r w:rsidRPr="00B17DED">
        <w:rPr>
          <w:rFonts w:ascii="Times New Roman" w:hAnsi="Times New Roman" w:cs="Times New Roman"/>
          <w:sz w:val="26"/>
          <w:szCs w:val="26"/>
          <w:vertAlign w:val="subscript"/>
        </w:rPr>
        <w:t>1</w:t>
      </w:r>
      <w:r>
        <w:rPr>
          <w:rFonts w:ascii="Times New Roman" w:hAnsi="Times New Roman" w:cs="Times New Roman"/>
          <w:sz w:val="26"/>
          <w:szCs w:val="26"/>
          <w:vertAlign w:val="subscript"/>
        </w:rPr>
        <w:t xml:space="preserve">4 </w:t>
      </w:r>
      <w:r>
        <w:rPr>
          <w:rFonts w:ascii="Times New Roman" w:hAnsi="Times New Roman" w:cs="Times New Roman"/>
          <w:sz w:val="26"/>
          <w:szCs w:val="26"/>
        </w:rPr>
        <w:t>Year</w:t>
      </w:r>
      <w:r w:rsidRPr="00B17DED">
        <w:rPr>
          <w:rFonts w:ascii="Times New Roman" w:hAnsi="Times New Roman" w:cs="Times New Roman"/>
          <w:sz w:val="26"/>
          <w:szCs w:val="26"/>
          <w:vertAlign w:val="subscript"/>
        </w:rPr>
        <w:t xml:space="preserve"> t</w:t>
      </w:r>
      <w:r>
        <w:rPr>
          <w:rFonts w:ascii="Times New Roman" w:hAnsi="Times New Roman" w:cs="Times New Roman"/>
          <w:sz w:val="26"/>
          <w:szCs w:val="26"/>
          <w:vertAlign w:val="subscript"/>
        </w:rPr>
        <w:t>-1</w:t>
      </w:r>
    </w:p>
    <w:p w14:paraId="0DAAF28D" w14:textId="77777777" w:rsidR="0058232E" w:rsidRPr="0058232E" w:rsidRDefault="0058232E" w:rsidP="0025390A">
      <w:pPr>
        <w:pStyle w:val="10"/>
        <w:spacing w:line="360" w:lineRule="exact"/>
        <w:ind w:firstLineChars="200" w:firstLine="520"/>
        <w:rPr>
          <w:rFonts w:ascii="Times New Roman" w:hAnsi="Times New Roman" w:cs="Times New Roman"/>
          <w:bCs/>
          <w:sz w:val="26"/>
          <w:szCs w:val="26"/>
        </w:rPr>
      </w:pPr>
    </w:p>
    <w:p w14:paraId="7227B960" w14:textId="192F4656" w:rsidR="00EA6450" w:rsidRDefault="0058232E" w:rsidP="00F830F9">
      <w:pPr>
        <w:pStyle w:val="3"/>
        <w:spacing w:before="0" w:after="0" w:line="360" w:lineRule="exact"/>
        <w:rPr>
          <w:bCs/>
          <w:i w:val="0"/>
          <w:sz w:val="26"/>
          <w:szCs w:val="26"/>
        </w:rPr>
      </w:pPr>
      <w:r w:rsidRPr="0058232E">
        <w:rPr>
          <w:bCs/>
          <w:i w:val="0"/>
          <w:sz w:val="26"/>
          <w:szCs w:val="26"/>
        </w:rPr>
        <w:t>Where</w:t>
      </w:r>
      <w:r>
        <w:rPr>
          <w:bCs/>
          <w:i w:val="0"/>
          <w:sz w:val="26"/>
          <w:szCs w:val="26"/>
        </w:rPr>
        <w:t xml:space="preserve"> ROA</w:t>
      </w:r>
      <w:r w:rsidRPr="0058232E">
        <w:rPr>
          <w:bCs/>
          <w:i w:val="0"/>
          <w:sz w:val="26"/>
          <w:szCs w:val="26"/>
          <w:vertAlign w:val="subscript"/>
        </w:rPr>
        <w:t>i</w:t>
      </w:r>
      <w:r>
        <w:rPr>
          <w:bCs/>
          <w:i w:val="0"/>
          <w:sz w:val="26"/>
          <w:szCs w:val="26"/>
          <w:vertAlign w:val="subscript"/>
        </w:rPr>
        <w:t>t</w:t>
      </w:r>
      <w:r>
        <w:rPr>
          <w:bCs/>
          <w:i w:val="0"/>
          <w:sz w:val="26"/>
          <w:szCs w:val="26"/>
        </w:rPr>
        <w:t xml:space="preserve"> refers to the return on assets of company</w:t>
      </w:r>
      <w:r w:rsidRPr="0058232E">
        <w:rPr>
          <w:bCs/>
          <w:i w:val="0"/>
          <w:sz w:val="26"/>
          <w:szCs w:val="26"/>
          <w:vertAlign w:val="subscript"/>
        </w:rPr>
        <w:t>i</w:t>
      </w:r>
      <w:r>
        <w:rPr>
          <w:bCs/>
          <w:i w:val="0"/>
          <w:sz w:val="26"/>
          <w:szCs w:val="26"/>
        </w:rPr>
        <w:t xml:space="preserve"> in year t, </w:t>
      </w:r>
      <w:r w:rsidRPr="0058232E">
        <w:rPr>
          <w:bCs/>
          <w:i w:val="0"/>
          <w:sz w:val="26"/>
          <w:szCs w:val="26"/>
        </w:rPr>
        <w:t>HPWP</w:t>
      </w:r>
      <w:r w:rsidRPr="0058232E">
        <w:rPr>
          <w:bCs/>
          <w:i w:val="0"/>
          <w:sz w:val="26"/>
          <w:szCs w:val="26"/>
          <w:vertAlign w:val="subscript"/>
        </w:rPr>
        <w:t>it-1</w:t>
      </w:r>
      <w:r>
        <w:rPr>
          <w:bCs/>
          <w:i w:val="0"/>
          <w:sz w:val="26"/>
          <w:szCs w:val="26"/>
          <w:vertAlign w:val="subscript"/>
        </w:rPr>
        <w:t xml:space="preserve"> </w:t>
      </w:r>
      <w:r>
        <w:rPr>
          <w:bCs/>
          <w:i w:val="0"/>
          <w:sz w:val="26"/>
          <w:szCs w:val="26"/>
        </w:rPr>
        <w:t>refers to the high-performance work practices score of company</w:t>
      </w:r>
      <w:r w:rsidRPr="0058232E">
        <w:rPr>
          <w:bCs/>
          <w:i w:val="0"/>
          <w:sz w:val="26"/>
          <w:szCs w:val="26"/>
          <w:vertAlign w:val="subscript"/>
        </w:rPr>
        <w:t>i</w:t>
      </w:r>
      <w:r>
        <w:rPr>
          <w:bCs/>
          <w:i w:val="0"/>
          <w:sz w:val="26"/>
          <w:szCs w:val="26"/>
          <w:vertAlign w:val="subscript"/>
        </w:rPr>
        <w:t xml:space="preserve"> </w:t>
      </w:r>
      <w:r>
        <w:rPr>
          <w:bCs/>
          <w:i w:val="0"/>
          <w:sz w:val="26"/>
          <w:szCs w:val="26"/>
        </w:rPr>
        <w:t>in year t, and so on.</w:t>
      </w:r>
      <w:r w:rsidR="005F6125">
        <w:rPr>
          <w:bCs/>
          <w:i w:val="0"/>
          <w:sz w:val="26"/>
          <w:szCs w:val="26"/>
        </w:rPr>
        <w:t xml:space="preserve"> </w:t>
      </w:r>
    </w:p>
    <w:p w14:paraId="4BEF6822" w14:textId="77777777" w:rsidR="00F830F9" w:rsidRPr="00F830F9" w:rsidRDefault="00F830F9" w:rsidP="00F830F9">
      <w:pPr>
        <w:pStyle w:val="10"/>
      </w:pPr>
    </w:p>
    <w:p w14:paraId="78FF93E1" w14:textId="77777777" w:rsidR="00021DBF" w:rsidRPr="00EA6450" w:rsidRDefault="009074BF" w:rsidP="004C54B5">
      <w:pPr>
        <w:pStyle w:val="3"/>
        <w:spacing w:before="0" w:after="0" w:line="360" w:lineRule="exact"/>
        <w:jc w:val="center"/>
        <w:rPr>
          <w:b/>
          <w:i w:val="0"/>
          <w:sz w:val="26"/>
          <w:szCs w:val="26"/>
        </w:rPr>
      </w:pPr>
      <w:r w:rsidRPr="00EA6450">
        <w:rPr>
          <w:b/>
          <w:i w:val="0"/>
          <w:sz w:val="26"/>
          <w:szCs w:val="26"/>
        </w:rPr>
        <w:t>ANALYSIS AND RESULTS</w:t>
      </w:r>
    </w:p>
    <w:p w14:paraId="7FD91040" w14:textId="3DF64E24" w:rsidR="00C060B5" w:rsidRDefault="001D321C" w:rsidP="004C54B5">
      <w:pPr>
        <w:spacing w:line="360" w:lineRule="exact"/>
        <w:ind w:firstLine="720"/>
        <w:jc w:val="both"/>
        <w:rPr>
          <w:sz w:val="26"/>
          <w:szCs w:val="26"/>
        </w:rPr>
      </w:pPr>
      <w:r>
        <w:rPr>
          <w:sz w:val="26"/>
          <w:szCs w:val="26"/>
        </w:rPr>
        <w:t>In Table 2</w:t>
      </w:r>
      <w:r w:rsidR="009074BF" w:rsidRPr="00EA6450">
        <w:rPr>
          <w:sz w:val="26"/>
          <w:szCs w:val="26"/>
        </w:rPr>
        <w:t xml:space="preserve">, we present descriptive statistics and pairwise correlations for the sample. As expected, some of the institutional variables are highly correlated, e.g., Quality of education and </w:t>
      </w:r>
      <w:r w:rsidR="00D778D2" w:rsidRPr="00EA6450">
        <w:rPr>
          <w:sz w:val="26"/>
          <w:szCs w:val="26"/>
        </w:rPr>
        <w:t>Labor market efficiency</w:t>
      </w:r>
      <w:r w:rsidR="009074BF" w:rsidRPr="00EA6450">
        <w:rPr>
          <w:sz w:val="26"/>
          <w:szCs w:val="26"/>
        </w:rPr>
        <w:t xml:space="preserve"> (0.75), and On-the-job training and </w:t>
      </w:r>
      <w:r w:rsidR="00D778D2" w:rsidRPr="00EA6450">
        <w:rPr>
          <w:sz w:val="26"/>
          <w:szCs w:val="26"/>
        </w:rPr>
        <w:t>Labor market efficiency</w:t>
      </w:r>
      <w:r w:rsidR="009074BF" w:rsidRPr="00EA6450">
        <w:rPr>
          <w:sz w:val="26"/>
          <w:szCs w:val="26"/>
        </w:rPr>
        <w:t xml:space="preserve"> (0.78). To prevent the potential threat of multicollinearity issues of the interaction terms, we followed the procedure suggested by </w:t>
      </w:r>
      <w:r w:rsidR="0040015F" w:rsidRPr="00EA6450">
        <w:rPr>
          <w:sz w:val="26"/>
          <w:szCs w:val="26"/>
        </w:rPr>
        <w:t xml:space="preserve">Cohen, </w:t>
      </w:r>
      <w:r w:rsidR="009074BF" w:rsidRPr="00EA6450">
        <w:rPr>
          <w:sz w:val="26"/>
          <w:szCs w:val="26"/>
        </w:rPr>
        <w:t>West</w:t>
      </w:r>
      <w:r w:rsidR="002942DC">
        <w:rPr>
          <w:sz w:val="26"/>
          <w:szCs w:val="26"/>
        </w:rPr>
        <w:t>,</w:t>
      </w:r>
      <w:r w:rsidR="0040015F" w:rsidRPr="00EA6450">
        <w:rPr>
          <w:sz w:val="26"/>
          <w:szCs w:val="26"/>
        </w:rPr>
        <w:t xml:space="preserve"> and Aiken</w:t>
      </w:r>
      <w:r w:rsidR="009074BF" w:rsidRPr="00EA6450">
        <w:rPr>
          <w:sz w:val="26"/>
          <w:szCs w:val="26"/>
        </w:rPr>
        <w:t xml:space="preserve"> (</w:t>
      </w:r>
      <w:r w:rsidR="0040015F" w:rsidRPr="00EA6450">
        <w:rPr>
          <w:sz w:val="26"/>
          <w:szCs w:val="26"/>
        </w:rPr>
        <w:t>2014</w:t>
      </w:r>
      <w:r w:rsidR="009074BF" w:rsidRPr="00EA6450">
        <w:rPr>
          <w:sz w:val="26"/>
          <w:szCs w:val="26"/>
        </w:rPr>
        <w:t>). We mean-center the direct terms by subtracting the mean of each variable from the values of each observation.</w:t>
      </w:r>
    </w:p>
    <w:p w14:paraId="312004FB" w14:textId="77777777" w:rsidR="0025390A" w:rsidRDefault="0025390A" w:rsidP="0025390A">
      <w:pPr>
        <w:rPr>
          <w:sz w:val="26"/>
          <w:szCs w:val="26"/>
        </w:rPr>
      </w:pPr>
    </w:p>
    <w:p w14:paraId="62E0639F" w14:textId="4A0B2EA3" w:rsidR="0025390A" w:rsidRDefault="0025390A" w:rsidP="00B32980">
      <w:pPr>
        <w:spacing w:line="360" w:lineRule="exact"/>
        <w:jc w:val="center"/>
        <w:rPr>
          <w:b/>
          <w:bCs/>
          <w:sz w:val="26"/>
          <w:szCs w:val="26"/>
        </w:rPr>
      </w:pPr>
      <w:r w:rsidRPr="0025390A">
        <w:rPr>
          <w:b/>
          <w:bCs/>
          <w:sz w:val="26"/>
          <w:szCs w:val="26"/>
        </w:rPr>
        <w:t>Table 2</w:t>
      </w:r>
      <w:r w:rsidR="00481A16">
        <w:rPr>
          <w:b/>
          <w:bCs/>
          <w:sz w:val="26"/>
          <w:szCs w:val="26"/>
        </w:rPr>
        <w:t>.</w:t>
      </w:r>
      <w:r w:rsidR="00F5202D">
        <w:rPr>
          <w:rFonts w:asciiTheme="minorEastAsia" w:eastAsiaTheme="minorEastAsia" w:hAnsiTheme="minorEastAsia" w:hint="eastAsia"/>
          <w:b/>
          <w:bCs/>
          <w:sz w:val="26"/>
          <w:szCs w:val="26"/>
          <w:lang w:eastAsia="zh-TW"/>
        </w:rPr>
        <w:t xml:space="preserve"> </w:t>
      </w:r>
      <w:r w:rsidRPr="0025390A">
        <w:rPr>
          <w:b/>
          <w:bCs/>
          <w:sz w:val="26"/>
          <w:szCs w:val="26"/>
        </w:rPr>
        <w:t xml:space="preserve"> Descriptive statistics and correlation matrix</w:t>
      </w:r>
    </w:p>
    <w:tbl>
      <w:tblPr>
        <w:tblW w:w="9664" w:type="dxa"/>
        <w:jc w:val="center"/>
        <w:tblLayout w:type="fixed"/>
        <w:tblCellMar>
          <w:left w:w="29" w:type="dxa"/>
          <w:right w:w="29" w:type="dxa"/>
        </w:tblCellMar>
        <w:tblLook w:val="04A0" w:firstRow="1" w:lastRow="0" w:firstColumn="1" w:lastColumn="0" w:noHBand="0" w:noVBand="1"/>
      </w:tblPr>
      <w:tblGrid>
        <w:gridCol w:w="1150"/>
        <w:gridCol w:w="575"/>
        <w:gridCol w:w="575"/>
        <w:gridCol w:w="575"/>
        <w:gridCol w:w="575"/>
        <w:gridCol w:w="576"/>
        <w:gridCol w:w="576"/>
        <w:gridCol w:w="576"/>
        <w:gridCol w:w="576"/>
        <w:gridCol w:w="576"/>
        <w:gridCol w:w="576"/>
        <w:gridCol w:w="576"/>
        <w:gridCol w:w="576"/>
        <w:gridCol w:w="576"/>
        <w:gridCol w:w="576"/>
        <w:gridCol w:w="454"/>
      </w:tblGrid>
      <w:tr w:rsidR="00141524" w:rsidRPr="00B7173A" w14:paraId="2FD8F7E5" w14:textId="77777777" w:rsidTr="00141524">
        <w:trPr>
          <w:trHeight w:val="375"/>
          <w:jc w:val="center"/>
        </w:trPr>
        <w:tc>
          <w:tcPr>
            <w:tcW w:w="1150" w:type="dxa"/>
            <w:tcBorders>
              <w:top w:val="single" w:sz="8" w:space="0" w:color="000000"/>
              <w:left w:val="nil"/>
              <w:bottom w:val="single" w:sz="4" w:space="0" w:color="000000"/>
              <w:right w:val="nil"/>
            </w:tcBorders>
            <w:shd w:val="clear" w:color="auto" w:fill="auto"/>
            <w:noWrap/>
            <w:vAlign w:val="center"/>
          </w:tcPr>
          <w:p w14:paraId="244B608B" w14:textId="77777777" w:rsidR="00141524" w:rsidRPr="00B7173A" w:rsidRDefault="00141524" w:rsidP="001C63A8">
            <w:pPr>
              <w:pStyle w:val="af6"/>
              <w:ind w:firstLine="0"/>
              <w:rPr>
                <w:sz w:val="18"/>
                <w:szCs w:val="18"/>
              </w:rPr>
            </w:pPr>
            <w:r w:rsidRPr="00B7173A">
              <w:rPr>
                <w:sz w:val="18"/>
                <w:szCs w:val="18"/>
              </w:rPr>
              <w:t>Variable</w:t>
            </w:r>
          </w:p>
        </w:tc>
        <w:tc>
          <w:tcPr>
            <w:tcW w:w="575" w:type="dxa"/>
            <w:tcBorders>
              <w:top w:val="single" w:sz="8" w:space="0" w:color="000000"/>
              <w:left w:val="nil"/>
              <w:bottom w:val="single" w:sz="4" w:space="0" w:color="000000"/>
              <w:right w:val="nil"/>
            </w:tcBorders>
            <w:shd w:val="clear" w:color="auto" w:fill="auto"/>
            <w:noWrap/>
            <w:vAlign w:val="center"/>
          </w:tcPr>
          <w:p w14:paraId="7AC37036" w14:textId="77777777" w:rsidR="00141524" w:rsidRPr="00B7173A" w:rsidRDefault="00141524" w:rsidP="00141524">
            <w:pPr>
              <w:pStyle w:val="af6"/>
              <w:ind w:firstLine="0"/>
              <w:jc w:val="both"/>
              <w:rPr>
                <w:sz w:val="18"/>
                <w:szCs w:val="18"/>
              </w:rPr>
            </w:pPr>
            <w:r w:rsidRPr="00B7173A">
              <w:rPr>
                <w:sz w:val="18"/>
                <w:szCs w:val="18"/>
              </w:rPr>
              <w:t>Mean</w:t>
            </w:r>
          </w:p>
        </w:tc>
        <w:tc>
          <w:tcPr>
            <w:tcW w:w="575" w:type="dxa"/>
            <w:tcBorders>
              <w:top w:val="single" w:sz="8" w:space="0" w:color="000000"/>
              <w:left w:val="nil"/>
              <w:bottom w:val="single" w:sz="4" w:space="0" w:color="000000"/>
              <w:right w:val="nil"/>
            </w:tcBorders>
            <w:shd w:val="clear" w:color="auto" w:fill="auto"/>
            <w:noWrap/>
            <w:vAlign w:val="center"/>
          </w:tcPr>
          <w:p w14:paraId="36B4BEE7" w14:textId="77777777" w:rsidR="00141524" w:rsidRPr="00B7173A" w:rsidRDefault="00141524" w:rsidP="00141524">
            <w:pPr>
              <w:pStyle w:val="af6"/>
              <w:ind w:firstLine="0"/>
              <w:jc w:val="both"/>
              <w:rPr>
                <w:sz w:val="18"/>
                <w:szCs w:val="18"/>
              </w:rPr>
            </w:pPr>
            <w:r w:rsidRPr="00B7173A">
              <w:rPr>
                <w:sz w:val="18"/>
                <w:szCs w:val="18"/>
              </w:rPr>
              <w:t>S.D.</w:t>
            </w:r>
          </w:p>
        </w:tc>
        <w:tc>
          <w:tcPr>
            <w:tcW w:w="575" w:type="dxa"/>
            <w:tcBorders>
              <w:top w:val="single" w:sz="8" w:space="0" w:color="000000"/>
              <w:left w:val="nil"/>
              <w:bottom w:val="single" w:sz="4" w:space="0" w:color="000000"/>
              <w:right w:val="nil"/>
            </w:tcBorders>
            <w:shd w:val="clear" w:color="auto" w:fill="auto"/>
            <w:noWrap/>
            <w:vAlign w:val="center"/>
          </w:tcPr>
          <w:p w14:paraId="4F0C845A" w14:textId="77777777" w:rsidR="00141524" w:rsidRPr="00B7173A" w:rsidRDefault="00141524" w:rsidP="00141524">
            <w:pPr>
              <w:pStyle w:val="af6"/>
              <w:ind w:firstLine="0"/>
              <w:jc w:val="both"/>
              <w:rPr>
                <w:sz w:val="18"/>
                <w:szCs w:val="18"/>
              </w:rPr>
            </w:pPr>
            <w:r w:rsidRPr="00B7173A">
              <w:rPr>
                <w:sz w:val="18"/>
                <w:szCs w:val="18"/>
              </w:rPr>
              <w:t>Min.</w:t>
            </w:r>
          </w:p>
        </w:tc>
        <w:tc>
          <w:tcPr>
            <w:tcW w:w="575" w:type="dxa"/>
            <w:tcBorders>
              <w:top w:val="single" w:sz="8" w:space="0" w:color="000000"/>
              <w:left w:val="nil"/>
              <w:bottom w:val="single" w:sz="4" w:space="0" w:color="000000"/>
              <w:right w:val="nil"/>
            </w:tcBorders>
            <w:shd w:val="clear" w:color="auto" w:fill="auto"/>
            <w:noWrap/>
            <w:vAlign w:val="center"/>
          </w:tcPr>
          <w:p w14:paraId="2E3E41C5" w14:textId="77777777" w:rsidR="00141524" w:rsidRPr="00B7173A" w:rsidRDefault="00141524" w:rsidP="00141524">
            <w:pPr>
              <w:pStyle w:val="af6"/>
              <w:ind w:firstLine="0"/>
              <w:jc w:val="both"/>
              <w:rPr>
                <w:sz w:val="18"/>
                <w:szCs w:val="18"/>
              </w:rPr>
            </w:pPr>
            <w:r w:rsidRPr="00B7173A">
              <w:rPr>
                <w:sz w:val="18"/>
                <w:szCs w:val="18"/>
              </w:rPr>
              <w:t>Max.</w:t>
            </w:r>
          </w:p>
        </w:tc>
        <w:tc>
          <w:tcPr>
            <w:tcW w:w="576" w:type="dxa"/>
            <w:tcBorders>
              <w:top w:val="single" w:sz="8" w:space="0" w:color="000000"/>
              <w:left w:val="nil"/>
              <w:bottom w:val="single" w:sz="4" w:space="0" w:color="000000"/>
              <w:right w:val="nil"/>
            </w:tcBorders>
            <w:shd w:val="clear" w:color="auto" w:fill="auto"/>
            <w:noWrap/>
            <w:vAlign w:val="center"/>
          </w:tcPr>
          <w:p w14:paraId="256DEA93" w14:textId="77777777" w:rsidR="00141524" w:rsidRPr="00B7173A" w:rsidRDefault="00141524" w:rsidP="00141524">
            <w:pPr>
              <w:pStyle w:val="af6"/>
              <w:ind w:firstLine="0"/>
              <w:jc w:val="both"/>
              <w:rPr>
                <w:sz w:val="18"/>
                <w:szCs w:val="18"/>
              </w:rPr>
            </w:pPr>
            <w:r w:rsidRPr="00B7173A">
              <w:rPr>
                <w:sz w:val="18"/>
                <w:szCs w:val="18"/>
              </w:rPr>
              <w:t>1</w:t>
            </w:r>
          </w:p>
        </w:tc>
        <w:tc>
          <w:tcPr>
            <w:tcW w:w="576" w:type="dxa"/>
            <w:tcBorders>
              <w:top w:val="single" w:sz="8" w:space="0" w:color="000000"/>
              <w:left w:val="nil"/>
              <w:bottom w:val="single" w:sz="4" w:space="0" w:color="000000"/>
              <w:right w:val="nil"/>
            </w:tcBorders>
            <w:shd w:val="clear" w:color="auto" w:fill="auto"/>
            <w:noWrap/>
            <w:vAlign w:val="center"/>
          </w:tcPr>
          <w:p w14:paraId="04CCD23D" w14:textId="77777777" w:rsidR="00141524" w:rsidRPr="00B7173A" w:rsidRDefault="00141524" w:rsidP="00141524">
            <w:pPr>
              <w:pStyle w:val="af6"/>
              <w:ind w:firstLine="0"/>
              <w:jc w:val="both"/>
              <w:rPr>
                <w:sz w:val="18"/>
                <w:szCs w:val="18"/>
              </w:rPr>
            </w:pPr>
            <w:r w:rsidRPr="00B7173A">
              <w:rPr>
                <w:sz w:val="18"/>
                <w:szCs w:val="18"/>
              </w:rPr>
              <w:t>2</w:t>
            </w:r>
          </w:p>
        </w:tc>
        <w:tc>
          <w:tcPr>
            <w:tcW w:w="576" w:type="dxa"/>
            <w:tcBorders>
              <w:top w:val="single" w:sz="8" w:space="0" w:color="000000"/>
              <w:left w:val="nil"/>
              <w:bottom w:val="single" w:sz="4" w:space="0" w:color="000000"/>
              <w:right w:val="nil"/>
            </w:tcBorders>
            <w:shd w:val="clear" w:color="auto" w:fill="auto"/>
            <w:noWrap/>
            <w:vAlign w:val="center"/>
          </w:tcPr>
          <w:p w14:paraId="40AA108D" w14:textId="77777777" w:rsidR="00141524" w:rsidRPr="00B7173A" w:rsidRDefault="00141524" w:rsidP="00141524">
            <w:pPr>
              <w:pStyle w:val="af6"/>
              <w:ind w:firstLine="0"/>
              <w:jc w:val="both"/>
              <w:rPr>
                <w:sz w:val="18"/>
                <w:szCs w:val="18"/>
              </w:rPr>
            </w:pPr>
            <w:r w:rsidRPr="00B7173A">
              <w:rPr>
                <w:sz w:val="18"/>
                <w:szCs w:val="18"/>
              </w:rPr>
              <w:t>3</w:t>
            </w:r>
          </w:p>
        </w:tc>
        <w:tc>
          <w:tcPr>
            <w:tcW w:w="576" w:type="dxa"/>
            <w:tcBorders>
              <w:top w:val="single" w:sz="8" w:space="0" w:color="000000"/>
              <w:left w:val="nil"/>
              <w:bottom w:val="single" w:sz="4" w:space="0" w:color="000000"/>
              <w:right w:val="nil"/>
            </w:tcBorders>
            <w:shd w:val="clear" w:color="auto" w:fill="auto"/>
            <w:noWrap/>
            <w:vAlign w:val="center"/>
          </w:tcPr>
          <w:p w14:paraId="5749D95F" w14:textId="77777777" w:rsidR="00141524" w:rsidRPr="00B7173A" w:rsidRDefault="00141524" w:rsidP="00141524">
            <w:pPr>
              <w:pStyle w:val="af6"/>
              <w:ind w:firstLine="0"/>
              <w:jc w:val="both"/>
              <w:rPr>
                <w:sz w:val="18"/>
                <w:szCs w:val="18"/>
              </w:rPr>
            </w:pPr>
            <w:r w:rsidRPr="00B7173A">
              <w:rPr>
                <w:sz w:val="18"/>
                <w:szCs w:val="18"/>
              </w:rPr>
              <w:t>4</w:t>
            </w:r>
          </w:p>
        </w:tc>
        <w:tc>
          <w:tcPr>
            <w:tcW w:w="576" w:type="dxa"/>
            <w:tcBorders>
              <w:top w:val="single" w:sz="8" w:space="0" w:color="000000"/>
              <w:left w:val="nil"/>
              <w:bottom w:val="single" w:sz="4" w:space="0" w:color="000000"/>
              <w:right w:val="nil"/>
            </w:tcBorders>
            <w:shd w:val="clear" w:color="auto" w:fill="auto"/>
            <w:noWrap/>
            <w:vAlign w:val="center"/>
          </w:tcPr>
          <w:p w14:paraId="4724FDC8" w14:textId="77777777" w:rsidR="00141524" w:rsidRPr="00B7173A" w:rsidRDefault="00141524" w:rsidP="00141524">
            <w:pPr>
              <w:pStyle w:val="af6"/>
              <w:ind w:firstLine="0"/>
              <w:jc w:val="both"/>
              <w:rPr>
                <w:sz w:val="18"/>
                <w:szCs w:val="18"/>
              </w:rPr>
            </w:pPr>
            <w:r w:rsidRPr="00B7173A">
              <w:rPr>
                <w:sz w:val="18"/>
                <w:szCs w:val="18"/>
              </w:rPr>
              <w:t>5</w:t>
            </w:r>
          </w:p>
        </w:tc>
        <w:tc>
          <w:tcPr>
            <w:tcW w:w="576" w:type="dxa"/>
            <w:tcBorders>
              <w:top w:val="single" w:sz="8" w:space="0" w:color="000000"/>
              <w:left w:val="nil"/>
              <w:bottom w:val="single" w:sz="4" w:space="0" w:color="000000"/>
              <w:right w:val="nil"/>
            </w:tcBorders>
            <w:shd w:val="clear" w:color="auto" w:fill="auto"/>
            <w:noWrap/>
            <w:vAlign w:val="center"/>
          </w:tcPr>
          <w:p w14:paraId="7128CD8D" w14:textId="77777777" w:rsidR="00141524" w:rsidRPr="00B7173A" w:rsidRDefault="00141524" w:rsidP="00141524">
            <w:pPr>
              <w:pStyle w:val="af6"/>
              <w:ind w:firstLine="0"/>
              <w:jc w:val="both"/>
              <w:rPr>
                <w:sz w:val="18"/>
                <w:szCs w:val="18"/>
              </w:rPr>
            </w:pPr>
            <w:r w:rsidRPr="00B7173A">
              <w:rPr>
                <w:sz w:val="18"/>
                <w:szCs w:val="18"/>
              </w:rPr>
              <w:t>6</w:t>
            </w:r>
          </w:p>
        </w:tc>
        <w:tc>
          <w:tcPr>
            <w:tcW w:w="576" w:type="dxa"/>
            <w:tcBorders>
              <w:top w:val="single" w:sz="8" w:space="0" w:color="000000"/>
              <w:left w:val="nil"/>
              <w:bottom w:val="single" w:sz="4" w:space="0" w:color="000000"/>
              <w:right w:val="nil"/>
            </w:tcBorders>
            <w:shd w:val="clear" w:color="auto" w:fill="auto"/>
            <w:noWrap/>
            <w:vAlign w:val="center"/>
          </w:tcPr>
          <w:p w14:paraId="456289A4" w14:textId="77777777" w:rsidR="00141524" w:rsidRPr="00B7173A" w:rsidRDefault="00141524" w:rsidP="00141524">
            <w:pPr>
              <w:pStyle w:val="af6"/>
              <w:ind w:firstLine="0"/>
              <w:jc w:val="both"/>
              <w:rPr>
                <w:sz w:val="18"/>
                <w:szCs w:val="18"/>
              </w:rPr>
            </w:pPr>
            <w:r w:rsidRPr="00B7173A">
              <w:rPr>
                <w:sz w:val="18"/>
                <w:szCs w:val="18"/>
              </w:rPr>
              <w:t>7</w:t>
            </w:r>
          </w:p>
        </w:tc>
        <w:tc>
          <w:tcPr>
            <w:tcW w:w="576" w:type="dxa"/>
            <w:tcBorders>
              <w:top w:val="single" w:sz="8" w:space="0" w:color="000000"/>
              <w:left w:val="nil"/>
              <w:bottom w:val="single" w:sz="4" w:space="0" w:color="000000"/>
              <w:right w:val="nil"/>
            </w:tcBorders>
            <w:shd w:val="clear" w:color="auto" w:fill="auto"/>
            <w:noWrap/>
            <w:vAlign w:val="center"/>
          </w:tcPr>
          <w:p w14:paraId="70473650" w14:textId="77777777" w:rsidR="00141524" w:rsidRPr="00B7173A" w:rsidRDefault="00141524" w:rsidP="00141524">
            <w:pPr>
              <w:pStyle w:val="af6"/>
              <w:ind w:firstLine="0"/>
              <w:jc w:val="both"/>
              <w:rPr>
                <w:sz w:val="18"/>
                <w:szCs w:val="18"/>
              </w:rPr>
            </w:pPr>
            <w:r w:rsidRPr="00B7173A">
              <w:rPr>
                <w:sz w:val="18"/>
                <w:szCs w:val="18"/>
              </w:rPr>
              <w:t>8</w:t>
            </w:r>
          </w:p>
        </w:tc>
        <w:tc>
          <w:tcPr>
            <w:tcW w:w="576" w:type="dxa"/>
            <w:tcBorders>
              <w:top w:val="single" w:sz="8" w:space="0" w:color="000000"/>
              <w:left w:val="nil"/>
              <w:bottom w:val="single" w:sz="4" w:space="0" w:color="000000"/>
              <w:right w:val="nil"/>
            </w:tcBorders>
            <w:shd w:val="clear" w:color="auto" w:fill="auto"/>
            <w:noWrap/>
            <w:vAlign w:val="center"/>
          </w:tcPr>
          <w:p w14:paraId="76FB7DD1" w14:textId="77777777" w:rsidR="00141524" w:rsidRPr="00B7173A" w:rsidRDefault="00141524" w:rsidP="00141524">
            <w:pPr>
              <w:pStyle w:val="af6"/>
              <w:ind w:firstLine="0"/>
              <w:jc w:val="both"/>
              <w:rPr>
                <w:sz w:val="18"/>
                <w:szCs w:val="18"/>
              </w:rPr>
            </w:pPr>
            <w:r w:rsidRPr="00B7173A">
              <w:rPr>
                <w:sz w:val="18"/>
                <w:szCs w:val="18"/>
              </w:rPr>
              <w:t>9</w:t>
            </w:r>
          </w:p>
        </w:tc>
        <w:tc>
          <w:tcPr>
            <w:tcW w:w="576" w:type="dxa"/>
            <w:tcBorders>
              <w:top w:val="single" w:sz="8" w:space="0" w:color="000000"/>
              <w:left w:val="nil"/>
              <w:bottom w:val="single" w:sz="4" w:space="0" w:color="000000"/>
              <w:right w:val="nil"/>
            </w:tcBorders>
            <w:shd w:val="clear" w:color="auto" w:fill="auto"/>
            <w:noWrap/>
            <w:vAlign w:val="center"/>
          </w:tcPr>
          <w:p w14:paraId="2916A45A" w14:textId="77777777" w:rsidR="00141524" w:rsidRPr="00B7173A" w:rsidRDefault="00141524" w:rsidP="00141524">
            <w:pPr>
              <w:pStyle w:val="af6"/>
              <w:ind w:firstLine="0"/>
              <w:jc w:val="both"/>
              <w:rPr>
                <w:sz w:val="18"/>
                <w:szCs w:val="18"/>
              </w:rPr>
            </w:pPr>
            <w:r w:rsidRPr="00B7173A">
              <w:rPr>
                <w:sz w:val="18"/>
                <w:szCs w:val="18"/>
              </w:rPr>
              <w:t>10</w:t>
            </w:r>
          </w:p>
        </w:tc>
        <w:tc>
          <w:tcPr>
            <w:tcW w:w="454" w:type="dxa"/>
            <w:tcBorders>
              <w:top w:val="single" w:sz="8" w:space="0" w:color="000000"/>
              <w:left w:val="nil"/>
              <w:bottom w:val="single" w:sz="4" w:space="0" w:color="000000"/>
              <w:right w:val="nil"/>
            </w:tcBorders>
            <w:shd w:val="clear" w:color="auto" w:fill="auto"/>
            <w:noWrap/>
            <w:vAlign w:val="center"/>
          </w:tcPr>
          <w:p w14:paraId="64ABDA0C" w14:textId="77777777" w:rsidR="00141524" w:rsidRPr="00B7173A" w:rsidRDefault="00141524" w:rsidP="00141524">
            <w:pPr>
              <w:pStyle w:val="af6"/>
              <w:ind w:firstLine="0"/>
              <w:jc w:val="both"/>
              <w:rPr>
                <w:sz w:val="18"/>
                <w:szCs w:val="18"/>
              </w:rPr>
            </w:pPr>
            <w:r w:rsidRPr="00B7173A">
              <w:rPr>
                <w:sz w:val="18"/>
                <w:szCs w:val="18"/>
              </w:rPr>
              <w:t>11</w:t>
            </w:r>
          </w:p>
        </w:tc>
      </w:tr>
      <w:tr w:rsidR="00141524" w:rsidRPr="00B7173A" w14:paraId="567A815B" w14:textId="77777777" w:rsidTr="00141524">
        <w:trPr>
          <w:trHeight w:val="465"/>
          <w:jc w:val="center"/>
        </w:trPr>
        <w:tc>
          <w:tcPr>
            <w:tcW w:w="1150" w:type="dxa"/>
            <w:tcBorders>
              <w:top w:val="nil"/>
              <w:left w:val="nil"/>
              <w:bottom w:val="nil"/>
              <w:right w:val="nil"/>
            </w:tcBorders>
            <w:shd w:val="clear" w:color="auto" w:fill="auto"/>
            <w:noWrap/>
            <w:vAlign w:val="center"/>
          </w:tcPr>
          <w:p w14:paraId="6F2EE862" w14:textId="77777777" w:rsidR="00141524" w:rsidRPr="00B7173A" w:rsidRDefault="00141524" w:rsidP="00141524">
            <w:pPr>
              <w:pStyle w:val="af6"/>
              <w:ind w:left="180" w:hangingChars="100" w:hanging="180"/>
              <w:rPr>
                <w:sz w:val="18"/>
                <w:szCs w:val="18"/>
              </w:rPr>
            </w:pPr>
            <w:r w:rsidRPr="00B7173A">
              <w:rPr>
                <w:sz w:val="18"/>
                <w:szCs w:val="18"/>
              </w:rPr>
              <w:t>1. ROA</w:t>
            </w:r>
          </w:p>
        </w:tc>
        <w:tc>
          <w:tcPr>
            <w:tcW w:w="575" w:type="dxa"/>
            <w:tcBorders>
              <w:top w:val="nil"/>
              <w:left w:val="nil"/>
              <w:bottom w:val="nil"/>
              <w:right w:val="nil"/>
            </w:tcBorders>
            <w:shd w:val="clear" w:color="auto" w:fill="auto"/>
            <w:noWrap/>
            <w:vAlign w:val="center"/>
          </w:tcPr>
          <w:p w14:paraId="7595EE83" w14:textId="77777777" w:rsidR="00141524" w:rsidRPr="001B1089" w:rsidRDefault="00141524" w:rsidP="00141524">
            <w:pPr>
              <w:pStyle w:val="af6"/>
              <w:ind w:firstLine="0"/>
              <w:jc w:val="both"/>
              <w:rPr>
                <w:sz w:val="16"/>
                <w:szCs w:val="16"/>
              </w:rPr>
            </w:pPr>
            <w:r w:rsidRPr="001B1089">
              <w:rPr>
                <w:sz w:val="16"/>
                <w:szCs w:val="16"/>
              </w:rPr>
              <w:t>0.04</w:t>
            </w:r>
          </w:p>
        </w:tc>
        <w:tc>
          <w:tcPr>
            <w:tcW w:w="575" w:type="dxa"/>
            <w:tcBorders>
              <w:top w:val="nil"/>
              <w:left w:val="nil"/>
              <w:bottom w:val="nil"/>
              <w:right w:val="nil"/>
            </w:tcBorders>
            <w:shd w:val="clear" w:color="auto" w:fill="auto"/>
            <w:noWrap/>
            <w:vAlign w:val="center"/>
          </w:tcPr>
          <w:p w14:paraId="13EBFB9F" w14:textId="77777777" w:rsidR="00141524" w:rsidRPr="001B1089" w:rsidRDefault="00141524" w:rsidP="00141524">
            <w:pPr>
              <w:pStyle w:val="af6"/>
              <w:ind w:firstLine="0"/>
              <w:jc w:val="both"/>
              <w:rPr>
                <w:sz w:val="16"/>
                <w:szCs w:val="16"/>
              </w:rPr>
            </w:pPr>
            <w:r w:rsidRPr="001B1089">
              <w:rPr>
                <w:sz w:val="16"/>
                <w:szCs w:val="16"/>
              </w:rPr>
              <w:t>0.12</w:t>
            </w:r>
          </w:p>
        </w:tc>
        <w:tc>
          <w:tcPr>
            <w:tcW w:w="575" w:type="dxa"/>
            <w:tcBorders>
              <w:top w:val="nil"/>
              <w:left w:val="nil"/>
              <w:bottom w:val="nil"/>
              <w:right w:val="nil"/>
            </w:tcBorders>
            <w:shd w:val="clear" w:color="auto" w:fill="auto"/>
            <w:noWrap/>
            <w:vAlign w:val="center"/>
          </w:tcPr>
          <w:p w14:paraId="5F20C91E" w14:textId="77777777" w:rsidR="00141524" w:rsidRPr="001B1089" w:rsidRDefault="00141524" w:rsidP="00141524">
            <w:pPr>
              <w:pStyle w:val="af6"/>
              <w:ind w:firstLine="0"/>
              <w:jc w:val="both"/>
              <w:rPr>
                <w:sz w:val="16"/>
                <w:szCs w:val="16"/>
              </w:rPr>
            </w:pPr>
            <w:r w:rsidRPr="001B1089">
              <w:rPr>
                <w:sz w:val="16"/>
                <w:szCs w:val="16"/>
              </w:rPr>
              <w:t>-3.59</w:t>
            </w:r>
          </w:p>
        </w:tc>
        <w:tc>
          <w:tcPr>
            <w:tcW w:w="575" w:type="dxa"/>
            <w:tcBorders>
              <w:top w:val="nil"/>
              <w:left w:val="nil"/>
              <w:bottom w:val="nil"/>
              <w:right w:val="nil"/>
            </w:tcBorders>
            <w:shd w:val="clear" w:color="auto" w:fill="auto"/>
            <w:noWrap/>
            <w:vAlign w:val="center"/>
          </w:tcPr>
          <w:p w14:paraId="07D0733F" w14:textId="77777777" w:rsidR="00141524" w:rsidRPr="001B1089" w:rsidRDefault="00141524" w:rsidP="00141524">
            <w:pPr>
              <w:pStyle w:val="af6"/>
              <w:ind w:firstLine="0"/>
              <w:jc w:val="both"/>
              <w:rPr>
                <w:sz w:val="16"/>
                <w:szCs w:val="16"/>
              </w:rPr>
            </w:pPr>
            <w:r w:rsidRPr="001B1089">
              <w:rPr>
                <w:sz w:val="16"/>
                <w:szCs w:val="16"/>
              </w:rPr>
              <w:t>3.36</w:t>
            </w:r>
          </w:p>
        </w:tc>
        <w:tc>
          <w:tcPr>
            <w:tcW w:w="576" w:type="dxa"/>
            <w:tcBorders>
              <w:top w:val="nil"/>
              <w:left w:val="nil"/>
              <w:bottom w:val="nil"/>
              <w:right w:val="nil"/>
            </w:tcBorders>
            <w:shd w:val="clear" w:color="auto" w:fill="auto"/>
            <w:noWrap/>
            <w:vAlign w:val="center"/>
          </w:tcPr>
          <w:p w14:paraId="62E1E837" w14:textId="77777777" w:rsidR="00141524" w:rsidRPr="001B1089" w:rsidRDefault="00141524" w:rsidP="00141524">
            <w:pPr>
              <w:pStyle w:val="af6"/>
              <w:ind w:firstLine="0"/>
              <w:jc w:val="both"/>
              <w:rPr>
                <w:sz w:val="16"/>
                <w:szCs w:val="16"/>
              </w:rPr>
            </w:pPr>
            <w:r w:rsidRPr="001B1089">
              <w:rPr>
                <w:sz w:val="16"/>
                <w:szCs w:val="16"/>
              </w:rPr>
              <w:t>1.00</w:t>
            </w:r>
          </w:p>
        </w:tc>
        <w:tc>
          <w:tcPr>
            <w:tcW w:w="576" w:type="dxa"/>
            <w:tcBorders>
              <w:top w:val="nil"/>
              <w:left w:val="nil"/>
              <w:bottom w:val="nil"/>
              <w:right w:val="nil"/>
            </w:tcBorders>
            <w:shd w:val="clear" w:color="auto" w:fill="auto"/>
            <w:noWrap/>
            <w:vAlign w:val="center"/>
          </w:tcPr>
          <w:p w14:paraId="0F9665E4"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17CFA27D"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139953E7"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7C348B1F"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06CA2C09"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15080DD8"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7107D043"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53CD8E67"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0FDCED32" w14:textId="77777777" w:rsidR="00141524" w:rsidRPr="001B1089" w:rsidRDefault="00141524" w:rsidP="00141524">
            <w:pPr>
              <w:pStyle w:val="af6"/>
              <w:ind w:firstLine="0"/>
              <w:jc w:val="both"/>
              <w:rPr>
                <w:sz w:val="16"/>
                <w:szCs w:val="16"/>
              </w:rPr>
            </w:pPr>
          </w:p>
        </w:tc>
        <w:tc>
          <w:tcPr>
            <w:tcW w:w="454" w:type="dxa"/>
            <w:tcBorders>
              <w:top w:val="nil"/>
              <w:left w:val="nil"/>
              <w:bottom w:val="nil"/>
              <w:right w:val="nil"/>
            </w:tcBorders>
            <w:shd w:val="clear" w:color="auto" w:fill="auto"/>
            <w:noWrap/>
            <w:vAlign w:val="center"/>
          </w:tcPr>
          <w:p w14:paraId="29846098" w14:textId="77777777" w:rsidR="00141524" w:rsidRPr="001B1089" w:rsidRDefault="00141524" w:rsidP="00141524">
            <w:pPr>
              <w:pStyle w:val="af6"/>
              <w:ind w:firstLine="0"/>
              <w:jc w:val="both"/>
              <w:rPr>
                <w:sz w:val="16"/>
                <w:szCs w:val="16"/>
              </w:rPr>
            </w:pPr>
          </w:p>
        </w:tc>
      </w:tr>
      <w:tr w:rsidR="00141524" w:rsidRPr="00B7173A" w14:paraId="43BB741B" w14:textId="77777777" w:rsidTr="00141524">
        <w:trPr>
          <w:trHeight w:val="465"/>
          <w:jc w:val="center"/>
        </w:trPr>
        <w:tc>
          <w:tcPr>
            <w:tcW w:w="1150" w:type="dxa"/>
            <w:tcBorders>
              <w:top w:val="nil"/>
              <w:left w:val="nil"/>
              <w:bottom w:val="nil"/>
              <w:right w:val="nil"/>
            </w:tcBorders>
            <w:shd w:val="clear" w:color="auto" w:fill="auto"/>
            <w:noWrap/>
            <w:vAlign w:val="center"/>
          </w:tcPr>
          <w:p w14:paraId="34C16D9B" w14:textId="77777777" w:rsidR="00141524" w:rsidRPr="00B7173A" w:rsidRDefault="00141524" w:rsidP="00141524">
            <w:pPr>
              <w:pStyle w:val="af6"/>
              <w:ind w:left="180" w:hangingChars="100" w:hanging="180"/>
              <w:rPr>
                <w:sz w:val="18"/>
                <w:szCs w:val="18"/>
              </w:rPr>
            </w:pPr>
            <w:r w:rsidRPr="00B7173A">
              <w:rPr>
                <w:sz w:val="18"/>
                <w:szCs w:val="18"/>
              </w:rPr>
              <w:t>2. HRM</w:t>
            </w:r>
          </w:p>
        </w:tc>
        <w:tc>
          <w:tcPr>
            <w:tcW w:w="575" w:type="dxa"/>
            <w:tcBorders>
              <w:top w:val="nil"/>
              <w:left w:val="nil"/>
              <w:bottom w:val="nil"/>
              <w:right w:val="nil"/>
            </w:tcBorders>
            <w:shd w:val="clear" w:color="auto" w:fill="auto"/>
            <w:noWrap/>
            <w:vAlign w:val="center"/>
          </w:tcPr>
          <w:p w14:paraId="7B969C36" w14:textId="77777777" w:rsidR="00141524" w:rsidRPr="001B1089" w:rsidRDefault="00141524" w:rsidP="00141524">
            <w:pPr>
              <w:pStyle w:val="af6"/>
              <w:ind w:firstLine="0"/>
              <w:jc w:val="both"/>
              <w:rPr>
                <w:sz w:val="16"/>
                <w:szCs w:val="16"/>
              </w:rPr>
            </w:pPr>
            <w:r w:rsidRPr="001B1089">
              <w:rPr>
                <w:sz w:val="16"/>
                <w:szCs w:val="16"/>
              </w:rPr>
              <w:t>0.50</w:t>
            </w:r>
          </w:p>
        </w:tc>
        <w:tc>
          <w:tcPr>
            <w:tcW w:w="575" w:type="dxa"/>
            <w:tcBorders>
              <w:top w:val="nil"/>
              <w:left w:val="nil"/>
              <w:bottom w:val="nil"/>
              <w:right w:val="nil"/>
            </w:tcBorders>
            <w:shd w:val="clear" w:color="auto" w:fill="auto"/>
            <w:noWrap/>
            <w:vAlign w:val="center"/>
          </w:tcPr>
          <w:p w14:paraId="5BF3B9B4" w14:textId="77777777" w:rsidR="00141524" w:rsidRPr="001B1089" w:rsidRDefault="00141524" w:rsidP="00141524">
            <w:pPr>
              <w:pStyle w:val="af6"/>
              <w:ind w:firstLine="0"/>
              <w:jc w:val="both"/>
              <w:rPr>
                <w:sz w:val="16"/>
                <w:szCs w:val="16"/>
              </w:rPr>
            </w:pPr>
            <w:r w:rsidRPr="001B1089">
              <w:rPr>
                <w:sz w:val="16"/>
                <w:szCs w:val="16"/>
              </w:rPr>
              <w:t>0.24</w:t>
            </w:r>
          </w:p>
        </w:tc>
        <w:tc>
          <w:tcPr>
            <w:tcW w:w="575" w:type="dxa"/>
            <w:tcBorders>
              <w:top w:val="nil"/>
              <w:left w:val="nil"/>
              <w:bottom w:val="nil"/>
              <w:right w:val="nil"/>
            </w:tcBorders>
            <w:shd w:val="clear" w:color="auto" w:fill="auto"/>
            <w:noWrap/>
            <w:vAlign w:val="center"/>
          </w:tcPr>
          <w:p w14:paraId="3028126C" w14:textId="77777777" w:rsidR="00141524" w:rsidRPr="001B1089" w:rsidRDefault="00141524" w:rsidP="00141524">
            <w:pPr>
              <w:pStyle w:val="af6"/>
              <w:ind w:firstLine="0"/>
              <w:jc w:val="both"/>
              <w:rPr>
                <w:sz w:val="16"/>
                <w:szCs w:val="16"/>
              </w:rPr>
            </w:pPr>
            <w:r w:rsidRPr="001B1089">
              <w:rPr>
                <w:sz w:val="16"/>
                <w:szCs w:val="16"/>
              </w:rPr>
              <w:t>0.07</w:t>
            </w:r>
          </w:p>
        </w:tc>
        <w:tc>
          <w:tcPr>
            <w:tcW w:w="575" w:type="dxa"/>
            <w:tcBorders>
              <w:top w:val="nil"/>
              <w:left w:val="nil"/>
              <w:bottom w:val="nil"/>
              <w:right w:val="nil"/>
            </w:tcBorders>
            <w:shd w:val="clear" w:color="auto" w:fill="auto"/>
            <w:noWrap/>
            <w:vAlign w:val="center"/>
          </w:tcPr>
          <w:p w14:paraId="0C577F85" w14:textId="77777777" w:rsidR="00141524" w:rsidRPr="001B1089" w:rsidRDefault="00141524" w:rsidP="00141524">
            <w:pPr>
              <w:pStyle w:val="af6"/>
              <w:ind w:firstLine="0"/>
              <w:jc w:val="both"/>
              <w:rPr>
                <w:sz w:val="16"/>
                <w:szCs w:val="16"/>
              </w:rPr>
            </w:pPr>
            <w:r w:rsidRPr="001B1089">
              <w:rPr>
                <w:sz w:val="16"/>
                <w:szCs w:val="16"/>
              </w:rPr>
              <w:t>0.98</w:t>
            </w:r>
          </w:p>
        </w:tc>
        <w:tc>
          <w:tcPr>
            <w:tcW w:w="576" w:type="dxa"/>
            <w:tcBorders>
              <w:top w:val="nil"/>
              <w:left w:val="nil"/>
              <w:bottom w:val="nil"/>
              <w:right w:val="nil"/>
            </w:tcBorders>
            <w:shd w:val="clear" w:color="auto" w:fill="auto"/>
            <w:noWrap/>
            <w:vAlign w:val="center"/>
          </w:tcPr>
          <w:p w14:paraId="13C3D355" w14:textId="77777777" w:rsidR="00141524" w:rsidRPr="001B1089" w:rsidRDefault="00141524" w:rsidP="00141524">
            <w:pPr>
              <w:pStyle w:val="af6"/>
              <w:ind w:firstLine="0"/>
              <w:jc w:val="both"/>
              <w:rPr>
                <w:sz w:val="16"/>
                <w:szCs w:val="16"/>
              </w:rPr>
            </w:pPr>
            <w:r w:rsidRPr="001B1089">
              <w:rPr>
                <w:sz w:val="16"/>
                <w:szCs w:val="16"/>
              </w:rPr>
              <w:t>0.05**</w:t>
            </w:r>
          </w:p>
        </w:tc>
        <w:tc>
          <w:tcPr>
            <w:tcW w:w="576" w:type="dxa"/>
            <w:tcBorders>
              <w:top w:val="nil"/>
              <w:left w:val="nil"/>
              <w:bottom w:val="nil"/>
              <w:right w:val="nil"/>
            </w:tcBorders>
            <w:shd w:val="clear" w:color="auto" w:fill="auto"/>
            <w:noWrap/>
            <w:vAlign w:val="center"/>
          </w:tcPr>
          <w:p w14:paraId="5A8F1854" w14:textId="77777777" w:rsidR="00141524" w:rsidRPr="001B1089" w:rsidRDefault="00141524" w:rsidP="00141524">
            <w:pPr>
              <w:pStyle w:val="af6"/>
              <w:ind w:firstLine="0"/>
              <w:jc w:val="both"/>
              <w:rPr>
                <w:sz w:val="16"/>
                <w:szCs w:val="16"/>
              </w:rPr>
            </w:pPr>
            <w:r w:rsidRPr="001B1089">
              <w:rPr>
                <w:sz w:val="16"/>
                <w:szCs w:val="16"/>
              </w:rPr>
              <w:t>1.00</w:t>
            </w:r>
          </w:p>
        </w:tc>
        <w:tc>
          <w:tcPr>
            <w:tcW w:w="576" w:type="dxa"/>
            <w:tcBorders>
              <w:top w:val="nil"/>
              <w:left w:val="nil"/>
              <w:bottom w:val="nil"/>
              <w:right w:val="nil"/>
            </w:tcBorders>
            <w:shd w:val="clear" w:color="auto" w:fill="auto"/>
            <w:noWrap/>
            <w:vAlign w:val="center"/>
          </w:tcPr>
          <w:p w14:paraId="3EA52E0D"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61E472E6"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1418DB04"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1896ECCA"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7106CE08"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2D1B0224"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002DF506"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7E1DA7C4" w14:textId="77777777" w:rsidR="00141524" w:rsidRPr="001B1089" w:rsidRDefault="00141524" w:rsidP="00141524">
            <w:pPr>
              <w:pStyle w:val="af6"/>
              <w:ind w:firstLine="0"/>
              <w:jc w:val="both"/>
              <w:rPr>
                <w:sz w:val="16"/>
                <w:szCs w:val="16"/>
              </w:rPr>
            </w:pPr>
          </w:p>
        </w:tc>
        <w:tc>
          <w:tcPr>
            <w:tcW w:w="454" w:type="dxa"/>
            <w:tcBorders>
              <w:top w:val="nil"/>
              <w:left w:val="nil"/>
              <w:bottom w:val="nil"/>
              <w:right w:val="nil"/>
            </w:tcBorders>
            <w:shd w:val="clear" w:color="auto" w:fill="auto"/>
            <w:noWrap/>
            <w:vAlign w:val="center"/>
          </w:tcPr>
          <w:p w14:paraId="52B9FA12" w14:textId="77777777" w:rsidR="00141524" w:rsidRPr="001B1089" w:rsidRDefault="00141524" w:rsidP="00141524">
            <w:pPr>
              <w:pStyle w:val="af6"/>
              <w:ind w:firstLine="0"/>
              <w:jc w:val="both"/>
              <w:rPr>
                <w:sz w:val="16"/>
                <w:szCs w:val="16"/>
              </w:rPr>
            </w:pPr>
          </w:p>
        </w:tc>
      </w:tr>
      <w:tr w:rsidR="00141524" w:rsidRPr="00B7173A" w14:paraId="1AC6B019" w14:textId="77777777" w:rsidTr="00141524">
        <w:trPr>
          <w:trHeight w:val="465"/>
          <w:jc w:val="center"/>
        </w:trPr>
        <w:tc>
          <w:tcPr>
            <w:tcW w:w="1150" w:type="dxa"/>
            <w:tcBorders>
              <w:top w:val="nil"/>
              <w:left w:val="nil"/>
              <w:bottom w:val="nil"/>
              <w:right w:val="nil"/>
            </w:tcBorders>
            <w:shd w:val="clear" w:color="auto" w:fill="auto"/>
            <w:noWrap/>
            <w:vAlign w:val="center"/>
          </w:tcPr>
          <w:p w14:paraId="09621B69" w14:textId="77777777" w:rsidR="00141524" w:rsidRPr="00B7173A" w:rsidRDefault="00141524" w:rsidP="00141524">
            <w:pPr>
              <w:pStyle w:val="af6"/>
              <w:ind w:left="180" w:hangingChars="100" w:hanging="180"/>
              <w:rPr>
                <w:sz w:val="18"/>
                <w:szCs w:val="18"/>
              </w:rPr>
            </w:pPr>
            <w:r w:rsidRPr="00B7173A">
              <w:rPr>
                <w:sz w:val="18"/>
                <w:szCs w:val="18"/>
              </w:rPr>
              <w:t>3. Labor market flexibility</w:t>
            </w:r>
          </w:p>
        </w:tc>
        <w:tc>
          <w:tcPr>
            <w:tcW w:w="575" w:type="dxa"/>
            <w:tcBorders>
              <w:top w:val="nil"/>
              <w:left w:val="nil"/>
              <w:bottom w:val="nil"/>
              <w:right w:val="nil"/>
            </w:tcBorders>
            <w:shd w:val="clear" w:color="auto" w:fill="auto"/>
            <w:noWrap/>
            <w:vAlign w:val="center"/>
          </w:tcPr>
          <w:p w14:paraId="13C23854" w14:textId="77777777" w:rsidR="00141524" w:rsidRPr="001B1089" w:rsidRDefault="00141524" w:rsidP="00141524">
            <w:pPr>
              <w:pStyle w:val="af6"/>
              <w:ind w:firstLine="0"/>
              <w:jc w:val="both"/>
              <w:rPr>
                <w:sz w:val="16"/>
                <w:szCs w:val="16"/>
              </w:rPr>
            </w:pPr>
            <w:r w:rsidRPr="001B1089">
              <w:rPr>
                <w:sz w:val="16"/>
                <w:szCs w:val="16"/>
              </w:rPr>
              <w:t>5.08</w:t>
            </w:r>
          </w:p>
        </w:tc>
        <w:tc>
          <w:tcPr>
            <w:tcW w:w="575" w:type="dxa"/>
            <w:tcBorders>
              <w:top w:val="nil"/>
              <w:left w:val="nil"/>
              <w:bottom w:val="nil"/>
              <w:right w:val="nil"/>
            </w:tcBorders>
            <w:shd w:val="clear" w:color="auto" w:fill="auto"/>
            <w:noWrap/>
            <w:vAlign w:val="center"/>
          </w:tcPr>
          <w:p w14:paraId="1CF7B64D" w14:textId="77777777" w:rsidR="00141524" w:rsidRPr="001B1089" w:rsidRDefault="00141524" w:rsidP="00141524">
            <w:pPr>
              <w:pStyle w:val="af6"/>
              <w:ind w:firstLine="0"/>
              <w:jc w:val="both"/>
              <w:rPr>
                <w:sz w:val="16"/>
                <w:szCs w:val="16"/>
              </w:rPr>
            </w:pPr>
            <w:r w:rsidRPr="001B1089">
              <w:rPr>
                <w:sz w:val="16"/>
                <w:szCs w:val="16"/>
              </w:rPr>
              <w:t>0.71</w:t>
            </w:r>
          </w:p>
        </w:tc>
        <w:tc>
          <w:tcPr>
            <w:tcW w:w="575" w:type="dxa"/>
            <w:tcBorders>
              <w:top w:val="nil"/>
              <w:left w:val="nil"/>
              <w:bottom w:val="nil"/>
              <w:right w:val="nil"/>
            </w:tcBorders>
            <w:shd w:val="clear" w:color="auto" w:fill="auto"/>
            <w:noWrap/>
            <w:vAlign w:val="center"/>
          </w:tcPr>
          <w:p w14:paraId="66195BE5" w14:textId="77777777" w:rsidR="00141524" w:rsidRPr="001B1089" w:rsidRDefault="00141524" w:rsidP="00141524">
            <w:pPr>
              <w:pStyle w:val="af6"/>
              <w:ind w:firstLine="0"/>
              <w:jc w:val="both"/>
              <w:rPr>
                <w:sz w:val="16"/>
                <w:szCs w:val="16"/>
              </w:rPr>
            </w:pPr>
            <w:r w:rsidRPr="001B1089">
              <w:rPr>
                <w:sz w:val="16"/>
                <w:szCs w:val="16"/>
              </w:rPr>
              <w:t>3.36</w:t>
            </w:r>
          </w:p>
        </w:tc>
        <w:tc>
          <w:tcPr>
            <w:tcW w:w="575" w:type="dxa"/>
            <w:tcBorders>
              <w:top w:val="nil"/>
              <w:left w:val="nil"/>
              <w:bottom w:val="nil"/>
              <w:right w:val="nil"/>
            </w:tcBorders>
            <w:shd w:val="clear" w:color="auto" w:fill="auto"/>
            <w:noWrap/>
            <w:vAlign w:val="center"/>
          </w:tcPr>
          <w:p w14:paraId="75E75BAC" w14:textId="77777777" w:rsidR="00141524" w:rsidRPr="001B1089" w:rsidRDefault="00141524" w:rsidP="00141524">
            <w:pPr>
              <w:pStyle w:val="af6"/>
              <w:ind w:firstLine="0"/>
              <w:jc w:val="both"/>
              <w:rPr>
                <w:sz w:val="16"/>
                <w:szCs w:val="16"/>
              </w:rPr>
            </w:pPr>
            <w:r w:rsidRPr="001B1089">
              <w:rPr>
                <w:sz w:val="16"/>
                <w:szCs w:val="16"/>
              </w:rPr>
              <w:t>6.39</w:t>
            </w:r>
          </w:p>
        </w:tc>
        <w:tc>
          <w:tcPr>
            <w:tcW w:w="576" w:type="dxa"/>
            <w:tcBorders>
              <w:top w:val="nil"/>
              <w:left w:val="nil"/>
              <w:bottom w:val="nil"/>
              <w:right w:val="nil"/>
            </w:tcBorders>
            <w:shd w:val="clear" w:color="auto" w:fill="auto"/>
            <w:noWrap/>
            <w:vAlign w:val="center"/>
          </w:tcPr>
          <w:p w14:paraId="47B4BC83" w14:textId="77777777" w:rsidR="00141524" w:rsidRPr="001B1089" w:rsidRDefault="00141524" w:rsidP="00141524">
            <w:pPr>
              <w:pStyle w:val="af6"/>
              <w:ind w:firstLine="0"/>
              <w:jc w:val="both"/>
              <w:rPr>
                <w:sz w:val="16"/>
                <w:szCs w:val="16"/>
              </w:rPr>
            </w:pPr>
            <w:r w:rsidRPr="001B1089">
              <w:rPr>
                <w:sz w:val="16"/>
                <w:szCs w:val="16"/>
              </w:rPr>
              <w:t>0.02**</w:t>
            </w:r>
          </w:p>
        </w:tc>
        <w:tc>
          <w:tcPr>
            <w:tcW w:w="576" w:type="dxa"/>
            <w:tcBorders>
              <w:top w:val="nil"/>
              <w:left w:val="nil"/>
              <w:bottom w:val="nil"/>
              <w:right w:val="nil"/>
            </w:tcBorders>
            <w:shd w:val="clear" w:color="auto" w:fill="auto"/>
            <w:noWrap/>
            <w:vAlign w:val="center"/>
          </w:tcPr>
          <w:p w14:paraId="7BB0BE22" w14:textId="77777777" w:rsidR="00141524" w:rsidRPr="001B1089" w:rsidRDefault="00141524" w:rsidP="00141524">
            <w:pPr>
              <w:pStyle w:val="af6"/>
              <w:ind w:firstLine="0"/>
              <w:jc w:val="both"/>
              <w:rPr>
                <w:sz w:val="16"/>
                <w:szCs w:val="16"/>
              </w:rPr>
            </w:pPr>
            <w:r w:rsidRPr="001B1089">
              <w:rPr>
                <w:sz w:val="16"/>
                <w:szCs w:val="16"/>
              </w:rPr>
              <w:t>-0.21**</w:t>
            </w:r>
          </w:p>
        </w:tc>
        <w:tc>
          <w:tcPr>
            <w:tcW w:w="576" w:type="dxa"/>
            <w:tcBorders>
              <w:top w:val="nil"/>
              <w:left w:val="nil"/>
              <w:bottom w:val="nil"/>
              <w:right w:val="nil"/>
            </w:tcBorders>
            <w:shd w:val="clear" w:color="auto" w:fill="auto"/>
            <w:noWrap/>
            <w:vAlign w:val="center"/>
          </w:tcPr>
          <w:p w14:paraId="467B28AB" w14:textId="77777777" w:rsidR="00141524" w:rsidRPr="001B1089" w:rsidRDefault="00141524" w:rsidP="00141524">
            <w:pPr>
              <w:pStyle w:val="af6"/>
              <w:ind w:firstLine="0"/>
              <w:jc w:val="both"/>
              <w:rPr>
                <w:sz w:val="16"/>
                <w:szCs w:val="16"/>
              </w:rPr>
            </w:pPr>
            <w:r w:rsidRPr="001B1089">
              <w:rPr>
                <w:sz w:val="16"/>
                <w:szCs w:val="16"/>
              </w:rPr>
              <w:t>1.00</w:t>
            </w:r>
          </w:p>
        </w:tc>
        <w:tc>
          <w:tcPr>
            <w:tcW w:w="576" w:type="dxa"/>
            <w:tcBorders>
              <w:top w:val="nil"/>
              <w:left w:val="nil"/>
              <w:bottom w:val="nil"/>
              <w:right w:val="nil"/>
            </w:tcBorders>
            <w:shd w:val="clear" w:color="auto" w:fill="auto"/>
            <w:noWrap/>
            <w:vAlign w:val="center"/>
          </w:tcPr>
          <w:p w14:paraId="7DD40DF2"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4B27F759"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5748E3AD"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22535597"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7207515A"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1DC8DF2F"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3E26E0B8" w14:textId="77777777" w:rsidR="00141524" w:rsidRPr="001B1089" w:rsidRDefault="00141524" w:rsidP="00141524">
            <w:pPr>
              <w:pStyle w:val="af6"/>
              <w:ind w:firstLine="0"/>
              <w:jc w:val="both"/>
              <w:rPr>
                <w:sz w:val="16"/>
                <w:szCs w:val="16"/>
              </w:rPr>
            </w:pPr>
          </w:p>
        </w:tc>
        <w:tc>
          <w:tcPr>
            <w:tcW w:w="454" w:type="dxa"/>
            <w:tcBorders>
              <w:top w:val="nil"/>
              <w:left w:val="nil"/>
              <w:bottom w:val="nil"/>
              <w:right w:val="nil"/>
            </w:tcBorders>
            <w:shd w:val="clear" w:color="auto" w:fill="auto"/>
            <w:noWrap/>
            <w:vAlign w:val="center"/>
          </w:tcPr>
          <w:p w14:paraId="7487DA18" w14:textId="77777777" w:rsidR="00141524" w:rsidRPr="001B1089" w:rsidRDefault="00141524" w:rsidP="00141524">
            <w:pPr>
              <w:pStyle w:val="af6"/>
              <w:ind w:firstLine="0"/>
              <w:jc w:val="both"/>
              <w:rPr>
                <w:sz w:val="16"/>
                <w:szCs w:val="16"/>
              </w:rPr>
            </w:pPr>
          </w:p>
        </w:tc>
      </w:tr>
      <w:tr w:rsidR="00141524" w:rsidRPr="00B7173A" w14:paraId="377B6F21" w14:textId="77777777" w:rsidTr="00141524">
        <w:trPr>
          <w:trHeight w:val="465"/>
          <w:jc w:val="center"/>
        </w:trPr>
        <w:tc>
          <w:tcPr>
            <w:tcW w:w="1150" w:type="dxa"/>
            <w:tcBorders>
              <w:top w:val="nil"/>
              <w:left w:val="nil"/>
              <w:bottom w:val="nil"/>
              <w:right w:val="nil"/>
            </w:tcBorders>
            <w:shd w:val="clear" w:color="auto" w:fill="auto"/>
            <w:noWrap/>
            <w:vAlign w:val="center"/>
          </w:tcPr>
          <w:p w14:paraId="535E7FC7" w14:textId="77777777" w:rsidR="00141524" w:rsidRPr="00B7173A" w:rsidRDefault="00141524" w:rsidP="00141524">
            <w:pPr>
              <w:pStyle w:val="af6"/>
              <w:ind w:left="180" w:hangingChars="100" w:hanging="180"/>
              <w:rPr>
                <w:sz w:val="18"/>
                <w:szCs w:val="18"/>
              </w:rPr>
            </w:pPr>
            <w:r w:rsidRPr="00B7173A">
              <w:rPr>
                <w:sz w:val="18"/>
                <w:szCs w:val="18"/>
              </w:rPr>
              <w:t>4. Labor market efficiency</w:t>
            </w:r>
          </w:p>
        </w:tc>
        <w:tc>
          <w:tcPr>
            <w:tcW w:w="575" w:type="dxa"/>
            <w:tcBorders>
              <w:top w:val="nil"/>
              <w:left w:val="nil"/>
              <w:bottom w:val="nil"/>
              <w:right w:val="nil"/>
            </w:tcBorders>
            <w:shd w:val="clear" w:color="auto" w:fill="auto"/>
            <w:noWrap/>
            <w:vAlign w:val="center"/>
          </w:tcPr>
          <w:p w14:paraId="6B58E72F" w14:textId="77777777" w:rsidR="00141524" w:rsidRPr="001B1089" w:rsidRDefault="00141524" w:rsidP="00141524">
            <w:pPr>
              <w:pStyle w:val="af6"/>
              <w:ind w:firstLine="0"/>
              <w:jc w:val="both"/>
              <w:rPr>
                <w:sz w:val="16"/>
                <w:szCs w:val="16"/>
              </w:rPr>
            </w:pPr>
            <w:r w:rsidRPr="001B1089">
              <w:rPr>
                <w:sz w:val="16"/>
                <w:szCs w:val="16"/>
              </w:rPr>
              <w:t>5.11</w:t>
            </w:r>
          </w:p>
        </w:tc>
        <w:tc>
          <w:tcPr>
            <w:tcW w:w="575" w:type="dxa"/>
            <w:tcBorders>
              <w:top w:val="nil"/>
              <w:left w:val="nil"/>
              <w:bottom w:val="nil"/>
              <w:right w:val="nil"/>
            </w:tcBorders>
            <w:shd w:val="clear" w:color="auto" w:fill="auto"/>
            <w:noWrap/>
            <w:vAlign w:val="center"/>
          </w:tcPr>
          <w:p w14:paraId="4CA9D382" w14:textId="77777777" w:rsidR="00141524" w:rsidRPr="001B1089" w:rsidRDefault="00141524" w:rsidP="00141524">
            <w:pPr>
              <w:pStyle w:val="af6"/>
              <w:ind w:firstLine="0"/>
              <w:jc w:val="both"/>
              <w:rPr>
                <w:sz w:val="16"/>
                <w:szCs w:val="16"/>
              </w:rPr>
            </w:pPr>
            <w:r w:rsidRPr="001B1089">
              <w:rPr>
                <w:sz w:val="16"/>
                <w:szCs w:val="16"/>
              </w:rPr>
              <w:t>0.53</w:t>
            </w:r>
          </w:p>
        </w:tc>
        <w:tc>
          <w:tcPr>
            <w:tcW w:w="575" w:type="dxa"/>
            <w:tcBorders>
              <w:top w:val="nil"/>
              <w:left w:val="nil"/>
              <w:bottom w:val="nil"/>
              <w:right w:val="nil"/>
            </w:tcBorders>
            <w:shd w:val="clear" w:color="auto" w:fill="auto"/>
            <w:noWrap/>
            <w:vAlign w:val="center"/>
          </w:tcPr>
          <w:p w14:paraId="2A240F8C" w14:textId="77777777" w:rsidR="00141524" w:rsidRPr="001B1089" w:rsidRDefault="00141524" w:rsidP="00141524">
            <w:pPr>
              <w:pStyle w:val="af6"/>
              <w:ind w:firstLine="0"/>
              <w:jc w:val="both"/>
              <w:rPr>
                <w:sz w:val="16"/>
                <w:szCs w:val="16"/>
              </w:rPr>
            </w:pPr>
            <w:r w:rsidRPr="001B1089">
              <w:rPr>
                <w:sz w:val="16"/>
                <w:szCs w:val="16"/>
              </w:rPr>
              <w:t>2.48</w:t>
            </w:r>
          </w:p>
        </w:tc>
        <w:tc>
          <w:tcPr>
            <w:tcW w:w="575" w:type="dxa"/>
            <w:tcBorders>
              <w:top w:val="nil"/>
              <w:left w:val="nil"/>
              <w:bottom w:val="nil"/>
              <w:right w:val="nil"/>
            </w:tcBorders>
            <w:shd w:val="clear" w:color="auto" w:fill="auto"/>
            <w:noWrap/>
            <w:vAlign w:val="center"/>
          </w:tcPr>
          <w:p w14:paraId="44754839" w14:textId="77777777" w:rsidR="00141524" w:rsidRPr="001B1089" w:rsidRDefault="00141524" w:rsidP="00141524">
            <w:pPr>
              <w:pStyle w:val="af6"/>
              <w:ind w:firstLine="0"/>
              <w:jc w:val="both"/>
              <w:rPr>
                <w:sz w:val="16"/>
                <w:szCs w:val="16"/>
              </w:rPr>
            </w:pPr>
            <w:r w:rsidRPr="001B1089">
              <w:rPr>
                <w:sz w:val="16"/>
                <w:szCs w:val="16"/>
              </w:rPr>
              <w:t>5.88</w:t>
            </w:r>
          </w:p>
        </w:tc>
        <w:tc>
          <w:tcPr>
            <w:tcW w:w="576" w:type="dxa"/>
            <w:tcBorders>
              <w:top w:val="nil"/>
              <w:left w:val="nil"/>
              <w:bottom w:val="nil"/>
              <w:right w:val="nil"/>
            </w:tcBorders>
            <w:shd w:val="clear" w:color="auto" w:fill="auto"/>
            <w:noWrap/>
            <w:vAlign w:val="center"/>
          </w:tcPr>
          <w:p w14:paraId="62608ECB" w14:textId="77777777" w:rsidR="00141524" w:rsidRPr="001B1089" w:rsidRDefault="00141524" w:rsidP="00141524">
            <w:pPr>
              <w:pStyle w:val="af6"/>
              <w:ind w:firstLine="0"/>
              <w:jc w:val="both"/>
              <w:rPr>
                <w:sz w:val="16"/>
                <w:szCs w:val="16"/>
              </w:rPr>
            </w:pPr>
            <w:r w:rsidRPr="001B1089">
              <w:rPr>
                <w:sz w:val="16"/>
                <w:szCs w:val="16"/>
              </w:rPr>
              <w:t>0.01</w:t>
            </w:r>
          </w:p>
        </w:tc>
        <w:tc>
          <w:tcPr>
            <w:tcW w:w="576" w:type="dxa"/>
            <w:tcBorders>
              <w:top w:val="nil"/>
              <w:left w:val="nil"/>
              <w:bottom w:val="nil"/>
              <w:right w:val="nil"/>
            </w:tcBorders>
            <w:shd w:val="clear" w:color="auto" w:fill="auto"/>
            <w:noWrap/>
            <w:vAlign w:val="center"/>
          </w:tcPr>
          <w:p w14:paraId="2D52E4A7" w14:textId="77777777" w:rsidR="00141524" w:rsidRPr="001B1089" w:rsidRDefault="00141524" w:rsidP="00141524">
            <w:pPr>
              <w:pStyle w:val="af6"/>
              <w:ind w:firstLine="0"/>
              <w:jc w:val="both"/>
              <w:rPr>
                <w:sz w:val="16"/>
                <w:szCs w:val="16"/>
              </w:rPr>
            </w:pPr>
            <w:r w:rsidRPr="001B1089">
              <w:rPr>
                <w:sz w:val="16"/>
                <w:szCs w:val="16"/>
              </w:rPr>
              <w:t>-0.10**</w:t>
            </w:r>
          </w:p>
        </w:tc>
        <w:tc>
          <w:tcPr>
            <w:tcW w:w="576" w:type="dxa"/>
            <w:tcBorders>
              <w:top w:val="nil"/>
              <w:left w:val="nil"/>
              <w:bottom w:val="nil"/>
              <w:right w:val="nil"/>
            </w:tcBorders>
            <w:shd w:val="clear" w:color="auto" w:fill="auto"/>
            <w:noWrap/>
            <w:vAlign w:val="center"/>
          </w:tcPr>
          <w:p w14:paraId="601AAB84" w14:textId="77777777" w:rsidR="00141524" w:rsidRPr="001B1089" w:rsidRDefault="00141524" w:rsidP="00141524">
            <w:pPr>
              <w:pStyle w:val="af6"/>
              <w:ind w:firstLine="0"/>
              <w:jc w:val="both"/>
              <w:rPr>
                <w:sz w:val="16"/>
                <w:szCs w:val="16"/>
              </w:rPr>
            </w:pPr>
            <w:r w:rsidRPr="001B1089">
              <w:rPr>
                <w:sz w:val="16"/>
                <w:szCs w:val="16"/>
              </w:rPr>
              <w:t>0.74**</w:t>
            </w:r>
          </w:p>
        </w:tc>
        <w:tc>
          <w:tcPr>
            <w:tcW w:w="576" w:type="dxa"/>
            <w:tcBorders>
              <w:top w:val="nil"/>
              <w:left w:val="nil"/>
              <w:bottom w:val="nil"/>
              <w:right w:val="nil"/>
            </w:tcBorders>
            <w:shd w:val="clear" w:color="auto" w:fill="auto"/>
            <w:noWrap/>
            <w:vAlign w:val="center"/>
          </w:tcPr>
          <w:p w14:paraId="7A32C06A" w14:textId="77777777" w:rsidR="00141524" w:rsidRPr="001B1089" w:rsidRDefault="00141524" w:rsidP="00141524">
            <w:pPr>
              <w:pStyle w:val="af6"/>
              <w:ind w:firstLine="0"/>
              <w:jc w:val="both"/>
              <w:rPr>
                <w:sz w:val="16"/>
                <w:szCs w:val="16"/>
              </w:rPr>
            </w:pPr>
            <w:r w:rsidRPr="001B1089">
              <w:rPr>
                <w:sz w:val="16"/>
                <w:szCs w:val="16"/>
              </w:rPr>
              <w:t>1.00</w:t>
            </w:r>
          </w:p>
        </w:tc>
        <w:tc>
          <w:tcPr>
            <w:tcW w:w="576" w:type="dxa"/>
            <w:tcBorders>
              <w:top w:val="nil"/>
              <w:left w:val="nil"/>
              <w:bottom w:val="nil"/>
              <w:right w:val="nil"/>
            </w:tcBorders>
            <w:shd w:val="clear" w:color="auto" w:fill="auto"/>
            <w:noWrap/>
            <w:vAlign w:val="center"/>
          </w:tcPr>
          <w:p w14:paraId="080C9E11"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6718B9E1"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3A9FE66C"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2357967A"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7234869B"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641CE2AA" w14:textId="77777777" w:rsidR="00141524" w:rsidRPr="001B1089" w:rsidRDefault="00141524" w:rsidP="00141524">
            <w:pPr>
              <w:pStyle w:val="af6"/>
              <w:ind w:firstLine="0"/>
              <w:jc w:val="both"/>
              <w:rPr>
                <w:sz w:val="16"/>
                <w:szCs w:val="16"/>
              </w:rPr>
            </w:pPr>
          </w:p>
        </w:tc>
        <w:tc>
          <w:tcPr>
            <w:tcW w:w="454" w:type="dxa"/>
            <w:tcBorders>
              <w:top w:val="nil"/>
              <w:left w:val="nil"/>
              <w:bottom w:val="nil"/>
              <w:right w:val="nil"/>
            </w:tcBorders>
            <w:shd w:val="clear" w:color="auto" w:fill="auto"/>
            <w:noWrap/>
            <w:vAlign w:val="center"/>
          </w:tcPr>
          <w:p w14:paraId="4330856D" w14:textId="77777777" w:rsidR="00141524" w:rsidRPr="001B1089" w:rsidRDefault="00141524" w:rsidP="00141524">
            <w:pPr>
              <w:pStyle w:val="af6"/>
              <w:ind w:firstLine="0"/>
              <w:jc w:val="both"/>
              <w:rPr>
                <w:sz w:val="16"/>
                <w:szCs w:val="16"/>
              </w:rPr>
            </w:pPr>
          </w:p>
        </w:tc>
      </w:tr>
      <w:tr w:rsidR="00141524" w:rsidRPr="00B7173A" w14:paraId="5003CF2E" w14:textId="77777777" w:rsidTr="00141524">
        <w:trPr>
          <w:trHeight w:val="465"/>
          <w:jc w:val="center"/>
        </w:trPr>
        <w:tc>
          <w:tcPr>
            <w:tcW w:w="1150" w:type="dxa"/>
            <w:tcBorders>
              <w:top w:val="nil"/>
              <w:left w:val="nil"/>
              <w:bottom w:val="nil"/>
              <w:right w:val="nil"/>
            </w:tcBorders>
            <w:shd w:val="clear" w:color="auto" w:fill="auto"/>
            <w:noWrap/>
            <w:vAlign w:val="center"/>
          </w:tcPr>
          <w:p w14:paraId="1563183D" w14:textId="77777777" w:rsidR="00141524" w:rsidRPr="00B7173A" w:rsidRDefault="00141524" w:rsidP="00141524">
            <w:pPr>
              <w:pStyle w:val="af6"/>
              <w:ind w:left="180" w:hangingChars="100" w:hanging="180"/>
              <w:rPr>
                <w:sz w:val="18"/>
                <w:szCs w:val="18"/>
              </w:rPr>
            </w:pPr>
            <w:r w:rsidRPr="00B7173A">
              <w:rPr>
                <w:sz w:val="18"/>
                <w:szCs w:val="18"/>
              </w:rPr>
              <w:t>5. Quantity of education</w:t>
            </w:r>
          </w:p>
        </w:tc>
        <w:tc>
          <w:tcPr>
            <w:tcW w:w="575" w:type="dxa"/>
            <w:tcBorders>
              <w:top w:val="nil"/>
              <w:left w:val="nil"/>
              <w:bottom w:val="nil"/>
              <w:right w:val="nil"/>
            </w:tcBorders>
            <w:shd w:val="clear" w:color="auto" w:fill="auto"/>
            <w:noWrap/>
            <w:vAlign w:val="center"/>
          </w:tcPr>
          <w:p w14:paraId="15A58812" w14:textId="77777777" w:rsidR="00141524" w:rsidRPr="001B1089" w:rsidRDefault="00141524" w:rsidP="00141524">
            <w:pPr>
              <w:pStyle w:val="af6"/>
              <w:ind w:firstLine="0"/>
              <w:jc w:val="both"/>
              <w:rPr>
                <w:sz w:val="16"/>
                <w:szCs w:val="16"/>
              </w:rPr>
            </w:pPr>
            <w:r w:rsidRPr="001B1089">
              <w:rPr>
                <w:sz w:val="16"/>
                <w:szCs w:val="16"/>
              </w:rPr>
              <w:t>5.68</w:t>
            </w:r>
          </w:p>
        </w:tc>
        <w:tc>
          <w:tcPr>
            <w:tcW w:w="575" w:type="dxa"/>
            <w:tcBorders>
              <w:top w:val="nil"/>
              <w:left w:val="nil"/>
              <w:bottom w:val="nil"/>
              <w:right w:val="nil"/>
            </w:tcBorders>
            <w:shd w:val="clear" w:color="auto" w:fill="auto"/>
            <w:noWrap/>
            <w:vAlign w:val="center"/>
          </w:tcPr>
          <w:p w14:paraId="0A61DEF4" w14:textId="77777777" w:rsidR="00141524" w:rsidRPr="001B1089" w:rsidRDefault="00141524" w:rsidP="00141524">
            <w:pPr>
              <w:pStyle w:val="af6"/>
              <w:ind w:firstLine="0"/>
              <w:jc w:val="both"/>
              <w:rPr>
                <w:sz w:val="16"/>
                <w:szCs w:val="16"/>
              </w:rPr>
            </w:pPr>
            <w:r w:rsidRPr="001B1089">
              <w:rPr>
                <w:sz w:val="16"/>
                <w:szCs w:val="16"/>
              </w:rPr>
              <w:t>0.78</w:t>
            </w:r>
          </w:p>
        </w:tc>
        <w:tc>
          <w:tcPr>
            <w:tcW w:w="575" w:type="dxa"/>
            <w:tcBorders>
              <w:top w:val="nil"/>
              <w:left w:val="nil"/>
              <w:bottom w:val="nil"/>
              <w:right w:val="nil"/>
            </w:tcBorders>
            <w:shd w:val="clear" w:color="auto" w:fill="auto"/>
            <w:noWrap/>
            <w:vAlign w:val="center"/>
          </w:tcPr>
          <w:p w14:paraId="67B2E3E5" w14:textId="77777777" w:rsidR="00141524" w:rsidRPr="001B1089" w:rsidRDefault="00141524" w:rsidP="00141524">
            <w:pPr>
              <w:pStyle w:val="af6"/>
              <w:ind w:firstLine="0"/>
              <w:jc w:val="both"/>
              <w:rPr>
                <w:sz w:val="16"/>
                <w:szCs w:val="16"/>
              </w:rPr>
            </w:pPr>
            <w:r w:rsidRPr="001B1089">
              <w:rPr>
                <w:sz w:val="16"/>
                <w:szCs w:val="16"/>
              </w:rPr>
              <w:t>2.70</w:t>
            </w:r>
          </w:p>
        </w:tc>
        <w:tc>
          <w:tcPr>
            <w:tcW w:w="575" w:type="dxa"/>
            <w:tcBorders>
              <w:top w:val="nil"/>
              <w:left w:val="nil"/>
              <w:bottom w:val="nil"/>
              <w:right w:val="nil"/>
            </w:tcBorders>
            <w:shd w:val="clear" w:color="auto" w:fill="auto"/>
            <w:noWrap/>
            <w:vAlign w:val="center"/>
          </w:tcPr>
          <w:p w14:paraId="54DDBD4E" w14:textId="77777777" w:rsidR="00141524" w:rsidRPr="001B1089" w:rsidRDefault="00141524" w:rsidP="00141524">
            <w:pPr>
              <w:pStyle w:val="af6"/>
              <w:ind w:firstLine="0"/>
              <w:jc w:val="both"/>
              <w:rPr>
                <w:sz w:val="16"/>
                <w:szCs w:val="16"/>
              </w:rPr>
            </w:pPr>
            <w:r w:rsidRPr="001B1089">
              <w:rPr>
                <w:sz w:val="16"/>
                <w:szCs w:val="16"/>
              </w:rPr>
              <w:t>7.00</w:t>
            </w:r>
          </w:p>
        </w:tc>
        <w:tc>
          <w:tcPr>
            <w:tcW w:w="576" w:type="dxa"/>
            <w:tcBorders>
              <w:top w:val="nil"/>
              <w:left w:val="nil"/>
              <w:bottom w:val="nil"/>
              <w:right w:val="nil"/>
            </w:tcBorders>
            <w:shd w:val="clear" w:color="auto" w:fill="auto"/>
            <w:noWrap/>
            <w:vAlign w:val="center"/>
          </w:tcPr>
          <w:p w14:paraId="59B42F81" w14:textId="77777777" w:rsidR="00141524" w:rsidRPr="001B1089" w:rsidRDefault="00141524" w:rsidP="00141524">
            <w:pPr>
              <w:pStyle w:val="af6"/>
              <w:ind w:firstLine="0"/>
              <w:jc w:val="both"/>
              <w:rPr>
                <w:sz w:val="16"/>
                <w:szCs w:val="16"/>
              </w:rPr>
            </w:pPr>
            <w:r w:rsidRPr="001B1089">
              <w:rPr>
                <w:sz w:val="16"/>
                <w:szCs w:val="16"/>
              </w:rPr>
              <w:t>-0.06**</w:t>
            </w:r>
          </w:p>
        </w:tc>
        <w:tc>
          <w:tcPr>
            <w:tcW w:w="576" w:type="dxa"/>
            <w:tcBorders>
              <w:top w:val="nil"/>
              <w:left w:val="nil"/>
              <w:bottom w:val="nil"/>
              <w:right w:val="nil"/>
            </w:tcBorders>
            <w:shd w:val="clear" w:color="auto" w:fill="auto"/>
            <w:noWrap/>
            <w:vAlign w:val="center"/>
          </w:tcPr>
          <w:p w14:paraId="708F3D5B" w14:textId="77777777" w:rsidR="00141524" w:rsidRPr="001B1089" w:rsidRDefault="00141524" w:rsidP="00141524">
            <w:pPr>
              <w:pStyle w:val="af6"/>
              <w:ind w:firstLine="0"/>
              <w:jc w:val="both"/>
              <w:rPr>
                <w:sz w:val="16"/>
                <w:szCs w:val="16"/>
              </w:rPr>
            </w:pPr>
            <w:r w:rsidRPr="001B1089">
              <w:rPr>
                <w:sz w:val="16"/>
                <w:szCs w:val="16"/>
              </w:rPr>
              <w:t>0.03**</w:t>
            </w:r>
          </w:p>
        </w:tc>
        <w:tc>
          <w:tcPr>
            <w:tcW w:w="576" w:type="dxa"/>
            <w:tcBorders>
              <w:top w:val="nil"/>
              <w:left w:val="nil"/>
              <w:bottom w:val="nil"/>
              <w:right w:val="nil"/>
            </w:tcBorders>
            <w:shd w:val="clear" w:color="auto" w:fill="auto"/>
            <w:noWrap/>
            <w:vAlign w:val="center"/>
          </w:tcPr>
          <w:p w14:paraId="4231AF90" w14:textId="77777777" w:rsidR="00141524" w:rsidRPr="001B1089" w:rsidRDefault="00141524" w:rsidP="00141524">
            <w:pPr>
              <w:pStyle w:val="af6"/>
              <w:ind w:firstLine="0"/>
              <w:jc w:val="both"/>
              <w:rPr>
                <w:sz w:val="16"/>
                <w:szCs w:val="16"/>
              </w:rPr>
            </w:pPr>
            <w:r w:rsidRPr="001B1089">
              <w:rPr>
                <w:sz w:val="16"/>
                <w:szCs w:val="16"/>
              </w:rPr>
              <w:t>0.19**</w:t>
            </w:r>
          </w:p>
        </w:tc>
        <w:tc>
          <w:tcPr>
            <w:tcW w:w="576" w:type="dxa"/>
            <w:tcBorders>
              <w:top w:val="nil"/>
              <w:left w:val="nil"/>
              <w:bottom w:val="nil"/>
              <w:right w:val="nil"/>
            </w:tcBorders>
            <w:shd w:val="clear" w:color="auto" w:fill="auto"/>
            <w:noWrap/>
            <w:vAlign w:val="center"/>
          </w:tcPr>
          <w:p w14:paraId="0729098C" w14:textId="77777777" w:rsidR="00141524" w:rsidRPr="001B1089" w:rsidRDefault="00141524" w:rsidP="00141524">
            <w:pPr>
              <w:pStyle w:val="af6"/>
              <w:ind w:firstLine="0"/>
              <w:jc w:val="both"/>
              <w:rPr>
                <w:sz w:val="16"/>
                <w:szCs w:val="16"/>
              </w:rPr>
            </w:pPr>
            <w:r w:rsidRPr="001B1089">
              <w:rPr>
                <w:sz w:val="16"/>
                <w:szCs w:val="16"/>
              </w:rPr>
              <w:t>0.42**</w:t>
            </w:r>
          </w:p>
        </w:tc>
        <w:tc>
          <w:tcPr>
            <w:tcW w:w="576" w:type="dxa"/>
            <w:tcBorders>
              <w:top w:val="nil"/>
              <w:left w:val="nil"/>
              <w:bottom w:val="nil"/>
              <w:right w:val="nil"/>
            </w:tcBorders>
            <w:shd w:val="clear" w:color="auto" w:fill="auto"/>
            <w:noWrap/>
            <w:vAlign w:val="center"/>
          </w:tcPr>
          <w:p w14:paraId="4C5FF85B" w14:textId="77777777" w:rsidR="00141524" w:rsidRPr="001B1089" w:rsidRDefault="00141524" w:rsidP="00141524">
            <w:pPr>
              <w:pStyle w:val="af6"/>
              <w:ind w:firstLine="0"/>
              <w:jc w:val="both"/>
              <w:rPr>
                <w:sz w:val="16"/>
                <w:szCs w:val="16"/>
              </w:rPr>
            </w:pPr>
            <w:r w:rsidRPr="001B1089">
              <w:rPr>
                <w:sz w:val="16"/>
                <w:szCs w:val="16"/>
              </w:rPr>
              <w:t>1.00</w:t>
            </w:r>
          </w:p>
        </w:tc>
        <w:tc>
          <w:tcPr>
            <w:tcW w:w="576" w:type="dxa"/>
            <w:tcBorders>
              <w:top w:val="nil"/>
              <w:left w:val="nil"/>
              <w:bottom w:val="nil"/>
              <w:right w:val="nil"/>
            </w:tcBorders>
            <w:shd w:val="clear" w:color="auto" w:fill="auto"/>
            <w:noWrap/>
            <w:vAlign w:val="center"/>
          </w:tcPr>
          <w:p w14:paraId="18C79340"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3B68D013"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3F0329DE"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7769EFA1"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361AE65B" w14:textId="77777777" w:rsidR="00141524" w:rsidRPr="001B1089" w:rsidRDefault="00141524" w:rsidP="00141524">
            <w:pPr>
              <w:pStyle w:val="af6"/>
              <w:ind w:firstLine="0"/>
              <w:jc w:val="both"/>
              <w:rPr>
                <w:sz w:val="16"/>
                <w:szCs w:val="16"/>
              </w:rPr>
            </w:pPr>
          </w:p>
        </w:tc>
        <w:tc>
          <w:tcPr>
            <w:tcW w:w="454" w:type="dxa"/>
            <w:tcBorders>
              <w:top w:val="nil"/>
              <w:left w:val="nil"/>
              <w:bottom w:val="nil"/>
              <w:right w:val="nil"/>
            </w:tcBorders>
            <w:shd w:val="clear" w:color="auto" w:fill="auto"/>
            <w:noWrap/>
            <w:vAlign w:val="center"/>
          </w:tcPr>
          <w:p w14:paraId="4103F611" w14:textId="77777777" w:rsidR="00141524" w:rsidRPr="001B1089" w:rsidRDefault="00141524" w:rsidP="00141524">
            <w:pPr>
              <w:pStyle w:val="af6"/>
              <w:ind w:firstLine="0"/>
              <w:jc w:val="both"/>
              <w:rPr>
                <w:sz w:val="16"/>
                <w:szCs w:val="16"/>
              </w:rPr>
            </w:pPr>
          </w:p>
        </w:tc>
      </w:tr>
      <w:tr w:rsidR="00141524" w:rsidRPr="00B7173A" w14:paraId="4E4EC075" w14:textId="77777777" w:rsidTr="00141524">
        <w:trPr>
          <w:trHeight w:val="465"/>
          <w:jc w:val="center"/>
        </w:trPr>
        <w:tc>
          <w:tcPr>
            <w:tcW w:w="1150" w:type="dxa"/>
            <w:tcBorders>
              <w:top w:val="nil"/>
              <w:left w:val="nil"/>
              <w:bottom w:val="nil"/>
              <w:right w:val="nil"/>
            </w:tcBorders>
            <w:shd w:val="clear" w:color="auto" w:fill="auto"/>
            <w:noWrap/>
            <w:vAlign w:val="center"/>
          </w:tcPr>
          <w:p w14:paraId="3D2FEBDB" w14:textId="77777777" w:rsidR="00141524" w:rsidRPr="00B7173A" w:rsidRDefault="00141524" w:rsidP="00141524">
            <w:pPr>
              <w:pStyle w:val="af6"/>
              <w:ind w:left="180" w:hangingChars="100" w:hanging="180"/>
              <w:rPr>
                <w:sz w:val="18"/>
                <w:szCs w:val="18"/>
              </w:rPr>
            </w:pPr>
            <w:r w:rsidRPr="00B7173A">
              <w:rPr>
                <w:sz w:val="18"/>
                <w:szCs w:val="18"/>
              </w:rPr>
              <w:t>6. Quality of education</w:t>
            </w:r>
          </w:p>
        </w:tc>
        <w:tc>
          <w:tcPr>
            <w:tcW w:w="575" w:type="dxa"/>
            <w:tcBorders>
              <w:top w:val="nil"/>
              <w:left w:val="nil"/>
              <w:bottom w:val="nil"/>
              <w:right w:val="nil"/>
            </w:tcBorders>
            <w:shd w:val="clear" w:color="auto" w:fill="auto"/>
            <w:noWrap/>
            <w:vAlign w:val="center"/>
          </w:tcPr>
          <w:p w14:paraId="727809B8" w14:textId="77777777" w:rsidR="00141524" w:rsidRPr="001B1089" w:rsidRDefault="00141524" w:rsidP="00141524">
            <w:pPr>
              <w:pStyle w:val="af6"/>
              <w:ind w:firstLine="0"/>
              <w:jc w:val="both"/>
              <w:rPr>
                <w:sz w:val="16"/>
                <w:szCs w:val="16"/>
              </w:rPr>
            </w:pPr>
            <w:r w:rsidRPr="001B1089">
              <w:rPr>
                <w:sz w:val="16"/>
                <w:szCs w:val="16"/>
              </w:rPr>
              <w:t>5.02</w:t>
            </w:r>
          </w:p>
        </w:tc>
        <w:tc>
          <w:tcPr>
            <w:tcW w:w="575" w:type="dxa"/>
            <w:tcBorders>
              <w:top w:val="nil"/>
              <w:left w:val="nil"/>
              <w:bottom w:val="nil"/>
              <w:right w:val="nil"/>
            </w:tcBorders>
            <w:shd w:val="clear" w:color="auto" w:fill="auto"/>
            <w:noWrap/>
            <w:vAlign w:val="center"/>
          </w:tcPr>
          <w:p w14:paraId="0219DDE5" w14:textId="77777777" w:rsidR="00141524" w:rsidRPr="001B1089" w:rsidRDefault="00141524" w:rsidP="00141524">
            <w:pPr>
              <w:pStyle w:val="af6"/>
              <w:ind w:firstLine="0"/>
              <w:jc w:val="both"/>
              <w:rPr>
                <w:sz w:val="16"/>
                <w:szCs w:val="16"/>
              </w:rPr>
            </w:pPr>
            <w:r w:rsidRPr="001B1089">
              <w:rPr>
                <w:sz w:val="16"/>
                <w:szCs w:val="16"/>
              </w:rPr>
              <w:t>0.58</w:t>
            </w:r>
          </w:p>
        </w:tc>
        <w:tc>
          <w:tcPr>
            <w:tcW w:w="575" w:type="dxa"/>
            <w:tcBorders>
              <w:top w:val="nil"/>
              <w:left w:val="nil"/>
              <w:bottom w:val="nil"/>
              <w:right w:val="nil"/>
            </w:tcBorders>
            <w:shd w:val="clear" w:color="auto" w:fill="auto"/>
            <w:noWrap/>
            <w:vAlign w:val="center"/>
          </w:tcPr>
          <w:p w14:paraId="35624C05" w14:textId="77777777" w:rsidR="00141524" w:rsidRPr="001B1089" w:rsidRDefault="00141524" w:rsidP="00141524">
            <w:pPr>
              <w:pStyle w:val="af6"/>
              <w:ind w:firstLine="0"/>
              <w:jc w:val="both"/>
              <w:rPr>
                <w:sz w:val="16"/>
                <w:szCs w:val="16"/>
              </w:rPr>
            </w:pPr>
            <w:r w:rsidRPr="001B1089">
              <w:rPr>
                <w:sz w:val="16"/>
                <w:szCs w:val="16"/>
              </w:rPr>
              <w:t>2.57</w:t>
            </w:r>
          </w:p>
        </w:tc>
        <w:tc>
          <w:tcPr>
            <w:tcW w:w="575" w:type="dxa"/>
            <w:tcBorders>
              <w:top w:val="nil"/>
              <w:left w:val="nil"/>
              <w:bottom w:val="nil"/>
              <w:right w:val="nil"/>
            </w:tcBorders>
            <w:shd w:val="clear" w:color="auto" w:fill="auto"/>
            <w:noWrap/>
            <w:vAlign w:val="center"/>
          </w:tcPr>
          <w:p w14:paraId="170B2DA5" w14:textId="77777777" w:rsidR="00141524" w:rsidRPr="001B1089" w:rsidRDefault="00141524" w:rsidP="00141524">
            <w:pPr>
              <w:pStyle w:val="af6"/>
              <w:ind w:firstLine="0"/>
              <w:jc w:val="both"/>
              <w:rPr>
                <w:sz w:val="16"/>
                <w:szCs w:val="16"/>
              </w:rPr>
            </w:pPr>
            <w:r w:rsidRPr="001B1089">
              <w:rPr>
                <w:sz w:val="16"/>
                <w:szCs w:val="16"/>
              </w:rPr>
              <w:t>6.17</w:t>
            </w:r>
          </w:p>
        </w:tc>
        <w:tc>
          <w:tcPr>
            <w:tcW w:w="576" w:type="dxa"/>
            <w:tcBorders>
              <w:top w:val="nil"/>
              <w:left w:val="nil"/>
              <w:bottom w:val="nil"/>
              <w:right w:val="nil"/>
            </w:tcBorders>
            <w:shd w:val="clear" w:color="auto" w:fill="auto"/>
            <w:noWrap/>
            <w:vAlign w:val="center"/>
          </w:tcPr>
          <w:p w14:paraId="22E2C48C" w14:textId="77777777" w:rsidR="00141524" w:rsidRPr="001B1089" w:rsidRDefault="00141524" w:rsidP="00141524">
            <w:pPr>
              <w:pStyle w:val="af6"/>
              <w:ind w:firstLine="0"/>
              <w:jc w:val="both"/>
              <w:rPr>
                <w:sz w:val="16"/>
                <w:szCs w:val="16"/>
              </w:rPr>
            </w:pPr>
            <w:r w:rsidRPr="001B1089">
              <w:rPr>
                <w:sz w:val="16"/>
                <w:szCs w:val="16"/>
              </w:rPr>
              <w:t>0.00</w:t>
            </w:r>
          </w:p>
        </w:tc>
        <w:tc>
          <w:tcPr>
            <w:tcW w:w="576" w:type="dxa"/>
            <w:tcBorders>
              <w:top w:val="nil"/>
              <w:left w:val="nil"/>
              <w:bottom w:val="nil"/>
              <w:right w:val="nil"/>
            </w:tcBorders>
            <w:shd w:val="clear" w:color="auto" w:fill="auto"/>
            <w:noWrap/>
            <w:vAlign w:val="center"/>
          </w:tcPr>
          <w:p w14:paraId="709AEBC6" w14:textId="77777777" w:rsidR="00141524" w:rsidRPr="001B1089" w:rsidRDefault="00141524" w:rsidP="00141524">
            <w:pPr>
              <w:pStyle w:val="af6"/>
              <w:ind w:firstLine="0"/>
              <w:jc w:val="both"/>
              <w:rPr>
                <w:sz w:val="16"/>
                <w:szCs w:val="16"/>
              </w:rPr>
            </w:pPr>
            <w:r w:rsidRPr="001B1089">
              <w:rPr>
                <w:sz w:val="16"/>
                <w:szCs w:val="16"/>
              </w:rPr>
              <w:t>-0.05**</w:t>
            </w:r>
          </w:p>
        </w:tc>
        <w:tc>
          <w:tcPr>
            <w:tcW w:w="576" w:type="dxa"/>
            <w:tcBorders>
              <w:top w:val="nil"/>
              <w:left w:val="nil"/>
              <w:bottom w:val="nil"/>
              <w:right w:val="nil"/>
            </w:tcBorders>
            <w:shd w:val="clear" w:color="auto" w:fill="auto"/>
            <w:noWrap/>
            <w:vAlign w:val="center"/>
          </w:tcPr>
          <w:p w14:paraId="0253FEA0" w14:textId="77777777" w:rsidR="00141524" w:rsidRPr="001B1089" w:rsidRDefault="00141524" w:rsidP="00141524">
            <w:pPr>
              <w:pStyle w:val="af6"/>
              <w:ind w:firstLine="0"/>
              <w:jc w:val="both"/>
              <w:rPr>
                <w:sz w:val="16"/>
                <w:szCs w:val="16"/>
              </w:rPr>
            </w:pPr>
            <w:r w:rsidRPr="001B1089">
              <w:rPr>
                <w:sz w:val="16"/>
                <w:szCs w:val="16"/>
              </w:rPr>
              <w:t>0.54**</w:t>
            </w:r>
          </w:p>
        </w:tc>
        <w:tc>
          <w:tcPr>
            <w:tcW w:w="576" w:type="dxa"/>
            <w:tcBorders>
              <w:top w:val="nil"/>
              <w:left w:val="nil"/>
              <w:bottom w:val="nil"/>
              <w:right w:val="nil"/>
            </w:tcBorders>
            <w:shd w:val="clear" w:color="auto" w:fill="auto"/>
            <w:noWrap/>
            <w:vAlign w:val="center"/>
          </w:tcPr>
          <w:p w14:paraId="6B5BDE9E" w14:textId="77777777" w:rsidR="00141524" w:rsidRPr="001B1089" w:rsidRDefault="00141524" w:rsidP="00141524">
            <w:pPr>
              <w:pStyle w:val="af6"/>
              <w:ind w:firstLine="0"/>
              <w:jc w:val="both"/>
              <w:rPr>
                <w:sz w:val="16"/>
                <w:szCs w:val="16"/>
              </w:rPr>
            </w:pPr>
            <w:r w:rsidRPr="001B1089">
              <w:rPr>
                <w:sz w:val="16"/>
                <w:szCs w:val="16"/>
              </w:rPr>
              <w:t>0.75**</w:t>
            </w:r>
          </w:p>
        </w:tc>
        <w:tc>
          <w:tcPr>
            <w:tcW w:w="576" w:type="dxa"/>
            <w:tcBorders>
              <w:top w:val="nil"/>
              <w:left w:val="nil"/>
              <w:bottom w:val="nil"/>
              <w:right w:val="nil"/>
            </w:tcBorders>
            <w:shd w:val="clear" w:color="auto" w:fill="auto"/>
            <w:noWrap/>
            <w:vAlign w:val="center"/>
          </w:tcPr>
          <w:p w14:paraId="3E7850D5" w14:textId="77777777" w:rsidR="00141524" w:rsidRPr="001B1089" w:rsidRDefault="00141524" w:rsidP="00141524">
            <w:pPr>
              <w:pStyle w:val="af6"/>
              <w:ind w:firstLine="0"/>
              <w:jc w:val="both"/>
              <w:rPr>
                <w:sz w:val="16"/>
                <w:szCs w:val="16"/>
              </w:rPr>
            </w:pPr>
            <w:r w:rsidRPr="001B1089">
              <w:rPr>
                <w:sz w:val="16"/>
                <w:szCs w:val="16"/>
              </w:rPr>
              <w:t>0.36**</w:t>
            </w:r>
          </w:p>
        </w:tc>
        <w:tc>
          <w:tcPr>
            <w:tcW w:w="576" w:type="dxa"/>
            <w:tcBorders>
              <w:top w:val="nil"/>
              <w:left w:val="nil"/>
              <w:bottom w:val="nil"/>
              <w:right w:val="nil"/>
            </w:tcBorders>
            <w:shd w:val="clear" w:color="auto" w:fill="auto"/>
            <w:noWrap/>
            <w:vAlign w:val="center"/>
          </w:tcPr>
          <w:p w14:paraId="28C1C87B" w14:textId="77777777" w:rsidR="00141524" w:rsidRPr="001B1089" w:rsidRDefault="00141524" w:rsidP="00141524">
            <w:pPr>
              <w:pStyle w:val="af6"/>
              <w:ind w:firstLine="0"/>
              <w:jc w:val="both"/>
              <w:rPr>
                <w:sz w:val="16"/>
                <w:szCs w:val="16"/>
              </w:rPr>
            </w:pPr>
            <w:r w:rsidRPr="001B1089">
              <w:rPr>
                <w:sz w:val="16"/>
                <w:szCs w:val="16"/>
              </w:rPr>
              <w:t>1.00</w:t>
            </w:r>
          </w:p>
        </w:tc>
        <w:tc>
          <w:tcPr>
            <w:tcW w:w="576" w:type="dxa"/>
            <w:tcBorders>
              <w:top w:val="nil"/>
              <w:left w:val="nil"/>
              <w:bottom w:val="nil"/>
              <w:right w:val="nil"/>
            </w:tcBorders>
            <w:shd w:val="clear" w:color="auto" w:fill="auto"/>
            <w:noWrap/>
            <w:vAlign w:val="center"/>
          </w:tcPr>
          <w:p w14:paraId="2D34ED01"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6274FC6E"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3D04E339"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7F8DE4AF" w14:textId="77777777" w:rsidR="00141524" w:rsidRPr="001B1089" w:rsidRDefault="00141524" w:rsidP="00141524">
            <w:pPr>
              <w:pStyle w:val="af6"/>
              <w:ind w:firstLine="0"/>
              <w:jc w:val="both"/>
              <w:rPr>
                <w:sz w:val="16"/>
                <w:szCs w:val="16"/>
              </w:rPr>
            </w:pPr>
          </w:p>
        </w:tc>
        <w:tc>
          <w:tcPr>
            <w:tcW w:w="454" w:type="dxa"/>
            <w:tcBorders>
              <w:top w:val="nil"/>
              <w:left w:val="nil"/>
              <w:bottom w:val="nil"/>
              <w:right w:val="nil"/>
            </w:tcBorders>
            <w:shd w:val="clear" w:color="auto" w:fill="auto"/>
            <w:noWrap/>
            <w:vAlign w:val="center"/>
          </w:tcPr>
          <w:p w14:paraId="018B0BC2" w14:textId="77777777" w:rsidR="00141524" w:rsidRPr="001B1089" w:rsidRDefault="00141524" w:rsidP="00141524">
            <w:pPr>
              <w:pStyle w:val="af6"/>
              <w:ind w:firstLine="0"/>
              <w:jc w:val="both"/>
              <w:rPr>
                <w:sz w:val="16"/>
                <w:szCs w:val="16"/>
              </w:rPr>
            </w:pPr>
          </w:p>
        </w:tc>
      </w:tr>
      <w:tr w:rsidR="00141524" w:rsidRPr="00B7173A" w14:paraId="4465D7D2" w14:textId="77777777" w:rsidTr="00141524">
        <w:trPr>
          <w:trHeight w:val="465"/>
          <w:jc w:val="center"/>
        </w:trPr>
        <w:tc>
          <w:tcPr>
            <w:tcW w:w="1150" w:type="dxa"/>
            <w:tcBorders>
              <w:top w:val="nil"/>
              <w:left w:val="nil"/>
              <w:bottom w:val="nil"/>
              <w:right w:val="nil"/>
            </w:tcBorders>
            <w:shd w:val="clear" w:color="auto" w:fill="auto"/>
            <w:noWrap/>
            <w:vAlign w:val="center"/>
          </w:tcPr>
          <w:p w14:paraId="3E3A1E13" w14:textId="77777777" w:rsidR="00141524" w:rsidRPr="00B7173A" w:rsidRDefault="00141524" w:rsidP="00141524">
            <w:pPr>
              <w:pStyle w:val="af6"/>
              <w:ind w:left="180" w:hangingChars="100" w:hanging="180"/>
              <w:rPr>
                <w:sz w:val="18"/>
                <w:szCs w:val="18"/>
              </w:rPr>
            </w:pPr>
            <w:r w:rsidRPr="00B7173A">
              <w:rPr>
                <w:sz w:val="18"/>
                <w:szCs w:val="18"/>
              </w:rPr>
              <w:t>7. On-the-job training</w:t>
            </w:r>
          </w:p>
        </w:tc>
        <w:tc>
          <w:tcPr>
            <w:tcW w:w="575" w:type="dxa"/>
            <w:tcBorders>
              <w:top w:val="nil"/>
              <w:left w:val="nil"/>
              <w:bottom w:val="nil"/>
              <w:right w:val="nil"/>
            </w:tcBorders>
            <w:shd w:val="clear" w:color="auto" w:fill="auto"/>
            <w:noWrap/>
            <w:vAlign w:val="center"/>
          </w:tcPr>
          <w:p w14:paraId="56A08E7A" w14:textId="77777777" w:rsidR="00141524" w:rsidRPr="001B1089" w:rsidRDefault="00141524" w:rsidP="00141524">
            <w:pPr>
              <w:pStyle w:val="af6"/>
              <w:ind w:firstLine="0"/>
              <w:jc w:val="both"/>
              <w:rPr>
                <w:sz w:val="16"/>
                <w:szCs w:val="16"/>
              </w:rPr>
            </w:pPr>
            <w:r w:rsidRPr="001B1089">
              <w:rPr>
                <w:sz w:val="16"/>
                <w:szCs w:val="16"/>
              </w:rPr>
              <w:t>5.24</w:t>
            </w:r>
          </w:p>
        </w:tc>
        <w:tc>
          <w:tcPr>
            <w:tcW w:w="575" w:type="dxa"/>
            <w:tcBorders>
              <w:top w:val="nil"/>
              <w:left w:val="nil"/>
              <w:bottom w:val="nil"/>
              <w:right w:val="nil"/>
            </w:tcBorders>
            <w:shd w:val="clear" w:color="auto" w:fill="auto"/>
            <w:noWrap/>
            <w:vAlign w:val="center"/>
          </w:tcPr>
          <w:p w14:paraId="6886B469" w14:textId="77777777" w:rsidR="00141524" w:rsidRPr="001B1089" w:rsidRDefault="00141524" w:rsidP="00141524">
            <w:pPr>
              <w:pStyle w:val="af6"/>
              <w:ind w:firstLine="0"/>
              <w:jc w:val="both"/>
              <w:rPr>
                <w:sz w:val="16"/>
                <w:szCs w:val="16"/>
              </w:rPr>
            </w:pPr>
            <w:r w:rsidRPr="001B1089">
              <w:rPr>
                <w:sz w:val="16"/>
                <w:szCs w:val="16"/>
              </w:rPr>
              <w:t>0.52</w:t>
            </w:r>
          </w:p>
        </w:tc>
        <w:tc>
          <w:tcPr>
            <w:tcW w:w="575" w:type="dxa"/>
            <w:tcBorders>
              <w:top w:val="nil"/>
              <w:left w:val="nil"/>
              <w:bottom w:val="nil"/>
              <w:right w:val="nil"/>
            </w:tcBorders>
            <w:shd w:val="clear" w:color="auto" w:fill="auto"/>
            <w:noWrap/>
            <w:vAlign w:val="center"/>
          </w:tcPr>
          <w:p w14:paraId="12C41509" w14:textId="77777777" w:rsidR="00141524" w:rsidRPr="001B1089" w:rsidRDefault="00141524" w:rsidP="00141524">
            <w:pPr>
              <w:pStyle w:val="af6"/>
              <w:ind w:firstLine="0"/>
              <w:jc w:val="both"/>
              <w:rPr>
                <w:sz w:val="16"/>
                <w:szCs w:val="16"/>
              </w:rPr>
            </w:pPr>
            <w:r w:rsidRPr="001B1089">
              <w:rPr>
                <w:sz w:val="16"/>
                <w:szCs w:val="16"/>
              </w:rPr>
              <w:t>3.37</w:t>
            </w:r>
          </w:p>
        </w:tc>
        <w:tc>
          <w:tcPr>
            <w:tcW w:w="575" w:type="dxa"/>
            <w:tcBorders>
              <w:top w:val="nil"/>
              <w:left w:val="nil"/>
              <w:bottom w:val="nil"/>
              <w:right w:val="nil"/>
            </w:tcBorders>
            <w:shd w:val="clear" w:color="auto" w:fill="auto"/>
            <w:noWrap/>
            <w:vAlign w:val="center"/>
          </w:tcPr>
          <w:p w14:paraId="0767BB89" w14:textId="77777777" w:rsidR="00141524" w:rsidRPr="001B1089" w:rsidRDefault="00141524" w:rsidP="00141524">
            <w:pPr>
              <w:pStyle w:val="af6"/>
              <w:ind w:firstLine="0"/>
              <w:jc w:val="both"/>
              <w:rPr>
                <w:sz w:val="16"/>
                <w:szCs w:val="16"/>
              </w:rPr>
            </w:pPr>
            <w:r w:rsidRPr="001B1089">
              <w:rPr>
                <w:sz w:val="16"/>
                <w:szCs w:val="16"/>
              </w:rPr>
              <w:t>6.04</w:t>
            </w:r>
          </w:p>
        </w:tc>
        <w:tc>
          <w:tcPr>
            <w:tcW w:w="576" w:type="dxa"/>
            <w:tcBorders>
              <w:top w:val="nil"/>
              <w:left w:val="nil"/>
              <w:bottom w:val="nil"/>
              <w:right w:val="nil"/>
            </w:tcBorders>
            <w:shd w:val="clear" w:color="auto" w:fill="auto"/>
            <w:noWrap/>
            <w:vAlign w:val="center"/>
          </w:tcPr>
          <w:p w14:paraId="31923244" w14:textId="77777777" w:rsidR="00141524" w:rsidRPr="001B1089" w:rsidRDefault="00141524" w:rsidP="00141524">
            <w:pPr>
              <w:pStyle w:val="af6"/>
              <w:ind w:firstLine="0"/>
              <w:jc w:val="both"/>
              <w:rPr>
                <w:sz w:val="16"/>
                <w:szCs w:val="16"/>
              </w:rPr>
            </w:pPr>
            <w:r w:rsidRPr="001B1089">
              <w:rPr>
                <w:sz w:val="16"/>
                <w:szCs w:val="16"/>
              </w:rPr>
              <w:t>-0.01</w:t>
            </w:r>
          </w:p>
        </w:tc>
        <w:tc>
          <w:tcPr>
            <w:tcW w:w="576" w:type="dxa"/>
            <w:tcBorders>
              <w:top w:val="nil"/>
              <w:left w:val="nil"/>
              <w:bottom w:val="nil"/>
              <w:right w:val="nil"/>
            </w:tcBorders>
            <w:shd w:val="clear" w:color="auto" w:fill="auto"/>
            <w:noWrap/>
            <w:vAlign w:val="center"/>
          </w:tcPr>
          <w:p w14:paraId="509F16B8" w14:textId="77777777" w:rsidR="00141524" w:rsidRPr="001B1089" w:rsidRDefault="00141524" w:rsidP="00141524">
            <w:pPr>
              <w:pStyle w:val="af6"/>
              <w:ind w:firstLine="0"/>
              <w:jc w:val="both"/>
              <w:rPr>
                <w:sz w:val="16"/>
                <w:szCs w:val="16"/>
              </w:rPr>
            </w:pPr>
            <w:r w:rsidRPr="001B1089">
              <w:rPr>
                <w:sz w:val="16"/>
                <w:szCs w:val="16"/>
              </w:rPr>
              <w:t>-0.04**</w:t>
            </w:r>
          </w:p>
        </w:tc>
        <w:tc>
          <w:tcPr>
            <w:tcW w:w="576" w:type="dxa"/>
            <w:tcBorders>
              <w:top w:val="nil"/>
              <w:left w:val="nil"/>
              <w:bottom w:val="nil"/>
              <w:right w:val="nil"/>
            </w:tcBorders>
            <w:shd w:val="clear" w:color="auto" w:fill="auto"/>
            <w:noWrap/>
            <w:vAlign w:val="center"/>
          </w:tcPr>
          <w:p w14:paraId="02377DA5" w14:textId="77777777" w:rsidR="00141524" w:rsidRPr="001B1089" w:rsidRDefault="00141524" w:rsidP="00141524">
            <w:pPr>
              <w:pStyle w:val="af6"/>
              <w:ind w:firstLine="0"/>
              <w:jc w:val="both"/>
              <w:rPr>
                <w:sz w:val="16"/>
                <w:szCs w:val="16"/>
              </w:rPr>
            </w:pPr>
            <w:r w:rsidRPr="001B1089">
              <w:rPr>
                <w:sz w:val="16"/>
                <w:szCs w:val="16"/>
              </w:rPr>
              <w:t>0.59**</w:t>
            </w:r>
          </w:p>
        </w:tc>
        <w:tc>
          <w:tcPr>
            <w:tcW w:w="576" w:type="dxa"/>
            <w:tcBorders>
              <w:top w:val="nil"/>
              <w:left w:val="nil"/>
              <w:bottom w:val="nil"/>
              <w:right w:val="nil"/>
            </w:tcBorders>
            <w:shd w:val="clear" w:color="auto" w:fill="auto"/>
            <w:noWrap/>
            <w:vAlign w:val="center"/>
          </w:tcPr>
          <w:p w14:paraId="25DBCC87" w14:textId="77777777" w:rsidR="00141524" w:rsidRPr="001B1089" w:rsidRDefault="00141524" w:rsidP="00141524">
            <w:pPr>
              <w:pStyle w:val="af6"/>
              <w:ind w:firstLine="0"/>
              <w:jc w:val="both"/>
              <w:rPr>
                <w:sz w:val="16"/>
                <w:szCs w:val="16"/>
              </w:rPr>
            </w:pPr>
            <w:r w:rsidRPr="001B1089">
              <w:rPr>
                <w:sz w:val="16"/>
                <w:szCs w:val="16"/>
              </w:rPr>
              <w:t>0.78**</w:t>
            </w:r>
          </w:p>
        </w:tc>
        <w:tc>
          <w:tcPr>
            <w:tcW w:w="576" w:type="dxa"/>
            <w:tcBorders>
              <w:top w:val="nil"/>
              <w:left w:val="nil"/>
              <w:bottom w:val="nil"/>
              <w:right w:val="nil"/>
            </w:tcBorders>
            <w:shd w:val="clear" w:color="auto" w:fill="auto"/>
            <w:noWrap/>
            <w:vAlign w:val="center"/>
          </w:tcPr>
          <w:p w14:paraId="7C42299D" w14:textId="77777777" w:rsidR="00141524" w:rsidRPr="001B1089" w:rsidRDefault="00141524" w:rsidP="00141524">
            <w:pPr>
              <w:pStyle w:val="af6"/>
              <w:ind w:firstLine="0"/>
              <w:jc w:val="both"/>
              <w:rPr>
                <w:sz w:val="16"/>
                <w:szCs w:val="16"/>
              </w:rPr>
            </w:pPr>
            <w:r w:rsidRPr="001B1089">
              <w:rPr>
                <w:sz w:val="16"/>
                <w:szCs w:val="16"/>
              </w:rPr>
              <w:t>0.35**</w:t>
            </w:r>
          </w:p>
        </w:tc>
        <w:tc>
          <w:tcPr>
            <w:tcW w:w="576" w:type="dxa"/>
            <w:tcBorders>
              <w:top w:val="nil"/>
              <w:left w:val="nil"/>
              <w:bottom w:val="nil"/>
              <w:right w:val="nil"/>
            </w:tcBorders>
            <w:shd w:val="clear" w:color="auto" w:fill="auto"/>
            <w:noWrap/>
            <w:vAlign w:val="center"/>
          </w:tcPr>
          <w:p w14:paraId="11436353" w14:textId="77777777" w:rsidR="00141524" w:rsidRPr="001B1089" w:rsidRDefault="00141524" w:rsidP="00141524">
            <w:pPr>
              <w:pStyle w:val="af6"/>
              <w:ind w:firstLine="0"/>
              <w:jc w:val="both"/>
              <w:rPr>
                <w:sz w:val="16"/>
                <w:szCs w:val="16"/>
              </w:rPr>
            </w:pPr>
            <w:r w:rsidRPr="001B1089">
              <w:rPr>
                <w:sz w:val="16"/>
                <w:szCs w:val="16"/>
              </w:rPr>
              <w:t>0.65**</w:t>
            </w:r>
          </w:p>
        </w:tc>
        <w:tc>
          <w:tcPr>
            <w:tcW w:w="576" w:type="dxa"/>
            <w:tcBorders>
              <w:top w:val="nil"/>
              <w:left w:val="nil"/>
              <w:bottom w:val="nil"/>
              <w:right w:val="nil"/>
            </w:tcBorders>
            <w:shd w:val="clear" w:color="auto" w:fill="auto"/>
            <w:noWrap/>
            <w:vAlign w:val="center"/>
          </w:tcPr>
          <w:p w14:paraId="61462138" w14:textId="77777777" w:rsidR="00141524" w:rsidRPr="001B1089" w:rsidRDefault="00141524" w:rsidP="00141524">
            <w:pPr>
              <w:pStyle w:val="af6"/>
              <w:ind w:firstLine="0"/>
              <w:jc w:val="both"/>
              <w:rPr>
                <w:sz w:val="16"/>
                <w:szCs w:val="16"/>
              </w:rPr>
            </w:pPr>
            <w:r w:rsidRPr="001B1089">
              <w:rPr>
                <w:sz w:val="16"/>
                <w:szCs w:val="16"/>
              </w:rPr>
              <w:t>1.00</w:t>
            </w:r>
          </w:p>
        </w:tc>
        <w:tc>
          <w:tcPr>
            <w:tcW w:w="576" w:type="dxa"/>
            <w:tcBorders>
              <w:top w:val="nil"/>
              <w:left w:val="nil"/>
              <w:bottom w:val="nil"/>
              <w:right w:val="nil"/>
            </w:tcBorders>
            <w:shd w:val="clear" w:color="auto" w:fill="auto"/>
            <w:noWrap/>
            <w:vAlign w:val="center"/>
          </w:tcPr>
          <w:p w14:paraId="5A7558C7"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62DBB8A9"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22481A97" w14:textId="77777777" w:rsidR="00141524" w:rsidRPr="001B1089" w:rsidRDefault="00141524" w:rsidP="00141524">
            <w:pPr>
              <w:pStyle w:val="af6"/>
              <w:ind w:firstLine="0"/>
              <w:jc w:val="both"/>
              <w:rPr>
                <w:sz w:val="16"/>
                <w:szCs w:val="16"/>
              </w:rPr>
            </w:pPr>
          </w:p>
        </w:tc>
        <w:tc>
          <w:tcPr>
            <w:tcW w:w="454" w:type="dxa"/>
            <w:tcBorders>
              <w:top w:val="nil"/>
              <w:left w:val="nil"/>
              <w:bottom w:val="nil"/>
              <w:right w:val="nil"/>
            </w:tcBorders>
            <w:shd w:val="clear" w:color="auto" w:fill="auto"/>
            <w:noWrap/>
            <w:vAlign w:val="center"/>
          </w:tcPr>
          <w:p w14:paraId="4330DB9C" w14:textId="77777777" w:rsidR="00141524" w:rsidRPr="001B1089" w:rsidRDefault="00141524" w:rsidP="00141524">
            <w:pPr>
              <w:pStyle w:val="af6"/>
              <w:ind w:firstLine="0"/>
              <w:jc w:val="both"/>
              <w:rPr>
                <w:sz w:val="16"/>
                <w:szCs w:val="16"/>
              </w:rPr>
            </w:pPr>
          </w:p>
        </w:tc>
      </w:tr>
      <w:tr w:rsidR="00141524" w:rsidRPr="00B7173A" w14:paraId="2AAF9CFD" w14:textId="77777777" w:rsidTr="00141524">
        <w:trPr>
          <w:trHeight w:val="465"/>
          <w:jc w:val="center"/>
        </w:trPr>
        <w:tc>
          <w:tcPr>
            <w:tcW w:w="1150" w:type="dxa"/>
            <w:tcBorders>
              <w:top w:val="nil"/>
              <w:left w:val="nil"/>
              <w:bottom w:val="nil"/>
              <w:right w:val="nil"/>
            </w:tcBorders>
            <w:shd w:val="clear" w:color="auto" w:fill="auto"/>
            <w:noWrap/>
            <w:vAlign w:val="center"/>
          </w:tcPr>
          <w:p w14:paraId="12157F90" w14:textId="77777777" w:rsidR="00141524" w:rsidRPr="00B7173A" w:rsidRDefault="00141524" w:rsidP="00141524">
            <w:pPr>
              <w:pStyle w:val="af6"/>
              <w:ind w:left="180" w:hangingChars="100" w:hanging="180"/>
              <w:rPr>
                <w:sz w:val="18"/>
                <w:szCs w:val="18"/>
              </w:rPr>
            </w:pPr>
            <w:r w:rsidRPr="00B7173A">
              <w:rPr>
                <w:sz w:val="18"/>
                <w:szCs w:val="18"/>
              </w:rPr>
              <w:t>8. Size</w:t>
            </w:r>
          </w:p>
        </w:tc>
        <w:tc>
          <w:tcPr>
            <w:tcW w:w="575" w:type="dxa"/>
            <w:tcBorders>
              <w:top w:val="nil"/>
              <w:left w:val="nil"/>
              <w:bottom w:val="nil"/>
              <w:right w:val="nil"/>
            </w:tcBorders>
            <w:shd w:val="clear" w:color="auto" w:fill="auto"/>
            <w:noWrap/>
            <w:vAlign w:val="center"/>
          </w:tcPr>
          <w:p w14:paraId="5DCB7CD8" w14:textId="77777777" w:rsidR="00141524" w:rsidRPr="001B1089" w:rsidRDefault="00141524" w:rsidP="00141524">
            <w:pPr>
              <w:pStyle w:val="af6"/>
              <w:ind w:firstLine="0"/>
              <w:jc w:val="both"/>
              <w:rPr>
                <w:sz w:val="16"/>
                <w:szCs w:val="16"/>
              </w:rPr>
            </w:pPr>
            <w:r w:rsidRPr="001B1089">
              <w:rPr>
                <w:sz w:val="16"/>
                <w:szCs w:val="16"/>
              </w:rPr>
              <w:t>15.77</w:t>
            </w:r>
          </w:p>
        </w:tc>
        <w:tc>
          <w:tcPr>
            <w:tcW w:w="575" w:type="dxa"/>
            <w:tcBorders>
              <w:top w:val="nil"/>
              <w:left w:val="nil"/>
              <w:bottom w:val="nil"/>
              <w:right w:val="nil"/>
            </w:tcBorders>
            <w:shd w:val="clear" w:color="auto" w:fill="auto"/>
            <w:noWrap/>
            <w:vAlign w:val="center"/>
          </w:tcPr>
          <w:p w14:paraId="628159E3" w14:textId="77777777" w:rsidR="00141524" w:rsidRPr="001B1089" w:rsidRDefault="00141524" w:rsidP="00141524">
            <w:pPr>
              <w:pStyle w:val="af6"/>
              <w:ind w:firstLine="0"/>
              <w:jc w:val="both"/>
              <w:rPr>
                <w:sz w:val="16"/>
                <w:szCs w:val="16"/>
              </w:rPr>
            </w:pPr>
            <w:r w:rsidRPr="001B1089">
              <w:rPr>
                <w:sz w:val="16"/>
                <w:szCs w:val="16"/>
              </w:rPr>
              <w:t>1.68</w:t>
            </w:r>
          </w:p>
        </w:tc>
        <w:tc>
          <w:tcPr>
            <w:tcW w:w="575" w:type="dxa"/>
            <w:tcBorders>
              <w:top w:val="nil"/>
              <w:left w:val="nil"/>
              <w:bottom w:val="nil"/>
              <w:right w:val="nil"/>
            </w:tcBorders>
            <w:shd w:val="clear" w:color="auto" w:fill="auto"/>
            <w:noWrap/>
            <w:vAlign w:val="center"/>
          </w:tcPr>
          <w:p w14:paraId="17623721" w14:textId="77777777" w:rsidR="00141524" w:rsidRPr="001B1089" w:rsidRDefault="00141524" w:rsidP="00141524">
            <w:pPr>
              <w:pStyle w:val="af6"/>
              <w:ind w:firstLine="0"/>
              <w:jc w:val="both"/>
              <w:rPr>
                <w:sz w:val="16"/>
                <w:szCs w:val="16"/>
              </w:rPr>
            </w:pPr>
            <w:r w:rsidRPr="001B1089">
              <w:rPr>
                <w:sz w:val="16"/>
                <w:szCs w:val="16"/>
              </w:rPr>
              <w:t>9.63</w:t>
            </w:r>
          </w:p>
        </w:tc>
        <w:tc>
          <w:tcPr>
            <w:tcW w:w="575" w:type="dxa"/>
            <w:tcBorders>
              <w:top w:val="nil"/>
              <w:left w:val="nil"/>
              <w:bottom w:val="nil"/>
              <w:right w:val="nil"/>
            </w:tcBorders>
            <w:shd w:val="clear" w:color="auto" w:fill="auto"/>
            <w:noWrap/>
            <w:vAlign w:val="center"/>
          </w:tcPr>
          <w:p w14:paraId="2DE9A26A" w14:textId="77777777" w:rsidR="00141524" w:rsidRPr="001B1089" w:rsidRDefault="00141524" w:rsidP="00141524">
            <w:pPr>
              <w:pStyle w:val="af6"/>
              <w:ind w:firstLine="0"/>
              <w:jc w:val="both"/>
              <w:rPr>
                <w:sz w:val="16"/>
                <w:szCs w:val="16"/>
              </w:rPr>
            </w:pPr>
            <w:r w:rsidRPr="001B1089">
              <w:rPr>
                <w:sz w:val="16"/>
                <w:szCs w:val="16"/>
              </w:rPr>
              <w:t>22.05</w:t>
            </w:r>
          </w:p>
        </w:tc>
        <w:tc>
          <w:tcPr>
            <w:tcW w:w="576" w:type="dxa"/>
            <w:tcBorders>
              <w:top w:val="nil"/>
              <w:left w:val="nil"/>
              <w:bottom w:val="nil"/>
              <w:right w:val="nil"/>
            </w:tcBorders>
            <w:shd w:val="clear" w:color="auto" w:fill="auto"/>
            <w:noWrap/>
            <w:vAlign w:val="center"/>
          </w:tcPr>
          <w:p w14:paraId="77088389" w14:textId="77777777" w:rsidR="00141524" w:rsidRPr="001B1089" w:rsidRDefault="00141524" w:rsidP="00141524">
            <w:pPr>
              <w:pStyle w:val="af6"/>
              <w:ind w:firstLine="0"/>
              <w:jc w:val="both"/>
              <w:rPr>
                <w:sz w:val="16"/>
                <w:szCs w:val="16"/>
              </w:rPr>
            </w:pPr>
            <w:r w:rsidRPr="001B1089">
              <w:rPr>
                <w:sz w:val="16"/>
                <w:szCs w:val="16"/>
              </w:rPr>
              <w:t>-0.09**</w:t>
            </w:r>
          </w:p>
        </w:tc>
        <w:tc>
          <w:tcPr>
            <w:tcW w:w="576" w:type="dxa"/>
            <w:tcBorders>
              <w:top w:val="nil"/>
              <w:left w:val="nil"/>
              <w:bottom w:val="nil"/>
              <w:right w:val="nil"/>
            </w:tcBorders>
            <w:shd w:val="clear" w:color="auto" w:fill="auto"/>
            <w:noWrap/>
            <w:vAlign w:val="center"/>
          </w:tcPr>
          <w:p w14:paraId="1CAB2678" w14:textId="77777777" w:rsidR="00141524" w:rsidRPr="001B1089" w:rsidRDefault="00141524" w:rsidP="00141524">
            <w:pPr>
              <w:pStyle w:val="af6"/>
              <w:ind w:firstLine="0"/>
              <w:jc w:val="both"/>
              <w:rPr>
                <w:sz w:val="16"/>
                <w:szCs w:val="16"/>
              </w:rPr>
            </w:pPr>
            <w:r w:rsidRPr="001B1089">
              <w:rPr>
                <w:sz w:val="16"/>
                <w:szCs w:val="16"/>
              </w:rPr>
              <w:t>0.38**</w:t>
            </w:r>
          </w:p>
        </w:tc>
        <w:tc>
          <w:tcPr>
            <w:tcW w:w="576" w:type="dxa"/>
            <w:tcBorders>
              <w:top w:val="nil"/>
              <w:left w:val="nil"/>
              <w:bottom w:val="nil"/>
              <w:right w:val="nil"/>
            </w:tcBorders>
            <w:shd w:val="clear" w:color="auto" w:fill="auto"/>
            <w:noWrap/>
            <w:vAlign w:val="center"/>
          </w:tcPr>
          <w:p w14:paraId="6CEF7B45" w14:textId="77777777" w:rsidR="00141524" w:rsidRPr="001B1089" w:rsidRDefault="00141524" w:rsidP="00141524">
            <w:pPr>
              <w:pStyle w:val="af6"/>
              <w:ind w:firstLine="0"/>
              <w:jc w:val="both"/>
              <w:rPr>
                <w:sz w:val="16"/>
                <w:szCs w:val="16"/>
              </w:rPr>
            </w:pPr>
            <w:r w:rsidRPr="001B1089">
              <w:rPr>
                <w:sz w:val="16"/>
                <w:szCs w:val="16"/>
              </w:rPr>
              <w:t>-0.10**</w:t>
            </w:r>
          </w:p>
        </w:tc>
        <w:tc>
          <w:tcPr>
            <w:tcW w:w="576" w:type="dxa"/>
            <w:tcBorders>
              <w:top w:val="nil"/>
              <w:left w:val="nil"/>
              <w:bottom w:val="nil"/>
              <w:right w:val="nil"/>
            </w:tcBorders>
            <w:shd w:val="clear" w:color="auto" w:fill="auto"/>
            <w:noWrap/>
            <w:vAlign w:val="center"/>
          </w:tcPr>
          <w:p w14:paraId="3A58F051" w14:textId="77777777" w:rsidR="00141524" w:rsidRPr="001B1089" w:rsidRDefault="00141524" w:rsidP="00141524">
            <w:pPr>
              <w:pStyle w:val="af6"/>
              <w:ind w:firstLine="0"/>
              <w:jc w:val="both"/>
              <w:rPr>
                <w:sz w:val="16"/>
                <w:szCs w:val="16"/>
              </w:rPr>
            </w:pPr>
            <w:r w:rsidRPr="001B1089">
              <w:rPr>
                <w:sz w:val="16"/>
                <w:szCs w:val="16"/>
              </w:rPr>
              <w:t>-0.08**</w:t>
            </w:r>
          </w:p>
        </w:tc>
        <w:tc>
          <w:tcPr>
            <w:tcW w:w="576" w:type="dxa"/>
            <w:tcBorders>
              <w:top w:val="nil"/>
              <w:left w:val="nil"/>
              <w:bottom w:val="nil"/>
              <w:right w:val="nil"/>
            </w:tcBorders>
            <w:shd w:val="clear" w:color="auto" w:fill="auto"/>
            <w:noWrap/>
            <w:vAlign w:val="center"/>
          </w:tcPr>
          <w:p w14:paraId="01081CC9" w14:textId="77777777" w:rsidR="00141524" w:rsidRPr="001B1089" w:rsidRDefault="00141524" w:rsidP="00141524">
            <w:pPr>
              <w:pStyle w:val="af6"/>
              <w:ind w:firstLine="0"/>
              <w:jc w:val="both"/>
              <w:rPr>
                <w:sz w:val="16"/>
                <w:szCs w:val="16"/>
              </w:rPr>
            </w:pPr>
            <w:r w:rsidRPr="001B1089">
              <w:rPr>
                <w:sz w:val="16"/>
                <w:szCs w:val="16"/>
              </w:rPr>
              <w:t>-0.05**</w:t>
            </w:r>
          </w:p>
        </w:tc>
        <w:tc>
          <w:tcPr>
            <w:tcW w:w="576" w:type="dxa"/>
            <w:tcBorders>
              <w:top w:val="nil"/>
              <w:left w:val="nil"/>
              <w:bottom w:val="nil"/>
              <w:right w:val="nil"/>
            </w:tcBorders>
            <w:shd w:val="clear" w:color="auto" w:fill="auto"/>
            <w:noWrap/>
            <w:vAlign w:val="center"/>
          </w:tcPr>
          <w:p w14:paraId="2F44F7D4" w14:textId="77777777" w:rsidR="00141524" w:rsidRPr="001B1089" w:rsidRDefault="00141524" w:rsidP="00141524">
            <w:pPr>
              <w:pStyle w:val="af6"/>
              <w:ind w:firstLine="0"/>
              <w:jc w:val="both"/>
              <w:rPr>
                <w:sz w:val="16"/>
                <w:szCs w:val="16"/>
              </w:rPr>
            </w:pPr>
            <w:r w:rsidRPr="001B1089">
              <w:rPr>
                <w:sz w:val="16"/>
                <w:szCs w:val="16"/>
              </w:rPr>
              <w:t>-0.11**</w:t>
            </w:r>
          </w:p>
        </w:tc>
        <w:tc>
          <w:tcPr>
            <w:tcW w:w="576" w:type="dxa"/>
            <w:tcBorders>
              <w:top w:val="nil"/>
              <w:left w:val="nil"/>
              <w:bottom w:val="nil"/>
              <w:right w:val="nil"/>
            </w:tcBorders>
            <w:shd w:val="clear" w:color="auto" w:fill="auto"/>
            <w:noWrap/>
            <w:vAlign w:val="center"/>
          </w:tcPr>
          <w:p w14:paraId="03E44B53" w14:textId="77777777" w:rsidR="00141524" w:rsidRPr="001B1089" w:rsidRDefault="00141524" w:rsidP="00141524">
            <w:pPr>
              <w:pStyle w:val="af6"/>
              <w:ind w:firstLine="0"/>
              <w:jc w:val="both"/>
              <w:rPr>
                <w:sz w:val="16"/>
                <w:szCs w:val="16"/>
              </w:rPr>
            </w:pPr>
            <w:r w:rsidRPr="001B1089">
              <w:rPr>
                <w:sz w:val="16"/>
                <w:szCs w:val="16"/>
              </w:rPr>
              <w:t>-0.03**</w:t>
            </w:r>
          </w:p>
        </w:tc>
        <w:tc>
          <w:tcPr>
            <w:tcW w:w="576" w:type="dxa"/>
            <w:tcBorders>
              <w:top w:val="nil"/>
              <w:left w:val="nil"/>
              <w:bottom w:val="nil"/>
              <w:right w:val="nil"/>
            </w:tcBorders>
            <w:shd w:val="clear" w:color="auto" w:fill="auto"/>
            <w:noWrap/>
            <w:vAlign w:val="center"/>
          </w:tcPr>
          <w:p w14:paraId="682A5CD2" w14:textId="77777777" w:rsidR="00141524" w:rsidRPr="001B1089" w:rsidRDefault="00141524" w:rsidP="00141524">
            <w:pPr>
              <w:pStyle w:val="af6"/>
              <w:ind w:firstLine="0"/>
              <w:jc w:val="both"/>
              <w:rPr>
                <w:sz w:val="16"/>
                <w:szCs w:val="16"/>
              </w:rPr>
            </w:pPr>
            <w:r w:rsidRPr="001B1089">
              <w:rPr>
                <w:sz w:val="16"/>
                <w:szCs w:val="16"/>
              </w:rPr>
              <w:t>1.00</w:t>
            </w:r>
          </w:p>
        </w:tc>
        <w:tc>
          <w:tcPr>
            <w:tcW w:w="576" w:type="dxa"/>
            <w:tcBorders>
              <w:top w:val="nil"/>
              <w:left w:val="nil"/>
              <w:bottom w:val="nil"/>
              <w:right w:val="nil"/>
            </w:tcBorders>
            <w:shd w:val="clear" w:color="auto" w:fill="auto"/>
            <w:noWrap/>
            <w:vAlign w:val="center"/>
          </w:tcPr>
          <w:p w14:paraId="3C37C62F" w14:textId="77777777" w:rsidR="00141524" w:rsidRPr="001B1089" w:rsidRDefault="00141524" w:rsidP="00141524">
            <w:pPr>
              <w:pStyle w:val="af6"/>
              <w:ind w:firstLine="0"/>
              <w:jc w:val="both"/>
              <w:rPr>
                <w:sz w:val="16"/>
                <w:szCs w:val="16"/>
              </w:rPr>
            </w:pPr>
          </w:p>
        </w:tc>
        <w:tc>
          <w:tcPr>
            <w:tcW w:w="576" w:type="dxa"/>
            <w:tcBorders>
              <w:top w:val="nil"/>
              <w:left w:val="nil"/>
              <w:bottom w:val="nil"/>
              <w:right w:val="nil"/>
            </w:tcBorders>
            <w:shd w:val="clear" w:color="auto" w:fill="auto"/>
            <w:noWrap/>
            <w:vAlign w:val="center"/>
          </w:tcPr>
          <w:p w14:paraId="42BACBCC" w14:textId="77777777" w:rsidR="00141524" w:rsidRPr="001B1089" w:rsidRDefault="00141524" w:rsidP="00141524">
            <w:pPr>
              <w:pStyle w:val="af6"/>
              <w:ind w:firstLine="0"/>
              <w:jc w:val="both"/>
              <w:rPr>
                <w:sz w:val="16"/>
                <w:szCs w:val="16"/>
              </w:rPr>
            </w:pPr>
          </w:p>
        </w:tc>
        <w:tc>
          <w:tcPr>
            <w:tcW w:w="454" w:type="dxa"/>
            <w:tcBorders>
              <w:top w:val="nil"/>
              <w:left w:val="nil"/>
              <w:bottom w:val="nil"/>
              <w:right w:val="nil"/>
            </w:tcBorders>
            <w:shd w:val="clear" w:color="auto" w:fill="auto"/>
            <w:noWrap/>
            <w:vAlign w:val="center"/>
          </w:tcPr>
          <w:p w14:paraId="132918F8" w14:textId="77777777" w:rsidR="00141524" w:rsidRPr="001B1089" w:rsidRDefault="00141524" w:rsidP="00141524">
            <w:pPr>
              <w:pStyle w:val="af6"/>
              <w:ind w:firstLine="0"/>
              <w:jc w:val="both"/>
              <w:rPr>
                <w:sz w:val="16"/>
                <w:szCs w:val="16"/>
              </w:rPr>
            </w:pPr>
          </w:p>
        </w:tc>
      </w:tr>
      <w:tr w:rsidR="00141524" w:rsidRPr="00B7173A" w14:paraId="61596AAF" w14:textId="77777777" w:rsidTr="00141524">
        <w:trPr>
          <w:trHeight w:val="470"/>
          <w:jc w:val="center"/>
        </w:trPr>
        <w:tc>
          <w:tcPr>
            <w:tcW w:w="1150" w:type="dxa"/>
            <w:tcBorders>
              <w:top w:val="nil"/>
              <w:left w:val="nil"/>
              <w:bottom w:val="nil"/>
              <w:right w:val="nil"/>
            </w:tcBorders>
            <w:shd w:val="clear" w:color="auto" w:fill="auto"/>
            <w:noWrap/>
            <w:vAlign w:val="center"/>
          </w:tcPr>
          <w:p w14:paraId="2E2666E9" w14:textId="77777777" w:rsidR="00141524" w:rsidRPr="00B7173A" w:rsidRDefault="00141524" w:rsidP="00141524">
            <w:pPr>
              <w:pStyle w:val="af6"/>
              <w:ind w:left="180" w:hangingChars="100" w:hanging="180"/>
              <w:rPr>
                <w:sz w:val="18"/>
                <w:szCs w:val="18"/>
              </w:rPr>
            </w:pPr>
            <w:r w:rsidRPr="00B7173A">
              <w:rPr>
                <w:sz w:val="18"/>
                <w:szCs w:val="18"/>
              </w:rPr>
              <w:t>9. Leverage</w:t>
            </w:r>
          </w:p>
        </w:tc>
        <w:tc>
          <w:tcPr>
            <w:tcW w:w="575" w:type="dxa"/>
            <w:tcBorders>
              <w:top w:val="nil"/>
              <w:left w:val="nil"/>
              <w:bottom w:val="nil"/>
              <w:right w:val="nil"/>
            </w:tcBorders>
            <w:shd w:val="clear" w:color="auto" w:fill="auto"/>
            <w:noWrap/>
            <w:vAlign w:val="center"/>
          </w:tcPr>
          <w:p w14:paraId="1246B9AF" w14:textId="77777777" w:rsidR="00141524" w:rsidRPr="001B1089" w:rsidRDefault="00141524" w:rsidP="00141524">
            <w:pPr>
              <w:pStyle w:val="af6"/>
              <w:ind w:firstLine="0"/>
              <w:jc w:val="both"/>
              <w:rPr>
                <w:sz w:val="16"/>
                <w:szCs w:val="16"/>
              </w:rPr>
            </w:pPr>
            <w:r w:rsidRPr="001B1089">
              <w:rPr>
                <w:sz w:val="16"/>
                <w:szCs w:val="16"/>
              </w:rPr>
              <w:t>0.25</w:t>
            </w:r>
          </w:p>
        </w:tc>
        <w:tc>
          <w:tcPr>
            <w:tcW w:w="575" w:type="dxa"/>
            <w:tcBorders>
              <w:top w:val="nil"/>
              <w:left w:val="nil"/>
              <w:bottom w:val="nil"/>
              <w:right w:val="nil"/>
            </w:tcBorders>
            <w:shd w:val="clear" w:color="auto" w:fill="auto"/>
            <w:noWrap/>
            <w:vAlign w:val="center"/>
          </w:tcPr>
          <w:p w14:paraId="3E4E3B87" w14:textId="77777777" w:rsidR="00141524" w:rsidRPr="001B1089" w:rsidRDefault="00141524" w:rsidP="00141524">
            <w:pPr>
              <w:pStyle w:val="af6"/>
              <w:ind w:firstLine="0"/>
              <w:jc w:val="both"/>
              <w:rPr>
                <w:sz w:val="16"/>
                <w:szCs w:val="16"/>
              </w:rPr>
            </w:pPr>
            <w:r w:rsidRPr="001B1089">
              <w:rPr>
                <w:sz w:val="16"/>
                <w:szCs w:val="16"/>
              </w:rPr>
              <w:t>0.19</w:t>
            </w:r>
          </w:p>
        </w:tc>
        <w:tc>
          <w:tcPr>
            <w:tcW w:w="575" w:type="dxa"/>
            <w:tcBorders>
              <w:top w:val="nil"/>
              <w:left w:val="nil"/>
              <w:bottom w:val="nil"/>
              <w:right w:val="nil"/>
            </w:tcBorders>
            <w:shd w:val="clear" w:color="auto" w:fill="auto"/>
            <w:noWrap/>
            <w:vAlign w:val="center"/>
          </w:tcPr>
          <w:p w14:paraId="5A4E726C" w14:textId="77777777" w:rsidR="00141524" w:rsidRPr="001B1089" w:rsidRDefault="00141524" w:rsidP="00141524">
            <w:pPr>
              <w:pStyle w:val="af6"/>
              <w:ind w:firstLine="0"/>
              <w:jc w:val="both"/>
              <w:rPr>
                <w:sz w:val="16"/>
                <w:szCs w:val="16"/>
              </w:rPr>
            </w:pPr>
            <w:r w:rsidRPr="001B1089">
              <w:rPr>
                <w:sz w:val="16"/>
                <w:szCs w:val="16"/>
              </w:rPr>
              <w:t>0.00</w:t>
            </w:r>
          </w:p>
        </w:tc>
        <w:tc>
          <w:tcPr>
            <w:tcW w:w="575" w:type="dxa"/>
            <w:tcBorders>
              <w:top w:val="nil"/>
              <w:left w:val="nil"/>
              <w:bottom w:val="nil"/>
              <w:right w:val="nil"/>
            </w:tcBorders>
            <w:shd w:val="clear" w:color="auto" w:fill="auto"/>
            <w:noWrap/>
            <w:vAlign w:val="center"/>
          </w:tcPr>
          <w:p w14:paraId="0E8884E9" w14:textId="77777777" w:rsidR="00141524" w:rsidRPr="001B1089" w:rsidRDefault="00141524" w:rsidP="00141524">
            <w:pPr>
              <w:pStyle w:val="af6"/>
              <w:ind w:firstLine="0"/>
              <w:jc w:val="both"/>
              <w:rPr>
                <w:sz w:val="16"/>
                <w:szCs w:val="16"/>
              </w:rPr>
            </w:pPr>
            <w:r w:rsidRPr="001B1089">
              <w:rPr>
                <w:sz w:val="16"/>
                <w:szCs w:val="16"/>
              </w:rPr>
              <w:t>2.67</w:t>
            </w:r>
          </w:p>
        </w:tc>
        <w:tc>
          <w:tcPr>
            <w:tcW w:w="576" w:type="dxa"/>
            <w:tcBorders>
              <w:top w:val="nil"/>
              <w:left w:val="nil"/>
              <w:bottom w:val="nil"/>
              <w:right w:val="nil"/>
            </w:tcBorders>
            <w:shd w:val="clear" w:color="auto" w:fill="auto"/>
            <w:noWrap/>
            <w:vAlign w:val="center"/>
          </w:tcPr>
          <w:p w14:paraId="265F92CC" w14:textId="77777777" w:rsidR="00141524" w:rsidRPr="001B1089" w:rsidRDefault="00141524" w:rsidP="00141524">
            <w:pPr>
              <w:pStyle w:val="af6"/>
              <w:ind w:firstLine="0"/>
              <w:jc w:val="both"/>
              <w:rPr>
                <w:sz w:val="16"/>
                <w:szCs w:val="16"/>
              </w:rPr>
            </w:pPr>
            <w:r w:rsidRPr="001B1089">
              <w:rPr>
                <w:sz w:val="16"/>
                <w:szCs w:val="16"/>
              </w:rPr>
              <w:t>-0.08**</w:t>
            </w:r>
          </w:p>
        </w:tc>
        <w:tc>
          <w:tcPr>
            <w:tcW w:w="576" w:type="dxa"/>
            <w:tcBorders>
              <w:top w:val="nil"/>
              <w:left w:val="nil"/>
              <w:bottom w:val="nil"/>
              <w:right w:val="nil"/>
            </w:tcBorders>
            <w:shd w:val="clear" w:color="auto" w:fill="auto"/>
            <w:noWrap/>
            <w:vAlign w:val="center"/>
          </w:tcPr>
          <w:p w14:paraId="3B8F5FC5" w14:textId="77777777" w:rsidR="00141524" w:rsidRPr="001B1089" w:rsidRDefault="00141524" w:rsidP="00141524">
            <w:pPr>
              <w:pStyle w:val="af6"/>
              <w:ind w:firstLine="0"/>
              <w:jc w:val="both"/>
              <w:rPr>
                <w:sz w:val="16"/>
                <w:szCs w:val="16"/>
              </w:rPr>
            </w:pPr>
            <w:r w:rsidRPr="001B1089">
              <w:rPr>
                <w:sz w:val="16"/>
                <w:szCs w:val="16"/>
              </w:rPr>
              <w:t>0.03**</w:t>
            </w:r>
          </w:p>
        </w:tc>
        <w:tc>
          <w:tcPr>
            <w:tcW w:w="576" w:type="dxa"/>
            <w:tcBorders>
              <w:top w:val="nil"/>
              <w:left w:val="nil"/>
              <w:bottom w:val="nil"/>
              <w:right w:val="nil"/>
            </w:tcBorders>
            <w:shd w:val="clear" w:color="auto" w:fill="auto"/>
            <w:noWrap/>
            <w:vAlign w:val="center"/>
          </w:tcPr>
          <w:p w14:paraId="0659E33C" w14:textId="77777777" w:rsidR="00141524" w:rsidRPr="001B1089" w:rsidRDefault="00141524" w:rsidP="00141524">
            <w:pPr>
              <w:pStyle w:val="af6"/>
              <w:ind w:firstLine="0"/>
              <w:jc w:val="both"/>
              <w:rPr>
                <w:sz w:val="16"/>
                <w:szCs w:val="16"/>
              </w:rPr>
            </w:pPr>
            <w:r w:rsidRPr="001B1089">
              <w:rPr>
                <w:sz w:val="16"/>
                <w:szCs w:val="16"/>
              </w:rPr>
              <w:t>-0.05**</w:t>
            </w:r>
          </w:p>
        </w:tc>
        <w:tc>
          <w:tcPr>
            <w:tcW w:w="576" w:type="dxa"/>
            <w:tcBorders>
              <w:top w:val="nil"/>
              <w:left w:val="nil"/>
              <w:bottom w:val="nil"/>
              <w:right w:val="nil"/>
            </w:tcBorders>
            <w:shd w:val="clear" w:color="auto" w:fill="auto"/>
            <w:noWrap/>
            <w:vAlign w:val="center"/>
          </w:tcPr>
          <w:p w14:paraId="416F2008" w14:textId="77777777" w:rsidR="00141524" w:rsidRPr="001B1089" w:rsidRDefault="00141524" w:rsidP="00141524">
            <w:pPr>
              <w:pStyle w:val="af6"/>
              <w:ind w:firstLine="0"/>
              <w:jc w:val="both"/>
              <w:rPr>
                <w:sz w:val="16"/>
                <w:szCs w:val="16"/>
              </w:rPr>
            </w:pPr>
            <w:r w:rsidRPr="001B1089">
              <w:rPr>
                <w:sz w:val="16"/>
                <w:szCs w:val="16"/>
              </w:rPr>
              <w:t>-0.03**</w:t>
            </w:r>
          </w:p>
        </w:tc>
        <w:tc>
          <w:tcPr>
            <w:tcW w:w="576" w:type="dxa"/>
            <w:tcBorders>
              <w:top w:val="nil"/>
              <w:left w:val="nil"/>
              <w:bottom w:val="nil"/>
              <w:right w:val="nil"/>
            </w:tcBorders>
            <w:shd w:val="clear" w:color="auto" w:fill="auto"/>
            <w:noWrap/>
            <w:vAlign w:val="center"/>
          </w:tcPr>
          <w:p w14:paraId="5F2CA553" w14:textId="77777777" w:rsidR="00141524" w:rsidRPr="001B1089" w:rsidRDefault="00141524" w:rsidP="00141524">
            <w:pPr>
              <w:pStyle w:val="af6"/>
              <w:ind w:firstLine="0"/>
              <w:jc w:val="both"/>
              <w:rPr>
                <w:sz w:val="16"/>
                <w:szCs w:val="16"/>
              </w:rPr>
            </w:pPr>
            <w:r w:rsidRPr="001B1089">
              <w:rPr>
                <w:sz w:val="16"/>
                <w:szCs w:val="16"/>
              </w:rPr>
              <w:t>0.05**</w:t>
            </w:r>
          </w:p>
        </w:tc>
        <w:tc>
          <w:tcPr>
            <w:tcW w:w="576" w:type="dxa"/>
            <w:tcBorders>
              <w:top w:val="nil"/>
              <w:left w:val="nil"/>
              <w:bottom w:val="nil"/>
              <w:right w:val="nil"/>
            </w:tcBorders>
            <w:shd w:val="clear" w:color="auto" w:fill="auto"/>
            <w:noWrap/>
            <w:vAlign w:val="center"/>
          </w:tcPr>
          <w:p w14:paraId="4ECF59DC" w14:textId="77777777" w:rsidR="00141524" w:rsidRPr="001B1089" w:rsidRDefault="00141524" w:rsidP="00141524">
            <w:pPr>
              <w:pStyle w:val="af6"/>
              <w:ind w:firstLine="0"/>
              <w:jc w:val="both"/>
              <w:rPr>
                <w:sz w:val="16"/>
                <w:szCs w:val="16"/>
              </w:rPr>
            </w:pPr>
            <w:r w:rsidRPr="001B1089">
              <w:rPr>
                <w:sz w:val="16"/>
                <w:szCs w:val="16"/>
              </w:rPr>
              <w:t>-0.03**</w:t>
            </w:r>
          </w:p>
        </w:tc>
        <w:tc>
          <w:tcPr>
            <w:tcW w:w="576" w:type="dxa"/>
            <w:tcBorders>
              <w:top w:val="nil"/>
              <w:left w:val="nil"/>
              <w:bottom w:val="nil"/>
              <w:right w:val="nil"/>
            </w:tcBorders>
            <w:shd w:val="clear" w:color="auto" w:fill="auto"/>
            <w:noWrap/>
            <w:vAlign w:val="center"/>
          </w:tcPr>
          <w:p w14:paraId="03B73EAB" w14:textId="77777777" w:rsidR="00141524" w:rsidRPr="001B1089" w:rsidRDefault="00141524" w:rsidP="00141524">
            <w:pPr>
              <w:pStyle w:val="af6"/>
              <w:ind w:firstLine="0"/>
              <w:jc w:val="both"/>
              <w:rPr>
                <w:sz w:val="16"/>
                <w:szCs w:val="16"/>
              </w:rPr>
            </w:pPr>
            <w:r w:rsidRPr="001B1089">
              <w:rPr>
                <w:sz w:val="16"/>
                <w:szCs w:val="16"/>
              </w:rPr>
              <w:t>-0.04**</w:t>
            </w:r>
          </w:p>
        </w:tc>
        <w:tc>
          <w:tcPr>
            <w:tcW w:w="576" w:type="dxa"/>
            <w:tcBorders>
              <w:top w:val="nil"/>
              <w:left w:val="nil"/>
              <w:bottom w:val="nil"/>
              <w:right w:val="nil"/>
            </w:tcBorders>
            <w:shd w:val="clear" w:color="auto" w:fill="auto"/>
            <w:noWrap/>
            <w:vAlign w:val="center"/>
          </w:tcPr>
          <w:p w14:paraId="27EBCF42" w14:textId="77777777" w:rsidR="00141524" w:rsidRPr="001B1089" w:rsidRDefault="00141524" w:rsidP="00141524">
            <w:pPr>
              <w:pStyle w:val="af6"/>
              <w:ind w:firstLine="0"/>
              <w:jc w:val="both"/>
              <w:rPr>
                <w:sz w:val="16"/>
                <w:szCs w:val="16"/>
              </w:rPr>
            </w:pPr>
            <w:r w:rsidRPr="001B1089">
              <w:rPr>
                <w:sz w:val="16"/>
                <w:szCs w:val="16"/>
              </w:rPr>
              <w:t>0.12**</w:t>
            </w:r>
          </w:p>
        </w:tc>
        <w:tc>
          <w:tcPr>
            <w:tcW w:w="576" w:type="dxa"/>
            <w:tcBorders>
              <w:top w:val="nil"/>
              <w:left w:val="nil"/>
              <w:bottom w:val="nil"/>
              <w:right w:val="nil"/>
            </w:tcBorders>
            <w:shd w:val="clear" w:color="auto" w:fill="auto"/>
            <w:noWrap/>
            <w:vAlign w:val="center"/>
          </w:tcPr>
          <w:p w14:paraId="1C7AE61A" w14:textId="77777777" w:rsidR="00141524" w:rsidRPr="001B1089" w:rsidRDefault="00141524" w:rsidP="00141524">
            <w:pPr>
              <w:pStyle w:val="af6"/>
              <w:ind w:firstLine="0"/>
              <w:jc w:val="both"/>
              <w:rPr>
                <w:sz w:val="16"/>
                <w:szCs w:val="16"/>
              </w:rPr>
            </w:pPr>
            <w:r w:rsidRPr="001B1089">
              <w:rPr>
                <w:sz w:val="16"/>
                <w:szCs w:val="16"/>
              </w:rPr>
              <w:t>1.00</w:t>
            </w:r>
          </w:p>
        </w:tc>
        <w:tc>
          <w:tcPr>
            <w:tcW w:w="576" w:type="dxa"/>
            <w:tcBorders>
              <w:top w:val="nil"/>
              <w:left w:val="nil"/>
              <w:bottom w:val="nil"/>
              <w:right w:val="nil"/>
            </w:tcBorders>
            <w:shd w:val="clear" w:color="auto" w:fill="auto"/>
            <w:noWrap/>
            <w:vAlign w:val="center"/>
          </w:tcPr>
          <w:p w14:paraId="31DA4618" w14:textId="77777777" w:rsidR="00141524" w:rsidRPr="001B1089" w:rsidRDefault="00141524" w:rsidP="00141524">
            <w:pPr>
              <w:pStyle w:val="af6"/>
              <w:ind w:firstLine="0"/>
              <w:jc w:val="both"/>
              <w:rPr>
                <w:sz w:val="16"/>
                <w:szCs w:val="16"/>
              </w:rPr>
            </w:pPr>
          </w:p>
        </w:tc>
        <w:tc>
          <w:tcPr>
            <w:tcW w:w="454" w:type="dxa"/>
            <w:tcBorders>
              <w:top w:val="nil"/>
              <w:left w:val="nil"/>
              <w:bottom w:val="nil"/>
              <w:right w:val="nil"/>
            </w:tcBorders>
            <w:shd w:val="clear" w:color="auto" w:fill="auto"/>
            <w:noWrap/>
            <w:vAlign w:val="center"/>
          </w:tcPr>
          <w:p w14:paraId="1DBFC79C" w14:textId="77777777" w:rsidR="00141524" w:rsidRPr="001B1089" w:rsidRDefault="00141524" w:rsidP="00141524">
            <w:pPr>
              <w:pStyle w:val="af6"/>
              <w:ind w:firstLine="0"/>
              <w:jc w:val="both"/>
              <w:rPr>
                <w:sz w:val="16"/>
                <w:szCs w:val="16"/>
              </w:rPr>
            </w:pPr>
          </w:p>
        </w:tc>
      </w:tr>
      <w:tr w:rsidR="00141524" w:rsidRPr="00B7173A" w14:paraId="52451DC8" w14:textId="77777777" w:rsidTr="00141524">
        <w:trPr>
          <w:trHeight w:val="227"/>
          <w:jc w:val="center"/>
        </w:trPr>
        <w:tc>
          <w:tcPr>
            <w:tcW w:w="1150" w:type="dxa"/>
            <w:tcBorders>
              <w:top w:val="nil"/>
              <w:left w:val="nil"/>
              <w:bottom w:val="nil"/>
              <w:right w:val="nil"/>
            </w:tcBorders>
            <w:shd w:val="clear" w:color="auto" w:fill="auto"/>
            <w:noWrap/>
            <w:vAlign w:val="center"/>
          </w:tcPr>
          <w:p w14:paraId="3474B5BC" w14:textId="070C7F80" w:rsidR="00141524" w:rsidRPr="00B7173A" w:rsidRDefault="00141524" w:rsidP="00141524">
            <w:pPr>
              <w:pStyle w:val="af6"/>
              <w:ind w:left="180" w:hangingChars="100" w:hanging="180"/>
              <w:rPr>
                <w:sz w:val="18"/>
                <w:szCs w:val="18"/>
              </w:rPr>
            </w:pPr>
            <w:r w:rsidRPr="00B7173A">
              <w:rPr>
                <w:sz w:val="18"/>
                <w:szCs w:val="18"/>
              </w:rPr>
              <w:t>10. GDP absolute (billions)</w:t>
            </w:r>
          </w:p>
        </w:tc>
        <w:tc>
          <w:tcPr>
            <w:tcW w:w="575" w:type="dxa"/>
            <w:tcBorders>
              <w:top w:val="nil"/>
              <w:left w:val="nil"/>
              <w:bottom w:val="nil"/>
              <w:right w:val="nil"/>
            </w:tcBorders>
            <w:shd w:val="clear" w:color="auto" w:fill="auto"/>
            <w:noWrap/>
            <w:vAlign w:val="center"/>
          </w:tcPr>
          <w:p w14:paraId="7C6CC82E" w14:textId="0583FF23" w:rsidR="00141524" w:rsidRPr="001B1089" w:rsidRDefault="00141524" w:rsidP="00141524">
            <w:pPr>
              <w:pStyle w:val="af6"/>
              <w:ind w:firstLine="0"/>
              <w:jc w:val="both"/>
              <w:rPr>
                <w:sz w:val="16"/>
                <w:szCs w:val="16"/>
              </w:rPr>
            </w:pPr>
            <w:r w:rsidRPr="001B1089">
              <w:rPr>
                <w:sz w:val="16"/>
                <w:szCs w:val="16"/>
              </w:rPr>
              <w:t>5760</w:t>
            </w:r>
          </w:p>
        </w:tc>
        <w:tc>
          <w:tcPr>
            <w:tcW w:w="575" w:type="dxa"/>
            <w:tcBorders>
              <w:top w:val="nil"/>
              <w:left w:val="nil"/>
              <w:bottom w:val="nil"/>
              <w:right w:val="nil"/>
            </w:tcBorders>
            <w:shd w:val="clear" w:color="auto" w:fill="auto"/>
            <w:noWrap/>
            <w:vAlign w:val="center"/>
          </w:tcPr>
          <w:p w14:paraId="74489993" w14:textId="33DF8695" w:rsidR="00141524" w:rsidRPr="001B1089" w:rsidRDefault="00141524" w:rsidP="00141524">
            <w:pPr>
              <w:pStyle w:val="af6"/>
              <w:ind w:firstLine="0"/>
              <w:jc w:val="both"/>
              <w:rPr>
                <w:sz w:val="16"/>
                <w:szCs w:val="16"/>
              </w:rPr>
            </w:pPr>
            <w:r w:rsidRPr="001B1089">
              <w:rPr>
                <w:sz w:val="16"/>
                <w:szCs w:val="16"/>
              </w:rPr>
              <w:t>5890</w:t>
            </w:r>
          </w:p>
        </w:tc>
        <w:tc>
          <w:tcPr>
            <w:tcW w:w="575" w:type="dxa"/>
            <w:tcBorders>
              <w:top w:val="nil"/>
              <w:left w:val="nil"/>
              <w:bottom w:val="nil"/>
              <w:right w:val="nil"/>
            </w:tcBorders>
            <w:shd w:val="clear" w:color="auto" w:fill="auto"/>
            <w:noWrap/>
            <w:vAlign w:val="center"/>
          </w:tcPr>
          <w:p w14:paraId="203888D3" w14:textId="213AC3B2" w:rsidR="00141524" w:rsidRPr="001B1089" w:rsidRDefault="00141524" w:rsidP="00141524">
            <w:pPr>
              <w:pStyle w:val="af6"/>
              <w:ind w:firstLine="0"/>
              <w:jc w:val="both"/>
              <w:rPr>
                <w:sz w:val="16"/>
                <w:szCs w:val="16"/>
              </w:rPr>
            </w:pPr>
            <w:r w:rsidRPr="001B1089">
              <w:rPr>
                <w:sz w:val="16"/>
                <w:szCs w:val="16"/>
              </w:rPr>
              <w:t>19.9</w:t>
            </w:r>
          </w:p>
        </w:tc>
        <w:tc>
          <w:tcPr>
            <w:tcW w:w="575" w:type="dxa"/>
            <w:tcBorders>
              <w:top w:val="nil"/>
              <w:left w:val="nil"/>
              <w:bottom w:val="nil"/>
              <w:right w:val="nil"/>
            </w:tcBorders>
            <w:shd w:val="clear" w:color="auto" w:fill="auto"/>
            <w:noWrap/>
            <w:vAlign w:val="center"/>
          </w:tcPr>
          <w:p w14:paraId="33E5DA33" w14:textId="667234AA" w:rsidR="00141524" w:rsidRPr="001B1089" w:rsidRDefault="00141524" w:rsidP="00141524">
            <w:pPr>
              <w:pStyle w:val="af6"/>
              <w:ind w:firstLine="0"/>
              <w:jc w:val="both"/>
              <w:rPr>
                <w:sz w:val="16"/>
                <w:szCs w:val="16"/>
              </w:rPr>
            </w:pPr>
            <w:r w:rsidRPr="001B1089">
              <w:rPr>
                <w:sz w:val="16"/>
                <w:szCs w:val="16"/>
              </w:rPr>
              <w:t>16200</w:t>
            </w:r>
          </w:p>
        </w:tc>
        <w:tc>
          <w:tcPr>
            <w:tcW w:w="576" w:type="dxa"/>
            <w:tcBorders>
              <w:top w:val="nil"/>
              <w:left w:val="nil"/>
              <w:bottom w:val="nil"/>
              <w:right w:val="nil"/>
            </w:tcBorders>
            <w:shd w:val="clear" w:color="auto" w:fill="auto"/>
            <w:noWrap/>
            <w:vAlign w:val="center"/>
          </w:tcPr>
          <w:p w14:paraId="13F09E50" w14:textId="465B5605" w:rsidR="00141524" w:rsidRPr="001B1089" w:rsidRDefault="00141524" w:rsidP="00141524">
            <w:pPr>
              <w:pStyle w:val="af6"/>
              <w:ind w:firstLine="0"/>
              <w:jc w:val="both"/>
              <w:rPr>
                <w:sz w:val="16"/>
                <w:szCs w:val="16"/>
              </w:rPr>
            </w:pPr>
            <w:r w:rsidRPr="001B1089">
              <w:rPr>
                <w:sz w:val="16"/>
                <w:szCs w:val="16"/>
              </w:rPr>
              <w:t>0.04**</w:t>
            </w:r>
          </w:p>
        </w:tc>
        <w:tc>
          <w:tcPr>
            <w:tcW w:w="576" w:type="dxa"/>
            <w:tcBorders>
              <w:top w:val="nil"/>
              <w:left w:val="nil"/>
              <w:bottom w:val="nil"/>
              <w:right w:val="nil"/>
            </w:tcBorders>
            <w:shd w:val="clear" w:color="auto" w:fill="auto"/>
            <w:noWrap/>
            <w:vAlign w:val="center"/>
          </w:tcPr>
          <w:p w14:paraId="10F616FE" w14:textId="38FFC5C0" w:rsidR="00141524" w:rsidRPr="001B1089" w:rsidRDefault="00141524" w:rsidP="00141524">
            <w:pPr>
              <w:pStyle w:val="af6"/>
              <w:ind w:firstLine="0"/>
              <w:jc w:val="both"/>
              <w:rPr>
                <w:sz w:val="16"/>
                <w:szCs w:val="16"/>
              </w:rPr>
            </w:pPr>
            <w:r w:rsidRPr="001B1089">
              <w:rPr>
                <w:sz w:val="16"/>
                <w:szCs w:val="16"/>
              </w:rPr>
              <w:t>-0.08**</w:t>
            </w:r>
          </w:p>
        </w:tc>
        <w:tc>
          <w:tcPr>
            <w:tcW w:w="576" w:type="dxa"/>
            <w:tcBorders>
              <w:top w:val="nil"/>
              <w:left w:val="nil"/>
              <w:bottom w:val="nil"/>
              <w:right w:val="nil"/>
            </w:tcBorders>
            <w:shd w:val="clear" w:color="auto" w:fill="auto"/>
            <w:noWrap/>
            <w:vAlign w:val="center"/>
          </w:tcPr>
          <w:p w14:paraId="4BDCBD07" w14:textId="4752189D" w:rsidR="00141524" w:rsidRPr="001B1089" w:rsidRDefault="00141524" w:rsidP="00141524">
            <w:pPr>
              <w:pStyle w:val="af6"/>
              <w:ind w:firstLine="0"/>
              <w:jc w:val="both"/>
              <w:rPr>
                <w:sz w:val="16"/>
                <w:szCs w:val="16"/>
              </w:rPr>
            </w:pPr>
            <w:r w:rsidRPr="001B1089">
              <w:rPr>
                <w:sz w:val="16"/>
                <w:szCs w:val="16"/>
              </w:rPr>
              <w:t>-0.14**</w:t>
            </w:r>
          </w:p>
        </w:tc>
        <w:tc>
          <w:tcPr>
            <w:tcW w:w="576" w:type="dxa"/>
            <w:tcBorders>
              <w:top w:val="nil"/>
              <w:left w:val="nil"/>
              <w:bottom w:val="nil"/>
              <w:right w:val="nil"/>
            </w:tcBorders>
            <w:shd w:val="clear" w:color="auto" w:fill="auto"/>
            <w:noWrap/>
            <w:vAlign w:val="center"/>
          </w:tcPr>
          <w:p w14:paraId="6E4C9C91" w14:textId="33870BEA" w:rsidR="00141524" w:rsidRPr="001B1089" w:rsidRDefault="00141524" w:rsidP="00141524">
            <w:pPr>
              <w:pStyle w:val="af6"/>
              <w:ind w:firstLine="0"/>
              <w:jc w:val="both"/>
              <w:rPr>
                <w:sz w:val="16"/>
                <w:szCs w:val="16"/>
              </w:rPr>
            </w:pPr>
            <w:r w:rsidRPr="001B1089">
              <w:rPr>
                <w:sz w:val="16"/>
                <w:szCs w:val="16"/>
              </w:rPr>
              <w:t>-0.14**</w:t>
            </w:r>
          </w:p>
        </w:tc>
        <w:tc>
          <w:tcPr>
            <w:tcW w:w="576" w:type="dxa"/>
            <w:tcBorders>
              <w:top w:val="nil"/>
              <w:left w:val="nil"/>
              <w:bottom w:val="nil"/>
              <w:right w:val="nil"/>
            </w:tcBorders>
            <w:shd w:val="clear" w:color="auto" w:fill="auto"/>
            <w:noWrap/>
            <w:vAlign w:val="center"/>
          </w:tcPr>
          <w:p w14:paraId="0C1F5D84" w14:textId="5EE0D16B" w:rsidR="00141524" w:rsidRPr="001B1089" w:rsidRDefault="00141524" w:rsidP="00141524">
            <w:pPr>
              <w:pStyle w:val="af6"/>
              <w:ind w:firstLine="0"/>
              <w:jc w:val="both"/>
              <w:rPr>
                <w:sz w:val="16"/>
                <w:szCs w:val="16"/>
              </w:rPr>
            </w:pPr>
            <w:r w:rsidRPr="001B1089">
              <w:rPr>
                <w:sz w:val="16"/>
                <w:szCs w:val="16"/>
              </w:rPr>
              <w:t>-0.24**</w:t>
            </w:r>
          </w:p>
        </w:tc>
        <w:tc>
          <w:tcPr>
            <w:tcW w:w="576" w:type="dxa"/>
            <w:tcBorders>
              <w:top w:val="nil"/>
              <w:left w:val="nil"/>
              <w:bottom w:val="nil"/>
              <w:right w:val="nil"/>
            </w:tcBorders>
            <w:shd w:val="clear" w:color="auto" w:fill="auto"/>
            <w:noWrap/>
            <w:vAlign w:val="center"/>
          </w:tcPr>
          <w:p w14:paraId="2A5347BA" w14:textId="71CEE5A9" w:rsidR="00141524" w:rsidRPr="001B1089" w:rsidRDefault="00141524" w:rsidP="00141524">
            <w:pPr>
              <w:pStyle w:val="af6"/>
              <w:ind w:firstLine="0"/>
              <w:jc w:val="both"/>
              <w:rPr>
                <w:sz w:val="16"/>
                <w:szCs w:val="16"/>
              </w:rPr>
            </w:pPr>
            <w:r w:rsidRPr="001B1089">
              <w:rPr>
                <w:sz w:val="16"/>
                <w:szCs w:val="16"/>
              </w:rPr>
              <w:t>-0.05**</w:t>
            </w:r>
          </w:p>
        </w:tc>
        <w:tc>
          <w:tcPr>
            <w:tcW w:w="576" w:type="dxa"/>
            <w:tcBorders>
              <w:top w:val="nil"/>
              <w:left w:val="nil"/>
              <w:bottom w:val="nil"/>
              <w:right w:val="nil"/>
            </w:tcBorders>
            <w:shd w:val="clear" w:color="auto" w:fill="auto"/>
            <w:noWrap/>
            <w:vAlign w:val="center"/>
          </w:tcPr>
          <w:p w14:paraId="57F37BF1" w14:textId="294D84E6" w:rsidR="00141524" w:rsidRPr="001B1089" w:rsidRDefault="00141524" w:rsidP="00141524">
            <w:pPr>
              <w:pStyle w:val="af6"/>
              <w:ind w:firstLine="0"/>
              <w:jc w:val="both"/>
              <w:rPr>
                <w:sz w:val="16"/>
                <w:szCs w:val="16"/>
              </w:rPr>
            </w:pPr>
            <w:r w:rsidRPr="001B1089">
              <w:rPr>
                <w:sz w:val="16"/>
                <w:szCs w:val="16"/>
              </w:rPr>
              <w:t>-0.27**</w:t>
            </w:r>
          </w:p>
        </w:tc>
        <w:tc>
          <w:tcPr>
            <w:tcW w:w="576" w:type="dxa"/>
            <w:tcBorders>
              <w:top w:val="nil"/>
              <w:left w:val="nil"/>
              <w:bottom w:val="nil"/>
              <w:right w:val="nil"/>
            </w:tcBorders>
            <w:shd w:val="clear" w:color="auto" w:fill="auto"/>
            <w:noWrap/>
            <w:vAlign w:val="center"/>
          </w:tcPr>
          <w:p w14:paraId="32E6B06E" w14:textId="1DF032D0" w:rsidR="00141524" w:rsidRPr="001B1089" w:rsidRDefault="00141524" w:rsidP="00141524">
            <w:pPr>
              <w:pStyle w:val="af6"/>
              <w:ind w:firstLine="0"/>
              <w:jc w:val="both"/>
              <w:rPr>
                <w:sz w:val="16"/>
                <w:szCs w:val="16"/>
              </w:rPr>
            </w:pPr>
            <w:r w:rsidRPr="001B1089">
              <w:rPr>
                <w:sz w:val="16"/>
                <w:szCs w:val="16"/>
              </w:rPr>
              <w:t>-0.01</w:t>
            </w:r>
          </w:p>
        </w:tc>
        <w:tc>
          <w:tcPr>
            <w:tcW w:w="576" w:type="dxa"/>
            <w:tcBorders>
              <w:top w:val="nil"/>
              <w:left w:val="nil"/>
              <w:bottom w:val="nil"/>
              <w:right w:val="nil"/>
            </w:tcBorders>
            <w:shd w:val="clear" w:color="auto" w:fill="auto"/>
            <w:noWrap/>
            <w:vAlign w:val="center"/>
          </w:tcPr>
          <w:p w14:paraId="570B4AAB" w14:textId="22DA2570" w:rsidR="00141524" w:rsidRPr="001B1089" w:rsidRDefault="00141524" w:rsidP="00141524">
            <w:pPr>
              <w:pStyle w:val="af6"/>
              <w:ind w:firstLine="0"/>
              <w:jc w:val="both"/>
              <w:rPr>
                <w:sz w:val="16"/>
                <w:szCs w:val="16"/>
              </w:rPr>
            </w:pPr>
            <w:r w:rsidRPr="001B1089">
              <w:rPr>
                <w:sz w:val="16"/>
                <w:szCs w:val="16"/>
              </w:rPr>
              <w:t>-0.04**</w:t>
            </w:r>
          </w:p>
        </w:tc>
        <w:tc>
          <w:tcPr>
            <w:tcW w:w="576" w:type="dxa"/>
            <w:tcBorders>
              <w:top w:val="nil"/>
              <w:left w:val="nil"/>
              <w:bottom w:val="nil"/>
              <w:right w:val="nil"/>
            </w:tcBorders>
            <w:shd w:val="clear" w:color="auto" w:fill="auto"/>
            <w:noWrap/>
            <w:vAlign w:val="center"/>
          </w:tcPr>
          <w:p w14:paraId="673C72BC" w14:textId="25DB054B" w:rsidR="00141524" w:rsidRPr="001B1089" w:rsidRDefault="00141524" w:rsidP="00141524">
            <w:pPr>
              <w:pStyle w:val="af6"/>
              <w:ind w:firstLine="0"/>
              <w:jc w:val="both"/>
              <w:rPr>
                <w:sz w:val="16"/>
                <w:szCs w:val="16"/>
              </w:rPr>
            </w:pPr>
            <w:r w:rsidRPr="001B1089">
              <w:rPr>
                <w:sz w:val="16"/>
                <w:szCs w:val="16"/>
              </w:rPr>
              <w:t>1.00</w:t>
            </w:r>
          </w:p>
        </w:tc>
        <w:tc>
          <w:tcPr>
            <w:tcW w:w="454" w:type="dxa"/>
            <w:tcBorders>
              <w:top w:val="nil"/>
              <w:left w:val="nil"/>
              <w:bottom w:val="nil"/>
              <w:right w:val="nil"/>
            </w:tcBorders>
            <w:shd w:val="clear" w:color="auto" w:fill="auto"/>
            <w:noWrap/>
            <w:vAlign w:val="center"/>
          </w:tcPr>
          <w:p w14:paraId="150A96BA" w14:textId="77777777" w:rsidR="00141524" w:rsidRPr="001B1089" w:rsidRDefault="00141524" w:rsidP="00141524">
            <w:pPr>
              <w:pStyle w:val="af6"/>
              <w:ind w:firstLine="0"/>
              <w:jc w:val="both"/>
              <w:rPr>
                <w:sz w:val="16"/>
                <w:szCs w:val="16"/>
              </w:rPr>
            </w:pPr>
          </w:p>
        </w:tc>
      </w:tr>
      <w:tr w:rsidR="00141524" w:rsidRPr="00B7173A" w14:paraId="33D99E89" w14:textId="77777777" w:rsidTr="00141524">
        <w:trPr>
          <w:trHeight w:val="465"/>
          <w:jc w:val="center"/>
        </w:trPr>
        <w:tc>
          <w:tcPr>
            <w:tcW w:w="1150" w:type="dxa"/>
            <w:tcBorders>
              <w:top w:val="nil"/>
              <w:left w:val="nil"/>
              <w:bottom w:val="single" w:sz="8" w:space="0" w:color="000000"/>
              <w:right w:val="nil"/>
            </w:tcBorders>
            <w:shd w:val="clear" w:color="auto" w:fill="auto"/>
            <w:noWrap/>
            <w:vAlign w:val="center"/>
          </w:tcPr>
          <w:p w14:paraId="75260942" w14:textId="3EEDC168" w:rsidR="00141524" w:rsidRPr="00B7173A" w:rsidRDefault="00141524" w:rsidP="00141524">
            <w:pPr>
              <w:pStyle w:val="af6"/>
              <w:ind w:left="180" w:hangingChars="100" w:hanging="180"/>
              <w:rPr>
                <w:sz w:val="18"/>
                <w:szCs w:val="18"/>
              </w:rPr>
            </w:pPr>
            <w:r w:rsidRPr="00B7173A">
              <w:rPr>
                <w:sz w:val="18"/>
                <w:szCs w:val="18"/>
              </w:rPr>
              <w:t>1. GDP annual growth</w:t>
            </w:r>
          </w:p>
        </w:tc>
        <w:tc>
          <w:tcPr>
            <w:tcW w:w="575" w:type="dxa"/>
            <w:tcBorders>
              <w:top w:val="nil"/>
              <w:left w:val="nil"/>
              <w:bottom w:val="single" w:sz="8" w:space="0" w:color="000000"/>
              <w:right w:val="nil"/>
            </w:tcBorders>
            <w:shd w:val="clear" w:color="auto" w:fill="auto"/>
            <w:noWrap/>
            <w:vAlign w:val="center"/>
          </w:tcPr>
          <w:p w14:paraId="4F3E10C0" w14:textId="77777777" w:rsidR="00141524" w:rsidRPr="001B1089" w:rsidRDefault="00141524" w:rsidP="00141524">
            <w:pPr>
              <w:pStyle w:val="af6"/>
              <w:ind w:firstLine="0"/>
              <w:jc w:val="both"/>
              <w:rPr>
                <w:sz w:val="16"/>
                <w:szCs w:val="16"/>
              </w:rPr>
            </w:pPr>
            <w:r w:rsidRPr="001B1089">
              <w:rPr>
                <w:sz w:val="16"/>
                <w:szCs w:val="16"/>
              </w:rPr>
              <w:t>1.75</w:t>
            </w:r>
          </w:p>
        </w:tc>
        <w:tc>
          <w:tcPr>
            <w:tcW w:w="575" w:type="dxa"/>
            <w:tcBorders>
              <w:top w:val="nil"/>
              <w:left w:val="nil"/>
              <w:bottom w:val="single" w:sz="8" w:space="0" w:color="000000"/>
              <w:right w:val="nil"/>
            </w:tcBorders>
            <w:shd w:val="clear" w:color="auto" w:fill="auto"/>
            <w:noWrap/>
            <w:vAlign w:val="center"/>
          </w:tcPr>
          <w:p w14:paraId="1B15859F" w14:textId="77777777" w:rsidR="00141524" w:rsidRPr="001B1089" w:rsidRDefault="00141524" w:rsidP="00141524">
            <w:pPr>
              <w:pStyle w:val="af6"/>
              <w:ind w:firstLine="0"/>
              <w:jc w:val="both"/>
              <w:rPr>
                <w:sz w:val="16"/>
                <w:szCs w:val="16"/>
              </w:rPr>
            </w:pPr>
            <w:r w:rsidRPr="001B1089">
              <w:rPr>
                <w:sz w:val="16"/>
                <w:szCs w:val="16"/>
              </w:rPr>
              <w:t>3.11</w:t>
            </w:r>
          </w:p>
        </w:tc>
        <w:tc>
          <w:tcPr>
            <w:tcW w:w="575" w:type="dxa"/>
            <w:tcBorders>
              <w:top w:val="nil"/>
              <w:left w:val="nil"/>
              <w:bottom w:val="single" w:sz="8" w:space="0" w:color="000000"/>
              <w:right w:val="nil"/>
            </w:tcBorders>
            <w:shd w:val="clear" w:color="auto" w:fill="auto"/>
            <w:noWrap/>
            <w:vAlign w:val="center"/>
          </w:tcPr>
          <w:p w14:paraId="23B3DF82" w14:textId="77777777" w:rsidR="00141524" w:rsidRPr="001B1089" w:rsidRDefault="00141524" w:rsidP="00141524">
            <w:pPr>
              <w:pStyle w:val="af6"/>
              <w:ind w:firstLine="0"/>
              <w:jc w:val="both"/>
              <w:rPr>
                <w:sz w:val="16"/>
                <w:szCs w:val="16"/>
              </w:rPr>
            </w:pPr>
            <w:r w:rsidRPr="001B1089">
              <w:rPr>
                <w:sz w:val="16"/>
                <w:szCs w:val="16"/>
              </w:rPr>
              <w:t>-8.86</w:t>
            </w:r>
          </w:p>
        </w:tc>
        <w:tc>
          <w:tcPr>
            <w:tcW w:w="575" w:type="dxa"/>
            <w:tcBorders>
              <w:top w:val="nil"/>
              <w:left w:val="nil"/>
              <w:bottom w:val="single" w:sz="8" w:space="0" w:color="000000"/>
              <w:right w:val="nil"/>
            </w:tcBorders>
            <w:shd w:val="clear" w:color="auto" w:fill="auto"/>
            <w:noWrap/>
            <w:vAlign w:val="center"/>
          </w:tcPr>
          <w:p w14:paraId="4692414A" w14:textId="77777777" w:rsidR="00141524" w:rsidRPr="001B1089" w:rsidRDefault="00141524" w:rsidP="00141524">
            <w:pPr>
              <w:pStyle w:val="af6"/>
              <w:ind w:firstLine="0"/>
              <w:jc w:val="both"/>
              <w:rPr>
                <w:sz w:val="16"/>
                <w:szCs w:val="16"/>
              </w:rPr>
            </w:pPr>
            <w:r w:rsidRPr="001B1089">
              <w:rPr>
                <w:sz w:val="16"/>
                <w:szCs w:val="16"/>
              </w:rPr>
              <w:t>17.66</w:t>
            </w:r>
          </w:p>
        </w:tc>
        <w:tc>
          <w:tcPr>
            <w:tcW w:w="576" w:type="dxa"/>
            <w:tcBorders>
              <w:top w:val="nil"/>
              <w:left w:val="nil"/>
              <w:bottom w:val="single" w:sz="8" w:space="0" w:color="000000"/>
              <w:right w:val="nil"/>
            </w:tcBorders>
            <w:shd w:val="clear" w:color="auto" w:fill="auto"/>
            <w:noWrap/>
            <w:vAlign w:val="center"/>
          </w:tcPr>
          <w:p w14:paraId="73DF7D29" w14:textId="77777777" w:rsidR="00141524" w:rsidRPr="001B1089" w:rsidRDefault="00141524" w:rsidP="00141524">
            <w:pPr>
              <w:pStyle w:val="af6"/>
              <w:ind w:firstLine="0"/>
              <w:jc w:val="both"/>
              <w:rPr>
                <w:sz w:val="16"/>
                <w:szCs w:val="16"/>
              </w:rPr>
            </w:pPr>
            <w:r w:rsidRPr="001B1089">
              <w:rPr>
                <w:sz w:val="16"/>
                <w:szCs w:val="16"/>
              </w:rPr>
              <w:t>0.01</w:t>
            </w:r>
          </w:p>
        </w:tc>
        <w:tc>
          <w:tcPr>
            <w:tcW w:w="576" w:type="dxa"/>
            <w:tcBorders>
              <w:top w:val="nil"/>
              <w:left w:val="nil"/>
              <w:bottom w:val="single" w:sz="8" w:space="0" w:color="000000"/>
              <w:right w:val="nil"/>
            </w:tcBorders>
            <w:shd w:val="clear" w:color="auto" w:fill="auto"/>
            <w:noWrap/>
            <w:vAlign w:val="center"/>
          </w:tcPr>
          <w:p w14:paraId="5FD18075" w14:textId="77777777" w:rsidR="00141524" w:rsidRPr="001B1089" w:rsidRDefault="00141524" w:rsidP="00141524">
            <w:pPr>
              <w:pStyle w:val="af6"/>
              <w:ind w:firstLine="0"/>
              <w:jc w:val="both"/>
              <w:rPr>
                <w:sz w:val="16"/>
                <w:szCs w:val="16"/>
              </w:rPr>
            </w:pPr>
            <w:r w:rsidRPr="001B1089">
              <w:rPr>
                <w:sz w:val="16"/>
                <w:szCs w:val="16"/>
              </w:rPr>
              <w:t>-0.11**</w:t>
            </w:r>
          </w:p>
        </w:tc>
        <w:tc>
          <w:tcPr>
            <w:tcW w:w="576" w:type="dxa"/>
            <w:tcBorders>
              <w:top w:val="nil"/>
              <w:left w:val="nil"/>
              <w:bottom w:val="single" w:sz="8" w:space="0" w:color="000000"/>
              <w:right w:val="nil"/>
            </w:tcBorders>
            <w:shd w:val="clear" w:color="auto" w:fill="auto"/>
            <w:noWrap/>
            <w:vAlign w:val="center"/>
          </w:tcPr>
          <w:p w14:paraId="0339FE5F" w14:textId="77777777" w:rsidR="00141524" w:rsidRPr="001B1089" w:rsidRDefault="00141524" w:rsidP="00141524">
            <w:pPr>
              <w:pStyle w:val="af6"/>
              <w:ind w:firstLine="0"/>
              <w:jc w:val="both"/>
              <w:rPr>
                <w:sz w:val="16"/>
                <w:szCs w:val="16"/>
              </w:rPr>
            </w:pPr>
            <w:r w:rsidRPr="001B1089">
              <w:rPr>
                <w:sz w:val="16"/>
                <w:szCs w:val="16"/>
              </w:rPr>
              <w:t>0.50**</w:t>
            </w:r>
          </w:p>
        </w:tc>
        <w:tc>
          <w:tcPr>
            <w:tcW w:w="576" w:type="dxa"/>
            <w:tcBorders>
              <w:top w:val="nil"/>
              <w:left w:val="nil"/>
              <w:bottom w:val="single" w:sz="8" w:space="0" w:color="000000"/>
              <w:right w:val="nil"/>
            </w:tcBorders>
            <w:shd w:val="clear" w:color="auto" w:fill="auto"/>
            <w:noWrap/>
            <w:vAlign w:val="center"/>
          </w:tcPr>
          <w:p w14:paraId="62E02B45" w14:textId="77777777" w:rsidR="00141524" w:rsidRPr="001B1089" w:rsidRDefault="00141524" w:rsidP="00141524">
            <w:pPr>
              <w:pStyle w:val="af6"/>
              <w:ind w:firstLine="0"/>
              <w:jc w:val="both"/>
              <w:rPr>
                <w:sz w:val="16"/>
                <w:szCs w:val="16"/>
              </w:rPr>
            </w:pPr>
            <w:r w:rsidRPr="001B1089">
              <w:rPr>
                <w:sz w:val="16"/>
                <w:szCs w:val="16"/>
              </w:rPr>
              <w:t>0.54**</w:t>
            </w:r>
          </w:p>
        </w:tc>
        <w:tc>
          <w:tcPr>
            <w:tcW w:w="576" w:type="dxa"/>
            <w:tcBorders>
              <w:top w:val="nil"/>
              <w:left w:val="nil"/>
              <w:bottom w:val="single" w:sz="8" w:space="0" w:color="000000"/>
              <w:right w:val="nil"/>
            </w:tcBorders>
            <w:shd w:val="clear" w:color="auto" w:fill="auto"/>
            <w:noWrap/>
            <w:vAlign w:val="center"/>
          </w:tcPr>
          <w:p w14:paraId="4CE8EF14" w14:textId="77777777" w:rsidR="00141524" w:rsidRPr="001B1089" w:rsidRDefault="00141524" w:rsidP="00141524">
            <w:pPr>
              <w:pStyle w:val="af6"/>
              <w:ind w:firstLine="0"/>
              <w:jc w:val="both"/>
              <w:rPr>
                <w:sz w:val="16"/>
                <w:szCs w:val="16"/>
              </w:rPr>
            </w:pPr>
            <w:r w:rsidRPr="001B1089">
              <w:rPr>
                <w:sz w:val="16"/>
                <w:szCs w:val="16"/>
              </w:rPr>
              <w:t>0.39**</w:t>
            </w:r>
          </w:p>
        </w:tc>
        <w:tc>
          <w:tcPr>
            <w:tcW w:w="576" w:type="dxa"/>
            <w:tcBorders>
              <w:top w:val="nil"/>
              <w:left w:val="nil"/>
              <w:bottom w:val="single" w:sz="8" w:space="0" w:color="000000"/>
              <w:right w:val="nil"/>
            </w:tcBorders>
            <w:shd w:val="clear" w:color="auto" w:fill="auto"/>
            <w:noWrap/>
            <w:vAlign w:val="center"/>
          </w:tcPr>
          <w:p w14:paraId="1F28AA29" w14:textId="77777777" w:rsidR="00141524" w:rsidRPr="001B1089" w:rsidRDefault="00141524" w:rsidP="00141524">
            <w:pPr>
              <w:pStyle w:val="af6"/>
              <w:ind w:firstLine="0"/>
              <w:jc w:val="both"/>
              <w:rPr>
                <w:sz w:val="16"/>
                <w:szCs w:val="16"/>
              </w:rPr>
            </w:pPr>
            <w:r w:rsidRPr="001B1089">
              <w:rPr>
                <w:sz w:val="16"/>
                <w:szCs w:val="16"/>
              </w:rPr>
              <w:t>0.12**</w:t>
            </w:r>
          </w:p>
        </w:tc>
        <w:tc>
          <w:tcPr>
            <w:tcW w:w="576" w:type="dxa"/>
            <w:tcBorders>
              <w:top w:val="nil"/>
              <w:left w:val="nil"/>
              <w:bottom w:val="single" w:sz="8" w:space="0" w:color="000000"/>
              <w:right w:val="nil"/>
            </w:tcBorders>
            <w:shd w:val="clear" w:color="auto" w:fill="auto"/>
            <w:noWrap/>
            <w:vAlign w:val="center"/>
          </w:tcPr>
          <w:p w14:paraId="76149CD7" w14:textId="77777777" w:rsidR="00141524" w:rsidRPr="001B1089" w:rsidRDefault="00141524" w:rsidP="00141524">
            <w:pPr>
              <w:pStyle w:val="af6"/>
              <w:ind w:firstLine="0"/>
              <w:jc w:val="both"/>
              <w:rPr>
                <w:sz w:val="16"/>
                <w:szCs w:val="16"/>
              </w:rPr>
            </w:pPr>
            <w:r w:rsidRPr="001B1089">
              <w:rPr>
                <w:sz w:val="16"/>
                <w:szCs w:val="16"/>
              </w:rPr>
              <w:t>0.38**</w:t>
            </w:r>
          </w:p>
        </w:tc>
        <w:tc>
          <w:tcPr>
            <w:tcW w:w="576" w:type="dxa"/>
            <w:tcBorders>
              <w:top w:val="nil"/>
              <w:left w:val="nil"/>
              <w:bottom w:val="single" w:sz="8" w:space="0" w:color="000000"/>
              <w:right w:val="nil"/>
            </w:tcBorders>
            <w:shd w:val="clear" w:color="auto" w:fill="auto"/>
            <w:noWrap/>
            <w:vAlign w:val="center"/>
          </w:tcPr>
          <w:p w14:paraId="0FD1DBEB" w14:textId="77777777" w:rsidR="00141524" w:rsidRPr="001B1089" w:rsidRDefault="00141524" w:rsidP="00141524">
            <w:pPr>
              <w:pStyle w:val="af6"/>
              <w:ind w:firstLine="0"/>
              <w:jc w:val="both"/>
              <w:rPr>
                <w:sz w:val="16"/>
                <w:szCs w:val="16"/>
              </w:rPr>
            </w:pPr>
            <w:r w:rsidRPr="001B1089">
              <w:rPr>
                <w:sz w:val="16"/>
                <w:szCs w:val="16"/>
              </w:rPr>
              <w:t>0.08**</w:t>
            </w:r>
          </w:p>
        </w:tc>
        <w:tc>
          <w:tcPr>
            <w:tcW w:w="576" w:type="dxa"/>
            <w:tcBorders>
              <w:top w:val="nil"/>
              <w:left w:val="nil"/>
              <w:bottom w:val="single" w:sz="8" w:space="0" w:color="000000"/>
              <w:right w:val="nil"/>
            </w:tcBorders>
            <w:shd w:val="clear" w:color="auto" w:fill="auto"/>
            <w:noWrap/>
            <w:vAlign w:val="center"/>
          </w:tcPr>
          <w:p w14:paraId="00EE8AEF" w14:textId="77777777" w:rsidR="00141524" w:rsidRPr="001B1089" w:rsidRDefault="00141524" w:rsidP="00141524">
            <w:pPr>
              <w:pStyle w:val="af6"/>
              <w:ind w:firstLine="0"/>
              <w:jc w:val="both"/>
              <w:rPr>
                <w:sz w:val="16"/>
                <w:szCs w:val="16"/>
              </w:rPr>
            </w:pPr>
            <w:r w:rsidRPr="001B1089">
              <w:rPr>
                <w:sz w:val="16"/>
                <w:szCs w:val="16"/>
              </w:rPr>
              <w:t>0.04**</w:t>
            </w:r>
          </w:p>
        </w:tc>
        <w:tc>
          <w:tcPr>
            <w:tcW w:w="576" w:type="dxa"/>
            <w:tcBorders>
              <w:top w:val="nil"/>
              <w:left w:val="nil"/>
              <w:bottom w:val="single" w:sz="8" w:space="0" w:color="000000"/>
              <w:right w:val="nil"/>
            </w:tcBorders>
            <w:shd w:val="clear" w:color="auto" w:fill="auto"/>
            <w:noWrap/>
            <w:vAlign w:val="center"/>
          </w:tcPr>
          <w:p w14:paraId="5A54AE04" w14:textId="77777777" w:rsidR="00141524" w:rsidRPr="001B1089" w:rsidRDefault="00141524" w:rsidP="00141524">
            <w:pPr>
              <w:pStyle w:val="af6"/>
              <w:ind w:firstLine="0"/>
              <w:jc w:val="both"/>
              <w:rPr>
                <w:sz w:val="16"/>
                <w:szCs w:val="16"/>
              </w:rPr>
            </w:pPr>
            <w:r w:rsidRPr="001B1089">
              <w:rPr>
                <w:sz w:val="16"/>
                <w:szCs w:val="16"/>
              </w:rPr>
              <w:t>-0.13**</w:t>
            </w:r>
          </w:p>
        </w:tc>
        <w:tc>
          <w:tcPr>
            <w:tcW w:w="454" w:type="dxa"/>
            <w:tcBorders>
              <w:top w:val="nil"/>
              <w:left w:val="nil"/>
              <w:bottom w:val="single" w:sz="8" w:space="0" w:color="000000"/>
              <w:right w:val="nil"/>
            </w:tcBorders>
            <w:shd w:val="clear" w:color="auto" w:fill="auto"/>
            <w:noWrap/>
            <w:vAlign w:val="center"/>
          </w:tcPr>
          <w:p w14:paraId="7DA4BC52" w14:textId="77777777" w:rsidR="00141524" w:rsidRPr="001B1089" w:rsidRDefault="00141524" w:rsidP="00141524">
            <w:pPr>
              <w:pStyle w:val="af6"/>
              <w:ind w:firstLine="0"/>
              <w:jc w:val="both"/>
              <w:rPr>
                <w:sz w:val="16"/>
                <w:szCs w:val="16"/>
              </w:rPr>
            </w:pPr>
            <w:r w:rsidRPr="001B1089">
              <w:rPr>
                <w:sz w:val="16"/>
                <w:szCs w:val="16"/>
              </w:rPr>
              <w:t>1.00</w:t>
            </w:r>
          </w:p>
        </w:tc>
      </w:tr>
    </w:tbl>
    <w:p w14:paraId="2E39F81A" w14:textId="20FDB0CF" w:rsidR="00141524" w:rsidRDefault="00141524" w:rsidP="00141524">
      <w:pPr>
        <w:pStyle w:val="af6"/>
        <w:ind w:firstLine="0"/>
        <w:rPr>
          <w:sz w:val="20"/>
          <w:szCs w:val="15"/>
        </w:rPr>
      </w:pPr>
      <w:r w:rsidRPr="00141524">
        <w:rPr>
          <w:sz w:val="20"/>
          <w:szCs w:val="15"/>
        </w:rPr>
        <w:t>** p &lt; 0.05</w:t>
      </w:r>
    </w:p>
    <w:p w14:paraId="3F74A993" w14:textId="77777777" w:rsidR="00940D4D" w:rsidRPr="00141524" w:rsidRDefault="00940D4D" w:rsidP="00141524">
      <w:pPr>
        <w:pStyle w:val="af6"/>
        <w:ind w:firstLine="0"/>
        <w:rPr>
          <w:sz w:val="20"/>
          <w:szCs w:val="15"/>
        </w:rPr>
      </w:pPr>
    </w:p>
    <w:p w14:paraId="600E9278" w14:textId="77777777" w:rsidR="00C060B5" w:rsidRPr="00EA6450" w:rsidRDefault="009074BF" w:rsidP="00940D4D">
      <w:pPr>
        <w:spacing w:line="360" w:lineRule="atLeast"/>
        <w:ind w:firstLine="720"/>
        <w:jc w:val="both"/>
        <w:rPr>
          <w:sz w:val="26"/>
          <w:szCs w:val="26"/>
        </w:rPr>
      </w:pPr>
      <w:r w:rsidRPr="00EA6450">
        <w:rPr>
          <w:sz w:val="26"/>
          <w:szCs w:val="26"/>
        </w:rPr>
        <w:t xml:space="preserve">We tested for multicollinearity by a generalized variance inflation factor (VIF). VIFs measure the impact of multicollinearity on the variance of the regression coefficient </w:t>
      </w:r>
      <w:r w:rsidRPr="00EA6450">
        <w:rPr>
          <w:sz w:val="26"/>
          <w:szCs w:val="26"/>
        </w:rPr>
        <w:lastRenderedPageBreak/>
        <w:t>of an explanatory variable. The highest VIF statistic for our data is well below the recommended maximum value of 10 (Neter et al., 199</w:t>
      </w:r>
      <w:r w:rsidR="003E56A6" w:rsidRPr="00EA6450">
        <w:rPr>
          <w:sz w:val="26"/>
          <w:szCs w:val="26"/>
        </w:rPr>
        <w:t>6; Shieh, 2010</w:t>
      </w:r>
      <w:r w:rsidRPr="00EA6450">
        <w:rPr>
          <w:sz w:val="26"/>
          <w:szCs w:val="26"/>
        </w:rPr>
        <w:t>). We concluded that multicollinearity is not an issue for our further analysis.</w:t>
      </w:r>
    </w:p>
    <w:p w14:paraId="2A160054" w14:textId="12D8F558" w:rsidR="00472264" w:rsidRDefault="009074BF" w:rsidP="00940D4D">
      <w:pPr>
        <w:spacing w:line="360" w:lineRule="atLeast"/>
        <w:ind w:firstLine="720"/>
        <w:jc w:val="both"/>
        <w:rPr>
          <w:sz w:val="26"/>
          <w:szCs w:val="26"/>
        </w:rPr>
      </w:pPr>
      <w:r w:rsidRPr="00EA6450">
        <w:rPr>
          <w:sz w:val="26"/>
          <w:szCs w:val="26"/>
        </w:rPr>
        <w:t xml:space="preserve">Table </w:t>
      </w:r>
      <w:r w:rsidR="001D321C">
        <w:rPr>
          <w:sz w:val="26"/>
          <w:szCs w:val="26"/>
        </w:rPr>
        <w:t>3</w:t>
      </w:r>
      <w:r w:rsidRPr="00EA6450">
        <w:rPr>
          <w:sz w:val="26"/>
          <w:szCs w:val="26"/>
        </w:rPr>
        <w:t xml:space="preserve"> presents the results of the regression models. We used pooled OLS regression models with robust standard errors, clustered at the firm level. </w:t>
      </w:r>
      <w:r w:rsidR="005F6125" w:rsidRPr="005F6125">
        <w:rPr>
          <w:sz w:val="26"/>
          <w:szCs w:val="26"/>
        </w:rPr>
        <w:t>All explanatory variables are lagged by one year to avoid endogeneity problems since the reverse causality between HPWP and ROA is possible.</w:t>
      </w:r>
    </w:p>
    <w:p w14:paraId="1ADA6025" w14:textId="77777777" w:rsidR="00481A16" w:rsidRPr="00EA6450" w:rsidRDefault="00481A16" w:rsidP="00481A16">
      <w:pPr>
        <w:spacing w:line="360" w:lineRule="exact"/>
        <w:ind w:firstLine="720"/>
        <w:jc w:val="both"/>
        <w:rPr>
          <w:sz w:val="26"/>
          <w:szCs w:val="26"/>
        </w:rPr>
      </w:pPr>
      <w:r w:rsidRPr="00EA6450">
        <w:rPr>
          <w:sz w:val="26"/>
          <w:szCs w:val="26"/>
        </w:rPr>
        <w:t>Model 2 introduces our variables of interest. Consistent with prior work (c.f., Combs et al., 2006)</w:t>
      </w:r>
      <w:r>
        <w:rPr>
          <w:sz w:val="26"/>
          <w:szCs w:val="26"/>
        </w:rPr>
        <w:t>,</w:t>
      </w:r>
      <w:r w:rsidRPr="00EA6450">
        <w:rPr>
          <w:sz w:val="26"/>
          <w:szCs w:val="26"/>
        </w:rPr>
        <w:t xml:space="preserve"> we find a significant (p&lt;0.01) positive link between HPWP and firm performance. Hypothesis 1 is thus supported.</w:t>
      </w:r>
      <w:r>
        <w:rPr>
          <w:sz w:val="26"/>
          <w:szCs w:val="26"/>
        </w:rPr>
        <w:t xml:space="preserve"> </w:t>
      </w:r>
      <w:r w:rsidRPr="00EA6450">
        <w:rPr>
          <w:sz w:val="26"/>
          <w:szCs w:val="26"/>
        </w:rPr>
        <w:t>Labor market flexibility is not shown to be significant (p&gt;0.10), and the coefficient is almost zero, indicating lack of support for Hypothesis 2.</w:t>
      </w:r>
      <w:r>
        <w:rPr>
          <w:sz w:val="26"/>
          <w:szCs w:val="26"/>
        </w:rPr>
        <w:t xml:space="preserve"> </w:t>
      </w:r>
      <w:r w:rsidRPr="00EA6450">
        <w:rPr>
          <w:sz w:val="26"/>
          <w:szCs w:val="26"/>
        </w:rPr>
        <w:t>Our results also indicate that labor market efficiency is positively and significantly (p&lt;0.01) associated with firm performance, supporting Hypothesis 4.</w:t>
      </w:r>
      <w:r>
        <w:rPr>
          <w:sz w:val="26"/>
          <w:szCs w:val="26"/>
        </w:rPr>
        <w:t xml:space="preserve"> </w:t>
      </w:r>
    </w:p>
    <w:p w14:paraId="46A738B1" w14:textId="6348E39C" w:rsidR="00481A16" w:rsidRPr="00EA6450" w:rsidRDefault="00481A16" w:rsidP="00481A16">
      <w:pPr>
        <w:spacing w:line="360" w:lineRule="exact"/>
        <w:ind w:firstLine="720"/>
        <w:jc w:val="both"/>
        <w:rPr>
          <w:sz w:val="26"/>
          <w:szCs w:val="26"/>
        </w:rPr>
      </w:pPr>
      <w:r w:rsidRPr="00EA6450">
        <w:rPr>
          <w:sz w:val="26"/>
          <w:szCs w:val="26"/>
        </w:rPr>
        <w:t>We introduce the interactions in Model 3. The results support or partially support our hypotheses. Labor market flexibility does appear to be significant (p&lt;0.05) in the hypothesized direction in Model 3.</w:t>
      </w:r>
      <w:r>
        <w:rPr>
          <w:sz w:val="26"/>
          <w:szCs w:val="26"/>
        </w:rPr>
        <w:t xml:space="preserve"> </w:t>
      </w:r>
      <w:r w:rsidRPr="00EA6450">
        <w:rPr>
          <w:sz w:val="26"/>
          <w:szCs w:val="26"/>
        </w:rPr>
        <w:t>Again, it is not significant when the interaction effects are not included.</w:t>
      </w:r>
      <w:r>
        <w:rPr>
          <w:sz w:val="26"/>
          <w:szCs w:val="26"/>
        </w:rPr>
        <w:t xml:space="preserve"> </w:t>
      </w:r>
      <w:r w:rsidRPr="00EA6450">
        <w:rPr>
          <w:sz w:val="26"/>
          <w:szCs w:val="26"/>
        </w:rPr>
        <w:t>The interaction of HPWP with labor market flexibility has a negative coefficient (p&lt;0.05), indicating that, as predicted in Hypothesis 3, HPWP has a more positive effect on firm performance in countries with less labor market flexibility.</w:t>
      </w:r>
      <w:r>
        <w:rPr>
          <w:sz w:val="26"/>
          <w:szCs w:val="26"/>
        </w:rPr>
        <w:t xml:space="preserve"> </w:t>
      </w:r>
      <w:r w:rsidRPr="00EA6450">
        <w:rPr>
          <w:sz w:val="26"/>
          <w:szCs w:val="26"/>
        </w:rPr>
        <w:t>In nations with strong formal institutions – low labor market flexibility – a stable formal institutional framework limits top management teams’ ability to make the more unwise ad-hoc decisions that they might otherwise make.</w:t>
      </w:r>
      <w:r>
        <w:rPr>
          <w:sz w:val="26"/>
          <w:szCs w:val="26"/>
        </w:rPr>
        <w:t xml:space="preserve"> </w:t>
      </w:r>
      <w:r w:rsidRPr="00EA6450">
        <w:rPr>
          <w:sz w:val="26"/>
          <w:szCs w:val="26"/>
        </w:rPr>
        <w:t>As a result, adoption of HPWP is more likely to entail the complete “bundle” that engages employees and has been found to be more financially beneficial (Asmawi &amp; Chew, 2016; Combs et al., 2006; Schneider et al., 2018).</w:t>
      </w:r>
      <w:r>
        <w:rPr>
          <w:sz w:val="26"/>
          <w:szCs w:val="26"/>
        </w:rPr>
        <w:t xml:space="preserve"> </w:t>
      </w:r>
      <w:r w:rsidRPr="00EA6450">
        <w:rPr>
          <w:sz w:val="26"/>
          <w:szCs w:val="26"/>
        </w:rPr>
        <w:t>Our findings could indicate that HPWP stands out more to internal and external stakeholders in markets with less labor market flexibility, providing reputational benefits that are harder to achieve in settings where such practices are normal (c.f</w:t>
      </w:r>
      <w:r>
        <w:rPr>
          <w:sz w:val="26"/>
          <w:szCs w:val="26"/>
        </w:rPr>
        <w:t>.</w:t>
      </w:r>
      <w:r w:rsidRPr="00EA6450">
        <w:rPr>
          <w:sz w:val="26"/>
          <w:szCs w:val="26"/>
        </w:rPr>
        <w:t xml:space="preserve">, </w:t>
      </w:r>
      <w:r w:rsidRPr="00EA6450">
        <w:rPr>
          <w:rStyle w:val="af8"/>
          <w:rFonts w:eastAsia="Trebuchet MS"/>
          <w:sz w:val="26"/>
          <w:szCs w:val="26"/>
        </w:rPr>
        <w:t>Su, Peng, Tan</w:t>
      </w:r>
      <w:r>
        <w:rPr>
          <w:rStyle w:val="af8"/>
          <w:rFonts w:eastAsia="Trebuchet MS"/>
          <w:sz w:val="26"/>
          <w:szCs w:val="26"/>
        </w:rPr>
        <w:t>, &amp;</w:t>
      </w:r>
      <w:r w:rsidRPr="00EA6450">
        <w:rPr>
          <w:rStyle w:val="af8"/>
          <w:rFonts w:eastAsia="Trebuchet MS"/>
          <w:sz w:val="26"/>
          <w:szCs w:val="26"/>
        </w:rPr>
        <w:t xml:space="preserve"> </w:t>
      </w:r>
      <w:r w:rsidRPr="005F6125">
        <w:rPr>
          <w:rStyle w:val="af8"/>
          <w:rFonts w:eastAsia="Trebuchet MS"/>
          <w:sz w:val="26"/>
          <w:szCs w:val="26"/>
        </w:rPr>
        <w:t>Cheung</w:t>
      </w:r>
      <w:r w:rsidRPr="00EA6450">
        <w:rPr>
          <w:rStyle w:val="af8"/>
          <w:rFonts w:eastAsia="Trebuchet MS"/>
          <w:sz w:val="26"/>
          <w:szCs w:val="26"/>
        </w:rPr>
        <w:t>, 2016).</w:t>
      </w:r>
      <w:r>
        <w:rPr>
          <w:sz w:val="26"/>
          <w:szCs w:val="26"/>
        </w:rPr>
        <w:t xml:space="preserve"> </w:t>
      </w:r>
    </w:p>
    <w:p w14:paraId="78DA53C4" w14:textId="77777777" w:rsidR="00481A16" w:rsidRPr="00EA6450" w:rsidRDefault="00481A16" w:rsidP="00481A16">
      <w:pPr>
        <w:spacing w:line="360" w:lineRule="exact"/>
        <w:ind w:firstLine="720"/>
        <w:jc w:val="both"/>
        <w:rPr>
          <w:sz w:val="26"/>
          <w:szCs w:val="26"/>
        </w:rPr>
      </w:pPr>
      <w:r w:rsidRPr="00EA6450">
        <w:rPr>
          <w:sz w:val="26"/>
          <w:szCs w:val="26"/>
        </w:rPr>
        <w:t>Finally, the coefficient of the interaction of HPWP and labor market efficiency is positive (p&lt;0.01), indicating that, as predicted in Hypothesis 5, HPWP more positively affects firm performance in countries with a more labor market efficiency.</w:t>
      </w:r>
      <w:r>
        <w:rPr>
          <w:sz w:val="26"/>
          <w:szCs w:val="26"/>
        </w:rPr>
        <w:t xml:space="preserve"> </w:t>
      </w:r>
    </w:p>
    <w:p w14:paraId="38A3938A" w14:textId="6ACC8009" w:rsidR="00F830F9" w:rsidRDefault="00481A16" w:rsidP="00481A16">
      <w:pPr>
        <w:pStyle w:val="10"/>
        <w:spacing w:line="360" w:lineRule="atLeast"/>
        <w:rPr>
          <w:rFonts w:ascii="Times New Roman" w:hAnsi="Times New Roman" w:cs="Times New Roman"/>
          <w:sz w:val="26"/>
          <w:szCs w:val="26"/>
        </w:rPr>
      </w:pPr>
      <w:r w:rsidRPr="00EA6450">
        <w:rPr>
          <w:rFonts w:ascii="Times New Roman" w:eastAsia="Times New Roman" w:hAnsi="Times New Roman" w:cs="Times New Roman"/>
          <w:sz w:val="26"/>
          <w:szCs w:val="26"/>
        </w:rPr>
        <w:t>Our results support Hypotheses 1, 3, 4, and 5.</w:t>
      </w:r>
    </w:p>
    <w:p w14:paraId="5E19F5F2" w14:textId="77777777" w:rsidR="00481A16" w:rsidRDefault="00481A16" w:rsidP="00940D4D">
      <w:pPr>
        <w:pStyle w:val="10"/>
        <w:spacing w:line="360" w:lineRule="atLeast"/>
        <w:jc w:val="center"/>
        <w:rPr>
          <w:rFonts w:ascii="Times New Roman" w:hAnsi="Times New Roman" w:cs="Times New Roman"/>
          <w:b/>
          <w:bCs/>
          <w:sz w:val="26"/>
          <w:szCs w:val="26"/>
        </w:rPr>
      </w:pPr>
    </w:p>
    <w:p w14:paraId="71725501" w14:textId="77777777" w:rsidR="00481A16" w:rsidRDefault="00481A16">
      <w:pPr>
        <w:rPr>
          <w:rFonts w:eastAsiaTheme="minorEastAsia"/>
          <w:b/>
          <w:bCs/>
          <w:color w:val="000000"/>
          <w:sz w:val="26"/>
          <w:szCs w:val="26"/>
        </w:rPr>
      </w:pPr>
      <w:r>
        <w:rPr>
          <w:b/>
          <w:bCs/>
          <w:sz w:val="26"/>
          <w:szCs w:val="26"/>
        </w:rPr>
        <w:br w:type="page"/>
      </w:r>
    </w:p>
    <w:p w14:paraId="29175E39" w14:textId="5D82793F" w:rsidR="00D25B5F" w:rsidRPr="00F830F9" w:rsidRDefault="00F830F9" w:rsidP="00940D4D">
      <w:pPr>
        <w:pStyle w:val="10"/>
        <w:spacing w:line="360" w:lineRule="atLeast"/>
        <w:jc w:val="center"/>
        <w:rPr>
          <w:rFonts w:ascii="Times New Roman" w:hAnsi="Times New Roman" w:cs="Times New Roman"/>
          <w:b/>
          <w:bCs/>
          <w:sz w:val="26"/>
          <w:szCs w:val="26"/>
        </w:rPr>
      </w:pPr>
      <w:r w:rsidRPr="00F830F9">
        <w:rPr>
          <w:rFonts w:ascii="Times New Roman" w:hAnsi="Times New Roman" w:cs="Times New Roman"/>
          <w:b/>
          <w:bCs/>
          <w:sz w:val="26"/>
          <w:szCs w:val="26"/>
        </w:rPr>
        <w:lastRenderedPageBreak/>
        <w:t>Table 3</w:t>
      </w:r>
      <w:r w:rsidR="00481A16">
        <w:rPr>
          <w:rFonts w:ascii="Times New Roman" w:hAnsi="Times New Roman" w:cs="Times New Roman"/>
          <w:b/>
          <w:bCs/>
          <w:sz w:val="26"/>
          <w:szCs w:val="26"/>
        </w:rPr>
        <w:t>.</w:t>
      </w:r>
      <w:r w:rsidR="005F6125">
        <w:rPr>
          <w:rFonts w:ascii="Times New Roman" w:hAnsi="Times New Roman" w:cs="Times New Roman"/>
          <w:b/>
          <w:bCs/>
          <w:sz w:val="26"/>
          <w:szCs w:val="26"/>
        </w:rPr>
        <w:t xml:space="preserve"> </w:t>
      </w:r>
      <w:r w:rsidRPr="00F830F9">
        <w:rPr>
          <w:rFonts w:ascii="Times New Roman" w:hAnsi="Times New Roman" w:cs="Times New Roman"/>
          <w:b/>
          <w:bCs/>
          <w:sz w:val="26"/>
          <w:szCs w:val="26"/>
        </w:rPr>
        <w:t xml:space="preserve"> Results of OLS regression (dependent variable: ROA)</w:t>
      </w:r>
    </w:p>
    <w:tbl>
      <w:tblPr>
        <w:tblW w:w="5000" w:type="pct"/>
        <w:jc w:val="center"/>
        <w:tblLook w:val="04A0" w:firstRow="1" w:lastRow="0" w:firstColumn="1" w:lastColumn="0" w:noHBand="0" w:noVBand="1"/>
      </w:tblPr>
      <w:tblGrid>
        <w:gridCol w:w="4305"/>
        <w:gridCol w:w="1564"/>
        <w:gridCol w:w="1567"/>
        <w:gridCol w:w="1924"/>
      </w:tblGrid>
      <w:tr w:rsidR="005F6125" w:rsidRPr="00744A16" w14:paraId="36B1C5D3" w14:textId="77777777" w:rsidTr="00B32980">
        <w:trPr>
          <w:trHeight w:val="330"/>
          <w:jc w:val="center"/>
        </w:trPr>
        <w:tc>
          <w:tcPr>
            <w:tcW w:w="2299" w:type="pct"/>
            <w:tcBorders>
              <w:top w:val="single" w:sz="4" w:space="0" w:color="auto"/>
              <w:bottom w:val="single" w:sz="4" w:space="0" w:color="auto"/>
            </w:tcBorders>
            <w:shd w:val="clear" w:color="auto" w:fill="auto"/>
            <w:noWrap/>
            <w:vAlign w:val="center"/>
          </w:tcPr>
          <w:p w14:paraId="695DEA89" w14:textId="77777777" w:rsidR="005F6125" w:rsidRPr="00744A16" w:rsidRDefault="005F6125" w:rsidP="00940D4D">
            <w:pPr>
              <w:pStyle w:val="af6"/>
              <w:ind w:left="-230" w:firstLine="0"/>
              <w:jc w:val="center"/>
              <w:rPr>
                <w:szCs w:val="22"/>
              </w:rPr>
            </w:pPr>
            <w:r w:rsidRPr="00744A16">
              <w:rPr>
                <w:szCs w:val="22"/>
              </w:rPr>
              <w:t>Variable</w:t>
            </w:r>
          </w:p>
        </w:tc>
        <w:tc>
          <w:tcPr>
            <w:tcW w:w="835" w:type="pct"/>
            <w:tcBorders>
              <w:top w:val="single" w:sz="4" w:space="0" w:color="auto"/>
              <w:bottom w:val="single" w:sz="4" w:space="0" w:color="auto"/>
            </w:tcBorders>
            <w:shd w:val="clear" w:color="auto" w:fill="auto"/>
            <w:noWrap/>
            <w:vAlign w:val="center"/>
          </w:tcPr>
          <w:p w14:paraId="160E70F6" w14:textId="77777777" w:rsidR="005F6125" w:rsidRPr="00744A16" w:rsidRDefault="005F6125" w:rsidP="00940D4D">
            <w:pPr>
              <w:pStyle w:val="af6"/>
              <w:ind w:hanging="26"/>
              <w:jc w:val="center"/>
              <w:rPr>
                <w:szCs w:val="21"/>
              </w:rPr>
            </w:pPr>
            <w:r w:rsidRPr="00744A16">
              <w:rPr>
                <w:szCs w:val="21"/>
              </w:rPr>
              <w:t>Model 1</w:t>
            </w:r>
          </w:p>
        </w:tc>
        <w:tc>
          <w:tcPr>
            <w:tcW w:w="837" w:type="pct"/>
            <w:tcBorders>
              <w:top w:val="single" w:sz="4" w:space="0" w:color="auto"/>
              <w:bottom w:val="single" w:sz="4" w:space="0" w:color="auto"/>
            </w:tcBorders>
            <w:shd w:val="clear" w:color="auto" w:fill="auto"/>
            <w:noWrap/>
            <w:vAlign w:val="center"/>
          </w:tcPr>
          <w:p w14:paraId="6274A60D" w14:textId="77777777" w:rsidR="005F6125" w:rsidRPr="00744A16" w:rsidRDefault="005F6125" w:rsidP="00940D4D">
            <w:pPr>
              <w:pStyle w:val="af6"/>
              <w:tabs>
                <w:tab w:val="left" w:pos="1900"/>
              </w:tabs>
              <w:ind w:left="-230" w:firstLine="197"/>
              <w:jc w:val="center"/>
              <w:rPr>
                <w:szCs w:val="21"/>
              </w:rPr>
            </w:pPr>
            <w:r w:rsidRPr="00744A16">
              <w:rPr>
                <w:szCs w:val="21"/>
              </w:rPr>
              <w:t>Model 2</w:t>
            </w:r>
          </w:p>
        </w:tc>
        <w:tc>
          <w:tcPr>
            <w:tcW w:w="1028" w:type="pct"/>
            <w:tcBorders>
              <w:top w:val="single" w:sz="4" w:space="0" w:color="auto"/>
              <w:bottom w:val="single" w:sz="4" w:space="0" w:color="auto"/>
            </w:tcBorders>
            <w:shd w:val="clear" w:color="auto" w:fill="auto"/>
            <w:noWrap/>
            <w:vAlign w:val="center"/>
          </w:tcPr>
          <w:p w14:paraId="6B6FAFA2" w14:textId="77777777" w:rsidR="005F6125" w:rsidRPr="00744A16" w:rsidRDefault="005F6125" w:rsidP="00940D4D">
            <w:pPr>
              <w:pStyle w:val="af6"/>
              <w:ind w:firstLine="74"/>
              <w:jc w:val="center"/>
              <w:rPr>
                <w:szCs w:val="21"/>
              </w:rPr>
            </w:pPr>
            <w:r w:rsidRPr="00744A16">
              <w:rPr>
                <w:szCs w:val="21"/>
              </w:rPr>
              <w:t>Model 3</w:t>
            </w:r>
          </w:p>
        </w:tc>
      </w:tr>
      <w:tr w:rsidR="005F6125" w:rsidRPr="00744A16" w14:paraId="6C1A70A0" w14:textId="77777777" w:rsidTr="00B32980">
        <w:trPr>
          <w:trHeight w:val="330"/>
          <w:jc w:val="center"/>
        </w:trPr>
        <w:tc>
          <w:tcPr>
            <w:tcW w:w="2299" w:type="pct"/>
            <w:vMerge w:val="restart"/>
            <w:tcBorders>
              <w:top w:val="single" w:sz="4" w:space="0" w:color="auto"/>
            </w:tcBorders>
            <w:shd w:val="clear" w:color="auto" w:fill="auto"/>
            <w:noWrap/>
            <w:vAlign w:val="center"/>
          </w:tcPr>
          <w:p w14:paraId="5CFEFFC0" w14:textId="77777777" w:rsidR="005F6125" w:rsidRPr="00744A16" w:rsidRDefault="005F6125" w:rsidP="00940D4D">
            <w:pPr>
              <w:pStyle w:val="af6"/>
              <w:ind w:left="80" w:firstLine="0"/>
              <w:jc w:val="center"/>
              <w:rPr>
                <w:szCs w:val="22"/>
              </w:rPr>
            </w:pPr>
            <w:r w:rsidRPr="00744A16">
              <w:rPr>
                <w:szCs w:val="22"/>
              </w:rPr>
              <w:t>HPWP</w:t>
            </w:r>
          </w:p>
        </w:tc>
        <w:tc>
          <w:tcPr>
            <w:tcW w:w="835" w:type="pct"/>
            <w:tcBorders>
              <w:top w:val="single" w:sz="4" w:space="0" w:color="auto"/>
            </w:tcBorders>
            <w:shd w:val="clear" w:color="auto" w:fill="auto"/>
            <w:noWrap/>
          </w:tcPr>
          <w:p w14:paraId="2F554105" w14:textId="77777777" w:rsidR="005F6125" w:rsidRPr="00744A16" w:rsidRDefault="005F6125" w:rsidP="000250EE">
            <w:pPr>
              <w:pStyle w:val="af6"/>
              <w:ind w:leftChars="100" w:left="240" w:firstLine="74"/>
              <w:rPr>
                <w:szCs w:val="21"/>
              </w:rPr>
            </w:pPr>
          </w:p>
        </w:tc>
        <w:tc>
          <w:tcPr>
            <w:tcW w:w="837" w:type="pct"/>
            <w:tcBorders>
              <w:top w:val="single" w:sz="4" w:space="0" w:color="auto"/>
            </w:tcBorders>
            <w:shd w:val="clear" w:color="auto" w:fill="auto"/>
            <w:noWrap/>
            <w:vAlign w:val="bottom"/>
          </w:tcPr>
          <w:p w14:paraId="0A6F6299" w14:textId="77777777" w:rsidR="005F6125" w:rsidRPr="00744A16" w:rsidRDefault="005F6125" w:rsidP="000250EE">
            <w:pPr>
              <w:pStyle w:val="af6"/>
              <w:ind w:leftChars="100" w:left="240" w:firstLine="74"/>
              <w:jc w:val="both"/>
              <w:rPr>
                <w:szCs w:val="21"/>
              </w:rPr>
            </w:pPr>
            <w:r w:rsidRPr="00744A16">
              <w:rPr>
                <w:szCs w:val="21"/>
              </w:rPr>
              <w:t>0.053***</w:t>
            </w:r>
          </w:p>
        </w:tc>
        <w:tc>
          <w:tcPr>
            <w:tcW w:w="1028" w:type="pct"/>
            <w:tcBorders>
              <w:top w:val="single" w:sz="4" w:space="0" w:color="auto"/>
            </w:tcBorders>
            <w:shd w:val="clear" w:color="auto" w:fill="auto"/>
            <w:noWrap/>
            <w:vAlign w:val="bottom"/>
          </w:tcPr>
          <w:p w14:paraId="4E60A157" w14:textId="77777777" w:rsidR="005F6125" w:rsidRPr="00744A16" w:rsidRDefault="005F6125" w:rsidP="005F6125">
            <w:pPr>
              <w:pStyle w:val="af6"/>
              <w:ind w:leftChars="200" w:left="480" w:firstLine="74"/>
              <w:jc w:val="both"/>
              <w:rPr>
                <w:szCs w:val="21"/>
              </w:rPr>
            </w:pPr>
            <w:r w:rsidRPr="00744A16">
              <w:rPr>
                <w:szCs w:val="21"/>
              </w:rPr>
              <w:t>0.054***</w:t>
            </w:r>
          </w:p>
        </w:tc>
      </w:tr>
      <w:tr w:rsidR="005F6125" w:rsidRPr="00744A16" w14:paraId="0631E0A3" w14:textId="77777777" w:rsidTr="00B32980">
        <w:trPr>
          <w:trHeight w:val="330"/>
          <w:jc w:val="center"/>
        </w:trPr>
        <w:tc>
          <w:tcPr>
            <w:tcW w:w="2299" w:type="pct"/>
            <w:vMerge/>
            <w:shd w:val="clear" w:color="auto" w:fill="auto"/>
            <w:noWrap/>
            <w:vAlign w:val="center"/>
          </w:tcPr>
          <w:p w14:paraId="4D5FAB27" w14:textId="77777777" w:rsidR="005F6125" w:rsidRPr="00744A16" w:rsidRDefault="005F6125" w:rsidP="00940D4D">
            <w:pPr>
              <w:pStyle w:val="af6"/>
              <w:ind w:left="80" w:firstLine="0"/>
              <w:jc w:val="center"/>
              <w:rPr>
                <w:szCs w:val="22"/>
              </w:rPr>
            </w:pPr>
          </w:p>
        </w:tc>
        <w:tc>
          <w:tcPr>
            <w:tcW w:w="835" w:type="pct"/>
            <w:shd w:val="clear" w:color="auto" w:fill="auto"/>
            <w:noWrap/>
          </w:tcPr>
          <w:p w14:paraId="2C69995E" w14:textId="77777777" w:rsidR="005F6125" w:rsidRPr="00744A16" w:rsidRDefault="005F6125" w:rsidP="000250EE">
            <w:pPr>
              <w:pStyle w:val="af6"/>
              <w:ind w:leftChars="100" w:left="240" w:firstLine="74"/>
              <w:rPr>
                <w:szCs w:val="21"/>
              </w:rPr>
            </w:pPr>
          </w:p>
        </w:tc>
        <w:tc>
          <w:tcPr>
            <w:tcW w:w="837" w:type="pct"/>
            <w:shd w:val="clear" w:color="auto" w:fill="auto"/>
            <w:noWrap/>
          </w:tcPr>
          <w:p w14:paraId="6CF80ABD" w14:textId="77777777" w:rsidR="005F6125" w:rsidRPr="00744A16" w:rsidRDefault="005F6125" w:rsidP="000250EE">
            <w:pPr>
              <w:pStyle w:val="af6"/>
              <w:ind w:leftChars="100" w:left="240" w:firstLine="74"/>
              <w:jc w:val="both"/>
              <w:rPr>
                <w:szCs w:val="21"/>
              </w:rPr>
            </w:pPr>
            <w:r w:rsidRPr="00744A16">
              <w:rPr>
                <w:szCs w:val="21"/>
              </w:rPr>
              <w:t>(0.006)</w:t>
            </w:r>
          </w:p>
        </w:tc>
        <w:tc>
          <w:tcPr>
            <w:tcW w:w="1028" w:type="pct"/>
            <w:shd w:val="clear" w:color="auto" w:fill="auto"/>
            <w:noWrap/>
          </w:tcPr>
          <w:p w14:paraId="3CE3B209" w14:textId="77777777" w:rsidR="005F6125" w:rsidRPr="00744A16" w:rsidRDefault="005F6125" w:rsidP="005F6125">
            <w:pPr>
              <w:pStyle w:val="af6"/>
              <w:ind w:leftChars="200" w:left="480" w:firstLine="74"/>
              <w:jc w:val="both"/>
              <w:rPr>
                <w:szCs w:val="21"/>
              </w:rPr>
            </w:pPr>
            <w:r w:rsidRPr="00744A16">
              <w:rPr>
                <w:szCs w:val="21"/>
              </w:rPr>
              <w:t>(0.006)</w:t>
            </w:r>
          </w:p>
        </w:tc>
      </w:tr>
      <w:tr w:rsidR="005F6125" w:rsidRPr="00744A16" w14:paraId="258D02ED" w14:textId="77777777" w:rsidTr="00B32980">
        <w:trPr>
          <w:trHeight w:val="330"/>
          <w:jc w:val="center"/>
        </w:trPr>
        <w:tc>
          <w:tcPr>
            <w:tcW w:w="2299" w:type="pct"/>
            <w:vMerge w:val="restart"/>
            <w:shd w:val="clear" w:color="auto" w:fill="auto"/>
            <w:noWrap/>
            <w:vAlign w:val="center"/>
          </w:tcPr>
          <w:p w14:paraId="42837DC5" w14:textId="77777777" w:rsidR="005F6125" w:rsidRPr="00744A16" w:rsidRDefault="005F6125" w:rsidP="00940D4D">
            <w:pPr>
              <w:pStyle w:val="af6"/>
              <w:ind w:left="80" w:firstLine="0"/>
              <w:jc w:val="center"/>
              <w:rPr>
                <w:szCs w:val="22"/>
              </w:rPr>
            </w:pPr>
            <w:r w:rsidRPr="00744A16">
              <w:rPr>
                <w:szCs w:val="22"/>
              </w:rPr>
              <w:t>HPWP*Labor market flexibility</w:t>
            </w:r>
          </w:p>
        </w:tc>
        <w:tc>
          <w:tcPr>
            <w:tcW w:w="835" w:type="pct"/>
            <w:shd w:val="clear" w:color="auto" w:fill="auto"/>
            <w:noWrap/>
          </w:tcPr>
          <w:p w14:paraId="516C231C" w14:textId="77777777" w:rsidR="005F6125" w:rsidRPr="00744A16" w:rsidRDefault="005F6125" w:rsidP="000250EE">
            <w:pPr>
              <w:pStyle w:val="af6"/>
              <w:ind w:leftChars="100" w:left="240" w:firstLine="74"/>
              <w:rPr>
                <w:szCs w:val="21"/>
              </w:rPr>
            </w:pPr>
          </w:p>
        </w:tc>
        <w:tc>
          <w:tcPr>
            <w:tcW w:w="837" w:type="pct"/>
            <w:shd w:val="clear" w:color="auto" w:fill="auto"/>
            <w:noWrap/>
            <w:vAlign w:val="bottom"/>
          </w:tcPr>
          <w:p w14:paraId="5A96C6CF" w14:textId="77777777" w:rsidR="005F6125" w:rsidRPr="00744A16" w:rsidRDefault="005F6125" w:rsidP="000250EE">
            <w:pPr>
              <w:pStyle w:val="af6"/>
              <w:ind w:leftChars="100" w:left="240" w:firstLine="74"/>
              <w:jc w:val="both"/>
              <w:rPr>
                <w:szCs w:val="21"/>
              </w:rPr>
            </w:pPr>
          </w:p>
        </w:tc>
        <w:tc>
          <w:tcPr>
            <w:tcW w:w="1028" w:type="pct"/>
            <w:shd w:val="clear" w:color="auto" w:fill="auto"/>
            <w:noWrap/>
            <w:vAlign w:val="bottom"/>
          </w:tcPr>
          <w:p w14:paraId="2B062382" w14:textId="77777777" w:rsidR="005F6125" w:rsidRPr="00744A16" w:rsidRDefault="005F6125" w:rsidP="005F6125">
            <w:pPr>
              <w:pStyle w:val="af6"/>
              <w:ind w:leftChars="200" w:left="480" w:firstLine="74"/>
              <w:jc w:val="both"/>
              <w:rPr>
                <w:szCs w:val="21"/>
              </w:rPr>
            </w:pPr>
            <w:r w:rsidRPr="00744A16">
              <w:rPr>
                <w:szCs w:val="21"/>
              </w:rPr>
              <w:t>-0.022**</w:t>
            </w:r>
          </w:p>
        </w:tc>
      </w:tr>
      <w:tr w:rsidR="005F6125" w:rsidRPr="00744A16" w14:paraId="394FF848" w14:textId="77777777" w:rsidTr="00B32980">
        <w:trPr>
          <w:trHeight w:val="330"/>
          <w:jc w:val="center"/>
        </w:trPr>
        <w:tc>
          <w:tcPr>
            <w:tcW w:w="2299" w:type="pct"/>
            <w:vMerge/>
            <w:shd w:val="clear" w:color="auto" w:fill="auto"/>
            <w:noWrap/>
            <w:vAlign w:val="center"/>
          </w:tcPr>
          <w:p w14:paraId="2DB609A0" w14:textId="77777777" w:rsidR="005F6125" w:rsidRPr="00744A16" w:rsidRDefault="005F6125" w:rsidP="00940D4D">
            <w:pPr>
              <w:pStyle w:val="af6"/>
              <w:ind w:left="80" w:firstLine="0"/>
              <w:jc w:val="center"/>
              <w:rPr>
                <w:szCs w:val="22"/>
              </w:rPr>
            </w:pPr>
          </w:p>
        </w:tc>
        <w:tc>
          <w:tcPr>
            <w:tcW w:w="835" w:type="pct"/>
            <w:shd w:val="clear" w:color="auto" w:fill="auto"/>
            <w:noWrap/>
          </w:tcPr>
          <w:p w14:paraId="6F008731" w14:textId="77777777" w:rsidR="005F6125" w:rsidRPr="00744A16" w:rsidRDefault="005F6125" w:rsidP="000250EE">
            <w:pPr>
              <w:pStyle w:val="af6"/>
              <w:ind w:leftChars="100" w:left="240" w:firstLine="74"/>
              <w:rPr>
                <w:szCs w:val="21"/>
              </w:rPr>
            </w:pPr>
          </w:p>
        </w:tc>
        <w:tc>
          <w:tcPr>
            <w:tcW w:w="837" w:type="pct"/>
            <w:shd w:val="clear" w:color="auto" w:fill="auto"/>
            <w:noWrap/>
          </w:tcPr>
          <w:p w14:paraId="399EBA3C" w14:textId="77777777" w:rsidR="005F6125" w:rsidRPr="00744A16" w:rsidRDefault="005F6125" w:rsidP="000250EE">
            <w:pPr>
              <w:pStyle w:val="af6"/>
              <w:ind w:leftChars="100" w:left="240" w:firstLine="74"/>
              <w:rPr>
                <w:szCs w:val="21"/>
              </w:rPr>
            </w:pPr>
          </w:p>
        </w:tc>
        <w:tc>
          <w:tcPr>
            <w:tcW w:w="1028" w:type="pct"/>
            <w:shd w:val="clear" w:color="auto" w:fill="auto"/>
            <w:noWrap/>
          </w:tcPr>
          <w:p w14:paraId="5F898213" w14:textId="77777777" w:rsidR="005F6125" w:rsidRPr="00744A16" w:rsidRDefault="005F6125" w:rsidP="005F6125">
            <w:pPr>
              <w:pStyle w:val="af6"/>
              <w:ind w:leftChars="200" w:left="480" w:firstLine="74"/>
              <w:rPr>
                <w:szCs w:val="21"/>
              </w:rPr>
            </w:pPr>
            <w:r w:rsidRPr="00744A16">
              <w:rPr>
                <w:szCs w:val="21"/>
              </w:rPr>
              <w:t>(0.009)</w:t>
            </w:r>
          </w:p>
        </w:tc>
      </w:tr>
      <w:tr w:rsidR="005F6125" w:rsidRPr="00744A16" w14:paraId="60FF34C8" w14:textId="77777777" w:rsidTr="00B32980">
        <w:trPr>
          <w:trHeight w:val="330"/>
          <w:jc w:val="center"/>
        </w:trPr>
        <w:tc>
          <w:tcPr>
            <w:tcW w:w="2299" w:type="pct"/>
            <w:vMerge w:val="restart"/>
            <w:shd w:val="clear" w:color="auto" w:fill="auto"/>
            <w:noWrap/>
            <w:vAlign w:val="center"/>
          </w:tcPr>
          <w:p w14:paraId="4BF4B2C7" w14:textId="77777777" w:rsidR="005F6125" w:rsidRPr="00744A16" w:rsidRDefault="005F6125" w:rsidP="00940D4D">
            <w:pPr>
              <w:pStyle w:val="af6"/>
              <w:ind w:left="80" w:firstLine="0"/>
              <w:jc w:val="center"/>
              <w:rPr>
                <w:szCs w:val="22"/>
              </w:rPr>
            </w:pPr>
            <w:r w:rsidRPr="00744A16">
              <w:rPr>
                <w:szCs w:val="22"/>
              </w:rPr>
              <w:t>HPWP* Labor market efficiency</w:t>
            </w:r>
          </w:p>
        </w:tc>
        <w:tc>
          <w:tcPr>
            <w:tcW w:w="835" w:type="pct"/>
            <w:shd w:val="clear" w:color="auto" w:fill="auto"/>
            <w:noWrap/>
          </w:tcPr>
          <w:p w14:paraId="6A338A89" w14:textId="77777777" w:rsidR="005F6125" w:rsidRPr="00744A16" w:rsidRDefault="005F6125" w:rsidP="000250EE">
            <w:pPr>
              <w:pStyle w:val="af6"/>
              <w:ind w:leftChars="100" w:left="240" w:firstLine="74"/>
              <w:rPr>
                <w:szCs w:val="21"/>
              </w:rPr>
            </w:pPr>
          </w:p>
        </w:tc>
        <w:tc>
          <w:tcPr>
            <w:tcW w:w="837" w:type="pct"/>
            <w:shd w:val="clear" w:color="auto" w:fill="auto"/>
            <w:noWrap/>
          </w:tcPr>
          <w:p w14:paraId="52DDE87E" w14:textId="77777777" w:rsidR="005F6125" w:rsidRPr="00744A16" w:rsidRDefault="005F6125" w:rsidP="000250EE">
            <w:pPr>
              <w:pStyle w:val="af6"/>
              <w:ind w:leftChars="100" w:left="240" w:firstLine="74"/>
              <w:rPr>
                <w:szCs w:val="21"/>
              </w:rPr>
            </w:pPr>
          </w:p>
        </w:tc>
        <w:tc>
          <w:tcPr>
            <w:tcW w:w="1028" w:type="pct"/>
            <w:shd w:val="clear" w:color="auto" w:fill="auto"/>
            <w:noWrap/>
            <w:vAlign w:val="bottom"/>
          </w:tcPr>
          <w:p w14:paraId="2BFB4127" w14:textId="77777777" w:rsidR="005F6125" w:rsidRPr="00744A16" w:rsidRDefault="005F6125" w:rsidP="005F6125">
            <w:pPr>
              <w:pStyle w:val="af6"/>
              <w:ind w:leftChars="200" w:left="480" w:firstLine="74"/>
              <w:jc w:val="both"/>
              <w:rPr>
                <w:szCs w:val="21"/>
              </w:rPr>
            </w:pPr>
            <w:r w:rsidRPr="00744A16">
              <w:rPr>
                <w:szCs w:val="21"/>
              </w:rPr>
              <w:t>0.039***</w:t>
            </w:r>
          </w:p>
        </w:tc>
      </w:tr>
      <w:tr w:rsidR="005F6125" w:rsidRPr="00744A16" w14:paraId="3FF4F798" w14:textId="77777777" w:rsidTr="00B32980">
        <w:trPr>
          <w:trHeight w:val="330"/>
          <w:jc w:val="center"/>
        </w:trPr>
        <w:tc>
          <w:tcPr>
            <w:tcW w:w="2299" w:type="pct"/>
            <w:vMerge/>
            <w:shd w:val="clear" w:color="auto" w:fill="auto"/>
            <w:noWrap/>
            <w:vAlign w:val="center"/>
          </w:tcPr>
          <w:p w14:paraId="3998BEAA" w14:textId="77777777" w:rsidR="005F6125" w:rsidRPr="00744A16" w:rsidRDefault="005F6125" w:rsidP="00940D4D">
            <w:pPr>
              <w:pStyle w:val="af6"/>
              <w:ind w:left="80" w:firstLine="0"/>
              <w:jc w:val="center"/>
              <w:rPr>
                <w:szCs w:val="22"/>
              </w:rPr>
            </w:pPr>
          </w:p>
        </w:tc>
        <w:tc>
          <w:tcPr>
            <w:tcW w:w="835" w:type="pct"/>
            <w:shd w:val="clear" w:color="auto" w:fill="auto"/>
            <w:noWrap/>
          </w:tcPr>
          <w:p w14:paraId="6533AFAB" w14:textId="77777777" w:rsidR="005F6125" w:rsidRPr="00744A16" w:rsidRDefault="005F6125" w:rsidP="000250EE">
            <w:pPr>
              <w:pStyle w:val="af6"/>
              <w:ind w:leftChars="100" w:left="240" w:firstLine="74"/>
              <w:rPr>
                <w:szCs w:val="21"/>
              </w:rPr>
            </w:pPr>
          </w:p>
        </w:tc>
        <w:tc>
          <w:tcPr>
            <w:tcW w:w="837" w:type="pct"/>
            <w:shd w:val="clear" w:color="auto" w:fill="auto"/>
            <w:noWrap/>
          </w:tcPr>
          <w:p w14:paraId="614A189A" w14:textId="77777777" w:rsidR="005F6125" w:rsidRPr="00744A16" w:rsidRDefault="005F6125" w:rsidP="000250EE">
            <w:pPr>
              <w:pStyle w:val="af6"/>
              <w:ind w:leftChars="100" w:left="240" w:firstLine="74"/>
              <w:rPr>
                <w:szCs w:val="21"/>
              </w:rPr>
            </w:pPr>
          </w:p>
        </w:tc>
        <w:tc>
          <w:tcPr>
            <w:tcW w:w="1028" w:type="pct"/>
            <w:shd w:val="clear" w:color="auto" w:fill="auto"/>
            <w:noWrap/>
          </w:tcPr>
          <w:p w14:paraId="4BD4DB7C" w14:textId="77777777" w:rsidR="005F6125" w:rsidRPr="00744A16" w:rsidRDefault="005F6125" w:rsidP="005F6125">
            <w:pPr>
              <w:pStyle w:val="af6"/>
              <w:ind w:leftChars="200" w:left="480" w:firstLine="74"/>
              <w:rPr>
                <w:szCs w:val="21"/>
              </w:rPr>
            </w:pPr>
            <w:r w:rsidRPr="00744A16">
              <w:rPr>
                <w:szCs w:val="21"/>
              </w:rPr>
              <w:t>(0.011)</w:t>
            </w:r>
          </w:p>
        </w:tc>
      </w:tr>
      <w:tr w:rsidR="005F6125" w:rsidRPr="00744A16" w14:paraId="1FC8710B" w14:textId="77777777" w:rsidTr="00B32980">
        <w:trPr>
          <w:trHeight w:val="330"/>
          <w:jc w:val="center"/>
        </w:trPr>
        <w:tc>
          <w:tcPr>
            <w:tcW w:w="2299" w:type="pct"/>
            <w:vMerge w:val="restart"/>
            <w:shd w:val="clear" w:color="auto" w:fill="auto"/>
            <w:noWrap/>
            <w:vAlign w:val="center"/>
          </w:tcPr>
          <w:p w14:paraId="33CB4A00" w14:textId="77777777" w:rsidR="005F6125" w:rsidRPr="00744A16" w:rsidRDefault="005F6125" w:rsidP="00940D4D">
            <w:pPr>
              <w:pStyle w:val="af6"/>
              <w:ind w:left="80" w:firstLine="0"/>
              <w:jc w:val="center"/>
              <w:rPr>
                <w:szCs w:val="22"/>
              </w:rPr>
            </w:pPr>
            <w:r w:rsidRPr="00744A16">
              <w:rPr>
                <w:szCs w:val="22"/>
              </w:rPr>
              <w:t>Labor market flexibility</w:t>
            </w:r>
          </w:p>
        </w:tc>
        <w:tc>
          <w:tcPr>
            <w:tcW w:w="835" w:type="pct"/>
            <w:shd w:val="clear" w:color="auto" w:fill="auto"/>
            <w:noWrap/>
          </w:tcPr>
          <w:p w14:paraId="4D5E3800" w14:textId="77777777" w:rsidR="005F6125" w:rsidRPr="00744A16" w:rsidRDefault="005F6125" w:rsidP="000250EE">
            <w:pPr>
              <w:pStyle w:val="af6"/>
              <w:ind w:leftChars="100" w:left="240" w:firstLine="74"/>
              <w:rPr>
                <w:szCs w:val="21"/>
              </w:rPr>
            </w:pPr>
          </w:p>
        </w:tc>
        <w:tc>
          <w:tcPr>
            <w:tcW w:w="837" w:type="pct"/>
            <w:shd w:val="clear" w:color="auto" w:fill="auto"/>
            <w:noWrap/>
            <w:vAlign w:val="bottom"/>
          </w:tcPr>
          <w:p w14:paraId="6F59C003" w14:textId="77777777" w:rsidR="005F6125" w:rsidRPr="00744A16" w:rsidRDefault="005F6125" w:rsidP="000250EE">
            <w:pPr>
              <w:pStyle w:val="af6"/>
              <w:ind w:leftChars="100" w:left="240" w:firstLine="74"/>
              <w:jc w:val="both"/>
              <w:rPr>
                <w:szCs w:val="21"/>
              </w:rPr>
            </w:pPr>
            <w:r w:rsidRPr="00744A16">
              <w:rPr>
                <w:szCs w:val="21"/>
              </w:rPr>
              <w:t>0.003</w:t>
            </w:r>
          </w:p>
        </w:tc>
        <w:tc>
          <w:tcPr>
            <w:tcW w:w="1028" w:type="pct"/>
            <w:shd w:val="clear" w:color="auto" w:fill="auto"/>
            <w:noWrap/>
            <w:vAlign w:val="bottom"/>
          </w:tcPr>
          <w:p w14:paraId="5EBD508F" w14:textId="77777777" w:rsidR="005F6125" w:rsidRPr="00744A16" w:rsidRDefault="005F6125" w:rsidP="005F6125">
            <w:pPr>
              <w:pStyle w:val="af6"/>
              <w:ind w:leftChars="200" w:left="480" w:firstLine="74"/>
              <w:jc w:val="both"/>
              <w:rPr>
                <w:szCs w:val="21"/>
              </w:rPr>
            </w:pPr>
            <w:r w:rsidRPr="00744A16">
              <w:rPr>
                <w:szCs w:val="21"/>
              </w:rPr>
              <w:t>0.054**</w:t>
            </w:r>
          </w:p>
        </w:tc>
      </w:tr>
      <w:tr w:rsidR="005F6125" w:rsidRPr="00744A16" w14:paraId="02A0EC56" w14:textId="77777777" w:rsidTr="00B32980">
        <w:trPr>
          <w:trHeight w:val="330"/>
          <w:jc w:val="center"/>
        </w:trPr>
        <w:tc>
          <w:tcPr>
            <w:tcW w:w="2299" w:type="pct"/>
            <w:vMerge/>
            <w:shd w:val="clear" w:color="auto" w:fill="auto"/>
            <w:noWrap/>
            <w:vAlign w:val="center"/>
          </w:tcPr>
          <w:p w14:paraId="67A56678" w14:textId="77777777" w:rsidR="005F6125" w:rsidRPr="00744A16" w:rsidRDefault="005F6125" w:rsidP="00940D4D">
            <w:pPr>
              <w:pStyle w:val="af6"/>
              <w:ind w:left="80" w:firstLine="0"/>
              <w:jc w:val="center"/>
              <w:rPr>
                <w:szCs w:val="22"/>
              </w:rPr>
            </w:pPr>
          </w:p>
        </w:tc>
        <w:tc>
          <w:tcPr>
            <w:tcW w:w="835" w:type="pct"/>
            <w:shd w:val="clear" w:color="auto" w:fill="auto"/>
            <w:noWrap/>
          </w:tcPr>
          <w:p w14:paraId="24A056E1" w14:textId="77777777" w:rsidR="005F6125" w:rsidRPr="00744A16" w:rsidRDefault="005F6125" w:rsidP="000250EE">
            <w:pPr>
              <w:pStyle w:val="af6"/>
              <w:ind w:leftChars="100" w:left="240" w:firstLine="74"/>
              <w:rPr>
                <w:szCs w:val="21"/>
              </w:rPr>
            </w:pPr>
          </w:p>
        </w:tc>
        <w:tc>
          <w:tcPr>
            <w:tcW w:w="837" w:type="pct"/>
            <w:shd w:val="clear" w:color="auto" w:fill="auto"/>
            <w:noWrap/>
          </w:tcPr>
          <w:p w14:paraId="2E37A67C" w14:textId="77777777" w:rsidR="005F6125" w:rsidRPr="00744A16" w:rsidRDefault="005F6125" w:rsidP="000250EE">
            <w:pPr>
              <w:pStyle w:val="af6"/>
              <w:ind w:leftChars="100" w:left="240" w:firstLine="74"/>
              <w:rPr>
                <w:szCs w:val="21"/>
              </w:rPr>
            </w:pPr>
            <w:r w:rsidRPr="00744A16">
              <w:rPr>
                <w:szCs w:val="21"/>
              </w:rPr>
              <w:t>(0.002)</w:t>
            </w:r>
          </w:p>
        </w:tc>
        <w:tc>
          <w:tcPr>
            <w:tcW w:w="1028" w:type="pct"/>
            <w:shd w:val="clear" w:color="auto" w:fill="auto"/>
            <w:noWrap/>
          </w:tcPr>
          <w:p w14:paraId="57195A10" w14:textId="77777777" w:rsidR="005F6125" w:rsidRPr="00744A16" w:rsidRDefault="005F6125" w:rsidP="005F6125">
            <w:pPr>
              <w:pStyle w:val="af6"/>
              <w:ind w:leftChars="200" w:left="480" w:firstLine="74"/>
              <w:rPr>
                <w:szCs w:val="21"/>
              </w:rPr>
            </w:pPr>
            <w:r w:rsidRPr="00744A16">
              <w:rPr>
                <w:szCs w:val="21"/>
              </w:rPr>
              <w:t>(0.002)</w:t>
            </w:r>
          </w:p>
        </w:tc>
      </w:tr>
      <w:tr w:rsidR="005F6125" w:rsidRPr="00744A16" w14:paraId="767B69FD" w14:textId="77777777" w:rsidTr="00B32980">
        <w:trPr>
          <w:trHeight w:val="330"/>
          <w:jc w:val="center"/>
        </w:trPr>
        <w:tc>
          <w:tcPr>
            <w:tcW w:w="2299" w:type="pct"/>
            <w:vMerge w:val="restart"/>
            <w:shd w:val="clear" w:color="auto" w:fill="auto"/>
            <w:noWrap/>
            <w:vAlign w:val="center"/>
          </w:tcPr>
          <w:p w14:paraId="72974E85" w14:textId="77777777" w:rsidR="005F6125" w:rsidRPr="00744A16" w:rsidRDefault="005F6125" w:rsidP="00940D4D">
            <w:pPr>
              <w:pStyle w:val="af6"/>
              <w:ind w:left="80" w:firstLine="0"/>
              <w:jc w:val="center"/>
              <w:rPr>
                <w:szCs w:val="22"/>
              </w:rPr>
            </w:pPr>
            <w:r w:rsidRPr="00744A16">
              <w:rPr>
                <w:szCs w:val="22"/>
              </w:rPr>
              <w:t>Labor market efficiency</w:t>
            </w:r>
          </w:p>
        </w:tc>
        <w:tc>
          <w:tcPr>
            <w:tcW w:w="835" w:type="pct"/>
            <w:shd w:val="clear" w:color="auto" w:fill="auto"/>
            <w:noWrap/>
          </w:tcPr>
          <w:p w14:paraId="3697448B" w14:textId="77777777" w:rsidR="005F6125" w:rsidRPr="00744A16" w:rsidRDefault="005F6125" w:rsidP="000250EE">
            <w:pPr>
              <w:pStyle w:val="af6"/>
              <w:ind w:leftChars="100" w:left="240" w:firstLine="74"/>
              <w:rPr>
                <w:szCs w:val="21"/>
              </w:rPr>
            </w:pPr>
          </w:p>
        </w:tc>
        <w:tc>
          <w:tcPr>
            <w:tcW w:w="837" w:type="pct"/>
            <w:shd w:val="clear" w:color="auto" w:fill="auto"/>
            <w:noWrap/>
            <w:vAlign w:val="bottom"/>
          </w:tcPr>
          <w:p w14:paraId="3CAF2894" w14:textId="77777777" w:rsidR="005F6125" w:rsidRPr="00744A16" w:rsidRDefault="005F6125" w:rsidP="000250EE">
            <w:pPr>
              <w:pStyle w:val="af6"/>
              <w:ind w:leftChars="100" w:left="240" w:firstLine="74"/>
              <w:jc w:val="both"/>
              <w:rPr>
                <w:szCs w:val="21"/>
              </w:rPr>
            </w:pPr>
            <w:r w:rsidRPr="00744A16">
              <w:rPr>
                <w:szCs w:val="21"/>
              </w:rPr>
              <w:t>0.015***</w:t>
            </w:r>
          </w:p>
        </w:tc>
        <w:tc>
          <w:tcPr>
            <w:tcW w:w="1028" w:type="pct"/>
            <w:shd w:val="clear" w:color="auto" w:fill="auto"/>
            <w:noWrap/>
            <w:vAlign w:val="bottom"/>
          </w:tcPr>
          <w:p w14:paraId="7660B136" w14:textId="77777777" w:rsidR="005F6125" w:rsidRPr="00744A16" w:rsidRDefault="005F6125" w:rsidP="005F6125">
            <w:pPr>
              <w:pStyle w:val="af6"/>
              <w:ind w:leftChars="200" w:left="480" w:firstLine="74"/>
              <w:jc w:val="both"/>
              <w:rPr>
                <w:szCs w:val="21"/>
              </w:rPr>
            </w:pPr>
            <w:r w:rsidRPr="00744A16">
              <w:rPr>
                <w:szCs w:val="21"/>
              </w:rPr>
              <w:t>0.015***</w:t>
            </w:r>
          </w:p>
        </w:tc>
      </w:tr>
      <w:tr w:rsidR="005F6125" w:rsidRPr="00744A16" w14:paraId="52C45DCD" w14:textId="77777777" w:rsidTr="00B32980">
        <w:trPr>
          <w:trHeight w:val="330"/>
          <w:jc w:val="center"/>
        </w:trPr>
        <w:tc>
          <w:tcPr>
            <w:tcW w:w="2299" w:type="pct"/>
            <w:vMerge/>
            <w:shd w:val="clear" w:color="auto" w:fill="auto"/>
            <w:noWrap/>
            <w:vAlign w:val="center"/>
          </w:tcPr>
          <w:p w14:paraId="779DF509" w14:textId="77777777" w:rsidR="005F6125" w:rsidRPr="00744A16" w:rsidRDefault="005F6125" w:rsidP="00940D4D">
            <w:pPr>
              <w:pStyle w:val="af6"/>
              <w:ind w:left="80" w:firstLine="0"/>
              <w:jc w:val="center"/>
              <w:rPr>
                <w:szCs w:val="22"/>
              </w:rPr>
            </w:pPr>
          </w:p>
        </w:tc>
        <w:tc>
          <w:tcPr>
            <w:tcW w:w="835" w:type="pct"/>
            <w:shd w:val="clear" w:color="auto" w:fill="auto"/>
            <w:noWrap/>
          </w:tcPr>
          <w:p w14:paraId="6204C1A3" w14:textId="77777777" w:rsidR="005F6125" w:rsidRPr="00744A16" w:rsidRDefault="005F6125" w:rsidP="000250EE">
            <w:pPr>
              <w:pStyle w:val="af6"/>
              <w:ind w:leftChars="100" w:left="240" w:firstLine="74"/>
              <w:rPr>
                <w:szCs w:val="21"/>
              </w:rPr>
            </w:pPr>
          </w:p>
        </w:tc>
        <w:tc>
          <w:tcPr>
            <w:tcW w:w="837" w:type="pct"/>
            <w:shd w:val="clear" w:color="auto" w:fill="auto"/>
            <w:noWrap/>
          </w:tcPr>
          <w:p w14:paraId="79815D0E" w14:textId="77777777" w:rsidR="005F6125" w:rsidRPr="00744A16" w:rsidRDefault="005F6125" w:rsidP="000250EE">
            <w:pPr>
              <w:pStyle w:val="af6"/>
              <w:ind w:leftChars="100" w:left="240" w:firstLine="74"/>
              <w:rPr>
                <w:szCs w:val="21"/>
              </w:rPr>
            </w:pPr>
            <w:r w:rsidRPr="00744A16">
              <w:rPr>
                <w:szCs w:val="21"/>
              </w:rPr>
              <w:t>(0.005)</w:t>
            </w:r>
          </w:p>
        </w:tc>
        <w:tc>
          <w:tcPr>
            <w:tcW w:w="1028" w:type="pct"/>
            <w:shd w:val="clear" w:color="auto" w:fill="auto"/>
            <w:noWrap/>
          </w:tcPr>
          <w:p w14:paraId="79DDF31B" w14:textId="77777777" w:rsidR="005F6125" w:rsidRPr="00744A16" w:rsidRDefault="005F6125" w:rsidP="005F6125">
            <w:pPr>
              <w:pStyle w:val="af6"/>
              <w:ind w:leftChars="200" w:left="480" w:firstLine="74"/>
              <w:rPr>
                <w:szCs w:val="21"/>
              </w:rPr>
            </w:pPr>
            <w:r w:rsidRPr="00744A16">
              <w:rPr>
                <w:szCs w:val="21"/>
              </w:rPr>
              <w:t>(0.005)</w:t>
            </w:r>
          </w:p>
        </w:tc>
      </w:tr>
      <w:tr w:rsidR="005F6125" w:rsidRPr="00744A16" w14:paraId="59E9711F" w14:textId="77777777" w:rsidTr="00B32980">
        <w:trPr>
          <w:trHeight w:val="330"/>
          <w:jc w:val="center"/>
        </w:trPr>
        <w:tc>
          <w:tcPr>
            <w:tcW w:w="2299" w:type="pct"/>
            <w:vMerge w:val="restart"/>
            <w:shd w:val="clear" w:color="auto" w:fill="auto"/>
            <w:noWrap/>
            <w:vAlign w:val="center"/>
          </w:tcPr>
          <w:p w14:paraId="524F5937" w14:textId="77777777" w:rsidR="005F6125" w:rsidRPr="00744A16" w:rsidRDefault="005F6125" w:rsidP="00940D4D">
            <w:pPr>
              <w:pStyle w:val="af6"/>
              <w:ind w:left="80" w:firstLine="0"/>
              <w:jc w:val="center"/>
              <w:rPr>
                <w:szCs w:val="22"/>
              </w:rPr>
            </w:pPr>
            <w:r w:rsidRPr="00744A16">
              <w:rPr>
                <w:szCs w:val="22"/>
              </w:rPr>
              <w:t>Quantity of education</w:t>
            </w:r>
          </w:p>
        </w:tc>
        <w:tc>
          <w:tcPr>
            <w:tcW w:w="835" w:type="pct"/>
            <w:shd w:val="clear" w:color="auto" w:fill="auto"/>
            <w:noWrap/>
            <w:vAlign w:val="bottom"/>
          </w:tcPr>
          <w:p w14:paraId="2D89B9C0" w14:textId="77777777" w:rsidR="005F6125" w:rsidRPr="00744A16" w:rsidRDefault="005F6125" w:rsidP="000250EE">
            <w:pPr>
              <w:pStyle w:val="af6"/>
              <w:ind w:leftChars="100" w:left="240" w:firstLine="0"/>
              <w:jc w:val="both"/>
              <w:rPr>
                <w:szCs w:val="21"/>
              </w:rPr>
            </w:pPr>
            <w:r w:rsidRPr="00744A16">
              <w:rPr>
                <w:szCs w:val="21"/>
              </w:rPr>
              <w:t>-0.008***</w:t>
            </w:r>
          </w:p>
        </w:tc>
        <w:tc>
          <w:tcPr>
            <w:tcW w:w="837" w:type="pct"/>
            <w:shd w:val="clear" w:color="auto" w:fill="auto"/>
            <w:noWrap/>
            <w:vAlign w:val="bottom"/>
          </w:tcPr>
          <w:p w14:paraId="19437CAE" w14:textId="77777777" w:rsidR="005F6125" w:rsidRPr="00744A16" w:rsidRDefault="005F6125" w:rsidP="000250EE">
            <w:pPr>
              <w:pStyle w:val="af6"/>
              <w:ind w:leftChars="100" w:left="240" w:firstLine="74"/>
              <w:jc w:val="both"/>
              <w:rPr>
                <w:szCs w:val="21"/>
              </w:rPr>
            </w:pPr>
            <w:r w:rsidRPr="00744A16">
              <w:rPr>
                <w:szCs w:val="21"/>
              </w:rPr>
              <w:t>-0.009***</w:t>
            </w:r>
          </w:p>
        </w:tc>
        <w:tc>
          <w:tcPr>
            <w:tcW w:w="1028" w:type="pct"/>
            <w:shd w:val="clear" w:color="auto" w:fill="auto"/>
            <w:noWrap/>
            <w:vAlign w:val="bottom"/>
          </w:tcPr>
          <w:p w14:paraId="6A0EEEBB" w14:textId="77777777" w:rsidR="005F6125" w:rsidRPr="00744A16" w:rsidRDefault="005F6125" w:rsidP="005F6125">
            <w:pPr>
              <w:pStyle w:val="af6"/>
              <w:ind w:leftChars="200" w:left="480" w:right="70" w:firstLine="74"/>
              <w:jc w:val="both"/>
              <w:rPr>
                <w:szCs w:val="21"/>
              </w:rPr>
            </w:pPr>
            <w:r w:rsidRPr="00744A16">
              <w:rPr>
                <w:szCs w:val="21"/>
              </w:rPr>
              <w:t>-0.009***</w:t>
            </w:r>
          </w:p>
        </w:tc>
      </w:tr>
      <w:tr w:rsidR="005F6125" w:rsidRPr="00744A16" w14:paraId="733EEFF7" w14:textId="77777777" w:rsidTr="00B32980">
        <w:trPr>
          <w:trHeight w:val="330"/>
          <w:jc w:val="center"/>
        </w:trPr>
        <w:tc>
          <w:tcPr>
            <w:tcW w:w="2299" w:type="pct"/>
            <w:vMerge/>
            <w:shd w:val="clear" w:color="auto" w:fill="auto"/>
            <w:noWrap/>
            <w:vAlign w:val="center"/>
          </w:tcPr>
          <w:p w14:paraId="6BA58F65" w14:textId="77777777" w:rsidR="005F6125" w:rsidRPr="00744A16" w:rsidRDefault="005F6125" w:rsidP="00940D4D">
            <w:pPr>
              <w:pStyle w:val="af6"/>
              <w:ind w:left="80" w:firstLine="0"/>
              <w:jc w:val="center"/>
              <w:rPr>
                <w:szCs w:val="22"/>
              </w:rPr>
            </w:pPr>
          </w:p>
        </w:tc>
        <w:tc>
          <w:tcPr>
            <w:tcW w:w="835" w:type="pct"/>
            <w:shd w:val="clear" w:color="auto" w:fill="auto"/>
            <w:noWrap/>
          </w:tcPr>
          <w:p w14:paraId="10BEF2A1" w14:textId="77777777" w:rsidR="005F6125" w:rsidRPr="00744A16" w:rsidRDefault="005F6125" w:rsidP="000250EE">
            <w:pPr>
              <w:pStyle w:val="af6"/>
              <w:ind w:leftChars="100" w:left="240" w:firstLine="74"/>
              <w:rPr>
                <w:szCs w:val="21"/>
              </w:rPr>
            </w:pPr>
            <w:r w:rsidRPr="00744A16">
              <w:rPr>
                <w:szCs w:val="21"/>
              </w:rPr>
              <w:t>(-0.002)</w:t>
            </w:r>
          </w:p>
        </w:tc>
        <w:tc>
          <w:tcPr>
            <w:tcW w:w="837" w:type="pct"/>
            <w:shd w:val="clear" w:color="auto" w:fill="auto"/>
            <w:noWrap/>
          </w:tcPr>
          <w:p w14:paraId="1E4BFDF2" w14:textId="77777777" w:rsidR="005F6125" w:rsidRPr="00744A16" w:rsidRDefault="005F6125" w:rsidP="000250EE">
            <w:pPr>
              <w:pStyle w:val="af6"/>
              <w:ind w:leftChars="100" w:left="240" w:firstLine="74"/>
              <w:rPr>
                <w:szCs w:val="21"/>
              </w:rPr>
            </w:pPr>
            <w:r w:rsidRPr="00744A16">
              <w:rPr>
                <w:szCs w:val="21"/>
              </w:rPr>
              <w:t>(0.002)</w:t>
            </w:r>
          </w:p>
        </w:tc>
        <w:tc>
          <w:tcPr>
            <w:tcW w:w="1028" w:type="pct"/>
            <w:shd w:val="clear" w:color="auto" w:fill="auto"/>
            <w:noWrap/>
          </w:tcPr>
          <w:p w14:paraId="67278C51" w14:textId="77777777" w:rsidR="005F6125" w:rsidRPr="00744A16" w:rsidRDefault="005F6125" w:rsidP="005F6125">
            <w:pPr>
              <w:pStyle w:val="af6"/>
              <w:ind w:leftChars="200" w:left="480" w:right="70" w:firstLine="74"/>
              <w:rPr>
                <w:szCs w:val="21"/>
              </w:rPr>
            </w:pPr>
            <w:r w:rsidRPr="00744A16">
              <w:rPr>
                <w:szCs w:val="21"/>
              </w:rPr>
              <w:t>(0.002)</w:t>
            </w:r>
          </w:p>
        </w:tc>
      </w:tr>
      <w:tr w:rsidR="005F6125" w:rsidRPr="00744A16" w14:paraId="621C58DE" w14:textId="77777777" w:rsidTr="00B32980">
        <w:trPr>
          <w:trHeight w:val="330"/>
          <w:jc w:val="center"/>
        </w:trPr>
        <w:tc>
          <w:tcPr>
            <w:tcW w:w="2299" w:type="pct"/>
            <w:vMerge w:val="restart"/>
            <w:shd w:val="clear" w:color="auto" w:fill="auto"/>
            <w:noWrap/>
            <w:vAlign w:val="center"/>
          </w:tcPr>
          <w:p w14:paraId="5088D030" w14:textId="77777777" w:rsidR="005F6125" w:rsidRPr="00744A16" w:rsidRDefault="005F6125" w:rsidP="00940D4D">
            <w:pPr>
              <w:pStyle w:val="af6"/>
              <w:ind w:left="80" w:firstLine="0"/>
              <w:jc w:val="center"/>
              <w:rPr>
                <w:szCs w:val="22"/>
              </w:rPr>
            </w:pPr>
            <w:r w:rsidRPr="00744A16">
              <w:rPr>
                <w:szCs w:val="22"/>
              </w:rPr>
              <w:t>Quality of education</w:t>
            </w:r>
          </w:p>
        </w:tc>
        <w:tc>
          <w:tcPr>
            <w:tcW w:w="835" w:type="pct"/>
            <w:shd w:val="clear" w:color="auto" w:fill="auto"/>
            <w:noWrap/>
            <w:vAlign w:val="bottom"/>
          </w:tcPr>
          <w:p w14:paraId="5A86673C" w14:textId="77777777" w:rsidR="005F6125" w:rsidRPr="00744A16" w:rsidRDefault="005F6125" w:rsidP="000250EE">
            <w:pPr>
              <w:pStyle w:val="af6"/>
              <w:ind w:leftChars="100" w:left="240" w:firstLine="74"/>
              <w:jc w:val="both"/>
              <w:rPr>
                <w:szCs w:val="21"/>
              </w:rPr>
            </w:pPr>
            <w:r w:rsidRPr="00744A16">
              <w:rPr>
                <w:szCs w:val="21"/>
              </w:rPr>
              <w:t>0.009***</w:t>
            </w:r>
          </w:p>
        </w:tc>
        <w:tc>
          <w:tcPr>
            <w:tcW w:w="837" w:type="pct"/>
            <w:shd w:val="clear" w:color="auto" w:fill="auto"/>
            <w:noWrap/>
            <w:vAlign w:val="bottom"/>
          </w:tcPr>
          <w:p w14:paraId="5AA689D0" w14:textId="77777777" w:rsidR="005F6125" w:rsidRPr="00744A16" w:rsidRDefault="005F6125" w:rsidP="000250EE">
            <w:pPr>
              <w:pStyle w:val="af6"/>
              <w:ind w:leftChars="100" w:left="240" w:firstLine="74"/>
              <w:jc w:val="both"/>
              <w:rPr>
                <w:szCs w:val="21"/>
              </w:rPr>
            </w:pPr>
            <w:r w:rsidRPr="00744A16">
              <w:rPr>
                <w:szCs w:val="21"/>
              </w:rPr>
              <w:t>0.001</w:t>
            </w:r>
          </w:p>
        </w:tc>
        <w:tc>
          <w:tcPr>
            <w:tcW w:w="1028" w:type="pct"/>
            <w:shd w:val="clear" w:color="auto" w:fill="auto"/>
            <w:noWrap/>
            <w:vAlign w:val="bottom"/>
          </w:tcPr>
          <w:p w14:paraId="591DAA55" w14:textId="77777777" w:rsidR="005F6125" w:rsidRPr="00744A16" w:rsidRDefault="005F6125" w:rsidP="005F6125">
            <w:pPr>
              <w:pStyle w:val="af6"/>
              <w:ind w:leftChars="200" w:left="480" w:right="70" w:firstLine="74"/>
              <w:jc w:val="both"/>
              <w:rPr>
                <w:szCs w:val="21"/>
              </w:rPr>
            </w:pPr>
            <w:r w:rsidRPr="00744A16">
              <w:rPr>
                <w:szCs w:val="21"/>
              </w:rPr>
              <w:t>0.001</w:t>
            </w:r>
          </w:p>
        </w:tc>
      </w:tr>
      <w:tr w:rsidR="005F6125" w:rsidRPr="00744A16" w14:paraId="2C72B604" w14:textId="77777777" w:rsidTr="00B32980">
        <w:trPr>
          <w:trHeight w:val="330"/>
          <w:jc w:val="center"/>
        </w:trPr>
        <w:tc>
          <w:tcPr>
            <w:tcW w:w="2299" w:type="pct"/>
            <w:vMerge/>
            <w:shd w:val="clear" w:color="auto" w:fill="auto"/>
            <w:noWrap/>
            <w:vAlign w:val="center"/>
          </w:tcPr>
          <w:p w14:paraId="748A1C41" w14:textId="77777777" w:rsidR="005F6125" w:rsidRPr="00744A16" w:rsidRDefault="005F6125" w:rsidP="00940D4D">
            <w:pPr>
              <w:pStyle w:val="af6"/>
              <w:ind w:left="80" w:firstLine="0"/>
              <w:jc w:val="center"/>
              <w:rPr>
                <w:szCs w:val="22"/>
              </w:rPr>
            </w:pPr>
          </w:p>
        </w:tc>
        <w:tc>
          <w:tcPr>
            <w:tcW w:w="835" w:type="pct"/>
            <w:shd w:val="clear" w:color="auto" w:fill="auto"/>
            <w:noWrap/>
          </w:tcPr>
          <w:p w14:paraId="2C4B57AD" w14:textId="77777777" w:rsidR="005F6125" w:rsidRPr="00744A16" w:rsidRDefault="005F6125" w:rsidP="000250EE">
            <w:pPr>
              <w:pStyle w:val="af6"/>
              <w:ind w:leftChars="100" w:left="240" w:firstLine="74"/>
              <w:rPr>
                <w:szCs w:val="21"/>
              </w:rPr>
            </w:pPr>
            <w:r w:rsidRPr="00744A16">
              <w:rPr>
                <w:szCs w:val="21"/>
              </w:rPr>
              <w:t>(0.003)</w:t>
            </w:r>
          </w:p>
        </w:tc>
        <w:tc>
          <w:tcPr>
            <w:tcW w:w="837" w:type="pct"/>
            <w:shd w:val="clear" w:color="auto" w:fill="auto"/>
            <w:noWrap/>
          </w:tcPr>
          <w:p w14:paraId="06E706ED" w14:textId="77777777" w:rsidR="005F6125" w:rsidRPr="00744A16" w:rsidRDefault="005F6125" w:rsidP="000250EE">
            <w:pPr>
              <w:pStyle w:val="af6"/>
              <w:ind w:leftChars="100" w:left="240" w:firstLine="74"/>
              <w:rPr>
                <w:szCs w:val="21"/>
              </w:rPr>
            </w:pPr>
            <w:r w:rsidRPr="00744A16">
              <w:rPr>
                <w:szCs w:val="21"/>
              </w:rPr>
              <w:t>(0.004)</w:t>
            </w:r>
          </w:p>
        </w:tc>
        <w:tc>
          <w:tcPr>
            <w:tcW w:w="1028" w:type="pct"/>
            <w:shd w:val="clear" w:color="auto" w:fill="auto"/>
            <w:noWrap/>
          </w:tcPr>
          <w:p w14:paraId="19B0BDEC" w14:textId="77777777" w:rsidR="005F6125" w:rsidRPr="00744A16" w:rsidRDefault="005F6125" w:rsidP="005F6125">
            <w:pPr>
              <w:pStyle w:val="af6"/>
              <w:ind w:leftChars="200" w:left="480" w:right="70" w:firstLine="74"/>
              <w:rPr>
                <w:szCs w:val="21"/>
              </w:rPr>
            </w:pPr>
            <w:r w:rsidRPr="00744A16">
              <w:rPr>
                <w:szCs w:val="21"/>
              </w:rPr>
              <w:t>(0.004</w:t>
            </w:r>
          </w:p>
        </w:tc>
      </w:tr>
      <w:tr w:rsidR="005F6125" w:rsidRPr="00744A16" w14:paraId="21C32BB6" w14:textId="77777777" w:rsidTr="00B32980">
        <w:trPr>
          <w:trHeight w:val="330"/>
          <w:jc w:val="center"/>
        </w:trPr>
        <w:tc>
          <w:tcPr>
            <w:tcW w:w="2299" w:type="pct"/>
            <w:vMerge w:val="restart"/>
            <w:shd w:val="clear" w:color="auto" w:fill="auto"/>
            <w:noWrap/>
            <w:vAlign w:val="center"/>
          </w:tcPr>
          <w:p w14:paraId="47BD8288" w14:textId="77777777" w:rsidR="005F6125" w:rsidRPr="00744A16" w:rsidRDefault="005F6125" w:rsidP="00940D4D">
            <w:pPr>
              <w:pStyle w:val="af6"/>
              <w:ind w:left="80" w:firstLine="0"/>
              <w:jc w:val="center"/>
              <w:rPr>
                <w:szCs w:val="22"/>
              </w:rPr>
            </w:pPr>
            <w:r w:rsidRPr="00744A16">
              <w:rPr>
                <w:szCs w:val="22"/>
              </w:rPr>
              <w:t>On-the-job training</w:t>
            </w:r>
          </w:p>
        </w:tc>
        <w:tc>
          <w:tcPr>
            <w:tcW w:w="835" w:type="pct"/>
            <w:shd w:val="clear" w:color="auto" w:fill="auto"/>
            <w:noWrap/>
            <w:vAlign w:val="bottom"/>
          </w:tcPr>
          <w:p w14:paraId="1FB5834D" w14:textId="77777777" w:rsidR="005F6125" w:rsidRPr="00744A16" w:rsidRDefault="005F6125" w:rsidP="000250EE">
            <w:pPr>
              <w:pStyle w:val="af6"/>
              <w:ind w:leftChars="100" w:left="240" w:firstLine="0"/>
              <w:jc w:val="both"/>
              <w:rPr>
                <w:szCs w:val="21"/>
              </w:rPr>
            </w:pPr>
            <w:r w:rsidRPr="00744A16">
              <w:rPr>
                <w:szCs w:val="21"/>
              </w:rPr>
              <w:t>-0.017***</w:t>
            </w:r>
          </w:p>
        </w:tc>
        <w:tc>
          <w:tcPr>
            <w:tcW w:w="837" w:type="pct"/>
            <w:shd w:val="clear" w:color="auto" w:fill="auto"/>
            <w:noWrap/>
            <w:vAlign w:val="bottom"/>
          </w:tcPr>
          <w:p w14:paraId="34A75E3D" w14:textId="77777777" w:rsidR="005F6125" w:rsidRPr="00744A16" w:rsidRDefault="005F6125" w:rsidP="000250EE">
            <w:pPr>
              <w:pStyle w:val="af6"/>
              <w:ind w:leftChars="100" w:left="240" w:firstLine="74"/>
              <w:jc w:val="both"/>
              <w:rPr>
                <w:szCs w:val="21"/>
              </w:rPr>
            </w:pPr>
            <w:r w:rsidRPr="00744A16">
              <w:rPr>
                <w:szCs w:val="21"/>
              </w:rPr>
              <w:t>-0.023***</w:t>
            </w:r>
          </w:p>
        </w:tc>
        <w:tc>
          <w:tcPr>
            <w:tcW w:w="1028" w:type="pct"/>
            <w:shd w:val="clear" w:color="auto" w:fill="auto"/>
            <w:noWrap/>
            <w:vAlign w:val="bottom"/>
          </w:tcPr>
          <w:p w14:paraId="3C624A24" w14:textId="57636B0E" w:rsidR="005F6125" w:rsidRPr="002F73E4" w:rsidRDefault="005F6125" w:rsidP="005F6125">
            <w:pPr>
              <w:pStyle w:val="af6"/>
              <w:ind w:leftChars="200" w:left="480" w:right="70" w:firstLine="74"/>
              <w:jc w:val="both"/>
              <w:rPr>
                <w:color w:val="000000" w:themeColor="text1"/>
                <w:szCs w:val="21"/>
              </w:rPr>
            </w:pPr>
            <w:r w:rsidRPr="002F73E4">
              <w:rPr>
                <w:rFonts w:asciiTheme="minorEastAsia" w:eastAsiaTheme="minorEastAsia" w:hAnsiTheme="minorEastAsia" w:hint="eastAsia"/>
                <w:color w:val="000000" w:themeColor="text1"/>
                <w:szCs w:val="21"/>
                <w:lang w:eastAsia="zh-TW"/>
              </w:rPr>
              <w:t>-</w:t>
            </w:r>
            <w:r w:rsidRPr="002F73E4">
              <w:rPr>
                <w:color w:val="000000" w:themeColor="text1"/>
                <w:szCs w:val="21"/>
              </w:rPr>
              <w:t>0.007***</w:t>
            </w:r>
          </w:p>
        </w:tc>
      </w:tr>
      <w:tr w:rsidR="005F6125" w:rsidRPr="00744A16" w14:paraId="6BC9534E" w14:textId="77777777" w:rsidTr="00B32980">
        <w:trPr>
          <w:trHeight w:val="330"/>
          <w:jc w:val="center"/>
        </w:trPr>
        <w:tc>
          <w:tcPr>
            <w:tcW w:w="2299" w:type="pct"/>
            <w:vMerge/>
            <w:shd w:val="clear" w:color="auto" w:fill="auto"/>
            <w:noWrap/>
            <w:vAlign w:val="center"/>
          </w:tcPr>
          <w:p w14:paraId="5770966B" w14:textId="77777777" w:rsidR="005F6125" w:rsidRPr="00744A16" w:rsidRDefault="005F6125" w:rsidP="00940D4D">
            <w:pPr>
              <w:pStyle w:val="af6"/>
              <w:ind w:left="80" w:right="70" w:firstLine="0"/>
              <w:jc w:val="center"/>
              <w:rPr>
                <w:szCs w:val="22"/>
              </w:rPr>
            </w:pPr>
          </w:p>
        </w:tc>
        <w:tc>
          <w:tcPr>
            <w:tcW w:w="835" w:type="pct"/>
            <w:shd w:val="clear" w:color="auto" w:fill="auto"/>
            <w:noWrap/>
          </w:tcPr>
          <w:p w14:paraId="71529563" w14:textId="77777777" w:rsidR="005F6125" w:rsidRPr="00744A16" w:rsidRDefault="005F6125" w:rsidP="000250EE">
            <w:pPr>
              <w:pStyle w:val="af6"/>
              <w:ind w:leftChars="100" w:left="240" w:firstLine="74"/>
              <w:rPr>
                <w:szCs w:val="21"/>
              </w:rPr>
            </w:pPr>
            <w:r w:rsidRPr="00744A16">
              <w:rPr>
                <w:szCs w:val="21"/>
              </w:rPr>
              <w:t>(0.004)</w:t>
            </w:r>
          </w:p>
        </w:tc>
        <w:tc>
          <w:tcPr>
            <w:tcW w:w="837" w:type="pct"/>
            <w:shd w:val="clear" w:color="auto" w:fill="auto"/>
            <w:noWrap/>
          </w:tcPr>
          <w:p w14:paraId="2F6DA52B" w14:textId="77777777" w:rsidR="005F6125" w:rsidRPr="00744A16" w:rsidRDefault="005F6125" w:rsidP="000250EE">
            <w:pPr>
              <w:pStyle w:val="af6"/>
              <w:ind w:leftChars="100" w:left="240" w:firstLine="74"/>
              <w:rPr>
                <w:szCs w:val="21"/>
              </w:rPr>
            </w:pPr>
            <w:r w:rsidRPr="00744A16">
              <w:rPr>
                <w:szCs w:val="21"/>
              </w:rPr>
              <w:t>(0.004)</w:t>
            </w:r>
          </w:p>
        </w:tc>
        <w:tc>
          <w:tcPr>
            <w:tcW w:w="1028" w:type="pct"/>
            <w:shd w:val="clear" w:color="auto" w:fill="auto"/>
            <w:noWrap/>
          </w:tcPr>
          <w:p w14:paraId="15B21481" w14:textId="77777777" w:rsidR="005F6125" w:rsidRPr="00744A16" w:rsidRDefault="005F6125" w:rsidP="005F6125">
            <w:pPr>
              <w:pStyle w:val="af6"/>
              <w:ind w:leftChars="200" w:left="480" w:right="70" w:firstLine="74"/>
              <w:rPr>
                <w:szCs w:val="21"/>
              </w:rPr>
            </w:pPr>
            <w:r w:rsidRPr="00744A16">
              <w:rPr>
                <w:szCs w:val="21"/>
              </w:rPr>
              <w:t>(0.004)</w:t>
            </w:r>
          </w:p>
        </w:tc>
      </w:tr>
      <w:tr w:rsidR="005F6125" w:rsidRPr="00744A16" w14:paraId="78206AA3" w14:textId="77777777" w:rsidTr="00B32980">
        <w:trPr>
          <w:trHeight w:val="300"/>
          <w:jc w:val="center"/>
        </w:trPr>
        <w:tc>
          <w:tcPr>
            <w:tcW w:w="2299" w:type="pct"/>
            <w:vMerge w:val="restart"/>
            <w:shd w:val="clear" w:color="auto" w:fill="auto"/>
            <w:noWrap/>
            <w:vAlign w:val="center"/>
          </w:tcPr>
          <w:p w14:paraId="258DCB40" w14:textId="77777777" w:rsidR="005F6125" w:rsidRPr="00744A16" w:rsidRDefault="005F6125" w:rsidP="00940D4D">
            <w:pPr>
              <w:pStyle w:val="af6"/>
              <w:ind w:left="80" w:right="70" w:firstLine="0"/>
              <w:jc w:val="center"/>
              <w:rPr>
                <w:szCs w:val="22"/>
              </w:rPr>
            </w:pPr>
            <w:r w:rsidRPr="00744A16">
              <w:rPr>
                <w:szCs w:val="22"/>
              </w:rPr>
              <w:t>Size</w:t>
            </w:r>
          </w:p>
        </w:tc>
        <w:tc>
          <w:tcPr>
            <w:tcW w:w="835" w:type="pct"/>
            <w:shd w:val="clear" w:color="auto" w:fill="auto"/>
            <w:noWrap/>
            <w:vAlign w:val="bottom"/>
          </w:tcPr>
          <w:p w14:paraId="6730B406" w14:textId="77777777" w:rsidR="005F6125" w:rsidRPr="00744A16" w:rsidRDefault="005F6125" w:rsidP="000250EE">
            <w:pPr>
              <w:pStyle w:val="af6"/>
              <w:ind w:leftChars="100" w:left="240" w:firstLine="74"/>
              <w:jc w:val="both"/>
              <w:rPr>
                <w:szCs w:val="21"/>
              </w:rPr>
            </w:pPr>
            <w:r w:rsidRPr="00744A16">
              <w:rPr>
                <w:szCs w:val="21"/>
              </w:rPr>
              <w:t>-0.003*</w:t>
            </w:r>
          </w:p>
        </w:tc>
        <w:tc>
          <w:tcPr>
            <w:tcW w:w="837" w:type="pct"/>
            <w:shd w:val="clear" w:color="auto" w:fill="auto"/>
            <w:noWrap/>
            <w:vAlign w:val="bottom"/>
          </w:tcPr>
          <w:p w14:paraId="455C240D" w14:textId="77777777" w:rsidR="005F6125" w:rsidRPr="00744A16" w:rsidRDefault="005F6125" w:rsidP="000250EE">
            <w:pPr>
              <w:pStyle w:val="af6"/>
              <w:ind w:leftChars="100" w:left="240" w:firstLine="74"/>
              <w:jc w:val="both"/>
              <w:rPr>
                <w:szCs w:val="21"/>
              </w:rPr>
            </w:pPr>
            <w:r w:rsidRPr="00744A16">
              <w:rPr>
                <w:szCs w:val="21"/>
              </w:rPr>
              <w:t>-0.007***</w:t>
            </w:r>
          </w:p>
        </w:tc>
        <w:tc>
          <w:tcPr>
            <w:tcW w:w="1028" w:type="pct"/>
            <w:shd w:val="clear" w:color="auto" w:fill="auto"/>
            <w:noWrap/>
            <w:vAlign w:val="bottom"/>
          </w:tcPr>
          <w:p w14:paraId="779A5E4B" w14:textId="77777777" w:rsidR="005F6125" w:rsidRPr="00744A16" w:rsidRDefault="005F6125" w:rsidP="005F6125">
            <w:pPr>
              <w:pStyle w:val="af6"/>
              <w:ind w:leftChars="200" w:left="480" w:right="70" w:firstLine="74"/>
              <w:jc w:val="both"/>
              <w:rPr>
                <w:szCs w:val="21"/>
              </w:rPr>
            </w:pPr>
            <w:r w:rsidRPr="00744A16">
              <w:rPr>
                <w:szCs w:val="21"/>
              </w:rPr>
              <w:t>-0.007***</w:t>
            </w:r>
          </w:p>
        </w:tc>
      </w:tr>
      <w:tr w:rsidR="005F6125" w:rsidRPr="00744A16" w14:paraId="75B8EDEC" w14:textId="77777777" w:rsidTr="00B32980">
        <w:trPr>
          <w:trHeight w:val="283"/>
          <w:jc w:val="center"/>
        </w:trPr>
        <w:tc>
          <w:tcPr>
            <w:tcW w:w="2299" w:type="pct"/>
            <w:vMerge/>
            <w:shd w:val="clear" w:color="auto" w:fill="auto"/>
            <w:noWrap/>
            <w:vAlign w:val="center"/>
          </w:tcPr>
          <w:p w14:paraId="0EA7F81D" w14:textId="77777777" w:rsidR="005F6125" w:rsidRPr="00744A16" w:rsidRDefault="005F6125" w:rsidP="00940D4D">
            <w:pPr>
              <w:pStyle w:val="af6"/>
              <w:ind w:left="80" w:right="70" w:firstLine="0"/>
              <w:jc w:val="center"/>
              <w:rPr>
                <w:szCs w:val="22"/>
              </w:rPr>
            </w:pPr>
          </w:p>
        </w:tc>
        <w:tc>
          <w:tcPr>
            <w:tcW w:w="835" w:type="pct"/>
            <w:shd w:val="clear" w:color="auto" w:fill="auto"/>
            <w:noWrap/>
          </w:tcPr>
          <w:p w14:paraId="03316214" w14:textId="77777777" w:rsidR="005F6125" w:rsidRPr="00744A16" w:rsidRDefault="005F6125" w:rsidP="000250EE">
            <w:pPr>
              <w:pStyle w:val="af6"/>
              <w:ind w:leftChars="100" w:left="240" w:firstLine="74"/>
              <w:rPr>
                <w:szCs w:val="21"/>
              </w:rPr>
            </w:pPr>
            <w:r w:rsidRPr="00744A16">
              <w:rPr>
                <w:szCs w:val="21"/>
              </w:rPr>
              <w:t>(0.002)</w:t>
            </w:r>
          </w:p>
        </w:tc>
        <w:tc>
          <w:tcPr>
            <w:tcW w:w="837" w:type="pct"/>
            <w:shd w:val="clear" w:color="auto" w:fill="auto"/>
            <w:noWrap/>
          </w:tcPr>
          <w:p w14:paraId="57D0B910" w14:textId="77777777" w:rsidR="005F6125" w:rsidRPr="00744A16" w:rsidRDefault="005F6125" w:rsidP="000250EE">
            <w:pPr>
              <w:pStyle w:val="af6"/>
              <w:ind w:leftChars="100" w:left="240" w:firstLine="74"/>
              <w:rPr>
                <w:szCs w:val="21"/>
              </w:rPr>
            </w:pPr>
            <w:r w:rsidRPr="00744A16">
              <w:rPr>
                <w:szCs w:val="21"/>
              </w:rPr>
              <w:t>(0.002)</w:t>
            </w:r>
          </w:p>
        </w:tc>
        <w:tc>
          <w:tcPr>
            <w:tcW w:w="1028" w:type="pct"/>
            <w:shd w:val="clear" w:color="auto" w:fill="auto"/>
            <w:noWrap/>
          </w:tcPr>
          <w:p w14:paraId="449726D1" w14:textId="77777777" w:rsidR="005F6125" w:rsidRPr="00744A16" w:rsidRDefault="005F6125" w:rsidP="005F6125">
            <w:pPr>
              <w:pStyle w:val="af6"/>
              <w:ind w:leftChars="200" w:left="480" w:right="70" w:firstLine="74"/>
              <w:rPr>
                <w:szCs w:val="21"/>
              </w:rPr>
            </w:pPr>
            <w:r w:rsidRPr="00744A16">
              <w:rPr>
                <w:szCs w:val="21"/>
              </w:rPr>
              <w:t>(0.002)</w:t>
            </w:r>
          </w:p>
        </w:tc>
      </w:tr>
      <w:tr w:rsidR="005F6125" w:rsidRPr="00744A16" w14:paraId="1F2D1360" w14:textId="77777777" w:rsidTr="00B32980">
        <w:trPr>
          <w:trHeight w:val="300"/>
          <w:jc w:val="center"/>
        </w:trPr>
        <w:tc>
          <w:tcPr>
            <w:tcW w:w="2299" w:type="pct"/>
            <w:vMerge w:val="restart"/>
            <w:shd w:val="clear" w:color="auto" w:fill="auto"/>
            <w:noWrap/>
            <w:vAlign w:val="center"/>
          </w:tcPr>
          <w:p w14:paraId="528C7A4F" w14:textId="77777777" w:rsidR="005F6125" w:rsidRPr="00744A16" w:rsidRDefault="005F6125" w:rsidP="00940D4D">
            <w:pPr>
              <w:pStyle w:val="af6"/>
              <w:ind w:left="80" w:right="70" w:firstLine="0"/>
              <w:jc w:val="center"/>
              <w:rPr>
                <w:szCs w:val="22"/>
              </w:rPr>
            </w:pPr>
            <w:r w:rsidRPr="00744A16">
              <w:rPr>
                <w:szCs w:val="22"/>
              </w:rPr>
              <w:t>Leverage</w:t>
            </w:r>
          </w:p>
        </w:tc>
        <w:tc>
          <w:tcPr>
            <w:tcW w:w="835" w:type="pct"/>
            <w:shd w:val="clear" w:color="auto" w:fill="auto"/>
            <w:noWrap/>
            <w:vAlign w:val="bottom"/>
          </w:tcPr>
          <w:p w14:paraId="295DBC65" w14:textId="77777777" w:rsidR="005F6125" w:rsidRPr="00744A16" w:rsidRDefault="005F6125" w:rsidP="000250EE">
            <w:pPr>
              <w:pStyle w:val="af6"/>
              <w:ind w:leftChars="100" w:left="240" w:firstLine="0"/>
              <w:jc w:val="both"/>
              <w:rPr>
                <w:szCs w:val="21"/>
              </w:rPr>
            </w:pPr>
            <w:r w:rsidRPr="00744A16">
              <w:rPr>
                <w:szCs w:val="21"/>
              </w:rPr>
              <w:t>-0.054***</w:t>
            </w:r>
          </w:p>
        </w:tc>
        <w:tc>
          <w:tcPr>
            <w:tcW w:w="837" w:type="pct"/>
            <w:shd w:val="clear" w:color="auto" w:fill="auto"/>
            <w:noWrap/>
            <w:vAlign w:val="bottom"/>
          </w:tcPr>
          <w:p w14:paraId="092793FC" w14:textId="77777777" w:rsidR="005F6125" w:rsidRPr="00744A16" w:rsidRDefault="005F6125" w:rsidP="000250EE">
            <w:pPr>
              <w:pStyle w:val="af6"/>
              <w:ind w:leftChars="100" w:left="240" w:firstLine="74"/>
              <w:jc w:val="both"/>
              <w:rPr>
                <w:szCs w:val="21"/>
              </w:rPr>
            </w:pPr>
            <w:r w:rsidRPr="00744A16">
              <w:rPr>
                <w:szCs w:val="21"/>
              </w:rPr>
              <w:t>-0.052***</w:t>
            </w:r>
          </w:p>
        </w:tc>
        <w:tc>
          <w:tcPr>
            <w:tcW w:w="1028" w:type="pct"/>
            <w:shd w:val="clear" w:color="auto" w:fill="auto"/>
            <w:noWrap/>
            <w:vAlign w:val="bottom"/>
          </w:tcPr>
          <w:p w14:paraId="101C0D0B" w14:textId="77777777" w:rsidR="005F6125" w:rsidRPr="00744A16" w:rsidRDefault="005F6125" w:rsidP="005F6125">
            <w:pPr>
              <w:pStyle w:val="af6"/>
              <w:ind w:leftChars="200" w:left="480" w:right="70" w:firstLine="74"/>
              <w:jc w:val="both"/>
              <w:rPr>
                <w:szCs w:val="21"/>
              </w:rPr>
            </w:pPr>
            <w:r w:rsidRPr="00744A16">
              <w:rPr>
                <w:szCs w:val="21"/>
              </w:rPr>
              <w:t>0.051***</w:t>
            </w:r>
          </w:p>
        </w:tc>
      </w:tr>
      <w:tr w:rsidR="005F6125" w:rsidRPr="00744A16" w14:paraId="48681FF7" w14:textId="77777777" w:rsidTr="00B32980">
        <w:trPr>
          <w:trHeight w:val="300"/>
          <w:jc w:val="center"/>
        </w:trPr>
        <w:tc>
          <w:tcPr>
            <w:tcW w:w="2299" w:type="pct"/>
            <w:vMerge/>
            <w:shd w:val="clear" w:color="auto" w:fill="auto"/>
            <w:noWrap/>
            <w:vAlign w:val="center"/>
          </w:tcPr>
          <w:p w14:paraId="1F4CFC14" w14:textId="77777777" w:rsidR="005F6125" w:rsidRPr="00744A16" w:rsidRDefault="005F6125" w:rsidP="00940D4D">
            <w:pPr>
              <w:pStyle w:val="af6"/>
              <w:ind w:left="80" w:right="70" w:firstLine="0"/>
              <w:jc w:val="center"/>
              <w:rPr>
                <w:szCs w:val="22"/>
              </w:rPr>
            </w:pPr>
          </w:p>
        </w:tc>
        <w:tc>
          <w:tcPr>
            <w:tcW w:w="835" w:type="pct"/>
            <w:shd w:val="clear" w:color="auto" w:fill="auto"/>
            <w:noWrap/>
          </w:tcPr>
          <w:p w14:paraId="35CBE266" w14:textId="77777777" w:rsidR="005F6125" w:rsidRPr="00744A16" w:rsidRDefault="005F6125" w:rsidP="000250EE">
            <w:pPr>
              <w:pStyle w:val="af6"/>
              <w:ind w:leftChars="100" w:left="240" w:firstLine="74"/>
              <w:rPr>
                <w:szCs w:val="21"/>
              </w:rPr>
            </w:pPr>
            <w:r w:rsidRPr="00744A16">
              <w:rPr>
                <w:szCs w:val="21"/>
              </w:rPr>
              <w:t>(0.015)</w:t>
            </w:r>
          </w:p>
        </w:tc>
        <w:tc>
          <w:tcPr>
            <w:tcW w:w="837" w:type="pct"/>
            <w:shd w:val="clear" w:color="auto" w:fill="auto"/>
            <w:noWrap/>
          </w:tcPr>
          <w:p w14:paraId="7FB00DE6" w14:textId="77777777" w:rsidR="005F6125" w:rsidRPr="00744A16" w:rsidRDefault="005F6125" w:rsidP="000250EE">
            <w:pPr>
              <w:pStyle w:val="af6"/>
              <w:ind w:leftChars="100" w:left="240" w:firstLine="74"/>
              <w:rPr>
                <w:szCs w:val="21"/>
              </w:rPr>
            </w:pPr>
            <w:r w:rsidRPr="00744A16">
              <w:rPr>
                <w:szCs w:val="21"/>
              </w:rPr>
              <w:t>(0.015)</w:t>
            </w:r>
          </w:p>
        </w:tc>
        <w:tc>
          <w:tcPr>
            <w:tcW w:w="1028" w:type="pct"/>
            <w:shd w:val="clear" w:color="auto" w:fill="auto"/>
            <w:noWrap/>
          </w:tcPr>
          <w:p w14:paraId="7392237B" w14:textId="77777777" w:rsidR="005F6125" w:rsidRPr="00744A16" w:rsidRDefault="005F6125" w:rsidP="005F6125">
            <w:pPr>
              <w:pStyle w:val="af6"/>
              <w:ind w:leftChars="200" w:left="480" w:right="70" w:firstLine="74"/>
              <w:rPr>
                <w:szCs w:val="21"/>
              </w:rPr>
            </w:pPr>
            <w:r w:rsidRPr="00744A16">
              <w:rPr>
                <w:szCs w:val="21"/>
              </w:rPr>
              <w:t>(0.015)</w:t>
            </w:r>
          </w:p>
        </w:tc>
      </w:tr>
      <w:tr w:rsidR="005F6125" w:rsidRPr="00744A16" w14:paraId="7BC7F5F8" w14:textId="77777777" w:rsidTr="00B32980">
        <w:trPr>
          <w:trHeight w:val="300"/>
          <w:jc w:val="center"/>
        </w:trPr>
        <w:tc>
          <w:tcPr>
            <w:tcW w:w="2299" w:type="pct"/>
            <w:shd w:val="clear" w:color="auto" w:fill="auto"/>
            <w:noWrap/>
            <w:vAlign w:val="center"/>
          </w:tcPr>
          <w:p w14:paraId="5D9F315A" w14:textId="77777777" w:rsidR="005F6125" w:rsidRPr="00744A16" w:rsidRDefault="005F6125" w:rsidP="00940D4D">
            <w:pPr>
              <w:pStyle w:val="af6"/>
              <w:ind w:left="80" w:right="70" w:firstLine="0"/>
              <w:jc w:val="center"/>
              <w:rPr>
                <w:szCs w:val="22"/>
              </w:rPr>
            </w:pPr>
            <w:r w:rsidRPr="00744A16">
              <w:rPr>
                <w:szCs w:val="22"/>
              </w:rPr>
              <w:t>GDP absolute</w:t>
            </w:r>
          </w:p>
        </w:tc>
        <w:tc>
          <w:tcPr>
            <w:tcW w:w="835" w:type="pct"/>
            <w:shd w:val="clear" w:color="auto" w:fill="auto"/>
            <w:noWrap/>
            <w:vAlign w:val="bottom"/>
          </w:tcPr>
          <w:p w14:paraId="775B9103" w14:textId="77777777" w:rsidR="005F6125" w:rsidRPr="00744A16" w:rsidRDefault="005F6125" w:rsidP="000250EE">
            <w:pPr>
              <w:pStyle w:val="af6"/>
              <w:ind w:leftChars="100" w:left="240" w:firstLine="74"/>
              <w:jc w:val="both"/>
              <w:rPr>
                <w:szCs w:val="21"/>
              </w:rPr>
            </w:pPr>
            <w:r w:rsidRPr="00744A16">
              <w:rPr>
                <w:szCs w:val="21"/>
              </w:rPr>
              <w:t>0.000***</w:t>
            </w:r>
          </w:p>
        </w:tc>
        <w:tc>
          <w:tcPr>
            <w:tcW w:w="837" w:type="pct"/>
            <w:shd w:val="clear" w:color="auto" w:fill="auto"/>
            <w:noWrap/>
            <w:vAlign w:val="bottom"/>
          </w:tcPr>
          <w:p w14:paraId="6D55168C" w14:textId="77777777" w:rsidR="005F6125" w:rsidRPr="00744A16" w:rsidRDefault="005F6125" w:rsidP="000250EE">
            <w:pPr>
              <w:pStyle w:val="af6"/>
              <w:ind w:leftChars="100" w:left="240" w:firstLine="74"/>
              <w:jc w:val="both"/>
              <w:rPr>
                <w:szCs w:val="21"/>
              </w:rPr>
            </w:pPr>
            <w:r w:rsidRPr="00744A16">
              <w:rPr>
                <w:szCs w:val="21"/>
              </w:rPr>
              <w:t>0.000**</w:t>
            </w:r>
          </w:p>
        </w:tc>
        <w:tc>
          <w:tcPr>
            <w:tcW w:w="1028" w:type="pct"/>
            <w:shd w:val="clear" w:color="auto" w:fill="auto"/>
            <w:noWrap/>
            <w:vAlign w:val="bottom"/>
          </w:tcPr>
          <w:p w14:paraId="10D5F941" w14:textId="77777777" w:rsidR="005F6125" w:rsidRPr="00744A16" w:rsidRDefault="005F6125" w:rsidP="005F6125">
            <w:pPr>
              <w:pStyle w:val="af6"/>
              <w:ind w:leftChars="200" w:left="480" w:right="70" w:firstLine="74"/>
              <w:jc w:val="both"/>
              <w:rPr>
                <w:szCs w:val="21"/>
              </w:rPr>
            </w:pPr>
            <w:r w:rsidRPr="00744A16">
              <w:rPr>
                <w:szCs w:val="21"/>
              </w:rPr>
              <w:t>0.000**</w:t>
            </w:r>
          </w:p>
        </w:tc>
      </w:tr>
      <w:tr w:rsidR="005F6125" w:rsidRPr="00744A16" w14:paraId="5AFF8E35" w14:textId="77777777" w:rsidTr="00B32980">
        <w:trPr>
          <w:trHeight w:val="300"/>
          <w:jc w:val="center"/>
        </w:trPr>
        <w:tc>
          <w:tcPr>
            <w:tcW w:w="2299" w:type="pct"/>
            <w:shd w:val="clear" w:color="auto" w:fill="auto"/>
            <w:noWrap/>
            <w:vAlign w:val="center"/>
          </w:tcPr>
          <w:p w14:paraId="4134369C" w14:textId="77777777" w:rsidR="005F6125" w:rsidRPr="00744A16" w:rsidRDefault="005F6125" w:rsidP="00940D4D">
            <w:pPr>
              <w:pStyle w:val="af6"/>
              <w:ind w:left="80" w:right="70" w:firstLine="0"/>
              <w:jc w:val="center"/>
              <w:rPr>
                <w:szCs w:val="22"/>
              </w:rPr>
            </w:pPr>
            <w:r w:rsidRPr="00744A16">
              <w:rPr>
                <w:szCs w:val="22"/>
              </w:rPr>
              <w:t>p value</w:t>
            </w:r>
          </w:p>
        </w:tc>
        <w:tc>
          <w:tcPr>
            <w:tcW w:w="835" w:type="pct"/>
            <w:shd w:val="clear" w:color="auto" w:fill="auto"/>
            <w:noWrap/>
          </w:tcPr>
          <w:p w14:paraId="6103DCC7" w14:textId="77777777" w:rsidR="005F6125" w:rsidRPr="00744A16" w:rsidRDefault="005F6125" w:rsidP="000250EE">
            <w:pPr>
              <w:pStyle w:val="af6"/>
              <w:ind w:leftChars="100" w:left="240" w:firstLine="74"/>
              <w:rPr>
                <w:szCs w:val="21"/>
              </w:rPr>
            </w:pPr>
            <w:r w:rsidRPr="00744A16">
              <w:rPr>
                <w:szCs w:val="21"/>
              </w:rPr>
              <w:t>(0.000</w:t>
            </w:r>
          </w:p>
        </w:tc>
        <w:tc>
          <w:tcPr>
            <w:tcW w:w="837" w:type="pct"/>
            <w:shd w:val="clear" w:color="auto" w:fill="auto"/>
            <w:noWrap/>
          </w:tcPr>
          <w:p w14:paraId="784EE4DE" w14:textId="77777777" w:rsidR="005F6125" w:rsidRPr="00744A16" w:rsidRDefault="005F6125" w:rsidP="000250EE">
            <w:pPr>
              <w:pStyle w:val="af6"/>
              <w:ind w:leftChars="100" w:left="240" w:firstLine="74"/>
              <w:rPr>
                <w:szCs w:val="21"/>
              </w:rPr>
            </w:pPr>
            <w:r w:rsidRPr="00744A16">
              <w:rPr>
                <w:szCs w:val="21"/>
              </w:rPr>
              <w:t>(0.000</w:t>
            </w:r>
          </w:p>
        </w:tc>
        <w:tc>
          <w:tcPr>
            <w:tcW w:w="1028" w:type="pct"/>
            <w:shd w:val="clear" w:color="auto" w:fill="auto"/>
            <w:noWrap/>
          </w:tcPr>
          <w:p w14:paraId="259EDFE1" w14:textId="77777777" w:rsidR="005F6125" w:rsidRPr="00744A16" w:rsidRDefault="005F6125" w:rsidP="005F6125">
            <w:pPr>
              <w:pStyle w:val="af6"/>
              <w:ind w:leftChars="200" w:left="480" w:right="70" w:firstLine="74"/>
              <w:rPr>
                <w:szCs w:val="21"/>
              </w:rPr>
            </w:pPr>
            <w:r w:rsidRPr="00744A16">
              <w:rPr>
                <w:szCs w:val="21"/>
              </w:rPr>
              <w:t>(0.000</w:t>
            </w:r>
          </w:p>
        </w:tc>
      </w:tr>
      <w:tr w:rsidR="005F6125" w:rsidRPr="00744A16" w14:paraId="4ABFC8C3" w14:textId="77777777" w:rsidTr="00B32980">
        <w:trPr>
          <w:trHeight w:val="300"/>
          <w:jc w:val="center"/>
        </w:trPr>
        <w:tc>
          <w:tcPr>
            <w:tcW w:w="2299" w:type="pct"/>
            <w:vMerge w:val="restart"/>
            <w:shd w:val="clear" w:color="auto" w:fill="auto"/>
            <w:noWrap/>
            <w:vAlign w:val="center"/>
          </w:tcPr>
          <w:p w14:paraId="18FF6E6F" w14:textId="77777777" w:rsidR="005F6125" w:rsidRPr="00744A16" w:rsidRDefault="005F6125" w:rsidP="00940D4D">
            <w:pPr>
              <w:pStyle w:val="af6"/>
              <w:ind w:left="80" w:right="70" w:firstLine="0"/>
              <w:jc w:val="center"/>
              <w:rPr>
                <w:szCs w:val="22"/>
              </w:rPr>
            </w:pPr>
            <w:r w:rsidRPr="00744A16">
              <w:rPr>
                <w:szCs w:val="22"/>
              </w:rPr>
              <w:t>GDP annual growth</w:t>
            </w:r>
          </w:p>
        </w:tc>
        <w:tc>
          <w:tcPr>
            <w:tcW w:w="835" w:type="pct"/>
            <w:shd w:val="clear" w:color="auto" w:fill="auto"/>
            <w:noWrap/>
            <w:vAlign w:val="bottom"/>
          </w:tcPr>
          <w:p w14:paraId="16E42142" w14:textId="77777777" w:rsidR="005F6125" w:rsidRPr="00744A16" w:rsidRDefault="005F6125" w:rsidP="000250EE">
            <w:pPr>
              <w:pStyle w:val="af6"/>
              <w:ind w:leftChars="100" w:left="240" w:firstLine="74"/>
              <w:jc w:val="both"/>
              <w:rPr>
                <w:szCs w:val="21"/>
              </w:rPr>
            </w:pPr>
            <w:r w:rsidRPr="00744A16">
              <w:rPr>
                <w:szCs w:val="21"/>
              </w:rPr>
              <w:t>0.001***</w:t>
            </w:r>
          </w:p>
        </w:tc>
        <w:tc>
          <w:tcPr>
            <w:tcW w:w="837" w:type="pct"/>
            <w:shd w:val="clear" w:color="auto" w:fill="auto"/>
            <w:noWrap/>
            <w:vAlign w:val="bottom"/>
          </w:tcPr>
          <w:p w14:paraId="53B8FAF9" w14:textId="77777777" w:rsidR="005F6125" w:rsidRPr="00744A16" w:rsidRDefault="005F6125" w:rsidP="000250EE">
            <w:pPr>
              <w:pStyle w:val="af6"/>
              <w:ind w:leftChars="100" w:left="240" w:firstLine="74"/>
              <w:jc w:val="both"/>
              <w:rPr>
                <w:szCs w:val="21"/>
              </w:rPr>
            </w:pPr>
            <w:r w:rsidRPr="00744A16">
              <w:rPr>
                <w:szCs w:val="21"/>
              </w:rPr>
              <w:t>0.002***</w:t>
            </w:r>
          </w:p>
        </w:tc>
        <w:tc>
          <w:tcPr>
            <w:tcW w:w="1028" w:type="pct"/>
            <w:shd w:val="clear" w:color="auto" w:fill="auto"/>
            <w:noWrap/>
            <w:vAlign w:val="bottom"/>
          </w:tcPr>
          <w:p w14:paraId="418C9F15" w14:textId="77777777" w:rsidR="005F6125" w:rsidRPr="00744A16" w:rsidRDefault="005F6125" w:rsidP="005F6125">
            <w:pPr>
              <w:pStyle w:val="af6"/>
              <w:ind w:leftChars="200" w:left="480" w:right="70" w:firstLine="74"/>
              <w:jc w:val="both"/>
              <w:rPr>
                <w:szCs w:val="21"/>
              </w:rPr>
            </w:pPr>
            <w:r w:rsidRPr="00744A16">
              <w:rPr>
                <w:szCs w:val="21"/>
              </w:rPr>
              <w:t>0.002***</w:t>
            </w:r>
          </w:p>
        </w:tc>
      </w:tr>
      <w:tr w:rsidR="005F6125" w:rsidRPr="00744A16" w14:paraId="5EECB8E9" w14:textId="77777777" w:rsidTr="00B32980">
        <w:trPr>
          <w:trHeight w:val="300"/>
          <w:jc w:val="center"/>
        </w:trPr>
        <w:tc>
          <w:tcPr>
            <w:tcW w:w="2299" w:type="pct"/>
            <w:vMerge/>
            <w:shd w:val="clear" w:color="auto" w:fill="auto"/>
            <w:noWrap/>
            <w:vAlign w:val="center"/>
          </w:tcPr>
          <w:p w14:paraId="3A85BC67" w14:textId="77777777" w:rsidR="005F6125" w:rsidRPr="00744A16" w:rsidRDefault="005F6125" w:rsidP="00940D4D">
            <w:pPr>
              <w:pStyle w:val="af6"/>
              <w:ind w:left="80" w:right="70" w:firstLine="0"/>
              <w:jc w:val="center"/>
              <w:rPr>
                <w:szCs w:val="22"/>
              </w:rPr>
            </w:pPr>
          </w:p>
        </w:tc>
        <w:tc>
          <w:tcPr>
            <w:tcW w:w="835" w:type="pct"/>
            <w:shd w:val="clear" w:color="auto" w:fill="auto"/>
            <w:noWrap/>
          </w:tcPr>
          <w:p w14:paraId="19CC18FB" w14:textId="77777777" w:rsidR="005F6125" w:rsidRPr="00744A16" w:rsidRDefault="005F6125" w:rsidP="000250EE">
            <w:pPr>
              <w:pStyle w:val="af6"/>
              <w:ind w:leftChars="100" w:left="240" w:firstLine="74"/>
              <w:rPr>
                <w:szCs w:val="21"/>
              </w:rPr>
            </w:pPr>
            <w:r w:rsidRPr="00744A16">
              <w:rPr>
                <w:szCs w:val="21"/>
              </w:rPr>
              <w:t>(0.000)</w:t>
            </w:r>
          </w:p>
        </w:tc>
        <w:tc>
          <w:tcPr>
            <w:tcW w:w="837" w:type="pct"/>
            <w:shd w:val="clear" w:color="auto" w:fill="auto"/>
            <w:noWrap/>
          </w:tcPr>
          <w:p w14:paraId="4AD1123D" w14:textId="77777777" w:rsidR="005F6125" w:rsidRPr="00744A16" w:rsidRDefault="005F6125" w:rsidP="000250EE">
            <w:pPr>
              <w:pStyle w:val="af6"/>
              <w:ind w:leftChars="100" w:left="240" w:firstLine="74"/>
              <w:rPr>
                <w:szCs w:val="21"/>
              </w:rPr>
            </w:pPr>
            <w:r w:rsidRPr="00744A16">
              <w:rPr>
                <w:szCs w:val="21"/>
              </w:rPr>
              <w:t>(0.000)</w:t>
            </w:r>
          </w:p>
        </w:tc>
        <w:tc>
          <w:tcPr>
            <w:tcW w:w="1028" w:type="pct"/>
            <w:shd w:val="clear" w:color="auto" w:fill="auto"/>
            <w:noWrap/>
          </w:tcPr>
          <w:p w14:paraId="3DD2E6CA" w14:textId="77777777" w:rsidR="005F6125" w:rsidRPr="00744A16" w:rsidRDefault="005F6125" w:rsidP="005F6125">
            <w:pPr>
              <w:pStyle w:val="af6"/>
              <w:ind w:leftChars="200" w:left="480" w:right="70" w:firstLine="74"/>
              <w:rPr>
                <w:szCs w:val="21"/>
              </w:rPr>
            </w:pPr>
            <w:r w:rsidRPr="00744A16">
              <w:rPr>
                <w:szCs w:val="21"/>
              </w:rPr>
              <w:t>(0.000)</w:t>
            </w:r>
          </w:p>
        </w:tc>
      </w:tr>
      <w:tr w:rsidR="005F6125" w:rsidRPr="00744A16" w14:paraId="2805A984" w14:textId="77777777" w:rsidTr="00B32980">
        <w:trPr>
          <w:trHeight w:val="300"/>
          <w:jc w:val="center"/>
        </w:trPr>
        <w:tc>
          <w:tcPr>
            <w:tcW w:w="2299" w:type="pct"/>
            <w:vMerge w:val="restart"/>
            <w:shd w:val="clear" w:color="auto" w:fill="auto"/>
            <w:noWrap/>
            <w:vAlign w:val="center"/>
          </w:tcPr>
          <w:p w14:paraId="3A7EA134" w14:textId="77777777" w:rsidR="005F6125" w:rsidRPr="00744A16" w:rsidRDefault="005F6125" w:rsidP="00940D4D">
            <w:pPr>
              <w:pStyle w:val="af6"/>
              <w:ind w:left="80" w:right="70" w:firstLine="0"/>
              <w:jc w:val="center"/>
              <w:rPr>
                <w:szCs w:val="22"/>
              </w:rPr>
            </w:pPr>
            <w:r w:rsidRPr="00744A16">
              <w:rPr>
                <w:szCs w:val="22"/>
              </w:rPr>
              <w:t>Constant</w:t>
            </w:r>
          </w:p>
        </w:tc>
        <w:tc>
          <w:tcPr>
            <w:tcW w:w="835" w:type="pct"/>
            <w:shd w:val="clear" w:color="auto" w:fill="auto"/>
            <w:noWrap/>
            <w:vAlign w:val="bottom"/>
          </w:tcPr>
          <w:p w14:paraId="0C9D0559" w14:textId="77777777" w:rsidR="005F6125" w:rsidRPr="00744A16" w:rsidRDefault="005F6125" w:rsidP="000250EE">
            <w:pPr>
              <w:pStyle w:val="af6"/>
              <w:ind w:leftChars="100" w:left="240" w:firstLine="74"/>
              <w:jc w:val="both"/>
              <w:rPr>
                <w:szCs w:val="21"/>
              </w:rPr>
            </w:pPr>
            <w:r w:rsidRPr="00744A16">
              <w:rPr>
                <w:szCs w:val="21"/>
              </w:rPr>
              <w:t>0.157***</w:t>
            </w:r>
          </w:p>
        </w:tc>
        <w:tc>
          <w:tcPr>
            <w:tcW w:w="837" w:type="pct"/>
            <w:shd w:val="clear" w:color="auto" w:fill="auto"/>
            <w:noWrap/>
            <w:vAlign w:val="bottom"/>
          </w:tcPr>
          <w:p w14:paraId="61BCF42D" w14:textId="77777777" w:rsidR="005F6125" w:rsidRPr="00744A16" w:rsidRDefault="005F6125" w:rsidP="000250EE">
            <w:pPr>
              <w:pStyle w:val="af6"/>
              <w:ind w:leftChars="100" w:left="240" w:firstLine="74"/>
              <w:jc w:val="both"/>
              <w:rPr>
                <w:szCs w:val="21"/>
              </w:rPr>
            </w:pPr>
            <w:r w:rsidRPr="00744A16">
              <w:rPr>
                <w:szCs w:val="21"/>
              </w:rPr>
              <w:t>0.178***</w:t>
            </w:r>
          </w:p>
        </w:tc>
        <w:tc>
          <w:tcPr>
            <w:tcW w:w="1028" w:type="pct"/>
            <w:shd w:val="clear" w:color="auto" w:fill="auto"/>
            <w:noWrap/>
            <w:vAlign w:val="bottom"/>
          </w:tcPr>
          <w:p w14:paraId="27E219D4" w14:textId="77777777" w:rsidR="005F6125" w:rsidRPr="00744A16" w:rsidRDefault="005F6125" w:rsidP="005F6125">
            <w:pPr>
              <w:pStyle w:val="af6"/>
              <w:ind w:leftChars="200" w:left="480" w:right="70" w:firstLine="74"/>
              <w:jc w:val="both"/>
              <w:rPr>
                <w:szCs w:val="21"/>
              </w:rPr>
            </w:pPr>
            <w:r w:rsidRPr="00744A16">
              <w:rPr>
                <w:szCs w:val="21"/>
              </w:rPr>
              <w:t>0.189***</w:t>
            </w:r>
          </w:p>
        </w:tc>
      </w:tr>
      <w:tr w:rsidR="005F6125" w:rsidRPr="00744A16" w14:paraId="7F04B71C" w14:textId="77777777" w:rsidTr="00B32980">
        <w:trPr>
          <w:trHeight w:val="300"/>
          <w:jc w:val="center"/>
        </w:trPr>
        <w:tc>
          <w:tcPr>
            <w:tcW w:w="2299" w:type="pct"/>
            <w:vMerge/>
            <w:shd w:val="clear" w:color="auto" w:fill="auto"/>
            <w:noWrap/>
            <w:vAlign w:val="center"/>
          </w:tcPr>
          <w:p w14:paraId="7C44FC13" w14:textId="77777777" w:rsidR="005F6125" w:rsidRPr="00744A16" w:rsidRDefault="005F6125" w:rsidP="00940D4D">
            <w:pPr>
              <w:pStyle w:val="af6"/>
              <w:ind w:left="80" w:right="70" w:firstLine="0"/>
              <w:jc w:val="center"/>
              <w:rPr>
                <w:szCs w:val="22"/>
              </w:rPr>
            </w:pPr>
          </w:p>
        </w:tc>
        <w:tc>
          <w:tcPr>
            <w:tcW w:w="835" w:type="pct"/>
            <w:shd w:val="clear" w:color="auto" w:fill="auto"/>
            <w:noWrap/>
          </w:tcPr>
          <w:p w14:paraId="4D2A9AF8" w14:textId="77777777" w:rsidR="005F6125" w:rsidRPr="00744A16" w:rsidRDefault="005F6125" w:rsidP="000250EE">
            <w:pPr>
              <w:pStyle w:val="af6"/>
              <w:ind w:leftChars="100" w:left="240" w:firstLine="74"/>
              <w:rPr>
                <w:szCs w:val="21"/>
              </w:rPr>
            </w:pPr>
            <w:r w:rsidRPr="00744A16">
              <w:rPr>
                <w:szCs w:val="21"/>
              </w:rPr>
              <w:t>(0.029)</w:t>
            </w:r>
          </w:p>
        </w:tc>
        <w:tc>
          <w:tcPr>
            <w:tcW w:w="837" w:type="pct"/>
            <w:shd w:val="clear" w:color="auto" w:fill="auto"/>
            <w:noWrap/>
          </w:tcPr>
          <w:p w14:paraId="5BBB836C" w14:textId="77777777" w:rsidR="005F6125" w:rsidRPr="00744A16" w:rsidRDefault="005F6125" w:rsidP="000250EE">
            <w:pPr>
              <w:pStyle w:val="af6"/>
              <w:ind w:leftChars="100" w:left="240" w:firstLine="74"/>
              <w:rPr>
                <w:szCs w:val="21"/>
              </w:rPr>
            </w:pPr>
            <w:r w:rsidRPr="00744A16">
              <w:rPr>
                <w:szCs w:val="21"/>
              </w:rPr>
              <w:t>(0.031)</w:t>
            </w:r>
          </w:p>
        </w:tc>
        <w:tc>
          <w:tcPr>
            <w:tcW w:w="1028" w:type="pct"/>
            <w:shd w:val="clear" w:color="auto" w:fill="auto"/>
            <w:noWrap/>
          </w:tcPr>
          <w:p w14:paraId="78E8334B" w14:textId="77777777" w:rsidR="005F6125" w:rsidRPr="00744A16" w:rsidRDefault="005F6125" w:rsidP="005F6125">
            <w:pPr>
              <w:pStyle w:val="af6"/>
              <w:ind w:leftChars="200" w:left="480" w:right="70" w:firstLine="74"/>
              <w:rPr>
                <w:szCs w:val="21"/>
              </w:rPr>
            </w:pPr>
            <w:r w:rsidRPr="00744A16">
              <w:rPr>
                <w:szCs w:val="21"/>
              </w:rPr>
              <w:t>(0.031)</w:t>
            </w:r>
          </w:p>
        </w:tc>
      </w:tr>
      <w:tr w:rsidR="005F6125" w:rsidRPr="00744A16" w14:paraId="2CB940B8" w14:textId="77777777" w:rsidTr="00B32980">
        <w:trPr>
          <w:trHeight w:val="300"/>
          <w:jc w:val="center"/>
        </w:trPr>
        <w:tc>
          <w:tcPr>
            <w:tcW w:w="2299" w:type="pct"/>
            <w:shd w:val="clear" w:color="auto" w:fill="auto"/>
            <w:noWrap/>
            <w:vAlign w:val="center"/>
          </w:tcPr>
          <w:p w14:paraId="72F1988B" w14:textId="77777777" w:rsidR="005F6125" w:rsidRPr="00744A16" w:rsidRDefault="005F6125" w:rsidP="005F6125">
            <w:pPr>
              <w:pStyle w:val="af6"/>
              <w:ind w:left="80" w:right="70" w:firstLine="0"/>
              <w:jc w:val="center"/>
              <w:rPr>
                <w:szCs w:val="22"/>
              </w:rPr>
            </w:pPr>
            <w:r w:rsidRPr="00744A16">
              <w:rPr>
                <w:szCs w:val="22"/>
              </w:rPr>
              <w:t>Industry dummies included</w:t>
            </w:r>
          </w:p>
        </w:tc>
        <w:tc>
          <w:tcPr>
            <w:tcW w:w="835" w:type="pct"/>
            <w:shd w:val="clear" w:color="auto" w:fill="auto"/>
            <w:noWrap/>
            <w:vAlign w:val="center"/>
          </w:tcPr>
          <w:p w14:paraId="7CC16F96" w14:textId="77777777" w:rsidR="005F6125" w:rsidRPr="00744A16" w:rsidRDefault="005F6125" w:rsidP="005F6125">
            <w:pPr>
              <w:pStyle w:val="af6"/>
              <w:ind w:firstLine="0"/>
              <w:jc w:val="center"/>
              <w:rPr>
                <w:szCs w:val="21"/>
              </w:rPr>
            </w:pPr>
            <w:r w:rsidRPr="00744A16">
              <w:rPr>
                <w:szCs w:val="21"/>
              </w:rPr>
              <w:t>YES</w:t>
            </w:r>
          </w:p>
        </w:tc>
        <w:tc>
          <w:tcPr>
            <w:tcW w:w="837" w:type="pct"/>
            <w:shd w:val="clear" w:color="auto" w:fill="auto"/>
            <w:noWrap/>
            <w:vAlign w:val="center"/>
          </w:tcPr>
          <w:p w14:paraId="4F4D5396" w14:textId="77777777" w:rsidR="005F6125" w:rsidRPr="00744A16" w:rsidRDefault="005F6125" w:rsidP="005F6125">
            <w:pPr>
              <w:pStyle w:val="af6"/>
              <w:ind w:firstLine="0"/>
              <w:jc w:val="center"/>
              <w:rPr>
                <w:szCs w:val="21"/>
              </w:rPr>
            </w:pPr>
            <w:r w:rsidRPr="00744A16">
              <w:rPr>
                <w:szCs w:val="21"/>
              </w:rPr>
              <w:t>YES</w:t>
            </w:r>
          </w:p>
        </w:tc>
        <w:tc>
          <w:tcPr>
            <w:tcW w:w="1028" w:type="pct"/>
            <w:shd w:val="clear" w:color="auto" w:fill="auto"/>
            <w:noWrap/>
            <w:vAlign w:val="center"/>
          </w:tcPr>
          <w:p w14:paraId="7BA965F4" w14:textId="77777777" w:rsidR="005F6125" w:rsidRPr="00744A16" w:rsidRDefault="005F6125" w:rsidP="005F6125">
            <w:pPr>
              <w:pStyle w:val="af6"/>
              <w:ind w:firstLine="0"/>
              <w:jc w:val="center"/>
              <w:rPr>
                <w:szCs w:val="21"/>
              </w:rPr>
            </w:pPr>
            <w:r w:rsidRPr="00744A16">
              <w:rPr>
                <w:szCs w:val="21"/>
              </w:rPr>
              <w:t>YES</w:t>
            </w:r>
          </w:p>
        </w:tc>
      </w:tr>
      <w:tr w:rsidR="005F6125" w:rsidRPr="00744A16" w14:paraId="7CC1F64C" w14:textId="77777777" w:rsidTr="00B32980">
        <w:trPr>
          <w:trHeight w:val="300"/>
          <w:jc w:val="center"/>
        </w:trPr>
        <w:tc>
          <w:tcPr>
            <w:tcW w:w="2299" w:type="pct"/>
            <w:shd w:val="clear" w:color="auto" w:fill="auto"/>
            <w:noWrap/>
            <w:vAlign w:val="center"/>
          </w:tcPr>
          <w:p w14:paraId="59F4AF14" w14:textId="77777777" w:rsidR="005F6125" w:rsidRPr="00744A16" w:rsidRDefault="005F6125" w:rsidP="00940D4D">
            <w:pPr>
              <w:pStyle w:val="af6"/>
              <w:ind w:left="64" w:firstLine="0"/>
              <w:jc w:val="center"/>
              <w:rPr>
                <w:szCs w:val="22"/>
              </w:rPr>
            </w:pPr>
            <w:r w:rsidRPr="00744A16">
              <w:rPr>
                <w:szCs w:val="22"/>
              </w:rPr>
              <w:t>Year dummies included</w:t>
            </w:r>
          </w:p>
        </w:tc>
        <w:tc>
          <w:tcPr>
            <w:tcW w:w="835" w:type="pct"/>
            <w:shd w:val="clear" w:color="auto" w:fill="auto"/>
            <w:noWrap/>
          </w:tcPr>
          <w:p w14:paraId="24CB91C8" w14:textId="77777777" w:rsidR="005F6125" w:rsidRPr="00744A16" w:rsidRDefault="005F6125" w:rsidP="00940D4D">
            <w:pPr>
              <w:pStyle w:val="af6"/>
              <w:ind w:firstLine="0"/>
              <w:jc w:val="center"/>
              <w:rPr>
                <w:szCs w:val="21"/>
              </w:rPr>
            </w:pPr>
            <w:r w:rsidRPr="00744A16">
              <w:rPr>
                <w:szCs w:val="21"/>
              </w:rPr>
              <w:t>YES</w:t>
            </w:r>
          </w:p>
        </w:tc>
        <w:tc>
          <w:tcPr>
            <w:tcW w:w="837" w:type="pct"/>
            <w:shd w:val="clear" w:color="auto" w:fill="auto"/>
            <w:noWrap/>
          </w:tcPr>
          <w:p w14:paraId="2C0A9E61" w14:textId="77777777" w:rsidR="005F6125" w:rsidRPr="00744A16" w:rsidRDefault="005F6125" w:rsidP="00940D4D">
            <w:pPr>
              <w:pStyle w:val="af6"/>
              <w:ind w:firstLine="0"/>
              <w:jc w:val="center"/>
              <w:rPr>
                <w:szCs w:val="21"/>
              </w:rPr>
            </w:pPr>
            <w:r w:rsidRPr="00744A16">
              <w:rPr>
                <w:szCs w:val="21"/>
              </w:rPr>
              <w:t>YES</w:t>
            </w:r>
          </w:p>
        </w:tc>
        <w:tc>
          <w:tcPr>
            <w:tcW w:w="1028" w:type="pct"/>
            <w:shd w:val="clear" w:color="auto" w:fill="auto"/>
            <w:noWrap/>
          </w:tcPr>
          <w:p w14:paraId="4E891A47" w14:textId="77777777" w:rsidR="005F6125" w:rsidRPr="00744A16" w:rsidRDefault="005F6125" w:rsidP="00940D4D">
            <w:pPr>
              <w:pStyle w:val="af6"/>
              <w:ind w:firstLine="0"/>
              <w:jc w:val="center"/>
              <w:rPr>
                <w:szCs w:val="21"/>
              </w:rPr>
            </w:pPr>
            <w:r w:rsidRPr="00744A16">
              <w:rPr>
                <w:szCs w:val="21"/>
              </w:rPr>
              <w:t>YES</w:t>
            </w:r>
          </w:p>
        </w:tc>
      </w:tr>
      <w:tr w:rsidR="005F6125" w:rsidRPr="00744A16" w14:paraId="66E8AD56" w14:textId="77777777" w:rsidTr="00B32980">
        <w:trPr>
          <w:trHeight w:val="300"/>
          <w:jc w:val="center"/>
        </w:trPr>
        <w:tc>
          <w:tcPr>
            <w:tcW w:w="2299" w:type="pct"/>
            <w:shd w:val="clear" w:color="auto" w:fill="auto"/>
            <w:noWrap/>
            <w:vAlign w:val="center"/>
          </w:tcPr>
          <w:p w14:paraId="3812C004" w14:textId="77777777" w:rsidR="005F6125" w:rsidRPr="00744A16" w:rsidRDefault="005F6125" w:rsidP="00940D4D">
            <w:pPr>
              <w:pStyle w:val="af6"/>
              <w:ind w:left="64" w:firstLine="0"/>
              <w:jc w:val="center"/>
              <w:rPr>
                <w:szCs w:val="22"/>
              </w:rPr>
            </w:pPr>
            <w:r w:rsidRPr="00744A16">
              <w:rPr>
                <w:szCs w:val="22"/>
              </w:rPr>
              <w:t>Adj. R2</w:t>
            </w:r>
          </w:p>
        </w:tc>
        <w:tc>
          <w:tcPr>
            <w:tcW w:w="835" w:type="pct"/>
            <w:shd w:val="clear" w:color="auto" w:fill="auto"/>
            <w:noWrap/>
          </w:tcPr>
          <w:p w14:paraId="093E3BAF" w14:textId="77777777" w:rsidR="005F6125" w:rsidRPr="00744A16" w:rsidRDefault="005F6125" w:rsidP="00940D4D">
            <w:pPr>
              <w:pStyle w:val="af6"/>
              <w:ind w:firstLine="0"/>
              <w:jc w:val="center"/>
              <w:rPr>
                <w:szCs w:val="21"/>
              </w:rPr>
            </w:pPr>
            <w:r w:rsidRPr="00744A16">
              <w:rPr>
                <w:szCs w:val="21"/>
              </w:rPr>
              <w:t>0.068</w:t>
            </w:r>
          </w:p>
        </w:tc>
        <w:tc>
          <w:tcPr>
            <w:tcW w:w="837" w:type="pct"/>
            <w:shd w:val="clear" w:color="auto" w:fill="auto"/>
          </w:tcPr>
          <w:p w14:paraId="79D758DB" w14:textId="77777777" w:rsidR="005F6125" w:rsidRPr="00744A16" w:rsidRDefault="005F6125" w:rsidP="00940D4D">
            <w:pPr>
              <w:pStyle w:val="af6"/>
              <w:ind w:firstLine="0"/>
              <w:jc w:val="center"/>
              <w:rPr>
                <w:szCs w:val="21"/>
              </w:rPr>
            </w:pPr>
            <w:r w:rsidRPr="00744A16">
              <w:rPr>
                <w:szCs w:val="21"/>
              </w:rPr>
              <w:t>0.081</w:t>
            </w:r>
          </w:p>
        </w:tc>
        <w:tc>
          <w:tcPr>
            <w:tcW w:w="1028" w:type="pct"/>
            <w:shd w:val="clear" w:color="auto" w:fill="auto"/>
          </w:tcPr>
          <w:p w14:paraId="12A534D6" w14:textId="77777777" w:rsidR="005F6125" w:rsidRPr="00744A16" w:rsidRDefault="005F6125" w:rsidP="00940D4D">
            <w:pPr>
              <w:pStyle w:val="af6"/>
              <w:ind w:firstLine="0"/>
              <w:jc w:val="center"/>
              <w:rPr>
                <w:szCs w:val="21"/>
              </w:rPr>
            </w:pPr>
            <w:r w:rsidRPr="00744A16">
              <w:rPr>
                <w:szCs w:val="21"/>
              </w:rPr>
              <w:t>0.081</w:t>
            </w:r>
          </w:p>
        </w:tc>
      </w:tr>
      <w:tr w:rsidR="005F6125" w:rsidRPr="00744A16" w14:paraId="577EF718" w14:textId="77777777" w:rsidTr="00B32980">
        <w:trPr>
          <w:trHeight w:val="300"/>
          <w:jc w:val="center"/>
        </w:trPr>
        <w:tc>
          <w:tcPr>
            <w:tcW w:w="2299" w:type="pct"/>
            <w:shd w:val="clear" w:color="auto" w:fill="auto"/>
            <w:noWrap/>
            <w:vAlign w:val="center"/>
          </w:tcPr>
          <w:p w14:paraId="074EB3E8" w14:textId="77777777" w:rsidR="005F6125" w:rsidRPr="00744A16" w:rsidRDefault="005F6125" w:rsidP="00940D4D">
            <w:pPr>
              <w:pStyle w:val="af6"/>
              <w:ind w:left="64" w:hanging="38"/>
              <w:jc w:val="center"/>
              <w:rPr>
                <w:szCs w:val="22"/>
              </w:rPr>
            </w:pPr>
            <w:r w:rsidRPr="00744A16">
              <w:rPr>
                <w:szCs w:val="22"/>
              </w:rPr>
              <w:t>Obs. per group (min/avg/max):</w:t>
            </w:r>
          </w:p>
        </w:tc>
        <w:tc>
          <w:tcPr>
            <w:tcW w:w="835" w:type="pct"/>
            <w:shd w:val="clear" w:color="auto" w:fill="auto"/>
          </w:tcPr>
          <w:p w14:paraId="6B7984D8" w14:textId="77777777" w:rsidR="005F6125" w:rsidRPr="00744A16" w:rsidRDefault="005F6125" w:rsidP="00940D4D">
            <w:pPr>
              <w:pStyle w:val="af6"/>
              <w:ind w:firstLine="0"/>
              <w:jc w:val="center"/>
              <w:rPr>
                <w:szCs w:val="21"/>
              </w:rPr>
            </w:pPr>
            <w:r w:rsidRPr="00744A16">
              <w:rPr>
                <w:szCs w:val="21"/>
              </w:rPr>
              <w:t>1/5.3/7</w:t>
            </w:r>
          </w:p>
        </w:tc>
        <w:tc>
          <w:tcPr>
            <w:tcW w:w="837" w:type="pct"/>
            <w:shd w:val="clear" w:color="auto" w:fill="auto"/>
          </w:tcPr>
          <w:p w14:paraId="4910FDA6" w14:textId="77777777" w:rsidR="005F6125" w:rsidRPr="00744A16" w:rsidRDefault="005F6125" w:rsidP="00940D4D">
            <w:pPr>
              <w:pStyle w:val="af6"/>
              <w:ind w:firstLine="0"/>
              <w:jc w:val="center"/>
              <w:rPr>
                <w:szCs w:val="21"/>
              </w:rPr>
            </w:pPr>
            <w:r w:rsidRPr="00744A16">
              <w:rPr>
                <w:szCs w:val="21"/>
              </w:rPr>
              <w:t>1/5.3/7</w:t>
            </w:r>
          </w:p>
        </w:tc>
        <w:tc>
          <w:tcPr>
            <w:tcW w:w="1028" w:type="pct"/>
            <w:shd w:val="clear" w:color="auto" w:fill="auto"/>
          </w:tcPr>
          <w:p w14:paraId="3D2F37DD" w14:textId="77777777" w:rsidR="005F6125" w:rsidRPr="00744A16" w:rsidRDefault="005F6125" w:rsidP="00940D4D">
            <w:pPr>
              <w:pStyle w:val="af6"/>
              <w:ind w:firstLine="0"/>
              <w:jc w:val="center"/>
              <w:rPr>
                <w:szCs w:val="21"/>
              </w:rPr>
            </w:pPr>
            <w:r w:rsidRPr="00744A16">
              <w:rPr>
                <w:szCs w:val="21"/>
              </w:rPr>
              <w:t>1/5.3/7</w:t>
            </w:r>
          </w:p>
        </w:tc>
      </w:tr>
      <w:tr w:rsidR="005F6125" w:rsidRPr="00744A16" w14:paraId="71A98898" w14:textId="77777777" w:rsidTr="00B32980">
        <w:trPr>
          <w:trHeight w:val="300"/>
          <w:jc w:val="center"/>
        </w:trPr>
        <w:tc>
          <w:tcPr>
            <w:tcW w:w="2299" w:type="pct"/>
            <w:tcBorders>
              <w:bottom w:val="single" w:sz="4" w:space="0" w:color="auto"/>
            </w:tcBorders>
            <w:shd w:val="clear" w:color="auto" w:fill="auto"/>
            <w:noWrap/>
            <w:vAlign w:val="center"/>
          </w:tcPr>
          <w:p w14:paraId="3CDA3D71" w14:textId="77777777" w:rsidR="005F6125" w:rsidRPr="00744A16" w:rsidRDefault="005F6125" w:rsidP="00940D4D">
            <w:pPr>
              <w:pStyle w:val="af6"/>
              <w:ind w:left="64" w:hanging="38"/>
              <w:jc w:val="center"/>
              <w:rPr>
                <w:szCs w:val="22"/>
              </w:rPr>
            </w:pPr>
            <w:r w:rsidRPr="00744A16">
              <w:rPr>
                <w:szCs w:val="22"/>
              </w:rPr>
              <w:t>Number of observations</w:t>
            </w:r>
          </w:p>
        </w:tc>
        <w:tc>
          <w:tcPr>
            <w:tcW w:w="835" w:type="pct"/>
            <w:tcBorders>
              <w:bottom w:val="single" w:sz="4" w:space="0" w:color="auto"/>
            </w:tcBorders>
            <w:shd w:val="clear" w:color="auto" w:fill="auto"/>
          </w:tcPr>
          <w:p w14:paraId="4BC595F9" w14:textId="77777777" w:rsidR="005F6125" w:rsidRPr="00744A16" w:rsidRDefault="005F6125" w:rsidP="00940D4D">
            <w:pPr>
              <w:pStyle w:val="af6"/>
              <w:ind w:firstLine="0"/>
              <w:jc w:val="center"/>
              <w:rPr>
                <w:szCs w:val="21"/>
              </w:rPr>
            </w:pPr>
            <w:r w:rsidRPr="00744A16">
              <w:rPr>
                <w:szCs w:val="21"/>
              </w:rPr>
              <w:t>20161</w:t>
            </w:r>
          </w:p>
        </w:tc>
        <w:tc>
          <w:tcPr>
            <w:tcW w:w="837" w:type="pct"/>
            <w:tcBorders>
              <w:bottom w:val="single" w:sz="4" w:space="0" w:color="auto"/>
            </w:tcBorders>
            <w:shd w:val="clear" w:color="auto" w:fill="auto"/>
          </w:tcPr>
          <w:p w14:paraId="755A63AB" w14:textId="77777777" w:rsidR="005F6125" w:rsidRPr="00744A16" w:rsidRDefault="005F6125" w:rsidP="00940D4D">
            <w:pPr>
              <w:pStyle w:val="af6"/>
              <w:ind w:firstLine="0"/>
              <w:jc w:val="center"/>
              <w:rPr>
                <w:szCs w:val="21"/>
              </w:rPr>
            </w:pPr>
            <w:r w:rsidRPr="00744A16">
              <w:rPr>
                <w:szCs w:val="21"/>
              </w:rPr>
              <w:t>20161</w:t>
            </w:r>
          </w:p>
        </w:tc>
        <w:tc>
          <w:tcPr>
            <w:tcW w:w="1028" w:type="pct"/>
            <w:tcBorders>
              <w:bottom w:val="single" w:sz="4" w:space="0" w:color="auto"/>
            </w:tcBorders>
            <w:shd w:val="clear" w:color="auto" w:fill="auto"/>
          </w:tcPr>
          <w:p w14:paraId="6EA2ABE6" w14:textId="77777777" w:rsidR="005F6125" w:rsidRPr="00744A16" w:rsidRDefault="005F6125" w:rsidP="00940D4D">
            <w:pPr>
              <w:pStyle w:val="af6"/>
              <w:ind w:firstLine="0"/>
              <w:jc w:val="center"/>
              <w:rPr>
                <w:szCs w:val="21"/>
              </w:rPr>
            </w:pPr>
            <w:r w:rsidRPr="00744A16">
              <w:rPr>
                <w:szCs w:val="21"/>
              </w:rPr>
              <w:t>20161</w:t>
            </w:r>
          </w:p>
        </w:tc>
      </w:tr>
    </w:tbl>
    <w:p w14:paraId="38925FEA" w14:textId="0455E4A4" w:rsidR="00402411" w:rsidRPr="00744A16" w:rsidRDefault="00402411" w:rsidP="005F6125">
      <w:pPr>
        <w:pStyle w:val="af6"/>
        <w:ind w:firstLine="0"/>
        <w:rPr>
          <w:szCs w:val="21"/>
        </w:rPr>
      </w:pPr>
      <w:r w:rsidRPr="00744A16">
        <w:rPr>
          <w:szCs w:val="21"/>
        </w:rPr>
        <w:t>*** p &lt; 0.01; ** p &lt; 0.05; * p &lt; 0.1 All significance tests are two-tailed.</w:t>
      </w:r>
    </w:p>
    <w:p w14:paraId="1A1F6B30" w14:textId="51C9D803" w:rsidR="00402411" w:rsidRPr="00EA6450" w:rsidRDefault="005F6125" w:rsidP="005F6125">
      <w:pPr>
        <w:pStyle w:val="10"/>
        <w:spacing w:line="360" w:lineRule="exact"/>
        <w:ind w:firstLine="720"/>
        <w:jc w:val="both"/>
        <w:rPr>
          <w:rFonts w:ascii="Times New Roman" w:eastAsia="Times New Roman" w:hAnsi="Times New Roman" w:cs="Times New Roman"/>
          <w:sz w:val="26"/>
          <w:szCs w:val="26"/>
        </w:rPr>
      </w:pPr>
      <w:r w:rsidRPr="00744A16">
        <w:rPr>
          <w:rFonts w:ascii="Times New Roman" w:eastAsia="Times New Roman" w:hAnsi="Times New Roman" w:cs="Times New Roman"/>
          <w:sz w:val="32"/>
          <w:szCs w:val="26"/>
        </w:rPr>
        <w:t xml:space="preserve"> </w:t>
      </w:r>
    </w:p>
    <w:p w14:paraId="28785A1B" w14:textId="77777777" w:rsidR="00EB6A28" w:rsidRPr="00EB6A28" w:rsidRDefault="009074BF" w:rsidP="005F6125">
      <w:pPr>
        <w:pStyle w:val="3"/>
        <w:spacing w:before="0" w:after="0" w:line="360" w:lineRule="exact"/>
        <w:jc w:val="center"/>
        <w:rPr>
          <w:b/>
          <w:i w:val="0"/>
          <w:sz w:val="26"/>
          <w:szCs w:val="26"/>
        </w:rPr>
      </w:pPr>
      <w:r w:rsidRPr="004D5715">
        <w:rPr>
          <w:b/>
          <w:i w:val="0"/>
          <w:sz w:val="26"/>
          <w:szCs w:val="26"/>
        </w:rPr>
        <w:t>DISCUSSION AND CONCLUSION</w:t>
      </w:r>
    </w:p>
    <w:p w14:paraId="2C259507" w14:textId="0F470C8F" w:rsidR="00E56F2D" w:rsidRDefault="000E2F66" w:rsidP="005F6125">
      <w:pPr>
        <w:spacing w:line="360" w:lineRule="exact"/>
        <w:ind w:firstLine="720"/>
        <w:jc w:val="both"/>
        <w:rPr>
          <w:sz w:val="26"/>
          <w:szCs w:val="26"/>
        </w:rPr>
      </w:pPr>
      <w:r>
        <w:rPr>
          <w:sz w:val="26"/>
          <w:szCs w:val="26"/>
        </w:rPr>
        <w:t>We</w:t>
      </w:r>
      <w:r w:rsidR="009074BF" w:rsidRPr="00EA6450">
        <w:rPr>
          <w:sz w:val="26"/>
          <w:szCs w:val="26"/>
        </w:rPr>
        <w:t xml:space="preserve"> not only does HPWP drive financial performance, but it does so </w:t>
      </w:r>
      <w:r w:rsidR="001D0DD1">
        <w:rPr>
          <w:sz w:val="26"/>
          <w:szCs w:val="26"/>
        </w:rPr>
        <w:t xml:space="preserve">in a </w:t>
      </w:r>
      <w:r w:rsidR="00907CBB">
        <w:rPr>
          <w:sz w:val="26"/>
          <w:szCs w:val="26"/>
        </w:rPr>
        <w:t>sample</w:t>
      </w:r>
      <w:r w:rsidR="001D0DD1">
        <w:rPr>
          <w:sz w:val="26"/>
          <w:szCs w:val="26"/>
        </w:rPr>
        <w:t xml:space="preserve"> that extends </w:t>
      </w:r>
      <w:r w:rsidR="009074BF" w:rsidRPr="00EA6450">
        <w:rPr>
          <w:sz w:val="26"/>
          <w:szCs w:val="26"/>
        </w:rPr>
        <w:t>across a</w:t>
      </w:r>
      <w:r w:rsidR="00F5202D">
        <w:rPr>
          <w:sz w:val="26"/>
          <w:szCs w:val="26"/>
        </w:rPr>
        <w:t>n extensiv</w:t>
      </w:r>
      <w:r w:rsidR="009074BF" w:rsidRPr="00EA6450">
        <w:rPr>
          <w:sz w:val="26"/>
          <w:szCs w:val="26"/>
        </w:rPr>
        <w:t>e global sample of companies and in a variety of institutional settings</w:t>
      </w:r>
      <w:r w:rsidR="00C41B66" w:rsidRPr="00EA6450">
        <w:rPr>
          <w:sz w:val="26"/>
          <w:szCs w:val="26"/>
        </w:rPr>
        <w:t xml:space="preserve"> beyond</w:t>
      </w:r>
      <w:r w:rsidR="0005378B" w:rsidRPr="00EA6450">
        <w:rPr>
          <w:sz w:val="26"/>
          <w:szCs w:val="26"/>
        </w:rPr>
        <w:t xml:space="preserve"> – but including –</w:t>
      </w:r>
      <w:r w:rsidR="00C41B66" w:rsidRPr="00EA6450">
        <w:rPr>
          <w:sz w:val="26"/>
          <w:szCs w:val="26"/>
        </w:rPr>
        <w:t xml:space="preserve"> the traditional North American and European settings, as has been called for recently in this journal (</w:t>
      </w:r>
      <w:r w:rsidR="0005378B" w:rsidRPr="00EA6450">
        <w:rPr>
          <w:rStyle w:val="af8"/>
          <w:rFonts w:eastAsia="Arial"/>
          <w:sz w:val="26"/>
          <w:szCs w:val="26"/>
        </w:rPr>
        <w:t>Luxmore &amp; Hull</w:t>
      </w:r>
      <w:r w:rsidR="00C41B66" w:rsidRPr="00EA6450">
        <w:rPr>
          <w:rStyle w:val="af8"/>
          <w:rFonts w:eastAsia="Arial"/>
          <w:sz w:val="26"/>
          <w:szCs w:val="26"/>
        </w:rPr>
        <w:t>, 201</w:t>
      </w:r>
      <w:r w:rsidR="0005378B" w:rsidRPr="00EA6450">
        <w:rPr>
          <w:rStyle w:val="af8"/>
          <w:rFonts w:eastAsia="Arial"/>
          <w:sz w:val="26"/>
          <w:szCs w:val="26"/>
        </w:rPr>
        <w:t>8</w:t>
      </w:r>
      <w:r w:rsidR="00C41B66" w:rsidRPr="00EA6450">
        <w:rPr>
          <w:rStyle w:val="af8"/>
          <w:rFonts w:eastAsia="Arial"/>
          <w:sz w:val="26"/>
          <w:szCs w:val="26"/>
        </w:rPr>
        <w:t>)</w:t>
      </w:r>
      <w:r w:rsidR="0005378B" w:rsidRPr="00EA6450">
        <w:rPr>
          <w:rStyle w:val="af8"/>
          <w:rFonts w:eastAsia="Arial"/>
          <w:sz w:val="26"/>
          <w:szCs w:val="26"/>
        </w:rPr>
        <w:t xml:space="preserve"> on the grounds that </w:t>
      </w:r>
      <w:r w:rsidR="0005378B" w:rsidRPr="00EA6450">
        <w:rPr>
          <w:rStyle w:val="af8"/>
          <w:rFonts w:eastAsia="Arial"/>
          <w:sz w:val="26"/>
          <w:szCs w:val="26"/>
        </w:rPr>
        <w:lastRenderedPageBreak/>
        <w:t xml:space="preserve">institutional </w:t>
      </w:r>
      <w:r w:rsidR="0005378B" w:rsidRPr="004D5715">
        <w:t>pressures</w:t>
      </w:r>
      <w:r w:rsidR="0005378B" w:rsidRPr="00EA6450">
        <w:rPr>
          <w:rStyle w:val="af8"/>
          <w:rFonts w:eastAsia="Arial"/>
          <w:sz w:val="26"/>
          <w:szCs w:val="26"/>
        </w:rPr>
        <w:t xml:space="preserve"> exist in developed and developing nations alike</w:t>
      </w:r>
      <w:r w:rsidR="009074BF" w:rsidRPr="00EA6450">
        <w:rPr>
          <w:sz w:val="26"/>
          <w:szCs w:val="26"/>
        </w:rPr>
        <w:t>.</w:t>
      </w:r>
      <w:r w:rsidR="005F6125">
        <w:rPr>
          <w:sz w:val="26"/>
          <w:szCs w:val="26"/>
        </w:rPr>
        <w:t xml:space="preserve"> </w:t>
      </w:r>
      <w:r w:rsidR="00151253" w:rsidRPr="00EA6450">
        <w:rPr>
          <w:sz w:val="26"/>
          <w:szCs w:val="26"/>
        </w:rPr>
        <w:t xml:space="preserve">The literature has </w:t>
      </w:r>
      <w:r w:rsidR="001D0DD1">
        <w:rPr>
          <w:sz w:val="26"/>
          <w:szCs w:val="26"/>
        </w:rPr>
        <w:t xml:space="preserve">already </w:t>
      </w:r>
      <w:r w:rsidR="00151253" w:rsidRPr="00EA6450">
        <w:rPr>
          <w:sz w:val="26"/>
          <w:szCs w:val="26"/>
        </w:rPr>
        <w:t xml:space="preserve">taken notice </w:t>
      </w:r>
      <w:r w:rsidR="001D0DD1">
        <w:rPr>
          <w:sz w:val="26"/>
          <w:szCs w:val="26"/>
        </w:rPr>
        <w:t>of the importance of</w:t>
      </w:r>
      <w:r w:rsidR="00151253" w:rsidRPr="00EA6450">
        <w:rPr>
          <w:sz w:val="26"/>
          <w:szCs w:val="26"/>
        </w:rPr>
        <w:t xml:space="preserve"> context and that it is unwise to assume that concepts such as HPWP that were derived in developed nations are universally applicable (Cooke, 2018).</w:t>
      </w:r>
      <w:r w:rsidR="005F6125">
        <w:rPr>
          <w:sz w:val="26"/>
          <w:szCs w:val="26"/>
        </w:rPr>
        <w:t xml:space="preserve"> </w:t>
      </w:r>
      <w:r w:rsidR="00302C77">
        <w:rPr>
          <w:sz w:val="26"/>
          <w:szCs w:val="26"/>
        </w:rPr>
        <w:t xml:space="preserve">Given </w:t>
      </w:r>
      <w:r w:rsidR="00907CBB">
        <w:rPr>
          <w:sz w:val="26"/>
          <w:szCs w:val="26"/>
        </w:rPr>
        <w:t>HPWP’s</w:t>
      </w:r>
      <w:r w:rsidR="00302C77">
        <w:rPr>
          <w:sz w:val="26"/>
          <w:szCs w:val="26"/>
        </w:rPr>
        <w:t xml:space="preserve"> beneficial effects, we conclude that companies seeking the best financial returns possible should</w:t>
      </w:r>
      <w:r w:rsidR="00F00459">
        <w:rPr>
          <w:sz w:val="26"/>
          <w:szCs w:val="26"/>
        </w:rPr>
        <w:t>, generally, at least</w:t>
      </w:r>
      <w:r w:rsidR="00302C77">
        <w:rPr>
          <w:sz w:val="26"/>
          <w:szCs w:val="26"/>
        </w:rPr>
        <w:t xml:space="preserve"> </w:t>
      </w:r>
      <w:r w:rsidR="00542BA1">
        <w:rPr>
          <w:sz w:val="26"/>
          <w:szCs w:val="26"/>
        </w:rPr>
        <w:t>consider</w:t>
      </w:r>
      <w:r w:rsidR="00302C77">
        <w:rPr>
          <w:sz w:val="26"/>
          <w:szCs w:val="26"/>
        </w:rPr>
        <w:t xml:space="preserve"> engag</w:t>
      </w:r>
      <w:r w:rsidR="00542BA1">
        <w:rPr>
          <w:sz w:val="26"/>
          <w:szCs w:val="26"/>
        </w:rPr>
        <w:t>ing</w:t>
      </w:r>
      <w:r w:rsidR="00302C77">
        <w:rPr>
          <w:sz w:val="26"/>
          <w:szCs w:val="26"/>
        </w:rPr>
        <w:t xml:space="preserve"> in HWPW.</w:t>
      </w:r>
    </w:p>
    <w:p w14:paraId="38D2F181" w14:textId="2B8093F6" w:rsidR="00292582" w:rsidRPr="00EA6450" w:rsidRDefault="009074BF" w:rsidP="005F6125">
      <w:pPr>
        <w:spacing w:line="360" w:lineRule="exact"/>
        <w:ind w:firstLine="720"/>
        <w:jc w:val="both"/>
        <w:rPr>
          <w:sz w:val="26"/>
          <w:szCs w:val="26"/>
        </w:rPr>
      </w:pPr>
      <w:r w:rsidRPr="00EA6450">
        <w:rPr>
          <w:sz w:val="26"/>
          <w:szCs w:val="26"/>
        </w:rPr>
        <w:t>Hypothesis 2</w:t>
      </w:r>
      <w:r w:rsidR="00F5202D">
        <w:rPr>
          <w:sz w:val="26"/>
          <w:szCs w:val="26"/>
        </w:rPr>
        <w:t xml:space="preserve"> that labor market flexibility is positively associated with firm performance</w:t>
      </w:r>
      <w:r w:rsidRPr="00EA6450">
        <w:rPr>
          <w:sz w:val="26"/>
          <w:szCs w:val="26"/>
        </w:rPr>
        <w:t xml:space="preserve"> was not supported, except when labor market flexibility’s interaction with HPWP was included in the model</w:t>
      </w:r>
      <w:r w:rsidR="00EB6A28">
        <w:rPr>
          <w:sz w:val="26"/>
          <w:szCs w:val="26"/>
        </w:rPr>
        <w:t>, as predicted in Hypothesis 3. Thus, w</w:t>
      </w:r>
      <w:r w:rsidRPr="00EA6450">
        <w:rPr>
          <w:sz w:val="26"/>
          <w:szCs w:val="26"/>
        </w:rPr>
        <w:t>e found support for our Hypothesis 3, that HPWP more positively affects financial performance in settings of low labor market flexibility.</w:t>
      </w:r>
      <w:r w:rsidR="005F6125">
        <w:rPr>
          <w:sz w:val="26"/>
          <w:szCs w:val="26"/>
        </w:rPr>
        <w:t xml:space="preserve"> </w:t>
      </w:r>
      <w:r w:rsidRPr="00EA6450">
        <w:rPr>
          <w:sz w:val="26"/>
          <w:szCs w:val="26"/>
        </w:rPr>
        <w:t xml:space="preserve">We have </w:t>
      </w:r>
      <w:r w:rsidR="00644F12" w:rsidRPr="00EA6450">
        <w:rPr>
          <w:sz w:val="26"/>
          <w:szCs w:val="26"/>
        </w:rPr>
        <w:t>argue</w:t>
      </w:r>
      <w:r w:rsidR="00493C44" w:rsidRPr="00EA6450">
        <w:rPr>
          <w:sz w:val="26"/>
          <w:szCs w:val="26"/>
        </w:rPr>
        <w:t>d</w:t>
      </w:r>
      <w:r w:rsidRPr="00EA6450">
        <w:rPr>
          <w:sz w:val="26"/>
          <w:szCs w:val="26"/>
        </w:rPr>
        <w:t xml:space="preserve"> that the more formal institutional pressures</w:t>
      </w:r>
      <w:r w:rsidR="00644F12" w:rsidRPr="00EA6450">
        <w:rPr>
          <w:sz w:val="26"/>
          <w:szCs w:val="26"/>
        </w:rPr>
        <w:t xml:space="preserve"> </w:t>
      </w:r>
      <w:r w:rsidRPr="00EA6450">
        <w:rPr>
          <w:sz w:val="26"/>
          <w:szCs w:val="26"/>
        </w:rPr>
        <w:t xml:space="preserve">help ensure that </w:t>
      </w:r>
      <w:r w:rsidR="00DD40F1" w:rsidRPr="00EA6450">
        <w:rPr>
          <w:sz w:val="26"/>
          <w:szCs w:val="26"/>
        </w:rPr>
        <w:t xml:space="preserve">more successful </w:t>
      </w:r>
      <w:r w:rsidRPr="00EA6450">
        <w:rPr>
          <w:sz w:val="26"/>
          <w:szCs w:val="26"/>
        </w:rPr>
        <w:t>“bundles” of work practices are adopted,</w:t>
      </w:r>
      <w:r w:rsidR="005826B4" w:rsidRPr="00EA6450">
        <w:rPr>
          <w:sz w:val="26"/>
          <w:szCs w:val="26"/>
        </w:rPr>
        <w:t xml:space="preserve"> rather than individual practices being adopted piecemeal,</w:t>
      </w:r>
      <w:r w:rsidRPr="00EA6450">
        <w:rPr>
          <w:sz w:val="26"/>
          <w:szCs w:val="26"/>
        </w:rPr>
        <w:t xml:space="preserve"> leading to higher benefit from these practices</w:t>
      </w:r>
      <w:r w:rsidR="00DD40F1" w:rsidRPr="00EA6450">
        <w:rPr>
          <w:sz w:val="26"/>
          <w:szCs w:val="26"/>
        </w:rPr>
        <w:t xml:space="preserve"> (Asmawi &amp; Chew, 2016; Combs</w:t>
      </w:r>
      <w:r w:rsidR="003C42BB" w:rsidRPr="00EA6450">
        <w:rPr>
          <w:sz w:val="26"/>
          <w:szCs w:val="26"/>
        </w:rPr>
        <w:t xml:space="preserve"> et al.</w:t>
      </w:r>
      <w:r w:rsidR="00DD40F1" w:rsidRPr="00EA6450">
        <w:rPr>
          <w:sz w:val="26"/>
          <w:szCs w:val="26"/>
        </w:rPr>
        <w:t>, 2006; Huselid, 1995)</w:t>
      </w:r>
      <w:r w:rsidRPr="00EA6450">
        <w:rPr>
          <w:sz w:val="26"/>
          <w:szCs w:val="26"/>
        </w:rPr>
        <w:t>.</w:t>
      </w:r>
      <w:r w:rsidR="005F6125">
        <w:rPr>
          <w:sz w:val="26"/>
          <w:szCs w:val="26"/>
        </w:rPr>
        <w:t xml:space="preserve"> </w:t>
      </w:r>
      <w:r w:rsidR="00EB6A28">
        <w:rPr>
          <w:sz w:val="26"/>
          <w:szCs w:val="26"/>
        </w:rPr>
        <w:t xml:space="preserve">Similar to what was found by </w:t>
      </w:r>
      <w:r w:rsidR="00EB6A28" w:rsidRPr="00EA6450">
        <w:rPr>
          <w:sz w:val="26"/>
          <w:szCs w:val="26"/>
        </w:rPr>
        <w:t>Ahmed et al.</w:t>
      </w:r>
      <w:r w:rsidR="00EB6A28">
        <w:rPr>
          <w:sz w:val="26"/>
          <w:szCs w:val="26"/>
        </w:rPr>
        <w:t xml:space="preserve"> (2016), t</w:t>
      </w:r>
      <w:r w:rsidR="00EB6A28" w:rsidRPr="00EA6450">
        <w:rPr>
          <w:sz w:val="26"/>
          <w:szCs w:val="26"/>
        </w:rPr>
        <w:t xml:space="preserve">his indicates that the freedom from formal regulation that companies might covet </w:t>
      </w:r>
      <w:r w:rsidR="00EB6A28">
        <w:rPr>
          <w:sz w:val="26"/>
          <w:szCs w:val="26"/>
        </w:rPr>
        <w:t>might not benefit all companies</w:t>
      </w:r>
      <w:r w:rsidR="00EB6A28" w:rsidRPr="00EA6450">
        <w:rPr>
          <w:sz w:val="26"/>
          <w:szCs w:val="26"/>
        </w:rPr>
        <w:t>.</w:t>
      </w:r>
      <w:r w:rsidR="005F6125">
        <w:rPr>
          <w:sz w:val="26"/>
          <w:szCs w:val="26"/>
        </w:rPr>
        <w:t xml:space="preserve"> </w:t>
      </w:r>
      <w:r w:rsidR="00EB6A28" w:rsidRPr="00EA6450">
        <w:rPr>
          <w:sz w:val="26"/>
          <w:szCs w:val="26"/>
        </w:rPr>
        <w:t>The legal requirements that push companies toward HPWP as a standard practice allow them to adopt a complete, profitable bundle of HPWP (Asmawi &amp; Chew, 2016; Combs et al., 2006; Huselid, 1995).</w:t>
      </w:r>
      <w:r w:rsidR="005F6125">
        <w:rPr>
          <w:sz w:val="26"/>
          <w:szCs w:val="26"/>
        </w:rPr>
        <w:t xml:space="preserve"> </w:t>
      </w:r>
      <w:r w:rsidR="00542BA1">
        <w:rPr>
          <w:sz w:val="26"/>
          <w:szCs w:val="26"/>
        </w:rPr>
        <w:t xml:space="preserve">While it may seem odd, or even counterintuitive, to suggest in a management journal that businesses will benefit from more government oversight, our findings suggest that, at least with respect to HPWP, </w:t>
      </w:r>
      <w:r w:rsidR="00EB6A28">
        <w:rPr>
          <w:sz w:val="26"/>
          <w:szCs w:val="26"/>
        </w:rPr>
        <w:t xml:space="preserve">more </w:t>
      </w:r>
      <w:r w:rsidR="00542BA1">
        <w:rPr>
          <w:sz w:val="26"/>
          <w:szCs w:val="26"/>
        </w:rPr>
        <w:t>regulation increases the value of HPWP.</w:t>
      </w:r>
      <w:r w:rsidR="00786B9C">
        <w:rPr>
          <w:sz w:val="26"/>
          <w:szCs w:val="26"/>
        </w:rPr>
        <w:t xml:space="preserve"> </w:t>
      </w:r>
    </w:p>
    <w:p w14:paraId="0F87B20A" w14:textId="47A56DD9" w:rsidR="00C060B5" w:rsidRDefault="009074BF" w:rsidP="005F6125">
      <w:pPr>
        <w:spacing w:line="360" w:lineRule="exact"/>
        <w:ind w:firstLine="720"/>
        <w:jc w:val="both"/>
        <w:rPr>
          <w:sz w:val="26"/>
          <w:szCs w:val="26"/>
        </w:rPr>
      </w:pPr>
      <w:r w:rsidRPr="00EA6450">
        <w:rPr>
          <w:sz w:val="26"/>
          <w:szCs w:val="26"/>
        </w:rPr>
        <w:t xml:space="preserve">Hypothesis 4 is supported as well, meaning that </w:t>
      </w:r>
      <w:r w:rsidR="00D778D2" w:rsidRPr="00EA6450">
        <w:rPr>
          <w:sz w:val="26"/>
          <w:szCs w:val="26"/>
        </w:rPr>
        <w:t>labor market efficiency</w:t>
      </w:r>
      <w:r w:rsidRPr="00EA6450">
        <w:rPr>
          <w:sz w:val="26"/>
          <w:szCs w:val="26"/>
        </w:rPr>
        <w:t xml:space="preserve"> is good for business and profits.</w:t>
      </w:r>
      <w:r w:rsidR="005826B4" w:rsidRPr="00EA6450">
        <w:rPr>
          <w:sz w:val="26"/>
          <w:szCs w:val="26"/>
        </w:rPr>
        <w:t xml:space="preserve">  </w:t>
      </w:r>
      <w:r w:rsidR="002D5EB1">
        <w:rPr>
          <w:sz w:val="26"/>
          <w:szCs w:val="26"/>
        </w:rPr>
        <w:t xml:space="preserve">It </w:t>
      </w:r>
      <w:r w:rsidR="005826B4" w:rsidRPr="00EA6450">
        <w:rPr>
          <w:sz w:val="26"/>
          <w:szCs w:val="26"/>
        </w:rPr>
        <w:t>indicates that informal institutional pressure</w:t>
      </w:r>
      <w:r w:rsidR="00B06B0F" w:rsidRPr="00EA6450">
        <w:rPr>
          <w:sz w:val="26"/>
          <w:szCs w:val="26"/>
        </w:rPr>
        <w:t>s</w:t>
      </w:r>
      <w:r w:rsidR="005826B4" w:rsidRPr="00EA6450">
        <w:rPr>
          <w:sz w:val="26"/>
          <w:szCs w:val="26"/>
        </w:rPr>
        <w:t xml:space="preserve"> to treat employees well, train them, and reward them for </w:t>
      </w:r>
      <w:r w:rsidR="002D5EB1">
        <w:rPr>
          <w:sz w:val="26"/>
          <w:szCs w:val="26"/>
        </w:rPr>
        <w:t>excellent</w:t>
      </w:r>
      <w:r w:rsidR="002D5EB1" w:rsidRPr="00EA6450">
        <w:rPr>
          <w:sz w:val="26"/>
          <w:szCs w:val="26"/>
        </w:rPr>
        <w:t xml:space="preserve"> </w:t>
      </w:r>
      <w:r w:rsidR="005826B4" w:rsidRPr="00EA6450">
        <w:rPr>
          <w:sz w:val="26"/>
          <w:szCs w:val="26"/>
        </w:rPr>
        <w:t>performance helps businesses succeed.</w:t>
      </w:r>
      <w:r w:rsidR="005F6125">
        <w:rPr>
          <w:sz w:val="26"/>
          <w:szCs w:val="26"/>
        </w:rPr>
        <w:t xml:space="preserve"> </w:t>
      </w:r>
      <w:r w:rsidR="00C049AD" w:rsidRPr="00EA6450">
        <w:rPr>
          <w:sz w:val="26"/>
          <w:szCs w:val="26"/>
        </w:rPr>
        <w:t xml:space="preserve">As with labor market flexibility, a question to be addressed in future research is whether this effect increases with consistent </w:t>
      </w:r>
      <w:r w:rsidR="00D778D2" w:rsidRPr="00EA6450">
        <w:rPr>
          <w:sz w:val="26"/>
          <w:szCs w:val="26"/>
        </w:rPr>
        <w:t>labor market efficiency</w:t>
      </w:r>
      <w:r w:rsidR="00C049AD" w:rsidRPr="00EA6450">
        <w:rPr>
          <w:sz w:val="26"/>
          <w:szCs w:val="26"/>
        </w:rPr>
        <w:t xml:space="preserve"> over time, or whether the effect is tied only to the current level of </w:t>
      </w:r>
      <w:r w:rsidR="00D778D2" w:rsidRPr="00EA6450">
        <w:rPr>
          <w:sz w:val="26"/>
          <w:szCs w:val="26"/>
        </w:rPr>
        <w:t>labor market efficiency</w:t>
      </w:r>
      <w:r w:rsidR="00C049AD" w:rsidRPr="00EA6450">
        <w:rPr>
          <w:sz w:val="26"/>
          <w:szCs w:val="26"/>
        </w:rPr>
        <w:t>.</w:t>
      </w:r>
      <w:r w:rsidR="005F6125">
        <w:rPr>
          <w:sz w:val="26"/>
          <w:szCs w:val="26"/>
        </w:rPr>
        <w:t xml:space="preserve"> </w:t>
      </w:r>
      <w:r w:rsidRPr="00EA6450">
        <w:rPr>
          <w:sz w:val="26"/>
          <w:szCs w:val="26"/>
        </w:rPr>
        <w:t xml:space="preserve">Lastly, support for Hypothesis 5 indicates that </w:t>
      </w:r>
      <w:r w:rsidR="00D778D2" w:rsidRPr="00EA6450">
        <w:rPr>
          <w:sz w:val="26"/>
          <w:szCs w:val="26"/>
        </w:rPr>
        <w:t>labor market efficiency</w:t>
      </w:r>
      <w:r w:rsidRPr="00EA6450">
        <w:rPr>
          <w:sz w:val="26"/>
          <w:szCs w:val="26"/>
        </w:rPr>
        <w:t xml:space="preserve"> and HPWP </w:t>
      </w:r>
      <w:r w:rsidR="001202B5">
        <w:rPr>
          <w:sz w:val="26"/>
          <w:szCs w:val="26"/>
        </w:rPr>
        <w:t>go well together</w:t>
      </w:r>
      <w:r w:rsidRPr="00EA6450">
        <w:rPr>
          <w:sz w:val="26"/>
          <w:szCs w:val="26"/>
        </w:rPr>
        <w:t xml:space="preserve"> from a financial perspective.</w:t>
      </w:r>
      <w:r w:rsidR="005F6125">
        <w:rPr>
          <w:sz w:val="26"/>
          <w:szCs w:val="26"/>
        </w:rPr>
        <w:t xml:space="preserve"> </w:t>
      </w:r>
      <w:r w:rsidRPr="00EA6450">
        <w:rPr>
          <w:sz w:val="26"/>
          <w:szCs w:val="26"/>
        </w:rPr>
        <w:t>The pool of available workers is deeper because artificial limits (e.g., pressures keeping talented women from working) are not in place, and the workers in this institutional context are familiar with and appreciate the beneficial aspects of HPWP.</w:t>
      </w:r>
      <w:r w:rsidR="005F6125">
        <w:rPr>
          <w:sz w:val="26"/>
          <w:szCs w:val="26"/>
        </w:rPr>
        <w:t xml:space="preserve"> </w:t>
      </w:r>
      <w:r w:rsidRPr="00EA6450">
        <w:rPr>
          <w:sz w:val="26"/>
          <w:szCs w:val="26"/>
        </w:rPr>
        <w:t xml:space="preserve">Thus, while all companies benefit </w:t>
      </w:r>
      <w:r w:rsidR="002008C0" w:rsidRPr="00EA6450">
        <w:rPr>
          <w:sz w:val="26"/>
          <w:szCs w:val="26"/>
        </w:rPr>
        <w:t xml:space="preserve">financially </w:t>
      </w:r>
      <w:r w:rsidRPr="00EA6450">
        <w:rPr>
          <w:sz w:val="26"/>
          <w:szCs w:val="26"/>
        </w:rPr>
        <w:t xml:space="preserve">from </w:t>
      </w:r>
      <w:r w:rsidR="00D778D2" w:rsidRPr="00EA6450">
        <w:rPr>
          <w:sz w:val="26"/>
          <w:szCs w:val="26"/>
        </w:rPr>
        <w:t>labor market efficiency</w:t>
      </w:r>
      <w:r w:rsidRPr="00EA6450">
        <w:rPr>
          <w:sz w:val="26"/>
          <w:szCs w:val="26"/>
        </w:rPr>
        <w:t>, companies that are strong on HPWP will benefit more because they will attract top employees from a pool that includes women and other candidates who might not be able to apply in other settings.</w:t>
      </w:r>
      <w:r w:rsidR="00644F12" w:rsidRPr="00EA6450">
        <w:rPr>
          <w:sz w:val="26"/>
          <w:szCs w:val="26"/>
        </w:rPr>
        <w:t xml:space="preserve"> </w:t>
      </w:r>
      <w:r w:rsidR="002D5EB1">
        <w:rPr>
          <w:sz w:val="26"/>
          <w:szCs w:val="26"/>
        </w:rPr>
        <w:t>Besides</w:t>
      </w:r>
      <w:r w:rsidR="00644F12" w:rsidRPr="00EA6450">
        <w:rPr>
          <w:sz w:val="26"/>
          <w:szCs w:val="26"/>
        </w:rPr>
        <w:t>, informa</w:t>
      </w:r>
      <w:r w:rsidR="004B715D" w:rsidRPr="00EA6450">
        <w:rPr>
          <w:sz w:val="26"/>
          <w:szCs w:val="26"/>
        </w:rPr>
        <w:t>l</w:t>
      </w:r>
      <w:r w:rsidR="00644F12" w:rsidRPr="00EA6450">
        <w:rPr>
          <w:sz w:val="26"/>
          <w:szCs w:val="26"/>
        </w:rPr>
        <w:t xml:space="preserve"> institutional </w:t>
      </w:r>
      <w:r w:rsidR="003D5346">
        <w:rPr>
          <w:sz w:val="26"/>
          <w:szCs w:val="26"/>
        </w:rPr>
        <w:t xml:space="preserve">pressures for </w:t>
      </w:r>
      <w:r w:rsidR="005826B4" w:rsidRPr="00EA6450">
        <w:rPr>
          <w:sz w:val="26"/>
          <w:szCs w:val="26"/>
        </w:rPr>
        <w:t xml:space="preserve">HPWP </w:t>
      </w:r>
      <w:r w:rsidR="003D5346">
        <w:rPr>
          <w:sz w:val="26"/>
          <w:szCs w:val="26"/>
        </w:rPr>
        <w:t xml:space="preserve">may </w:t>
      </w:r>
      <w:r w:rsidR="00644F12" w:rsidRPr="00EA6450">
        <w:rPr>
          <w:sz w:val="26"/>
          <w:szCs w:val="26"/>
        </w:rPr>
        <w:t>lead to a greater appreciation</w:t>
      </w:r>
      <w:r w:rsidR="005826B4" w:rsidRPr="00EA6450">
        <w:rPr>
          <w:sz w:val="26"/>
          <w:szCs w:val="26"/>
        </w:rPr>
        <w:t xml:space="preserve"> of those companies that undertake them</w:t>
      </w:r>
      <w:r w:rsidR="00644F12" w:rsidRPr="00EA6450">
        <w:rPr>
          <w:sz w:val="26"/>
          <w:szCs w:val="26"/>
        </w:rPr>
        <w:t xml:space="preserve">, and thus </w:t>
      </w:r>
      <w:r w:rsidR="005826B4" w:rsidRPr="00EA6450">
        <w:rPr>
          <w:sz w:val="26"/>
          <w:szCs w:val="26"/>
        </w:rPr>
        <w:t xml:space="preserve">increase </w:t>
      </w:r>
      <w:r w:rsidR="00644F12" w:rsidRPr="00EA6450">
        <w:rPr>
          <w:sz w:val="26"/>
          <w:szCs w:val="26"/>
        </w:rPr>
        <w:t>reputational impact of HPWP</w:t>
      </w:r>
      <w:r w:rsidR="004B715D" w:rsidRPr="00EA6450">
        <w:rPr>
          <w:sz w:val="26"/>
          <w:szCs w:val="26"/>
        </w:rPr>
        <w:t xml:space="preserve"> (c.f., Deephouse</w:t>
      </w:r>
      <w:r w:rsidR="00643243" w:rsidRPr="00EA6450">
        <w:rPr>
          <w:sz w:val="26"/>
          <w:szCs w:val="26"/>
        </w:rPr>
        <w:t xml:space="preserve"> et al.</w:t>
      </w:r>
      <w:r w:rsidR="004B715D" w:rsidRPr="00EA6450">
        <w:rPr>
          <w:sz w:val="26"/>
          <w:szCs w:val="26"/>
        </w:rPr>
        <w:t>, 2016</w:t>
      </w:r>
      <w:r w:rsidR="003D5346">
        <w:rPr>
          <w:sz w:val="26"/>
          <w:szCs w:val="26"/>
        </w:rPr>
        <w:t>)</w:t>
      </w:r>
      <w:r w:rsidR="00B32980">
        <w:rPr>
          <w:sz w:val="26"/>
          <w:szCs w:val="26"/>
        </w:rPr>
        <w:t>.</w:t>
      </w:r>
      <w:r w:rsidR="003D5346">
        <w:rPr>
          <w:sz w:val="26"/>
          <w:szCs w:val="26"/>
        </w:rPr>
        <w:t xml:space="preserve"> </w:t>
      </w:r>
      <w:r w:rsidR="00786B9C">
        <w:rPr>
          <w:sz w:val="26"/>
          <w:szCs w:val="26"/>
        </w:rPr>
        <w:t>While our data do not address this directly, it seems a</w:t>
      </w:r>
      <w:r w:rsidR="003D5346">
        <w:rPr>
          <w:sz w:val="26"/>
          <w:szCs w:val="26"/>
        </w:rPr>
        <w:t xml:space="preserve">lmost </w:t>
      </w:r>
      <w:r w:rsidR="003D5346">
        <w:rPr>
          <w:sz w:val="26"/>
          <w:szCs w:val="26"/>
        </w:rPr>
        <w:lastRenderedPageBreak/>
        <w:t xml:space="preserve">syllogistically clear that it is </w:t>
      </w:r>
      <w:r w:rsidR="00CB2111">
        <w:rPr>
          <w:sz w:val="26"/>
          <w:szCs w:val="26"/>
        </w:rPr>
        <w:t>profitable</w:t>
      </w:r>
      <w:r w:rsidR="003D5346">
        <w:rPr>
          <w:sz w:val="26"/>
          <w:szCs w:val="26"/>
        </w:rPr>
        <w:t xml:space="preserve"> to encourage increased women’s rights and otherwise promote cultural expectations that encourage participation in and appreciation of HWPW; the</w:t>
      </w:r>
      <w:r w:rsidR="00786B9C">
        <w:rPr>
          <w:sz w:val="26"/>
          <w:szCs w:val="26"/>
        </w:rPr>
        <w:t xml:space="preserve"> elements of HPWP that focus on hiring and promoting the </w:t>
      </w:r>
      <w:r w:rsidR="002D5EB1">
        <w:rPr>
          <w:sz w:val="26"/>
          <w:szCs w:val="26"/>
        </w:rPr>
        <w:t>ablest</w:t>
      </w:r>
      <w:r w:rsidR="00786B9C">
        <w:rPr>
          <w:sz w:val="26"/>
          <w:szCs w:val="26"/>
        </w:rPr>
        <w:t xml:space="preserve"> employees will work best in cultures where the smartest and most talented workers are not barred from seeking work by informal institutional pressure.</w:t>
      </w:r>
      <w:r w:rsidR="005F6125">
        <w:rPr>
          <w:sz w:val="26"/>
          <w:szCs w:val="26"/>
        </w:rPr>
        <w:t xml:space="preserve"> </w:t>
      </w:r>
    </w:p>
    <w:p w14:paraId="63C5EABE" w14:textId="4D503074" w:rsidR="000E2F66" w:rsidRPr="00EA6450" w:rsidRDefault="000E2F66" w:rsidP="005F6125">
      <w:pPr>
        <w:spacing w:line="360" w:lineRule="exact"/>
        <w:ind w:firstLine="720"/>
        <w:jc w:val="both"/>
        <w:rPr>
          <w:sz w:val="26"/>
          <w:szCs w:val="26"/>
        </w:rPr>
      </w:pPr>
      <w:r>
        <w:rPr>
          <w:sz w:val="26"/>
          <w:szCs w:val="26"/>
        </w:rPr>
        <w:t>Overall, our findings</w:t>
      </w:r>
      <w:r w:rsidRPr="00EA6450">
        <w:rPr>
          <w:sz w:val="26"/>
          <w:szCs w:val="26"/>
        </w:rPr>
        <w:t xml:space="preserve"> that the positive effect of HPWP on firm financial performance is more pronounced in settings of high labor market efficiency and low labor market flexibility indicat</w:t>
      </w:r>
      <w:r>
        <w:rPr>
          <w:sz w:val="26"/>
          <w:szCs w:val="26"/>
        </w:rPr>
        <w:t>es</w:t>
      </w:r>
      <w:r w:rsidRPr="00EA6450">
        <w:rPr>
          <w:sz w:val="26"/>
          <w:szCs w:val="26"/>
        </w:rPr>
        <w:t xml:space="preserve"> that context does, as Cooke (2018) points out eloquently, matter.</w:t>
      </w:r>
      <w:r w:rsidR="005F6125">
        <w:rPr>
          <w:sz w:val="26"/>
          <w:szCs w:val="26"/>
        </w:rPr>
        <w:t xml:space="preserve"> </w:t>
      </w:r>
      <w:r>
        <w:rPr>
          <w:sz w:val="26"/>
          <w:szCs w:val="26"/>
        </w:rPr>
        <w:t>One</w:t>
      </w:r>
      <w:r w:rsidRPr="00EA6450">
        <w:rPr>
          <w:sz w:val="26"/>
          <w:szCs w:val="26"/>
        </w:rPr>
        <w:t xml:space="preserve"> conclusion we can draw from these results is that measuring institutional pressure using non-categorical variables tied to informality and formality yields significant results.</w:t>
      </w:r>
      <w:r w:rsidR="005F6125">
        <w:rPr>
          <w:sz w:val="26"/>
          <w:szCs w:val="26"/>
        </w:rPr>
        <w:t xml:space="preserve"> </w:t>
      </w:r>
      <w:r w:rsidRPr="00EA6450">
        <w:rPr>
          <w:sz w:val="26"/>
          <w:szCs w:val="26"/>
        </w:rPr>
        <w:t>This conclusion is consistent with the theoretical case for such an approach, that the actual institutional conditions in existence at the time of the study are what should be measured rather than antecedents, such as the legal traditions that were in place when the country was formed (Wood &amp; Brewster, 2016).</w:t>
      </w:r>
      <w:r w:rsidR="005F6125">
        <w:rPr>
          <w:sz w:val="26"/>
          <w:szCs w:val="26"/>
        </w:rPr>
        <w:t xml:space="preserve"> </w:t>
      </w:r>
      <w:r>
        <w:rPr>
          <w:sz w:val="26"/>
          <w:szCs w:val="26"/>
        </w:rPr>
        <w:t>This contribution is more likely to be of interest to institutional theorists than it is to CSR researchers.</w:t>
      </w:r>
    </w:p>
    <w:p w14:paraId="3ACB754F" w14:textId="57608195" w:rsidR="00CB2111" w:rsidRDefault="000E2F66" w:rsidP="005F6125">
      <w:pPr>
        <w:spacing w:line="360" w:lineRule="exact"/>
        <w:ind w:firstLine="720"/>
        <w:jc w:val="both"/>
        <w:rPr>
          <w:sz w:val="26"/>
          <w:szCs w:val="26"/>
        </w:rPr>
      </w:pPr>
      <w:r>
        <w:rPr>
          <w:sz w:val="26"/>
          <w:szCs w:val="26"/>
        </w:rPr>
        <w:t>This</w:t>
      </w:r>
      <w:r w:rsidR="003D5346" w:rsidRPr="00EA6450">
        <w:rPr>
          <w:sz w:val="26"/>
          <w:szCs w:val="26"/>
        </w:rPr>
        <w:t xml:space="preserve"> study</w:t>
      </w:r>
      <w:r>
        <w:rPr>
          <w:sz w:val="26"/>
          <w:szCs w:val="26"/>
        </w:rPr>
        <w:t xml:space="preserve"> also</w:t>
      </w:r>
      <w:r w:rsidR="003D5346" w:rsidRPr="00EA6450">
        <w:rPr>
          <w:sz w:val="26"/>
          <w:szCs w:val="26"/>
        </w:rPr>
        <w:t xml:space="preserve"> </w:t>
      </w:r>
      <w:r w:rsidR="006F018E">
        <w:rPr>
          <w:sz w:val="26"/>
          <w:szCs w:val="26"/>
        </w:rPr>
        <w:t>contributes to our understanding of how</w:t>
      </w:r>
      <w:r w:rsidR="003D5346" w:rsidRPr="00EA6450">
        <w:rPr>
          <w:sz w:val="26"/>
          <w:szCs w:val="26"/>
        </w:rPr>
        <w:t xml:space="preserve"> </w:t>
      </w:r>
      <w:r w:rsidR="00CB2111">
        <w:rPr>
          <w:sz w:val="26"/>
          <w:szCs w:val="26"/>
        </w:rPr>
        <w:t>both</w:t>
      </w:r>
      <w:r w:rsidR="003D5346" w:rsidRPr="00EA6450">
        <w:rPr>
          <w:sz w:val="26"/>
          <w:szCs w:val="26"/>
        </w:rPr>
        <w:t xml:space="preserve"> informal and formal institutions have different impacts on </w:t>
      </w:r>
      <w:r w:rsidR="006F018E">
        <w:rPr>
          <w:sz w:val="26"/>
          <w:szCs w:val="26"/>
        </w:rPr>
        <w:t>the value extracted from</w:t>
      </w:r>
      <w:r w:rsidR="003D5346" w:rsidRPr="00EA6450">
        <w:rPr>
          <w:sz w:val="26"/>
          <w:szCs w:val="26"/>
        </w:rPr>
        <w:t xml:space="preserve"> HPWP. Informal institutions focus on the norms of society, and </w:t>
      </w:r>
      <w:r w:rsidR="002D5EB1">
        <w:rPr>
          <w:sz w:val="26"/>
          <w:szCs w:val="26"/>
        </w:rPr>
        <w:t xml:space="preserve">the </w:t>
      </w:r>
      <w:r w:rsidR="003D5346" w:rsidRPr="00EA6450">
        <w:rPr>
          <w:sz w:val="26"/>
          <w:szCs w:val="26"/>
        </w:rPr>
        <w:t>business itself.</w:t>
      </w:r>
      <w:r w:rsidR="005F6125">
        <w:rPr>
          <w:sz w:val="26"/>
          <w:szCs w:val="26"/>
        </w:rPr>
        <w:t xml:space="preserve"> </w:t>
      </w:r>
      <w:r w:rsidR="00CB2111">
        <w:rPr>
          <w:sz w:val="26"/>
          <w:szCs w:val="26"/>
        </w:rPr>
        <w:t>Our findings</w:t>
      </w:r>
      <w:r w:rsidR="00CB2111" w:rsidRPr="00EA6450">
        <w:rPr>
          <w:sz w:val="26"/>
          <w:szCs w:val="26"/>
        </w:rPr>
        <w:t xml:space="preserve"> highlight the importance of informal institutions in the context of understanding labor relations, high-performance work practices, and financial performance.</w:t>
      </w:r>
      <w:r w:rsidR="005F6125">
        <w:rPr>
          <w:sz w:val="26"/>
          <w:szCs w:val="26"/>
        </w:rPr>
        <w:t xml:space="preserve"> </w:t>
      </w:r>
      <w:r w:rsidR="00CB2111">
        <w:rPr>
          <w:sz w:val="26"/>
          <w:szCs w:val="26"/>
        </w:rPr>
        <w:t>We suggest that informal institutional pressures</w:t>
      </w:r>
      <w:r w:rsidR="003D5346" w:rsidRPr="00EA6450">
        <w:rPr>
          <w:sz w:val="26"/>
          <w:szCs w:val="26"/>
        </w:rPr>
        <w:t xml:space="preserve"> impact the reputational impact of HPWP, which in turn affects recruitment, employee effectiveness, and financial performance (Su et al., 2016; Tang et al., 2012).</w:t>
      </w:r>
      <w:r w:rsidR="005F6125">
        <w:rPr>
          <w:sz w:val="26"/>
          <w:szCs w:val="26"/>
        </w:rPr>
        <w:t xml:space="preserve"> </w:t>
      </w:r>
      <w:r w:rsidR="003D5346" w:rsidRPr="00EA6450">
        <w:rPr>
          <w:sz w:val="26"/>
          <w:szCs w:val="26"/>
        </w:rPr>
        <w:t>On the other hand, formal institutional pressures are more likely to impact the behavior and performance of firms more directly.</w:t>
      </w:r>
      <w:r w:rsidR="005F6125">
        <w:rPr>
          <w:sz w:val="26"/>
          <w:szCs w:val="26"/>
        </w:rPr>
        <w:t xml:space="preserve"> </w:t>
      </w:r>
      <w:r w:rsidR="003D5346" w:rsidRPr="00EA6450">
        <w:rPr>
          <w:sz w:val="26"/>
          <w:szCs w:val="26"/>
        </w:rPr>
        <w:t>In this case, we hypothesized and found some support for the idea that formal institutional pressures encouraged firms to undertake a more comprehensive set of human resource practices, maximizing the complementarities among them, and thus the benefit that could be attained from them.</w:t>
      </w:r>
      <w:r w:rsidR="006F018E">
        <w:rPr>
          <w:sz w:val="26"/>
          <w:szCs w:val="26"/>
        </w:rPr>
        <w:t xml:space="preserve"> These findings contribute to the research on the role of institutional pressures on HPWP, as well as the call for more focus on the difference between information and formal institutional pressures.</w:t>
      </w:r>
      <w:r w:rsidR="003D5346" w:rsidRPr="00EA6450">
        <w:rPr>
          <w:sz w:val="26"/>
          <w:szCs w:val="26"/>
        </w:rPr>
        <w:t xml:space="preserve"> </w:t>
      </w:r>
    </w:p>
    <w:p w14:paraId="2A601BF6" w14:textId="233D2DFA" w:rsidR="00165B65" w:rsidRDefault="009074BF" w:rsidP="005F6125">
      <w:pPr>
        <w:spacing w:line="360" w:lineRule="exact"/>
        <w:ind w:firstLine="720"/>
        <w:jc w:val="both"/>
        <w:rPr>
          <w:sz w:val="26"/>
          <w:szCs w:val="26"/>
        </w:rPr>
      </w:pPr>
      <w:r w:rsidRPr="00EA6450">
        <w:rPr>
          <w:sz w:val="26"/>
          <w:szCs w:val="26"/>
        </w:rPr>
        <w:t>One limitation of our study is</w:t>
      </w:r>
      <w:r w:rsidR="00786B9C">
        <w:rPr>
          <w:sz w:val="26"/>
          <w:szCs w:val="26"/>
        </w:rPr>
        <w:t>, though we do have and include data from Africa and South America,</w:t>
      </w:r>
      <w:r w:rsidRPr="00EA6450">
        <w:rPr>
          <w:sz w:val="26"/>
          <w:szCs w:val="26"/>
        </w:rPr>
        <w:t xml:space="preserve"> </w:t>
      </w:r>
      <w:r w:rsidR="00786B9C">
        <w:rPr>
          <w:sz w:val="26"/>
          <w:szCs w:val="26"/>
        </w:rPr>
        <w:t>our</w:t>
      </w:r>
      <w:r w:rsidRPr="00EA6450">
        <w:rPr>
          <w:sz w:val="26"/>
          <w:szCs w:val="26"/>
        </w:rPr>
        <w:t xml:space="preserve"> data are </w:t>
      </w:r>
      <w:r w:rsidR="00375DD8">
        <w:rPr>
          <w:sz w:val="26"/>
          <w:szCs w:val="26"/>
        </w:rPr>
        <w:t xml:space="preserve">still </w:t>
      </w:r>
      <w:r w:rsidRPr="00EA6450">
        <w:rPr>
          <w:sz w:val="26"/>
          <w:szCs w:val="26"/>
        </w:rPr>
        <w:t>weighted towards North America, Europe, and Asia. Institutional theory</w:t>
      </w:r>
      <w:r w:rsidR="00644F12" w:rsidRPr="00EA6450">
        <w:rPr>
          <w:sz w:val="26"/>
          <w:szCs w:val="26"/>
        </w:rPr>
        <w:t xml:space="preserve"> </w:t>
      </w:r>
      <w:r w:rsidR="00063B46" w:rsidRPr="00EA6450">
        <w:rPr>
          <w:sz w:val="26"/>
          <w:szCs w:val="26"/>
        </w:rPr>
        <w:t>has been extensively applied</w:t>
      </w:r>
      <w:r w:rsidRPr="00EA6450">
        <w:rPr>
          <w:sz w:val="26"/>
          <w:szCs w:val="26"/>
        </w:rPr>
        <w:t xml:space="preserve"> to explain activity in developing</w:t>
      </w:r>
      <w:r w:rsidR="008E2CF5" w:rsidRPr="00EA6450">
        <w:rPr>
          <w:sz w:val="26"/>
          <w:szCs w:val="26"/>
        </w:rPr>
        <w:t xml:space="preserve"> </w:t>
      </w:r>
      <w:r w:rsidRPr="00EA6450">
        <w:rPr>
          <w:sz w:val="26"/>
          <w:szCs w:val="26"/>
        </w:rPr>
        <w:t>nations and how it differed from activity in developed nations where, in theory, institutions had reached such a level of efficiency that they were effectively invisible</w:t>
      </w:r>
      <w:r w:rsidR="00063B46" w:rsidRPr="00EA6450">
        <w:rPr>
          <w:sz w:val="26"/>
          <w:szCs w:val="26"/>
        </w:rPr>
        <w:t xml:space="preserve"> (</w:t>
      </w:r>
      <w:r w:rsidR="00063B46" w:rsidRPr="00EA6450">
        <w:rPr>
          <w:sz w:val="26"/>
          <w:szCs w:val="26"/>
          <w:lang w:val="en-GB"/>
        </w:rPr>
        <w:t>Peng, 2003, 2014</w:t>
      </w:r>
      <w:r w:rsidR="00063B46" w:rsidRPr="00EA6450">
        <w:rPr>
          <w:sz w:val="26"/>
          <w:szCs w:val="26"/>
        </w:rPr>
        <w:t>)</w:t>
      </w:r>
      <w:r w:rsidRPr="00EA6450">
        <w:rPr>
          <w:sz w:val="26"/>
          <w:szCs w:val="26"/>
        </w:rPr>
        <w:t>.</w:t>
      </w:r>
      <w:r w:rsidR="005F6125">
        <w:rPr>
          <w:sz w:val="26"/>
          <w:szCs w:val="26"/>
        </w:rPr>
        <w:t xml:space="preserve"> </w:t>
      </w:r>
      <w:r w:rsidRPr="00EA6450">
        <w:rPr>
          <w:sz w:val="26"/>
          <w:szCs w:val="26"/>
        </w:rPr>
        <w:t xml:space="preserve">The institutional </w:t>
      </w:r>
      <w:r w:rsidR="005C5222" w:rsidRPr="00EA6450">
        <w:rPr>
          <w:sz w:val="26"/>
          <w:szCs w:val="26"/>
        </w:rPr>
        <w:t>effects of developing nations in other parts of the world, such as Africa, on the SHRM-financial performance relationship deserve</w:t>
      </w:r>
      <w:r w:rsidRPr="00EA6450">
        <w:rPr>
          <w:sz w:val="26"/>
          <w:szCs w:val="26"/>
        </w:rPr>
        <w:t xml:space="preserve"> further study.</w:t>
      </w:r>
      <w:r w:rsidR="005F6125">
        <w:rPr>
          <w:sz w:val="26"/>
          <w:szCs w:val="26"/>
        </w:rPr>
        <w:t xml:space="preserve"> </w:t>
      </w:r>
      <w:r w:rsidRPr="00EA6450">
        <w:rPr>
          <w:sz w:val="26"/>
          <w:szCs w:val="26"/>
        </w:rPr>
        <w:t xml:space="preserve">A second </w:t>
      </w:r>
      <w:r w:rsidRPr="00EA6450">
        <w:rPr>
          <w:sz w:val="26"/>
          <w:szCs w:val="26"/>
        </w:rPr>
        <w:lastRenderedPageBreak/>
        <w:t>limitation of this study is that the model only accounts for 7%-8% of the variance in the dependent variable.</w:t>
      </w:r>
      <w:r w:rsidR="005F6125">
        <w:rPr>
          <w:sz w:val="26"/>
          <w:szCs w:val="26"/>
        </w:rPr>
        <w:t xml:space="preserve"> </w:t>
      </w:r>
      <w:r w:rsidRPr="00EA6450">
        <w:rPr>
          <w:sz w:val="26"/>
          <w:szCs w:val="26"/>
        </w:rPr>
        <w:t xml:space="preserve">Future </w:t>
      </w:r>
      <w:r w:rsidR="00FD21B7" w:rsidRPr="00EA6450">
        <w:rPr>
          <w:sz w:val="26"/>
          <w:szCs w:val="26"/>
        </w:rPr>
        <w:t>stud</w:t>
      </w:r>
      <w:r w:rsidR="00FD21B7">
        <w:rPr>
          <w:sz w:val="26"/>
          <w:szCs w:val="26"/>
        </w:rPr>
        <w:t>ies</w:t>
      </w:r>
      <w:r w:rsidR="00FD21B7" w:rsidRPr="00EA6450">
        <w:rPr>
          <w:sz w:val="26"/>
          <w:szCs w:val="26"/>
        </w:rPr>
        <w:t xml:space="preserve"> </w:t>
      </w:r>
      <w:r w:rsidRPr="00EA6450">
        <w:rPr>
          <w:sz w:val="26"/>
          <w:szCs w:val="26"/>
        </w:rPr>
        <w:t>should attempt to build a model with stronger explanatory power.</w:t>
      </w:r>
      <w:r w:rsidR="005F6125">
        <w:rPr>
          <w:sz w:val="26"/>
          <w:szCs w:val="26"/>
        </w:rPr>
        <w:t xml:space="preserve"> </w:t>
      </w:r>
    </w:p>
    <w:p w14:paraId="441D720D" w14:textId="4C9527C7" w:rsidR="00C9462C" w:rsidRDefault="00C9462C" w:rsidP="005F6125">
      <w:pPr>
        <w:spacing w:line="360" w:lineRule="exact"/>
        <w:ind w:firstLine="720"/>
        <w:jc w:val="both"/>
        <w:rPr>
          <w:sz w:val="26"/>
          <w:szCs w:val="26"/>
        </w:rPr>
      </w:pPr>
      <w:r>
        <w:rPr>
          <w:sz w:val="26"/>
          <w:szCs w:val="26"/>
        </w:rPr>
        <w:t>Another limitation is that</w:t>
      </w:r>
      <w:r w:rsidRPr="00EA6450">
        <w:rPr>
          <w:sz w:val="26"/>
          <w:szCs w:val="26"/>
        </w:rPr>
        <w:t xml:space="preserve"> we treat HPWP as one variable. However, it may be that different types of work practices contribute to performance in different ways, and the moderating effect of institutional context may differ for different bundles as well.</w:t>
      </w:r>
      <w:r w:rsidR="005F6125">
        <w:rPr>
          <w:sz w:val="26"/>
          <w:szCs w:val="26"/>
        </w:rPr>
        <w:t xml:space="preserve"> </w:t>
      </w:r>
      <w:r w:rsidRPr="00EA6450">
        <w:rPr>
          <w:sz w:val="26"/>
          <w:szCs w:val="26"/>
        </w:rPr>
        <w:t>Returning to the literature focused on the bundling of different aspects of HPWP to find the best possible fit (Asmawi &amp; Chew, 2016; Combs et al., 2006), we suggest that, consistent with Huselid’s (1995) seminal position, the best fit will involve an alignment of internal and external factors.</w:t>
      </w:r>
      <w:r w:rsidR="005F6125">
        <w:rPr>
          <w:sz w:val="26"/>
          <w:szCs w:val="26"/>
        </w:rPr>
        <w:t xml:space="preserve"> </w:t>
      </w:r>
    </w:p>
    <w:p w14:paraId="38AD33B7" w14:textId="51EB272F" w:rsidR="008A4ED9" w:rsidRDefault="00C9462C" w:rsidP="005F6125">
      <w:pPr>
        <w:spacing w:line="360" w:lineRule="exact"/>
        <w:ind w:firstLine="720"/>
        <w:jc w:val="both"/>
        <w:rPr>
          <w:sz w:val="26"/>
          <w:szCs w:val="26"/>
        </w:rPr>
      </w:pPr>
      <w:r>
        <w:rPr>
          <w:sz w:val="26"/>
          <w:szCs w:val="26"/>
        </w:rPr>
        <w:t>The findings point</w:t>
      </w:r>
      <w:r w:rsidR="00EB6A28">
        <w:rPr>
          <w:sz w:val="26"/>
          <w:szCs w:val="26"/>
        </w:rPr>
        <w:t xml:space="preserve"> to some ar</w:t>
      </w:r>
      <w:r>
        <w:rPr>
          <w:sz w:val="26"/>
          <w:szCs w:val="26"/>
        </w:rPr>
        <w:t>eas for future research.</w:t>
      </w:r>
      <w:r w:rsidR="005F6125">
        <w:rPr>
          <w:sz w:val="26"/>
          <w:szCs w:val="26"/>
        </w:rPr>
        <w:t xml:space="preserve"> </w:t>
      </w:r>
      <w:r>
        <w:rPr>
          <w:sz w:val="26"/>
          <w:szCs w:val="26"/>
        </w:rPr>
        <w:t>First, f</w:t>
      </w:r>
      <w:r w:rsidR="00EB6A28" w:rsidRPr="00EA6450">
        <w:rPr>
          <w:sz w:val="26"/>
          <w:szCs w:val="26"/>
        </w:rPr>
        <w:t>uture research into which sorts</w:t>
      </w:r>
      <w:r w:rsidR="003D5346">
        <w:rPr>
          <w:sz w:val="26"/>
          <w:szCs w:val="26"/>
        </w:rPr>
        <w:t xml:space="preserve"> and combinations</w:t>
      </w:r>
      <w:r w:rsidR="00EB6A28" w:rsidRPr="00EA6450">
        <w:rPr>
          <w:sz w:val="26"/>
          <w:szCs w:val="26"/>
        </w:rPr>
        <w:t xml:space="preserve"> of formal institutional pressures yield the highest financial rewards for HPWP is called for, and the results are likely to be of interest to policymakers as well as business leaders.</w:t>
      </w:r>
      <w:r w:rsidRPr="00C9462C">
        <w:rPr>
          <w:sz w:val="26"/>
          <w:szCs w:val="26"/>
        </w:rPr>
        <w:t xml:space="preserve"> </w:t>
      </w:r>
      <w:r w:rsidR="00CB2111">
        <w:rPr>
          <w:sz w:val="26"/>
          <w:szCs w:val="26"/>
        </w:rPr>
        <w:t xml:space="preserve">In the same vein, looking at different measures and aspects of the institutional environment would be of use. </w:t>
      </w:r>
      <w:r>
        <w:rPr>
          <w:sz w:val="26"/>
          <w:szCs w:val="26"/>
        </w:rPr>
        <w:t xml:space="preserve">There is also an opportunity to </w:t>
      </w:r>
      <w:r w:rsidR="00165B65" w:rsidRPr="00EA6450">
        <w:rPr>
          <w:sz w:val="26"/>
          <w:szCs w:val="26"/>
        </w:rPr>
        <w:t>evaluate specific bundles of HPWP in firms of specific nations (e.g., Asmawi &amp; Chew, 2016; Williams &amp; Lee, 2016) or across many nations, so as to better understand how our findings interact with those of the HPWP bundling literature.</w:t>
      </w:r>
      <w:r w:rsidR="005F6125">
        <w:rPr>
          <w:sz w:val="26"/>
          <w:szCs w:val="26"/>
        </w:rPr>
        <w:t xml:space="preserve"> </w:t>
      </w:r>
      <w:r w:rsidR="00E176DC" w:rsidRPr="00EA6450">
        <w:rPr>
          <w:sz w:val="26"/>
          <w:szCs w:val="26"/>
        </w:rPr>
        <w:t xml:space="preserve">More detailed metrics of </w:t>
      </w:r>
      <w:r w:rsidR="00993A5C" w:rsidRPr="00EA6450">
        <w:rPr>
          <w:sz w:val="26"/>
          <w:szCs w:val="26"/>
        </w:rPr>
        <w:t>HPWP</w:t>
      </w:r>
      <w:r w:rsidR="00E176DC" w:rsidRPr="00EA6450">
        <w:rPr>
          <w:sz w:val="26"/>
          <w:szCs w:val="26"/>
        </w:rPr>
        <w:t xml:space="preserve"> </w:t>
      </w:r>
      <w:r w:rsidR="00F028F5" w:rsidRPr="00EA6450">
        <w:rPr>
          <w:sz w:val="26"/>
          <w:szCs w:val="26"/>
        </w:rPr>
        <w:t>can also</w:t>
      </w:r>
      <w:r w:rsidR="00E176DC" w:rsidRPr="00EA6450">
        <w:rPr>
          <w:sz w:val="26"/>
          <w:szCs w:val="26"/>
        </w:rPr>
        <w:t xml:space="preserve"> help</w:t>
      </w:r>
      <w:r w:rsidR="00F028F5" w:rsidRPr="00EA6450">
        <w:rPr>
          <w:sz w:val="26"/>
          <w:szCs w:val="26"/>
        </w:rPr>
        <w:t xml:space="preserve"> parse out the impact of combinations of work practices</w:t>
      </w:r>
      <w:r w:rsidR="00C060B5" w:rsidRPr="00EA6450">
        <w:rPr>
          <w:sz w:val="26"/>
          <w:szCs w:val="26"/>
        </w:rPr>
        <w:t>.</w:t>
      </w:r>
      <w:r w:rsidR="005F6125">
        <w:rPr>
          <w:sz w:val="26"/>
          <w:szCs w:val="26"/>
        </w:rPr>
        <w:t xml:space="preserve"> </w:t>
      </w:r>
      <w:r>
        <w:rPr>
          <w:sz w:val="26"/>
          <w:szCs w:val="26"/>
        </w:rPr>
        <w:t xml:space="preserve">Another area for future work is to explore </w:t>
      </w:r>
      <w:r w:rsidR="00CB2111">
        <w:rPr>
          <w:sz w:val="26"/>
          <w:szCs w:val="26"/>
        </w:rPr>
        <w:t>similar relationships for different</w:t>
      </w:r>
      <w:r>
        <w:rPr>
          <w:sz w:val="26"/>
          <w:szCs w:val="26"/>
        </w:rPr>
        <w:t xml:space="preserve"> workforce</w:t>
      </w:r>
      <w:r w:rsidR="00CB2111">
        <w:rPr>
          <w:sz w:val="26"/>
          <w:szCs w:val="26"/>
        </w:rPr>
        <w:t>s</w:t>
      </w:r>
      <w:r>
        <w:rPr>
          <w:sz w:val="26"/>
          <w:szCs w:val="26"/>
        </w:rPr>
        <w:t>. For example, o</w:t>
      </w:r>
      <w:r w:rsidR="006236B0" w:rsidRPr="00EA6450">
        <w:rPr>
          <w:sz w:val="26"/>
          <w:szCs w:val="26"/>
        </w:rPr>
        <w:t>ur findings with respect to labor market flexibility are not entirely consistent with Chacar et al. (201</w:t>
      </w:r>
      <w:r w:rsidR="00927A81" w:rsidRPr="00EA6450">
        <w:rPr>
          <w:sz w:val="26"/>
          <w:szCs w:val="26"/>
        </w:rPr>
        <w:t>0</w:t>
      </w:r>
      <w:r w:rsidR="006236B0" w:rsidRPr="00EA6450">
        <w:rPr>
          <w:sz w:val="26"/>
          <w:szCs w:val="26"/>
        </w:rPr>
        <w:t>)’s finding with respect to unskilled labor market flexibility.</w:t>
      </w:r>
      <w:r w:rsidR="005F6125">
        <w:rPr>
          <w:sz w:val="26"/>
          <w:szCs w:val="26"/>
        </w:rPr>
        <w:t xml:space="preserve"> </w:t>
      </w:r>
      <w:r w:rsidR="00C44285" w:rsidRPr="00EA6450">
        <w:rPr>
          <w:sz w:val="26"/>
          <w:szCs w:val="26"/>
        </w:rPr>
        <w:t xml:space="preserve">Their findings suggest that </w:t>
      </w:r>
      <w:r w:rsidR="00C44285" w:rsidRPr="00EA6450">
        <w:rPr>
          <w:i/>
          <w:sz w:val="26"/>
          <w:szCs w:val="26"/>
        </w:rPr>
        <w:t>unskilled</w:t>
      </w:r>
      <w:r w:rsidR="00C44285" w:rsidRPr="00EA6450">
        <w:rPr>
          <w:sz w:val="26"/>
          <w:szCs w:val="26"/>
        </w:rPr>
        <w:t xml:space="preserve"> labor market flexibility helps firm performance</w:t>
      </w:r>
      <w:r>
        <w:rPr>
          <w:sz w:val="26"/>
          <w:szCs w:val="26"/>
        </w:rPr>
        <w:t xml:space="preserve">, while we found that </w:t>
      </w:r>
      <w:r w:rsidR="007C5E21" w:rsidRPr="00EA6450">
        <w:rPr>
          <w:sz w:val="26"/>
          <w:szCs w:val="26"/>
        </w:rPr>
        <w:t>labor market flexibility never helps and sometimes hurts profits.</w:t>
      </w:r>
      <w:r w:rsidR="005F6125">
        <w:rPr>
          <w:sz w:val="26"/>
          <w:szCs w:val="26"/>
        </w:rPr>
        <w:t xml:space="preserve"> </w:t>
      </w:r>
      <w:r>
        <w:rPr>
          <w:sz w:val="26"/>
          <w:szCs w:val="26"/>
        </w:rPr>
        <w:t>Although</w:t>
      </w:r>
      <w:r w:rsidR="006236B0" w:rsidRPr="00EA6450">
        <w:rPr>
          <w:sz w:val="26"/>
          <w:szCs w:val="26"/>
        </w:rPr>
        <w:t xml:space="preserve"> </w:t>
      </w:r>
      <w:r w:rsidR="003D39DC" w:rsidRPr="00EA6450">
        <w:rPr>
          <w:sz w:val="26"/>
          <w:szCs w:val="26"/>
        </w:rPr>
        <w:t>Chacar et al. (201</w:t>
      </w:r>
      <w:r w:rsidR="00927A81" w:rsidRPr="00EA6450">
        <w:rPr>
          <w:sz w:val="26"/>
          <w:szCs w:val="26"/>
        </w:rPr>
        <w:t>0</w:t>
      </w:r>
      <w:r w:rsidR="003D39DC" w:rsidRPr="00EA6450">
        <w:rPr>
          <w:sz w:val="26"/>
          <w:szCs w:val="26"/>
        </w:rPr>
        <w:t>)</w:t>
      </w:r>
      <w:r w:rsidR="00141679" w:rsidRPr="00EA6450">
        <w:rPr>
          <w:sz w:val="26"/>
          <w:szCs w:val="26"/>
        </w:rPr>
        <w:t xml:space="preserve">’s </w:t>
      </w:r>
      <w:r>
        <w:rPr>
          <w:sz w:val="26"/>
          <w:szCs w:val="26"/>
        </w:rPr>
        <w:t xml:space="preserve">measure of </w:t>
      </w:r>
      <w:r w:rsidR="00141679" w:rsidRPr="00EA6450">
        <w:rPr>
          <w:sz w:val="26"/>
          <w:szCs w:val="26"/>
        </w:rPr>
        <w:t>labor market flexibility</w:t>
      </w:r>
      <w:r w:rsidR="003D39DC" w:rsidRPr="00EA6450">
        <w:rPr>
          <w:sz w:val="26"/>
          <w:szCs w:val="26"/>
        </w:rPr>
        <w:t xml:space="preserve"> </w:t>
      </w:r>
      <w:r w:rsidR="007C5E21" w:rsidRPr="00EA6450">
        <w:rPr>
          <w:sz w:val="26"/>
          <w:szCs w:val="26"/>
        </w:rPr>
        <w:t xml:space="preserve">is </w:t>
      </w:r>
      <w:r>
        <w:rPr>
          <w:sz w:val="26"/>
          <w:szCs w:val="26"/>
        </w:rPr>
        <w:t>more narrow than ours, the difference in findings</w:t>
      </w:r>
      <w:r w:rsidR="007C5E21" w:rsidRPr="00EA6450">
        <w:rPr>
          <w:sz w:val="26"/>
          <w:szCs w:val="26"/>
        </w:rPr>
        <w:t xml:space="preserve"> underscores the need for further research that takes a m</w:t>
      </w:r>
      <w:r>
        <w:rPr>
          <w:sz w:val="26"/>
          <w:szCs w:val="26"/>
        </w:rPr>
        <w:t>ore fine-grained approach to the concepts at hand</w:t>
      </w:r>
      <w:r w:rsidR="007C5E21" w:rsidRPr="00EA6450">
        <w:rPr>
          <w:sz w:val="26"/>
          <w:szCs w:val="26"/>
        </w:rPr>
        <w:t>.</w:t>
      </w:r>
      <w:r w:rsidR="005F6125">
        <w:rPr>
          <w:sz w:val="26"/>
          <w:szCs w:val="26"/>
        </w:rPr>
        <w:t xml:space="preserve"> </w:t>
      </w:r>
      <w:r w:rsidR="006236B0" w:rsidRPr="00EA6450">
        <w:rPr>
          <w:sz w:val="26"/>
          <w:szCs w:val="26"/>
        </w:rPr>
        <w:t>Exploring how labor market flexibility’s effects vary across different ratios of unskilled to skilled workers</w:t>
      </w:r>
      <w:r w:rsidR="007C5E21" w:rsidRPr="00EA6450">
        <w:rPr>
          <w:sz w:val="26"/>
          <w:szCs w:val="26"/>
        </w:rPr>
        <w:t>, for example,</w:t>
      </w:r>
      <w:r w:rsidR="006236B0" w:rsidRPr="00EA6450">
        <w:rPr>
          <w:sz w:val="26"/>
          <w:szCs w:val="26"/>
        </w:rPr>
        <w:t xml:space="preserve"> is </w:t>
      </w:r>
      <w:r w:rsidR="007C5E21" w:rsidRPr="00EA6450">
        <w:rPr>
          <w:sz w:val="26"/>
          <w:szCs w:val="26"/>
        </w:rPr>
        <w:t>one</w:t>
      </w:r>
      <w:r w:rsidR="006236B0" w:rsidRPr="00EA6450">
        <w:rPr>
          <w:sz w:val="26"/>
          <w:szCs w:val="26"/>
        </w:rPr>
        <w:t xml:space="preserve"> </w:t>
      </w:r>
      <w:r w:rsidR="007C5E21" w:rsidRPr="00EA6450">
        <w:rPr>
          <w:sz w:val="26"/>
          <w:szCs w:val="26"/>
        </w:rPr>
        <w:t>potential</w:t>
      </w:r>
      <w:r w:rsidR="006236B0" w:rsidRPr="00EA6450">
        <w:rPr>
          <w:sz w:val="26"/>
          <w:szCs w:val="26"/>
        </w:rPr>
        <w:t xml:space="preserve"> </w:t>
      </w:r>
      <w:r w:rsidR="004C4AB9" w:rsidRPr="00EA6450">
        <w:rPr>
          <w:sz w:val="26"/>
          <w:szCs w:val="26"/>
        </w:rPr>
        <w:t>direction for future research.</w:t>
      </w:r>
    </w:p>
    <w:p w14:paraId="67A5C8E6" w14:textId="737EDBBB" w:rsidR="003D5346" w:rsidRPr="003D5346" w:rsidRDefault="003D5346" w:rsidP="005F6125">
      <w:pPr>
        <w:spacing w:line="360" w:lineRule="exact"/>
        <w:ind w:firstLine="720"/>
        <w:jc w:val="both"/>
        <w:rPr>
          <w:sz w:val="26"/>
          <w:szCs w:val="26"/>
        </w:rPr>
      </w:pPr>
      <w:r>
        <w:rPr>
          <w:sz w:val="26"/>
          <w:szCs w:val="26"/>
        </w:rPr>
        <w:t>The implications for CSR research are also noteworthy, particularly if future work indicates that our findings with respect to HPWP are generalizable to other dimensions of CSR:</w:t>
      </w:r>
      <w:r w:rsidR="005F6125">
        <w:rPr>
          <w:sz w:val="26"/>
          <w:szCs w:val="26"/>
        </w:rPr>
        <w:t xml:space="preserve"> </w:t>
      </w:r>
      <w:r>
        <w:rPr>
          <w:sz w:val="26"/>
          <w:szCs w:val="26"/>
        </w:rPr>
        <w:t>The degree of government regulation does seem to affect the strength of the CSR-financial performance relationship, but not its overall direction.</w:t>
      </w:r>
      <w:r w:rsidR="005F6125">
        <w:rPr>
          <w:sz w:val="26"/>
          <w:szCs w:val="26"/>
        </w:rPr>
        <w:t xml:space="preserve"> </w:t>
      </w:r>
      <w:r>
        <w:rPr>
          <w:sz w:val="26"/>
          <w:szCs w:val="26"/>
        </w:rPr>
        <w:t xml:space="preserve">Likewise, a culture that values CSR will, at least with respect to HPWP, appreciate it and reward it more than a culture that does not. We cannot draw conclusions from these findings regarding government regulation and financial performance in other areas of CSR, but suggest that </w:t>
      </w:r>
      <w:r>
        <w:rPr>
          <w:sz w:val="26"/>
          <w:szCs w:val="26"/>
        </w:rPr>
        <w:lastRenderedPageBreak/>
        <w:t>such beneficial regulations might be found in areas such as sustainability.</w:t>
      </w:r>
      <w:r w:rsidR="005F6125">
        <w:rPr>
          <w:sz w:val="26"/>
          <w:szCs w:val="26"/>
        </w:rPr>
        <w:t xml:space="preserve"> </w:t>
      </w:r>
      <w:r>
        <w:rPr>
          <w:sz w:val="26"/>
          <w:szCs w:val="26"/>
        </w:rPr>
        <w:t>Further study in these and similar contexts would be helpful.</w:t>
      </w:r>
      <w:r w:rsidR="005F6125">
        <w:rPr>
          <w:sz w:val="26"/>
          <w:szCs w:val="26"/>
        </w:rPr>
        <w:t xml:space="preserve"> </w:t>
      </w:r>
    </w:p>
    <w:p w14:paraId="5E18FC17" w14:textId="099E25C7" w:rsidR="00C060B5" w:rsidRPr="00EA6450" w:rsidRDefault="003D5346" w:rsidP="005F6125">
      <w:pPr>
        <w:spacing w:line="360" w:lineRule="exact"/>
        <w:ind w:firstLine="720"/>
        <w:jc w:val="both"/>
        <w:rPr>
          <w:sz w:val="26"/>
          <w:szCs w:val="26"/>
        </w:rPr>
      </w:pPr>
      <w:r>
        <w:rPr>
          <w:sz w:val="26"/>
          <w:szCs w:val="26"/>
        </w:rPr>
        <w:t>The research has</w:t>
      </w:r>
      <w:r w:rsidR="009074BF" w:rsidRPr="00EA6450">
        <w:rPr>
          <w:sz w:val="26"/>
          <w:szCs w:val="26"/>
        </w:rPr>
        <w:t xml:space="preserve"> </w:t>
      </w:r>
      <w:r w:rsidR="004813D8" w:rsidRPr="00EA6450">
        <w:rPr>
          <w:sz w:val="26"/>
          <w:szCs w:val="26"/>
        </w:rPr>
        <w:t xml:space="preserve">practical </w:t>
      </w:r>
      <w:r w:rsidR="009074BF" w:rsidRPr="00EA6450">
        <w:rPr>
          <w:sz w:val="26"/>
          <w:szCs w:val="26"/>
        </w:rPr>
        <w:t>implications for policymakers.</w:t>
      </w:r>
      <w:r w:rsidR="005F6125">
        <w:rPr>
          <w:sz w:val="26"/>
          <w:szCs w:val="26"/>
        </w:rPr>
        <w:t xml:space="preserve"> </w:t>
      </w:r>
      <w:r w:rsidR="00BA7F78" w:rsidRPr="00EA6450">
        <w:rPr>
          <w:sz w:val="26"/>
          <w:szCs w:val="26"/>
        </w:rPr>
        <w:t xml:space="preserve">Since </w:t>
      </w:r>
      <w:r w:rsidR="00D778D2" w:rsidRPr="00EA6450">
        <w:rPr>
          <w:sz w:val="26"/>
          <w:szCs w:val="26"/>
        </w:rPr>
        <w:t>labor market efficiency</w:t>
      </w:r>
      <w:r w:rsidR="005C5222" w:rsidRPr="00EA6450">
        <w:rPr>
          <w:sz w:val="26"/>
          <w:szCs w:val="26"/>
        </w:rPr>
        <w:t xml:space="preserve"> </w:t>
      </w:r>
      <w:r w:rsidR="009074BF" w:rsidRPr="00EA6450">
        <w:rPr>
          <w:sz w:val="26"/>
          <w:szCs w:val="26"/>
        </w:rPr>
        <w:t>improves firm performance</w:t>
      </w:r>
      <w:r w:rsidR="00BA7F78" w:rsidRPr="00EA6450">
        <w:rPr>
          <w:sz w:val="26"/>
          <w:szCs w:val="26"/>
        </w:rPr>
        <w:t xml:space="preserve">, </w:t>
      </w:r>
      <w:r w:rsidR="00B06B0F" w:rsidRPr="00EA6450">
        <w:rPr>
          <w:sz w:val="26"/>
          <w:szCs w:val="26"/>
        </w:rPr>
        <w:t>p</w:t>
      </w:r>
      <w:r w:rsidR="009074BF" w:rsidRPr="00EA6450">
        <w:rPr>
          <w:sz w:val="26"/>
          <w:szCs w:val="26"/>
        </w:rPr>
        <w:t xml:space="preserve">olicy changes that encourage </w:t>
      </w:r>
      <w:r w:rsidR="00D778D2" w:rsidRPr="00EA6450">
        <w:rPr>
          <w:sz w:val="26"/>
          <w:szCs w:val="26"/>
        </w:rPr>
        <w:t>labor market efficiency</w:t>
      </w:r>
      <w:r w:rsidR="009074BF" w:rsidRPr="00EA6450">
        <w:rPr>
          <w:sz w:val="26"/>
          <w:szCs w:val="26"/>
        </w:rPr>
        <w:t xml:space="preserve"> </w:t>
      </w:r>
      <w:r w:rsidR="005C5222" w:rsidRPr="00EA6450">
        <w:rPr>
          <w:sz w:val="26"/>
          <w:szCs w:val="26"/>
        </w:rPr>
        <w:t>and</w:t>
      </w:r>
      <w:r w:rsidR="009074BF" w:rsidRPr="00EA6450">
        <w:rPr>
          <w:sz w:val="26"/>
          <w:szCs w:val="26"/>
        </w:rPr>
        <w:t xml:space="preserve"> HPWP would be particularly effective at stimulating profitability. For example, governments that want to stimulate their economies should enact laws and regulations that formally discourage sexism and nepotism; they should also seek out ways to </w:t>
      </w:r>
      <w:r w:rsidR="005C5222" w:rsidRPr="00EA6450">
        <w:rPr>
          <w:sz w:val="26"/>
          <w:szCs w:val="26"/>
        </w:rPr>
        <w:t xml:space="preserve">informally </w:t>
      </w:r>
      <w:r w:rsidR="009074BF" w:rsidRPr="00EA6450">
        <w:rPr>
          <w:sz w:val="26"/>
          <w:szCs w:val="26"/>
        </w:rPr>
        <w:t>discourage these practices.</w:t>
      </w:r>
      <w:r w:rsidR="005F6125">
        <w:rPr>
          <w:sz w:val="26"/>
          <w:szCs w:val="26"/>
        </w:rPr>
        <w:t xml:space="preserve"> </w:t>
      </w:r>
      <w:r w:rsidR="008C4EDC" w:rsidRPr="00EA6450">
        <w:rPr>
          <w:sz w:val="26"/>
          <w:szCs w:val="26"/>
        </w:rPr>
        <w:t xml:space="preserve">We note, however, that </w:t>
      </w:r>
      <w:r w:rsidR="006236B0" w:rsidRPr="00EA6450">
        <w:rPr>
          <w:sz w:val="26"/>
          <w:szCs w:val="26"/>
        </w:rPr>
        <w:t xml:space="preserve">changing </w:t>
      </w:r>
      <w:r w:rsidR="006236B0" w:rsidRPr="00EA6450">
        <w:rPr>
          <w:i/>
          <w:sz w:val="26"/>
          <w:szCs w:val="26"/>
        </w:rPr>
        <w:t>informal</w:t>
      </w:r>
      <w:r w:rsidR="006236B0" w:rsidRPr="00EA6450">
        <w:rPr>
          <w:sz w:val="26"/>
          <w:szCs w:val="26"/>
        </w:rPr>
        <w:t xml:space="preserve"> </w:t>
      </w:r>
      <w:r w:rsidR="007C5E21" w:rsidRPr="00EA6450">
        <w:rPr>
          <w:sz w:val="26"/>
          <w:szCs w:val="26"/>
        </w:rPr>
        <w:t xml:space="preserve">uncodified </w:t>
      </w:r>
      <w:r w:rsidR="006236B0" w:rsidRPr="00EA6450">
        <w:rPr>
          <w:sz w:val="26"/>
          <w:szCs w:val="26"/>
        </w:rPr>
        <w:t>institutional pressures is</w:t>
      </w:r>
      <w:r w:rsidR="004D22A5" w:rsidRPr="00EA6450">
        <w:rPr>
          <w:sz w:val="26"/>
          <w:szCs w:val="26"/>
        </w:rPr>
        <w:t>, by definition</w:t>
      </w:r>
      <w:r w:rsidR="003D39DC" w:rsidRPr="00EA6450">
        <w:rPr>
          <w:sz w:val="26"/>
          <w:szCs w:val="26"/>
        </w:rPr>
        <w:t xml:space="preserve"> </w:t>
      </w:r>
      <w:r w:rsidR="00DD40F1" w:rsidRPr="00EA6450">
        <w:rPr>
          <w:sz w:val="26"/>
          <w:szCs w:val="26"/>
        </w:rPr>
        <w:t>and emp</w:t>
      </w:r>
      <w:r w:rsidR="00B6032F" w:rsidRPr="00EA6450">
        <w:rPr>
          <w:sz w:val="26"/>
          <w:szCs w:val="26"/>
        </w:rPr>
        <w:t xml:space="preserve">irical </w:t>
      </w:r>
      <w:r w:rsidR="00D651C8" w:rsidRPr="00EA6450">
        <w:rPr>
          <w:sz w:val="26"/>
          <w:szCs w:val="26"/>
        </w:rPr>
        <w:t>demonstration,</w:t>
      </w:r>
      <w:r w:rsidR="00B6032F" w:rsidRPr="00EA6450">
        <w:rPr>
          <w:sz w:val="26"/>
          <w:szCs w:val="26"/>
        </w:rPr>
        <w:t xml:space="preserve"> m</w:t>
      </w:r>
      <w:r w:rsidR="007C5E21" w:rsidRPr="00EA6450">
        <w:rPr>
          <w:sz w:val="26"/>
          <w:szCs w:val="26"/>
        </w:rPr>
        <w:t xml:space="preserve">ore </w:t>
      </w:r>
      <w:r w:rsidR="006236B0" w:rsidRPr="00EA6450">
        <w:rPr>
          <w:sz w:val="26"/>
          <w:szCs w:val="26"/>
        </w:rPr>
        <w:t>difficult to legislate</w:t>
      </w:r>
      <w:r w:rsidR="007C5E21" w:rsidRPr="00EA6450">
        <w:rPr>
          <w:sz w:val="26"/>
          <w:szCs w:val="26"/>
        </w:rPr>
        <w:t xml:space="preserve"> than changing codified, formal laws and regulations </w:t>
      </w:r>
      <w:r w:rsidR="006236B0" w:rsidRPr="00EA6450">
        <w:rPr>
          <w:sz w:val="26"/>
          <w:szCs w:val="26"/>
        </w:rPr>
        <w:t>and</w:t>
      </w:r>
      <w:r w:rsidR="007C5E21" w:rsidRPr="00EA6450">
        <w:rPr>
          <w:sz w:val="26"/>
          <w:szCs w:val="26"/>
        </w:rPr>
        <w:t xml:space="preserve"> is</w:t>
      </w:r>
      <w:r w:rsidR="006236B0" w:rsidRPr="00EA6450">
        <w:rPr>
          <w:sz w:val="26"/>
          <w:szCs w:val="26"/>
        </w:rPr>
        <w:t xml:space="preserve"> fraught with the danger of unexpected and negative consequences (Williamson, 2009).</w:t>
      </w:r>
      <w:r w:rsidR="005F6125">
        <w:rPr>
          <w:sz w:val="26"/>
          <w:szCs w:val="26"/>
        </w:rPr>
        <w:t xml:space="preserve"> </w:t>
      </w:r>
      <w:r w:rsidR="003C0FA8" w:rsidRPr="00EA6450">
        <w:rPr>
          <w:sz w:val="26"/>
          <w:szCs w:val="26"/>
        </w:rPr>
        <w:t xml:space="preserve">Thus, such </w:t>
      </w:r>
      <w:r w:rsidR="006236B0" w:rsidRPr="00EA6450">
        <w:rPr>
          <w:sz w:val="26"/>
          <w:szCs w:val="26"/>
        </w:rPr>
        <w:t xml:space="preserve">efforts should be pursued with caution, if at all, and further research into how to successfully increase a nation’s </w:t>
      </w:r>
      <w:r w:rsidR="00D778D2" w:rsidRPr="00EA6450">
        <w:rPr>
          <w:sz w:val="26"/>
          <w:szCs w:val="26"/>
        </w:rPr>
        <w:t>labor market efficiency</w:t>
      </w:r>
      <w:r w:rsidR="006236B0" w:rsidRPr="00EA6450">
        <w:rPr>
          <w:sz w:val="26"/>
          <w:szCs w:val="26"/>
        </w:rPr>
        <w:t xml:space="preserve"> is needed.</w:t>
      </w:r>
    </w:p>
    <w:p w14:paraId="7F8BE4B4" w14:textId="4FFEF009" w:rsidR="00C060B5" w:rsidRPr="00EA6450" w:rsidRDefault="003D5346" w:rsidP="005F6125">
      <w:pPr>
        <w:spacing w:line="360" w:lineRule="exact"/>
        <w:ind w:firstLine="720"/>
        <w:jc w:val="both"/>
        <w:rPr>
          <w:sz w:val="26"/>
          <w:szCs w:val="26"/>
        </w:rPr>
      </w:pPr>
      <w:r>
        <w:rPr>
          <w:sz w:val="26"/>
          <w:szCs w:val="26"/>
        </w:rPr>
        <w:t xml:space="preserve">A practical implication for practitioners </w:t>
      </w:r>
      <w:r w:rsidR="00CB2111">
        <w:rPr>
          <w:sz w:val="26"/>
          <w:szCs w:val="26"/>
        </w:rPr>
        <w:t>is</w:t>
      </w:r>
      <w:r w:rsidR="009074BF" w:rsidRPr="00EA6450">
        <w:rPr>
          <w:sz w:val="26"/>
          <w:szCs w:val="26"/>
        </w:rPr>
        <w:t xml:space="preserve"> that efforts spent lobbying against minimum wage laws and labor protection laws </w:t>
      </w:r>
      <w:r w:rsidR="00CB2111">
        <w:rPr>
          <w:sz w:val="26"/>
          <w:szCs w:val="26"/>
        </w:rPr>
        <w:t>may</w:t>
      </w:r>
      <w:r w:rsidR="009074BF" w:rsidRPr="00EA6450">
        <w:rPr>
          <w:sz w:val="26"/>
          <w:szCs w:val="26"/>
        </w:rPr>
        <w:t xml:space="preserve"> be more profitably spent lobbying for conditions that encourage equal market participation by women, racial minorities, the deaf and disabled, homosexuals, and so on.</w:t>
      </w:r>
      <w:r w:rsidR="005F6125">
        <w:rPr>
          <w:sz w:val="26"/>
          <w:szCs w:val="26"/>
        </w:rPr>
        <w:t xml:space="preserve"> </w:t>
      </w:r>
      <w:r w:rsidR="009074BF" w:rsidRPr="00EA6450">
        <w:rPr>
          <w:sz w:val="26"/>
          <w:szCs w:val="26"/>
        </w:rPr>
        <w:t xml:space="preserve">While businesses </w:t>
      </w:r>
      <w:r>
        <w:rPr>
          <w:sz w:val="26"/>
          <w:szCs w:val="26"/>
        </w:rPr>
        <w:t>will differ in how much value they would extract</w:t>
      </w:r>
      <w:r w:rsidR="00B06B0F" w:rsidRPr="00EA6450">
        <w:rPr>
          <w:sz w:val="26"/>
          <w:szCs w:val="26"/>
        </w:rPr>
        <w:t xml:space="preserve"> from this activity</w:t>
      </w:r>
      <w:r w:rsidR="009074BF" w:rsidRPr="00EA6450">
        <w:rPr>
          <w:sz w:val="26"/>
          <w:szCs w:val="26"/>
        </w:rPr>
        <w:t xml:space="preserve">, </w:t>
      </w:r>
      <w:r>
        <w:rPr>
          <w:sz w:val="26"/>
          <w:szCs w:val="26"/>
        </w:rPr>
        <w:t xml:space="preserve">our findings suggest that overall </w:t>
      </w:r>
      <w:r w:rsidR="009074BF" w:rsidRPr="00EA6450">
        <w:rPr>
          <w:sz w:val="26"/>
          <w:szCs w:val="26"/>
        </w:rPr>
        <w:t xml:space="preserve">all would </w:t>
      </w:r>
      <w:r w:rsidR="008A4ED9" w:rsidRPr="00EA6450">
        <w:rPr>
          <w:sz w:val="26"/>
          <w:szCs w:val="26"/>
        </w:rPr>
        <w:t>benefit</w:t>
      </w:r>
      <w:r w:rsidR="009074BF" w:rsidRPr="00EA6450">
        <w:rPr>
          <w:sz w:val="26"/>
          <w:szCs w:val="26"/>
        </w:rPr>
        <w:t>.</w:t>
      </w:r>
      <w:r w:rsidR="005F6125">
        <w:rPr>
          <w:sz w:val="26"/>
          <w:szCs w:val="26"/>
        </w:rPr>
        <w:t xml:space="preserve"> </w:t>
      </w:r>
      <w:r w:rsidR="009074BF" w:rsidRPr="00EA6450">
        <w:rPr>
          <w:sz w:val="26"/>
          <w:szCs w:val="26"/>
        </w:rPr>
        <w:t>In such an economy, profits for companies that engage successfully in HPWP are higher yet.</w:t>
      </w:r>
      <w:r w:rsidR="005F6125">
        <w:rPr>
          <w:sz w:val="26"/>
          <w:szCs w:val="26"/>
        </w:rPr>
        <w:t xml:space="preserve"> </w:t>
      </w:r>
      <w:r w:rsidR="004C7CCF" w:rsidRPr="00EA6450">
        <w:rPr>
          <w:sz w:val="26"/>
          <w:szCs w:val="26"/>
        </w:rPr>
        <w:t>We note that this finding aligns with those of Witt and Jackson (2016), in that they did not find the expected benefits of a liberal market economy either.</w:t>
      </w:r>
      <w:r w:rsidR="005F6125">
        <w:rPr>
          <w:sz w:val="26"/>
          <w:szCs w:val="26"/>
        </w:rPr>
        <w:t xml:space="preserve"> </w:t>
      </w:r>
      <w:r w:rsidR="004C7CCF" w:rsidRPr="00EA6450">
        <w:rPr>
          <w:sz w:val="26"/>
          <w:szCs w:val="26"/>
        </w:rPr>
        <w:t>Our reasoning here may also help explain their findings.</w:t>
      </w:r>
      <w:r w:rsidR="005F6125">
        <w:rPr>
          <w:sz w:val="26"/>
          <w:szCs w:val="26"/>
        </w:rPr>
        <w:t xml:space="preserve"> </w:t>
      </w:r>
    </w:p>
    <w:p w14:paraId="34D1D23D" w14:textId="380375C6" w:rsidR="008A4ED9" w:rsidRPr="00EA6450" w:rsidRDefault="00CB2111" w:rsidP="005F6125">
      <w:pPr>
        <w:spacing w:line="360" w:lineRule="exact"/>
        <w:ind w:firstLine="720"/>
        <w:jc w:val="both"/>
        <w:rPr>
          <w:sz w:val="26"/>
          <w:szCs w:val="26"/>
        </w:rPr>
      </w:pPr>
      <w:r>
        <w:rPr>
          <w:sz w:val="26"/>
          <w:szCs w:val="26"/>
        </w:rPr>
        <w:t>Overall</w:t>
      </w:r>
      <w:r w:rsidR="003D5346">
        <w:rPr>
          <w:sz w:val="26"/>
          <w:szCs w:val="26"/>
        </w:rPr>
        <w:t>,</w:t>
      </w:r>
      <w:r>
        <w:rPr>
          <w:sz w:val="26"/>
          <w:szCs w:val="26"/>
        </w:rPr>
        <w:t xml:space="preserve"> firms and government</w:t>
      </w:r>
      <w:r w:rsidR="00FD21B7">
        <w:rPr>
          <w:sz w:val="26"/>
          <w:szCs w:val="26"/>
        </w:rPr>
        <w:t>s</w:t>
      </w:r>
      <w:r>
        <w:rPr>
          <w:sz w:val="26"/>
          <w:szCs w:val="26"/>
        </w:rPr>
        <w:t xml:space="preserve"> should pay</w:t>
      </w:r>
      <w:r w:rsidR="003D5346">
        <w:rPr>
          <w:sz w:val="26"/>
          <w:szCs w:val="26"/>
        </w:rPr>
        <w:t xml:space="preserve"> attention to </w:t>
      </w:r>
      <w:r w:rsidR="00141679" w:rsidRPr="00EA6450">
        <w:rPr>
          <w:sz w:val="26"/>
          <w:szCs w:val="26"/>
        </w:rPr>
        <w:t xml:space="preserve">informal institutions, which are difficult to adjust through </w:t>
      </w:r>
      <w:r>
        <w:rPr>
          <w:sz w:val="26"/>
          <w:szCs w:val="26"/>
        </w:rPr>
        <w:t xml:space="preserve">direct </w:t>
      </w:r>
      <w:r w:rsidR="00141679" w:rsidRPr="00EA6450">
        <w:rPr>
          <w:sz w:val="26"/>
          <w:szCs w:val="26"/>
        </w:rPr>
        <w:t>government legislation (Williamson, 20</w:t>
      </w:r>
      <w:r w:rsidR="00F00459">
        <w:rPr>
          <w:sz w:val="26"/>
          <w:szCs w:val="26"/>
        </w:rPr>
        <w:t>09</w:t>
      </w:r>
      <w:r w:rsidR="003D5346">
        <w:rPr>
          <w:sz w:val="26"/>
          <w:szCs w:val="26"/>
        </w:rPr>
        <w:t>). C</w:t>
      </w:r>
      <w:r w:rsidR="009074BF" w:rsidRPr="00EA6450">
        <w:rPr>
          <w:sz w:val="26"/>
          <w:szCs w:val="26"/>
        </w:rPr>
        <w:t xml:space="preserve">ompanies can </w:t>
      </w:r>
      <w:r>
        <w:rPr>
          <w:sz w:val="26"/>
          <w:szCs w:val="26"/>
        </w:rPr>
        <w:t>do this by</w:t>
      </w:r>
      <w:r w:rsidR="009074BF" w:rsidRPr="00EA6450">
        <w:rPr>
          <w:sz w:val="26"/>
          <w:szCs w:val="26"/>
        </w:rPr>
        <w:t xml:space="preserve"> lead</w:t>
      </w:r>
      <w:r>
        <w:rPr>
          <w:sz w:val="26"/>
          <w:szCs w:val="26"/>
        </w:rPr>
        <w:t>ing</w:t>
      </w:r>
      <w:r w:rsidR="009074BF" w:rsidRPr="00EA6450">
        <w:rPr>
          <w:sz w:val="26"/>
          <w:szCs w:val="26"/>
        </w:rPr>
        <w:t xml:space="preserve"> the way with their own policies and shift</w:t>
      </w:r>
      <w:r>
        <w:rPr>
          <w:sz w:val="26"/>
          <w:szCs w:val="26"/>
        </w:rPr>
        <w:t>ing</w:t>
      </w:r>
      <w:r w:rsidR="009074BF" w:rsidRPr="00EA6450">
        <w:rPr>
          <w:sz w:val="26"/>
          <w:szCs w:val="26"/>
        </w:rPr>
        <w:t xml:space="preserve"> cultural expectations with their own workers first</w:t>
      </w:r>
      <w:r>
        <w:rPr>
          <w:sz w:val="26"/>
          <w:szCs w:val="26"/>
        </w:rPr>
        <w:t>,</w:t>
      </w:r>
      <w:r w:rsidR="009074BF" w:rsidRPr="00EA6450">
        <w:rPr>
          <w:sz w:val="26"/>
          <w:szCs w:val="26"/>
        </w:rPr>
        <w:t xml:space="preserve"> and expanding outward from there (c.f., Tang et al., 2012).</w:t>
      </w:r>
      <w:r w:rsidR="005F6125">
        <w:rPr>
          <w:sz w:val="26"/>
          <w:szCs w:val="26"/>
        </w:rPr>
        <w:t xml:space="preserve"> </w:t>
      </w:r>
      <w:r w:rsidR="00FF510B" w:rsidRPr="00EA6450">
        <w:rPr>
          <w:sz w:val="26"/>
          <w:szCs w:val="26"/>
        </w:rPr>
        <w:t>Promoting their own initiatives to the public might thus, in addition to whatever reputational benefits might accrue, help normalize the company’s HRM practices, increasing informal institutional support for the practices and thus their profitability.</w:t>
      </w:r>
      <w:r w:rsidR="005F6125">
        <w:rPr>
          <w:sz w:val="26"/>
          <w:szCs w:val="26"/>
        </w:rPr>
        <w:t xml:space="preserve"> </w:t>
      </w:r>
      <w:r w:rsidR="00FF510B" w:rsidRPr="00EA6450">
        <w:rPr>
          <w:sz w:val="26"/>
          <w:szCs w:val="26"/>
        </w:rPr>
        <w:t>This interplay between CSR best practices and informal institutional pressure deserves more study than it has received thus far.</w:t>
      </w:r>
      <w:r w:rsidR="005F6125">
        <w:rPr>
          <w:sz w:val="26"/>
          <w:szCs w:val="26"/>
        </w:rPr>
        <w:t xml:space="preserve"> </w:t>
      </w:r>
      <w:r w:rsidR="00FF510B" w:rsidRPr="00EA6450">
        <w:rPr>
          <w:sz w:val="26"/>
          <w:szCs w:val="26"/>
        </w:rPr>
        <w:t>We hope the current study contributes to</w:t>
      </w:r>
      <w:r w:rsidR="00402411">
        <w:rPr>
          <w:sz w:val="26"/>
          <w:szCs w:val="26"/>
        </w:rPr>
        <w:t xml:space="preserve"> filling</w:t>
      </w:r>
      <w:r w:rsidR="00FF510B" w:rsidRPr="00EA6450">
        <w:rPr>
          <w:sz w:val="26"/>
          <w:szCs w:val="26"/>
        </w:rPr>
        <w:t xml:space="preserve"> this gap.</w:t>
      </w:r>
    </w:p>
    <w:p w14:paraId="707B49F2" w14:textId="77777777" w:rsidR="00C060B5" w:rsidRPr="00EA6450" w:rsidRDefault="00C060B5" w:rsidP="005F6125">
      <w:pPr>
        <w:pStyle w:val="10"/>
        <w:spacing w:line="360" w:lineRule="exact"/>
        <w:rPr>
          <w:rFonts w:ascii="Times New Roman" w:hAnsi="Times New Roman" w:cs="Times New Roman"/>
          <w:sz w:val="26"/>
          <w:szCs w:val="26"/>
        </w:rPr>
      </w:pPr>
    </w:p>
    <w:p w14:paraId="15EED609" w14:textId="06852F77" w:rsidR="00C060B5" w:rsidRPr="00AC32B5" w:rsidRDefault="00FD21B7" w:rsidP="00FD21B7">
      <w:pPr>
        <w:pStyle w:val="3"/>
        <w:spacing w:before="0" w:after="0" w:line="360" w:lineRule="exact"/>
        <w:jc w:val="center"/>
        <w:rPr>
          <w:sz w:val="26"/>
          <w:szCs w:val="26"/>
        </w:rPr>
      </w:pPr>
      <w:r w:rsidRPr="00AC32B5">
        <w:rPr>
          <w:b/>
          <w:i w:val="0"/>
          <w:sz w:val="26"/>
          <w:szCs w:val="26"/>
        </w:rPr>
        <w:t>REFERENCES</w:t>
      </w:r>
      <w:r w:rsidR="009074BF" w:rsidRPr="00AC32B5">
        <w:rPr>
          <w:rFonts w:eastAsia="Times New Roman"/>
          <w:sz w:val="26"/>
          <w:szCs w:val="26"/>
        </w:rPr>
        <w:t xml:space="preserve"> </w:t>
      </w:r>
    </w:p>
    <w:p w14:paraId="345B02D7" w14:textId="77777777" w:rsidR="00FD21B7" w:rsidRPr="00AC32B5" w:rsidRDefault="00FD21B7" w:rsidP="00FD21B7">
      <w:pPr>
        <w:pStyle w:val="10"/>
        <w:spacing w:line="360" w:lineRule="exact"/>
        <w:ind w:left="806" w:hanging="720"/>
        <w:jc w:val="both"/>
        <w:rPr>
          <w:rStyle w:val="af8"/>
          <w:rFonts w:eastAsia="Arial"/>
          <w:sz w:val="26"/>
          <w:szCs w:val="26"/>
        </w:rPr>
      </w:pPr>
      <w:r w:rsidRPr="00AC32B5">
        <w:rPr>
          <w:rStyle w:val="af8"/>
          <w:rFonts w:eastAsia="Arial"/>
          <w:sz w:val="26"/>
          <w:szCs w:val="26"/>
        </w:rPr>
        <w:t xml:space="preserve">Ahmed, E., D’Netto, B., Chelliah, J., &amp; Fein, E. (2016). Psychological contract breach: Consequences of unkept promises of permanent employment. </w:t>
      </w:r>
      <w:r w:rsidRPr="00AC32B5">
        <w:rPr>
          <w:rStyle w:val="af8"/>
          <w:rFonts w:eastAsia="Arial"/>
          <w:i/>
          <w:iCs/>
          <w:sz w:val="26"/>
          <w:szCs w:val="26"/>
        </w:rPr>
        <w:t>Contemporary Management Research</w:t>
      </w:r>
      <w:r w:rsidRPr="00AC32B5">
        <w:rPr>
          <w:rStyle w:val="af8"/>
          <w:rFonts w:eastAsia="Arial"/>
          <w:sz w:val="26"/>
          <w:szCs w:val="26"/>
        </w:rPr>
        <w:t xml:space="preserve">, </w:t>
      </w:r>
      <w:r w:rsidRPr="00AC32B5">
        <w:rPr>
          <w:rStyle w:val="af8"/>
          <w:rFonts w:eastAsia="Arial"/>
          <w:i/>
          <w:sz w:val="26"/>
          <w:szCs w:val="26"/>
        </w:rPr>
        <w:t>12</w:t>
      </w:r>
      <w:r w:rsidRPr="00AC32B5">
        <w:rPr>
          <w:rStyle w:val="af8"/>
          <w:rFonts w:eastAsia="Arial"/>
          <w:sz w:val="26"/>
          <w:szCs w:val="26"/>
        </w:rPr>
        <w:t>(2), 183-212.</w:t>
      </w:r>
      <w:r w:rsidRPr="00AC32B5">
        <w:rPr>
          <w:rFonts w:ascii="Times New Roman" w:hAnsi="Times New Roman" w:cs="Times New Roman"/>
          <w:sz w:val="26"/>
          <w:szCs w:val="26"/>
        </w:rPr>
        <w:t xml:space="preserve"> </w:t>
      </w:r>
      <w:r w:rsidRPr="00AC32B5">
        <w:rPr>
          <w:rFonts w:ascii="Times New Roman" w:hAnsi="Times New Roman" w:cs="Times New Roman"/>
          <w:sz w:val="26"/>
          <w:szCs w:val="26"/>
          <w:shd w:val="clear" w:color="auto" w:fill="FFFFFF"/>
        </w:rPr>
        <w:t>https://doi.org/10.7903/cmr.13914</w:t>
      </w:r>
    </w:p>
    <w:p w14:paraId="2288CDF8" w14:textId="19B52FCA" w:rsidR="00FD21B7" w:rsidRPr="00AC32B5" w:rsidRDefault="00FD21B7" w:rsidP="00FD21B7">
      <w:pPr>
        <w:pStyle w:val="10"/>
        <w:spacing w:line="360" w:lineRule="exact"/>
        <w:ind w:left="806" w:hanging="720"/>
        <w:jc w:val="both"/>
        <w:rPr>
          <w:rStyle w:val="af8"/>
          <w:rFonts w:eastAsia="Arial"/>
          <w:sz w:val="26"/>
          <w:szCs w:val="26"/>
          <w:lang w:eastAsia="zh-TW"/>
        </w:rPr>
      </w:pPr>
      <w:r w:rsidRPr="00AC32B5">
        <w:rPr>
          <w:rStyle w:val="af8"/>
          <w:rFonts w:eastAsia="Arial"/>
          <w:sz w:val="26"/>
          <w:szCs w:val="26"/>
        </w:rPr>
        <w:lastRenderedPageBreak/>
        <w:t xml:space="preserve">Asmawi, A., &amp; Chew, K. W. (2016). High performance work practices (HPWP) in Malaysian R&amp;D organizations. </w:t>
      </w:r>
      <w:r w:rsidRPr="00AC32B5">
        <w:rPr>
          <w:rStyle w:val="af8"/>
          <w:rFonts w:eastAsia="Arial"/>
          <w:i/>
          <w:sz w:val="26"/>
          <w:szCs w:val="26"/>
        </w:rPr>
        <w:t>Journal of Advanced Management Science</w:t>
      </w:r>
      <w:r w:rsidRPr="00AC32B5">
        <w:rPr>
          <w:rStyle w:val="af8"/>
          <w:rFonts w:eastAsia="Arial"/>
          <w:sz w:val="26"/>
          <w:szCs w:val="26"/>
        </w:rPr>
        <w:t xml:space="preserve">, </w:t>
      </w:r>
      <w:r w:rsidRPr="00AC32B5">
        <w:rPr>
          <w:rStyle w:val="af8"/>
          <w:rFonts w:eastAsia="Arial"/>
          <w:i/>
          <w:sz w:val="26"/>
          <w:szCs w:val="26"/>
        </w:rPr>
        <w:t>4</w:t>
      </w:r>
      <w:r w:rsidRPr="00AC32B5">
        <w:rPr>
          <w:rStyle w:val="af8"/>
          <w:rFonts w:eastAsia="Arial"/>
          <w:sz w:val="26"/>
          <w:szCs w:val="26"/>
        </w:rPr>
        <w:t>(6), 467-470.</w:t>
      </w:r>
      <w:r w:rsidRPr="00AC32B5">
        <w:rPr>
          <w:rFonts w:ascii="Times New Roman" w:hAnsi="Times New Roman" w:cs="Times New Roman"/>
          <w:sz w:val="26"/>
          <w:szCs w:val="26"/>
        </w:rPr>
        <w:t xml:space="preserve"> </w:t>
      </w:r>
      <w:r w:rsidRPr="00AC32B5">
        <w:rPr>
          <w:rFonts w:ascii="Times New Roman" w:hAnsi="Times New Roman" w:cs="Times New Roman"/>
          <w:sz w:val="26"/>
          <w:szCs w:val="26"/>
          <w:shd w:val="clear" w:color="auto" w:fill="FFFFFF"/>
        </w:rPr>
        <w:t>https://doi.org/10.18178/joams.4.6.467-470</w:t>
      </w:r>
      <w:r w:rsidR="002F2C48" w:rsidRPr="00AC32B5">
        <w:rPr>
          <w:rFonts w:ascii="Times New Roman" w:hAnsi="Times New Roman" w:cs="Times New Roman"/>
          <w:sz w:val="26"/>
          <w:szCs w:val="26"/>
          <w:shd w:val="clear" w:color="auto" w:fill="FFFFFF"/>
          <w:lang w:eastAsia="zh-TW"/>
        </w:rPr>
        <w:t>.</w:t>
      </w:r>
    </w:p>
    <w:p w14:paraId="75527117" w14:textId="77777777"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 xml:space="preserve">Barney, J. B. (1986). Organizational culture: Can it be a source of sustained competitive advantage? </w:t>
      </w:r>
      <w:r w:rsidRPr="00AC32B5">
        <w:rPr>
          <w:rFonts w:ascii="Times New Roman" w:hAnsi="Times New Roman" w:cs="Times New Roman"/>
          <w:i/>
          <w:iCs/>
          <w:color w:val="222222"/>
          <w:sz w:val="26"/>
          <w:szCs w:val="26"/>
        </w:rPr>
        <w:t>Academy of management review</w:t>
      </w:r>
      <w:r w:rsidRPr="00AC32B5">
        <w:rPr>
          <w:rFonts w:ascii="Times New Roman" w:hAnsi="Times New Roman" w:cs="Times New Roman"/>
          <w:color w:val="222222"/>
          <w:sz w:val="26"/>
          <w:szCs w:val="26"/>
        </w:rPr>
        <w:t xml:space="preserve">, </w:t>
      </w:r>
      <w:r w:rsidRPr="00AC32B5">
        <w:rPr>
          <w:rFonts w:ascii="Times New Roman" w:hAnsi="Times New Roman" w:cs="Times New Roman"/>
          <w:i/>
          <w:iCs/>
          <w:color w:val="222222"/>
          <w:sz w:val="26"/>
          <w:szCs w:val="26"/>
        </w:rPr>
        <w:t>11</w:t>
      </w:r>
      <w:r w:rsidRPr="00AC32B5">
        <w:rPr>
          <w:rFonts w:ascii="Times New Roman" w:hAnsi="Times New Roman" w:cs="Times New Roman"/>
          <w:color w:val="222222"/>
          <w:sz w:val="26"/>
          <w:szCs w:val="26"/>
        </w:rPr>
        <w:t>(3), 656-665.</w:t>
      </w:r>
    </w:p>
    <w:p w14:paraId="76C982ED" w14:textId="77777777" w:rsidR="00FD21B7" w:rsidRPr="00AC32B5" w:rsidRDefault="00FD21B7" w:rsidP="00FD21B7">
      <w:pPr>
        <w:pStyle w:val="10"/>
        <w:spacing w:line="360" w:lineRule="exact"/>
        <w:ind w:leftChars="338" w:left="1531" w:hanging="720"/>
        <w:jc w:val="both"/>
        <w:rPr>
          <w:rFonts w:ascii="Times New Roman" w:hAnsi="Times New Roman" w:cs="Times New Roman"/>
          <w:color w:val="222222"/>
          <w:sz w:val="26"/>
          <w:szCs w:val="26"/>
        </w:rPr>
      </w:pPr>
      <w:r w:rsidRPr="00AC32B5">
        <w:rPr>
          <w:rFonts w:ascii="Times New Roman" w:hAnsi="Times New Roman" w:cs="Times New Roman"/>
          <w:sz w:val="26"/>
          <w:szCs w:val="26"/>
          <w:shd w:val="clear" w:color="auto" w:fill="FFFFFF"/>
        </w:rPr>
        <w:t>https://doi.org/10.5465/amr.1986.4306261 </w:t>
      </w:r>
    </w:p>
    <w:p w14:paraId="2BB0BCCE" w14:textId="77777777"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 xml:space="preserve">Barney, J. (1991). Firm resources and sustained competitive advantage. </w:t>
      </w:r>
      <w:r w:rsidRPr="00AC32B5">
        <w:rPr>
          <w:rFonts w:ascii="Times New Roman" w:hAnsi="Times New Roman" w:cs="Times New Roman"/>
          <w:bCs/>
          <w:i/>
          <w:iCs/>
          <w:color w:val="222222"/>
          <w:sz w:val="26"/>
          <w:szCs w:val="26"/>
        </w:rPr>
        <w:t>Journal of Management</w:t>
      </w:r>
      <w:r w:rsidRPr="00AC32B5">
        <w:rPr>
          <w:rFonts w:ascii="Times New Roman" w:hAnsi="Times New Roman" w:cs="Times New Roman"/>
          <w:color w:val="222222"/>
          <w:sz w:val="26"/>
          <w:szCs w:val="26"/>
        </w:rPr>
        <w:t xml:space="preserve">, </w:t>
      </w:r>
      <w:r w:rsidRPr="00AC32B5">
        <w:rPr>
          <w:rFonts w:ascii="Times New Roman" w:hAnsi="Times New Roman" w:cs="Times New Roman"/>
          <w:i/>
          <w:iCs/>
          <w:color w:val="222222"/>
          <w:sz w:val="26"/>
          <w:szCs w:val="26"/>
        </w:rPr>
        <w:t>17</w:t>
      </w:r>
      <w:r w:rsidRPr="00AC32B5">
        <w:rPr>
          <w:rFonts w:ascii="Times New Roman" w:hAnsi="Times New Roman" w:cs="Times New Roman"/>
          <w:color w:val="222222"/>
          <w:sz w:val="26"/>
          <w:szCs w:val="26"/>
        </w:rPr>
        <w:t>(1), 99-120.</w:t>
      </w:r>
      <w:r w:rsidRPr="00AC32B5">
        <w:rPr>
          <w:rFonts w:ascii="Times New Roman" w:hAnsi="Times New Roman" w:cs="Times New Roman"/>
          <w:sz w:val="26"/>
          <w:szCs w:val="26"/>
        </w:rPr>
        <w:t xml:space="preserve"> </w:t>
      </w:r>
      <w:r w:rsidRPr="00AC32B5">
        <w:rPr>
          <w:rFonts w:ascii="Times New Roman" w:hAnsi="Times New Roman" w:cs="Times New Roman"/>
          <w:color w:val="222222"/>
          <w:sz w:val="26"/>
          <w:szCs w:val="26"/>
        </w:rPr>
        <w:t>https://doi.org/10.1177/014920639101700108</w:t>
      </w:r>
    </w:p>
    <w:p w14:paraId="3647E44F" w14:textId="77777777"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 xml:space="preserve">Barney, J. B. (2001). Is the resource-based “view” a useful perspective for strategic management research? Yes. </w:t>
      </w:r>
      <w:r w:rsidRPr="00AC32B5">
        <w:rPr>
          <w:rFonts w:ascii="Times New Roman" w:hAnsi="Times New Roman" w:cs="Times New Roman"/>
          <w:bCs/>
          <w:i/>
          <w:iCs/>
          <w:color w:val="222222"/>
          <w:sz w:val="26"/>
          <w:szCs w:val="26"/>
        </w:rPr>
        <w:t>Academy of Management Review</w:t>
      </w:r>
      <w:r w:rsidRPr="00AC32B5">
        <w:rPr>
          <w:rFonts w:ascii="Times New Roman" w:hAnsi="Times New Roman" w:cs="Times New Roman"/>
          <w:color w:val="222222"/>
          <w:sz w:val="26"/>
          <w:szCs w:val="26"/>
        </w:rPr>
        <w:t xml:space="preserve">, </w:t>
      </w:r>
      <w:r w:rsidRPr="00AC32B5">
        <w:rPr>
          <w:rFonts w:ascii="Times New Roman" w:hAnsi="Times New Roman" w:cs="Times New Roman"/>
          <w:i/>
          <w:iCs/>
          <w:color w:val="222222"/>
          <w:sz w:val="26"/>
          <w:szCs w:val="26"/>
        </w:rPr>
        <w:t>26</w:t>
      </w:r>
      <w:r w:rsidRPr="00AC32B5">
        <w:rPr>
          <w:rFonts w:ascii="Times New Roman" w:hAnsi="Times New Roman" w:cs="Times New Roman"/>
          <w:color w:val="222222"/>
          <w:sz w:val="26"/>
          <w:szCs w:val="26"/>
        </w:rPr>
        <w:t>(1), 41-56.</w:t>
      </w:r>
    </w:p>
    <w:p w14:paraId="7F0E6A62" w14:textId="77777777" w:rsidR="00FD21B7" w:rsidRPr="00AC32B5" w:rsidRDefault="00FD21B7" w:rsidP="00FD21B7">
      <w:pPr>
        <w:pStyle w:val="10"/>
        <w:spacing w:line="360" w:lineRule="exact"/>
        <w:ind w:leftChars="338" w:left="1531"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https://doi.org/10.5465/amr.2001.4011938</w:t>
      </w:r>
    </w:p>
    <w:p w14:paraId="671440F0" w14:textId="77777777"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 xml:space="preserve">Barney, J. B. (2018). Why resource‐based theory's model of profit appropriation must incorporate a stakeholder perspective. </w:t>
      </w:r>
      <w:r w:rsidRPr="00AC32B5">
        <w:rPr>
          <w:rFonts w:ascii="Times New Roman" w:hAnsi="Times New Roman" w:cs="Times New Roman"/>
          <w:i/>
          <w:iCs/>
          <w:color w:val="222222"/>
          <w:sz w:val="26"/>
          <w:szCs w:val="26"/>
        </w:rPr>
        <w:t>Strategic Management Journal</w:t>
      </w:r>
      <w:r w:rsidRPr="00AC32B5">
        <w:rPr>
          <w:rFonts w:ascii="Times New Roman" w:hAnsi="Times New Roman" w:cs="Times New Roman"/>
          <w:color w:val="222222"/>
          <w:sz w:val="26"/>
          <w:szCs w:val="26"/>
        </w:rPr>
        <w:t xml:space="preserve">, </w:t>
      </w:r>
      <w:r w:rsidRPr="00AC32B5">
        <w:rPr>
          <w:rFonts w:ascii="Times New Roman" w:hAnsi="Times New Roman" w:cs="Times New Roman"/>
          <w:i/>
          <w:iCs/>
          <w:color w:val="222222"/>
          <w:sz w:val="26"/>
          <w:szCs w:val="26"/>
        </w:rPr>
        <w:t>39</w:t>
      </w:r>
      <w:r w:rsidRPr="00AC32B5">
        <w:rPr>
          <w:rFonts w:ascii="Times New Roman" w:hAnsi="Times New Roman" w:cs="Times New Roman"/>
          <w:color w:val="222222"/>
          <w:sz w:val="26"/>
          <w:szCs w:val="26"/>
        </w:rPr>
        <w:t>(13), 3305-3325.</w:t>
      </w:r>
      <w:r w:rsidRPr="00AC32B5">
        <w:rPr>
          <w:rFonts w:ascii="Times New Roman" w:hAnsi="Times New Roman" w:cs="Times New Roman"/>
          <w:sz w:val="26"/>
          <w:szCs w:val="26"/>
        </w:rPr>
        <w:t xml:space="preserve"> </w:t>
      </w:r>
      <w:r w:rsidRPr="00AC32B5">
        <w:rPr>
          <w:rFonts w:ascii="Times New Roman" w:hAnsi="Times New Roman" w:cs="Times New Roman"/>
          <w:color w:val="222222"/>
          <w:sz w:val="26"/>
          <w:szCs w:val="26"/>
        </w:rPr>
        <w:t>https://doi.org/10.1002/smj.2949</w:t>
      </w:r>
    </w:p>
    <w:p w14:paraId="0F0C2376"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Bauer, F., Schriber, S., Degischer, D., &amp; King, D. R. (2018). Contextualizing speed and cross-border acquisition performance: Labor market flexibility and efficiency effects. </w:t>
      </w:r>
      <w:r w:rsidRPr="00AC32B5">
        <w:rPr>
          <w:rStyle w:val="af8"/>
          <w:rFonts w:eastAsia="Arial"/>
          <w:i/>
          <w:sz w:val="26"/>
          <w:szCs w:val="26"/>
        </w:rPr>
        <w:t>Journal of World Business</w:t>
      </w:r>
      <w:r w:rsidRPr="00AC32B5">
        <w:rPr>
          <w:rStyle w:val="af8"/>
          <w:rFonts w:eastAsia="Arial"/>
          <w:sz w:val="26"/>
          <w:szCs w:val="26"/>
        </w:rPr>
        <w:t xml:space="preserve">, </w:t>
      </w:r>
      <w:r w:rsidRPr="00AC32B5">
        <w:rPr>
          <w:rStyle w:val="af8"/>
          <w:rFonts w:eastAsia="Arial"/>
          <w:i/>
          <w:sz w:val="26"/>
          <w:szCs w:val="26"/>
        </w:rPr>
        <w:t>53</w:t>
      </w:r>
      <w:r w:rsidRPr="00AC32B5">
        <w:rPr>
          <w:rStyle w:val="af8"/>
          <w:rFonts w:eastAsia="Arial"/>
          <w:sz w:val="26"/>
          <w:szCs w:val="26"/>
        </w:rPr>
        <w:t xml:space="preserve">(2), 290-301. </w:t>
      </w:r>
    </w:p>
    <w:p w14:paraId="5FB92B66" w14:textId="77777777" w:rsidR="00FD21B7" w:rsidRPr="00AC32B5" w:rsidRDefault="00FD21B7" w:rsidP="00FD21B7">
      <w:pPr>
        <w:pStyle w:val="10"/>
        <w:spacing w:line="360" w:lineRule="exact"/>
        <w:ind w:leftChars="338" w:left="1531" w:hanging="720"/>
        <w:jc w:val="both"/>
        <w:rPr>
          <w:rStyle w:val="af8"/>
          <w:rFonts w:eastAsia="Arial"/>
          <w:sz w:val="26"/>
          <w:szCs w:val="26"/>
        </w:rPr>
      </w:pPr>
      <w:r w:rsidRPr="00AC32B5">
        <w:rPr>
          <w:rStyle w:val="af8"/>
          <w:rFonts w:eastAsia="Arial"/>
          <w:sz w:val="26"/>
          <w:szCs w:val="26"/>
        </w:rPr>
        <w:t>https://doi.org/10.1016/j.jwb.2018.01.001</w:t>
      </w:r>
    </w:p>
    <w:p w14:paraId="5DC2D779" w14:textId="77777777" w:rsidR="00FD21B7" w:rsidRPr="00AC32B5" w:rsidRDefault="00FD21B7" w:rsidP="00FD21B7">
      <w:pPr>
        <w:spacing w:line="360" w:lineRule="exact"/>
        <w:ind w:left="810" w:hanging="720"/>
        <w:jc w:val="both"/>
        <w:rPr>
          <w:rStyle w:val="af8"/>
          <w:sz w:val="26"/>
          <w:szCs w:val="26"/>
        </w:rPr>
      </w:pPr>
      <w:r w:rsidRPr="00AC32B5">
        <w:rPr>
          <w:rStyle w:val="af8"/>
          <w:sz w:val="26"/>
          <w:szCs w:val="26"/>
        </w:rPr>
        <w:t>Caligiuri, P. (2014). Many moving parts: Factors influencing the effectiveness of HRM practices designed to improve knowledge transfer within MNCs</w:t>
      </w:r>
      <w:r w:rsidRPr="00AC32B5">
        <w:rPr>
          <w:rStyle w:val="af8"/>
          <w:i/>
          <w:sz w:val="26"/>
          <w:szCs w:val="26"/>
        </w:rPr>
        <w:t>. Journal of International Business Studies</w:t>
      </w:r>
      <w:r w:rsidRPr="00AC32B5">
        <w:rPr>
          <w:rStyle w:val="af8"/>
          <w:sz w:val="26"/>
          <w:szCs w:val="26"/>
        </w:rPr>
        <w:t>,</w:t>
      </w:r>
      <w:r w:rsidRPr="00AC32B5">
        <w:rPr>
          <w:rStyle w:val="af8"/>
          <w:i/>
          <w:sz w:val="26"/>
          <w:szCs w:val="26"/>
        </w:rPr>
        <w:t xml:space="preserve"> 45</w:t>
      </w:r>
      <w:r w:rsidRPr="00AC32B5">
        <w:rPr>
          <w:rStyle w:val="af8"/>
          <w:sz w:val="26"/>
          <w:szCs w:val="26"/>
        </w:rPr>
        <w:t>(1), 63-72.</w:t>
      </w:r>
      <w:r w:rsidRPr="00AC32B5">
        <w:rPr>
          <w:sz w:val="26"/>
          <w:szCs w:val="26"/>
        </w:rPr>
        <w:t xml:space="preserve"> </w:t>
      </w:r>
      <w:r w:rsidRPr="00AC32B5">
        <w:rPr>
          <w:rStyle w:val="af8"/>
          <w:sz w:val="26"/>
          <w:szCs w:val="26"/>
        </w:rPr>
        <w:t>https://doi.org/10.1057/jibs.2013.52</w:t>
      </w:r>
    </w:p>
    <w:p w14:paraId="16D11A9F" w14:textId="77777777" w:rsidR="00FD21B7" w:rsidRPr="00AC32B5" w:rsidRDefault="00FD21B7" w:rsidP="002F2C48">
      <w:pPr>
        <w:spacing w:line="360" w:lineRule="exact"/>
        <w:ind w:left="810" w:hanging="720"/>
        <w:jc w:val="both"/>
        <w:rPr>
          <w:rStyle w:val="af8"/>
          <w:rFonts w:eastAsia="Trebuchet MS"/>
          <w:sz w:val="26"/>
          <w:szCs w:val="26"/>
        </w:rPr>
      </w:pPr>
      <w:r w:rsidRPr="00AC32B5">
        <w:rPr>
          <w:rStyle w:val="af8"/>
          <w:sz w:val="26"/>
          <w:szCs w:val="26"/>
        </w:rPr>
        <w:t>Chacar</w:t>
      </w:r>
      <w:r w:rsidRPr="00AC32B5">
        <w:rPr>
          <w:rStyle w:val="af8"/>
          <w:rFonts w:eastAsia="Trebuchet MS"/>
          <w:sz w:val="26"/>
          <w:szCs w:val="26"/>
        </w:rPr>
        <w:t xml:space="preserve">, A., Newburry, W., &amp; Vissa, B. (2010). </w:t>
      </w:r>
      <w:r w:rsidRPr="00AC32B5">
        <w:rPr>
          <w:bCs/>
          <w:color w:val="111111"/>
          <w:sz w:val="26"/>
          <w:szCs w:val="26"/>
        </w:rPr>
        <w:t>Bringing institutions into performance persistence research: Exploring the impact of product, financial, and labor market institutions.</w:t>
      </w:r>
      <w:r w:rsidRPr="00AC32B5">
        <w:rPr>
          <w:bCs/>
          <w:i/>
          <w:color w:val="111111"/>
          <w:sz w:val="26"/>
          <w:szCs w:val="26"/>
        </w:rPr>
        <w:t xml:space="preserve"> </w:t>
      </w:r>
      <w:r w:rsidRPr="00AC32B5">
        <w:rPr>
          <w:rStyle w:val="af8"/>
          <w:rFonts w:eastAsia="Trebuchet MS"/>
          <w:i/>
          <w:sz w:val="26"/>
          <w:szCs w:val="26"/>
        </w:rPr>
        <w:t>Journal of International Business Studies</w:t>
      </w:r>
      <w:r w:rsidRPr="00AC32B5">
        <w:rPr>
          <w:rStyle w:val="af8"/>
          <w:rFonts w:eastAsia="Trebuchet MS"/>
          <w:sz w:val="26"/>
          <w:szCs w:val="26"/>
        </w:rPr>
        <w:t xml:space="preserve">, </w:t>
      </w:r>
      <w:r w:rsidRPr="00AC32B5">
        <w:rPr>
          <w:rStyle w:val="af8"/>
          <w:rFonts w:eastAsia="Trebuchet MS"/>
          <w:i/>
          <w:sz w:val="26"/>
          <w:szCs w:val="26"/>
        </w:rPr>
        <w:t>41(7)</w:t>
      </w:r>
      <w:r w:rsidRPr="00AC32B5">
        <w:rPr>
          <w:rStyle w:val="af8"/>
          <w:rFonts w:eastAsia="Trebuchet MS"/>
          <w:sz w:val="26"/>
          <w:szCs w:val="26"/>
        </w:rPr>
        <w:t xml:space="preserve">, 1119-1140. </w:t>
      </w:r>
    </w:p>
    <w:p w14:paraId="6EF6FB2F" w14:textId="77777777" w:rsidR="00FD21B7" w:rsidRPr="00AC32B5" w:rsidRDefault="00FD21B7" w:rsidP="00FD21B7">
      <w:pPr>
        <w:pStyle w:val="10"/>
        <w:spacing w:line="360" w:lineRule="exact"/>
        <w:ind w:leftChars="300" w:left="720"/>
        <w:rPr>
          <w:rFonts w:ascii="Times New Roman" w:hAnsi="Times New Roman" w:cs="Times New Roman"/>
          <w:sz w:val="26"/>
          <w:szCs w:val="26"/>
          <w:lang w:val="x-none" w:eastAsia="x-none"/>
        </w:rPr>
      </w:pPr>
      <w:r w:rsidRPr="00AC32B5">
        <w:rPr>
          <w:rFonts w:ascii="Times New Roman" w:hAnsi="Times New Roman" w:cs="Times New Roman"/>
          <w:sz w:val="26"/>
          <w:szCs w:val="26"/>
          <w:lang w:val="x-none" w:eastAsia="x-none"/>
        </w:rPr>
        <w:t>https://doi.org/10.1057/jibs.2010.3</w:t>
      </w:r>
    </w:p>
    <w:p w14:paraId="140F2779"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Cohen, P., West, S. G., &amp; Aiken, L. S. (2014). </w:t>
      </w:r>
      <w:r w:rsidRPr="00AC32B5">
        <w:rPr>
          <w:rStyle w:val="af8"/>
          <w:rFonts w:eastAsia="Arial"/>
          <w:i/>
          <w:sz w:val="26"/>
          <w:szCs w:val="26"/>
        </w:rPr>
        <w:t>Applied Multiple Regression/Correlation Analysis for the Behavioral Sciences</w:t>
      </w:r>
      <w:r w:rsidRPr="00AC32B5">
        <w:rPr>
          <w:rStyle w:val="af8"/>
          <w:rFonts w:eastAsia="Arial"/>
          <w:sz w:val="26"/>
          <w:szCs w:val="26"/>
        </w:rPr>
        <w:t xml:space="preserve">. Psychology Press. </w:t>
      </w:r>
    </w:p>
    <w:p w14:paraId="796C271B" w14:textId="77777777" w:rsidR="00A87065" w:rsidRPr="00AC32B5" w:rsidRDefault="00A87065" w:rsidP="00A87065">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Cole, M. S., Bernerth, J. B., Walter, F. &amp; Holt, D. T. (2010). Organizational justice and individuals’ withdrawal: Unlocking the influence of emotional exhaustion. </w:t>
      </w:r>
      <w:r w:rsidRPr="00AC32B5">
        <w:rPr>
          <w:rStyle w:val="af8"/>
          <w:rFonts w:eastAsia="Arial"/>
          <w:i/>
          <w:sz w:val="26"/>
          <w:szCs w:val="26"/>
        </w:rPr>
        <w:t>Journal of Management Studies,</w:t>
      </w:r>
      <w:r w:rsidRPr="00AC32B5">
        <w:rPr>
          <w:rStyle w:val="af8"/>
          <w:rFonts w:eastAsia="Arial"/>
          <w:sz w:val="26"/>
          <w:szCs w:val="26"/>
        </w:rPr>
        <w:t xml:space="preserve"> </w:t>
      </w:r>
      <w:r w:rsidRPr="00AC32B5">
        <w:rPr>
          <w:rStyle w:val="af8"/>
          <w:rFonts w:eastAsia="Arial"/>
          <w:i/>
          <w:sz w:val="26"/>
          <w:szCs w:val="26"/>
        </w:rPr>
        <w:t>47</w:t>
      </w:r>
      <w:r w:rsidRPr="00AC32B5">
        <w:rPr>
          <w:rStyle w:val="af8"/>
          <w:rFonts w:eastAsia="Arial"/>
          <w:sz w:val="26"/>
          <w:szCs w:val="26"/>
        </w:rPr>
        <w:t>(3), 367–390.</w:t>
      </w:r>
    </w:p>
    <w:p w14:paraId="45253A28" w14:textId="77777777" w:rsidR="00A87065" w:rsidRPr="00AC32B5" w:rsidRDefault="00A87065" w:rsidP="00A87065">
      <w:pPr>
        <w:pStyle w:val="10"/>
        <w:spacing w:line="360" w:lineRule="exact"/>
        <w:ind w:leftChars="338" w:left="1531" w:hanging="720"/>
        <w:jc w:val="both"/>
        <w:rPr>
          <w:rStyle w:val="af8"/>
          <w:rFonts w:eastAsia="Arial"/>
          <w:sz w:val="26"/>
          <w:szCs w:val="26"/>
        </w:rPr>
      </w:pPr>
      <w:r w:rsidRPr="00AC32B5">
        <w:rPr>
          <w:rStyle w:val="af8"/>
          <w:rFonts w:eastAsia="Arial"/>
          <w:sz w:val="26"/>
          <w:szCs w:val="26"/>
        </w:rPr>
        <w:t>https://doi.org/10.1111/j.1467-6486.2009.00864.x</w:t>
      </w:r>
    </w:p>
    <w:p w14:paraId="4034FA68" w14:textId="77777777" w:rsidR="00A87065" w:rsidRPr="00AC32B5" w:rsidRDefault="00A87065" w:rsidP="00A87065">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Combs, J., Liu, Y., Hall, A., &amp; Ketchen, D. (2006). How much do high‐performance work practices matter? A meta‐analysis of their effects on organizational performance. </w:t>
      </w:r>
      <w:r w:rsidRPr="00AC32B5">
        <w:rPr>
          <w:rStyle w:val="af8"/>
          <w:rFonts w:eastAsia="Arial"/>
          <w:i/>
          <w:sz w:val="26"/>
          <w:szCs w:val="26"/>
        </w:rPr>
        <w:t>Personnel Psychology,</w:t>
      </w:r>
      <w:r w:rsidRPr="00AC32B5">
        <w:rPr>
          <w:rStyle w:val="af8"/>
          <w:rFonts w:eastAsia="Arial"/>
          <w:sz w:val="26"/>
          <w:szCs w:val="26"/>
        </w:rPr>
        <w:t xml:space="preserve"> </w:t>
      </w:r>
      <w:r w:rsidRPr="00AC32B5">
        <w:rPr>
          <w:rStyle w:val="af8"/>
          <w:rFonts w:eastAsia="Arial"/>
          <w:i/>
          <w:sz w:val="26"/>
          <w:szCs w:val="26"/>
        </w:rPr>
        <w:t>59</w:t>
      </w:r>
      <w:r w:rsidRPr="00AC32B5">
        <w:rPr>
          <w:rStyle w:val="af8"/>
          <w:rFonts w:eastAsia="Arial"/>
          <w:sz w:val="26"/>
          <w:szCs w:val="26"/>
        </w:rPr>
        <w:t>(3), 501-528.</w:t>
      </w:r>
    </w:p>
    <w:p w14:paraId="4B773482" w14:textId="77777777" w:rsidR="00A87065" w:rsidRPr="00AC32B5" w:rsidRDefault="00A87065" w:rsidP="00A87065">
      <w:pPr>
        <w:pStyle w:val="10"/>
        <w:spacing w:line="360" w:lineRule="exact"/>
        <w:ind w:leftChars="338" w:left="1531" w:hanging="720"/>
        <w:jc w:val="both"/>
        <w:rPr>
          <w:rStyle w:val="af8"/>
          <w:rFonts w:eastAsia="Arial"/>
          <w:sz w:val="26"/>
          <w:szCs w:val="26"/>
        </w:rPr>
      </w:pPr>
      <w:r w:rsidRPr="00AC32B5">
        <w:rPr>
          <w:rStyle w:val="af8"/>
          <w:rFonts w:eastAsia="Arial"/>
          <w:sz w:val="26"/>
          <w:szCs w:val="26"/>
        </w:rPr>
        <w:t>https://doi.org/10.1111/j.1744-6570.2006.00045.x</w:t>
      </w:r>
    </w:p>
    <w:p w14:paraId="246A07ED" w14:textId="7D938DB8"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lastRenderedPageBreak/>
        <w:t>Cooke, F. L. (2018). Concepts, contexts, and mindsets: Putting human resource management research in perspectives.</w:t>
      </w:r>
      <w:r w:rsidR="00C66E21" w:rsidRPr="00AC32B5">
        <w:rPr>
          <w:rFonts w:ascii="Times New Roman" w:hAnsi="Times New Roman" w:cs="Times New Roman"/>
          <w:color w:val="222222"/>
          <w:sz w:val="26"/>
          <w:szCs w:val="26"/>
        </w:rPr>
        <w:t xml:space="preserve"> </w:t>
      </w:r>
      <w:r w:rsidRPr="00AC32B5">
        <w:rPr>
          <w:rFonts w:ascii="Times New Roman" w:hAnsi="Times New Roman" w:cs="Times New Roman"/>
          <w:i/>
          <w:iCs/>
          <w:color w:val="222222"/>
          <w:sz w:val="26"/>
          <w:szCs w:val="26"/>
        </w:rPr>
        <w:t>Human Resource Management Journal</w:t>
      </w:r>
      <w:r w:rsidRPr="00AC32B5">
        <w:rPr>
          <w:rFonts w:ascii="Times New Roman" w:hAnsi="Times New Roman" w:cs="Times New Roman"/>
          <w:color w:val="222222"/>
          <w:sz w:val="26"/>
          <w:szCs w:val="26"/>
        </w:rPr>
        <w:t xml:space="preserve">, </w:t>
      </w:r>
      <w:r w:rsidRPr="00AC32B5">
        <w:rPr>
          <w:rFonts w:ascii="Times New Roman" w:hAnsi="Times New Roman" w:cs="Times New Roman"/>
          <w:i/>
          <w:iCs/>
          <w:color w:val="222222"/>
          <w:sz w:val="26"/>
          <w:szCs w:val="26"/>
        </w:rPr>
        <w:t>28</w:t>
      </w:r>
      <w:r w:rsidRPr="00AC32B5">
        <w:rPr>
          <w:rFonts w:ascii="Times New Roman" w:hAnsi="Times New Roman" w:cs="Times New Roman"/>
          <w:color w:val="222222"/>
          <w:sz w:val="26"/>
          <w:szCs w:val="26"/>
        </w:rPr>
        <w:t>(1), 1-13.</w:t>
      </w:r>
      <w:r w:rsidRPr="00AC32B5">
        <w:rPr>
          <w:rFonts w:ascii="Times New Roman" w:hAnsi="Times New Roman" w:cs="Times New Roman"/>
          <w:sz w:val="26"/>
          <w:szCs w:val="26"/>
        </w:rPr>
        <w:t xml:space="preserve"> </w:t>
      </w:r>
      <w:r w:rsidRPr="00AC32B5">
        <w:rPr>
          <w:rFonts w:ascii="Times New Roman" w:hAnsi="Times New Roman" w:cs="Times New Roman"/>
          <w:color w:val="222222"/>
          <w:sz w:val="26"/>
          <w:szCs w:val="26"/>
        </w:rPr>
        <w:t>https://doi.org/10.1111/1748-8583.12163</w:t>
      </w:r>
    </w:p>
    <w:p w14:paraId="12BEE711"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Costa, C., Lages, L. F., &amp; Hortinha, P. (2015). The bright and dark side of CSR in export markets: Its impact on innovation and performance. </w:t>
      </w:r>
      <w:r w:rsidRPr="00AC32B5">
        <w:rPr>
          <w:rStyle w:val="af8"/>
          <w:rFonts w:eastAsia="Arial"/>
          <w:i/>
          <w:sz w:val="26"/>
          <w:szCs w:val="26"/>
        </w:rPr>
        <w:t>International Business Review</w:t>
      </w:r>
      <w:r w:rsidRPr="00AC32B5">
        <w:rPr>
          <w:rStyle w:val="af8"/>
          <w:rFonts w:eastAsia="Arial"/>
          <w:sz w:val="26"/>
          <w:szCs w:val="26"/>
        </w:rPr>
        <w:t xml:space="preserve">, </w:t>
      </w:r>
      <w:r w:rsidRPr="00AC32B5">
        <w:rPr>
          <w:rStyle w:val="af8"/>
          <w:rFonts w:eastAsia="Arial"/>
          <w:i/>
          <w:sz w:val="26"/>
          <w:szCs w:val="26"/>
        </w:rPr>
        <w:t>24</w:t>
      </w:r>
      <w:r w:rsidRPr="00AC32B5">
        <w:rPr>
          <w:rStyle w:val="af8"/>
          <w:rFonts w:eastAsia="Arial"/>
          <w:sz w:val="26"/>
          <w:szCs w:val="26"/>
        </w:rPr>
        <w:t>(5), 749-757.</w:t>
      </w:r>
      <w:r w:rsidRPr="00AC32B5">
        <w:rPr>
          <w:rFonts w:ascii="Times New Roman" w:hAnsi="Times New Roman" w:cs="Times New Roman"/>
          <w:sz w:val="26"/>
          <w:szCs w:val="26"/>
        </w:rPr>
        <w:t xml:space="preserve"> </w:t>
      </w:r>
      <w:r w:rsidRPr="00AC32B5">
        <w:rPr>
          <w:rStyle w:val="af8"/>
          <w:rFonts w:eastAsia="Arial"/>
          <w:sz w:val="26"/>
          <w:szCs w:val="26"/>
        </w:rPr>
        <w:t>https://doi.org/10.1016/j.ibusrev.2015.01.008</w:t>
      </w:r>
    </w:p>
    <w:p w14:paraId="1C4D5289"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Deephouse, D. L., Newburry, W., &amp; Soleimani, A. (2016). The effects of institutional development and national culture on cross-national differences in corporate reputation. </w:t>
      </w:r>
      <w:r w:rsidRPr="00AC32B5">
        <w:rPr>
          <w:rStyle w:val="af8"/>
          <w:rFonts w:eastAsia="Arial"/>
          <w:i/>
          <w:sz w:val="26"/>
          <w:szCs w:val="26"/>
        </w:rPr>
        <w:t>Journal of World Business</w:t>
      </w:r>
      <w:r w:rsidRPr="00AC32B5">
        <w:rPr>
          <w:rStyle w:val="af8"/>
          <w:rFonts w:eastAsia="Arial"/>
          <w:sz w:val="26"/>
          <w:szCs w:val="26"/>
        </w:rPr>
        <w:t xml:space="preserve">, </w:t>
      </w:r>
      <w:r w:rsidRPr="00AC32B5">
        <w:rPr>
          <w:rStyle w:val="af8"/>
          <w:rFonts w:eastAsia="Arial"/>
          <w:i/>
          <w:sz w:val="26"/>
          <w:szCs w:val="26"/>
        </w:rPr>
        <w:t>51</w:t>
      </w:r>
      <w:r w:rsidRPr="00AC32B5">
        <w:rPr>
          <w:rStyle w:val="af8"/>
          <w:rFonts w:eastAsia="Arial"/>
          <w:sz w:val="26"/>
          <w:szCs w:val="26"/>
        </w:rPr>
        <w:t xml:space="preserve">(3), 463-473. </w:t>
      </w:r>
    </w:p>
    <w:p w14:paraId="5D6403D2" w14:textId="77777777" w:rsidR="00FD21B7" w:rsidRPr="00AC32B5" w:rsidRDefault="00FD21B7" w:rsidP="00FD21B7">
      <w:pPr>
        <w:pStyle w:val="10"/>
        <w:spacing w:line="360" w:lineRule="exact"/>
        <w:ind w:leftChars="338" w:left="1531" w:hanging="720"/>
        <w:jc w:val="both"/>
        <w:rPr>
          <w:rStyle w:val="af8"/>
          <w:rFonts w:eastAsia="Arial"/>
          <w:sz w:val="26"/>
          <w:szCs w:val="26"/>
        </w:rPr>
      </w:pPr>
      <w:r w:rsidRPr="00AC32B5">
        <w:rPr>
          <w:rStyle w:val="af8"/>
          <w:rFonts w:eastAsia="Arial"/>
          <w:sz w:val="26"/>
          <w:szCs w:val="26"/>
        </w:rPr>
        <w:t>https://doi.org/10.1016/j.jwb.2015.12.005</w:t>
      </w:r>
    </w:p>
    <w:p w14:paraId="2E1F9041" w14:textId="124A3B21"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Duque-Grisales, E., &amp; Aguilera-Caracuel, J. (2019). Environmental, Social and Governance (ESG) Scores and Financial Performance of Multilatinas: Moderating Effects of Geographic International Diversification and Financial Slack. </w:t>
      </w:r>
      <w:r w:rsidRPr="00AC32B5">
        <w:rPr>
          <w:rStyle w:val="af8"/>
          <w:rFonts w:eastAsia="Arial"/>
          <w:i/>
          <w:sz w:val="26"/>
          <w:szCs w:val="26"/>
        </w:rPr>
        <w:t>Journal of Business Ethics, 2019, May</w:t>
      </w:r>
      <w:r w:rsidRPr="00AC32B5">
        <w:rPr>
          <w:rStyle w:val="af8"/>
          <w:rFonts w:eastAsia="Arial"/>
          <w:sz w:val="26"/>
          <w:szCs w:val="26"/>
        </w:rPr>
        <w:t>. https://doi.org/10.1007/s10551-019-04177-w</w:t>
      </w:r>
    </w:p>
    <w:p w14:paraId="7703526A"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El Akremi, A., Gond, J. P., Swaen, V., De Roeck, K., &amp; Igalens, J. (2018). How do employees perceive corporate responsibility? Development and validation of a multidimensional corporate stakeholder responsibility scale. </w:t>
      </w:r>
      <w:r w:rsidRPr="00AC32B5">
        <w:rPr>
          <w:rStyle w:val="af8"/>
          <w:rFonts w:eastAsia="Arial"/>
          <w:i/>
          <w:sz w:val="26"/>
          <w:szCs w:val="26"/>
        </w:rPr>
        <w:t>Journal of Management</w:t>
      </w:r>
      <w:r w:rsidRPr="00AC32B5">
        <w:rPr>
          <w:rStyle w:val="af8"/>
          <w:rFonts w:eastAsia="Arial"/>
          <w:sz w:val="26"/>
          <w:szCs w:val="26"/>
        </w:rPr>
        <w:t xml:space="preserve">, </w:t>
      </w:r>
      <w:r w:rsidRPr="00AC32B5">
        <w:rPr>
          <w:rStyle w:val="af8"/>
          <w:rFonts w:eastAsia="Arial"/>
          <w:i/>
          <w:sz w:val="26"/>
          <w:szCs w:val="26"/>
        </w:rPr>
        <w:t>44</w:t>
      </w:r>
      <w:r w:rsidRPr="00AC32B5">
        <w:rPr>
          <w:rStyle w:val="af8"/>
          <w:rFonts w:eastAsia="Arial"/>
          <w:sz w:val="26"/>
          <w:szCs w:val="26"/>
        </w:rPr>
        <w:t>(2), 619-657. https://doi.org/10.1177/0149206315569311</w:t>
      </w:r>
    </w:p>
    <w:p w14:paraId="557D99FA" w14:textId="6D192501"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Fey, C. F., Morgulis-Yakushev, S., Jeong Park, H. &amp; Björkman, I. (2009). Opening the black box of the relationship between HRM practices and firm performance: A comparison of MNE subsidiaries in the USA, Finland, and Russia. </w:t>
      </w:r>
      <w:r w:rsidRPr="00AC32B5">
        <w:rPr>
          <w:rStyle w:val="af8"/>
          <w:rFonts w:eastAsia="Arial"/>
          <w:i/>
          <w:sz w:val="26"/>
          <w:szCs w:val="26"/>
        </w:rPr>
        <w:t>Journal of International Business Studies, 40</w:t>
      </w:r>
      <w:r w:rsidRPr="00AC32B5">
        <w:rPr>
          <w:rStyle w:val="af8"/>
          <w:rFonts w:eastAsia="Arial"/>
          <w:sz w:val="26"/>
          <w:szCs w:val="26"/>
        </w:rPr>
        <w:t>(4), 690–712.</w:t>
      </w:r>
    </w:p>
    <w:p w14:paraId="4E88F432" w14:textId="77777777" w:rsidR="00FD21B7" w:rsidRPr="00AC32B5" w:rsidRDefault="00FD21B7" w:rsidP="00FD21B7">
      <w:pPr>
        <w:pStyle w:val="10"/>
        <w:spacing w:line="360" w:lineRule="exact"/>
        <w:ind w:leftChars="338" w:left="1531" w:hanging="720"/>
        <w:jc w:val="both"/>
        <w:rPr>
          <w:rStyle w:val="af8"/>
          <w:rFonts w:eastAsia="Arial"/>
          <w:sz w:val="26"/>
          <w:szCs w:val="26"/>
        </w:rPr>
      </w:pPr>
      <w:r w:rsidRPr="00AC32B5">
        <w:rPr>
          <w:rStyle w:val="af8"/>
          <w:rFonts w:eastAsia="Arial"/>
          <w:sz w:val="26"/>
          <w:szCs w:val="26"/>
        </w:rPr>
        <w:t>https://doi.org/10.1057/jibs.2008.83</w:t>
      </w:r>
    </w:p>
    <w:p w14:paraId="13763F85" w14:textId="77777777" w:rsidR="00A87065" w:rsidRPr="00AC32B5" w:rsidRDefault="00A87065" w:rsidP="00A87065">
      <w:pPr>
        <w:spacing w:line="360" w:lineRule="exact"/>
        <w:ind w:left="810" w:hanging="720"/>
        <w:jc w:val="both"/>
        <w:rPr>
          <w:rStyle w:val="af8"/>
          <w:rFonts w:eastAsia="Trebuchet MS"/>
          <w:sz w:val="26"/>
          <w:szCs w:val="26"/>
        </w:rPr>
      </w:pPr>
      <w:r w:rsidRPr="00AC32B5">
        <w:rPr>
          <w:rStyle w:val="af8"/>
          <w:rFonts w:eastAsia="Trebuchet MS"/>
          <w:sz w:val="26"/>
          <w:szCs w:val="26"/>
        </w:rPr>
        <w:t xml:space="preserve">Ghoul, S., Guedhami, O. &amp; Kim, Y. J.  (2017). </w:t>
      </w:r>
      <w:r w:rsidRPr="00AC32B5">
        <w:rPr>
          <w:rStyle w:val="af8"/>
          <w:sz w:val="26"/>
          <w:szCs w:val="26"/>
        </w:rPr>
        <w:t>Country</w:t>
      </w:r>
      <w:r w:rsidRPr="00AC32B5">
        <w:rPr>
          <w:rStyle w:val="af8"/>
          <w:rFonts w:eastAsia="Trebuchet MS"/>
          <w:sz w:val="26"/>
          <w:szCs w:val="26"/>
        </w:rPr>
        <w:t xml:space="preserve">-level institutions, firm value, and the role of corporate social responsibility initiatives. </w:t>
      </w:r>
      <w:r w:rsidRPr="00AC32B5">
        <w:rPr>
          <w:rStyle w:val="af8"/>
          <w:rFonts w:eastAsia="Arial"/>
          <w:i/>
          <w:sz w:val="26"/>
          <w:szCs w:val="26"/>
        </w:rPr>
        <w:t>Journal of International Business Studies,</w:t>
      </w:r>
      <w:r w:rsidRPr="00AC32B5">
        <w:rPr>
          <w:rStyle w:val="af8"/>
          <w:rFonts w:eastAsia="Arial"/>
          <w:sz w:val="26"/>
          <w:szCs w:val="26"/>
        </w:rPr>
        <w:t xml:space="preserve"> </w:t>
      </w:r>
      <w:r w:rsidRPr="00AC32B5">
        <w:rPr>
          <w:rStyle w:val="af8"/>
          <w:rFonts w:eastAsia="Trebuchet MS"/>
          <w:i/>
          <w:sz w:val="26"/>
          <w:szCs w:val="26"/>
        </w:rPr>
        <w:t>48</w:t>
      </w:r>
      <w:r w:rsidRPr="00AC32B5">
        <w:rPr>
          <w:rStyle w:val="af8"/>
          <w:rFonts w:eastAsia="Trebuchet MS"/>
          <w:sz w:val="26"/>
          <w:szCs w:val="26"/>
        </w:rPr>
        <w:t>, 360-375.</w:t>
      </w:r>
      <w:r w:rsidRPr="00AC32B5">
        <w:rPr>
          <w:sz w:val="26"/>
          <w:szCs w:val="26"/>
        </w:rPr>
        <w:t xml:space="preserve"> </w:t>
      </w:r>
      <w:r w:rsidRPr="00AC32B5">
        <w:rPr>
          <w:rStyle w:val="af8"/>
          <w:rFonts w:eastAsia="Trebuchet MS"/>
          <w:sz w:val="26"/>
          <w:szCs w:val="26"/>
        </w:rPr>
        <w:t>https://doi.org/10.1057/jibs.2016.4</w:t>
      </w:r>
    </w:p>
    <w:p w14:paraId="770CFCF9" w14:textId="7B056E5F" w:rsidR="00FD21B7" w:rsidRPr="00AC32B5" w:rsidRDefault="00FD21B7" w:rsidP="00FD21B7">
      <w:pPr>
        <w:spacing w:line="360" w:lineRule="exact"/>
        <w:ind w:left="810" w:hanging="720"/>
        <w:jc w:val="both"/>
        <w:rPr>
          <w:rStyle w:val="af8"/>
          <w:sz w:val="26"/>
          <w:szCs w:val="26"/>
        </w:rPr>
      </w:pPr>
      <w:r w:rsidRPr="00AC32B5">
        <w:rPr>
          <w:rStyle w:val="af8"/>
          <w:sz w:val="26"/>
          <w:szCs w:val="26"/>
        </w:rPr>
        <w:t>Gilman, M., &amp; Raby, S. (2013). National context as a predictor of high-performance work system effectiveness in small-to-medium-sized enterprises (SMEs): A UK–French comparative analysis.</w:t>
      </w:r>
      <w:r w:rsidR="00C66E21" w:rsidRPr="00AC32B5">
        <w:rPr>
          <w:rStyle w:val="af8"/>
          <w:sz w:val="26"/>
          <w:szCs w:val="26"/>
        </w:rPr>
        <w:t xml:space="preserve"> </w:t>
      </w:r>
      <w:r w:rsidRPr="00AC32B5">
        <w:rPr>
          <w:rStyle w:val="af8"/>
          <w:i/>
          <w:sz w:val="26"/>
          <w:szCs w:val="26"/>
        </w:rPr>
        <w:t>International Journal of Human Resource Management,</w:t>
      </w:r>
      <w:r w:rsidRPr="00AC32B5">
        <w:rPr>
          <w:rStyle w:val="af8"/>
          <w:sz w:val="26"/>
          <w:szCs w:val="26"/>
        </w:rPr>
        <w:t xml:space="preserve"> </w:t>
      </w:r>
      <w:r w:rsidRPr="00AC32B5">
        <w:rPr>
          <w:rStyle w:val="af8"/>
          <w:i/>
          <w:sz w:val="26"/>
          <w:szCs w:val="26"/>
        </w:rPr>
        <w:t>24</w:t>
      </w:r>
      <w:r w:rsidRPr="00AC32B5">
        <w:rPr>
          <w:rStyle w:val="af8"/>
          <w:sz w:val="26"/>
          <w:szCs w:val="26"/>
        </w:rPr>
        <w:t>(2), 372-390.</w:t>
      </w:r>
      <w:r w:rsidRPr="00AC32B5">
        <w:rPr>
          <w:sz w:val="26"/>
          <w:szCs w:val="26"/>
        </w:rPr>
        <w:t xml:space="preserve"> </w:t>
      </w:r>
      <w:r w:rsidRPr="00AC32B5">
        <w:rPr>
          <w:rStyle w:val="af8"/>
          <w:sz w:val="26"/>
          <w:szCs w:val="26"/>
        </w:rPr>
        <w:t>https://doi.org/10.1080/09585192.2012.672447</w:t>
      </w:r>
    </w:p>
    <w:p w14:paraId="08658751" w14:textId="77777777" w:rsidR="00FD21B7" w:rsidRPr="00AC32B5" w:rsidRDefault="00FD21B7" w:rsidP="00704C22">
      <w:pPr>
        <w:spacing w:line="360" w:lineRule="exact"/>
        <w:ind w:left="810" w:hanging="720"/>
        <w:jc w:val="both"/>
        <w:rPr>
          <w:color w:val="222222"/>
          <w:sz w:val="26"/>
          <w:szCs w:val="26"/>
        </w:rPr>
      </w:pPr>
      <w:r w:rsidRPr="00AC32B5">
        <w:rPr>
          <w:color w:val="222222"/>
          <w:sz w:val="26"/>
          <w:szCs w:val="26"/>
        </w:rPr>
        <w:t xml:space="preserve">Graafland, J. (2019). Economic freedom and </w:t>
      </w:r>
      <w:r w:rsidRPr="00AC32B5">
        <w:rPr>
          <w:rStyle w:val="af8"/>
          <w:sz w:val="26"/>
          <w:szCs w:val="26"/>
        </w:rPr>
        <w:t>corporate</w:t>
      </w:r>
      <w:r w:rsidRPr="00AC32B5">
        <w:rPr>
          <w:color w:val="222222"/>
          <w:sz w:val="26"/>
          <w:szCs w:val="26"/>
        </w:rPr>
        <w:t xml:space="preserve"> environmental responsibility: The role of small government and freedom from government regulation. </w:t>
      </w:r>
      <w:r w:rsidRPr="00AC32B5">
        <w:rPr>
          <w:i/>
          <w:iCs/>
          <w:color w:val="222222"/>
          <w:sz w:val="26"/>
          <w:szCs w:val="26"/>
        </w:rPr>
        <w:t>Journal of Cleaner Production</w:t>
      </w:r>
      <w:r w:rsidRPr="00AC32B5">
        <w:rPr>
          <w:color w:val="222222"/>
          <w:sz w:val="26"/>
          <w:szCs w:val="26"/>
        </w:rPr>
        <w:t>,</w:t>
      </w:r>
      <w:r w:rsidRPr="00AC32B5">
        <w:rPr>
          <w:iCs/>
          <w:color w:val="222222"/>
          <w:sz w:val="26"/>
          <w:szCs w:val="26"/>
        </w:rPr>
        <w:t xml:space="preserve"> </w:t>
      </w:r>
      <w:r w:rsidRPr="00AC32B5">
        <w:rPr>
          <w:i/>
          <w:iCs/>
          <w:color w:val="222222"/>
          <w:sz w:val="26"/>
          <w:szCs w:val="26"/>
        </w:rPr>
        <w:t>218</w:t>
      </w:r>
      <w:r w:rsidRPr="00AC32B5">
        <w:rPr>
          <w:color w:val="222222"/>
          <w:sz w:val="26"/>
          <w:szCs w:val="26"/>
        </w:rPr>
        <w:t>, 250-258.</w:t>
      </w:r>
      <w:r w:rsidRPr="00AC32B5">
        <w:rPr>
          <w:sz w:val="26"/>
          <w:szCs w:val="26"/>
        </w:rPr>
        <w:t xml:space="preserve"> </w:t>
      </w:r>
      <w:r w:rsidRPr="00AC32B5">
        <w:rPr>
          <w:color w:val="222222"/>
          <w:sz w:val="26"/>
          <w:szCs w:val="26"/>
        </w:rPr>
        <w:t>https://doi.org/10.1016/j.jclepro.2019.01.308</w:t>
      </w:r>
    </w:p>
    <w:p w14:paraId="65968B5A" w14:textId="78AD8AC0"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Guerci, M., Decramer, A., Van Waeyenberg, T., &amp; Aust, I. (2019). Moving Beyond the Link Between HRM and Economic Performance: A Study on the Individual </w:t>
      </w:r>
      <w:r w:rsidRPr="00AC32B5">
        <w:rPr>
          <w:rStyle w:val="af8"/>
          <w:rFonts w:eastAsia="Arial"/>
          <w:sz w:val="26"/>
          <w:szCs w:val="26"/>
        </w:rPr>
        <w:lastRenderedPageBreak/>
        <w:t xml:space="preserve">Reactions of HR Managers and Professionals to Sustainable HRM. </w:t>
      </w:r>
      <w:r w:rsidRPr="00AC32B5">
        <w:rPr>
          <w:rStyle w:val="af8"/>
          <w:rFonts w:eastAsia="Arial"/>
          <w:i/>
          <w:sz w:val="26"/>
          <w:szCs w:val="26"/>
        </w:rPr>
        <w:t>Journal of Business Ethics, 160,</w:t>
      </w:r>
      <w:r w:rsidR="00C66E21" w:rsidRPr="00AC32B5">
        <w:rPr>
          <w:rStyle w:val="af8"/>
          <w:rFonts w:eastAsia="Arial"/>
          <w:i/>
          <w:sz w:val="26"/>
          <w:szCs w:val="26"/>
        </w:rPr>
        <w:t xml:space="preserve"> </w:t>
      </w:r>
      <w:r w:rsidRPr="00AC32B5">
        <w:rPr>
          <w:rStyle w:val="af8"/>
          <w:rFonts w:eastAsia="Arial"/>
          <w:sz w:val="26"/>
          <w:szCs w:val="26"/>
        </w:rPr>
        <w:t>783-800. https://doi.org/10.1007/s10551-018-3879-1</w:t>
      </w:r>
    </w:p>
    <w:p w14:paraId="6863CC33" w14:textId="455BC6FE"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Hall, P. A. (2015). Varieties of capitalism. </w:t>
      </w:r>
      <w:r w:rsidRPr="00AC32B5">
        <w:rPr>
          <w:rStyle w:val="af8"/>
          <w:rFonts w:eastAsia="Arial"/>
          <w:i/>
          <w:sz w:val="26"/>
          <w:szCs w:val="26"/>
        </w:rPr>
        <w:t>Emerging Trends in the Social and Behavioral Sciences: An Interdisciplinary, Searchable, and Linkable Resource</w:t>
      </w:r>
      <w:r w:rsidRPr="00AC32B5">
        <w:rPr>
          <w:rStyle w:val="af8"/>
          <w:rFonts w:eastAsia="Arial"/>
          <w:sz w:val="26"/>
          <w:szCs w:val="26"/>
        </w:rPr>
        <w:t>, 1-15. Wiley &amp; Sons, New York.</w:t>
      </w:r>
    </w:p>
    <w:p w14:paraId="579DB3EA"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Helmig, B., Spraul, K., &amp; Ingenhoff, D. (2016). Under positive pressure: How stakeholder pressure affects corporate social responsibility implementation. </w:t>
      </w:r>
      <w:r w:rsidRPr="00AC32B5">
        <w:rPr>
          <w:rStyle w:val="af8"/>
          <w:rFonts w:eastAsia="Arial"/>
          <w:i/>
          <w:sz w:val="26"/>
          <w:szCs w:val="26"/>
        </w:rPr>
        <w:t>Business &amp; Society</w:t>
      </w:r>
      <w:r w:rsidRPr="00AC32B5">
        <w:rPr>
          <w:rStyle w:val="af8"/>
          <w:rFonts w:eastAsia="Arial"/>
          <w:sz w:val="26"/>
          <w:szCs w:val="26"/>
        </w:rPr>
        <w:t xml:space="preserve">, </w:t>
      </w:r>
      <w:r w:rsidRPr="00AC32B5">
        <w:rPr>
          <w:rStyle w:val="af8"/>
          <w:rFonts w:eastAsia="Arial"/>
          <w:i/>
          <w:sz w:val="26"/>
          <w:szCs w:val="26"/>
        </w:rPr>
        <w:t>55</w:t>
      </w:r>
      <w:r w:rsidRPr="00AC32B5">
        <w:rPr>
          <w:rStyle w:val="af8"/>
          <w:rFonts w:eastAsia="Arial"/>
          <w:sz w:val="26"/>
          <w:szCs w:val="26"/>
        </w:rPr>
        <w:t>(2), 151-187.</w:t>
      </w:r>
      <w:r w:rsidRPr="00AC32B5">
        <w:rPr>
          <w:rFonts w:ascii="Times New Roman" w:hAnsi="Times New Roman" w:cs="Times New Roman"/>
          <w:sz w:val="26"/>
          <w:szCs w:val="26"/>
        </w:rPr>
        <w:t xml:space="preserve"> </w:t>
      </w:r>
      <w:r w:rsidRPr="00AC32B5">
        <w:rPr>
          <w:rStyle w:val="af8"/>
          <w:rFonts w:eastAsia="Arial"/>
          <w:sz w:val="26"/>
          <w:szCs w:val="26"/>
        </w:rPr>
        <w:t>https://doi.org/10.1177/0007650313477841</w:t>
      </w:r>
    </w:p>
    <w:p w14:paraId="580C0DB8" w14:textId="10FF57F6"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Hull, C. E., &amp; Rothenberg, S. (2008). Firm performance: The interactions of corporate social performance with innovation and industry differentiation. </w:t>
      </w:r>
      <w:r w:rsidRPr="00AC32B5">
        <w:rPr>
          <w:rStyle w:val="af8"/>
          <w:rFonts w:eastAsia="Arial"/>
          <w:i/>
          <w:sz w:val="26"/>
          <w:szCs w:val="26"/>
        </w:rPr>
        <w:t>Strategic Management Journal</w:t>
      </w:r>
      <w:r w:rsidRPr="00AC32B5">
        <w:rPr>
          <w:rStyle w:val="af8"/>
          <w:rFonts w:eastAsia="Arial"/>
          <w:sz w:val="26"/>
          <w:szCs w:val="26"/>
        </w:rPr>
        <w:t xml:space="preserve">, </w:t>
      </w:r>
      <w:r w:rsidRPr="00AC32B5">
        <w:rPr>
          <w:rStyle w:val="af8"/>
          <w:rFonts w:eastAsia="Arial"/>
          <w:i/>
          <w:sz w:val="26"/>
          <w:szCs w:val="26"/>
        </w:rPr>
        <w:t>29(7),</w:t>
      </w:r>
      <w:r w:rsidRPr="00AC32B5">
        <w:rPr>
          <w:rStyle w:val="af8"/>
          <w:rFonts w:eastAsia="Arial"/>
          <w:sz w:val="26"/>
          <w:szCs w:val="26"/>
        </w:rPr>
        <w:t xml:space="preserve"> 781–789.</w:t>
      </w:r>
      <w:r w:rsidRPr="00AC32B5">
        <w:rPr>
          <w:rFonts w:ascii="Times New Roman" w:hAnsi="Times New Roman" w:cs="Times New Roman"/>
          <w:sz w:val="26"/>
          <w:szCs w:val="26"/>
        </w:rPr>
        <w:t xml:space="preserve"> </w:t>
      </w:r>
      <w:r w:rsidRPr="00AC32B5">
        <w:rPr>
          <w:rStyle w:val="af8"/>
          <w:rFonts w:eastAsia="Arial"/>
          <w:sz w:val="26"/>
          <w:szCs w:val="26"/>
        </w:rPr>
        <w:t>https://doi.org/10.1002/smj.675</w:t>
      </w:r>
    </w:p>
    <w:p w14:paraId="61773365" w14:textId="5DF09CFF"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Huselid, M. (1995). The impact of human resource management practices on turnover, productivity, and corporate financial performance, </w:t>
      </w:r>
      <w:r w:rsidRPr="00AC32B5">
        <w:rPr>
          <w:rStyle w:val="af8"/>
          <w:rFonts w:eastAsia="Arial"/>
          <w:i/>
          <w:sz w:val="26"/>
          <w:szCs w:val="26"/>
        </w:rPr>
        <w:t>Academy of Management Journal</w:t>
      </w:r>
      <w:r w:rsidRPr="00AC32B5">
        <w:rPr>
          <w:rStyle w:val="af8"/>
          <w:rFonts w:eastAsia="Arial"/>
          <w:sz w:val="26"/>
          <w:szCs w:val="26"/>
        </w:rPr>
        <w:t xml:space="preserve">, </w:t>
      </w:r>
      <w:r w:rsidRPr="00AC32B5">
        <w:rPr>
          <w:rStyle w:val="af8"/>
          <w:rFonts w:eastAsia="Arial"/>
          <w:i/>
          <w:sz w:val="26"/>
          <w:szCs w:val="26"/>
        </w:rPr>
        <w:t>38</w:t>
      </w:r>
      <w:r w:rsidRPr="00AC32B5">
        <w:rPr>
          <w:rStyle w:val="af8"/>
          <w:rFonts w:eastAsia="Arial"/>
          <w:sz w:val="26"/>
          <w:szCs w:val="26"/>
        </w:rPr>
        <w:t>(3), 635-672.</w:t>
      </w:r>
      <w:r w:rsidRPr="00AC32B5">
        <w:rPr>
          <w:rFonts w:ascii="Times New Roman" w:hAnsi="Times New Roman" w:cs="Times New Roman"/>
          <w:sz w:val="26"/>
          <w:szCs w:val="26"/>
        </w:rPr>
        <w:t xml:space="preserve"> </w:t>
      </w:r>
      <w:r w:rsidRPr="00AC32B5">
        <w:rPr>
          <w:rStyle w:val="af8"/>
          <w:rFonts w:eastAsia="Arial"/>
          <w:sz w:val="26"/>
          <w:szCs w:val="26"/>
        </w:rPr>
        <w:t>https://doi.org/10.5465/256741</w:t>
      </w:r>
    </w:p>
    <w:p w14:paraId="34FB8495"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Ibrahim, N. A. F. (2017). The relationship between corporate social responsibility and employer attractiveness in Egypt: The moderating effect of the individual’s income. </w:t>
      </w:r>
      <w:r w:rsidRPr="00AC32B5">
        <w:rPr>
          <w:rStyle w:val="af8"/>
          <w:rFonts w:eastAsia="Arial"/>
          <w:i/>
          <w:iCs/>
          <w:sz w:val="26"/>
          <w:szCs w:val="26"/>
        </w:rPr>
        <w:t>Contemporary Management Research</w:t>
      </w:r>
      <w:r w:rsidRPr="00AC32B5">
        <w:rPr>
          <w:rStyle w:val="af8"/>
          <w:rFonts w:eastAsia="Arial"/>
          <w:sz w:val="26"/>
          <w:szCs w:val="26"/>
        </w:rPr>
        <w:t xml:space="preserve">, </w:t>
      </w:r>
      <w:r w:rsidRPr="00AC32B5">
        <w:rPr>
          <w:rStyle w:val="af8"/>
          <w:rFonts w:eastAsia="Arial"/>
          <w:i/>
          <w:sz w:val="26"/>
          <w:szCs w:val="26"/>
        </w:rPr>
        <w:t>13</w:t>
      </w:r>
      <w:r w:rsidRPr="00AC32B5">
        <w:rPr>
          <w:rStyle w:val="af8"/>
          <w:rFonts w:eastAsia="Arial"/>
          <w:sz w:val="26"/>
          <w:szCs w:val="26"/>
        </w:rPr>
        <w:t>(2), 81-106.</w:t>
      </w:r>
    </w:p>
    <w:p w14:paraId="301A0845" w14:textId="77777777" w:rsidR="00FD21B7" w:rsidRPr="00AC32B5" w:rsidRDefault="00FD21B7" w:rsidP="00FD21B7">
      <w:pPr>
        <w:pStyle w:val="10"/>
        <w:spacing w:line="360" w:lineRule="exact"/>
        <w:ind w:leftChars="337" w:left="1529" w:hanging="720"/>
        <w:jc w:val="both"/>
        <w:rPr>
          <w:rStyle w:val="af8"/>
          <w:rFonts w:eastAsia="Arial"/>
          <w:sz w:val="26"/>
          <w:szCs w:val="26"/>
        </w:rPr>
      </w:pPr>
      <w:r w:rsidRPr="00AC32B5">
        <w:rPr>
          <w:rStyle w:val="af8"/>
          <w:rFonts w:eastAsia="Arial"/>
          <w:sz w:val="26"/>
          <w:szCs w:val="26"/>
        </w:rPr>
        <w:t>https://doi.org/10.7903/cmr.17430</w:t>
      </w:r>
    </w:p>
    <w:p w14:paraId="71BC051F" w14:textId="27FE379C" w:rsidR="00FD21B7" w:rsidRPr="00AC32B5" w:rsidRDefault="00FD21B7" w:rsidP="00704C22">
      <w:pPr>
        <w:spacing w:line="360" w:lineRule="exact"/>
        <w:ind w:left="810" w:hanging="720"/>
        <w:jc w:val="both"/>
        <w:rPr>
          <w:rStyle w:val="af8"/>
          <w:rFonts w:eastAsia="Trebuchet MS"/>
          <w:sz w:val="26"/>
          <w:szCs w:val="26"/>
        </w:rPr>
      </w:pPr>
      <w:r w:rsidRPr="00AC32B5">
        <w:rPr>
          <w:rStyle w:val="af8"/>
          <w:sz w:val="26"/>
          <w:szCs w:val="26"/>
        </w:rPr>
        <w:t>Ioannou</w:t>
      </w:r>
      <w:r w:rsidRPr="00AC32B5">
        <w:rPr>
          <w:rStyle w:val="af8"/>
          <w:rFonts w:eastAsia="Trebuchet MS"/>
          <w:sz w:val="26"/>
          <w:szCs w:val="26"/>
        </w:rPr>
        <w:t xml:space="preserve">, I., &amp; Serafeim, G. (2012). </w:t>
      </w:r>
      <w:r w:rsidRPr="00AC32B5">
        <w:rPr>
          <w:bCs/>
          <w:color w:val="222222"/>
          <w:sz w:val="26"/>
          <w:szCs w:val="26"/>
        </w:rPr>
        <w:t>What drives corporate social performance? The role of nation-level institutions.</w:t>
      </w:r>
      <w:r w:rsidRPr="00AC32B5">
        <w:rPr>
          <w:b/>
          <w:bCs/>
          <w:color w:val="222222"/>
          <w:sz w:val="26"/>
          <w:szCs w:val="26"/>
        </w:rPr>
        <w:t xml:space="preserve"> </w:t>
      </w:r>
      <w:r w:rsidRPr="00AC32B5">
        <w:rPr>
          <w:rStyle w:val="af8"/>
          <w:rFonts w:eastAsia="Trebuchet MS"/>
          <w:i/>
          <w:sz w:val="26"/>
          <w:szCs w:val="26"/>
        </w:rPr>
        <w:t>Journal of International Business Studies, 43,</w:t>
      </w:r>
      <w:r w:rsidRPr="00AC32B5">
        <w:rPr>
          <w:rStyle w:val="af8"/>
          <w:rFonts w:eastAsia="Trebuchet MS"/>
          <w:sz w:val="26"/>
          <w:szCs w:val="26"/>
        </w:rPr>
        <w:t xml:space="preserve"> 834-864.  </w:t>
      </w:r>
    </w:p>
    <w:p w14:paraId="551D7018" w14:textId="77777777" w:rsidR="00FD21B7" w:rsidRPr="00AC32B5" w:rsidRDefault="00FD21B7" w:rsidP="00FD21B7">
      <w:pPr>
        <w:pStyle w:val="10"/>
        <w:spacing w:line="360" w:lineRule="exact"/>
        <w:ind w:leftChars="354" w:left="850"/>
        <w:rPr>
          <w:rFonts w:ascii="Times New Roman" w:hAnsi="Times New Roman" w:cs="Times New Roman"/>
          <w:sz w:val="26"/>
          <w:szCs w:val="26"/>
          <w:lang w:eastAsia="x-none"/>
        </w:rPr>
      </w:pPr>
      <w:r w:rsidRPr="00AC32B5">
        <w:rPr>
          <w:rFonts w:ascii="Times New Roman" w:hAnsi="Times New Roman" w:cs="Times New Roman"/>
          <w:sz w:val="26"/>
          <w:szCs w:val="26"/>
          <w:lang w:eastAsia="x-none"/>
        </w:rPr>
        <w:t>https://doi.org/10.1057/jibs.2012.26</w:t>
      </w:r>
    </w:p>
    <w:p w14:paraId="6562300B" w14:textId="77777777" w:rsidR="00FD21B7" w:rsidRPr="00AC32B5" w:rsidRDefault="00FD21B7" w:rsidP="00704C22">
      <w:pPr>
        <w:spacing w:line="360" w:lineRule="exact"/>
        <w:ind w:left="810" w:hanging="720"/>
        <w:jc w:val="both"/>
        <w:rPr>
          <w:rStyle w:val="af8"/>
          <w:rFonts w:eastAsia="Trebuchet MS"/>
          <w:sz w:val="26"/>
          <w:szCs w:val="26"/>
        </w:rPr>
      </w:pPr>
      <w:r w:rsidRPr="00AC32B5">
        <w:rPr>
          <w:rStyle w:val="af8"/>
          <w:sz w:val="26"/>
          <w:szCs w:val="26"/>
        </w:rPr>
        <w:t>Luxmore</w:t>
      </w:r>
      <w:r w:rsidRPr="00AC32B5">
        <w:rPr>
          <w:rStyle w:val="af8"/>
          <w:rFonts w:eastAsia="Trebuchet MS"/>
          <w:sz w:val="26"/>
          <w:szCs w:val="26"/>
        </w:rPr>
        <w:t xml:space="preserve">, S. R., &amp; Hull, C. E. (2018). How formal and informal institutional environments affect the way Greenpeace fights genetically-modified organisms in Europe and the United States. </w:t>
      </w:r>
      <w:r w:rsidRPr="00AC32B5">
        <w:rPr>
          <w:rStyle w:val="af8"/>
          <w:rFonts w:eastAsia="Trebuchet MS"/>
          <w:i/>
          <w:iCs/>
          <w:sz w:val="26"/>
          <w:szCs w:val="26"/>
        </w:rPr>
        <w:t>Contemporary Management Research</w:t>
      </w:r>
      <w:r w:rsidRPr="00AC32B5">
        <w:rPr>
          <w:rStyle w:val="af8"/>
          <w:rFonts w:eastAsia="Trebuchet MS"/>
          <w:sz w:val="26"/>
          <w:szCs w:val="26"/>
        </w:rPr>
        <w:t xml:space="preserve">, </w:t>
      </w:r>
      <w:r w:rsidRPr="00AC32B5">
        <w:rPr>
          <w:rStyle w:val="af8"/>
          <w:rFonts w:eastAsia="Trebuchet MS"/>
          <w:i/>
          <w:sz w:val="26"/>
          <w:szCs w:val="26"/>
        </w:rPr>
        <w:t>14</w:t>
      </w:r>
      <w:r w:rsidRPr="00AC32B5">
        <w:rPr>
          <w:rStyle w:val="af8"/>
          <w:rFonts w:eastAsia="Trebuchet MS"/>
          <w:sz w:val="26"/>
          <w:szCs w:val="26"/>
        </w:rPr>
        <w:t>(3), 225-252.</w:t>
      </w:r>
    </w:p>
    <w:p w14:paraId="02DA0259" w14:textId="77777777" w:rsidR="00FD21B7" w:rsidRPr="00AC32B5" w:rsidRDefault="00FD21B7" w:rsidP="00FD21B7">
      <w:pPr>
        <w:pStyle w:val="10"/>
        <w:spacing w:line="360" w:lineRule="exact"/>
        <w:ind w:leftChars="354" w:left="850" w:firstLine="1"/>
        <w:rPr>
          <w:rFonts w:ascii="Times New Roman" w:hAnsi="Times New Roman" w:cs="Times New Roman"/>
          <w:sz w:val="26"/>
          <w:szCs w:val="26"/>
          <w:lang w:eastAsia="x-none"/>
        </w:rPr>
      </w:pPr>
      <w:r w:rsidRPr="00AC32B5">
        <w:rPr>
          <w:rFonts w:ascii="Times New Roman" w:hAnsi="Times New Roman" w:cs="Times New Roman"/>
          <w:sz w:val="26"/>
          <w:szCs w:val="26"/>
          <w:lang w:eastAsia="x-none"/>
        </w:rPr>
        <w:t>https://doi.org/10.7903/cmr.17889</w:t>
      </w:r>
    </w:p>
    <w:p w14:paraId="0098B67A" w14:textId="77777777" w:rsidR="00FD21B7" w:rsidRPr="00AC32B5" w:rsidRDefault="00FD21B7" w:rsidP="00FD21B7">
      <w:pPr>
        <w:spacing w:line="360" w:lineRule="exact"/>
        <w:ind w:left="810" w:hanging="720"/>
        <w:jc w:val="both"/>
        <w:rPr>
          <w:color w:val="222222"/>
          <w:sz w:val="26"/>
          <w:szCs w:val="26"/>
        </w:rPr>
      </w:pPr>
      <w:r w:rsidRPr="00AC32B5">
        <w:rPr>
          <w:color w:val="222222"/>
          <w:sz w:val="26"/>
          <w:szCs w:val="26"/>
        </w:rPr>
        <w:t xml:space="preserve">Luxmore, S. R., Hull, C. E., &amp; Tang, Z. (2018). Institutional determinants of environmental corporate social responsibility: Are multinational entities taking advantage of weak environmental enforcement in lower‐income nations? </w:t>
      </w:r>
      <w:r w:rsidRPr="00AC32B5">
        <w:rPr>
          <w:i/>
          <w:color w:val="222222"/>
          <w:sz w:val="26"/>
          <w:szCs w:val="26"/>
        </w:rPr>
        <w:t>Business and Society Review</w:t>
      </w:r>
      <w:r w:rsidRPr="00AC32B5">
        <w:rPr>
          <w:color w:val="222222"/>
          <w:sz w:val="26"/>
          <w:szCs w:val="26"/>
        </w:rPr>
        <w:t xml:space="preserve">, </w:t>
      </w:r>
      <w:r w:rsidRPr="00AC32B5">
        <w:rPr>
          <w:i/>
          <w:color w:val="222222"/>
          <w:sz w:val="26"/>
          <w:szCs w:val="26"/>
        </w:rPr>
        <w:t>123</w:t>
      </w:r>
      <w:r w:rsidRPr="00AC32B5">
        <w:rPr>
          <w:color w:val="222222"/>
          <w:sz w:val="26"/>
          <w:szCs w:val="26"/>
        </w:rPr>
        <w:t>(1), 151-179.</w:t>
      </w:r>
      <w:r w:rsidRPr="00AC32B5">
        <w:rPr>
          <w:sz w:val="26"/>
          <w:szCs w:val="26"/>
        </w:rPr>
        <w:t xml:space="preserve"> </w:t>
      </w:r>
      <w:r w:rsidRPr="00AC32B5">
        <w:rPr>
          <w:color w:val="222222"/>
          <w:sz w:val="26"/>
          <w:szCs w:val="26"/>
        </w:rPr>
        <w:t>https://doi.org/10.1111/basr.12138</w:t>
      </w:r>
    </w:p>
    <w:p w14:paraId="7D9D04E4" w14:textId="77777777" w:rsidR="00FD21B7" w:rsidRPr="00AC32B5" w:rsidRDefault="00FD21B7" w:rsidP="00FD21B7">
      <w:pPr>
        <w:spacing w:line="360" w:lineRule="exact"/>
        <w:ind w:left="810" w:hanging="720"/>
        <w:jc w:val="both"/>
        <w:rPr>
          <w:color w:val="222222"/>
          <w:sz w:val="26"/>
          <w:szCs w:val="26"/>
        </w:rPr>
      </w:pPr>
      <w:r w:rsidRPr="00AC32B5">
        <w:rPr>
          <w:color w:val="222222"/>
          <w:sz w:val="26"/>
          <w:szCs w:val="26"/>
        </w:rPr>
        <w:t xml:space="preserve">Maamari, B. E., &amp; Alameh, K. (2016). Talent management moderating the relationship between recruitment for the highly skilled and HR policies. </w:t>
      </w:r>
      <w:r w:rsidRPr="00AC32B5">
        <w:rPr>
          <w:i/>
          <w:iCs/>
          <w:color w:val="222222"/>
          <w:sz w:val="26"/>
          <w:szCs w:val="26"/>
        </w:rPr>
        <w:t>Contemporary Management Research</w:t>
      </w:r>
      <w:r w:rsidRPr="00AC32B5">
        <w:rPr>
          <w:color w:val="222222"/>
          <w:sz w:val="26"/>
          <w:szCs w:val="26"/>
        </w:rPr>
        <w:t xml:space="preserve">, </w:t>
      </w:r>
      <w:r w:rsidRPr="00AC32B5">
        <w:rPr>
          <w:i/>
          <w:color w:val="222222"/>
          <w:sz w:val="26"/>
          <w:szCs w:val="26"/>
        </w:rPr>
        <w:t>12</w:t>
      </w:r>
      <w:r w:rsidRPr="00AC32B5">
        <w:rPr>
          <w:color w:val="222222"/>
          <w:sz w:val="26"/>
          <w:szCs w:val="26"/>
        </w:rPr>
        <w:t>(1), 121-138. https://doi.org/10.7903/cmr.14133</w:t>
      </w:r>
    </w:p>
    <w:p w14:paraId="0BD193DD" w14:textId="77777777" w:rsidR="00FD21B7" w:rsidRPr="00AC32B5" w:rsidRDefault="00FD21B7" w:rsidP="00FD21B7">
      <w:pPr>
        <w:spacing w:line="360" w:lineRule="exact"/>
        <w:ind w:left="810" w:hanging="720"/>
        <w:jc w:val="both"/>
        <w:rPr>
          <w:rStyle w:val="af8"/>
          <w:sz w:val="26"/>
          <w:szCs w:val="26"/>
        </w:rPr>
      </w:pPr>
      <w:r w:rsidRPr="00AC32B5">
        <w:rPr>
          <w:color w:val="222222"/>
          <w:sz w:val="26"/>
          <w:szCs w:val="26"/>
        </w:rPr>
        <w:t xml:space="preserve">Mallon, M. R., &amp; Fainshmidt, S. (2017). Assets of foreignness: a theoretical integration and agenda for future research. </w:t>
      </w:r>
      <w:r w:rsidRPr="00AC32B5">
        <w:rPr>
          <w:i/>
          <w:color w:val="222222"/>
          <w:sz w:val="26"/>
          <w:szCs w:val="26"/>
        </w:rPr>
        <w:t>Journal of International Management</w:t>
      </w:r>
      <w:r w:rsidRPr="00AC32B5">
        <w:rPr>
          <w:color w:val="222222"/>
          <w:sz w:val="26"/>
          <w:szCs w:val="26"/>
        </w:rPr>
        <w:t xml:space="preserve">, </w:t>
      </w:r>
      <w:r w:rsidRPr="00AC32B5">
        <w:rPr>
          <w:i/>
          <w:color w:val="222222"/>
          <w:sz w:val="26"/>
          <w:szCs w:val="26"/>
        </w:rPr>
        <w:t>23</w:t>
      </w:r>
      <w:r w:rsidRPr="00AC32B5">
        <w:rPr>
          <w:color w:val="222222"/>
          <w:sz w:val="26"/>
          <w:szCs w:val="26"/>
        </w:rPr>
        <w:t>(1), 43-55.</w:t>
      </w:r>
      <w:r w:rsidRPr="00AC32B5">
        <w:rPr>
          <w:sz w:val="26"/>
          <w:szCs w:val="26"/>
        </w:rPr>
        <w:t xml:space="preserve"> </w:t>
      </w:r>
      <w:r w:rsidRPr="00AC32B5">
        <w:rPr>
          <w:color w:val="222222"/>
          <w:sz w:val="26"/>
          <w:szCs w:val="26"/>
        </w:rPr>
        <w:t>https://doi.org/10.1016/j.intman.2016.08.001</w:t>
      </w:r>
    </w:p>
    <w:p w14:paraId="02224175" w14:textId="39A241EA" w:rsidR="00FD21B7" w:rsidRPr="00AC32B5" w:rsidRDefault="00FD21B7" w:rsidP="00FD21B7">
      <w:pPr>
        <w:spacing w:line="360" w:lineRule="exact"/>
        <w:ind w:left="810" w:hanging="720"/>
        <w:rPr>
          <w:rStyle w:val="af8"/>
          <w:sz w:val="26"/>
          <w:szCs w:val="26"/>
        </w:rPr>
      </w:pPr>
      <w:r w:rsidRPr="00AC32B5">
        <w:rPr>
          <w:rStyle w:val="af8"/>
          <w:sz w:val="26"/>
          <w:szCs w:val="26"/>
        </w:rPr>
        <w:lastRenderedPageBreak/>
        <w:t xml:space="preserve">MCSI. (2019). </w:t>
      </w:r>
      <w:r w:rsidRPr="00AC32B5">
        <w:rPr>
          <w:rStyle w:val="af8"/>
          <w:i/>
          <w:iCs/>
          <w:sz w:val="26"/>
          <w:szCs w:val="26"/>
        </w:rPr>
        <w:t>What Do We Measure? MCSI ESG Ratings Index</w:t>
      </w:r>
      <w:r w:rsidRPr="00AC32B5">
        <w:rPr>
          <w:rStyle w:val="af8"/>
          <w:sz w:val="26"/>
          <w:szCs w:val="26"/>
        </w:rPr>
        <w:t>. Retrieved from https://www.msci.com/esg-</w:t>
      </w:r>
      <w:r w:rsidRPr="00AC32B5">
        <w:rPr>
          <w:sz w:val="26"/>
          <w:szCs w:val="26"/>
        </w:rPr>
        <w:t>ratings</w:t>
      </w:r>
      <w:r w:rsidRPr="00AC32B5">
        <w:rPr>
          <w:rStyle w:val="af8"/>
          <w:sz w:val="26"/>
          <w:szCs w:val="26"/>
        </w:rPr>
        <w:t>#p_p_id_com_liferay_journal_content_web_ portlet _JournalContentPortlet_INSTANCE_0Gi5FRajcFgm_ Accessed Aug. 17, 2019.</w:t>
      </w:r>
    </w:p>
    <w:p w14:paraId="7735D382" w14:textId="77777777" w:rsidR="00FD21B7" w:rsidRPr="00AC32B5" w:rsidRDefault="00FD21B7" w:rsidP="00FD21B7">
      <w:pPr>
        <w:spacing w:line="360" w:lineRule="exact"/>
        <w:ind w:left="810" w:hanging="720"/>
        <w:jc w:val="both"/>
        <w:rPr>
          <w:rStyle w:val="af8"/>
          <w:sz w:val="26"/>
          <w:szCs w:val="26"/>
        </w:rPr>
      </w:pPr>
      <w:r w:rsidRPr="00AC32B5">
        <w:rPr>
          <w:rStyle w:val="af8"/>
          <w:sz w:val="26"/>
          <w:szCs w:val="26"/>
        </w:rPr>
        <w:t xml:space="preserve">Minbaeva, D., Pedersen, T., Björkman, I., Fey, C. F., &amp; Park, H. J. (2014). Retrospective: MNC knowledge transfer, subsidiary absorptive capacity, and HRM. </w:t>
      </w:r>
      <w:r w:rsidRPr="00AC32B5">
        <w:rPr>
          <w:rStyle w:val="af8"/>
          <w:i/>
          <w:sz w:val="26"/>
          <w:szCs w:val="26"/>
        </w:rPr>
        <w:t>Journal of International Business Studies</w:t>
      </w:r>
      <w:r w:rsidRPr="00AC32B5">
        <w:rPr>
          <w:rStyle w:val="af8"/>
          <w:sz w:val="26"/>
          <w:szCs w:val="26"/>
        </w:rPr>
        <w:t xml:space="preserve">, </w:t>
      </w:r>
      <w:r w:rsidRPr="00AC32B5">
        <w:rPr>
          <w:rStyle w:val="af8"/>
          <w:i/>
          <w:sz w:val="26"/>
          <w:szCs w:val="26"/>
        </w:rPr>
        <w:t>45</w:t>
      </w:r>
      <w:r w:rsidRPr="00AC32B5">
        <w:rPr>
          <w:rStyle w:val="af8"/>
          <w:sz w:val="26"/>
          <w:szCs w:val="26"/>
        </w:rPr>
        <w:t>(1), 38-51.</w:t>
      </w:r>
      <w:r w:rsidRPr="00AC32B5">
        <w:rPr>
          <w:sz w:val="26"/>
          <w:szCs w:val="26"/>
        </w:rPr>
        <w:t xml:space="preserve"> </w:t>
      </w:r>
      <w:r w:rsidRPr="00AC32B5">
        <w:rPr>
          <w:rStyle w:val="af8"/>
          <w:sz w:val="26"/>
          <w:szCs w:val="26"/>
        </w:rPr>
        <w:t>https://doi.org/10.1057/jibs.2013.43</w:t>
      </w:r>
    </w:p>
    <w:p w14:paraId="6700104C" w14:textId="30940B4C" w:rsidR="00FD21B7" w:rsidRPr="00AC32B5" w:rsidRDefault="00FD21B7" w:rsidP="00704C22">
      <w:pPr>
        <w:spacing w:line="360" w:lineRule="exact"/>
        <w:ind w:left="810" w:hanging="720"/>
        <w:jc w:val="both"/>
        <w:rPr>
          <w:color w:val="222222"/>
          <w:sz w:val="26"/>
          <w:szCs w:val="26"/>
        </w:rPr>
      </w:pPr>
      <w:r w:rsidRPr="00AC32B5">
        <w:rPr>
          <w:color w:val="222222"/>
          <w:sz w:val="26"/>
          <w:szCs w:val="26"/>
          <w:shd w:val="clear" w:color="auto" w:fill="FFFFFF"/>
        </w:rPr>
        <w:t xml:space="preserve">Neter, J., </w:t>
      </w:r>
      <w:r w:rsidRPr="00AC32B5">
        <w:rPr>
          <w:rStyle w:val="af8"/>
          <w:sz w:val="26"/>
          <w:szCs w:val="26"/>
        </w:rPr>
        <w:t>Kutner</w:t>
      </w:r>
      <w:r w:rsidRPr="00AC32B5">
        <w:rPr>
          <w:color w:val="222222"/>
          <w:sz w:val="26"/>
          <w:szCs w:val="26"/>
          <w:shd w:val="clear" w:color="auto" w:fill="FFFFFF"/>
        </w:rPr>
        <w:t xml:space="preserve">, M. H., Nachtsheim, C. J., &amp; Wasserman, W. (1996). </w:t>
      </w:r>
      <w:r w:rsidRPr="00AC32B5">
        <w:rPr>
          <w:i/>
          <w:iCs/>
          <w:color w:val="222222"/>
          <w:sz w:val="26"/>
          <w:szCs w:val="26"/>
        </w:rPr>
        <w:t>Applied Linear Statistical Models</w:t>
      </w:r>
      <w:r w:rsidRPr="00AC32B5">
        <w:rPr>
          <w:color w:val="222222"/>
          <w:sz w:val="26"/>
          <w:szCs w:val="26"/>
          <w:shd w:val="clear" w:color="auto" w:fill="FFFFFF"/>
        </w:rPr>
        <w:t xml:space="preserve"> (4</w:t>
      </w:r>
      <w:r w:rsidRPr="00AC32B5">
        <w:rPr>
          <w:color w:val="222222"/>
          <w:sz w:val="26"/>
          <w:szCs w:val="26"/>
          <w:shd w:val="clear" w:color="auto" w:fill="FFFFFF"/>
          <w:vertAlign w:val="superscript"/>
        </w:rPr>
        <w:t>th</w:t>
      </w:r>
      <w:r w:rsidRPr="00AC32B5">
        <w:rPr>
          <w:color w:val="222222"/>
          <w:sz w:val="26"/>
          <w:szCs w:val="26"/>
          <w:shd w:val="clear" w:color="auto" w:fill="FFFFFF"/>
        </w:rPr>
        <w:t xml:space="preserve"> ed.). Chicago: Irwin.</w:t>
      </w:r>
    </w:p>
    <w:p w14:paraId="087E1DF0"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Obeidat, S. M., Mitchell, R., &amp; Bray, M. (2016). The link between high performance work practices and organizational performance: Empirically validating the conceptualization of HPWP according to the AMO model. </w:t>
      </w:r>
      <w:r w:rsidRPr="00AC32B5">
        <w:rPr>
          <w:rStyle w:val="af8"/>
          <w:rFonts w:eastAsia="Arial"/>
          <w:i/>
          <w:sz w:val="26"/>
          <w:szCs w:val="26"/>
        </w:rPr>
        <w:t>Employee Relations</w:t>
      </w:r>
      <w:r w:rsidRPr="00AC32B5">
        <w:rPr>
          <w:rStyle w:val="af8"/>
          <w:rFonts w:eastAsia="Arial"/>
          <w:sz w:val="26"/>
          <w:szCs w:val="26"/>
        </w:rPr>
        <w:t xml:space="preserve">, </w:t>
      </w:r>
      <w:r w:rsidRPr="00AC32B5">
        <w:rPr>
          <w:rStyle w:val="af8"/>
          <w:rFonts w:eastAsia="Arial"/>
          <w:i/>
          <w:sz w:val="26"/>
          <w:szCs w:val="26"/>
        </w:rPr>
        <w:t>38</w:t>
      </w:r>
      <w:r w:rsidRPr="00AC32B5">
        <w:rPr>
          <w:rStyle w:val="af8"/>
          <w:rFonts w:eastAsia="Arial"/>
          <w:sz w:val="26"/>
          <w:szCs w:val="26"/>
        </w:rPr>
        <w:t>(4), 578-595. https://doi.org/10.1108/er-08-2015-0163</w:t>
      </w:r>
    </w:p>
    <w:p w14:paraId="694F29FF" w14:textId="77777777" w:rsidR="00FD21B7" w:rsidRPr="00AC32B5" w:rsidRDefault="00FD21B7" w:rsidP="00FD21B7">
      <w:pPr>
        <w:pStyle w:val="10"/>
        <w:spacing w:line="360" w:lineRule="exact"/>
        <w:ind w:left="810" w:hanging="720"/>
        <w:jc w:val="both"/>
        <w:rPr>
          <w:rStyle w:val="af8"/>
          <w:rFonts w:eastAsia="Arial"/>
          <w:sz w:val="26"/>
          <w:szCs w:val="26"/>
          <w:highlight w:val="white"/>
        </w:rPr>
      </w:pPr>
      <w:r w:rsidRPr="00AC32B5">
        <w:rPr>
          <w:rStyle w:val="af8"/>
          <w:rFonts w:eastAsia="Arial"/>
          <w:sz w:val="26"/>
          <w:szCs w:val="26"/>
          <w:highlight w:val="white"/>
        </w:rPr>
        <w:t>Paauwe, J. (2009). HRM and performance: Achievements, methodological issues and prospects</w:t>
      </w:r>
      <w:r w:rsidRPr="00AC32B5">
        <w:rPr>
          <w:rStyle w:val="af8"/>
          <w:rFonts w:eastAsia="Arial"/>
          <w:i/>
          <w:sz w:val="26"/>
          <w:szCs w:val="26"/>
          <w:highlight w:val="white"/>
        </w:rPr>
        <w:t>. Journal of Management Studies, 46</w:t>
      </w:r>
      <w:r w:rsidRPr="00AC32B5">
        <w:rPr>
          <w:rStyle w:val="af8"/>
          <w:rFonts w:eastAsia="Arial"/>
          <w:sz w:val="26"/>
          <w:szCs w:val="26"/>
          <w:highlight w:val="white"/>
        </w:rPr>
        <w:t>(1), 129-142.</w:t>
      </w:r>
    </w:p>
    <w:p w14:paraId="1D0B031D" w14:textId="77777777" w:rsidR="00FD21B7" w:rsidRPr="00AC32B5" w:rsidRDefault="00FD21B7" w:rsidP="00FD21B7">
      <w:pPr>
        <w:pStyle w:val="10"/>
        <w:spacing w:line="360" w:lineRule="exact"/>
        <w:ind w:leftChars="338" w:left="1531" w:hanging="720"/>
        <w:jc w:val="both"/>
        <w:rPr>
          <w:rStyle w:val="af8"/>
          <w:rFonts w:eastAsia="Arial"/>
          <w:sz w:val="26"/>
          <w:szCs w:val="26"/>
          <w:highlight w:val="white"/>
        </w:rPr>
      </w:pPr>
      <w:r w:rsidRPr="00AC32B5">
        <w:rPr>
          <w:rStyle w:val="af8"/>
          <w:rFonts w:eastAsia="Arial"/>
          <w:sz w:val="26"/>
          <w:szCs w:val="26"/>
        </w:rPr>
        <w:t>https://doi.org/10.1111/j.1467-6486.2008.00809.x</w:t>
      </w:r>
    </w:p>
    <w:p w14:paraId="4A834374" w14:textId="20C78C0C"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highlight w:val="white"/>
        </w:rPr>
      </w:pPr>
      <w:r w:rsidRPr="00AC32B5">
        <w:rPr>
          <w:rFonts w:ascii="Times New Roman" w:hAnsi="Times New Roman" w:cs="Times New Roman"/>
          <w:color w:val="222222"/>
          <w:sz w:val="26"/>
          <w:szCs w:val="26"/>
          <w:highlight w:val="white"/>
        </w:rPr>
        <w:t xml:space="preserve">Paauwe, J., &amp; Boon, C. (2018). Strategic HRM: A critical review. In </w:t>
      </w:r>
      <w:r w:rsidRPr="00AC32B5">
        <w:rPr>
          <w:rFonts w:ascii="Times New Roman" w:hAnsi="Times New Roman" w:cs="Times New Roman"/>
          <w:i/>
          <w:iCs/>
          <w:color w:val="222222"/>
          <w:sz w:val="26"/>
          <w:szCs w:val="26"/>
          <w:highlight w:val="white"/>
        </w:rPr>
        <w:t>Human Resource Management</w:t>
      </w:r>
      <w:r w:rsidRPr="00AC32B5">
        <w:rPr>
          <w:rFonts w:ascii="Times New Roman" w:hAnsi="Times New Roman" w:cs="Times New Roman"/>
          <w:color w:val="222222"/>
          <w:sz w:val="26"/>
          <w:szCs w:val="26"/>
          <w:highlight w:val="white"/>
        </w:rPr>
        <w:t>, 49-73. Routledge.</w:t>
      </w:r>
    </w:p>
    <w:p w14:paraId="28BFA3C4" w14:textId="5A49D249" w:rsidR="00FD21B7" w:rsidRPr="00AC32B5" w:rsidRDefault="00FD21B7" w:rsidP="00FD21B7">
      <w:pPr>
        <w:spacing w:line="360" w:lineRule="exact"/>
        <w:ind w:left="810" w:hanging="720"/>
        <w:jc w:val="both"/>
        <w:rPr>
          <w:color w:val="222222"/>
          <w:sz w:val="26"/>
          <w:szCs w:val="26"/>
          <w:shd w:val="clear" w:color="auto" w:fill="FFFFFF"/>
        </w:rPr>
      </w:pPr>
      <w:r w:rsidRPr="00AC32B5">
        <w:rPr>
          <w:color w:val="222222"/>
          <w:sz w:val="26"/>
          <w:szCs w:val="26"/>
          <w:shd w:val="clear" w:color="auto" w:fill="FFFFFF"/>
        </w:rPr>
        <w:t>Paauwe, J., &amp; Boselie, P. (2003). Challenging ‘strategic HRM’ and the relevance of the institutional setting. </w:t>
      </w:r>
      <w:r w:rsidRPr="00AC32B5">
        <w:rPr>
          <w:i/>
          <w:iCs/>
          <w:color w:val="222222"/>
          <w:sz w:val="26"/>
          <w:szCs w:val="26"/>
          <w:shd w:val="clear" w:color="auto" w:fill="FFFFFF"/>
        </w:rPr>
        <w:t>Human Resource Management Journal</w:t>
      </w:r>
      <w:r w:rsidRPr="00AC32B5">
        <w:rPr>
          <w:color w:val="222222"/>
          <w:sz w:val="26"/>
          <w:szCs w:val="26"/>
          <w:shd w:val="clear" w:color="auto" w:fill="FFFFFF"/>
        </w:rPr>
        <w:t xml:space="preserve">, </w:t>
      </w:r>
      <w:r w:rsidRPr="00AC32B5">
        <w:rPr>
          <w:i/>
          <w:iCs/>
          <w:color w:val="222222"/>
          <w:sz w:val="26"/>
          <w:szCs w:val="26"/>
          <w:shd w:val="clear" w:color="auto" w:fill="FFFFFF"/>
        </w:rPr>
        <w:t>13</w:t>
      </w:r>
      <w:r w:rsidRPr="00AC32B5">
        <w:rPr>
          <w:color w:val="222222"/>
          <w:sz w:val="26"/>
          <w:szCs w:val="26"/>
          <w:shd w:val="clear" w:color="auto" w:fill="FFFFFF"/>
        </w:rPr>
        <w:t>(3), 56-70.</w:t>
      </w:r>
    </w:p>
    <w:p w14:paraId="5AFA5BE3" w14:textId="77777777" w:rsidR="00FD21B7" w:rsidRPr="00AC32B5" w:rsidRDefault="00FD21B7" w:rsidP="00FD21B7">
      <w:pPr>
        <w:spacing w:line="360" w:lineRule="exact"/>
        <w:ind w:leftChars="338" w:left="1531" w:hanging="720"/>
        <w:jc w:val="both"/>
        <w:rPr>
          <w:rStyle w:val="af8"/>
          <w:color w:val="auto"/>
          <w:sz w:val="26"/>
          <w:szCs w:val="26"/>
        </w:rPr>
      </w:pPr>
      <w:r w:rsidRPr="00AC32B5">
        <w:rPr>
          <w:rStyle w:val="af8"/>
          <w:color w:val="auto"/>
          <w:sz w:val="26"/>
          <w:szCs w:val="26"/>
        </w:rPr>
        <w:t>https://doi.org/10.1111/j.1748-8583.2003.tb00098.x</w:t>
      </w:r>
    </w:p>
    <w:p w14:paraId="51A3EA75"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Peng, M. W. (2003). Institutional transitions and strategic choices. </w:t>
      </w:r>
      <w:r w:rsidRPr="00AC32B5">
        <w:rPr>
          <w:rStyle w:val="af8"/>
          <w:rFonts w:eastAsia="Arial"/>
          <w:i/>
          <w:sz w:val="26"/>
          <w:szCs w:val="26"/>
        </w:rPr>
        <w:t>Academy of Management Review</w:t>
      </w:r>
      <w:r w:rsidRPr="00AC32B5">
        <w:rPr>
          <w:rStyle w:val="af8"/>
          <w:rFonts w:eastAsia="Arial"/>
          <w:sz w:val="26"/>
          <w:szCs w:val="26"/>
        </w:rPr>
        <w:t xml:space="preserve">, </w:t>
      </w:r>
      <w:r w:rsidRPr="00AC32B5">
        <w:rPr>
          <w:rStyle w:val="af8"/>
          <w:rFonts w:eastAsia="Arial"/>
          <w:i/>
          <w:sz w:val="26"/>
          <w:szCs w:val="26"/>
        </w:rPr>
        <w:t>28(2)</w:t>
      </w:r>
      <w:r w:rsidRPr="00AC32B5">
        <w:rPr>
          <w:rStyle w:val="af8"/>
          <w:rFonts w:eastAsia="Arial"/>
          <w:sz w:val="26"/>
          <w:szCs w:val="26"/>
        </w:rPr>
        <w:t>, 275-296.</w:t>
      </w:r>
      <w:r w:rsidRPr="00AC32B5">
        <w:rPr>
          <w:rFonts w:ascii="Times New Roman" w:hAnsi="Times New Roman" w:cs="Times New Roman"/>
          <w:sz w:val="26"/>
          <w:szCs w:val="26"/>
        </w:rPr>
        <w:t xml:space="preserve"> </w:t>
      </w:r>
      <w:r w:rsidRPr="00AC32B5">
        <w:rPr>
          <w:rStyle w:val="af8"/>
          <w:rFonts w:eastAsia="Arial"/>
          <w:sz w:val="26"/>
          <w:szCs w:val="26"/>
        </w:rPr>
        <w:t>https://doi.org/10.2307/30040713</w:t>
      </w:r>
    </w:p>
    <w:p w14:paraId="18665FED" w14:textId="77777777" w:rsidR="00FD21B7" w:rsidRPr="00AC32B5" w:rsidRDefault="00FD21B7" w:rsidP="00FD21B7">
      <w:pPr>
        <w:pStyle w:val="10"/>
        <w:spacing w:line="360" w:lineRule="exact"/>
        <w:ind w:left="810" w:hanging="720"/>
        <w:jc w:val="both"/>
        <w:rPr>
          <w:rStyle w:val="af8"/>
          <w:rFonts w:eastAsia="Arial"/>
          <w:sz w:val="26"/>
          <w:szCs w:val="26"/>
          <w:highlight w:val="white"/>
        </w:rPr>
      </w:pPr>
      <w:r w:rsidRPr="00AC32B5">
        <w:rPr>
          <w:rStyle w:val="af8"/>
          <w:rFonts w:eastAsia="Arial"/>
          <w:sz w:val="26"/>
          <w:szCs w:val="26"/>
        </w:rPr>
        <w:t xml:space="preserve">Peng, M. W. (2014). New research directions in the institution-based view. Multidisciplinary insights from new AIB fellows, </w:t>
      </w:r>
      <w:r w:rsidRPr="00AC32B5">
        <w:rPr>
          <w:rStyle w:val="af8"/>
          <w:rFonts w:eastAsia="Arial"/>
          <w:i/>
          <w:sz w:val="26"/>
          <w:szCs w:val="26"/>
        </w:rPr>
        <w:t>Research in Global Strategic Management</w:t>
      </w:r>
      <w:r w:rsidRPr="00AC32B5">
        <w:rPr>
          <w:rStyle w:val="af8"/>
          <w:rFonts w:eastAsia="Arial"/>
          <w:sz w:val="26"/>
          <w:szCs w:val="26"/>
        </w:rPr>
        <w:t xml:space="preserve">, </w:t>
      </w:r>
      <w:r w:rsidRPr="00AC32B5">
        <w:rPr>
          <w:rStyle w:val="af8"/>
          <w:rFonts w:eastAsia="Arial"/>
          <w:i/>
          <w:sz w:val="26"/>
          <w:szCs w:val="26"/>
        </w:rPr>
        <w:t>16</w:t>
      </w:r>
      <w:r w:rsidRPr="00AC32B5">
        <w:rPr>
          <w:rStyle w:val="af8"/>
          <w:rFonts w:eastAsia="Arial"/>
          <w:sz w:val="26"/>
          <w:szCs w:val="26"/>
        </w:rPr>
        <w:t>, 59-78.</w:t>
      </w:r>
      <w:r w:rsidRPr="00AC32B5">
        <w:rPr>
          <w:rFonts w:ascii="Times New Roman" w:hAnsi="Times New Roman" w:cs="Times New Roman"/>
          <w:sz w:val="26"/>
          <w:szCs w:val="26"/>
        </w:rPr>
        <w:t xml:space="preserve"> </w:t>
      </w:r>
      <w:r w:rsidRPr="00AC32B5">
        <w:rPr>
          <w:rStyle w:val="af8"/>
          <w:rFonts w:eastAsia="Arial"/>
          <w:sz w:val="26"/>
          <w:szCs w:val="26"/>
        </w:rPr>
        <w:t>https://doi.org/10.1108/s1064-485720140000016002</w:t>
      </w:r>
    </w:p>
    <w:p w14:paraId="2A7ABD46" w14:textId="2B391921" w:rsidR="00FD21B7" w:rsidRPr="00AC32B5" w:rsidRDefault="00FD21B7" w:rsidP="00FD21B7">
      <w:pPr>
        <w:pStyle w:val="10"/>
        <w:spacing w:line="360" w:lineRule="exact"/>
        <w:ind w:left="810" w:hanging="720"/>
        <w:jc w:val="both"/>
        <w:rPr>
          <w:rStyle w:val="af8"/>
          <w:rFonts w:eastAsia="Arial"/>
          <w:sz w:val="26"/>
          <w:szCs w:val="26"/>
          <w:highlight w:val="white"/>
        </w:rPr>
      </w:pPr>
      <w:r w:rsidRPr="00AC32B5">
        <w:rPr>
          <w:rStyle w:val="af8"/>
          <w:rFonts w:eastAsia="Arial"/>
          <w:sz w:val="26"/>
          <w:szCs w:val="26"/>
          <w:highlight w:val="white"/>
        </w:rPr>
        <w:t xml:space="preserve">Refinitiv. (2019). ESG data and solutions from Refinitiv. </w:t>
      </w:r>
      <w:r w:rsidRPr="00AC32B5">
        <w:rPr>
          <w:rStyle w:val="af8"/>
          <w:rFonts w:eastAsia="Arial"/>
          <w:sz w:val="26"/>
          <w:szCs w:val="26"/>
        </w:rPr>
        <w:t>Retrieved from https://www.refinitiv.com/content/dam/marketing/en_us/documents/brochures/esg-research-brochure.pdf</w:t>
      </w:r>
    </w:p>
    <w:p w14:paraId="41BBE66B"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highlight w:val="white"/>
        </w:rPr>
        <w:t xml:space="preserve">Rothenberg, S., Hull, C. E., &amp; Tang, Z. (2017). The impact of human resource management on corporate social performance strengths and concerns. </w:t>
      </w:r>
      <w:r w:rsidRPr="00AC32B5">
        <w:rPr>
          <w:rStyle w:val="af8"/>
          <w:rFonts w:eastAsia="Arial"/>
          <w:i/>
          <w:sz w:val="26"/>
          <w:szCs w:val="26"/>
          <w:highlight w:val="white"/>
        </w:rPr>
        <w:t>Business &amp; Society</w:t>
      </w:r>
      <w:r w:rsidRPr="00AC32B5">
        <w:rPr>
          <w:rStyle w:val="af8"/>
          <w:rFonts w:eastAsia="Arial"/>
          <w:sz w:val="26"/>
          <w:szCs w:val="26"/>
          <w:highlight w:val="white"/>
        </w:rPr>
        <w:t xml:space="preserve">, </w:t>
      </w:r>
      <w:r w:rsidRPr="00AC32B5">
        <w:rPr>
          <w:rStyle w:val="af8"/>
          <w:rFonts w:eastAsia="Arial"/>
          <w:i/>
          <w:sz w:val="26"/>
          <w:szCs w:val="26"/>
          <w:highlight w:val="white"/>
        </w:rPr>
        <w:t>56(3),</w:t>
      </w:r>
      <w:r w:rsidRPr="00AC32B5">
        <w:rPr>
          <w:rStyle w:val="af8"/>
          <w:rFonts w:eastAsia="Arial"/>
          <w:sz w:val="26"/>
          <w:szCs w:val="26"/>
          <w:highlight w:val="white"/>
        </w:rPr>
        <w:t xml:space="preserve"> 391-418.</w:t>
      </w:r>
      <w:r w:rsidRPr="00AC32B5">
        <w:rPr>
          <w:rFonts w:ascii="Times New Roman" w:hAnsi="Times New Roman" w:cs="Times New Roman"/>
          <w:sz w:val="26"/>
          <w:szCs w:val="26"/>
        </w:rPr>
        <w:t xml:space="preserve"> </w:t>
      </w:r>
      <w:r w:rsidRPr="00AC32B5">
        <w:rPr>
          <w:rStyle w:val="af8"/>
          <w:rFonts w:eastAsia="Arial"/>
          <w:sz w:val="26"/>
          <w:szCs w:val="26"/>
        </w:rPr>
        <w:t>https://doi.org/10.1177/0007650315586594</w:t>
      </w:r>
    </w:p>
    <w:p w14:paraId="36F29D88" w14:textId="77777777" w:rsidR="00A87065" w:rsidRPr="00AC32B5" w:rsidRDefault="00A87065" w:rsidP="00A87065">
      <w:pPr>
        <w:pStyle w:val="10"/>
        <w:spacing w:line="360" w:lineRule="exact"/>
        <w:ind w:left="810"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 xml:space="preserve">Schneider, B., Yost, A. B., Kropp, A., Kind, C., &amp; Lam, H. (2018). Workforce engagement: What it is, what drives it, and why it matters for organizational performance. </w:t>
      </w:r>
      <w:r w:rsidRPr="00AC32B5">
        <w:rPr>
          <w:rFonts w:ascii="Times New Roman" w:hAnsi="Times New Roman" w:cs="Times New Roman"/>
          <w:i/>
          <w:iCs/>
          <w:color w:val="222222"/>
          <w:sz w:val="26"/>
          <w:szCs w:val="26"/>
        </w:rPr>
        <w:t>Journal of Organizational Behavior</w:t>
      </w:r>
      <w:r w:rsidRPr="00AC32B5">
        <w:rPr>
          <w:rFonts w:ascii="Times New Roman" w:hAnsi="Times New Roman" w:cs="Times New Roman"/>
          <w:color w:val="222222"/>
          <w:sz w:val="26"/>
          <w:szCs w:val="26"/>
        </w:rPr>
        <w:t xml:space="preserve">, </w:t>
      </w:r>
      <w:r w:rsidRPr="00AC32B5">
        <w:rPr>
          <w:rFonts w:ascii="Times New Roman" w:hAnsi="Times New Roman" w:cs="Times New Roman"/>
          <w:i/>
          <w:iCs/>
          <w:color w:val="222222"/>
          <w:sz w:val="26"/>
          <w:szCs w:val="26"/>
        </w:rPr>
        <w:t>39</w:t>
      </w:r>
      <w:r w:rsidRPr="00AC32B5">
        <w:rPr>
          <w:rFonts w:ascii="Times New Roman" w:hAnsi="Times New Roman" w:cs="Times New Roman"/>
          <w:color w:val="222222"/>
          <w:sz w:val="26"/>
          <w:szCs w:val="26"/>
        </w:rPr>
        <w:t>(4), 462-480.</w:t>
      </w:r>
    </w:p>
    <w:p w14:paraId="14923F27" w14:textId="77777777" w:rsidR="00A87065" w:rsidRPr="00AC32B5" w:rsidRDefault="00A87065" w:rsidP="00A87065">
      <w:pPr>
        <w:pStyle w:val="10"/>
        <w:spacing w:line="360" w:lineRule="exact"/>
        <w:ind w:leftChars="338" w:left="1531"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https://doi.org/10.1002/job.2244</w:t>
      </w:r>
    </w:p>
    <w:p w14:paraId="6083755B"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lastRenderedPageBreak/>
        <w:t xml:space="preserve">Scott, W. R. (2013). </w:t>
      </w:r>
      <w:r w:rsidRPr="00AC32B5">
        <w:rPr>
          <w:rStyle w:val="af8"/>
          <w:rFonts w:eastAsia="Arial"/>
          <w:i/>
          <w:iCs/>
          <w:sz w:val="26"/>
          <w:szCs w:val="26"/>
        </w:rPr>
        <w:t>Institutions and Organizations: Ideas, Interests, and Identities</w:t>
      </w:r>
      <w:r w:rsidRPr="00AC32B5">
        <w:rPr>
          <w:rStyle w:val="af8"/>
          <w:rFonts w:eastAsia="Arial"/>
          <w:sz w:val="26"/>
          <w:szCs w:val="26"/>
        </w:rPr>
        <w:t>. Sage Publications.</w:t>
      </w:r>
    </w:p>
    <w:p w14:paraId="234A0BBA" w14:textId="77777777"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shd w:val="clear" w:color="auto" w:fill="FFFFFF"/>
        </w:rPr>
      </w:pPr>
      <w:r w:rsidRPr="00AC32B5">
        <w:rPr>
          <w:rFonts w:ascii="Times New Roman" w:hAnsi="Times New Roman" w:cs="Times New Roman"/>
          <w:color w:val="222222"/>
          <w:sz w:val="26"/>
          <w:szCs w:val="26"/>
          <w:shd w:val="clear" w:color="auto" w:fill="FFFFFF"/>
        </w:rPr>
        <w:t xml:space="preserve">Shieh, G. (2010). On the misconception of multicollinearity in detection of moderating effects: Multicollinearity is not always detrimental. </w:t>
      </w:r>
      <w:r w:rsidRPr="00AC32B5">
        <w:rPr>
          <w:rFonts w:ascii="Times New Roman" w:hAnsi="Times New Roman" w:cs="Times New Roman"/>
          <w:i/>
          <w:iCs/>
          <w:color w:val="222222"/>
          <w:sz w:val="26"/>
          <w:szCs w:val="26"/>
        </w:rPr>
        <w:t>Multivariate Behavioral Research</w:t>
      </w:r>
      <w:r w:rsidRPr="00AC32B5">
        <w:rPr>
          <w:rFonts w:ascii="Times New Roman" w:hAnsi="Times New Roman" w:cs="Times New Roman"/>
          <w:color w:val="222222"/>
          <w:sz w:val="26"/>
          <w:szCs w:val="26"/>
          <w:shd w:val="clear" w:color="auto" w:fill="FFFFFF"/>
        </w:rPr>
        <w:t xml:space="preserve">, </w:t>
      </w:r>
      <w:r w:rsidRPr="00AC32B5">
        <w:rPr>
          <w:rFonts w:ascii="Times New Roman" w:hAnsi="Times New Roman" w:cs="Times New Roman"/>
          <w:i/>
          <w:iCs/>
          <w:color w:val="222222"/>
          <w:sz w:val="26"/>
          <w:szCs w:val="26"/>
        </w:rPr>
        <w:t>45</w:t>
      </w:r>
      <w:r w:rsidRPr="00AC32B5">
        <w:rPr>
          <w:rFonts w:ascii="Times New Roman" w:hAnsi="Times New Roman" w:cs="Times New Roman"/>
          <w:color w:val="222222"/>
          <w:sz w:val="26"/>
          <w:szCs w:val="26"/>
          <w:shd w:val="clear" w:color="auto" w:fill="FFFFFF"/>
        </w:rPr>
        <w:t>(3), 483-507.</w:t>
      </w:r>
      <w:r w:rsidRPr="00AC32B5">
        <w:rPr>
          <w:rFonts w:ascii="Times New Roman" w:hAnsi="Times New Roman" w:cs="Times New Roman"/>
          <w:sz w:val="26"/>
          <w:szCs w:val="26"/>
        </w:rPr>
        <w:t xml:space="preserve"> </w:t>
      </w:r>
      <w:r w:rsidRPr="00AC32B5">
        <w:rPr>
          <w:rFonts w:ascii="Times New Roman" w:hAnsi="Times New Roman" w:cs="Times New Roman"/>
          <w:color w:val="222222"/>
          <w:sz w:val="26"/>
          <w:szCs w:val="26"/>
          <w:shd w:val="clear" w:color="auto" w:fill="FFFFFF"/>
        </w:rPr>
        <w:t>https://doi.org/10.1080/00273171.2010.483393</w:t>
      </w:r>
    </w:p>
    <w:p w14:paraId="6AB0B629" w14:textId="77777777"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shd w:val="clear" w:color="auto" w:fill="FFFFFF"/>
        </w:rPr>
      </w:pPr>
      <w:r w:rsidRPr="00AC32B5">
        <w:rPr>
          <w:rFonts w:ascii="Times New Roman" w:hAnsi="Times New Roman" w:cs="Times New Roman"/>
          <w:color w:val="222222"/>
          <w:sz w:val="26"/>
          <w:szCs w:val="26"/>
          <w:shd w:val="clear" w:color="auto" w:fill="FFFFFF"/>
        </w:rPr>
        <w:t>Simon, H. A. (2013). Administrative Behavior. Simon and Schuster, New York.</w:t>
      </w:r>
    </w:p>
    <w:p w14:paraId="4D43EBE4" w14:textId="17552163" w:rsidR="00FD21B7" w:rsidRPr="00AC32B5" w:rsidRDefault="00FD21B7" w:rsidP="00AC32B5">
      <w:pPr>
        <w:pStyle w:val="10"/>
        <w:spacing w:line="360" w:lineRule="exact"/>
        <w:ind w:left="810" w:hanging="720"/>
        <w:rPr>
          <w:rFonts w:ascii="Times New Roman" w:hAnsi="Times New Roman" w:cs="Times New Roman"/>
          <w:sz w:val="26"/>
          <w:szCs w:val="26"/>
          <w:lang w:eastAsia="x-none"/>
        </w:rPr>
      </w:pPr>
      <w:r w:rsidRPr="00AC32B5">
        <w:rPr>
          <w:rFonts w:ascii="Times New Roman" w:hAnsi="Times New Roman" w:cs="Times New Roman"/>
          <w:color w:val="222222"/>
          <w:sz w:val="26"/>
          <w:szCs w:val="26"/>
          <w:shd w:val="clear" w:color="auto" w:fill="FFFFFF"/>
        </w:rPr>
        <w:t>Sondermann, D. (2018). Towards more resilient economies: the role of well-functioning economic structures.</w:t>
      </w:r>
      <w:r w:rsidRPr="00AC32B5">
        <w:rPr>
          <w:rFonts w:ascii="Times New Roman" w:hAnsi="Times New Roman" w:cs="Times New Roman"/>
          <w:color w:val="222222"/>
          <w:sz w:val="26"/>
          <w:szCs w:val="26"/>
        </w:rPr>
        <w:t xml:space="preserve"> </w:t>
      </w:r>
      <w:r w:rsidRPr="00AC32B5">
        <w:rPr>
          <w:rFonts w:ascii="Times New Roman" w:hAnsi="Times New Roman" w:cs="Times New Roman"/>
          <w:i/>
          <w:color w:val="222222"/>
          <w:sz w:val="26"/>
          <w:szCs w:val="26"/>
          <w:shd w:val="clear" w:color="auto" w:fill="FFFFFF"/>
        </w:rPr>
        <w:t>Journal of Policy Modeling, 40</w:t>
      </w:r>
      <w:r w:rsidRPr="00AC32B5">
        <w:rPr>
          <w:rFonts w:ascii="Times New Roman" w:hAnsi="Times New Roman" w:cs="Times New Roman"/>
          <w:color w:val="222222"/>
          <w:sz w:val="26"/>
          <w:szCs w:val="26"/>
          <w:shd w:val="clear" w:color="auto" w:fill="FFFFFF"/>
        </w:rPr>
        <w:t>(1), 97</w:t>
      </w:r>
      <w:r w:rsidRPr="00AC32B5">
        <w:rPr>
          <w:rFonts w:ascii="Times New Roman" w:hAnsi="Times New Roman" w:cs="Times New Roman"/>
          <w:color w:val="222222"/>
          <w:sz w:val="26"/>
          <w:szCs w:val="26"/>
        </w:rPr>
        <w:t>-</w:t>
      </w:r>
      <w:r w:rsidRPr="00AC32B5">
        <w:rPr>
          <w:rFonts w:ascii="Times New Roman" w:hAnsi="Times New Roman" w:cs="Times New Roman"/>
          <w:color w:val="222222"/>
          <w:sz w:val="26"/>
          <w:szCs w:val="26"/>
          <w:shd w:val="clear" w:color="auto" w:fill="FFFFFF"/>
        </w:rPr>
        <w:t>117</w:t>
      </w:r>
      <w:r w:rsidRPr="00AC32B5">
        <w:rPr>
          <w:rFonts w:ascii="Times New Roman" w:hAnsi="Times New Roman" w:cs="Times New Roman"/>
          <w:color w:val="222222"/>
          <w:sz w:val="26"/>
          <w:szCs w:val="26"/>
        </w:rPr>
        <w:t>.</w:t>
      </w:r>
      <w:r w:rsidR="00AC32B5" w:rsidRPr="00AC32B5">
        <w:rPr>
          <w:rFonts w:ascii="Times New Roman" w:hAnsi="Times New Roman" w:cs="Times New Roman"/>
          <w:color w:val="222222"/>
          <w:sz w:val="26"/>
          <w:szCs w:val="26"/>
        </w:rPr>
        <w:t xml:space="preserve"> </w:t>
      </w:r>
      <w:r w:rsidR="00AC32B5" w:rsidRPr="00AC32B5">
        <w:rPr>
          <w:rFonts w:ascii="Times New Roman" w:hAnsi="Times New Roman" w:cs="Times New Roman"/>
          <w:color w:val="222222"/>
          <w:sz w:val="26"/>
          <w:szCs w:val="26"/>
        </w:rPr>
        <w:br/>
      </w:r>
      <w:r w:rsidRPr="00AC32B5">
        <w:rPr>
          <w:rFonts w:ascii="Times New Roman" w:hAnsi="Times New Roman" w:cs="Times New Roman"/>
          <w:sz w:val="26"/>
          <w:szCs w:val="26"/>
          <w:lang w:eastAsia="x-none"/>
        </w:rPr>
        <w:t>https://doi.org/10.1016/j.jpolmod.2018.01.002</w:t>
      </w:r>
    </w:p>
    <w:p w14:paraId="41BD7400" w14:textId="77777777" w:rsidR="00FD21B7" w:rsidRPr="00AC32B5" w:rsidRDefault="00FD21B7" w:rsidP="00AC32B5">
      <w:pPr>
        <w:pStyle w:val="10"/>
        <w:spacing w:line="360" w:lineRule="exact"/>
        <w:ind w:left="810"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shd w:val="clear" w:color="auto" w:fill="FFFFFF"/>
        </w:rPr>
        <w:t>Storey</w:t>
      </w:r>
      <w:r w:rsidRPr="00AC32B5">
        <w:rPr>
          <w:rFonts w:ascii="Times New Roman" w:hAnsi="Times New Roman" w:cs="Times New Roman"/>
          <w:color w:val="222222"/>
          <w:sz w:val="26"/>
          <w:szCs w:val="26"/>
        </w:rPr>
        <w:t xml:space="preserve">, J., Ulrich, D., &amp; Wright, P. M. (2019). </w:t>
      </w:r>
      <w:r w:rsidRPr="00AC32B5">
        <w:rPr>
          <w:rFonts w:ascii="Times New Roman" w:hAnsi="Times New Roman" w:cs="Times New Roman"/>
          <w:i/>
          <w:iCs/>
          <w:color w:val="222222"/>
          <w:sz w:val="26"/>
          <w:szCs w:val="26"/>
        </w:rPr>
        <w:t>Strategic Human Resource Management: A Research Overview</w:t>
      </w:r>
      <w:r w:rsidRPr="00AC32B5">
        <w:rPr>
          <w:rFonts w:ascii="Times New Roman" w:hAnsi="Times New Roman" w:cs="Times New Roman"/>
          <w:color w:val="222222"/>
          <w:sz w:val="26"/>
          <w:szCs w:val="26"/>
        </w:rPr>
        <w:t>. Routledge, Philadelphia.</w:t>
      </w:r>
    </w:p>
    <w:p w14:paraId="1C180C9A" w14:textId="77777777" w:rsidR="00FD21B7" w:rsidRPr="00AC32B5" w:rsidRDefault="00FD21B7" w:rsidP="00AC32B5">
      <w:pPr>
        <w:pStyle w:val="10"/>
        <w:spacing w:line="360" w:lineRule="exact"/>
        <w:ind w:left="810" w:hanging="720"/>
        <w:jc w:val="both"/>
        <w:rPr>
          <w:rStyle w:val="af8"/>
          <w:rFonts w:eastAsia="Trebuchet MS"/>
          <w:color w:val="333333"/>
          <w:spacing w:val="2"/>
          <w:kern w:val="36"/>
          <w:sz w:val="26"/>
          <w:szCs w:val="26"/>
          <w:lang w:val="en"/>
        </w:rPr>
      </w:pPr>
      <w:r w:rsidRPr="00AC32B5">
        <w:rPr>
          <w:rStyle w:val="af8"/>
          <w:rFonts w:eastAsia="Trebuchet MS"/>
          <w:sz w:val="26"/>
          <w:szCs w:val="26"/>
        </w:rPr>
        <w:t xml:space="preserve">Su, W., Peng, M.W., Tan, W., &amp; Cheung, Y.-L. (2016). </w:t>
      </w:r>
      <w:r w:rsidRPr="00AC32B5">
        <w:rPr>
          <w:rFonts w:ascii="Times New Roman" w:eastAsia="Times New Roman" w:hAnsi="Times New Roman" w:cs="Times New Roman"/>
          <w:color w:val="333333"/>
          <w:spacing w:val="2"/>
          <w:kern w:val="36"/>
          <w:sz w:val="26"/>
          <w:szCs w:val="26"/>
          <w:lang w:val="en"/>
        </w:rPr>
        <w:t xml:space="preserve">The signaling effect of corporate social responsibility in emerging economies. </w:t>
      </w:r>
      <w:r w:rsidRPr="00AC32B5">
        <w:rPr>
          <w:rStyle w:val="af8"/>
          <w:rFonts w:eastAsia="Trebuchet MS"/>
          <w:i/>
          <w:sz w:val="26"/>
          <w:szCs w:val="26"/>
        </w:rPr>
        <w:t>Journal of Business Ethics, 134(3)</w:t>
      </w:r>
      <w:r w:rsidRPr="00AC32B5">
        <w:rPr>
          <w:rStyle w:val="af8"/>
          <w:rFonts w:eastAsia="Trebuchet MS"/>
          <w:sz w:val="26"/>
          <w:szCs w:val="26"/>
        </w:rPr>
        <w:t>, 479-491. https://doi.org/10.1007/s10551-014-2404-4</w:t>
      </w:r>
    </w:p>
    <w:p w14:paraId="61A8394C"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Sun, L. Y., Aryee, S., &amp; Law, K. S. (2007). High-performance human resource practices, citizenship behavior, and organizational performance: A relational perspective. </w:t>
      </w:r>
      <w:r w:rsidRPr="00AC32B5">
        <w:rPr>
          <w:rStyle w:val="af8"/>
          <w:rFonts w:eastAsia="Arial"/>
          <w:i/>
          <w:sz w:val="26"/>
          <w:szCs w:val="26"/>
        </w:rPr>
        <w:t>Academy of Management Journal</w:t>
      </w:r>
      <w:r w:rsidRPr="00AC32B5">
        <w:rPr>
          <w:rStyle w:val="af8"/>
          <w:rFonts w:eastAsia="Arial"/>
          <w:sz w:val="26"/>
          <w:szCs w:val="26"/>
        </w:rPr>
        <w:t xml:space="preserve">, </w:t>
      </w:r>
      <w:r w:rsidRPr="00AC32B5">
        <w:rPr>
          <w:rStyle w:val="af8"/>
          <w:rFonts w:eastAsia="Arial"/>
          <w:i/>
          <w:sz w:val="26"/>
          <w:szCs w:val="26"/>
        </w:rPr>
        <w:t>50</w:t>
      </w:r>
      <w:r w:rsidRPr="00AC32B5">
        <w:rPr>
          <w:rStyle w:val="af8"/>
          <w:rFonts w:eastAsia="Arial"/>
          <w:sz w:val="26"/>
          <w:szCs w:val="26"/>
        </w:rPr>
        <w:t>(3), 558-577.</w:t>
      </w:r>
    </w:p>
    <w:p w14:paraId="0DAB1225" w14:textId="77777777" w:rsidR="00FD21B7" w:rsidRPr="00AC32B5" w:rsidRDefault="00FD21B7" w:rsidP="00FD21B7">
      <w:pPr>
        <w:pStyle w:val="10"/>
        <w:spacing w:line="360" w:lineRule="exact"/>
        <w:ind w:leftChars="338" w:left="1531" w:hanging="720"/>
        <w:jc w:val="both"/>
        <w:rPr>
          <w:rStyle w:val="af8"/>
          <w:rFonts w:eastAsia="Arial"/>
          <w:sz w:val="26"/>
          <w:szCs w:val="26"/>
        </w:rPr>
      </w:pPr>
      <w:r w:rsidRPr="00AC32B5">
        <w:rPr>
          <w:rStyle w:val="af8"/>
          <w:rFonts w:eastAsia="Arial"/>
          <w:sz w:val="26"/>
          <w:szCs w:val="26"/>
        </w:rPr>
        <w:t>https://doi.org/10.5465/amj.2007.25525821</w:t>
      </w:r>
    </w:p>
    <w:p w14:paraId="76E3E0BE" w14:textId="77777777" w:rsidR="00FD21B7" w:rsidRPr="00AC32B5" w:rsidRDefault="00FD21B7" w:rsidP="00FD21B7">
      <w:pPr>
        <w:pStyle w:val="10"/>
        <w:spacing w:line="360" w:lineRule="exact"/>
        <w:ind w:left="810" w:hanging="720"/>
        <w:jc w:val="both"/>
        <w:rPr>
          <w:rStyle w:val="af8"/>
          <w:rFonts w:eastAsia="Trebuchet MS"/>
          <w:sz w:val="26"/>
          <w:szCs w:val="26"/>
        </w:rPr>
      </w:pPr>
      <w:r w:rsidRPr="00AC32B5">
        <w:rPr>
          <w:rStyle w:val="af8"/>
          <w:rFonts w:eastAsia="Trebuchet MS"/>
          <w:sz w:val="26"/>
          <w:szCs w:val="26"/>
        </w:rPr>
        <w:t xml:space="preserve">Swoboda, B., Puchert, C., &amp; Morschett, D. (2016). Explaining the differing effects of corporate reputation across nations: a multilevel analysis. </w:t>
      </w:r>
      <w:r w:rsidRPr="00AC32B5">
        <w:rPr>
          <w:rStyle w:val="af8"/>
          <w:rFonts w:eastAsia="Trebuchet MS"/>
          <w:i/>
          <w:sz w:val="26"/>
          <w:szCs w:val="26"/>
        </w:rPr>
        <w:t>Journal of the Academy of Marketing Science,</w:t>
      </w:r>
      <w:r w:rsidRPr="00AC32B5">
        <w:rPr>
          <w:rStyle w:val="af8"/>
          <w:rFonts w:eastAsia="Trebuchet MS"/>
          <w:sz w:val="26"/>
          <w:szCs w:val="26"/>
        </w:rPr>
        <w:t xml:space="preserve"> </w:t>
      </w:r>
      <w:r w:rsidRPr="00AC32B5">
        <w:rPr>
          <w:rStyle w:val="af8"/>
          <w:rFonts w:eastAsia="Trebuchet MS"/>
          <w:i/>
          <w:sz w:val="26"/>
          <w:szCs w:val="26"/>
        </w:rPr>
        <w:t>44(4)</w:t>
      </w:r>
      <w:r w:rsidRPr="00AC32B5">
        <w:rPr>
          <w:rStyle w:val="af8"/>
          <w:rFonts w:eastAsia="Trebuchet MS"/>
          <w:sz w:val="26"/>
          <w:szCs w:val="26"/>
        </w:rPr>
        <w:t>, 454-473.</w:t>
      </w:r>
    </w:p>
    <w:p w14:paraId="1F31C7EB" w14:textId="77777777" w:rsidR="00FD21B7" w:rsidRPr="00AC32B5" w:rsidRDefault="00FD21B7" w:rsidP="00FD21B7">
      <w:pPr>
        <w:pStyle w:val="10"/>
        <w:spacing w:line="360" w:lineRule="exact"/>
        <w:ind w:leftChars="338" w:left="1531" w:hanging="720"/>
        <w:jc w:val="both"/>
        <w:rPr>
          <w:rStyle w:val="af8"/>
          <w:rFonts w:eastAsia="Trebuchet MS"/>
          <w:sz w:val="26"/>
          <w:szCs w:val="26"/>
        </w:rPr>
      </w:pPr>
      <w:r w:rsidRPr="00AC32B5">
        <w:rPr>
          <w:rStyle w:val="af8"/>
          <w:rFonts w:eastAsia="Trebuchet MS"/>
          <w:sz w:val="26"/>
          <w:szCs w:val="26"/>
        </w:rPr>
        <w:t>https://doi.org/10.1007/s11747-015-0457-2</w:t>
      </w:r>
    </w:p>
    <w:p w14:paraId="53CF559E"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Tang, Z., Hull, C. E., &amp; Rothenberg, S. (2012). How corporate social responsibility engagement strategy moderates the CSR–financial performance relationship. </w:t>
      </w:r>
      <w:r w:rsidRPr="00AC32B5">
        <w:rPr>
          <w:rStyle w:val="af8"/>
          <w:rFonts w:eastAsia="Arial"/>
          <w:i/>
          <w:sz w:val="26"/>
          <w:szCs w:val="26"/>
        </w:rPr>
        <w:t>Journal of Management Studies,</w:t>
      </w:r>
      <w:r w:rsidRPr="00AC32B5">
        <w:rPr>
          <w:rStyle w:val="af8"/>
          <w:rFonts w:eastAsia="Arial"/>
          <w:sz w:val="26"/>
          <w:szCs w:val="26"/>
        </w:rPr>
        <w:t xml:space="preserve"> </w:t>
      </w:r>
      <w:r w:rsidRPr="00AC32B5">
        <w:rPr>
          <w:rStyle w:val="af8"/>
          <w:rFonts w:eastAsia="Arial"/>
          <w:i/>
          <w:sz w:val="26"/>
          <w:szCs w:val="26"/>
        </w:rPr>
        <w:t>49</w:t>
      </w:r>
      <w:r w:rsidRPr="00AC32B5">
        <w:rPr>
          <w:rStyle w:val="af8"/>
          <w:rFonts w:eastAsia="Arial"/>
          <w:sz w:val="26"/>
          <w:szCs w:val="26"/>
        </w:rPr>
        <w:t>(7), 1274-1303.</w:t>
      </w:r>
    </w:p>
    <w:p w14:paraId="541460AB" w14:textId="77777777" w:rsidR="00FD21B7" w:rsidRPr="00AC32B5" w:rsidRDefault="00FD21B7" w:rsidP="00FD21B7">
      <w:pPr>
        <w:pStyle w:val="10"/>
        <w:spacing w:line="360" w:lineRule="exact"/>
        <w:ind w:leftChars="338" w:left="1531" w:hanging="720"/>
        <w:jc w:val="both"/>
        <w:rPr>
          <w:rStyle w:val="af8"/>
          <w:rFonts w:eastAsia="Arial"/>
          <w:sz w:val="26"/>
          <w:szCs w:val="26"/>
        </w:rPr>
      </w:pPr>
      <w:r w:rsidRPr="00AC32B5">
        <w:rPr>
          <w:rStyle w:val="af8"/>
          <w:rFonts w:eastAsia="Arial"/>
          <w:sz w:val="26"/>
          <w:szCs w:val="26"/>
        </w:rPr>
        <w:t>https://doi.org/10.1111/j.1467-6486.2012.01068.x</w:t>
      </w:r>
    </w:p>
    <w:p w14:paraId="2CCD6AE5"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t xml:space="preserve">Tang, Z., &amp; Hull, C. (2012). An investigation of entrepreneurial orientation, perceived environmental hostility, and strategy application among Chinese SMEs. </w:t>
      </w:r>
      <w:r w:rsidRPr="00AC32B5">
        <w:rPr>
          <w:rStyle w:val="af8"/>
          <w:rFonts w:eastAsia="Arial"/>
          <w:i/>
          <w:sz w:val="26"/>
          <w:szCs w:val="26"/>
        </w:rPr>
        <w:t>Journal of Small Business Management, 50</w:t>
      </w:r>
      <w:r w:rsidRPr="00AC32B5">
        <w:rPr>
          <w:rStyle w:val="af8"/>
          <w:rFonts w:eastAsia="Arial"/>
          <w:sz w:val="26"/>
          <w:szCs w:val="26"/>
        </w:rPr>
        <w:t>(1), 132-158.</w:t>
      </w:r>
    </w:p>
    <w:p w14:paraId="5F8AA6CF" w14:textId="77777777" w:rsidR="00FD21B7" w:rsidRPr="00AC32B5" w:rsidRDefault="00FD21B7" w:rsidP="00FD21B7">
      <w:pPr>
        <w:pStyle w:val="10"/>
        <w:spacing w:line="360" w:lineRule="exact"/>
        <w:ind w:leftChars="338" w:left="1531" w:hanging="720"/>
        <w:jc w:val="both"/>
        <w:rPr>
          <w:rStyle w:val="af8"/>
          <w:rFonts w:eastAsia="Arial"/>
          <w:sz w:val="26"/>
          <w:szCs w:val="26"/>
        </w:rPr>
      </w:pPr>
      <w:r w:rsidRPr="00AC32B5">
        <w:rPr>
          <w:rStyle w:val="af8"/>
          <w:rFonts w:eastAsia="Arial"/>
          <w:sz w:val="26"/>
          <w:szCs w:val="26"/>
        </w:rPr>
        <w:t>https://doi.org/10.1111/j.1540-627x.2011.00347.x</w:t>
      </w:r>
    </w:p>
    <w:p w14:paraId="652E484F" w14:textId="522ED25C" w:rsidR="00FD21B7" w:rsidRPr="00AC32B5" w:rsidRDefault="00FD21B7" w:rsidP="00FD21B7">
      <w:pPr>
        <w:pStyle w:val="10"/>
        <w:spacing w:line="360" w:lineRule="exact"/>
        <w:ind w:left="810" w:hanging="720"/>
        <w:rPr>
          <w:rStyle w:val="af8"/>
          <w:rFonts w:eastAsia="Arial"/>
          <w:sz w:val="26"/>
          <w:szCs w:val="26"/>
        </w:rPr>
      </w:pPr>
      <w:r w:rsidRPr="00AC32B5">
        <w:rPr>
          <w:rStyle w:val="af8"/>
          <w:rFonts w:eastAsia="Arial"/>
          <w:sz w:val="26"/>
          <w:szCs w:val="26"/>
        </w:rPr>
        <w:t>Thomson Reuters. (2016). ASSET 4 dataset. Retrieved from http://extranet.datastream.com/data/ASSET4%20ESG/Index.htm.</w:t>
      </w:r>
    </w:p>
    <w:p w14:paraId="3B98FB3B" w14:textId="77777777"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 xml:space="preserve">Weng, D. H., &amp; Peng, M. W. (2018). Home bitter home: How labor protection influences firm offshoring. </w:t>
      </w:r>
      <w:r w:rsidRPr="00AC32B5">
        <w:rPr>
          <w:rFonts w:ascii="Times New Roman" w:hAnsi="Times New Roman" w:cs="Times New Roman"/>
          <w:i/>
          <w:iCs/>
          <w:color w:val="222222"/>
          <w:sz w:val="26"/>
          <w:szCs w:val="26"/>
        </w:rPr>
        <w:t>Journal of World Business</w:t>
      </w:r>
      <w:r w:rsidRPr="00AC32B5">
        <w:rPr>
          <w:rFonts w:ascii="Times New Roman" w:hAnsi="Times New Roman" w:cs="Times New Roman"/>
          <w:color w:val="222222"/>
          <w:sz w:val="26"/>
          <w:szCs w:val="26"/>
        </w:rPr>
        <w:t xml:space="preserve">, </w:t>
      </w:r>
      <w:r w:rsidRPr="00AC32B5">
        <w:rPr>
          <w:rFonts w:ascii="Times New Roman" w:hAnsi="Times New Roman" w:cs="Times New Roman"/>
          <w:i/>
          <w:iCs/>
          <w:color w:val="222222"/>
          <w:sz w:val="26"/>
          <w:szCs w:val="26"/>
        </w:rPr>
        <w:t>53</w:t>
      </w:r>
      <w:r w:rsidRPr="00AC32B5">
        <w:rPr>
          <w:rFonts w:ascii="Times New Roman" w:hAnsi="Times New Roman" w:cs="Times New Roman"/>
          <w:color w:val="222222"/>
          <w:sz w:val="26"/>
          <w:szCs w:val="26"/>
        </w:rPr>
        <w:t>(5), 632-640.</w:t>
      </w:r>
    </w:p>
    <w:p w14:paraId="76EADBEC" w14:textId="77777777" w:rsidR="00FD21B7" w:rsidRPr="00AC32B5" w:rsidRDefault="00FD21B7" w:rsidP="00FD21B7">
      <w:pPr>
        <w:pStyle w:val="10"/>
        <w:spacing w:line="360" w:lineRule="exact"/>
        <w:ind w:leftChars="338" w:left="1531"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https://doi.org/10.1016/j.jwb.2018.03.007</w:t>
      </w:r>
    </w:p>
    <w:p w14:paraId="2B03F69B" w14:textId="77777777" w:rsidR="00FD21B7" w:rsidRPr="00AC32B5" w:rsidRDefault="00FD21B7" w:rsidP="00FD21B7">
      <w:pPr>
        <w:pStyle w:val="10"/>
        <w:spacing w:line="360" w:lineRule="exact"/>
        <w:ind w:left="810" w:hanging="720"/>
        <w:jc w:val="both"/>
        <w:rPr>
          <w:rStyle w:val="af8"/>
          <w:rFonts w:eastAsia="Arial"/>
          <w:sz w:val="26"/>
          <w:szCs w:val="26"/>
        </w:rPr>
      </w:pPr>
      <w:r w:rsidRPr="00AC32B5">
        <w:rPr>
          <w:rStyle w:val="af8"/>
          <w:rFonts w:eastAsia="Arial"/>
          <w:sz w:val="26"/>
          <w:szCs w:val="26"/>
        </w:rPr>
        <w:lastRenderedPageBreak/>
        <w:t xml:space="preserve">Williams, C., &amp; Lee, S. H. (2016). Knowledge flows in the emerging market MNC: The role of subsidiary HRM practices in Korean MNCs. </w:t>
      </w:r>
      <w:r w:rsidRPr="00AC32B5">
        <w:rPr>
          <w:rStyle w:val="af8"/>
          <w:rFonts w:eastAsia="Arial"/>
          <w:i/>
          <w:sz w:val="26"/>
          <w:szCs w:val="26"/>
        </w:rPr>
        <w:t>International Business Review,</w:t>
      </w:r>
      <w:r w:rsidRPr="00AC32B5">
        <w:rPr>
          <w:rStyle w:val="af8"/>
          <w:rFonts w:eastAsia="Arial"/>
          <w:sz w:val="26"/>
          <w:szCs w:val="26"/>
        </w:rPr>
        <w:t xml:space="preserve"> </w:t>
      </w:r>
      <w:r w:rsidRPr="00AC32B5">
        <w:rPr>
          <w:rStyle w:val="af8"/>
          <w:rFonts w:eastAsia="Arial"/>
          <w:i/>
          <w:sz w:val="26"/>
          <w:szCs w:val="26"/>
        </w:rPr>
        <w:t>25</w:t>
      </w:r>
      <w:r w:rsidRPr="00AC32B5">
        <w:rPr>
          <w:rStyle w:val="af8"/>
          <w:rFonts w:eastAsia="Arial"/>
          <w:sz w:val="26"/>
          <w:szCs w:val="26"/>
        </w:rPr>
        <w:t>(1), 233-243.</w:t>
      </w:r>
      <w:r w:rsidRPr="00AC32B5">
        <w:rPr>
          <w:rFonts w:ascii="Times New Roman" w:hAnsi="Times New Roman" w:cs="Times New Roman"/>
          <w:sz w:val="26"/>
          <w:szCs w:val="26"/>
        </w:rPr>
        <w:t xml:space="preserve"> </w:t>
      </w:r>
      <w:r w:rsidRPr="00AC32B5">
        <w:rPr>
          <w:rStyle w:val="af8"/>
          <w:rFonts w:eastAsia="Arial"/>
          <w:sz w:val="26"/>
          <w:szCs w:val="26"/>
        </w:rPr>
        <w:t>https://doi.org/10.1016/j.ibusrev.2014.08.011</w:t>
      </w:r>
    </w:p>
    <w:p w14:paraId="5218542D" w14:textId="77777777"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 xml:space="preserve">Williamson, C. R. (2009). Informal institutions rule: institutional arrangements and economic performance. </w:t>
      </w:r>
      <w:r w:rsidRPr="00AC32B5">
        <w:rPr>
          <w:rFonts w:ascii="Times New Roman" w:hAnsi="Times New Roman" w:cs="Times New Roman"/>
          <w:i/>
          <w:iCs/>
          <w:color w:val="222222"/>
          <w:sz w:val="26"/>
          <w:szCs w:val="26"/>
        </w:rPr>
        <w:t>Public Choice</w:t>
      </w:r>
      <w:r w:rsidRPr="00AC32B5">
        <w:rPr>
          <w:rFonts w:ascii="Times New Roman" w:hAnsi="Times New Roman" w:cs="Times New Roman"/>
          <w:color w:val="222222"/>
          <w:sz w:val="26"/>
          <w:szCs w:val="26"/>
        </w:rPr>
        <w:t xml:space="preserve">, </w:t>
      </w:r>
      <w:r w:rsidRPr="00AC32B5">
        <w:rPr>
          <w:rFonts w:ascii="Times New Roman" w:hAnsi="Times New Roman" w:cs="Times New Roman"/>
          <w:i/>
          <w:iCs/>
          <w:color w:val="222222"/>
          <w:sz w:val="26"/>
          <w:szCs w:val="26"/>
        </w:rPr>
        <w:t>139</w:t>
      </w:r>
      <w:r w:rsidRPr="00AC32B5">
        <w:rPr>
          <w:rFonts w:ascii="Times New Roman" w:hAnsi="Times New Roman" w:cs="Times New Roman"/>
          <w:color w:val="222222"/>
          <w:sz w:val="26"/>
          <w:szCs w:val="26"/>
        </w:rPr>
        <w:t>(3-4), 371-387.</w:t>
      </w:r>
    </w:p>
    <w:p w14:paraId="0A622136" w14:textId="77777777" w:rsidR="00FD21B7" w:rsidRPr="00AC32B5" w:rsidRDefault="00FD21B7" w:rsidP="00FD21B7">
      <w:pPr>
        <w:pStyle w:val="10"/>
        <w:spacing w:line="360" w:lineRule="exact"/>
        <w:ind w:leftChars="338" w:left="1531"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https://doi.org/10.1007/s11127-009-9399-x</w:t>
      </w:r>
    </w:p>
    <w:p w14:paraId="71A0C671" w14:textId="77777777"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Witt, M. A., &amp; Jackson, G. (2016). Varieties of Capitalism and institutional comparative advantage: A test and reinterpretation. </w:t>
      </w:r>
      <w:r w:rsidRPr="00AC32B5">
        <w:rPr>
          <w:rFonts w:ascii="Times New Roman" w:hAnsi="Times New Roman" w:cs="Times New Roman"/>
          <w:i/>
          <w:iCs/>
          <w:color w:val="222222"/>
          <w:sz w:val="26"/>
          <w:szCs w:val="26"/>
        </w:rPr>
        <w:t>Journal of International Business Studies</w:t>
      </w:r>
      <w:r w:rsidRPr="00AC32B5">
        <w:rPr>
          <w:rFonts w:ascii="Times New Roman" w:hAnsi="Times New Roman" w:cs="Times New Roman"/>
          <w:color w:val="222222"/>
          <w:sz w:val="26"/>
          <w:szCs w:val="26"/>
        </w:rPr>
        <w:t xml:space="preserve">, </w:t>
      </w:r>
      <w:r w:rsidRPr="00AC32B5">
        <w:rPr>
          <w:rFonts w:ascii="Times New Roman" w:hAnsi="Times New Roman" w:cs="Times New Roman"/>
          <w:i/>
          <w:iCs/>
          <w:color w:val="222222"/>
          <w:sz w:val="26"/>
          <w:szCs w:val="26"/>
        </w:rPr>
        <w:t>47</w:t>
      </w:r>
      <w:r w:rsidRPr="00AC32B5">
        <w:rPr>
          <w:rFonts w:ascii="Times New Roman" w:hAnsi="Times New Roman" w:cs="Times New Roman"/>
          <w:color w:val="222222"/>
          <w:sz w:val="26"/>
          <w:szCs w:val="26"/>
        </w:rPr>
        <w:t>(7), 778-806.</w:t>
      </w:r>
      <w:r w:rsidRPr="00AC32B5">
        <w:rPr>
          <w:rFonts w:ascii="Times New Roman" w:hAnsi="Times New Roman" w:cs="Times New Roman"/>
          <w:sz w:val="26"/>
          <w:szCs w:val="26"/>
        </w:rPr>
        <w:t xml:space="preserve"> </w:t>
      </w:r>
      <w:r w:rsidRPr="00AC32B5">
        <w:rPr>
          <w:rFonts w:ascii="Times New Roman" w:hAnsi="Times New Roman" w:cs="Times New Roman"/>
          <w:color w:val="222222"/>
          <w:sz w:val="26"/>
          <w:szCs w:val="26"/>
        </w:rPr>
        <w:t>https://doi.org/10.1057/s41267-016-0001-8</w:t>
      </w:r>
    </w:p>
    <w:p w14:paraId="3FE9D53C" w14:textId="77777777"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 xml:space="preserve">Wood, G., &amp; Brewster, C. (2016). Corporate governance and human resource management. </w:t>
      </w:r>
      <w:r w:rsidRPr="00AC32B5">
        <w:rPr>
          <w:rFonts w:ascii="Times New Roman" w:hAnsi="Times New Roman" w:cs="Times New Roman"/>
          <w:i/>
          <w:color w:val="222222"/>
          <w:sz w:val="26"/>
          <w:szCs w:val="26"/>
        </w:rPr>
        <w:t>Annals of Corporate Governance</w:t>
      </w:r>
      <w:r w:rsidRPr="00AC32B5">
        <w:rPr>
          <w:rFonts w:ascii="Times New Roman" w:hAnsi="Times New Roman" w:cs="Times New Roman"/>
          <w:color w:val="222222"/>
          <w:sz w:val="26"/>
          <w:szCs w:val="26"/>
        </w:rPr>
        <w:t xml:space="preserve">, </w:t>
      </w:r>
      <w:r w:rsidRPr="00AC32B5">
        <w:rPr>
          <w:rFonts w:ascii="Times New Roman" w:hAnsi="Times New Roman" w:cs="Times New Roman"/>
          <w:i/>
          <w:color w:val="222222"/>
          <w:sz w:val="26"/>
          <w:szCs w:val="26"/>
        </w:rPr>
        <w:t>1</w:t>
      </w:r>
      <w:r w:rsidRPr="00AC32B5">
        <w:rPr>
          <w:rFonts w:ascii="Times New Roman" w:hAnsi="Times New Roman" w:cs="Times New Roman"/>
          <w:color w:val="222222"/>
          <w:sz w:val="26"/>
          <w:szCs w:val="26"/>
        </w:rPr>
        <w:t>(4), 249-319.</w:t>
      </w:r>
    </w:p>
    <w:p w14:paraId="08A64620" w14:textId="77777777" w:rsidR="00FD21B7" w:rsidRPr="00AC32B5" w:rsidRDefault="00FD21B7" w:rsidP="00FD21B7">
      <w:pPr>
        <w:pStyle w:val="10"/>
        <w:spacing w:line="360" w:lineRule="exact"/>
        <w:ind w:leftChars="338" w:left="1531"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https://doi.org/10.1561/109.00000010</w:t>
      </w:r>
    </w:p>
    <w:p w14:paraId="6DDCFF9B" w14:textId="093DF26B"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shd w:val="clear" w:color="auto" w:fill="FFFFFF"/>
        </w:rPr>
      </w:pPr>
      <w:r w:rsidRPr="00AC32B5">
        <w:rPr>
          <w:rFonts w:ascii="Times New Roman" w:hAnsi="Times New Roman" w:cs="Times New Roman"/>
          <w:color w:val="222222"/>
          <w:sz w:val="26"/>
          <w:szCs w:val="26"/>
          <w:shd w:val="clear" w:color="auto" w:fill="FFFFFF"/>
        </w:rPr>
        <w:t>World Economic Forum. (2015). World Economic Forum’s Global Competitiveness Report, 2014-2015. Retrieved from http://reports.weforum.org/global-competitiveness-report-2014-2015/</w:t>
      </w:r>
    </w:p>
    <w:p w14:paraId="71F027CF" w14:textId="0127D0CC"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rPr>
      </w:pPr>
      <w:r w:rsidRPr="00AC32B5">
        <w:rPr>
          <w:rFonts w:ascii="Times New Roman" w:hAnsi="Times New Roman" w:cs="Times New Roman"/>
          <w:color w:val="222222"/>
          <w:sz w:val="26"/>
          <w:szCs w:val="26"/>
        </w:rPr>
        <w:t xml:space="preserve">Yang, Y., Orzes, G., Jia, F., &amp; Chen, L. (2019). Does GRI Sustainability Reporting Pay Off? An Empirical Investigation of Publicly Listed Firms in China. </w:t>
      </w:r>
      <w:r w:rsidRPr="00AC32B5">
        <w:rPr>
          <w:rFonts w:ascii="Times New Roman" w:hAnsi="Times New Roman" w:cs="Times New Roman"/>
          <w:i/>
          <w:color w:val="222222"/>
          <w:sz w:val="26"/>
          <w:szCs w:val="26"/>
        </w:rPr>
        <w:t>Business &amp; Society</w:t>
      </w:r>
      <w:r w:rsidRPr="00AC32B5">
        <w:rPr>
          <w:rFonts w:ascii="Times New Roman" w:hAnsi="Times New Roman" w:cs="Times New Roman"/>
          <w:color w:val="222222"/>
          <w:sz w:val="26"/>
          <w:szCs w:val="26"/>
        </w:rPr>
        <w:t>, Feb, 1-35. https://doi.org/10.1177/</w:t>
      </w:r>
      <w:r w:rsidR="000405F9">
        <w:rPr>
          <w:rFonts w:ascii="Times New Roman" w:hAnsi="Times New Roman" w:cs="Times New Roman"/>
          <w:color w:val="222222"/>
          <w:sz w:val="26"/>
          <w:szCs w:val="26"/>
        </w:rPr>
        <w:t>0007650319831632</w:t>
      </w:r>
    </w:p>
    <w:p w14:paraId="01AD135C" w14:textId="77777777" w:rsidR="00FD21B7" w:rsidRPr="00AC32B5" w:rsidRDefault="00FD21B7" w:rsidP="00FD21B7">
      <w:pPr>
        <w:pStyle w:val="10"/>
        <w:spacing w:line="360" w:lineRule="exact"/>
        <w:ind w:left="810" w:hanging="720"/>
        <w:jc w:val="both"/>
        <w:rPr>
          <w:rFonts w:ascii="Times New Roman" w:hAnsi="Times New Roman" w:cs="Times New Roman"/>
          <w:color w:val="222222"/>
          <w:sz w:val="26"/>
          <w:szCs w:val="26"/>
          <w:shd w:val="clear" w:color="auto" w:fill="FFFFFF"/>
        </w:rPr>
      </w:pPr>
      <w:r w:rsidRPr="00AC32B5">
        <w:rPr>
          <w:rFonts w:ascii="Times New Roman" w:hAnsi="Times New Roman" w:cs="Times New Roman"/>
          <w:color w:val="222222"/>
          <w:sz w:val="26"/>
          <w:szCs w:val="26"/>
          <w:shd w:val="clear" w:color="auto" w:fill="FFFFFF"/>
        </w:rPr>
        <w:t>Zhang, M., Di Fan, D., &amp; Zhu, C. J. (2014). High-performance work systems, corporate social performance and employee outcomes: Exploring the missing links.</w:t>
      </w:r>
      <w:r w:rsidRPr="00AC32B5">
        <w:rPr>
          <w:rStyle w:val="apple-converted-space"/>
          <w:rFonts w:ascii="Times New Roman" w:hAnsi="Times New Roman" w:cs="Times New Roman"/>
          <w:color w:val="222222"/>
          <w:sz w:val="26"/>
          <w:szCs w:val="26"/>
          <w:shd w:val="clear" w:color="auto" w:fill="FFFFFF"/>
        </w:rPr>
        <w:t> </w:t>
      </w:r>
      <w:r w:rsidRPr="00AC32B5">
        <w:rPr>
          <w:rFonts w:ascii="Times New Roman" w:hAnsi="Times New Roman" w:cs="Times New Roman"/>
          <w:i/>
          <w:iCs/>
          <w:color w:val="222222"/>
          <w:sz w:val="26"/>
          <w:szCs w:val="26"/>
        </w:rPr>
        <w:t>Journal of Business Ethics</w:t>
      </w:r>
      <w:r w:rsidRPr="00AC32B5">
        <w:rPr>
          <w:rFonts w:ascii="Times New Roman" w:hAnsi="Times New Roman" w:cs="Times New Roman"/>
          <w:color w:val="222222"/>
          <w:sz w:val="26"/>
          <w:szCs w:val="26"/>
          <w:shd w:val="clear" w:color="auto" w:fill="FFFFFF"/>
        </w:rPr>
        <w:t>,</w:t>
      </w:r>
      <w:r w:rsidRPr="00AC32B5">
        <w:rPr>
          <w:rStyle w:val="apple-converted-space"/>
          <w:rFonts w:ascii="Times New Roman" w:hAnsi="Times New Roman" w:cs="Times New Roman"/>
          <w:color w:val="222222"/>
          <w:sz w:val="26"/>
          <w:szCs w:val="26"/>
          <w:shd w:val="clear" w:color="auto" w:fill="FFFFFF"/>
        </w:rPr>
        <w:t xml:space="preserve"> </w:t>
      </w:r>
      <w:r w:rsidRPr="00AC32B5">
        <w:rPr>
          <w:rFonts w:ascii="Times New Roman" w:hAnsi="Times New Roman" w:cs="Times New Roman"/>
          <w:i/>
          <w:iCs/>
          <w:color w:val="222222"/>
          <w:sz w:val="26"/>
          <w:szCs w:val="26"/>
        </w:rPr>
        <w:t>120</w:t>
      </w:r>
      <w:r w:rsidRPr="00AC32B5">
        <w:rPr>
          <w:rFonts w:ascii="Times New Roman" w:hAnsi="Times New Roman" w:cs="Times New Roman"/>
          <w:color w:val="222222"/>
          <w:sz w:val="26"/>
          <w:szCs w:val="26"/>
          <w:shd w:val="clear" w:color="auto" w:fill="FFFFFF"/>
        </w:rPr>
        <w:t>(3), 423-435.</w:t>
      </w:r>
      <w:r w:rsidRPr="00AC32B5">
        <w:rPr>
          <w:rFonts w:ascii="Times New Roman" w:hAnsi="Times New Roman" w:cs="Times New Roman"/>
          <w:sz w:val="26"/>
          <w:szCs w:val="26"/>
        </w:rPr>
        <w:t xml:space="preserve"> </w:t>
      </w:r>
      <w:r w:rsidRPr="00AC32B5">
        <w:rPr>
          <w:rFonts w:ascii="Times New Roman" w:hAnsi="Times New Roman" w:cs="Times New Roman"/>
          <w:color w:val="222222"/>
          <w:sz w:val="26"/>
          <w:szCs w:val="26"/>
          <w:shd w:val="clear" w:color="auto" w:fill="FFFFFF"/>
        </w:rPr>
        <w:t>https://doi.org/10.1007/s10551-013-1672-8</w:t>
      </w:r>
    </w:p>
    <w:p w14:paraId="704F6ED8" w14:textId="082880F8" w:rsidR="00912AD3" w:rsidRPr="00AC32B5" w:rsidRDefault="00912AD3" w:rsidP="005F6125">
      <w:pPr>
        <w:spacing w:line="360" w:lineRule="exact"/>
        <w:rPr>
          <w:rFonts w:eastAsiaTheme="minorEastAsia"/>
          <w:color w:val="000000"/>
          <w:sz w:val="26"/>
          <w:szCs w:val="26"/>
        </w:rPr>
      </w:pPr>
    </w:p>
    <w:p w14:paraId="14E85747" w14:textId="77777777" w:rsidR="00FD21B7" w:rsidRPr="00AC32B5" w:rsidRDefault="00FD21B7" w:rsidP="005F6125">
      <w:pPr>
        <w:spacing w:line="360" w:lineRule="exact"/>
        <w:rPr>
          <w:rFonts w:eastAsiaTheme="minorEastAsia"/>
          <w:color w:val="000000"/>
          <w:sz w:val="26"/>
          <w:szCs w:val="26"/>
        </w:rPr>
      </w:pPr>
    </w:p>
    <w:p w14:paraId="50F94CBE" w14:textId="1338C6E5" w:rsidR="00C060B5" w:rsidRDefault="00FC706F" w:rsidP="00450EC4">
      <w:pPr>
        <w:pStyle w:val="EndNoteBibliography"/>
        <w:spacing w:after="0" w:line="360" w:lineRule="exact"/>
        <w:jc w:val="both"/>
        <w:rPr>
          <w:szCs w:val="26"/>
        </w:rPr>
      </w:pPr>
      <w:r w:rsidRPr="007E69E9">
        <w:rPr>
          <w:b/>
          <w:szCs w:val="26"/>
          <w:lang w:eastAsia="zh-TW"/>
        </w:rPr>
        <w:t xml:space="preserve">Pro. </w:t>
      </w:r>
      <w:r w:rsidRPr="007E69E9">
        <w:rPr>
          <w:b/>
          <w:szCs w:val="26"/>
        </w:rPr>
        <w:t>Clyde Eirikur Hull</w:t>
      </w:r>
      <w:r w:rsidRPr="007E69E9">
        <w:rPr>
          <w:szCs w:val="26"/>
        </w:rPr>
        <w:t xml:space="preserve"> </w:t>
      </w:r>
      <w:r w:rsidRPr="007E69E9">
        <w:rPr>
          <w:b/>
          <w:szCs w:val="26"/>
        </w:rPr>
        <w:t xml:space="preserve">(Corresponding author) </w:t>
      </w:r>
      <w:r w:rsidRPr="007E69E9">
        <w:rPr>
          <w:szCs w:val="26"/>
        </w:rPr>
        <w:t>holds the rank of Professor in the Department of Management in the Saunders College of Business at RIT. He has published in Strategic Management Journal, Journal of Management Studies, and Resources, Conservation and Recycling, among others.</w:t>
      </w:r>
    </w:p>
    <w:p w14:paraId="0433039B" w14:textId="77777777" w:rsidR="00450EC4" w:rsidRPr="007E69E9" w:rsidRDefault="00450EC4" w:rsidP="00450EC4">
      <w:pPr>
        <w:pStyle w:val="EndNoteBibliography"/>
        <w:spacing w:after="0" w:line="360" w:lineRule="exact"/>
        <w:jc w:val="both"/>
        <w:rPr>
          <w:szCs w:val="26"/>
        </w:rPr>
      </w:pPr>
    </w:p>
    <w:p w14:paraId="11C17554" w14:textId="19401543" w:rsidR="00FC706F" w:rsidRDefault="00FC706F" w:rsidP="00450EC4">
      <w:pPr>
        <w:pStyle w:val="EndNoteBibliography"/>
        <w:spacing w:after="0" w:line="360" w:lineRule="exact"/>
        <w:jc w:val="both"/>
        <w:rPr>
          <w:szCs w:val="26"/>
        </w:rPr>
      </w:pPr>
      <w:r w:rsidRPr="007E69E9">
        <w:rPr>
          <w:b/>
          <w:szCs w:val="26"/>
        </w:rPr>
        <w:t>Pro</w:t>
      </w:r>
      <w:r w:rsidRPr="007E69E9">
        <w:rPr>
          <w:b/>
          <w:szCs w:val="26"/>
          <w:lang w:eastAsia="zh-TW"/>
        </w:rPr>
        <w:t>.</w:t>
      </w:r>
      <w:r w:rsidRPr="007E69E9">
        <w:rPr>
          <w:b/>
          <w:szCs w:val="26"/>
        </w:rPr>
        <w:t xml:space="preserve"> Sandra Rothenberg</w:t>
      </w:r>
      <w:r w:rsidRPr="007E69E9">
        <w:rPr>
          <w:szCs w:val="26"/>
        </w:rPr>
        <w:t xml:space="preserve"> holds the rank of Professor in the Department of Management in the Saunders College of Business at RIT. She is also Department Chair of the Department of Public Policy in the College of Liberal Arts at RIT.</w:t>
      </w:r>
      <w:r w:rsidR="005F6125" w:rsidRPr="007E69E9">
        <w:rPr>
          <w:szCs w:val="26"/>
        </w:rPr>
        <w:t xml:space="preserve"> </w:t>
      </w:r>
      <w:r w:rsidRPr="007E69E9">
        <w:rPr>
          <w:szCs w:val="26"/>
        </w:rPr>
        <w:t xml:space="preserve">She has published in Strategic Management Journal, Production and Operations Management, and Journal of Management </w:t>
      </w:r>
      <w:r w:rsidR="00F5202D" w:rsidRPr="007E69E9">
        <w:rPr>
          <w:szCs w:val="26"/>
        </w:rPr>
        <w:t>Studies</w:t>
      </w:r>
      <w:r w:rsidRPr="007E69E9">
        <w:rPr>
          <w:szCs w:val="26"/>
        </w:rPr>
        <w:t>, among others.</w:t>
      </w:r>
    </w:p>
    <w:p w14:paraId="4A7C6A6E" w14:textId="77777777" w:rsidR="00450EC4" w:rsidRPr="007E69E9" w:rsidRDefault="00450EC4" w:rsidP="00450EC4">
      <w:pPr>
        <w:pStyle w:val="EndNoteBibliography"/>
        <w:spacing w:after="0" w:line="360" w:lineRule="exact"/>
        <w:jc w:val="both"/>
        <w:rPr>
          <w:szCs w:val="26"/>
        </w:rPr>
      </w:pPr>
    </w:p>
    <w:p w14:paraId="78E971C8" w14:textId="619633B1" w:rsidR="00FC706F" w:rsidRPr="00AC32B5" w:rsidRDefault="00FC706F" w:rsidP="00450EC4">
      <w:pPr>
        <w:pStyle w:val="EndNoteBibliography"/>
        <w:spacing w:after="0" w:line="360" w:lineRule="exact"/>
        <w:jc w:val="both"/>
        <w:rPr>
          <w:sz w:val="26"/>
          <w:szCs w:val="26"/>
        </w:rPr>
      </w:pPr>
      <w:r w:rsidRPr="007E69E9">
        <w:rPr>
          <w:b/>
          <w:szCs w:val="26"/>
        </w:rPr>
        <w:t>Dr. Sebastian Vogt</w:t>
      </w:r>
      <w:r w:rsidRPr="007E69E9">
        <w:rPr>
          <w:szCs w:val="26"/>
        </w:rPr>
        <w:t xml:space="preserve"> earned his Doctorate in Business Management at Würzburg University.</w:t>
      </w:r>
      <w:r w:rsidR="005F6125" w:rsidRPr="007E69E9">
        <w:rPr>
          <w:szCs w:val="26"/>
        </w:rPr>
        <w:t xml:space="preserve"> </w:t>
      </w:r>
      <w:r w:rsidRPr="007E69E9">
        <w:rPr>
          <w:szCs w:val="26"/>
        </w:rPr>
        <w:t>He has worked for Deloitte, where he holds the rank of Manager, in technology and management consulting since graduation.</w:t>
      </w:r>
      <w:bookmarkStart w:id="0" w:name="_GoBack"/>
      <w:bookmarkEnd w:id="0"/>
    </w:p>
    <w:sectPr w:rsidR="00FC706F" w:rsidRPr="00AC32B5" w:rsidSect="00F064A9">
      <w:headerReference w:type="even" r:id="rId8"/>
      <w:headerReference w:type="default" r:id="rId9"/>
      <w:footerReference w:type="default" r:id="rId10"/>
      <w:headerReference w:type="first" r:id="rId11"/>
      <w:type w:val="continuous"/>
      <w:pgSz w:w="12240" w:h="15840"/>
      <w:pgMar w:top="1440" w:right="1440" w:bottom="1440" w:left="1440" w:header="720" w:footer="720" w:gutter="0"/>
      <w:lnNumType w:countBy="1"/>
      <w:pgNumType w:start="247"/>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BE0D2" w14:textId="77777777" w:rsidR="00037668" w:rsidRDefault="00037668">
      <w:r>
        <w:separator/>
      </w:r>
    </w:p>
  </w:endnote>
  <w:endnote w:type="continuationSeparator" w:id="0">
    <w:p w14:paraId="07DFD663" w14:textId="77777777" w:rsidR="00037668" w:rsidRDefault="0003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ngti SC Regular">
    <w:altName w:val="STFangsong"/>
    <w:charset w:val="86"/>
    <w:family w:val="auto"/>
    <w:pitch w:val="variable"/>
    <w:sig w:usb0="00000000" w:usb1="080F0000" w:usb2="00000010" w:usb3="00000000" w:csb0="0004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C1C11" w14:textId="1FEA0E7C" w:rsidR="00704C22" w:rsidRPr="00595086" w:rsidRDefault="00704C22" w:rsidP="00FC706F">
    <w:pPr>
      <w:pStyle w:val="af1"/>
      <w:rPr>
        <w:rStyle w:val="af3"/>
      </w:rPr>
    </w:pPr>
  </w:p>
  <w:p w14:paraId="5C7DB514" w14:textId="77777777" w:rsidR="00704C22" w:rsidRDefault="00704C22" w:rsidP="00A16CC9">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4A450" w14:textId="77777777" w:rsidR="00037668" w:rsidRDefault="00037668">
      <w:r>
        <w:separator/>
      </w:r>
    </w:p>
  </w:footnote>
  <w:footnote w:type="continuationSeparator" w:id="0">
    <w:p w14:paraId="3533E31B" w14:textId="77777777" w:rsidR="00037668" w:rsidRDefault="000376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3847" w14:textId="3DB34B48" w:rsidR="00704C22" w:rsidRDefault="00704C22" w:rsidP="002D5EB1">
    <w:pPr>
      <w:tabs>
        <w:tab w:val="left" w:pos="7157"/>
      </w:tabs>
    </w:pPr>
    <w:r w:rsidRPr="00C2487B">
      <w:rPr>
        <w:lang w:val="x-none"/>
      </w:rPr>
      <w:t xml:space="preserve">Contemporary Management Research   </w:t>
    </w:r>
    <w:r w:rsidRPr="00C2487B">
      <w:rPr>
        <w:lang w:val="x-none"/>
      </w:rPr>
      <w:fldChar w:fldCharType="begin"/>
    </w:r>
    <w:r w:rsidRPr="00C2487B">
      <w:rPr>
        <w:lang w:val="x-none"/>
      </w:rPr>
      <w:instrText>PAGE   \* MERGEFORMAT</w:instrText>
    </w:r>
    <w:r w:rsidRPr="00C2487B">
      <w:rPr>
        <w:lang w:val="x-none"/>
      </w:rPr>
      <w:fldChar w:fldCharType="separate"/>
    </w:r>
    <w:r w:rsidR="00450EC4" w:rsidRPr="00450EC4">
      <w:rPr>
        <w:noProof/>
        <w:lang w:val="zh-TW"/>
      </w:rPr>
      <w:t>270</w:t>
    </w:r>
    <w:r w:rsidRPr="00C2487B">
      <w:rPr>
        <w:lang w:val="x-none"/>
      </w:rPr>
      <w:fldChar w:fldCharType="end"/>
    </w:r>
    <w:r w:rsidRPr="00C2487B">
      <w:rPr>
        <w:lang w:val="x-none"/>
      </w:rPr>
      <w:t xml:space="preserve"> </w:t>
    </w:r>
    <w:r w:rsidRPr="00C2487B">
      <w:rPr>
        <w:lang w:val="x-none"/>
      </w:rPr>
      <w:tab/>
    </w:r>
  </w:p>
  <w:p w14:paraId="3CC6F73D" w14:textId="62AAEDDD" w:rsidR="00704C22" w:rsidRPr="00FC706F" w:rsidRDefault="00704C22" w:rsidP="00FC706F">
    <w:pPr>
      <w:tabs>
        <w:tab w:val="center" w:pos="4680"/>
        <w:tab w:val="right" w:pos="9360"/>
      </w:tabs>
      <w:rPr>
        <w:rFonts w:ascii="Calibri" w:eastAsia="新細明體" w:hAnsi="Calibri"/>
        <w:sz w:val="22"/>
        <w:szCs w:val="22"/>
      </w:rPr>
    </w:pPr>
    <w:r w:rsidRPr="00C2487B">
      <w:rPr>
        <w:noProof/>
        <w:lang w:eastAsia="zh-TW"/>
      </w:rPr>
      <mc:AlternateContent>
        <mc:Choice Requires="wps">
          <w:drawing>
            <wp:anchor distT="0" distB="0" distL="114300" distR="114300" simplePos="0" relativeHeight="251661312" behindDoc="0" locked="0" layoutInCell="1" allowOverlap="1" wp14:anchorId="728410DB" wp14:editId="434D9540">
              <wp:simplePos x="0" y="0"/>
              <wp:positionH relativeFrom="margin">
                <wp:posOffset>-31805</wp:posOffset>
              </wp:positionH>
              <wp:positionV relativeFrom="paragraph">
                <wp:posOffset>35450</wp:posOffset>
              </wp:positionV>
              <wp:extent cx="5963478" cy="0"/>
              <wp:effectExtent l="0" t="0" r="3746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34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62A725" id="直線接點 7"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pt,2.8pt" to="467.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">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新細明體" w:hAnsi="Calibri"/>
        <w:sz w:val="22"/>
        <w:szCs w:val="22"/>
      </w:rPr>
      <w:id w:val="562915842"/>
      <w:docPartObj>
        <w:docPartGallery w:val="Page Numbers (Top of Page)"/>
        <w:docPartUnique/>
      </w:docPartObj>
    </w:sdtPr>
    <w:sdtEndPr/>
    <w:sdtContent>
      <w:p w14:paraId="66A398CA" w14:textId="37CFFCF3" w:rsidR="00704C22" w:rsidRPr="00CD1DE3" w:rsidRDefault="00704C22" w:rsidP="002D5EB1">
        <w:pPr>
          <w:tabs>
            <w:tab w:val="left" w:pos="7157"/>
          </w:tabs>
          <w:jc w:val="right"/>
          <w:rPr>
            <w:lang w:val="x-none"/>
          </w:rPr>
        </w:pPr>
        <w:r>
          <w:rPr>
            <w:lang w:val="x-none"/>
          </w:rPr>
          <w:t xml:space="preserve"> </w:t>
        </w:r>
        <w:r w:rsidRPr="00C2487B">
          <w:rPr>
            <w:lang w:val="x-none"/>
          </w:rPr>
          <w:t xml:space="preserve">Contemporary Management Research   </w:t>
        </w:r>
        <w:r w:rsidRPr="00C2487B">
          <w:rPr>
            <w:lang w:val="x-none"/>
          </w:rPr>
          <w:fldChar w:fldCharType="begin"/>
        </w:r>
        <w:r w:rsidRPr="00C2487B">
          <w:rPr>
            <w:lang w:val="x-none"/>
          </w:rPr>
          <w:instrText>PAGE   \* MERGEFORMAT</w:instrText>
        </w:r>
        <w:r w:rsidRPr="00C2487B">
          <w:rPr>
            <w:lang w:val="x-none"/>
          </w:rPr>
          <w:fldChar w:fldCharType="separate"/>
        </w:r>
        <w:r w:rsidR="00450EC4" w:rsidRPr="00450EC4">
          <w:rPr>
            <w:noProof/>
            <w:lang w:val="zh-TW"/>
          </w:rPr>
          <w:t>271</w:t>
        </w:r>
        <w:r w:rsidRPr="00C2487B">
          <w:rPr>
            <w:lang w:val="x-none"/>
          </w:rPr>
          <w:fldChar w:fldCharType="end"/>
        </w:r>
      </w:p>
      <w:p w14:paraId="1B55DBED" w14:textId="1E6BCF30" w:rsidR="00704C22" w:rsidRPr="00FC706F" w:rsidRDefault="00704C22" w:rsidP="00FC706F">
        <w:pPr>
          <w:tabs>
            <w:tab w:val="center" w:pos="4680"/>
            <w:tab w:val="right" w:pos="9360"/>
          </w:tabs>
          <w:jc w:val="right"/>
          <w:rPr>
            <w:rFonts w:ascii="Calibri" w:eastAsia="新細明體" w:hAnsi="Calibri"/>
            <w:sz w:val="22"/>
            <w:szCs w:val="22"/>
          </w:rPr>
        </w:pPr>
        <w:r w:rsidRPr="00C2487B">
          <w:rPr>
            <w:noProof/>
            <w:lang w:eastAsia="zh-TW"/>
          </w:rPr>
          <mc:AlternateContent>
            <mc:Choice Requires="wps">
              <w:drawing>
                <wp:anchor distT="0" distB="0" distL="114300" distR="114300" simplePos="0" relativeHeight="251659264" behindDoc="0" locked="0" layoutInCell="1" allowOverlap="1" wp14:anchorId="26E14D6C" wp14:editId="3C6C1437">
                  <wp:simplePos x="0" y="0"/>
                  <wp:positionH relativeFrom="margin">
                    <wp:posOffset>-31805</wp:posOffset>
                  </wp:positionH>
                  <wp:positionV relativeFrom="paragraph">
                    <wp:posOffset>35450</wp:posOffset>
                  </wp:positionV>
                  <wp:extent cx="6058894" cy="0"/>
                  <wp:effectExtent l="0" t="0" r="37465"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88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F4E9DD" id="直線接點 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pt,2.8pt" to="47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">
                  <w10:wrap anchorx="margin"/>
                </v:line>
              </w:pict>
            </mc:Fallback>
          </mc:AlternateConten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828" w:type="dxa"/>
      <w:tblInd w:w="5103"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828"/>
    </w:tblGrid>
    <w:tr w:rsidR="00704C22" w:rsidRPr="00CD4ED3" w14:paraId="6263176F" w14:textId="77777777" w:rsidTr="00FC706F">
      <w:trPr>
        <w:trHeight w:val="454"/>
      </w:trPr>
      <w:tc>
        <w:tcPr>
          <w:tcW w:w="3828" w:type="dxa"/>
          <w:vAlign w:val="bottom"/>
        </w:tcPr>
        <w:p w14:paraId="0C6A1C45" w14:textId="77777777" w:rsidR="00704C22" w:rsidRPr="00CD4ED3" w:rsidRDefault="00704C22" w:rsidP="00FC706F">
          <w:pPr>
            <w:snapToGrid w:val="0"/>
            <w:ind w:rightChars="-104" w:right="-250"/>
            <w:rPr>
              <w:rFonts w:eastAsia="Cambria"/>
            </w:rPr>
          </w:pPr>
          <w:r w:rsidRPr="00CD4ED3">
            <w:rPr>
              <w:rFonts w:eastAsia="Cambria"/>
            </w:rPr>
            <w:t>Contemporary Management Research</w:t>
          </w:r>
        </w:p>
        <w:p w14:paraId="5DCB3A5D" w14:textId="0A0F74CB" w:rsidR="00704C22" w:rsidRPr="00CD4ED3" w:rsidRDefault="00704C22" w:rsidP="00FC706F">
          <w:pPr>
            <w:snapToGrid w:val="0"/>
            <w:rPr>
              <w:rFonts w:eastAsia="Cambria"/>
              <w:color w:val="0D0D0D"/>
              <w:sz w:val="20"/>
              <w:szCs w:val="20"/>
            </w:rPr>
          </w:pPr>
          <w:r w:rsidRPr="00CD4ED3">
            <w:rPr>
              <w:rFonts w:eastAsia="Cambria"/>
              <w:color w:val="0D0D0D"/>
              <w:sz w:val="20"/>
              <w:szCs w:val="20"/>
            </w:rPr>
            <w:t>Pages</w:t>
          </w:r>
          <w:r w:rsidRPr="00CD4ED3">
            <w:rPr>
              <w:rFonts w:eastAsia="Cambria"/>
              <w:sz w:val="20"/>
              <w:szCs w:val="20"/>
            </w:rPr>
            <w:t xml:space="preserve"> </w:t>
          </w:r>
          <w:r w:rsidRPr="001F3E39">
            <w:rPr>
              <w:rFonts w:eastAsiaTheme="minorEastAsia"/>
              <w:sz w:val="20"/>
              <w:szCs w:val="20"/>
              <w:lang w:eastAsia="zh-TW"/>
            </w:rPr>
            <w:t>2</w:t>
          </w:r>
          <w:r>
            <w:rPr>
              <w:rFonts w:eastAsiaTheme="minorEastAsia"/>
              <w:sz w:val="20"/>
              <w:szCs w:val="20"/>
              <w:lang w:eastAsia="zh-TW"/>
            </w:rPr>
            <w:t>47</w:t>
          </w:r>
          <w:r w:rsidRPr="001F3E39">
            <w:rPr>
              <w:rFonts w:eastAsia="Cambria"/>
              <w:sz w:val="20"/>
              <w:szCs w:val="20"/>
            </w:rPr>
            <w:t>-</w:t>
          </w:r>
          <w:r w:rsidRPr="001F3E39">
            <w:rPr>
              <w:rFonts w:eastAsiaTheme="minorEastAsia"/>
              <w:sz w:val="20"/>
              <w:szCs w:val="20"/>
              <w:lang w:eastAsia="zh-TW"/>
            </w:rPr>
            <w:t>2</w:t>
          </w:r>
          <w:r>
            <w:rPr>
              <w:rFonts w:eastAsiaTheme="minorEastAsia" w:hint="eastAsia"/>
              <w:sz w:val="20"/>
              <w:szCs w:val="20"/>
              <w:lang w:eastAsia="zh-TW"/>
            </w:rPr>
            <w:t>72</w:t>
          </w:r>
          <w:r w:rsidRPr="001F3E39">
            <w:rPr>
              <w:rFonts w:eastAsia="Cambria"/>
              <w:sz w:val="20"/>
              <w:szCs w:val="20"/>
            </w:rPr>
            <w:t>,</w:t>
          </w:r>
          <w:r w:rsidRPr="00CD4ED3">
            <w:rPr>
              <w:rFonts w:eastAsia="Cambria"/>
              <w:sz w:val="20"/>
              <w:szCs w:val="20"/>
            </w:rPr>
            <w:t xml:space="preserve"> V</w:t>
          </w:r>
          <w:r w:rsidRPr="00CD4ED3">
            <w:rPr>
              <w:rFonts w:eastAsia="Cambria"/>
              <w:color w:val="0D0D0D"/>
              <w:sz w:val="20"/>
              <w:szCs w:val="20"/>
            </w:rPr>
            <w:t xml:space="preserve">ol. </w:t>
          </w:r>
          <w:r w:rsidRPr="00CD4ED3">
            <w:rPr>
              <w:color w:val="0D0D0D"/>
              <w:sz w:val="20"/>
              <w:szCs w:val="20"/>
            </w:rPr>
            <w:t xml:space="preserve">15, </w:t>
          </w:r>
          <w:r w:rsidRPr="00CD4ED3">
            <w:rPr>
              <w:rFonts w:eastAsia="Cambria"/>
              <w:color w:val="0D0D0D"/>
              <w:sz w:val="20"/>
              <w:szCs w:val="20"/>
            </w:rPr>
            <w:t xml:space="preserve">No. </w:t>
          </w:r>
          <w:r>
            <w:rPr>
              <w:rFonts w:eastAsia="Cambria"/>
              <w:color w:val="0D0D0D"/>
              <w:sz w:val="20"/>
              <w:szCs w:val="20"/>
            </w:rPr>
            <w:t>4</w:t>
          </w:r>
          <w:r w:rsidRPr="00CD4ED3">
            <w:rPr>
              <w:rFonts w:eastAsia="Microsoft JhengHei UI"/>
              <w:color w:val="0D0D0D"/>
              <w:sz w:val="20"/>
              <w:szCs w:val="20"/>
            </w:rPr>
            <w:t>, 2019</w:t>
          </w:r>
        </w:p>
        <w:p w14:paraId="588ADD92" w14:textId="14D63239" w:rsidR="00704C22" w:rsidRPr="00CD4ED3" w:rsidRDefault="00704C22" w:rsidP="00FC706F">
          <w:pPr>
            <w:snapToGrid w:val="0"/>
            <w:rPr>
              <w:rFonts w:eastAsia="Cambria"/>
              <w:sz w:val="20"/>
              <w:szCs w:val="20"/>
            </w:rPr>
          </w:pPr>
          <w:r w:rsidRPr="00CD4ED3">
            <w:rPr>
              <w:rFonts w:eastAsia="Cambria"/>
              <w:sz w:val="20"/>
              <w:szCs w:val="20"/>
            </w:rPr>
            <w:t>doi:10.7903/cmr.1</w:t>
          </w:r>
          <w:r w:rsidRPr="00CD4ED3">
            <w:rPr>
              <w:rFonts w:eastAsiaTheme="minorEastAsia"/>
              <w:sz w:val="20"/>
              <w:szCs w:val="20"/>
              <w:lang w:eastAsia="zh-TW"/>
            </w:rPr>
            <w:t>9</w:t>
          </w:r>
          <w:r>
            <w:rPr>
              <w:rFonts w:eastAsiaTheme="minorEastAsia"/>
              <w:sz w:val="20"/>
              <w:szCs w:val="20"/>
              <w:lang w:eastAsia="zh-TW"/>
            </w:rPr>
            <w:t>623</w:t>
          </w:r>
        </w:p>
      </w:tc>
    </w:tr>
  </w:tbl>
  <w:p w14:paraId="15AC72DA" w14:textId="77777777" w:rsidR="00704C22" w:rsidRDefault="00704C22">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DB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5F7E1C"/>
    <w:multiLevelType w:val="hybridMultilevel"/>
    <w:tmpl w:val="B4EC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E47A4"/>
    <w:multiLevelType w:val="hybridMultilevel"/>
    <w:tmpl w:val="DCC4D5F4"/>
    <w:lvl w:ilvl="0" w:tplc="10700A94">
      <w:start w:val="1"/>
      <w:numFmt w:val="decimal"/>
      <w:lvlText w:val="%1."/>
      <w:lvlJc w:val="left"/>
      <w:pPr>
        <w:ind w:left="720" w:hanging="360"/>
      </w:pPr>
      <w:rPr>
        <w:rFonts w:hint="default"/>
      </w:rPr>
    </w:lvl>
    <w:lvl w:ilvl="1" w:tplc="2C96BBE8" w:tentative="1">
      <w:start w:val="1"/>
      <w:numFmt w:val="lowerLetter"/>
      <w:lvlText w:val="%2."/>
      <w:lvlJc w:val="left"/>
      <w:pPr>
        <w:ind w:left="1440" w:hanging="360"/>
      </w:pPr>
    </w:lvl>
    <w:lvl w:ilvl="2" w:tplc="51C2E0D8" w:tentative="1">
      <w:start w:val="1"/>
      <w:numFmt w:val="lowerRoman"/>
      <w:lvlText w:val="%3."/>
      <w:lvlJc w:val="right"/>
      <w:pPr>
        <w:ind w:left="2160" w:hanging="180"/>
      </w:pPr>
    </w:lvl>
    <w:lvl w:ilvl="3" w:tplc="51F0E332" w:tentative="1">
      <w:start w:val="1"/>
      <w:numFmt w:val="decimal"/>
      <w:lvlText w:val="%4."/>
      <w:lvlJc w:val="left"/>
      <w:pPr>
        <w:ind w:left="2880" w:hanging="360"/>
      </w:pPr>
    </w:lvl>
    <w:lvl w:ilvl="4" w:tplc="897E29F6" w:tentative="1">
      <w:start w:val="1"/>
      <w:numFmt w:val="lowerLetter"/>
      <w:lvlText w:val="%5."/>
      <w:lvlJc w:val="left"/>
      <w:pPr>
        <w:ind w:left="3600" w:hanging="360"/>
      </w:pPr>
    </w:lvl>
    <w:lvl w:ilvl="5" w:tplc="33E8C4E2" w:tentative="1">
      <w:start w:val="1"/>
      <w:numFmt w:val="lowerRoman"/>
      <w:lvlText w:val="%6."/>
      <w:lvlJc w:val="right"/>
      <w:pPr>
        <w:ind w:left="4320" w:hanging="180"/>
      </w:pPr>
    </w:lvl>
    <w:lvl w:ilvl="6" w:tplc="AF8898E2" w:tentative="1">
      <w:start w:val="1"/>
      <w:numFmt w:val="decimal"/>
      <w:lvlText w:val="%7."/>
      <w:lvlJc w:val="left"/>
      <w:pPr>
        <w:ind w:left="5040" w:hanging="360"/>
      </w:pPr>
    </w:lvl>
    <w:lvl w:ilvl="7" w:tplc="BE90512C" w:tentative="1">
      <w:start w:val="1"/>
      <w:numFmt w:val="lowerLetter"/>
      <w:lvlText w:val="%8."/>
      <w:lvlJc w:val="left"/>
      <w:pPr>
        <w:ind w:left="5760" w:hanging="360"/>
      </w:pPr>
    </w:lvl>
    <w:lvl w:ilvl="8" w:tplc="7278C124" w:tentative="1">
      <w:start w:val="1"/>
      <w:numFmt w:val="lowerRoman"/>
      <w:lvlText w:val="%9."/>
      <w:lvlJc w:val="right"/>
      <w:pPr>
        <w:ind w:left="6480" w:hanging="180"/>
      </w:pPr>
    </w:lvl>
  </w:abstractNum>
  <w:abstractNum w:abstractNumId="3" w15:restartNumberingAfterBreak="0">
    <w:nsid w:val="719C3A9C"/>
    <w:multiLevelType w:val="multilevel"/>
    <w:tmpl w:val="7332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0"/>
  <w:activeWritingStyle w:appName="MSWord" w:lang="en-GB" w:vendorID="64" w:dllVersion="6" w:nlCheck="1" w:checkStyle="0"/>
  <w:activeWritingStyle w:appName="MSWord" w:lang="zh-TW"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QwMDQzNDc1MzA2MzBQ0lEKTi0uzszPAykwNKwFAKxiMr4tAAAA"/>
  </w:docVars>
  <w:rsids>
    <w:rsidRoot w:val="00984711"/>
    <w:rsid w:val="0001468C"/>
    <w:rsid w:val="00017830"/>
    <w:rsid w:val="00021DBF"/>
    <w:rsid w:val="00022165"/>
    <w:rsid w:val="000250EE"/>
    <w:rsid w:val="00036253"/>
    <w:rsid w:val="000362B4"/>
    <w:rsid w:val="00037565"/>
    <w:rsid w:val="00037668"/>
    <w:rsid w:val="000405F9"/>
    <w:rsid w:val="00040F77"/>
    <w:rsid w:val="0004230E"/>
    <w:rsid w:val="00044E39"/>
    <w:rsid w:val="00052622"/>
    <w:rsid w:val="0005378B"/>
    <w:rsid w:val="000571E2"/>
    <w:rsid w:val="00057ACD"/>
    <w:rsid w:val="00063B46"/>
    <w:rsid w:val="00075DDB"/>
    <w:rsid w:val="000866FA"/>
    <w:rsid w:val="00091EAD"/>
    <w:rsid w:val="00092EAA"/>
    <w:rsid w:val="000963BE"/>
    <w:rsid w:val="000A0138"/>
    <w:rsid w:val="000A0D1F"/>
    <w:rsid w:val="000A141D"/>
    <w:rsid w:val="000A2FCA"/>
    <w:rsid w:val="000A4488"/>
    <w:rsid w:val="000A766A"/>
    <w:rsid w:val="000C3343"/>
    <w:rsid w:val="000D10C7"/>
    <w:rsid w:val="000D31F3"/>
    <w:rsid w:val="000D4F6D"/>
    <w:rsid w:val="000E2F66"/>
    <w:rsid w:val="001079DB"/>
    <w:rsid w:val="00112AA2"/>
    <w:rsid w:val="0011375E"/>
    <w:rsid w:val="001202B5"/>
    <w:rsid w:val="0012537C"/>
    <w:rsid w:val="0012622F"/>
    <w:rsid w:val="00127E1D"/>
    <w:rsid w:val="00133CDB"/>
    <w:rsid w:val="00140125"/>
    <w:rsid w:val="00141524"/>
    <w:rsid w:val="00141679"/>
    <w:rsid w:val="0014596C"/>
    <w:rsid w:val="00151253"/>
    <w:rsid w:val="00155F1D"/>
    <w:rsid w:val="00161DC3"/>
    <w:rsid w:val="00165B05"/>
    <w:rsid w:val="00165B65"/>
    <w:rsid w:val="00166357"/>
    <w:rsid w:val="0017151D"/>
    <w:rsid w:val="00172171"/>
    <w:rsid w:val="0018383B"/>
    <w:rsid w:val="00184B93"/>
    <w:rsid w:val="00184D8B"/>
    <w:rsid w:val="00197266"/>
    <w:rsid w:val="001A4384"/>
    <w:rsid w:val="001A79D8"/>
    <w:rsid w:val="001B1089"/>
    <w:rsid w:val="001B2BB7"/>
    <w:rsid w:val="001C23C1"/>
    <w:rsid w:val="001C3707"/>
    <w:rsid w:val="001C373D"/>
    <w:rsid w:val="001C5CE5"/>
    <w:rsid w:val="001C63A8"/>
    <w:rsid w:val="001C6783"/>
    <w:rsid w:val="001D0DD1"/>
    <w:rsid w:val="001D12C4"/>
    <w:rsid w:val="001D233F"/>
    <w:rsid w:val="001D321C"/>
    <w:rsid w:val="001D3E5D"/>
    <w:rsid w:val="001D499C"/>
    <w:rsid w:val="002008C0"/>
    <w:rsid w:val="002012A6"/>
    <w:rsid w:val="00211147"/>
    <w:rsid w:val="00215B21"/>
    <w:rsid w:val="00216B58"/>
    <w:rsid w:val="00221309"/>
    <w:rsid w:val="00230B5E"/>
    <w:rsid w:val="00236973"/>
    <w:rsid w:val="0024768B"/>
    <w:rsid w:val="0025390A"/>
    <w:rsid w:val="0025693C"/>
    <w:rsid w:val="00263B98"/>
    <w:rsid w:val="00263C98"/>
    <w:rsid w:val="00264322"/>
    <w:rsid w:val="00266FFF"/>
    <w:rsid w:val="0026734C"/>
    <w:rsid w:val="0027398B"/>
    <w:rsid w:val="00277FB6"/>
    <w:rsid w:val="002832A1"/>
    <w:rsid w:val="00287588"/>
    <w:rsid w:val="00292582"/>
    <w:rsid w:val="00292FB5"/>
    <w:rsid w:val="002942DC"/>
    <w:rsid w:val="002A36F1"/>
    <w:rsid w:val="002B1D00"/>
    <w:rsid w:val="002B7B91"/>
    <w:rsid w:val="002C7A53"/>
    <w:rsid w:val="002D1EE2"/>
    <w:rsid w:val="002D5EB1"/>
    <w:rsid w:val="002D7E29"/>
    <w:rsid w:val="002E199D"/>
    <w:rsid w:val="002F2C48"/>
    <w:rsid w:val="002F65E1"/>
    <w:rsid w:val="002F73E4"/>
    <w:rsid w:val="00302C77"/>
    <w:rsid w:val="00314D58"/>
    <w:rsid w:val="00317639"/>
    <w:rsid w:val="0031791F"/>
    <w:rsid w:val="00332F16"/>
    <w:rsid w:val="00335FFD"/>
    <w:rsid w:val="00340B99"/>
    <w:rsid w:val="003615FD"/>
    <w:rsid w:val="003643A0"/>
    <w:rsid w:val="0036525D"/>
    <w:rsid w:val="00371F2C"/>
    <w:rsid w:val="00374263"/>
    <w:rsid w:val="00375DD8"/>
    <w:rsid w:val="003861BC"/>
    <w:rsid w:val="003A1E6A"/>
    <w:rsid w:val="003B010B"/>
    <w:rsid w:val="003B0C95"/>
    <w:rsid w:val="003B2EBC"/>
    <w:rsid w:val="003C0FA8"/>
    <w:rsid w:val="003C42BB"/>
    <w:rsid w:val="003C4D68"/>
    <w:rsid w:val="003D31A6"/>
    <w:rsid w:val="003D39DC"/>
    <w:rsid w:val="003D5346"/>
    <w:rsid w:val="003E2902"/>
    <w:rsid w:val="003E4E15"/>
    <w:rsid w:val="003E56A6"/>
    <w:rsid w:val="003E6FE8"/>
    <w:rsid w:val="003F45C5"/>
    <w:rsid w:val="0040015F"/>
    <w:rsid w:val="00402209"/>
    <w:rsid w:val="00402411"/>
    <w:rsid w:val="00403996"/>
    <w:rsid w:val="00410031"/>
    <w:rsid w:val="004123EC"/>
    <w:rsid w:val="00421CAD"/>
    <w:rsid w:val="00425866"/>
    <w:rsid w:val="00426D9A"/>
    <w:rsid w:val="00427FDC"/>
    <w:rsid w:val="0043299C"/>
    <w:rsid w:val="00450C73"/>
    <w:rsid w:val="00450EC4"/>
    <w:rsid w:val="004647CB"/>
    <w:rsid w:val="00464CBA"/>
    <w:rsid w:val="00472264"/>
    <w:rsid w:val="004813D8"/>
    <w:rsid w:val="00481725"/>
    <w:rsid w:val="00481A16"/>
    <w:rsid w:val="00483E2E"/>
    <w:rsid w:val="00484AC1"/>
    <w:rsid w:val="00493C44"/>
    <w:rsid w:val="0049415C"/>
    <w:rsid w:val="004944E5"/>
    <w:rsid w:val="004949B9"/>
    <w:rsid w:val="00494CCB"/>
    <w:rsid w:val="00497BCD"/>
    <w:rsid w:val="004B6671"/>
    <w:rsid w:val="004B715D"/>
    <w:rsid w:val="004C23C2"/>
    <w:rsid w:val="004C27D1"/>
    <w:rsid w:val="004C3452"/>
    <w:rsid w:val="004C4AB9"/>
    <w:rsid w:val="004C54B5"/>
    <w:rsid w:val="004C7CCF"/>
    <w:rsid w:val="004D22A5"/>
    <w:rsid w:val="004D5715"/>
    <w:rsid w:val="004E1BBD"/>
    <w:rsid w:val="004E4BF4"/>
    <w:rsid w:val="004E52FF"/>
    <w:rsid w:val="004E6AF9"/>
    <w:rsid w:val="004E7286"/>
    <w:rsid w:val="004E7CC8"/>
    <w:rsid w:val="004F072D"/>
    <w:rsid w:val="004F2C7F"/>
    <w:rsid w:val="004F44B6"/>
    <w:rsid w:val="004F4F89"/>
    <w:rsid w:val="00500EC7"/>
    <w:rsid w:val="00503BF6"/>
    <w:rsid w:val="0051205D"/>
    <w:rsid w:val="00513407"/>
    <w:rsid w:val="005264E4"/>
    <w:rsid w:val="00530F9E"/>
    <w:rsid w:val="00536C31"/>
    <w:rsid w:val="00541697"/>
    <w:rsid w:val="00541D18"/>
    <w:rsid w:val="005428B7"/>
    <w:rsid w:val="00542BA1"/>
    <w:rsid w:val="00556829"/>
    <w:rsid w:val="0055796B"/>
    <w:rsid w:val="005807E2"/>
    <w:rsid w:val="0058232E"/>
    <w:rsid w:val="005826B4"/>
    <w:rsid w:val="00584E3B"/>
    <w:rsid w:val="00594ED8"/>
    <w:rsid w:val="00595086"/>
    <w:rsid w:val="005A7E76"/>
    <w:rsid w:val="005B12E0"/>
    <w:rsid w:val="005B1722"/>
    <w:rsid w:val="005B32C1"/>
    <w:rsid w:val="005B4C42"/>
    <w:rsid w:val="005B587B"/>
    <w:rsid w:val="005C5222"/>
    <w:rsid w:val="005C665F"/>
    <w:rsid w:val="005C722C"/>
    <w:rsid w:val="005D0953"/>
    <w:rsid w:val="005D10A5"/>
    <w:rsid w:val="005E51CB"/>
    <w:rsid w:val="005E54AD"/>
    <w:rsid w:val="005E72D6"/>
    <w:rsid w:val="005F19AC"/>
    <w:rsid w:val="005F2416"/>
    <w:rsid w:val="005F2DEA"/>
    <w:rsid w:val="005F45F3"/>
    <w:rsid w:val="005F4D08"/>
    <w:rsid w:val="005F6125"/>
    <w:rsid w:val="006009C4"/>
    <w:rsid w:val="00604EF0"/>
    <w:rsid w:val="00605826"/>
    <w:rsid w:val="00610112"/>
    <w:rsid w:val="006135F7"/>
    <w:rsid w:val="00614194"/>
    <w:rsid w:val="006236B0"/>
    <w:rsid w:val="006256E0"/>
    <w:rsid w:val="00637EE5"/>
    <w:rsid w:val="00643243"/>
    <w:rsid w:val="0064466E"/>
    <w:rsid w:val="00644F12"/>
    <w:rsid w:val="00653F28"/>
    <w:rsid w:val="00654150"/>
    <w:rsid w:val="00672923"/>
    <w:rsid w:val="00681CA1"/>
    <w:rsid w:val="006838D2"/>
    <w:rsid w:val="00686A29"/>
    <w:rsid w:val="00696574"/>
    <w:rsid w:val="006A78DB"/>
    <w:rsid w:val="006B3C43"/>
    <w:rsid w:val="006B5401"/>
    <w:rsid w:val="006C00A8"/>
    <w:rsid w:val="006C344F"/>
    <w:rsid w:val="006D7228"/>
    <w:rsid w:val="006E3B15"/>
    <w:rsid w:val="006F018E"/>
    <w:rsid w:val="006F1E9F"/>
    <w:rsid w:val="0070225B"/>
    <w:rsid w:val="00704A1A"/>
    <w:rsid w:val="00704C22"/>
    <w:rsid w:val="007073CE"/>
    <w:rsid w:val="00711DFF"/>
    <w:rsid w:val="00711E2C"/>
    <w:rsid w:val="00712656"/>
    <w:rsid w:val="00713E92"/>
    <w:rsid w:val="00716210"/>
    <w:rsid w:val="00716E73"/>
    <w:rsid w:val="007208F1"/>
    <w:rsid w:val="00722FD3"/>
    <w:rsid w:val="00724F8B"/>
    <w:rsid w:val="00727373"/>
    <w:rsid w:val="00732AAC"/>
    <w:rsid w:val="0073333D"/>
    <w:rsid w:val="00733431"/>
    <w:rsid w:val="00744A16"/>
    <w:rsid w:val="00746D88"/>
    <w:rsid w:val="00752EF1"/>
    <w:rsid w:val="0076174F"/>
    <w:rsid w:val="00762AFB"/>
    <w:rsid w:val="00770700"/>
    <w:rsid w:val="00772C21"/>
    <w:rsid w:val="007810A9"/>
    <w:rsid w:val="00786B9C"/>
    <w:rsid w:val="007915E3"/>
    <w:rsid w:val="007933F7"/>
    <w:rsid w:val="007A2D89"/>
    <w:rsid w:val="007A38FF"/>
    <w:rsid w:val="007B51DB"/>
    <w:rsid w:val="007C5CAF"/>
    <w:rsid w:val="007C5E21"/>
    <w:rsid w:val="007C66F0"/>
    <w:rsid w:val="007C7119"/>
    <w:rsid w:val="007E6056"/>
    <w:rsid w:val="007E69E9"/>
    <w:rsid w:val="007F51B9"/>
    <w:rsid w:val="00804005"/>
    <w:rsid w:val="00805C00"/>
    <w:rsid w:val="008130A7"/>
    <w:rsid w:val="00820A8D"/>
    <w:rsid w:val="00820BE2"/>
    <w:rsid w:val="00826EEE"/>
    <w:rsid w:val="00834ACB"/>
    <w:rsid w:val="008500AD"/>
    <w:rsid w:val="00851827"/>
    <w:rsid w:val="00855939"/>
    <w:rsid w:val="0085593A"/>
    <w:rsid w:val="00860FE9"/>
    <w:rsid w:val="0086112E"/>
    <w:rsid w:val="008631C5"/>
    <w:rsid w:val="00865F63"/>
    <w:rsid w:val="00873AC1"/>
    <w:rsid w:val="00877B6C"/>
    <w:rsid w:val="0088086B"/>
    <w:rsid w:val="00895B79"/>
    <w:rsid w:val="00896E21"/>
    <w:rsid w:val="00897129"/>
    <w:rsid w:val="008A3B24"/>
    <w:rsid w:val="008A4ED9"/>
    <w:rsid w:val="008A6AEB"/>
    <w:rsid w:val="008A7332"/>
    <w:rsid w:val="008A79E2"/>
    <w:rsid w:val="008B7C09"/>
    <w:rsid w:val="008C17B8"/>
    <w:rsid w:val="008C4EDC"/>
    <w:rsid w:val="008D0150"/>
    <w:rsid w:val="008D39E4"/>
    <w:rsid w:val="008D7ED0"/>
    <w:rsid w:val="008E2CF5"/>
    <w:rsid w:val="008E57AA"/>
    <w:rsid w:val="008F14DA"/>
    <w:rsid w:val="008F39C6"/>
    <w:rsid w:val="008F3C67"/>
    <w:rsid w:val="009002A4"/>
    <w:rsid w:val="009074BF"/>
    <w:rsid w:val="00907CBB"/>
    <w:rsid w:val="00911D74"/>
    <w:rsid w:val="00912AD3"/>
    <w:rsid w:val="009205DD"/>
    <w:rsid w:val="00921027"/>
    <w:rsid w:val="00925BAF"/>
    <w:rsid w:val="00927A81"/>
    <w:rsid w:val="009320E4"/>
    <w:rsid w:val="00933C07"/>
    <w:rsid w:val="00940D4D"/>
    <w:rsid w:val="009434BA"/>
    <w:rsid w:val="009501C1"/>
    <w:rsid w:val="0095140C"/>
    <w:rsid w:val="009556DF"/>
    <w:rsid w:val="009577FA"/>
    <w:rsid w:val="00960E27"/>
    <w:rsid w:val="00961BA7"/>
    <w:rsid w:val="009625F9"/>
    <w:rsid w:val="009720AE"/>
    <w:rsid w:val="00972A41"/>
    <w:rsid w:val="00981D55"/>
    <w:rsid w:val="00984711"/>
    <w:rsid w:val="00993A5C"/>
    <w:rsid w:val="009A04D9"/>
    <w:rsid w:val="009A0756"/>
    <w:rsid w:val="009A36AF"/>
    <w:rsid w:val="009A62EE"/>
    <w:rsid w:val="009A6BCA"/>
    <w:rsid w:val="009A70F5"/>
    <w:rsid w:val="009D00FE"/>
    <w:rsid w:val="009E7A07"/>
    <w:rsid w:val="009F1C0F"/>
    <w:rsid w:val="009F3ABA"/>
    <w:rsid w:val="00A04234"/>
    <w:rsid w:val="00A125B8"/>
    <w:rsid w:val="00A13943"/>
    <w:rsid w:val="00A16CC9"/>
    <w:rsid w:val="00A27345"/>
    <w:rsid w:val="00A3435E"/>
    <w:rsid w:val="00A347E7"/>
    <w:rsid w:val="00A50693"/>
    <w:rsid w:val="00A5528A"/>
    <w:rsid w:val="00A5570D"/>
    <w:rsid w:val="00A56DC7"/>
    <w:rsid w:val="00A75ADE"/>
    <w:rsid w:val="00A768D6"/>
    <w:rsid w:val="00A87065"/>
    <w:rsid w:val="00AA0E71"/>
    <w:rsid w:val="00AA2D26"/>
    <w:rsid w:val="00AB12C6"/>
    <w:rsid w:val="00AC32B5"/>
    <w:rsid w:val="00AD31C2"/>
    <w:rsid w:val="00AD574D"/>
    <w:rsid w:val="00AE01B0"/>
    <w:rsid w:val="00AF1226"/>
    <w:rsid w:val="00AF1983"/>
    <w:rsid w:val="00AF3028"/>
    <w:rsid w:val="00B03497"/>
    <w:rsid w:val="00B05EA0"/>
    <w:rsid w:val="00B06B0F"/>
    <w:rsid w:val="00B07128"/>
    <w:rsid w:val="00B10EA3"/>
    <w:rsid w:val="00B17DED"/>
    <w:rsid w:val="00B20BB9"/>
    <w:rsid w:val="00B26BAE"/>
    <w:rsid w:val="00B26FD4"/>
    <w:rsid w:val="00B32980"/>
    <w:rsid w:val="00B35F24"/>
    <w:rsid w:val="00B40565"/>
    <w:rsid w:val="00B55E92"/>
    <w:rsid w:val="00B564C8"/>
    <w:rsid w:val="00B6032F"/>
    <w:rsid w:val="00B6046B"/>
    <w:rsid w:val="00B63234"/>
    <w:rsid w:val="00B638D1"/>
    <w:rsid w:val="00B7079E"/>
    <w:rsid w:val="00B7173A"/>
    <w:rsid w:val="00B72D70"/>
    <w:rsid w:val="00BA27B4"/>
    <w:rsid w:val="00BA30B8"/>
    <w:rsid w:val="00BA7F78"/>
    <w:rsid w:val="00BB4A54"/>
    <w:rsid w:val="00BB4ADC"/>
    <w:rsid w:val="00BC236A"/>
    <w:rsid w:val="00BD03F3"/>
    <w:rsid w:val="00BD0B93"/>
    <w:rsid w:val="00BD2C01"/>
    <w:rsid w:val="00BD33E3"/>
    <w:rsid w:val="00BD65DD"/>
    <w:rsid w:val="00BF1516"/>
    <w:rsid w:val="00BF3594"/>
    <w:rsid w:val="00BF472F"/>
    <w:rsid w:val="00C049AD"/>
    <w:rsid w:val="00C060B5"/>
    <w:rsid w:val="00C10289"/>
    <w:rsid w:val="00C1201A"/>
    <w:rsid w:val="00C1362B"/>
    <w:rsid w:val="00C14C30"/>
    <w:rsid w:val="00C25671"/>
    <w:rsid w:val="00C3024F"/>
    <w:rsid w:val="00C31181"/>
    <w:rsid w:val="00C3216B"/>
    <w:rsid w:val="00C321F9"/>
    <w:rsid w:val="00C3794B"/>
    <w:rsid w:val="00C41B66"/>
    <w:rsid w:val="00C44285"/>
    <w:rsid w:val="00C46714"/>
    <w:rsid w:val="00C5099B"/>
    <w:rsid w:val="00C5409B"/>
    <w:rsid w:val="00C6152E"/>
    <w:rsid w:val="00C65DDC"/>
    <w:rsid w:val="00C6608C"/>
    <w:rsid w:val="00C66E21"/>
    <w:rsid w:val="00C70130"/>
    <w:rsid w:val="00C709EC"/>
    <w:rsid w:val="00C8208C"/>
    <w:rsid w:val="00C9462C"/>
    <w:rsid w:val="00C96221"/>
    <w:rsid w:val="00CA00AB"/>
    <w:rsid w:val="00CB2111"/>
    <w:rsid w:val="00CC40DC"/>
    <w:rsid w:val="00CD0A6D"/>
    <w:rsid w:val="00CD13EC"/>
    <w:rsid w:val="00CD6C7C"/>
    <w:rsid w:val="00CF21BE"/>
    <w:rsid w:val="00CF517D"/>
    <w:rsid w:val="00CF6D0E"/>
    <w:rsid w:val="00D0099D"/>
    <w:rsid w:val="00D1509F"/>
    <w:rsid w:val="00D16892"/>
    <w:rsid w:val="00D17145"/>
    <w:rsid w:val="00D25B5F"/>
    <w:rsid w:val="00D30491"/>
    <w:rsid w:val="00D41C6D"/>
    <w:rsid w:val="00D42BF5"/>
    <w:rsid w:val="00D4448E"/>
    <w:rsid w:val="00D453AE"/>
    <w:rsid w:val="00D474B0"/>
    <w:rsid w:val="00D476DC"/>
    <w:rsid w:val="00D50038"/>
    <w:rsid w:val="00D51249"/>
    <w:rsid w:val="00D52D66"/>
    <w:rsid w:val="00D651C8"/>
    <w:rsid w:val="00D67276"/>
    <w:rsid w:val="00D673CC"/>
    <w:rsid w:val="00D710AC"/>
    <w:rsid w:val="00D71239"/>
    <w:rsid w:val="00D75A2F"/>
    <w:rsid w:val="00D778D2"/>
    <w:rsid w:val="00D87B2C"/>
    <w:rsid w:val="00D92564"/>
    <w:rsid w:val="00D9791F"/>
    <w:rsid w:val="00D97D15"/>
    <w:rsid w:val="00DA0268"/>
    <w:rsid w:val="00DA05D2"/>
    <w:rsid w:val="00DA55EF"/>
    <w:rsid w:val="00DB1E45"/>
    <w:rsid w:val="00DC052A"/>
    <w:rsid w:val="00DC73A5"/>
    <w:rsid w:val="00DD2A37"/>
    <w:rsid w:val="00DD40F1"/>
    <w:rsid w:val="00DE00F1"/>
    <w:rsid w:val="00DE6291"/>
    <w:rsid w:val="00E0092C"/>
    <w:rsid w:val="00E02DAF"/>
    <w:rsid w:val="00E176DC"/>
    <w:rsid w:val="00E24416"/>
    <w:rsid w:val="00E34572"/>
    <w:rsid w:val="00E354B7"/>
    <w:rsid w:val="00E365A0"/>
    <w:rsid w:val="00E438E1"/>
    <w:rsid w:val="00E55AA8"/>
    <w:rsid w:val="00E55EC7"/>
    <w:rsid w:val="00E56F2D"/>
    <w:rsid w:val="00E57A01"/>
    <w:rsid w:val="00E66C3B"/>
    <w:rsid w:val="00E71F2F"/>
    <w:rsid w:val="00E72314"/>
    <w:rsid w:val="00E8347A"/>
    <w:rsid w:val="00E92A5F"/>
    <w:rsid w:val="00E96AEF"/>
    <w:rsid w:val="00EA00E0"/>
    <w:rsid w:val="00EA6450"/>
    <w:rsid w:val="00EA6628"/>
    <w:rsid w:val="00EB3215"/>
    <w:rsid w:val="00EB6A28"/>
    <w:rsid w:val="00EC26E7"/>
    <w:rsid w:val="00EC4F95"/>
    <w:rsid w:val="00ED12C4"/>
    <w:rsid w:val="00ED2498"/>
    <w:rsid w:val="00ED36BD"/>
    <w:rsid w:val="00ED60CD"/>
    <w:rsid w:val="00EE0CA9"/>
    <w:rsid w:val="00EE457B"/>
    <w:rsid w:val="00EF1D14"/>
    <w:rsid w:val="00EF24BB"/>
    <w:rsid w:val="00F00459"/>
    <w:rsid w:val="00F028F5"/>
    <w:rsid w:val="00F064A9"/>
    <w:rsid w:val="00F06F33"/>
    <w:rsid w:val="00F102B5"/>
    <w:rsid w:val="00F22D6A"/>
    <w:rsid w:val="00F23E54"/>
    <w:rsid w:val="00F51BEB"/>
    <w:rsid w:val="00F5202D"/>
    <w:rsid w:val="00F5307E"/>
    <w:rsid w:val="00F60862"/>
    <w:rsid w:val="00F74F07"/>
    <w:rsid w:val="00F75442"/>
    <w:rsid w:val="00F777E1"/>
    <w:rsid w:val="00F830F9"/>
    <w:rsid w:val="00FA0843"/>
    <w:rsid w:val="00FA5E28"/>
    <w:rsid w:val="00FA6173"/>
    <w:rsid w:val="00FA66E0"/>
    <w:rsid w:val="00FA6EFC"/>
    <w:rsid w:val="00FA7879"/>
    <w:rsid w:val="00FB2BBE"/>
    <w:rsid w:val="00FB5782"/>
    <w:rsid w:val="00FC13F5"/>
    <w:rsid w:val="00FC2391"/>
    <w:rsid w:val="00FC706F"/>
    <w:rsid w:val="00FD1BB0"/>
    <w:rsid w:val="00FD21B7"/>
    <w:rsid w:val="00FD2380"/>
    <w:rsid w:val="00FD5DB0"/>
    <w:rsid w:val="00FD6210"/>
    <w:rsid w:val="00FD6F4C"/>
    <w:rsid w:val="00FE374F"/>
    <w:rsid w:val="00FE4DC6"/>
    <w:rsid w:val="00FE75A8"/>
    <w:rsid w:val="00FF510B"/>
  </w:rsids>
  <m:mathPr>
    <m:mathFont m:val="Cambria Math"/>
    <m:brkBin m:val="before"/>
    <m:brkBinSub m:val="--"/>
    <m:smallFrac m:val="0"/>
    <m:dispDef m:val="0"/>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34C379"/>
  <w14:defaultImageDpi w14:val="330"/>
  <w15:chartTrackingRefBased/>
  <w15:docId w15:val="{3110A7C4-1871-4306-B54F-37DFBCC3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Helvetica"/>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98B"/>
    <w:rPr>
      <w:rFonts w:ascii="Times New Roman" w:eastAsia="Times New Roman" w:hAnsi="Times New Roman" w:cs="Times New Roman"/>
      <w:sz w:val="24"/>
      <w:szCs w:val="24"/>
      <w:lang w:eastAsia="en-US"/>
    </w:rPr>
  </w:style>
  <w:style w:type="paragraph" w:styleId="1">
    <w:name w:val="heading 1"/>
    <w:basedOn w:val="10"/>
    <w:next w:val="10"/>
    <w:link w:val="11"/>
    <w:uiPriority w:val="9"/>
    <w:qFormat/>
    <w:rsid w:val="002E199D"/>
    <w:pPr>
      <w:keepNext/>
      <w:keepLines/>
      <w:spacing w:before="200"/>
      <w:contextualSpacing/>
      <w:outlineLvl w:val="0"/>
    </w:pPr>
    <w:rPr>
      <w:rFonts w:ascii="Times New Roman" w:eastAsia="Trebuchet MS" w:hAnsi="Times New Roman" w:cs="Times New Roman"/>
      <w:sz w:val="32"/>
      <w:szCs w:val="32"/>
      <w:lang w:val="x-none" w:eastAsia="x-none"/>
    </w:rPr>
  </w:style>
  <w:style w:type="paragraph" w:styleId="2">
    <w:name w:val="heading 2"/>
    <w:basedOn w:val="a"/>
    <w:next w:val="10"/>
    <w:link w:val="20"/>
    <w:qFormat/>
    <w:rsid w:val="002E199D"/>
    <w:pPr>
      <w:spacing w:before="120" w:after="120"/>
      <w:outlineLvl w:val="1"/>
    </w:pPr>
    <w:rPr>
      <w:rFonts w:eastAsia="Songti SC Regular"/>
      <w:i/>
    </w:rPr>
  </w:style>
  <w:style w:type="paragraph" w:styleId="3">
    <w:name w:val="heading 3"/>
    <w:basedOn w:val="2"/>
    <w:next w:val="10"/>
    <w:link w:val="30"/>
    <w:qFormat/>
    <w:rsid w:val="005E54AD"/>
    <w:pPr>
      <w:jc w:val="both"/>
      <w:outlineLvl w:val="2"/>
    </w:pPr>
    <w:rPr>
      <w:sz w:val="22"/>
      <w:szCs w:val="22"/>
    </w:rPr>
  </w:style>
  <w:style w:type="paragraph" w:styleId="4">
    <w:name w:val="heading 4"/>
    <w:basedOn w:val="10"/>
    <w:next w:val="10"/>
    <w:link w:val="40"/>
    <w:qFormat/>
    <w:rsid w:val="00984711"/>
    <w:pPr>
      <w:keepNext/>
      <w:keepLines/>
      <w:spacing w:before="160"/>
      <w:contextualSpacing/>
      <w:outlineLvl w:val="3"/>
    </w:pPr>
    <w:rPr>
      <w:rFonts w:ascii="Trebuchet MS" w:eastAsia="Trebuchet MS" w:hAnsi="Trebuchet MS" w:cs="Times New Roman"/>
      <w:color w:val="666666"/>
      <w:u w:val="single"/>
      <w:lang w:val="x-none" w:eastAsia="x-none"/>
    </w:rPr>
  </w:style>
  <w:style w:type="paragraph" w:styleId="5">
    <w:name w:val="heading 5"/>
    <w:basedOn w:val="10"/>
    <w:next w:val="10"/>
    <w:link w:val="50"/>
    <w:qFormat/>
    <w:rsid w:val="00984711"/>
    <w:pPr>
      <w:keepNext/>
      <w:keepLines/>
      <w:spacing w:before="160"/>
      <w:contextualSpacing/>
      <w:outlineLvl w:val="4"/>
    </w:pPr>
    <w:rPr>
      <w:rFonts w:ascii="Trebuchet MS" w:eastAsia="Trebuchet MS" w:hAnsi="Trebuchet MS" w:cs="Times New Roman"/>
      <w:color w:val="666666"/>
      <w:lang w:val="x-none" w:eastAsia="x-none"/>
    </w:rPr>
  </w:style>
  <w:style w:type="paragraph" w:styleId="6">
    <w:name w:val="heading 6"/>
    <w:basedOn w:val="10"/>
    <w:next w:val="10"/>
    <w:link w:val="60"/>
    <w:qFormat/>
    <w:rsid w:val="00984711"/>
    <w:pPr>
      <w:keepNext/>
      <w:keepLines/>
      <w:spacing w:before="160"/>
      <w:contextualSpacing/>
      <w:outlineLvl w:val="5"/>
    </w:pPr>
    <w:rPr>
      <w:rFonts w:ascii="Trebuchet MS" w:eastAsia="Trebuchet MS" w:hAnsi="Trebuchet MS" w:cs="Times New Roman"/>
      <w:i/>
      <w:color w:val="66666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984711"/>
    <w:pPr>
      <w:spacing w:line="276" w:lineRule="auto"/>
    </w:pPr>
    <w:rPr>
      <w:color w:val="000000"/>
      <w:sz w:val="22"/>
      <w:szCs w:val="22"/>
      <w:lang w:eastAsia="en-US"/>
    </w:rPr>
  </w:style>
  <w:style w:type="paragraph" w:styleId="a3">
    <w:name w:val="Title"/>
    <w:basedOn w:val="10"/>
    <w:next w:val="10"/>
    <w:link w:val="a4"/>
    <w:qFormat/>
    <w:rsid w:val="00984711"/>
    <w:pPr>
      <w:keepNext/>
      <w:keepLines/>
      <w:contextualSpacing/>
    </w:pPr>
    <w:rPr>
      <w:rFonts w:ascii="Trebuchet MS" w:eastAsia="Trebuchet MS" w:hAnsi="Trebuchet MS" w:cs="Times New Roman"/>
      <w:sz w:val="42"/>
      <w:szCs w:val="42"/>
      <w:lang w:val="x-none" w:eastAsia="x-none"/>
    </w:rPr>
  </w:style>
  <w:style w:type="paragraph" w:styleId="a5">
    <w:name w:val="Subtitle"/>
    <w:basedOn w:val="10"/>
    <w:next w:val="10"/>
    <w:link w:val="a6"/>
    <w:qFormat/>
    <w:rsid w:val="00984711"/>
    <w:pPr>
      <w:keepNext/>
      <w:keepLines/>
      <w:spacing w:after="200"/>
      <w:contextualSpacing/>
    </w:pPr>
    <w:rPr>
      <w:rFonts w:ascii="Trebuchet MS" w:eastAsia="Trebuchet MS" w:hAnsi="Trebuchet MS" w:cs="Times New Roman"/>
      <w:i/>
      <w:color w:val="666666"/>
      <w:sz w:val="26"/>
      <w:szCs w:val="26"/>
      <w:lang w:val="x-none" w:eastAsia="x-none"/>
    </w:rPr>
  </w:style>
  <w:style w:type="paragraph" w:styleId="a7">
    <w:name w:val="annotation text"/>
    <w:basedOn w:val="a"/>
    <w:link w:val="a8"/>
    <w:uiPriority w:val="99"/>
    <w:semiHidden/>
    <w:unhideWhenUsed/>
    <w:rsid w:val="00984711"/>
    <w:rPr>
      <w:lang w:val="x-none" w:eastAsia="x-none"/>
    </w:rPr>
  </w:style>
  <w:style w:type="character" w:customStyle="1" w:styleId="a8">
    <w:name w:val="註解文字 字元"/>
    <w:link w:val="a7"/>
    <w:uiPriority w:val="99"/>
    <w:semiHidden/>
    <w:rsid w:val="00984711"/>
    <w:rPr>
      <w:sz w:val="24"/>
      <w:szCs w:val="24"/>
    </w:rPr>
  </w:style>
  <w:style w:type="character" w:styleId="a9">
    <w:name w:val="annotation reference"/>
    <w:uiPriority w:val="99"/>
    <w:semiHidden/>
    <w:unhideWhenUsed/>
    <w:rsid w:val="00984711"/>
    <w:rPr>
      <w:sz w:val="18"/>
      <w:szCs w:val="18"/>
    </w:rPr>
  </w:style>
  <w:style w:type="paragraph" w:styleId="aa">
    <w:name w:val="Balloon Text"/>
    <w:basedOn w:val="a"/>
    <w:link w:val="ab"/>
    <w:uiPriority w:val="99"/>
    <w:semiHidden/>
    <w:unhideWhenUsed/>
    <w:rsid w:val="0017372B"/>
    <w:rPr>
      <w:rFonts w:ascii="Lucida Grande" w:hAnsi="Lucida Grande"/>
      <w:sz w:val="18"/>
      <w:szCs w:val="18"/>
      <w:lang w:val="x-none" w:eastAsia="x-none"/>
    </w:rPr>
  </w:style>
  <w:style w:type="character" w:customStyle="1" w:styleId="ab">
    <w:name w:val="註解方塊文字 字元"/>
    <w:link w:val="aa"/>
    <w:uiPriority w:val="99"/>
    <w:semiHidden/>
    <w:rsid w:val="0017372B"/>
    <w:rPr>
      <w:rFonts w:ascii="Lucida Grande" w:hAnsi="Lucida Grande"/>
      <w:sz w:val="18"/>
      <w:szCs w:val="18"/>
    </w:rPr>
  </w:style>
  <w:style w:type="character" w:customStyle="1" w:styleId="11">
    <w:name w:val="標題 1 字元"/>
    <w:link w:val="1"/>
    <w:uiPriority w:val="9"/>
    <w:rsid w:val="002E199D"/>
    <w:rPr>
      <w:rFonts w:ascii="Times New Roman" w:eastAsia="Trebuchet MS" w:hAnsi="Times New Roman" w:cs="Times New Roman"/>
      <w:color w:val="000000"/>
      <w:sz w:val="32"/>
      <w:szCs w:val="32"/>
      <w:lang w:val="x-none" w:eastAsia="x-none"/>
    </w:rPr>
  </w:style>
  <w:style w:type="character" w:customStyle="1" w:styleId="20">
    <w:name w:val="標題 2 字元"/>
    <w:link w:val="2"/>
    <w:rsid w:val="002E199D"/>
    <w:rPr>
      <w:rFonts w:ascii="Times New Roman" w:eastAsia="Songti SC Regular" w:hAnsi="Times New Roman" w:cs="Times New Roman"/>
      <w:i/>
      <w:color w:val="000000"/>
      <w:sz w:val="24"/>
      <w:szCs w:val="24"/>
    </w:rPr>
  </w:style>
  <w:style w:type="character" w:customStyle="1" w:styleId="30">
    <w:name w:val="標題 3 字元"/>
    <w:link w:val="3"/>
    <w:rsid w:val="005E54AD"/>
    <w:rPr>
      <w:rFonts w:ascii="Times New Roman" w:eastAsia="Songti SC Regular" w:hAnsi="Times New Roman" w:cs="Times New Roman"/>
      <w:i/>
      <w:color w:val="000000"/>
      <w:sz w:val="22"/>
      <w:szCs w:val="22"/>
    </w:rPr>
  </w:style>
  <w:style w:type="character" w:customStyle="1" w:styleId="40">
    <w:name w:val="標題 4 字元"/>
    <w:link w:val="4"/>
    <w:rsid w:val="00025AF3"/>
    <w:rPr>
      <w:rFonts w:ascii="Trebuchet MS" w:eastAsia="Trebuchet MS" w:hAnsi="Trebuchet MS" w:cs="Trebuchet MS"/>
      <w:color w:val="666666"/>
      <w:sz w:val="22"/>
      <w:szCs w:val="22"/>
      <w:u w:val="single"/>
    </w:rPr>
  </w:style>
  <w:style w:type="character" w:customStyle="1" w:styleId="50">
    <w:name w:val="標題 5 字元"/>
    <w:link w:val="5"/>
    <w:rsid w:val="00025AF3"/>
    <w:rPr>
      <w:rFonts w:ascii="Trebuchet MS" w:eastAsia="Trebuchet MS" w:hAnsi="Trebuchet MS" w:cs="Trebuchet MS"/>
      <w:color w:val="666666"/>
      <w:sz w:val="22"/>
      <w:szCs w:val="22"/>
    </w:rPr>
  </w:style>
  <w:style w:type="character" w:customStyle="1" w:styleId="60">
    <w:name w:val="標題 6 字元"/>
    <w:link w:val="6"/>
    <w:rsid w:val="00025AF3"/>
    <w:rPr>
      <w:rFonts w:ascii="Trebuchet MS" w:eastAsia="Trebuchet MS" w:hAnsi="Trebuchet MS" w:cs="Trebuchet MS"/>
      <w:i/>
      <w:color w:val="666666"/>
      <w:sz w:val="22"/>
      <w:szCs w:val="22"/>
    </w:rPr>
  </w:style>
  <w:style w:type="character" w:customStyle="1" w:styleId="a4">
    <w:name w:val="標題 字元"/>
    <w:link w:val="a3"/>
    <w:rsid w:val="00025AF3"/>
    <w:rPr>
      <w:rFonts w:ascii="Trebuchet MS" w:eastAsia="Trebuchet MS" w:hAnsi="Trebuchet MS" w:cs="Trebuchet MS"/>
      <w:color w:val="000000"/>
      <w:sz w:val="42"/>
      <w:szCs w:val="42"/>
    </w:rPr>
  </w:style>
  <w:style w:type="character" w:customStyle="1" w:styleId="a6">
    <w:name w:val="副標題 字元"/>
    <w:link w:val="a5"/>
    <w:rsid w:val="00025AF3"/>
    <w:rPr>
      <w:rFonts w:ascii="Trebuchet MS" w:eastAsia="Trebuchet MS" w:hAnsi="Trebuchet MS" w:cs="Trebuchet MS"/>
      <w:i/>
      <w:color w:val="666666"/>
      <w:sz w:val="26"/>
      <w:szCs w:val="26"/>
    </w:rPr>
  </w:style>
  <w:style w:type="paragraph" w:styleId="ac">
    <w:name w:val="annotation subject"/>
    <w:basedOn w:val="a7"/>
    <w:next w:val="a7"/>
    <w:link w:val="ad"/>
    <w:rsid w:val="001A1742"/>
    <w:pPr>
      <w:spacing w:line="276" w:lineRule="auto"/>
    </w:pPr>
    <w:rPr>
      <w:b/>
      <w:bCs/>
      <w:color w:val="000000"/>
    </w:rPr>
  </w:style>
  <w:style w:type="character" w:customStyle="1" w:styleId="ad">
    <w:name w:val="註解主旨 字元"/>
    <w:link w:val="ac"/>
    <w:rsid w:val="001A1742"/>
    <w:rPr>
      <w:b/>
      <w:bCs/>
      <w:color w:val="000000"/>
      <w:sz w:val="24"/>
      <w:szCs w:val="24"/>
    </w:rPr>
  </w:style>
  <w:style w:type="character" w:customStyle="1" w:styleId="titleauthoretc">
    <w:name w:val="titleauthoretc"/>
    <w:rsid w:val="001A1742"/>
  </w:style>
  <w:style w:type="character" w:styleId="ae">
    <w:name w:val="Hyperlink"/>
    <w:uiPriority w:val="99"/>
    <w:unhideWhenUsed/>
    <w:rsid w:val="001A1742"/>
    <w:rPr>
      <w:color w:val="0000FF"/>
      <w:u w:val="single"/>
    </w:rPr>
  </w:style>
  <w:style w:type="character" w:styleId="af">
    <w:name w:val="Strong"/>
    <w:uiPriority w:val="22"/>
    <w:qFormat/>
    <w:rsid w:val="001A1742"/>
    <w:rPr>
      <w:b/>
      <w:bCs/>
    </w:rPr>
  </w:style>
  <w:style w:type="paragraph" w:customStyle="1" w:styleId="-31">
    <w:name w:val="深色清單 - 輔色 31"/>
    <w:hidden/>
    <w:rsid w:val="001F6D92"/>
    <w:rPr>
      <w:color w:val="000000"/>
      <w:sz w:val="22"/>
      <w:szCs w:val="22"/>
      <w:lang w:eastAsia="en-US"/>
    </w:rPr>
  </w:style>
  <w:style w:type="character" w:styleId="HTML">
    <w:name w:val="HTML Cite"/>
    <w:uiPriority w:val="99"/>
    <w:unhideWhenUsed/>
    <w:rsid w:val="00EB6D02"/>
    <w:rPr>
      <w:i/>
      <w:iCs/>
    </w:rPr>
  </w:style>
  <w:style w:type="character" w:customStyle="1" w:styleId="slug-pub-date">
    <w:name w:val="slug-pub-date"/>
    <w:rsid w:val="00EB6D02"/>
  </w:style>
  <w:style w:type="character" w:customStyle="1" w:styleId="slug-vol">
    <w:name w:val="slug-vol"/>
    <w:rsid w:val="00EB6D02"/>
  </w:style>
  <w:style w:type="character" w:customStyle="1" w:styleId="slug-issue">
    <w:name w:val="slug-issue"/>
    <w:rsid w:val="00EB6D02"/>
  </w:style>
  <w:style w:type="character" w:customStyle="1" w:styleId="slug-pages">
    <w:name w:val="slug-pages"/>
    <w:rsid w:val="00EB6D02"/>
  </w:style>
  <w:style w:type="paragraph" w:styleId="Web">
    <w:name w:val="Normal (Web)"/>
    <w:basedOn w:val="a"/>
    <w:uiPriority w:val="99"/>
    <w:unhideWhenUsed/>
    <w:rsid w:val="00171324"/>
    <w:pPr>
      <w:spacing w:before="100" w:beforeAutospacing="1" w:after="100" w:afterAutospacing="1"/>
    </w:pPr>
  </w:style>
  <w:style w:type="table" w:styleId="af0">
    <w:name w:val="Table Grid"/>
    <w:basedOn w:val="a1"/>
    <w:uiPriority w:val="39"/>
    <w:rsid w:val="003A0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rsid w:val="00595086"/>
    <w:pPr>
      <w:tabs>
        <w:tab w:val="center" w:pos="4320"/>
        <w:tab w:val="right" w:pos="8640"/>
      </w:tabs>
    </w:pPr>
    <w:rPr>
      <w:lang w:val="x-none" w:eastAsia="x-none"/>
    </w:rPr>
  </w:style>
  <w:style w:type="character" w:customStyle="1" w:styleId="af2">
    <w:name w:val="頁尾 字元"/>
    <w:link w:val="af1"/>
    <w:rsid w:val="00595086"/>
    <w:rPr>
      <w:color w:val="000000"/>
      <w:sz w:val="22"/>
      <w:szCs w:val="22"/>
    </w:rPr>
  </w:style>
  <w:style w:type="character" w:styleId="af3">
    <w:name w:val="page number"/>
    <w:basedOn w:val="a0"/>
    <w:rsid w:val="00595086"/>
  </w:style>
  <w:style w:type="paragraph" w:styleId="af4">
    <w:name w:val="header"/>
    <w:basedOn w:val="a"/>
    <w:link w:val="af5"/>
    <w:uiPriority w:val="99"/>
    <w:rsid w:val="00595086"/>
    <w:pPr>
      <w:tabs>
        <w:tab w:val="center" w:pos="4320"/>
        <w:tab w:val="right" w:pos="8640"/>
      </w:tabs>
    </w:pPr>
    <w:rPr>
      <w:lang w:val="x-none" w:eastAsia="x-none"/>
    </w:rPr>
  </w:style>
  <w:style w:type="character" w:customStyle="1" w:styleId="af5">
    <w:name w:val="頁首 字元"/>
    <w:link w:val="af4"/>
    <w:uiPriority w:val="99"/>
    <w:rsid w:val="00595086"/>
    <w:rPr>
      <w:color w:val="000000"/>
      <w:sz w:val="22"/>
      <w:szCs w:val="22"/>
    </w:rPr>
  </w:style>
  <w:style w:type="character" w:customStyle="1" w:styleId="12">
    <w:name w:val="未解析的提及項目1"/>
    <w:uiPriority w:val="99"/>
    <w:semiHidden/>
    <w:unhideWhenUsed/>
    <w:rsid w:val="00D1509F"/>
    <w:rPr>
      <w:color w:val="808080"/>
      <w:shd w:val="clear" w:color="auto" w:fill="E6E6E6"/>
    </w:rPr>
  </w:style>
  <w:style w:type="character" w:customStyle="1" w:styleId="apple-converted-space">
    <w:name w:val="apple-converted-space"/>
    <w:rsid w:val="00C5409B"/>
  </w:style>
  <w:style w:type="character" w:customStyle="1" w:styleId="author">
    <w:name w:val="author"/>
    <w:rsid w:val="00536C31"/>
  </w:style>
  <w:style w:type="character" w:customStyle="1" w:styleId="year">
    <w:name w:val="year"/>
    <w:rsid w:val="00536C31"/>
  </w:style>
  <w:style w:type="character" w:customStyle="1" w:styleId="13">
    <w:name w:val="標題1"/>
    <w:rsid w:val="00536C31"/>
  </w:style>
  <w:style w:type="character" w:customStyle="1" w:styleId="journal">
    <w:name w:val="journal"/>
    <w:rsid w:val="00536C31"/>
  </w:style>
  <w:style w:type="character" w:customStyle="1" w:styleId="vol">
    <w:name w:val="vol"/>
    <w:rsid w:val="00536C31"/>
  </w:style>
  <w:style w:type="character" w:customStyle="1" w:styleId="pages">
    <w:name w:val="pages"/>
    <w:rsid w:val="00536C31"/>
  </w:style>
  <w:style w:type="paragraph" w:styleId="af6">
    <w:name w:val="No Spacing"/>
    <w:qFormat/>
    <w:rsid w:val="00036253"/>
    <w:pPr>
      <w:ind w:firstLine="720"/>
    </w:pPr>
    <w:rPr>
      <w:rFonts w:ascii="Times New Roman" w:eastAsia="Times New Roman" w:hAnsi="Times New Roman" w:cs="Times New Roman"/>
      <w:color w:val="000000"/>
      <w:sz w:val="24"/>
      <w:szCs w:val="24"/>
      <w:lang w:eastAsia="en-US"/>
    </w:rPr>
  </w:style>
  <w:style w:type="character" w:styleId="af7">
    <w:name w:val="FollowedHyperlink"/>
    <w:rsid w:val="009A0756"/>
    <w:rPr>
      <w:color w:val="954F72"/>
      <w:u w:val="single"/>
    </w:rPr>
  </w:style>
  <w:style w:type="character" w:customStyle="1" w:styleId="authorsname">
    <w:name w:val="authors__name"/>
    <w:rsid w:val="00165B05"/>
  </w:style>
  <w:style w:type="character" w:customStyle="1" w:styleId="authorscontact">
    <w:name w:val="authors__contact"/>
    <w:rsid w:val="00165B05"/>
  </w:style>
  <w:style w:type="character" w:styleId="af8">
    <w:name w:val="Intense Reference"/>
    <w:qFormat/>
    <w:rsid w:val="00D453AE"/>
    <w:rPr>
      <w:rFonts w:ascii="Times New Roman" w:eastAsia="Times New Roman" w:hAnsi="Times New Roman" w:cs="Times New Roman"/>
      <w:color w:val="222222"/>
    </w:rPr>
  </w:style>
  <w:style w:type="paragraph" w:styleId="af9">
    <w:name w:val="Revision"/>
    <w:hidden/>
    <w:rsid w:val="00F22D6A"/>
    <w:rPr>
      <w:rFonts w:ascii="Times New Roman" w:eastAsia="Times New Roman" w:hAnsi="Times New Roman" w:cs="Times New Roman"/>
      <w:color w:val="000000"/>
      <w:sz w:val="24"/>
      <w:szCs w:val="24"/>
      <w:lang w:eastAsia="en-US"/>
    </w:rPr>
  </w:style>
  <w:style w:type="character" w:styleId="afa">
    <w:name w:val="line number"/>
    <w:basedOn w:val="a0"/>
    <w:rsid w:val="004D5715"/>
  </w:style>
  <w:style w:type="character" w:customStyle="1" w:styleId="UnresolvedMention1">
    <w:name w:val="Unresolved Mention1"/>
    <w:basedOn w:val="a0"/>
    <w:uiPriority w:val="99"/>
    <w:semiHidden/>
    <w:unhideWhenUsed/>
    <w:rsid w:val="0055796B"/>
    <w:rPr>
      <w:color w:val="605E5C"/>
      <w:shd w:val="clear" w:color="auto" w:fill="E1DFDD"/>
    </w:rPr>
  </w:style>
  <w:style w:type="paragraph" w:styleId="afb">
    <w:name w:val="List Paragraph"/>
    <w:basedOn w:val="a"/>
    <w:uiPriority w:val="34"/>
    <w:qFormat/>
    <w:rsid w:val="00D17145"/>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a0"/>
    <w:uiPriority w:val="99"/>
    <w:semiHidden/>
    <w:unhideWhenUsed/>
    <w:rsid w:val="003E2902"/>
    <w:rPr>
      <w:color w:val="605E5C"/>
      <w:shd w:val="clear" w:color="auto" w:fill="E1DFDD"/>
    </w:rPr>
  </w:style>
  <w:style w:type="paragraph" w:customStyle="1" w:styleId="EndNoteBibliography">
    <w:name w:val="EndNote Bibliography"/>
    <w:basedOn w:val="a"/>
    <w:link w:val="EndNoteBibliographyChar"/>
    <w:rsid w:val="00FC706F"/>
    <w:pPr>
      <w:spacing w:after="160"/>
    </w:pPr>
    <w:rPr>
      <w:rFonts w:eastAsia="新細明體"/>
      <w:noProof/>
      <w:szCs w:val="22"/>
    </w:rPr>
  </w:style>
  <w:style w:type="character" w:customStyle="1" w:styleId="EndNoteBibliographyChar">
    <w:name w:val="EndNote Bibliography Char"/>
    <w:basedOn w:val="a0"/>
    <w:link w:val="EndNoteBibliography"/>
    <w:rsid w:val="00FC706F"/>
    <w:rPr>
      <w:rFonts w:ascii="Times New Roman" w:eastAsia="新細明體" w:hAnsi="Times New Roman" w:cs="Times New Roman"/>
      <w:noProo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81627">
      <w:bodyDiv w:val="1"/>
      <w:marLeft w:val="0"/>
      <w:marRight w:val="0"/>
      <w:marTop w:val="0"/>
      <w:marBottom w:val="0"/>
      <w:divBdr>
        <w:top w:val="none" w:sz="0" w:space="0" w:color="auto"/>
        <w:left w:val="none" w:sz="0" w:space="0" w:color="auto"/>
        <w:bottom w:val="none" w:sz="0" w:space="0" w:color="auto"/>
        <w:right w:val="none" w:sz="0" w:space="0" w:color="auto"/>
      </w:divBdr>
    </w:div>
    <w:div w:id="429475287">
      <w:bodyDiv w:val="1"/>
      <w:marLeft w:val="0"/>
      <w:marRight w:val="0"/>
      <w:marTop w:val="0"/>
      <w:marBottom w:val="0"/>
      <w:divBdr>
        <w:top w:val="none" w:sz="0" w:space="0" w:color="auto"/>
        <w:left w:val="none" w:sz="0" w:space="0" w:color="auto"/>
        <w:bottom w:val="none" w:sz="0" w:space="0" w:color="auto"/>
        <w:right w:val="none" w:sz="0" w:space="0" w:color="auto"/>
      </w:divBdr>
      <w:divsChild>
        <w:div w:id="783502228">
          <w:marLeft w:val="0"/>
          <w:marRight w:val="0"/>
          <w:marTop w:val="0"/>
          <w:marBottom w:val="0"/>
          <w:divBdr>
            <w:top w:val="none" w:sz="0" w:space="0" w:color="auto"/>
            <w:left w:val="none" w:sz="0" w:space="0" w:color="auto"/>
            <w:bottom w:val="none" w:sz="0" w:space="0" w:color="auto"/>
            <w:right w:val="none" w:sz="0" w:space="0" w:color="auto"/>
          </w:divBdr>
          <w:divsChild>
            <w:div w:id="451049253">
              <w:marLeft w:val="0"/>
              <w:marRight w:val="0"/>
              <w:marTop w:val="0"/>
              <w:marBottom w:val="0"/>
              <w:divBdr>
                <w:top w:val="none" w:sz="0" w:space="0" w:color="auto"/>
                <w:left w:val="none" w:sz="0" w:space="0" w:color="auto"/>
                <w:bottom w:val="none" w:sz="0" w:space="0" w:color="auto"/>
                <w:right w:val="none" w:sz="0" w:space="0" w:color="auto"/>
              </w:divBdr>
              <w:divsChild>
                <w:div w:id="1094545577">
                  <w:marLeft w:val="0"/>
                  <w:marRight w:val="0"/>
                  <w:marTop w:val="0"/>
                  <w:marBottom w:val="0"/>
                  <w:divBdr>
                    <w:top w:val="none" w:sz="0" w:space="0" w:color="auto"/>
                    <w:left w:val="none" w:sz="0" w:space="0" w:color="auto"/>
                    <w:bottom w:val="none" w:sz="0" w:space="0" w:color="auto"/>
                    <w:right w:val="none" w:sz="0" w:space="0" w:color="auto"/>
                  </w:divBdr>
                </w:div>
              </w:divsChild>
            </w:div>
            <w:div w:id="1488284777">
              <w:marLeft w:val="0"/>
              <w:marRight w:val="0"/>
              <w:marTop w:val="0"/>
              <w:marBottom w:val="0"/>
              <w:divBdr>
                <w:top w:val="none" w:sz="0" w:space="0" w:color="auto"/>
                <w:left w:val="none" w:sz="0" w:space="0" w:color="auto"/>
                <w:bottom w:val="none" w:sz="0" w:space="0" w:color="auto"/>
                <w:right w:val="none" w:sz="0" w:space="0" w:color="auto"/>
              </w:divBdr>
              <w:divsChild>
                <w:div w:id="1913159041">
                  <w:marLeft w:val="0"/>
                  <w:marRight w:val="0"/>
                  <w:marTop w:val="0"/>
                  <w:marBottom w:val="0"/>
                  <w:divBdr>
                    <w:top w:val="none" w:sz="0" w:space="0" w:color="auto"/>
                    <w:left w:val="none" w:sz="0" w:space="0" w:color="auto"/>
                    <w:bottom w:val="none" w:sz="0" w:space="0" w:color="auto"/>
                    <w:right w:val="none" w:sz="0" w:space="0" w:color="auto"/>
                  </w:divBdr>
                </w:div>
              </w:divsChild>
            </w:div>
            <w:div w:id="755708712">
              <w:marLeft w:val="0"/>
              <w:marRight w:val="0"/>
              <w:marTop w:val="0"/>
              <w:marBottom w:val="0"/>
              <w:divBdr>
                <w:top w:val="none" w:sz="0" w:space="0" w:color="auto"/>
                <w:left w:val="none" w:sz="0" w:space="0" w:color="auto"/>
                <w:bottom w:val="none" w:sz="0" w:space="0" w:color="auto"/>
                <w:right w:val="none" w:sz="0" w:space="0" w:color="auto"/>
              </w:divBdr>
              <w:divsChild>
                <w:div w:id="6432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67157">
      <w:bodyDiv w:val="1"/>
      <w:marLeft w:val="0"/>
      <w:marRight w:val="0"/>
      <w:marTop w:val="0"/>
      <w:marBottom w:val="0"/>
      <w:divBdr>
        <w:top w:val="none" w:sz="0" w:space="0" w:color="auto"/>
        <w:left w:val="none" w:sz="0" w:space="0" w:color="auto"/>
        <w:bottom w:val="none" w:sz="0" w:space="0" w:color="auto"/>
        <w:right w:val="none" w:sz="0" w:space="0" w:color="auto"/>
      </w:divBdr>
      <w:divsChild>
        <w:div w:id="2017613280">
          <w:marLeft w:val="0"/>
          <w:marRight w:val="0"/>
          <w:marTop w:val="0"/>
          <w:marBottom w:val="0"/>
          <w:divBdr>
            <w:top w:val="none" w:sz="0" w:space="0" w:color="auto"/>
            <w:left w:val="none" w:sz="0" w:space="0" w:color="auto"/>
            <w:bottom w:val="none" w:sz="0" w:space="0" w:color="auto"/>
            <w:right w:val="none" w:sz="0" w:space="0" w:color="auto"/>
          </w:divBdr>
          <w:divsChild>
            <w:div w:id="1253513678">
              <w:marLeft w:val="0"/>
              <w:marRight w:val="0"/>
              <w:marTop w:val="0"/>
              <w:marBottom w:val="0"/>
              <w:divBdr>
                <w:top w:val="none" w:sz="0" w:space="0" w:color="auto"/>
                <w:left w:val="none" w:sz="0" w:space="0" w:color="auto"/>
                <w:bottom w:val="none" w:sz="0" w:space="0" w:color="auto"/>
                <w:right w:val="none" w:sz="0" w:space="0" w:color="auto"/>
              </w:divBdr>
              <w:divsChild>
                <w:div w:id="2015837240">
                  <w:marLeft w:val="0"/>
                  <w:marRight w:val="0"/>
                  <w:marTop w:val="0"/>
                  <w:marBottom w:val="0"/>
                  <w:divBdr>
                    <w:top w:val="none" w:sz="0" w:space="0" w:color="auto"/>
                    <w:left w:val="none" w:sz="0" w:space="0" w:color="auto"/>
                    <w:bottom w:val="none" w:sz="0" w:space="0" w:color="auto"/>
                    <w:right w:val="none" w:sz="0" w:space="0" w:color="auto"/>
                  </w:divBdr>
                </w:div>
              </w:divsChild>
            </w:div>
            <w:div w:id="936788019">
              <w:marLeft w:val="0"/>
              <w:marRight w:val="0"/>
              <w:marTop w:val="0"/>
              <w:marBottom w:val="0"/>
              <w:divBdr>
                <w:top w:val="none" w:sz="0" w:space="0" w:color="auto"/>
                <w:left w:val="none" w:sz="0" w:space="0" w:color="auto"/>
                <w:bottom w:val="none" w:sz="0" w:space="0" w:color="auto"/>
                <w:right w:val="none" w:sz="0" w:space="0" w:color="auto"/>
              </w:divBdr>
              <w:divsChild>
                <w:div w:id="97993380">
                  <w:marLeft w:val="0"/>
                  <w:marRight w:val="0"/>
                  <w:marTop w:val="0"/>
                  <w:marBottom w:val="0"/>
                  <w:divBdr>
                    <w:top w:val="none" w:sz="0" w:space="0" w:color="auto"/>
                    <w:left w:val="none" w:sz="0" w:space="0" w:color="auto"/>
                    <w:bottom w:val="none" w:sz="0" w:space="0" w:color="auto"/>
                    <w:right w:val="none" w:sz="0" w:space="0" w:color="auto"/>
                  </w:divBdr>
                </w:div>
              </w:divsChild>
            </w:div>
            <w:div w:id="1427535757">
              <w:marLeft w:val="0"/>
              <w:marRight w:val="0"/>
              <w:marTop w:val="0"/>
              <w:marBottom w:val="0"/>
              <w:divBdr>
                <w:top w:val="none" w:sz="0" w:space="0" w:color="auto"/>
                <w:left w:val="none" w:sz="0" w:space="0" w:color="auto"/>
                <w:bottom w:val="none" w:sz="0" w:space="0" w:color="auto"/>
                <w:right w:val="none" w:sz="0" w:space="0" w:color="auto"/>
              </w:divBdr>
              <w:divsChild>
                <w:div w:id="19569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20048">
      <w:bodyDiv w:val="1"/>
      <w:marLeft w:val="0"/>
      <w:marRight w:val="0"/>
      <w:marTop w:val="0"/>
      <w:marBottom w:val="0"/>
      <w:divBdr>
        <w:top w:val="none" w:sz="0" w:space="0" w:color="auto"/>
        <w:left w:val="none" w:sz="0" w:space="0" w:color="auto"/>
        <w:bottom w:val="none" w:sz="0" w:space="0" w:color="auto"/>
        <w:right w:val="none" w:sz="0" w:space="0" w:color="auto"/>
      </w:divBdr>
    </w:div>
    <w:div w:id="20284071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C154-5880-41D6-B72C-757A2457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9787</Words>
  <Characters>55790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assistant</dc:creator>
  <cp:lastModifiedBy>anny yang</cp:lastModifiedBy>
  <cp:revision>9</cp:revision>
  <cp:lastPrinted>2020-02-06T10:02:00Z</cp:lastPrinted>
  <dcterms:created xsi:type="dcterms:W3CDTF">2020-02-06T10:03:00Z</dcterms:created>
  <dcterms:modified xsi:type="dcterms:W3CDTF">2020-02-08T02:59:00Z</dcterms:modified>
</cp:coreProperties>
</file>